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eastAsia="en-GB"/>
        </w:rPr>
        <w:id w:val="494075719"/>
        <w:docPartObj>
          <w:docPartGallery w:val="Cover Pages"/>
          <w:docPartUnique/>
        </w:docPartObj>
      </w:sdtPr>
      <w:sdtEndPr>
        <w:rPr>
          <w:b/>
        </w:rPr>
      </w:sdtEndPr>
      <w:sdtContent>
        <w:p w14:paraId="7E1069A5" w14:textId="1A0297B3" w:rsidR="00BA5500" w:rsidRPr="00A9625F" w:rsidRDefault="004751DE" w:rsidP="00BA5500">
          <w:pPr>
            <w:spacing w:line="480" w:lineRule="auto"/>
          </w:pPr>
          <w:r>
            <w:rPr>
              <w:lang w:eastAsia="en-GB"/>
            </w:rPr>
            <w:t>Ru</w:t>
          </w:r>
          <w:r w:rsidR="000C00CA">
            <w:rPr>
              <w:lang w:eastAsia="en-GB"/>
            </w:rPr>
            <w:t>nn</w:t>
          </w:r>
          <w:r>
            <w:rPr>
              <w:lang w:eastAsia="en-GB"/>
            </w:rPr>
            <w:t>ing hea</w:t>
          </w:r>
          <w:r w:rsidR="00BA5500" w:rsidRPr="00A9625F">
            <w:t>d: SCHIZOTYPAL MEASUREMENT</w:t>
          </w:r>
        </w:p>
        <w:p w14:paraId="56B1EC2E" w14:textId="77777777" w:rsidR="00BA5500" w:rsidRPr="00A9625F" w:rsidRDefault="00BA5500" w:rsidP="00BA5500">
          <w:pPr>
            <w:spacing w:line="480" w:lineRule="auto"/>
          </w:pPr>
        </w:p>
        <w:p w14:paraId="02BE89B1" w14:textId="77777777" w:rsidR="00BA5500" w:rsidRDefault="00BA5500" w:rsidP="00BA5500">
          <w:pPr>
            <w:spacing w:line="480" w:lineRule="auto"/>
            <w:ind w:firstLine="720"/>
            <w:rPr>
              <w:b/>
            </w:rPr>
          </w:pPr>
        </w:p>
        <w:p w14:paraId="62B4EAC5" w14:textId="77777777" w:rsidR="00E60421" w:rsidRPr="00A9625F" w:rsidRDefault="00E60421" w:rsidP="00BA5500">
          <w:pPr>
            <w:spacing w:line="480" w:lineRule="auto"/>
            <w:ind w:firstLine="720"/>
            <w:rPr>
              <w:b/>
            </w:rPr>
          </w:pPr>
        </w:p>
        <w:p w14:paraId="519F6C7F" w14:textId="77777777" w:rsidR="00BA5500" w:rsidRPr="00A9625F" w:rsidRDefault="00BA5500" w:rsidP="00E24CCE">
          <w:pPr>
            <w:pStyle w:val="Title"/>
          </w:pPr>
          <w:r>
            <w:t xml:space="preserve">An Examination of the </w:t>
          </w:r>
          <w:r w:rsidR="00C01CDF">
            <w:t xml:space="preserve">Higher-Order </w:t>
          </w:r>
          <w:r>
            <w:t xml:space="preserve">Dimensionality and Psychometric Properties of a Romanian Translation of the </w:t>
          </w:r>
          <w:r w:rsidRPr="00A9625F">
            <w:t xml:space="preserve">Schizotypal Personality Questionnaire (SPQ) </w:t>
          </w:r>
        </w:p>
        <w:p w14:paraId="6C122850" w14:textId="4752921D" w:rsidR="00BA5500" w:rsidRDefault="00BA5500" w:rsidP="00BA5500">
          <w:pPr>
            <w:spacing w:line="480" w:lineRule="auto"/>
            <w:jc w:val="center"/>
          </w:pPr>
        </w:p>
        <w:p w14:paraId="45BC381A" w14:textId="77777777" w:rsidR="005F1D9A" w:rsidRDefault="005F1D9A" w:rsidP="00BA5500">
          <w:pPr>
            <w:spacing w:line="480" w:lineRule="auto"/>
            <w:jc w:val="center"/>
          </w:pPr>
        </w:p>
        <w:p w14:paraId="0641D23F" w14:textId="77777777" w:rsidR="006D5D97" w:rsidRDefault="006D5D97" w:rsidP="006D5D97">
          <w:pPr>
            <w:spacing w:line="480" w:lineRule="auto"/>
            <w:jc w:val="center"/>
          </w:pPr>
          <w:r>
            <w:t>David Barron</w:t>
          </w:r>
          <w:r>
            <w:rPr>
              <w:vertAlign w:val="superscript"/>
            </w:rPr>
            <w:t>1</w:t>
          </w:r>
          <w:r>
            <w:t>, Mona Vintila</w:t>
          </w:r>
          <w:r>
            <w:rPr>
              <w:vertAlign w:val="superscript"/>
            </w:rPr>
            <w:t>2</w:t>
          </w:r>
          <w:r>
            <w:t>, Hui San Ong</w:t>
          </w:r>
          <w:r>
            <w:rPr>
              <w:vertAlign w:val="superscript"/>
            </w:rPr>
            <w:t>3</w:t>
          </w:r>
          <w:r>
            <w:t>, Otilia Tudorel</w:t>
          </w:r>
          <w:r>
            <w:rPr>
              <w:vertAlign w:val="superscript"/>
            </w:rPr>
            <w:t>2</w:t>
          </w:r>
          <w:r>
            <w:t>, Cosmin Goian</w:t>
          </w:r>
          <w:r>
            <w:rPr>
              <w:vertAlign w:val="superscript"/>
            </w:rPr>
            <w:t>4</w:t>
          </w:r>
          <w:r>
            <w:t>,</w:t>
          </w:r>
          <w:r>
            <w:rPr>
              <w:vertAlign w:val="superscript"/>
            </w:rPr>
            <w:t xml:space="preserve"> </w:t>
          </w:r>
          <w:proofErr w:type="spellStart"/>
          <w:r>
            <w:t>Kah</w:t>
          </w:r>
          <w:proofErr w:type="spellEnd"/>
          <w:r>
            <w:t xml:space="preserve"> Yan Wong</w:t>
          </w:r>
          <w:r>
            <w:rPr>
              <w:vertAlign w:val="superscript"/>
            </w:rPr>
            <w:t>1</w:t>
          </w:r>
          <w:r>
            <w:t>, Evelyn Kheng Lin Toh</w:t>
          </w:r>
          <w:r>
            <w:rPr>
              <w:vertAlign w:val="superscript"/>
            </w:rPr>
            <w:t>1</w:t>
          </w:r>
          <w:r>
            <w:t>, &amp; Viren Swami</w:t>
          </w:r>
          <w:r>
            <w:rPr>
              <w:vertAlign w:val="superscript"/>
            </w:rPr>
            <w:t>1,5</w:t>
          </w:r>
          <w:r>
            <w:t xml:space="preserve"> </w:t>
          </w:r>
        </w:p>
        <w:p w14:paraId="262B76AE" w14:textId="7A148C75" w:rsidR="006D5D97" w:rsidRDefault="006D5D97" w:rsidP="006D5D97">
          <w:pPr>
            <w:spacing w:line="480" w:lineRule="auto"/>
            <w:jc w:val="center"/>
          </w:pPr>
        </w:p>
        <w:p w14:paraId="5AD8B989" w14:textId="77777777" w:rsidR="005F1D9A" w:rsidRDefault="005F1D9A" w:rsidP="006D5D97">
          <w:pPr>
            <w:spacing w:line="480" w:lineRule="auto"/>
            <w:jc w:val="center"/>
          </w:pPr>
        </w:p>
        <w:p w14:paraId="6C74C919" w14:textId="77777777" w:rsidR="006D5D97" w:rsidRDefault="006D5D97" w:rsidP="006D5D97">
          <w:pPr>
            <w:spacing w:line="480" w:lineRule="auto"/>
            <w:jc w:val="center"/>
            <w:rPr>
              <w:color w:val="000000" w:themeColor="text1"/>
            </w:rPr>
          </w:pPr>
          <w:r>
            <w:rPr>
              <w:vertAlign w:val="superscript"/>
            </w:rPr>
            <w:t>1</w:t>
          </w:r>
          <w:r>
            <w:rPr>
              <w:color w:val="000000" w:themeColor="text1"/>
            </w:rPr>
            <w:t>Centre for Psychological Medicine, Perdana University, Serdang, Malaysia</w:t>
          </w:r>
        </w:p>
        <w:p w14:paraId="5753C6C2" w14:textId="77777777" w:rsidR="006D5D97" w:rsidRDefault="006D5D97" w:rsidP="006D5D97">
          <w:pPr>
            <w:spacing w:line="480" w:lineRule="auto"/>
            <w:jc w:val="center"/>
            <w:rPr>
              <w:vertAlign w:val="superscript"/>
            </w:rPr>
          </w:pPr>
          <w:r>
            <w:rPr>
              <w:color w:val="000000" w:themeColor="text1"/>
              <w:vertAlign w:val="superscript"/>
            </w:rPr>
            <w:t>2</w:t>
          </w:r>
          <w:r>
            <w:rPr>
              <w:color w:val="000000" w:themeColor="text1"/>
            </w:rPr>
            <w:t xml:space="preserve">Department of Psychology, West University of </w:t>
          </w:r>
          <w:proofErr w:type="spellStart"/>
          <w:r>
            <w:rPr>
              <w:color w:val="000000" w:themeColor="text1"/>
            </w:rPr>
            <w:t>Tim</w:t>
          </w:r>
          <w:r>
            <w:rPr>
              <w:color w:val="000000" w:themeColor="text1"/>
              <w:shd w:val="clear" w:color="auto" w:fill="FFFFFF"/>
            </w:rPr>
            <w:t>ișoara</w:t>
          </w:r>
          <w:proofErr w:type="spellEnd"/>
          <w:r>
            <w:rPr>
              <w:color w:val="000000" w:themeColor="text1"/>
              <w:shd w:val="clear" w:color="auto" w:fill="FFFFFF"/>
            </w:rPr>
            <w:t xml:space="preserve">, </w:t>
          </w:r>
          <w:proofErr w:type="spellStart"/>
          <w:r>
            <w:rPr>
              <w:color w:val="000000" w:themeColor="text1"/>
            </w:rPr>
            <w:t>Tim</w:t>
          </w:r>
          <w:r>
            <w:rPr>
              <w:color w:val="000000" w:themeColor="text1"/>
              <w:shd w:val="clear" w:color="auto" w:fill="FFFFFF"/>
            </w:rPr>
            <w:t>ișoara</w:t>
          </w:r>
          <w:proofErr w:type="spellEnd"/>
          <w:r>
            <w:rPr>
              <w:color w:val="000000" w:themeColor="text1"/>
              <w:shd w:val="clear" w:color="auto" w:fill="FFFFFF"/>
            </w:rPr>
            <w:t>, Romania</w:t>
          </w:r>
        </w:p>
        <w:p w14:paraId="43FCD1EC" w14:textId="77777777" w:rsidR="006D5D97" w:rsidRDefault="006D5D97" w:rsidP="006D5D97">
          <w:pPr>
            <w:spacing w:line="480" w:lineRule="auto"/>
            <w:jc w:val="center"/>
          </w:pPr>
          <w:r>
            <w:rPr>
              <w:color w:val="000000" w:themeColor="text1"/>
              <w:vertAlign w:val="superscript"/>
            </w:rPr>
            <w:t>3</w:t>
          </w:r>
          <w:r>
            <w:rPr>
              <w:color w:val="000000" w:themeColor="text1"/>
            </w:rPr>
            <w:t>School of Data Sciences, Perdana University, Serdang, Malaysia</w:t>
          </w:r>
        </w:p>
        <w:p w14:paraId="550E3595" w14:textId="77777777" w:rsidR="006D5D97" w:rsidRDefault="006D5D97" w:rsidP="006D5D97">
          <w:pPr>
            <w:spacing w:line="480" w:lineRule="auto"/>
            <w:jc w:val="center"/>
            <w:rPr>
              <w:color w:val="000000" w:themeColor="text1"/>
              <w:shd w:val="clear" w:color="auto" w:fill="FFFFFF"/>
            </w:rPr>
          </w:pPr>
          <w:r>
            <w:rPr>
              <w:color w:val="000000" w:themeColor="text1"/>
              <w:shd w:val="clear" w:color="auto" w:fill="FFFFFF"/>
              <w:vertAlign w:val="superscript"/>
            </w:rPr>
            <w:t>4</w:t>
          </w:r>
          <w:r>
            <w:rPr>
              <w:color w:val="000000" w:themeColor="text1"/>
              <w:shd w:val="clear" w:color="auto" w:fill="FFFFFF"/>
            </w:rPr>
            <w:t xml:space="preserve">Department of Social Work, </w:t>
          </w:r>
          <w:r>
            <w:rPr>
              <w:color w:val="000000" w:themeColor="text1"/>
            </w:rPr>
            <w:t xml:space="preserve">West University of </w:t>
          </w:r>
          <w:proofErr w:type="spellStart"/>
          <w:r>
            <w:rPr>
              <w:color w:val="000000" w:themeColor="text1"/>
            </w:rPr>
            <w:t>Tim</w:t>
          </w:r>
          <w:r>
            <w:rPr>
              <w:color w:val="000000" w:themeColor="text1"/>
              <w:shd w:val="clear" w:color="auto" w:fill="FFFFFF"/>
            </w:rPr>
            <w:t>ișoara</w:t>
          </w:r>
          <w:proofErr w:type="spellEnd"/>
          <w:r>
            <w:rPr>
              <w:color w:val="000000" w:themeColor="text1"/>
              <w:shd w:val="clear" w:color="auto" w:fill="FFFFFF"/>
            </w:rPr>
            <w:t xml:space="preserve">, </w:t>
          </w:r>
          <w:proofErr w:type="spellStart"/>
          <w:r>
            <w:rPr>
              <w:color w:val="000000" w:themeColor="text1"/>
            </w:rPr>
            <w:t>Tim</w:t>
          </w:r>
          <w:r>
            <w:rPr>
              <w:color w:val="000000" w:themeColor="text1"/>
              <w:shd w:val="clear" w:color="auto" w:fill="FFFFFF"/>
            </w:rPr>
            <w:t>ișoara</w:t>
          </w:r>
          <w:proofErr w:type="spellEnd"/>
          <w:r>
            <w:rPr>
              <w:color w:val="000000" w:themeColor="text1"/>
              <w:shd w:val="clear" w:color="auto" w:fill="FFFFFF"/>
            </w:rPr>
            <w:t>, Romania</w:t>
          </w:r>
          <w:r>
            <w:t xml:space="preserve"> </w:t>
          </w:r>
        </w:p>
        <w:p w14:paraId="581B8AF6" w14:textId="4CB5EB66" w:rsidR="006D5D97" w:rsidRDefault="006D5D97" w:rsidP="005F1D9A">
          <w:pPr>
            <w:spacing w:line="480" w:lineRule="auto"/>
            <w:jc w:val="center"/>
          </w:pPr>
          <w:r>
            <w:rPr>
              <w:vertAlign w:val="superscript"/>
            </w:rPr>
            <w:t>5</w:t>
          </w:r>
          <w:r>
            <w:t>School of Psychology and Sport Science, Anglia Ruskin University, Cambridge, United Kingdom</w:t>
          </w:r>
        </w:p>
        <w:p w14:paraId="55F7D61D" w14:textId="1FDE02F5" w:rsidR="006D5D97" w:rsidRDefault="006D5D97" w:rsidP="006D5D97">
          <w:pPr>
            <w:spacing w:line="480" w:lineRule="auto"/>
            <w:jc w:val="center"/>
          </w:pPr>
        </w:p>
        <w:p w14:paraId="2324447A" w14:textId="4163BD22" w:rsidR="006D5D97" w:rsidRDefault="006D5D97" w:rsidP="006D5D97">
          <w:pPr>
            <w:spacing w:line="480" w:lineRule="auto"/>
            <w:jc w:val="center"/>
          </w:pPr>
        </w:p>
        <w:p w14:paraId="2A5B9FC3" w14:textId="77777777" w:rsidR="006D5D97" w:rsidRDefault="006D5D97" w:rsidP="006D5D97">
          <w:pPr>
            <w:spacing w:line="480" w:lineRule="auto"/>
            <w:jc w:val="center"/>
          </w:pPr>
        </w:p>
        <w:p w14:paraId="350D3472" w14:textId="0F5F282F" w:rsidR="005E1192" w:rsidRPr="00A9625F" w:rsidRDefault="006D5D97" w:rsidP="00F75505">
          <w:pPr>
            <w:spacing w:line="480" w:lineRule="auto"/>
          </w:pPr>
          <w:r>
            <w:rPr>
              <w:color w:val="000000" w:themeColor="text1"/>
            </w:rPr>
            <w:t xml:space="preserve">Address correspondence to: David Barron, </w:t>
          </w:r>
          <w:r>
            <w:rPr>
              <w:color w:val="000000"/>
            </w:rPr>
            <w:t xml:space="preserve">Centre for Psychological Medicine, Perdana University, </w:t>
          </w:r>
          <w:r w:rsidR="00F75505" w:rsidRPr="00F75505">
            <w:rPr>
              <w:color w:val="000000"/>
            </w:rPr>
            <w:t>Suite 9.2, 9th Floor, Wisma Chase Perdana,</w:t>
          </w:r>
          <w:r w:rsidR="00F75505">
            <w:rPr>
              <w:color w:val="000000"/>
            </w:rPr>
            <w:t xml:space="preserve"> </w:t>
          </w:r>
          <w:proofErr w:type="spellStart"/>
          <w:r w:rsidR="00F75505" w:rsidRPr="00F75505">
            <w:rPr>
              <w:color w:val="000000"/>
            </w:rPr>
            <w:t>Changkat</w:t>
          </w:r>
          <w:proofErr w:type="spellEnd"/>
          <w:r w:rsidR="00F75505" w:rsidRPr="00F75505">
            <w:rPr>
              <w:color w:val="000000"/>
            </w:rPr>
            <w:t xml:space="preserve"> </w:t>
          </w:r>
          <w:proofErr w:type="spellStart"/>
          <w:r w:rsidR="00F75505" w:rsidRPr="00F75505">
            <w:rPr>
              <w:color w:val="000000"/>
            </w:rPr>
            <w:t>Semantan</w:t>
          </w:r>
          <w:proofErr w:type="spellEnd"/>
          <w:r w:rsidR="00F75505" w:rsidRPr="00F75505">
            <w:rPr>
              <w:color w:val="000000"/>
            </w:rPr>
            <w:t>, Damansara Heights,</w:t>
          </w:r>
          <w:r w:rsidR="00F75505">
            <w:rPr>
              <w:color w:val="000000"/>
            </w:rPr>
            <w:t xml:space="preserve"> </w:t>
          </w:r>
          <w:r w:rsidR="00F75505" w:rsidRPr="00F75505">
            <w:rPr>
              <w:color w:val="000000"/>
            </w:rPr>
            <w:t>50490 Kuala Lumpur,</w:t>
          </w:r>
          <w:r w:rsidR="00F75505">
            <w:rPr>
              <w:color w:val="000000"/>
            </w:rPr>
            <w:t xml:space="preserve"> </w:t>
          </w:r>
          <w:proofErr w:type="gramStart"/>
          <w:r w:rsidR="00F75505" w:rsidRPr="00F75505">
            <w:rPr>
              <w:color w:val="000000"/>
            </w:rPr>
            <w:t>Malaysia.</w:t>
          </w:r>
          <w:r>
            <w:rPr>
              <w:color w:val="000000"/>
            </w:rPr>
            <w:t>.</w:t>
          </w:r>
          <w:proofErr w:type="gramEnd"/>
          <w:r>
            <w:rPr>
              <w:color w:val="000000"/>
            </w:rPr>
            <w:t xml:space="preserve"> </w:t>
          </w:r>
          <w:r>
            <w:rPr>
              <w:color w:val="000000" w:themeColor="text1"/>
            </w:rPr>
            <w:t xml:space="preserve">Email: </w:t>
          </w:r>
          <w:hyperlink r:id="rId8" w:history="1">
            <w:r w:rsidRPr="00FC6F38">
              <w:rPr>
                <w:rStyle w:val="Hyperlink"/>
              </w:rPr>
              <w:t>david@perdanauniversity.edu.my</w:t>
            </w:r>
          </w:hyperlink>
          <w:r>
            <w:rPr>
              <w:color w:val="000000" w:themeColor="text1"/>
            </w:rPr>
            <w:t>.</w:t>
          </w:r>
        </w:p>
        <w:p w14:paraId="076D3920" w14:textId="77777777" w:rsidR="00F75505" w:rsidRDefault="00A3290E" w:rsidP="00F75505">
          <w:pPr>
            <w:pStyle w:val="xmsonormal"/>
            <w:shd w:val="clear" w:color="auto" w:fill="FFFFFF"/>
            <w:spacing w:before="0" w:beforeAutospacing="0" w:after="0" w:afterAutospacing="0" w:line="480" w:lineRule="auto"/>
            <w:rPr>
              <w:b/>
            </w:rPr>
          </w:pPr>
        </w:p>
      </w:sdtContent>
    </w:sdt>
    <w:p w14:paraId="3D5679CD" w14:textId="2971A254" w:rsidR="00000B46" w:rsidRPr="00F75505" w:rsidRDefault="00000B46" w:rsidP="00E24CCE">
      <w:pPr>
        <w:pStyle w:val="Heading1"/>
        <w:jc w:val="center"/>
      </w:pPr>
      <w:r w:rsidRPr="00D22D68">
        <w:lastRenderedPageBreak/>
        <w:t>Abstract</w:t>
      </w:r>
    </w:p>
    <w:p w14:paraId="0C2A12F3" w14:textId="409C5A51" w:rsidR="009D7EAD" w:rsidRPr="009D7EAD" w:rsidRDefault="009D7EAD" w:rsidP="009D7EAD">
      <w:pPr>
        <w:spacing w:line="480" w:lineRule="auto"/>
        <w:rPr>
          <w:color w:val="000000" w:themeColor="text1"/>
        </w:rPr>
      </w:pPr>
      <w:r>
        <w:t xml:space="preserve">The Schizotypal Personality Questionnaire (SPQ) is a self-report measure </w:t>
      </w:r>
      <w:r w:rsidR="007B479A">
        <w:t>of</w:t>
      </w:r>
      <w:r>
        <w:t xml:space="preserve"> schizotypal personality traits, but the higher-order dimensionality of its scores continues to be debate</w:t>
      </w:r>
      <w:r w:rsidR="007B479A">
        <w:t>d</w:t>
      </w:r>
      <w:r>
        <w:t xml:space="preserve">. As a contribution to </w:t>
      </w:r>
      <w:r w:rsidR="007B479A">
        <w:t>this debate</w:t>
      </w:r>
      <w:r>
        <w:t xml:space="preserve">, we examined the psychometric properties of a Romanian translation of the SPQ. A total of 711 university students (488 women, 223 men) from Romania completed a novel translation of the SPQ alongside measures of quality of life, self-esteem, and life satisfaction. Confirmatory factor analysis suggested that a 4-factor model of SPQ scores had better fit to the data than </w:t>
      </w:r>
      <w:r w:rsidR="007B479A">
        <w:t>alternative</w:t>
      </w:r>
      <w:r>
        <w:t xml:space="preserve"> model</w:t>
      </w:r>
      <w:r w:rsidR="007B479A">
        <w:t>s</w:t>
      </w:r>
      <w:r>
        <w:t>. The 4-factor model also demonstrated partial measurement invariance across sex, although sex differences on domain scores were</w:t>
      </w:r>
      <w:r w:rsidR="007B479A">
        <w:t xml:space="preserve"> negligible</w:t>
      </w:r>
      <w:r>
        <w:t xml:space="preserve"> (</w:t>
      </w:r>
      <w:r w:rsidRPr="00223815">
        <w:rPr>
          <w:color w:val="000000"/>
        </w:rPr>
        <w:t>η</w:t>
      </w:r>
      <w:r w:rsidRPr="003A246B">
        <w:rPr>
          <w:color w:val="000000"/>
          <w:vertAlign w:val="subscript"/>
        </w:rPr>
        <w:t>p</w:t>
      </w:r>
      <w:r w:rsidRPr="003A246B">
        <w:rPr>
          <w:color w:val="000000"/>
          <w:vertAlign w:val="superscript"/>
        </w:rPr>
        <w:t>2</w:t>
      </w:r>
      <w:r>
        <w:rPr>
          <w:color w:val="000000"/>
        </w:rPr>
        <w:t xml:space="preserve"> = </w:t>
      </w:r>
      <w:r w:rsidR="00297282">
        <w:rPr>
          <w:color w:val="000000"/>
        </w:rPr>
        <w:t>0</w:t>
      </w:r>
      <w:r>
        <w:rPr>
          <w:color w:val="000000"/>
        </w:rPr>
        <w:t>.01-</w:t>
      </w:r>
      <w:r w:rsidR="00297282">
        <w:rPr>
          <w:color w:val="000000"/>
        </w:rPr>
        <w:t>0</w:t>
      </w:r>
      <w:r>
        <w:rPr>
          <w:color w:val="000000"/>
        </w:rPr>
        <w:t xml:space="preserve">.02). </w:t>
      </w:r>
      <w:r w:rsidR="008F7060" w:rsidRPr="008F7060">
        <w:t xml:space="preserve">Romanian SPQ </w:t>
      </w:r>
      <w:r w:rsidR="007B479A">
        <w:t xml:space="preserve">scores evidenced </w:t>
      </w:r>
      <w:r w:rsidR="008F7060" w:rsidRPr="008F7060">
        <w:t xml:space="preserve">adequate construct and </w:t>
      </w:r>
      <w:r w:rsidR="00E20B40">
        <w:t>concurrent</w:t>
      </w:r>
      <w:r w:rsidR="00E20B40" w:rsidRPr="008F7060">
        <w:t xml:space="preserve"> </w:t>
      </w:r>
      <w:r w:rsidR="008F7060" w:rsidRPr="008F7060">
        <w:t xml:space="preserve">validity </w:t>
      </w:r>
      <w:r w:rsidR="007B479A" w:rsidRPr="003604F6">
        <w:rPr>
          <w:i/>
        </w:rPr>
        <w:t>vis-à-vis</w:t>
      </w:r>
      <w:r w:rsidR="007B479A">
        <w:t xml:space="preserve"> </w:t>
      </w:r>
      <w:r w:rsidR="008F7060" w:rsidRPr="008F7060">
        <w:t>quality of life</w:t>
      </w:r>
      <w:r w:rsidR="007C2F0B">
        <w:t>, satisfaction with life,</w:t>
      </w:r>
      <w:r w:rsidR="008F7060" w:rsidRPr="008F7060">
        <w:t xml:space="preserve"> and self-esteem</w:t>
      </w:r>
      <w:r w:rsidRPr="008F7060">
        <w:t xml:space="preserve">. Our </w:t>
      </w:r>
      <w:r>
        <w:rPr>
          <w:color w:val="000000" w:themeColor="text1"/>
        </w:rPr>
        <w:t xml:space="preserve">results provide support for a 4-factor conceptualisation of SPQ scores in </w:t>
      </w:r>
      <w:r w:rsidR="007B479A">
        <w:rPr>
          <w:color w:val="000000" w:themeColor="text1"/>
        </w:rPr>
        <w:t>a hitherto neglected linguistic group</w:t>
      </w:r>
      <w:r>
        <w:rPr>
          <w:color w:val="000000" w:themeColor="text1"/>
        </w:rPr>
        <w:t xml:space="preserve">. </w:t>
      </w:r>
    </w:p>
    <w:p w14:paraId="68E45E60" w14:textId="01965613" w:rsidR="00000B46" w:rsidRDefault="00000B46" w:rsidP="009D7EAD">
      <w:pPr>
        <w:spacing w:line="480" w:lineRule="auto"/>
        <w:ind w:firstLine="720"/>
        <w:rPr>
          <w:color w:val="000000" w:themeColor="text1"/>
        </w:rPr>
      </w:pPr>
      <w:r>
        <w:rPr>
          <w:b/>
          <w:color w:val="000000" w:themeColor="text1"/>
        </w:rPr>
        <w:t xml:space="preserve">Keywords: </w:t>
      </w:r>
      <w:proofErr w:type="spellStart"/>
      <w:r w:rsidRPr="0022626B">
        <w:rPr>
          <w:color w:val="000000" w:themeColor="text1"/>
        </w:rPr>
        <w:t>Schizotypy</w:t>
      </w:r>
      <w:proofErr w:type="spellEnd"/>
      <w:r w:rsidRPr="0022626B">
        <w:rPr>
          <w:color w:val="000000" w:themeColor="text1"/>
        </w:rPr>
        <w:t xml:space="preserve">; </w:t>
      </w:r>
      <w:r>
        <w:rPr>
          <w:color w:val="000000" w:themeColor="text1"/>
        </w:rPr>
        <w:t xml:space="preserve">Romania; Confirmatory Factor Analysis; </w:t>
      </w:r>
      <w:r w:rsidR="009D7EAD">
        <w:rPr>
          <w:color w:val="000000" w:themeColor="text1"/>
        </w:rPr>
        <w:t>Schizotypal Personality Questionnaire; Quality of Life</w:t>
      </w:r>
    </w:p>
    <w:p w14:paraId="162D1235" w14:textId="77777777" w:rsidR="00000B46" w:rsidRDefault="00000B46" w:rsidP="00000B46">
      <w:pPr>
        <w:spacing w:line="480" w:lineRule="auto"/>
        <w:jc w:val="center"/>
        <w:rPr>
          <w:color w:val="000000" w:themeColor="text1"/>
        </w:rPr>
      </w:pPr>
    </w:p>
    <w:p w14:paraId="1FF28A81" w14:textId="77777777" w:rsidR="00000B46" w:rsidRDefault="00000B46" w:rsidP="00000B46">
      <w:pPr>
        <w:spacing w:line="480" w:lineRule="auto"/>
        <w:jc w:val="center"/>
        <w:rPr>
          <w:color w:val="000000" w:themeColor="text1"/>
        </w:rPr>
      </w:pPr>
    </w:p>
    <w:p w14:paraId="5498C21E" w14:textId="77777777" w:rsidR="00000B46" w:rsidRDefault="00000B46" w:rsidP="00000B46">
      <w:pPr>
        <w:spacing w:line="480" w:lineRule="auto"/>
        <w:jc w:val="center"/>
        <w:rPr>
          <w:color w:val="000000" w:themeColor="text1"/>
        </w:rPr>
      </w:pPr>
    </w:p>
    <w:p w14:paraId="5D45F4E7" w14:textId="77777777" w:rsidR="00000B46" w:rsidRDefault="00000B46" w:rsidP="009D7EAD">
      <w:pPr>
        <w:spacing w:line="480" w:lineRule="auto"/>
        <w:rPr>
          <w:color w:val="000000" w:themeColor="text1"/>
        </w:rPr>
      </w:pPr>
    </w:p>
    <w:p w14:paraId="73F6495A" w14:textId="7F70D7DD" w:rsidR="00420BC0" w:rsidRDefault="00420BC0">
      <w:pPr>
        <w:rPr>
          <w:b/>
        </w:rPr>
      </w:pPr>
    </w:p>
    <w:p w14:paraId="17AE8FE5" w14:textId="77777777" w:rsidR="009D7EAD" w:rsidRDefault="009D7EAD">
      <w:pPr>
        <w:rPr>
          <w:b/>
        </w:rPr>
      </w:pPr>
      <w:r>
        <w:rPr>
          <w:b/>
        </w:rPr>
        <w:br w:type="page"/>
      </w:r>
    </w:p>
    <w:p w14:paraId="1529E97E" w14:textId="07108AAE" w:rsidR="00BA5500" w:rsidRPr="00F44AA4" w:rsidRDefault="00F44AA4" w:rsidP="00E24CCE">
      <w:pPr>
        <w:pStyle w:val="Heading1"/>
      </w:pPr>
      <w:r>
        <w:lastRenderedPageBreak/>
        <w:t xml:space="preserve">1. </w:t>
      </w:r>
      <w:r w:rsidR="00BA5500" w:rsidRPr="00F44AA4">
        <w:t>Introduction</w:t>
      </w:r>
    </w:p>
    <w:p w14:paraId="03EF4F02" w14:textId="2F9DD6E4" w:rsidR="000416AE" w:rsidRDefault="00F11C04" w:rsidP="00397242">
      <w:pPr>
        <w:spacing w:line="480" w:lineRule="auto"/>
      </w:pPr>
      <w:r>
        <w:t xml:space="preserve"> </w:t>
      </w:r>
      <w:r>
        <w:tab/>
        <w:t xml:space="preserve">First coined by </w:t>
      </w:r>
      <w:proofErr w:type="spellStart"/>
      <w:r>
        <w:t>Rado</w:t>
      </w:r>
      <w:proofErr w:type="spellEnd"/>
      <w:r>
        <w:t xml:space="preserve"> (1953) and later extended into a highly influential pathogenetic model by </w:t>
      </w:r>
      <w:proofErr w:type="spellStart"/>
      <w:r>
        <w:t>Meehl</w:t>
      </w:r>
      <w:proofErr w:type="spellEnd"/>
      <w:r>
        <w:t xml:space="preserve"> (1962), </w:t>
      </w:r>
      <w:proofErr w:type="spellStart"/>
      <w:r>
        <w:t>schizotypy</w:t>
      </w:r>
      <w:proofErr w:type="spellEnd"/>
      <w:r>
        <w:t xml:space="preserve"> is today conceptualised as </w:t>
      </w:r>
      <w:r w:rsidR="000416AE">
        <w:t>a heterogeneous</w:t>
      </w:r>
      <w:r>
        <w:t xml:space="preserve"> personality factor that represents the phenotypic manifestation for schizophrenia-spectrum psychopathology and other psychotic disorders (Ettinger et al. 2018; </w:t>
      </w:r>
      <w:proofErr w:type="spellStart"/>
      <w:r>
        <w:t>Kwapil</w:t>
      </w:r>
      <w:proofErr w:type="spellEnd"/>
      <w:r>
        <w:t xml:space="preserve"> </w:t>
      </w:r>
      <w:r w:rsidR="00780806">
        <w:t>and</w:t>
      </w:r>
      <w:r>
        <w:t xml:space="preserve"> </w:t>
      </w:r>
      <w:proofErr w:type="spellStart"/>
      <w:r>
        <w:t>Barrantes</w:t>
      </w:r>
      <w:proofErr w:type="spellEnd"/>
      <w:r>
        <w:t xml:space="preserve">-Vidal 2015; </w:t>
      </w:r>
      <w:proofErr w:type="spellStart"/>
      <w:r>
        <w:t>Lenzenweger</w:t>
      </w:r>
      <w:proofErr w:type="spellEnd"/>
      <w:r>
        <w:t xml:space="preserve"> 2011). In this view, schizotypal features are </w:t>
      </w:r>
      <w:r w:rsidR="00C01CDF">
        <w:t>considered to</w:t>
      </w:r>
      <w:r>
        <w:t xml:space="preserve"> represent early, prodromal stages of schizophrenia-spectrum personality disorders and full psychosis (</w:t>
      </w:r>
      <w:proofErr w:type="spellStart"/>
      <w:r>
        <w:t>Debanné</w:t>
      </w:r>
      <w:proofErr w:type="spellEnd"/>
      <w:r>
        <w:t xml:space="preserve"> et al. 2015; Fonseca-</w:t>
      </w:r>
      <w:proofErr w:type="spellStart"/>
      <w:r>
        <w:t>Pedrero</w:t>
      </w:r>
      <w:proofErr w:type="spellEnd"/>
      <w:r>
        <w:t xml:space="preserve"> </w:t>
      </w:r>
      <w:r w:rsidR="00780806">
        <w:t>and</w:t>
      </w:r>
      <w:r>
        <w:t xml:space="preserve"> </w:t>
      </w:r>
      <w:proofErr w:type="spellStart"/>
      <w:r>
        <w:t>Debanné</w:t>
      </w:r>
      <w:proofErr w:type="spellEnd"/>
      <w:r>
        <w:t xml:space="preserve"> 2017; Grant </w:t>
      </w:r>
      <w:r w:rsidR="00780806">
        <w:t>et al.</w:t>
      </w:r>
      <w:r>
        <w:t xml:space="preserve"> 2018). </w:t>
      </w:r>
      <w:r w:rsidR="000416AE">
        <w:t>For this reason, schizotypal instruments are important tool</w:t>
      </w:r>
      <w:r w:rsidR="00C01CDF">
        <w:t>s</w:t>
      </w:r>
      <w:r w:rsidR="000416AE">
        <w:t xml:space="preserve"> for both screening people who may be at risk for developing psychosis (Cicero</w:t>
      </w:r>
      <w:r w:rsidR="00780806">
        <w:t xml:space="preserve"> et al.</w:t>
      </w:r>
      <w:r w:rsidR="007E54C8">
        <w:t xml:space="preserve"> </w:t>
      </w:r>
      <w:r w:rsidR="000416AE">
        <w:t xml:space="preserve">2014; Moore </w:t>
      </w:r>
      <w:r w:rsidR="00A53F04">
        <w:t>et al.</w:t>
      </w:r>
      <w:r w:rsidR="000416AE">
        <w:t xml:space="preserve"> 2018)</w:t>
      </w:r>
      <w:r w:rsidR="00C01CDF">
        <w:t xml:space="preserve"> and</w:t>
      </w:r>
      <w:r w:rsidR="000416AE">
        <w:t xml:space="preserve"> assessing antecedents and concomitants of the schizophrenia spectrum in diverse populations (</w:t>
      </w:r>
      <w:proofErr w:type="spellStart"/>
      <w:r w:rsidR="000416AE">
        <w:t>Kwapil</w:t>
      </w:r>
      <w:proofErr w:type="spellEnd"/>
      <w:r w:rsidR="000416AE">
        <w:t xml:space="preserve"> </w:t>
      </w:r>
      <w:r w:rsidR="00A53F04">
        <w:t>and</w:t>
      </w:r>
      <w:r w:rsidR="000416AE">
        <w:t xml:space="preserve"> </w:t>
      </w:r>
      <w:proofErr w:type="spellStart"/>
      <w:r w:rsidR="000416AE">
        <w:t>Barrantes</w:t>
      </w:r>
      <w:proofErr w:type="spellEnd"/>
      <w:r w:rsidR="000416AE">
        <w:t xml:space="preserve">-Vidal 2015; Raine 2006). </w:t>
      </w:r>
    </w:p>
    <w:p w14:paraId="3B0BBF23" w14:textId="1B1FBE60" w:rsidR="004F78F0" w:rsidRDefault="000416AE">
      <w:pPr>
        <w:spacing w:line="480" w:lineRule="auto"/>
      </w:pPr>
      <w:r>
        <w:tab/>
        <w:t xml:space="preserve">A variety of measures have been developed to assess the construct of </w:t>
      </w:r>
      <w:proofErr w:type="spellStart"/>
      <w:r>
        <w:t>schizotypy</w:t>
      </w:r>
      <w:proofErr w:type="spellEnd"/>
      <w:r>
        <w:t xml:space="preserve"> (for reviews, see </w:t>
      </w:r>
      <w:proofErr w:type="spellStart"/>
      <w:r>
        <w:t>Kwapil</w:t>
      </w:r>
      <w:proofErr w:type="spellEnd"/>
      <w:r>
        <w:t xml:space="preserve"> </w:t>
      </w:r>
      <w:r w:rsidR="00A53F04">
        <w:t>and</w:t>
      </w:r>
      <w:r>
        <w:t xml:space="preserve"> Chun 2015; Mason 2015)</w:t>
      </w:r>
      <w:r w:rsidR="00ED47D7">
        <w:t xml:space="preserve">. </w:t>
      </w:r>
      <w:r w:rsidR="00ED47D7" w:rsidRPr="00E812A7">
        <w:t>These measures broadl</w:t>
      </w:r>
      <w:r w:rsidR="00ED47D7" w:rsidRPr="00220E2F">
        <w:t>y contrast between personality</w:t>
      </w:r>
      <w:r w:rsidR="000D7343" w:rsidRPr="00220E2F">
        <w:t xml:space="preserve"> and</w:t>
      </w:r>
      <w:r w:rsidR="00627A4E" w:rsidRPr="00220E2F">
        <w:t xml:space="preserve"> </w:t>
      </w:r>
      <w:r w:rsidR="00627A4E" w:rsidRPr="00723E4C">
        <w:t>clinical</w:t>
      </w:r>
      <w:r w:rsidR="00ED47D7" w:rsidRPr="00723E4C">
        <w:t xml:space="preserve"> approach</w:t>
      </w:r>
      <w:r w:rsidR="00ED47D7" w:rsidRPr="00615C5C">
        <w:t>es to the measurement of</w:t>
      </w:r>
      <w:r w:rsidR="009C7B07">
        <w:t xml:space="preserve"> </w:t>
      </w:r>
      <w:proofErr w:type="spellStart"/>
      <w:r w:rsidR="009C7B07">
        <w:t>schizotypy</w:t>
      </w:r>
      <w:proofErr w:type="spellEnd"/>
      <w:r w:rsidR="00ED47D7" w:rsidRPr="00615C5C">
        <w:t xml:space="preserve">. </w:t>
      </w:r>
      <w:r w:rsidR="004F78F0" w:rsidRPr="00723E4C">
        <w:t>Originally</w:t>
      </w:r>
      <w:r w:rsidR="004F78F0" w:rsidRPr="00615C5C">
        <w:t xml:space="preserve"> stemming from the </w:t>
      </w:r>
      <w:proofErr w:type="spellStart"/>
      <w:r w:rsidR="004F78F0" w:rsidRPr="00615C5C">
        <w:t>Eysenckian</w:t>
      </w:r>
      <w:proofErr w:type="spellEnd"/>
      <w:r w:rsidR="004F78F0" w:rsidRPr="00615C5C">
        <w:t xml:space="preserve"> approa</w:t>
      </w:r>
      <w:r w:rsidR="004F78F0" w:rsidRPr="00A87D94">
        <w:t>ch of broad personality dimensions</w:t>
      </w:r>
      <w:r w:rsidR="004F78F0">
        <w:t>,</w:t>
      </w:r>
      <w:r w:rsidR="004F78F0" w:rsidRPr="00615C5C">
        <w:t xml:space="preserve"> </w:t>
      </w:r>
      <w:r w:rsidR="004F78F0">
        <w:t>t</w:t>
      </w:r>
      <w:r w:rsidR="00627A4E" w:rsidRPr="00615C5C">
        <w:t xml:space="preserve">he </w:t>
      </w:r>
      <w:r w:rsidR="00627A4E" w:rsidRPr="00A87D94">
        <w:t>personality approach</w:t>
      </w:r>
      <w:r w:rsidR="000D7343" w:rsidRPr="00E812A7">
        <w:t xml:space="preserve"> </w:t>
      </w:r>
      <w:r w:rsidR="004F78F0">
        <w:t xml:space="preserve">attempts to </w:t>
      </w:r>
      <w:r w:rsidR="00627A4E" w:rsidRPr="00E812A7">
        <w:t>identif</w:t>
      </w:r>
      <w:r w:rsidR="004F78F0">
        <w:t>y</w:t>
      </w:r>
      <w:r w:rsidR="00627A4E" w:rsidRPr="00E812A7">
        <w:t xml:space="preserve"> a personality construct</w:t>
      </w:r>
      <w:r w:rsidR="004F78F0">
        <w:t xml:space="preserve"> </w:t>
      </w:r>
      <w:r w:rsidR="00722136" w:rsidRPr="00E812A7">
        <w:t>(Mason</w:t>
      </w:r>
      <w:r w:rsidR="00220E2F">
        <w:t xml:space="preserve"> </w:t>
      </w:r>
      <w:r w:rsidR="00722136" w:rsidRPr="00220E2F">
        <w:t>2015)</w:t>
      </w:r>
      <w:r w:rsidR="004F78F0">
        <w:t xml:space="preserve"> and measures tap </w:t>
      </w:r>
      <w:r w:rsidR="00722136" w:rsidRPr="00E812A7">
        <w:t>phenomena that are theoretically relevant</w:t>
      </w:r>
      <w:r w:rsidR="00E812A7" w:rsidRPr="00E812A7">
        <w:t xml:space="preserve"> (e.g., lack of self-control; Oxford-Liverpool Inventory of Feelings and Experiences, Mason et al. 1995)</w:t>
      </w:r>
      <w:r w:rsidR="004F78F0">
        <w:t>.</w:t>
      </w:r>
      <w:r w:rsidR="00722136" w:rsidRPr="00E812A7">
        <w:t xml:space="preserve"> </w:t>
      </w:r>
      <w:r w:rsidR="00ED47D7" w:rsidRPr="00E812A7">
        <w:t>The clinical</w:t>
      </w:r>
      <w:r w:rsidR="004F78F0">
        <w:t xml:space="preserve"> approach, on the other hand attempts to assess symptom-like criteria and </w:t>
      </w:r>
      <w:r w:rsidR="00ED47D7" w:rsidRPr="00E812A7">
        <w:t>measures conceptualise either single</w:t>
      </w:r>
      <w:r w:rsidR="004F78F0">
        <w:t>-</w:t>
      </w:r>
      <w:r w:rsidR="00ED47D7" w:rsidRPr="00E812A7">
        <w:t xml:space="preserve">symptom constructs (e.g., magical ideation; </w:t>
      </w:r>
      <w:r w:rsidR="00FD7E26" w:rsidRPr="00E812A7">
        <w:t>Magical Ideation Scale</w:t>
      </w:r>
      <w:r w:rsidR="004F78F0">
        <w:t>;</w:t>
      </w:r>
      <w:r w:rsidR="00FD7E26" w:rsidRPr="00E812A7">
        <w:t xml:space="preserve"> </w:t>
      </w:r>
      <w:proofErr w:type="spellStart"/>
      <w:r w:rsidR="00FD7E26" w:rsidRPr="00E812A7">
        <w:t>Eckblad</w:t>
      </w:r>
      <w:proofErr w:type="spellEnd"/>
      <w:r w:rsidR="00FD7E26" w:rsidRPr="00E812A7">
        <w:t xml:space="preserve"> and Chapman 1983)</w:t>
      </w:r>
      <w:r w:rsidR="00ED47D7" w:rsidRPr="00E812A7">
        <w:t xml:space="preserve"> or </w:t>
      </w:r>
      <w:r w:rsidR="00FD7E26" w:rsidRPr="00E812A7">
        <w:rPr>
          <w:color w:val="2A2A2A"/>
          <w:shd w:val="clear" w:color="auto" w:fill="FFFFFF"/>
        </w:rPr>
        <w:t xml:space="preserve">broader </w:t>
      </w:r>
      <w:r w:rsidR="00A55B85" w:rsidRPr="00E812A7">
        <w:rPr>
          <w:color w:val="2A2A2A"/>
          <w:shd w:val="clear" w:color="auto" w:fill="FFFFFF"/>
        </w:rPr>
        <w:t>multidimensional</w:t>
      </w:r>
      <w:r w:rsidR="00A40239" w:rsidRPr="00E812A7">
        <w:rPr>
          <w:color w:val="2A2A2A"/>
          <w:shd w:val="clear" w:color="auto" w:fill="FFFFFF"/>
        </w:rPr>
        <w:t xml:space="preserve"> description</w:t>
      </w:r>
      <w:r w:rsidR="00ED47D7" w:rsidRPr="00E812A7">
        <w:t xml:space="preserve"> (e</w:t>
      </w:r>
      <w:r w:rsidR="00FD7E26" w:rsidRPr="00E812A7">
        <w:t>.</w:t>
      </w:r>
      <w:r w:rsidR="00ED47D7" w:rsidRPr="00E812A7">
        <w:t>g</w:t>
      </w:r>
      <w:r w:rsidR="00FD7E26" w:rsidRPr="00E812A7">
        <w:t>.</w:t>
      </w:r>
      <w:r w:rsidR="00ED47D7" w:rsidRPr="00E812A7">
        <w:t xml:space="preserve">, </w:t>
      </w:r>
      <w:r w:rsidR="00A55B85" w:rsidRPr="00E812A7">
        <w:t>positive, negative, and disorganis</w:t>
      </w:r>
      <w:r w:rsidR="00A55B85" w:rsidRPr="00220E2F">
        <w:t>ed dimensions</w:t>
      </w:r>
      <w:r w:rsidR="00FD7E26" w:rsidRPr="00220E2F">
        <w:t xml:space="preserve">; </w:t>
      </w:r>
      <w:r w:rsidR="00A55B85" w:rsidRPr="00220E2F">
        <w:t xml:space="preserve">Multidimensional </w:t>
      </w:r>
      <w:proofErr w:type="spellStart"/>
      <w:r w:rsidR="00A55B85" w:rsidRPr="00220E2F">
        <w:t>Schizotypy</w:t>
      </w:r>
      <w:proofErr w:type="spellEnd"/>
      <w:r w:rsidR="00A55B85" w:rsidRPr="00220E2F">
        <w:t xml:space="preserve"> Scale</w:t>
      </w:r>
      <w:r w:rsidR="004F78F0">
        <w:t>;</w:t>
      </w:r>
      <w:r w:rsidR="00627A4E" w:rsidRPr="00220E2F">
        <w:t xml:space="preserve"> </w:t>
      </w:r>
      <w:proofErr w:type="spellStart"/>
      <w:r w:rsidR="00A55B85" w:rsidRPr="00220E2F">
        <w:t>Kwapil</w:t>
      </w:r>
      <w:proofErr w:type="spellEnd"/>
      <w:r w:rsidR="00A55B85" w:rsidRPr="00220E2F">
        <w:t xml:space="preserve"> et al. 2018</w:t>
      </w:r>
      <w:r w:rsidR="00ED47D7" w:rsidRPr="00220E2F">
        <w:t>)</w:t>
      </w:r>
      <w:r w:rsidR="00627A4E" w:rsidRPr="00220E2F">
        <w:t>.</w:t>
      </w:r>
      <w:r w:rsidR="00627A4E">
        <w:t xml:space="preserve"> </w:t>
      </w:r>
    </w:p>
    <w:p w14:paraId="1E5CA31A" w14:textId="4CDFB825" w:rsidR="007F1E5E" w:rsidRDefault="00220E2F" w:rsidP="004F78F0">
      <w:pPr>
        <w:spacing w:line="480" w:lineRule="auto"/>
        <w:ind w:firstLine="720"/>
      </w:pPr>
      <w:r>
        <w:t xml:space="preserve">The Schizotypal Personality Questionnaire (SPQ; Raine 1991) is an extensively used self-report tool for the assessment of schizotypal traits in both clinical and non-clinical </w:t>
      </w:r>
      <w:r>
        <w:lastRenderedPageBreak/>
        <w:t>populations (Fonseca-</w:t>
      </w:r>
      <w:proofErr w:type="spellStart"/>
      <w:r>
        <w:t>Pedrero</w:t>
      </w:r>
      <w:proofErr w:type="spellEnd"/>
      <w:r w:rsidR="003930E6">
        <w:t xml:space="preserve"> et al.</w:t>
      </w:r>
      <w:r>
        <w:t xml:space="preserve"> 2014). </w:t>
      </w:r>
      <w:r w:rsidR="00183DE4">
        <w:t xml:space="preserve">The widespread use of the SPQ allows </w:t>
      </w:r>
      <w:r w:rsidR="00A20BCA">
        <w:t>for large-scale cross-national sample comparisons (e.g., Fonseca-</w:t>
      </w:r>
      <w:proofErr w:type="spellStart"/>
      <w:r w:rsidR="00A20BCA">
        <w:t>Pedrero</w:t>
      </w:r>
      <w:proofErr w:type="spellEnd"/>
      <w:r w:rsidR="00A20BCA">
        <w:t xml:space="preserve"> et al. 2018)</w:t>
      </w:r>
      <w:r w:rsidR="004F78F0">
        <w:t xml:space="preserve"> and is</w:t>
      </w:r>
      <w:r w:rsidR="00A20BCA">
        <w:t xml:space="preserve"> therefore a suitable measurement tool when stimulating research on </w:t>
      </w:r>
      <w:proofErr w:type="spellStart"/>
      <w:r w:rsidR="00A20BCA">
        <w:t>schizotypy</w:t>
      </w:r>
      <w:proofErr w:type="spellEnd"/>
      <w:r w:rsidR="00A20BCA">
        <w:t>.</w:t>
      </w:r>
      <w:r>
        <w:t xml:space="preserve"> </w:t>
      </w:r>
      <w:r w:rsidR="00020E43">
        <w:t xml:space="preserve">The SPQ was originally designed by Raine (1991) to assess the multidimensional characteristics of schizotypal personality disorder in the third, revised edition of the </w:t>
      </w:r>
      <w:r w:rsidR="000416AE" w:rsidRPr="00A9625F">
        <w:rPr>
          <w:i/>
        </w:rPr>
        <w:t xml:space="preserve">Diagnostic and Statistical Manual </w:t>
      </w:r>
      <w:r w:rsidR="000416AE" w:rsidRPr="00A9625F">
        <w:t xml:space="preserve">(American Psychiatric Association 1987). </w:t>
      </w:r>
      <w:r w:rsidR="00020E43">
        <w:t xml:space="preserve">The lower-order, 9-factor dimensionality of SPQ scores reliably maps the </w:t>
      </w:r>
      <w:r w:rsidR="004F78F0">
        <w:t>nine</w:t>
      </w:r>
      <w:r w:rsidR="00020E43">
        <w:t xml:space="preserve"> symptoms of schizotypal personality disorder (</w:t>
      </w:r>
      <w:r w:rsidR="000063A5">
        <w:t>SPD</w:t>
      </w:r>
      <w:r w:rsidR="00020E43">
        <w:t xml:space="preserve">), but its higher-order dimensionality has been the subject of some debate. </w:t>
      </w:r>
      <w:r w:rsidR="008B351C">
        <w:t>E</w:t>
      </w:r>
      <w:r w:rsidR="00C61182">
        <w:t xml:space="preserve">arly research using both exploratory factor analysis (EFA) and confirmatory factor analysis (CFA) provided support for a 3-dimensional higher-order model of SPQ scores (e.g., </w:t>
      </w:r>
      <w:r w:rsidR="00C61182" w:rsidRPr="00A9625F">
        <w:t xml:space="preserve">Reynolds </w:t>
      </w:r>
      <w:r w:rsidR="00A53F04">
        <w:t>et al.</w:t>
      </w:r>
      <w:r w:rsidR="004134FA">
        <w:t xml:space="preserve"> </w:t>
      </w:r>
      <w:r w:rsidR="00C61182" w:rsidRPr="00A9625F">
        <w:t xml:space="preserve">2000; Rossi </w:t>
      </w:r>
      <w:r w:rsidR="00A53F04">
        <w:t>and</w:t>
      </w:r>
      <w:r w:rsidR="00C61182" w:rsidRPr="00A9625F">
        <w:t xml:space="preserve"> </w:t>
      </w:r>
      <w:proofErr w:type="spellStart"/>
      <w:r w:rsidR="00C61182" w:rsidRPr="00A9625F">
        <w:t>Daneluzzo</w:t>
      </w:r>
      <w:proofErr w:type="spellEnd"/>
      <w:r w:rsidR="00C61182" w:rsidRPr="00A9625F">
        <w:t xml:space="preserve"> 200</w:t>
      </w:r>
      <w:r w:rsidR="00C61182">
        <w:t>2)</w:t>
      </w:r>
      <w:r w:rsidR="00D64D7A">
        <w:t xml:space="preserve">, consisting of Cognitive-Perceptual, Disorganised, and Interpersonal domains. </w:t>
      </w:r>
    </w:p>
    <w:p w14:paraId="129B1CD7" w14:textId="5FCFDD21" w:rsidR="00C61182" w:rsidRDefault="00C61182" w:rsidP="007F1E5E">
      <w:pPr>
        <w:spacing w:line="480" w:lineRule="auto"/>
        <w:ind w:firstLine="720"/>
      </w:pPr>
      <w:r>
        <w:t xml:space="preserve">However, </w:t>
      </w:r>
      <w:r w:rsidR="00C01CDF">
        <w:t xml:space="preserve">the findings of </w:t>
      </w:r>
      <w:r>
        <w:t>more recent CFA</w:t>
      </w:r>
      <w:r w:rsidR="00C01CDF">
        <w:t>s</w:t>
      </w:r>
      <w:r>
        <w:t xml:space="preserve"> ha</w:t>
      </w:r>
      <w:r w:rsidR="00C01CDF">
        <w:t>ve</w:t>
      </w:r>
      <w:r>
        <w:t xml:space="preserve"> </w:t>
      </w:r>
      <w:r w:rsidR="00C01CDF">
        <w:t>suggested</w:t>
      </w:r>
      <w:r>
        <w:t xml:space="preserve"> that this 3-dimensional model achieves less-than-adequate fit</w:t>
      </w:r>
      <w:r w:rsidR="00020E43" w:rsidRPr="00A9625F">
        <w:t xml:space="preserve"> (e.g., </w:t>
      </w:r>
      <w:r w:rsidR="00020E43" w:rsidRPr="00A9625F">
        <w:rPr>
          <w:noProof/>
        </w:rPr>
        <w:t xml:space="preserve">Cicero 2015; Compton </w:t>
      </w:r>
      <w:r w:rsidR="00A53F04">
        <w:rPr>
          <w:noProof/>
        </w:rPr>
        <w:t>et al.</w:t>
      </w:r>
      <w:r w:rsidR="00020E43" w:rsidRPr="00A9625F">
        <w:rPr>
          <w:noProof/>
        </w:rPr>
        <w:t xml:space="preserve"> 2009; Fonseca-Pedrero </w:t>
      </w:r>
      <w:r w:rsidR="00A53F04">
        <w:rPr>
          <w:noProof/>
        </w:rPr>
        <w:t>and</w:t>
      </w:r>
      <w:r w:rsidR="00020E43" w:rsidRPr="00A9625F">
        <w:rPr>
          <w:noProof/>
        </w:rPr>
        <w:t xml:space="preserve"> Debane 2017; </w:t>
      </w:r>
      <w:r w:rsidR="00020E43" w:rsidRPr="00A9625F">
        <w:t>Fonseca-</w:t>
      </w:r>
      <w:proofErr w:type="spellStart"/>
      <w:r w:rsidR="00020E43" w:rsidRPr="00A9625F">
        <w:t>Pedrero</w:t>
      </w:r>
      <w:proofErr w:type="spellEnd"/>
      <w:r w:rsidR="00020E43" w:rsidRPr="00A9625F">
        <w:t xml:space="preserve"> et al. 2014, 2018)</w:t>
      </w:r>
      <w:r w:rsidR="00420BC0">
        <w:t>. A</w:t>
      </w:r>
      <w:r w:rsidR="00C01CDF">
        <w:t>s a result,</w:t>
      </w:r>
      <w:r>
        <w:t xml:space="preserve"> various alternative higher-order models have been proposed in the literature. These include alternative 3-dimensional models</w:t>
      </w:r>
      <w:r w:rsidR="00020E43" w:rsidRPr="00A9625F">
        <w:t xml:space="preserve"> (e.g., </w:t>
      </w:r>
      <w:proofErr w:type="spellStart"/>
      <w:r w:rsidR="00020E43">
        <w:t>Preti</w:t>
      </w:r>
      <w:proofErr w:type="spellEnd"/>
      <w:r w:rsidR="00020E43">
        <w:t xml:space="preserve"> et al. 2015; </w:t>
      </w:r>
      <w:r w:rsidR="00020E43" w:rsidRPr="00A9625F">
        <w:t xml:space="preserve">Wuthrich </w:t>
      </w:r>
      <w:r w:rsidR="00A53F04">
        <w:t>and</w:t>
      </w:r>
      <w:r w:rsidR="00020E43" w:rsidRPr="00A9625F">
        <w:t xml:space="preserve"> Bates 2006) and </w:t>
      </w:r>
      <w:r>
        <w:t>4-dimensional model</w:t>
      </w:r>
      <w:r w:rsidR="008B351C">
        <w:t>s</w:t>
      </w:r>
      <w:r w:rsidR="00020E43" w:rsidRPr="00A9625F">
        <w:t xml:space="preserve"> (</w:t>
      </w:r>
      <w:r w:rsidR="008B351C">
        <w:t xml:space="preserve">e.g., Compton et al. 2009; </w:t>
      </w:r>
      <w:proofErr w:type="spellStart"/>
      <w:r w:rsidR="008B351C">
        <w:t>Stefanis</w:t>
      </w:r>
      <w:proofErr w:type="spellEnd"/>
      <w:r w:rsidR="008B351C">
        <w:t xml:space="preserve"> et al. 2004</w:t>
      </w:r>
      <w:r w:rsidR="00020E43" w:rsidRPr="00A9625F">
        <w:t>)</w:t>
      </w:r>
      <w:r>
        <w:t xml:space="preserve"> consisting of </w:t>
      </w:r>
      <w:r w:rsidR="00D64D7A">
        <w:t>C</w:t>
      </w:r>
      <w:r>
        <w:t>ognitive-</w:t>
      </w:r>
      <w:r w:rsidR="00D64D7A">
        <w:t>P</w:t>
      </w:r>
      <w:r>
        <w:t xml:space="preserve">erceptual, </w:t>
      </w:r>
      <w:r w:rsidR="00D64D7A">
        <w:t>P</w:t>
      </w:r>
      <w:r>
        <w:t xml:space="preserve">aranoid, </w:t>
      </w:r>
      <w:r w:rsidR="00D64D7A">
        <w:t>N</w:t>
      </w:r>
      <w:r>
        <w:t xml:space="preserve">egative, and </w:t>
      </w:r>
      <w:r w:rsidR="00D64D7A">
        <w:t>D</w:t>
      </w:r>
      <w:r>
        <w:t xml:space="preserve">isorganised domains. In the past decade, the </w:t>
      </w:r>
      <w:r w:rsidR="00C01CDF">
        <w:t>latter</w:t>
      </w:r>
      <w:r>
        <w:t xml:space="preserve"> has emerged as the most prominent model of SPQ higher-order dimensionality (see </w:t>
      </w:r>
      <w:r w:rsidRPr="00A9625F">
        <w:rPr>
          <w:noProof/>
        </w:rPr>
        <w:t>Cicero 2005; Compton et al. 2009</w:t>
      </w:r>
      <w:r>
        <w:rPr>
          <w:noProof/>
        </w:rPr>
        <w:t>; Gross 2014</w:t>
      </w:r>
      <w:r w:rsidRPr="00A9625F">
        <w:rPr>
          <w:noProof/>
        </w:rPr>
        <w:t>)</w:t>
      </w:r>
      <w:r>
        <w:t xml:space="preserve">. In North American samples, for example, </w:t>
      </w:r>
      <w:proofErr w:type="spellStart"/>
      <w:r w:rsidR="008B351C">
        <w:t>Stefanis</w:t>
      </w:r>
      <w:proofErr w:type="spellEnd"/>
      <w:r w:rsidR="008B351C">
        <w:t xml:space="preserve"> and colleague’s (2004)</w:t>
      </w:r>
      <w:r>
        <w:t xml:space="preserve"> 4-dimensional model ha</w:t>
      </w:r>
      <w:r w:rsidR="00420BC0">
        <w:t>d</w:t>
      </w:r>
      <w:r>
        <w:t xml:space="preserve"> superior fit over all alternative higher-order models that </w:t>
      </w:r>
      <w:r w:rsidR="00420BC0">
        <w:t>were</w:t>
      </w:r>
      <w:r>
        <w:t xml:space="preserve"> tested for</w:t>
      </w:r>
      <w:r w:rsidR="00420BC0">
        <w:t xml:space="preserve"> CFA</w:t>
      </w:r>
      <w:r>
        <w:t xml:space="preserve"> fit (Compton et al. 2009)</w:t>
      </w:r>
      <w:r w:rsidR="002C670F">
        <w:t>, irrespective of specific model pathways that were tested.</w:t>
      </w:r>
    </w:p>
    <w:p w14:paraId="4FA00235" w14:textId="135019A5" w:rsidR="002C670F" w:rsidRDefault="00127013" w:rsidP="002C670F">
      <w:pPr>
        <w:spacing w:line="480" w:lineRule="auto"/>
      </w:pPr>
      <w:r>
        <w:lastRenderedPageBreak/>
        <w:tab/>
        <w:t xml:space="preserve">In contrast, there remains some debate about the higher-order dimensionality of SPQ scores outside predominantly English-speaking, North American populations. Studies that have been conducted </w:t>
      </w:r>
      <w:r w:rsidR="00C01CDF">
        <w:t>in non-English populations</w:t>
      </w:r>
      <w:r>
        <w:t xml:space="preserve"> generally indicate that both</w:t>
      </w:r>
      <w:r w:rsidR="008B351C">
        <w:t xml:space="preserve"> </w:t>
      </w:r>
      <w:proofErr w:type="spellStart"/>
      <w:r w:rsidR="008B351C">
        <w:t>Stefanis</w:t>
      </w:r>
      <w:proofErr w:type="spellEnd"/>
      <w:r w:rsidR="008B351C">
        <w:t xml:space="preserve"> et al.’s (2004)</w:t>
      </w:r>
      <w:r>
        <w:t xml:space="preserve"> 4-dimensional model and Raine </w:t>
      </w:r>
      <w:r w:rsidR="00C01CDF">
        <w:t>et al.</w:t>
      </w:r>
      <w:r>
        <w:t>’s (1994) 3-dimensional model</w:t>
      </w:r>
      <w:r w:rsidR="007154A2">
        <w:t xml:space="preserve"> both</w:t>
      </w:r>
      <w:r>
        <w:t xml:space="preserve"> achieve adequate fit, with the former usually – though not always (see </w:t>
      </w:r>
      <w:proofErr w:type="spellStart"/>
      <w:r w:rsidRPr="00A9625F">
        <w:t>Badoud</w:t>
      </w:r>
      <w:proofErr w:type="spellEnd"/>
      <w:r w:rsidRPr="00A9625F">
        <w:t xml:space="preserve"> </w:t>
      </w:r>
      <w:r w:rsidR="00A53F04">
        <w:t>et al.</w:t>
      </w:r>
      <w:r w:rsidRPr="00A9625F">
        <w:t xml:space="preserve"> 2010)</w:t>
      </w:r>
      <w:r>
        <w:t xml:space="preserve"> – showing superior CFA </w:t>
      </w:r>
      <w:r w:rsidR="00C01CDF">
        <w:t>fit</w:t>
      </w:r>
      <w:r w:rsidR="00BA5500" w:rsidRPr="00A9625F">
        <w:t xml:space="preserve"> (e.g.,</w:t>
      </w:r>
      <w:r>
        <w:t xml:space="preserve"> </w:t>
      </w:r>
      <w:r w:rsidRPr="00A9625F">
        <w:rPr>
          <w:noProof/>
        </w:rPr>
        <w:t>Barron</w:t>
      </w:r>
      <w:r w:rsidR="005C311B">
        <w:rPr>
          <w:noProof/>
        </w:rPr>
        <w:t xml:space="preserve"> et al. 2014,</w:t>
      </w:r>
      <w:r w:rsidRPr="00A9625F">
        <w:rPr>
          <w:noProof/>
        </w:rPr>
        <w:t xml:space="preserve"> 201</w:t>
      </w:r>
      <w:r w:rsidR="003803B7">
        <w:rPr>
          <w:noProof/>
        </w:rPr>
        <w:t>8</w:t>
      </w:r>
      <w:r w:rsidR="005C311B">
        <w:rPr>
          <w:noProof/>
        </w:rPr>
        <w:t>a, 2018b</w:t>
      </w:r>
      <w:r w:rsidR="00BA5500" w:rsidRPr="00A9625F">
        <w:rPr>
          <w:noProof/>
        </w:rPr>
        <w:t xml:space="preserve">; Cicero 2015; </w:t>
      </w:r>
      <w:proofErr w:type="spellStart"/>
      <w:r w:rsidR="00BA5500" w:rsidRPr="00A9625F">
        <w:t>Mechri</w:t>
      </w:r>
      <w:proofErr w:type="spellEnd"/>
      <w:r w:rsidR="00BA5500" w:rsidRPr="00A9625F">
        <w:t xml:space="preserve"> et al. 2010)</w:t>
      </w:r>
      <w:r>
        <w:t>.</w:t>
      </w:r>
      <w:r w:rsidR="008B351C">
        <w:t xml:space="preserve"> </w:t>
      </w:r>
      <w:r w:rsidR="00A7617C">
        <w:t>In</w:t>
      </w:r>
      <w:r w:rsidR="00C01CDF">
        <w:t>deed, in</w:t>
      </w:r>
      <w:r w:rsidR="00A7617C">
        <w:t xml:space="preserve"> the largest cross-cultural study to date, Fonseca-</w:t>
      </w:r>
      <w:proofErr w:type="spellStart"/>
      <w:r w:rsidR="00A7617C">
        <w:t>Pedrero</w:t>
      </w:r>
      <w:proofErr w:type="spellEnd"/>
      <w:r w:rsidR="00A7617C">
        <w:t xml:space="preserve"> and colleagues (2018) examined the higher-order dimensionality of SPQ scores in 27,001 participants from 12 countries</w:t>
      </w:r>
      <w:r w:rsidR="00C01CDF">
        <w:t xml:space="preserve"> and found that </w:t>
      </w:r>
      <w:r w:rsidR="00A7617C">
        <w:t>both the original 3- and 4-dimensional models achieved adequate fit</w:t>
      </w:r>
      <w:r w:rsidR="00C01CDF">
        <w:t xml:space="preserve">. Of the two models, however, </w:t>
      </w:r>
      <w:r w:rsidR="00A7617C">
        <w:t>the latter had relatively better fit indices</w:t>
      </w:r>
      <w:r w:rsidR="00C01CDF">
        <w:t xml:space="preserve">, which allowed the authors to conclude that </w:t>
      </w:r>
      <w:r w:rsidR="00A7617C">
        <w:t>a 4-dimensional model of higher-order SPQ scores may be superior to alternative models cross-nationally (Fonseca-</w:t>
      </w:r>
      <w:proofErr w:type="spellStart"/>
      <w:r w:rsidR="00A7617C">
        <w:t>Pedrero</w:t>
      </w:r>
      <w:proofErr w:type="spellEnd"/>
      <w:r w:rsidR="00A7617C">
        <w:t xml:space="preserve"> et al. 2018)</w:t>
      </w:r>
      <w:r w:rsidR="002C670F">
        <w:t xml:space="preserve">. </w:t>
      </w:r>
    </w:p>
    <w:p w14:paraId="2B1BA629" w14:textId="5E19CCB3" w:rsidR="00BA5500" w:rsidRDefault="009632F3" w:rsidP="00BA5500">
      <w:pPr>
        <w:spacing w:line="480" w:lineRule="auto"/>
      </w:pPr>
      <w:r>
        <w:tab/>
        <w:t>Beyond the higher-order dimensionality of its scores in disparate cultural and linguistic group</w:t>
      </w:r>
      <w:r w:rsidR="00C01CDF">
        <w:t>s</w:t>
      </w:r>
      <w:r>
        <w:t xml:space="preserve">, </w:t>
      </w:r>
      <w:r w:rsidR="00C01CDF">
        <w:t xml:space="preserve">studies in different populations have </w:t>
      </w:r>
      <w:r>
        <w:t>support</w:t>
      </w:r>
      <w:r w:rsidR="00C01CDF">
        <w:t>ed</w:t>
      </w:r>
      <w:r>
        <w:t xml:space="preserve"> the sex invariance of SPQ scores when operationalised in terms of both the 3-dimensional</w:t>
      </w:r>
      <w:r w:rsidR="00BA5500">
        <w:t xml:space="preserve"> (e.g., </w:t>
      </w:r>
      <w:r w:rsidR="00BA5500" w:rsidRPr="00A9625F">
        <w:rPr>
          <w:noProof/>
        </w:rPr>
        <w:t xml:space="preserve">Badcock </w:t>
      </w:r>
      <w:r w:rsidR="005C311B">
        <w:rPr>
          <w:noProof/>
        </w:rPr>
        <w:t>and</w:t>
      </w:r>
      <w:r w:rsidR="00BA5500" w:rsidRPr="00A9625F">
        <w:rPr>
          <w:noProof/>
        </w:rPr>
        <w:t xml:space="preserve"> Dragović 2006</w:t>
      </w:r>
      <w:r w:rsidR="00BA5500">
        <w:rPr>
          <w:noProof/>
        </w:rPr>
        <w:t xml:space="preserve">) and </w:t>
      </w:r>
      <w:r>
        <w:rPr>
          <w:noProof/>
        </w:rPr>
        <w:t>4-dimensional</w:t>
      </w:r>
      <w:r w:rsidR="00BA5500">
        <w:rPr>
          <w:noProof/>
        </w:rPr>
        <w:t xml:space="preserve"> models (e.g., Barron</w:t>
      </w:r>
      <w:r w:rsidR="005C311B">
        <w:rPr>
          <w:noProof/>
        </w:rPr>
        <w:t xml:space="preserve"> et al. </w:t>
      </w:r>
      <w:r w:rsidR="00BA5500">
        <w:rPr>
          <w:noProof/>
        </w:rPr>
        <w:t>2018</w:t>
      </w:r>
      <w:r w:rsidR="005C311B">
        <w:rPr>
          <w:noProof/>
        </w:rPr>
        <w:t>b</w:t>
      </w:r>
      <w:r w:rsidR="00BA5500">
        <w:rPr>
          <w:noProof/>
        </w:rPr>
        <w:t xml:space="preserve">; </w:t>
      </w:r>
      <w:proofErr w:type="spellStart"/>
      <w:r w:rsidR="00BA5500">
        <w:t>Tsaousis</w:t>
      </w:r>
      <w:proofErr w:type="spellEnd"/>
      <w:r w:rsidR="005C311B">
        <w:t xml:space="preserve"> et al.</w:t>
      </w:r>
      <w:r w:rsidR="00BA5500">
        <w:t xml:space="preserve"> 2015). </w:t>
      </w:r>
      <w:r>
        <w:t xml:space="preserve">This, in turn, has allowed for </w:t>
      </w:r>
      <w:r w:rsidR="00BB7116">
        <w:t xml:space="preserve">assessments of sex differences on latent scores, with studies generally showing that men have significantly higher scores than women </w:t>
      </w:r>
      <w:r w:rsidR="00BA5500">
        <w:t xml:space="preserve">on the </w:t>
      </w:r>
      <w:r w:rsidR="00D64D7A">
        <w:t>N</w:t>
      </w:r>
      <w:r w:rsidR="00BA5500">
        <w:t xml:space="preserve">egative and </w:t>
      </w:r>
      <w:r w:rsidR="00D64D7A">
        <w:t>D</w:t>
      </w:r>
      <w:r w:rsidR="00BA5500">
        <w:t xml:space="preserve">isorganised domains (e.g., </w:t>
      </w:r>
      <w:proofErr w:type="spellStart"/>
      <w:r w:rsidR="00BA5500">
        <w:t>Fossati</w:t>
      </w:r>
      <w:proofErr w:type="spellEnd"/>
      <w:r w:rsidR="005C311B">
        <w:t xml:space="preserve"> et al.</w:t>
      </w:r>
      <w:r w:rsidR="00BA5500">
        <w:t xml:space="preserve"> 2003; Raine 1992). </w:t>
      </w:r>
      <w:r w:rsidR="00BB7116">
        <w:t xml:space="preserve">In contrast, sex differences on the positive dimension – or </w:t>
      </w:r>
      <w:r w:rsidR="00D64D7A">
        <w:t>C</w:t>
      </w:r>
      <w:r w:rsidR="00BB7116">
        <w:t>ognitive-</w:t>
      </w:r>
      <w:r w:rsidR="00D64D7A">
        <w:t>P</w:t>
      </w:r>
      <w:r w:rsidR="00BB7116">
        <w:t xml:space="preserve">erceptual and </w:t>
      </w:r>
      <w:r w:rsidR="00D64D7A">
        <w:t>P</w:t>
      </w:r>
      <w:r w:rsidR="00BB7116">
        <w:t>aranoid dimensions – are mixed, with some studies reporting that women have significantly higher scores</w:t>
      </w:r>
      <w:r w:rsidR="00BA5500">
        <w:t xml:space="preserve"> (e.g., </w:t>
      </w:r>
      <w:proofErr w:type="spellStart"/>
      <w:r w:rsidR="00BA5500">
        <w:t>Fossati</w:t>
      </w:r>
      <w:proofErr w:type="spellEnd"/>
      <w:r w:rsidR="00BA5500">
        <w:t xml:space="preserve"> et al. 2003) and others reporting no significant sex differences (e.g., Miller </w:t>
      </w:r>
      <w:r w:rsidR="005C311B">
        <w:t>and</w:t>
      </w:r>
      <w:r w:rsidR="00BA5500">
        <w:t xml:space="preserve"> Burns 1995). </w:t>
      </w:r>
      <w:r w:rsidR="0087481D">
        <w:t xml:space="preserve">These equivocal findings may reflect the fact that reported sex differences tend to be </w:t>
      </w:r>
      <w:r w:rsidR="00C01CDF">
        <w:t>negligible-to-</w:t>
      </w:r>
      <w:r w:rsidR="0087481D">
        <w:t xml:space="preserve">small and </w:t>
      </w:r>
      <w:r w:rsidR="00C01CDF">
        <w:t xml:space="preserve">that sex </w:t>
      </w:r>
      <w:r w:rsidR="0087481D">
        <w:t>may intersect in complex ways with cultural or linguistic backgrounds</w:t>
      </w:r>
      <w:r w:rsidR="00C01CDF">
        <w:t xml:space="preserve"> to influence schizotypal outcomes</w:t>
      </w:r>
      <w:r w:rsidR="0087481D">
        <w:t xml:space="preserve"> (</w:t>
      </w:r>
      <w:r w:rsidR="00BA5500">
        <w:t>Barron et al. 201</w:t>
      </w:r>
      <w:r w:rsidR="003803B7">
        <w:t>8</w:t>
      </w:r>
      <w:r w:rsidR="005C311B">
        <w:t>a</w:t>
      </w:r>
      <w:r w:rsidR="00BA5500">
        <w:t>)</w:t>
      </w:r>
      <w:r w:rsidR="0087481D">
        <w:t>.</w:t>
      </w:r>
    </w:p>
    <w:p w14:paraId="5EC24756" w14:textId="095AC997" w:rsidR="0034444E" w:rsidRDefault="001C433D" w:rsidP="00BA5500">
      <w:pPr>
        <w:spacing w:line="480" w:lineRule="auto"/>
        <w:rPr>
          <w:noProof/>
        </w:rPr>
      </w:pPr>
      <w:r>
        <w:lastRenderedPageBreak/>
        <w:tab/>
        <w:t>Finally, studies also support the broader psychometric properties of SPQ scores</w:t>
      </w:r>
      <w:r w:rsidR="009E7143">
        <w:t xml:space="preserve"> through significant associations with clinical, functional, and cognitive correlates of psychosis</w:t>
      </w:r>
      <w:r w:rsidR="00BA5500">
        <w:rPr>
          <w:noProof/>
        </w:rPr>
        <w:t xml:space="preserve"> (e.g., Cohen</w:t>
      </w:r>
      <w:r w:rsidR="005C311B">
        <w:rPr>
          <w:noProof/>
        </w:rPr>
        <w:t xml:space="preserve"> et al.</w:t>
      </w:r>
      <w:r w:rsidR="00BA5500">
        <w:rPr>
          <w:noProof/>
        </w:rPr>
        <w:t xml:space="preserve"> 2012</w:t>
      </w:r>
      <w:r w:rsidR="007B479A">
        <w:rPr>
          <w:noProof/>
        </w:rPr>
        <w:t>; Rabella et al. 2018</w:t>
      </w:r>
      <w:r w:rsidR="00BA5500">
        <w:rPr>
          <w:noProof/>
        </w:rPr>
        <w:t xml:space="preserve">). </w:t>
      </w:r>
      <w:r w:rsidR="009E7143">
        <w:rPr>
          <w:noProof/>
        </w:rPr>
        <w:t>SPQ scores are also reliably associated with self-reported quality of life</w:t>
      </w:r>
      <w:r w:rsidR="00BA5500">
        <w:rPr>
          <w:noProof/>
        </w:rPr>
        <w:t xml:space="preserve"> (e.g., Brosey </w:t>
      </w:r>
      <w:r w:rsidR="005C311B">
        <w:rPr>
          <w:noProof/>
        </w:rPr>
        <w:t>and</w:t>
      </w:r>
      <w:r w:rsidR="00BA5500">
        <w:rPr>
          <w:noProof/>
        </w:rPr>
        <w:t xml:space="preserve"> Woodward 2015; Cohen </w:t>
      </w:r>
      <w:r w:rsidR="005C311B">
        <w:rPr>
          <w:noProof/>
        </w:rPr>
        <w:t>and</w:t>
      </w:r>
      <w:r w:rsidR="00BA5500">
        <w:rPr>
          <w:noProof/>
        </w:rPr>
        <w:t xml:space="preserve"> Davis 2009; Ritsner</w:t>
      </w:r>
      <w:r w:rsidR="005C311B">
        <w:rPr>
          <w:noProof/>
        </w:rPr>
        <w:t xml:space="preserve"> et al.</w:t>
      </w:r>
      <w:r w:rsidR="00BA5500">
        <w:rPr>
          <w:noProof/>
        </w:rPr>
        <w:t xml:space="preserve"> 2005)</w:t>
      </w:r>
      <w:r w:rsidR="009E7143">
        <w:rPr>
          <w:noProof/>
        </w:rPr>
        <w:t xml:space="preserve">, with the </w:t>
      </w:r>
      <w:r w:rsidR="00D64D7A">
        <w:rPr>
          <w:noProof/>
        </w:rPr>
        <w:t>N</w:t>
      </w:r>
      <w:r w:rsidR="009E7143">
        <w:rPr>
          <w:noProof/>
        </w:rPr>
        <w:t>egative dimension accounting for most of the unique variance</w:t>
      </w:r>
      <w:r w:rsidR="00BA5500">
        <w:rPr>
          <w:noProof/>
        </w:rPr>
        <w:t xml:space="preserve"> (Abbott </w:t>
      </w:r>
      <w:r w:rsidR="005C311B">
        <w:rPr>
          <w:noProof/>
        </w:rPr>
        <w:t>and</w:t>
      </w:r>
      <w:r w:rsidR="00BA5500">
        <w:rPr>
          <w:noProof/>
        </w:rPr>
        <w:t xml:space="preserve"> Byrne 2012; Cohen </w:t>
      </w:r>
      <w:r w:rsidR="005C311B">
        <w:rPr>
          <w:noProof/>
        </w:rPr>
        <w:t>and</w:t>
      </w:r>
      <w:r w:rsidR="00BA5500">
        <w:rPr>
          <w:noProof/>
        </w:rPr>
        <w:t xml:space="preserve"> Davis 2009). </w:t>
      </w:r>
      <w:r w:rsidR="009E7143">
        <w:rPr>
          <w:noProof/>
        </w:rPr>
        <w:t>Other studies have reported that SPQ scores – particularly</w:t>
      </w:r>
      <w:r w:rsidR="008E6414">
        <w:rPr>
          <w:noProof/>
        </w:rPr>
        <w:t xml:space="preserve"> on</w:t>
      </w:r>
      <w:r w:rsidR="009E7143">
        <w:rPr>
          <w:noProof/>
        </w:rPr>
        <w:t xml:space="preserve"> the </w:t>
      </w:r>
      <w:r w:rsidR="00D64D7A">
        <w:rPr>
          <w:noProof/>
        </w:rPr>
        <w:t>N</w:t>
      </w:r>
      <w:r w:rsidR="009E7143">
        <w:rPr>
          <w:noProof/>
        </w:rPr>
        <w:t xml:space="preserve">egative dimension – are significantly associated with </w:t>
      </w:r>
      <w:r w:rsidR="0034444E">
        <w:rPr>
          <w:noProof/>
        </w:rPr>
        <w:t>lower objective and subjective well-being (e.g., self-esteem, life satisfaction)</w:t>
      </w:r>
      <w:r w:rsidR="009E7143">
        <w:rPr>
          <w:noProof/>
        </w:rPr>
        <w:t xml:space="preserve"> (e.g., </w:t>
      </w:r>
      <w:r w:rsidR="0034444E">
        <w:rPr>
          <w:noProof/>
        </w:rPr>
        <w:t xml:space="preserve">Abbott </w:t>
      </w:r>
      <w:r w:rsidR="005C311B">
        <w:rPr>
          <w:noProof/>
        </w:rPr>
        <w:t>and</w:t>
      </w:r>
      <w:r w:rsidR="0034444E">
        <w:rPr>
          <w:noProof/>
        </w:rPr>
        <w:t xml:space="preserve"> Byrne 2012; </w:t>
      </w:r>
      <w:r w:rsidR="009E7143">
        <w:rPr>
          <w:noProof/>
        </w:rPr>
        <w:t>Barrantes-Vidal</w:t>
      </w:r>
      <w:r w:rsidR="005C311B">
        <w:rPr>
          <w:noProof/>
        </w:rPr>
        <w:t xml:space="preserve"> et al.</w:t>
      </w:r>
      <w:r w:rsidR="009E7143">
        <w:rPr>
          <w:noProof/>
        </w:rPr>
        <w:t xml:space="preserve"> 2013)</w:t>
      </w:r>
      <w:r w:rsidR="0034444E">
        <w:rPr>
          <w:noProof/>
        </w:rPr>
        <w:t xml:space="preserve">. These associations both provide support for the construct validity of SPQ scores and suggest that diminished subjective well-being and quality of life are characteristic </w:t>
      </w:r>
      <w:r w:rsidR="00BA5500">
        <w:rPr>
          <w:noProof/>
        </w:rPr>
        <w:t>along the schizophrenia spectrum</w:t>
      </w:r>
      <w:r w:rsidR="0034444E">
        <w:rPr>
          <w:noProof/>
        </w:rPr>
        <w:t xml:space="preserve">, even among individuals with subclinical manifestations of psychosis. </w:t>
      </w:r>
    </w:p>
    <w:p w14:paraId="5E37A347" w14:textId="09A5AA24" w:rsidR="00BA5500" w:rsidRPr="00550099" w:rsidRDefault="00F44AA4" w:rsidP="00E24CCE">
      <w:pPr>
        <w:pStyle w:val="Heading2"/>
        <w:rPr>
          <w:b w:val="0"/>
          <w:noProof/>
        </w:rPr>
      </w:pPr>
      <w:r>
        <w:rPr>
          <w:noProof/>
        </w:rPr>
        <w:t xml:space="preserve">1.1 </w:t>
      </w:r>
      <w:r w:rsidR="00BA5500">
        <w:rPr>
          <w:noProof/>
        </w:rPr>
        <w:t>The Present Study</w:t>
      </w:r>
    </w:p>
    <w:p w14:paraId="177FD05C" w14:textId="3DA83EC8" w:rsidR="00C01CDF" w:rsidRDefault="00BA5500" w:rsidP="00BA5500">
      <w:pPr>
        <w:spacing w:line="480" w:lineRule="auto"/>
        <w:rPr>
          <w:noProof/>
        </w:rPr>
      </w:pPr>
      <w:r>
        <w:rPr>
          <w:noProof/>
        </w:rPr>
        <w:tab/>
      </w:r>
      <w:r w:rsidR="00C01CDF">
        <w:rPr>
          <w:noProof/>
        </w:rPr>
        <w:t>In the present study, we sought to contribute to the cross-national literature on the SPQ by examining the higher-order dimensionality and psychometric properties of a Romanian</w:t>
      </w:r>
      <w:r w:rsidR="006C1203">
        <w:rPr>
          <w:noProof/>
        </w:rPr>
        <w:t xml:space="preserve"> (</w:t>
      </w:r>
      <w:proofErr w:type="spellStart"/>
      <w:r w:rsidR="006C1203" w:rsidRPr="007A49E1">
        <w:rPr>
          <w:i/>
          <w:iCs/>
          <w:color w:val="252525"/>
        </w:rPr>
        <w:t>limba</w:t>
      </w:r>
      <w:proofErr w:type="spellEnd"/>
      <w:r w:rsidR="006C1203" w:rsidRPr="007A49E1">
        <w:rPr>
          <w:i/>
          <w:iCs/>
          <w:color w:val="252525"/>
        </w:rPr>
        <w:t xml:space="preserve"> </w:t>
      </w:r>
      <w:proofErr w:type="spellStart"/>
      <w:r w:rsidR="006C1203" w:rsidRPr="007A49E1">
        <w:rPr>
          <w:i/>
          <w:iCs/>
          <w:color w:val="252525"/>
        </w:rPr>
        <w:t>română</w:t>
      </w:r>
      <w:proofErr w:type="spellEnd"/>
      <w:r w:rsidR="006C1203" w:rsidRPr="007A49E1">
        <w:rPr>
          <w:color w:val="252525"/>
          <w:shd w:val="clear" w:color="auto" w:fill="FFFFFF"/>
        </w:rPr>
        <w:t xml:space="preserve"> or </w:t>
      </w:r>
      <w:proofErr w:type="spellStart"/>
      <w:r w:rsidR="006C1203" w:rsidRPr="007A49E1">
        <w:rPr>
          <w:color w:val="252525"/>
          <w:shd w:val="clear" w:color="auto" w:fill="FFFFFF"/>
        </w:rPr>
        <w:t>лимба</w:t>
      </w:r>
      <w:proofErr w:type="spellEnd"/>
      <w:r w:rsidR="006C1203" w:rsidRPr="007A49E1">
        <w:rPr>
          <w:color w:val="252525"/>
          <w:shd w:val="clear" w:color="auto" w:fill="FFFFFF"/>
        </w:rPr>
        <w:t xml:space="preserve"> </w:t>
      </w:r>
      <w:proofErr w:type="spellStart"/>
      <w:r w:rsidR="006C1203" w:rsidRPr="007A49E1">
        <w:rPr>
          <w:color w:val="252525"/>
          <w:shd w:val="clear" w:color="auto" w:fill="FFFFFF"/>
        </w:rPr>
        <w:t>ромынэ</w:t>
      </w:r>
      <w:proofErr w:type="spellEnd"/>
      <w:r w:rsidR="006C1203" w:rsidRPr="007A49E1">
        <w:rPr>
          <w:color w:val="252525"/>
          <w:shd w:val="clear" w:color="auto" w:fill="FFFFFF"/>
        </w:rPr>
        <w:t xml:space="preserve"> in</w:t>
      </w:r>
      <w:r w:rsidR="006C1203" w:rsidRPr="007A49E1">
        <w:rPr>
          <w:rStyle w:val="apple-converted-space"/>
          <w:color w:val="252525"/>
          <w:shd w:val="clear" w:color="auto" w:fill="FFFFFF"/>
        </w:rPr>
        <w:t> </w:t>
      </w:r>
      <w:r w:rsidR="006C1203" w:rsidRPr="007A49E1">
        <w:t>Moldovan Cyrillic</w:t>
      </w:r>
      <w:r w:rsidR="006C1203">
        <w:t>)</w:t>
      </w:r>
      <w:r w:rsidR="00C01CDF">
        <w:rPr>
          <w:noProof/>
        </w:rPr>
        <w:t xml:space="preserve"> translation of the instrument. </w:t>
      </w:r>
      <w:r w:rsidR="006C1203">
        <w:rPr>
          <w:noProof/>
        </w:rPr>
        <w:t>We suggest that doing so is important for several reasons. First, Romanian is spoken by about 24 million people as a first language</w:t>
      </w:r>
      <w:r w:rsidR="00EA1A54">
        <w:rPr>
          <w:noProof/>
        </w:rPr>
        <w:t xml:space="preserve">, mainly in Romania and Moldova, as well as by several million more as a second language (European Commission 2012). The availability of a Romanian version of the SPQ would, therefore, provide a </w:t>
      </w:r>
      <w:r w:rsidR="009A5838">
        <w:rPr>
          <w:noProof/>
        </w:rPr>
        <w:t xml:space="preserve">valuable </w:t>
      </w:r>
      <w:r w:rsidR="00EA1A54">
        <w:rPr>
          <w:noProof/>
        </w:rPr>
        <w:t xml:space="preserve">tool </w:t>
      </w:r>
      <w:r w:rsidR="00EA2CAC">
        <w:rPr>
          <w:noProof/>
        </w:rPr>
        <w:t>for a relatively neglected</w:t>
      </w:r>
      <w:r w:rsidR="009A5838">
        <w:rPr>
          <w:noProof/>
        </w:rPr>
        <w:t xml:space="preserve"> linguistic group in which improved diagnostic and research instruments are urgently required (Sfetcu</w:t>
      </w:r>
      <w:r w:rsidR="005C311B">
        <w:rPr>
          <w:noProof/>
        </w:rPr>
        <w:t xml:space="preserve"> et al.</w:t>
      </w:r>
      <w:r w:rsidR="009A5838">
        <w:rPr>
          <w:noProof/>
        </w:rPr>
        <w:t xml:space="preserve"> 2011)</w:t>
      </w:r>
      <w:r w:rsidR="00EA2CAC">
        <w:rPr>
          <w:noProof/>
        </w:rPr>
        <w:t>. To be sure, the SPQ does appear to have been used with a Romanian-speaking sample (Mihalca</w:t>
      </w:r>
      <w:r w:rsidR="005C311B">
        <w:rPr>
          <w:noProof/>
        </w:rPr>
        <w:t xml:space="preserve"> et al.</w:t>
      </w:r>
      <w:r w:rsidR="00EA2CAC">
        <w:rPr>
          <w:noProof/>
        </w:rPr>
        <w:t xml:space="preserve"> 2011), although the translational procedures used by these authors (i.e., forward-translation alone) was likely deficient (for a </w:t>
      </w:r>
      <w:r w:rsidR="00EA2CAC">
        <w:rPr>
          <w:noProof/>
        </w:rPr>
        <w:lastRenderedPageBreak/>
        <w:t xml:space="preserve">discussion, see Swami </w:t>
      </w:r>
      <w:r w:rsidR="005C311B">
        <w:rPr>
          <w:noProof/>
        </w:rPr>
        <w:t>and</w:t>
      </w:r>
      <w:r w:rsidR="00EA2CAC">
        <w:rPr>
          <w:noProof/>
        </w:rPr>
        <w:t xml:space="preserve"> Barron 2019). Moreover, only </w:t>
      </w:r>
      <w:r w:rsidR="007154A2">
        <w:rPr>
          <w:noProof/>
        </w:rPr>
        <w:t>6</w:t>
      </w:r>
      <w:r w:rsidR="00EA2CAC">
        <w:rPr>
          <w:noProof/>
        </w:rPr>
        <w:t xml:space="preserve"> of the </w:t>
      </w:r>
      <w:r w:rsidR="007154A2">
        <w:rPr>
          <w:noProof/>
        </w:rPr>
        <w:t>9</w:t>
      </w:r>
      <w:r w:rsidR="00EA2CAC">
        <w:rPr>
          <w:noProof/>
        </w:rPr>
        <w:t xml:space="preserve"> SPQ subscales were translated and the authors did not examine the higher-order dimensionality of SPQ scores. </w:t>
      </w:r>
    </w:p>
    <w:p w14:paraId="1D690CAD" w14:textId="2FA4F173" w:rsidR="00EA2CAC" w:rsidRDefault="00EA2CAC" w:rsidP="00BA5500">
      <w:pPr>
        <w:spacing w:line="480" w:lineRule="auto"/>
        <w:rPr>
          <w:noProof/>
        </w:rPr>
      </w:pPr>
      <w:r>
        <w:rPr>
          <w:noProof/>
        </w:rPr>
        <w:tab/>
        <w:t xml:space="preserve">To overcome these issues, </w:t>
      </w:r>
      <w:r w:rsidR="009A5838">
        <w:rPr>
          <w:noProof/>
        </w:rPr>
        <w:t xml:space="preserve">we prepared a fresh translation of the SPQ in Romanian following best-practice translational guidelines to ensure semantic, item, and operational equivalence (Swami </w:t>
      </w:r>
      <w:r w:rsidR="00297282">
        <w:rPr>
          <w:noProof/>
        </w:rPr>
        <w:t>and</w:t>
      </w:r>
      <w:r w:rsidR="009A5838">
        <w:rPr>
          <w:noProof/>
        </w:rPr>
        <w:t xml:space="preserve"> Barron 2019). To examine measurement equivalence of SPQ scores, we tested the fit of proposed higher-order </w:t>
      </w:r>
      <w:r w:rsidR="009A5838" w:rsidRPr="00D954F3">
        <w:rPr>
          <w:noProof/>
        </w:rPr>
        <w:t xml:space="preserve">3- and 4-dimensional models </w:t>
      </w:r>
      <w:r w:rsidR="009A5838">
        <w:rPr>
          <w:noProof/>
        </w:rPr>
        <w:t xml:space="preserve">using CFA. These hypothesised models were selected </w:t>
      </w:r>
      <w:r w:rsidR="007154A2">
        <w:rPr>
          <w:noProof/>
        </w:rPr>
        <w:t>based on the</w:t>
      </w:r>
      <w:r w:rsidR="009A5838">
        <w:rPr>
          <w:noProof/>
        </w:rPr>
        <w:t xml:space="preserve"> recent SPQ literature</w:t>
      </w:r>
      <w:r w:rsidR="007154A2">
        <w:rPr>
          <w:noProof/>
        </w:rPr>
        <w:t>, which</w:t>
      </w:r>
      <w:r w:rsidR="009A5838">
        <w:rPr>
          <w:noProof/>
        </w:rPr>
        <w:t xml:space="preserve"> suggests that they are the most prominent in terms of explaining the higher-order dimensionality of SPQ scores across nations (Fonseca-Pedrero et al. 2018). Here, we hypothesised that the 4-dimensional model</w:t>
      </w:r>
      <w:r w:rsidR="00BB3317">
        <w:rPr>
          <w:noProof/>
        </w:rPr>
        <w:t xml:space="preserve"> </w:t>
      </w:r>
      <w:r w:rsidR="007154A2">
        <w:rPr>
          <w:noProof/>
        </w:rPr>
        <w:t xml:space="preserve">of </w:t>
      </w:r>
      <w:r w:rsidR="00BB3317">
        <w:rPr>
          <w:noProof/>
        </w:rPr>
        <w:t>Stefanis et al.</w:t>
      </w:r>
      <w:r w:rsidR="007154A2">
        <w:rPr>
          <w:noProof/>
        </w:rPr>
        <w:t xml:space="preserve"> (</w:t>
      </w:r>
      <w:r w:rsidR="00BB3317">
        <w:rPr>
          <w:noProof/>
        </w:rPr>
        <w:t>2004)</w:t>
      </w:r>
      <w:r w:rsidR="009A5838">
        <w:rPr>
          <w:noProof/>
        </w:rPr>
        <w:t xml:space="preserve"> would demonstrate the best fit among the models tested, which would be consistent with previous work (Fonseca-Pedrero et al. 2018).</w:t>
      </w:r>
      <w:r w:rsidR="00BB3317">
        <w:rPr>
          <w:noProof/>
        </w:rPr>
        <w:t xml:space="preserve"> Further, we predict</w:t>
      </w:r>
      <w:r w:rsidR="007154A2">
        <w:rPr>
          <w:noProof/>
        </w:rPr>
        <w:t>ed</w:t>
      </w:r>
      <w:r w:rsidR="00BB3317">
        <w:rPr>
          <w:noProof/>
        </w:rPr>
        <w:t xml:space="preserve"> that an alternative 4-dimensional model (Compton et al. 2009) w</w:t>
      </w:r>
      <w:r w:rsidR="007154A2">
        <w:rPr>
          <w:noProof/>
        </w:rPr>
        <w:t>ould</w:t>
      </w:r>
      <w:r w:rsidR="00BB3317">
        <w:rPr>
          <w:noProof/>
        </w:rPr>
        <w:t xml:space="preserve"> prov</w:t>
      </w:r>
      <w:r w:rsidR="007154A2">
        <w:rPr>
          <w:noProof/>
        </w:rPr>
        <w:t>i</w:t>
      </w:r>
      <w:r w:rsidR="00BB3317">
        <w:rPr>
          <w:noProof/>
        </w:rPr>
        <w:t>de better fit than Raine</w:t>
      </w:r>
      <w:r w:rsidR="0069779D">
        <w:rPr>
          <w:noProof/>
        </w:rPr>
        <w:t xml:space="preserve"> et al.</w:t>
      </w:r>
      <w:r w:rsidR="00BB3317">
        <w:rPr>
          <w:noProof/>
        </w:rPr>
        <w:t>’s (1994) 3-dimensional solution, th</w:t>
      </w:r>
      <w:r w:rsidR="007154A2">
        <w:rPr>
          <w:noProof/>
        </w:rPr>
        <w:t>us</w:t>
      </w:r>
      <w:r w:rsidR="00BB3317">
        <w:rPr>
          <w:noProof/>
        </w:rPr>
        <w:t xml:space="preserve"> highlighting the benefit of the inclusion of the Paranoid factor </w:t>
      </w:r>
      <w:r w:rsidR="007154A2">
        <w:rPr>
          <w:noProof/>
        </w:rPr>
        <w:t>in</w:t>
      </w:r>
      <w:r w:rsidR="00BB3317">
        <w:rPr>
          <w:noProof/>
        </w:rPr>
        <w:t xml:space="preserve"> the higher order structure</w:t>
      </w:r>
      <w:r w:rsidR="009A5838">
        <w:rPr>
          <w:noProof/>
        </w:rPr>
        <w:t xml:space="preserve">. </w:t>
      </w:r>
    </w:p>
    <w:p w14:paraId="6218059D" w14:textId="7A7D423D" w:rsidR="009A5838" w:rsidRDefault="009A5838" w:rsidP="00BA5500">
      <w:pPr>
        <w:spacing w:line="480" w:lineRule="auto"/>
        <w:rPr>
          <w:rFonts w:asciiTheme="majorBidi" w:eastAsia="Arial Unicode MS" w:hAnsiTheme="majorBidi" w:cstheme="majorBidi"/>
          <w:noProof/>
        </w:rPr>
      </w:pPr>
      <w:r>
        <w:rPr>
          <w:noProof/>
        </w:rPr>
        <w:tab/>
        <w:t xml:space="preserve">In addition to testing the higher-dimensionality of </w:t>
      </w:r>
      <w:r w:rsidR="007154A2">
        <w:rPr>
          <w:noProof/>
        </w:rPr>
        <w:t>Romanian SPQ</w:t>
      </w:r>
      <w:r>
        <w:rPr>
          <w:noProof/>
        </w:rPr>
        <w:t xml:space="preserve"> scores, we also tested for sex invariance at </w:t>
      </w:r>
      <w:r w:rsidR="00BA5500">
        <w:rPr>
          <w:noProof/>
        </w:rPr>
        <w:t xml:space="preserve">the </w:t>
      </w:r>
      <w:r w:rsidR="00BA5500" w:rsidRPr="00244D3F">
        <w:rPr>
          <w:rFonts w:asciiTheme="majorBidi" w:eastAsia="Arial Unicode MS" w:hAnsiTheme="majorBidi" w:cstheme="majorBidi"/>
        </w:rPr>
        <w:t xml:space="preserve">configural (i.e., whether similar factors are measured), metric (i.e., whether the magnitude of factor loadings is the same), and scalar (i.e., whether the intercept of the regression relating each item to its factor is the same) levels </w:t>
      </w:r>
      <w:r w:rsidR="00BA5500" w:rsidRPr="00244D3F">
        <w:rPr>
          <w:rFonts w:asciiTheme="majorBidi" w:eastAsia="Arial Unicode MS" w:hAnsiTheme="majorBidi" w:cstheme="majorBidi"/>
          <w:noProof/>
        </w:rPr>
        <w:t>(Chen 2007)</w:t>
      </w:r>
      <w:r>
        <w:rPr>
          <w:rFonts w:asciiTheme="majorBidi" w:eastAsia="Arial Unicode MS" w:hAnsiTheme="majorBidi" w:cstheme="majorBidi"/>
          <w:noProof/>
        </w:rPr>
        <w:t>. Based on recent work in other linguistic contexts (e.g.,</w:t>
      </w:r>
      <w:r w:rsidR="005C311B">
        <w:rPr>
          <w:rFonts w:asciiTheme="majorBidi" w:eastAsia="Arial Unicode MS" w:hAnsiTheme="majorBidi" w:cstheme="majorBidi"/>
          <w:noProof/>
        </w:rPr>
        <w:t xml:space="preserve"> B</w:t>
      </w:r>
      <w:r>
        <w:rPr>
          <w:noProof/>
        </w:rPr>
        <w:t>arron et al. 2018</w:t>
      </w:r>
      <w:r w:rsidR="005C311B">
        <w:rPr>
          <w:noProof/>
        </w:rPr>
        <w:t>b</w:t>
      </w:r>
      <w:r>
        <w:rPr>
          <w:noProof/>
        </w:rPr>
        <w:t xml:space="preserve">; </w:t>
      </w:r>
      <w:proofErr w:type="spellStart"/>
      <w:r>
        <w:t>Tsaousis</w:t>
      </w:r>
      <w:proofErr w:type="spellEnd"/>
      <w:r>
        <w:t xml:space="preserve"> et al. 2015), we expected that SPQ scores would demonstrate full sex invariance. Assuming invariance would be achieved, we also hypothesised that men would have significantly</w:t>
      </w:r>
      <w:r w:rsidR="00980A90">
        <w:t xml:space="preserve"> higher</w:t>
      </w:r>
      <w:r>
        <w:t xml:space="preserve"> scores than women on the negative and/or disorganised schizotypal domains. Finally, </w:t>
      </w:r>
      <w:r w:rsidR="00E6535B">
        <w:t>we also examined associations between SPQ scores and scores on measures of quality of life, self-esteem, and life satisfaction. Evidence of construct validity would be established to the extent that</w:t>
      </w:r>
      <w:r w:rsidR="007154A2">
        <w:t xml:space="preserve"> SPQ</w:t>
      </w:r>
      <w:r w:rsidR="00E6535B">
        <w:t xml:space="preserve"> scores are significantly and negatively associated with scores on the additional </w:t>
      </w:r>
      <w:r w:rsidR="00E6535B">
        <w:lastRenderedPageBreak/>
        <w:t>measures</w:t>
      </w:r>
      <w:r w:rsidR="007B479A">
        <w:t xml:space="preserve">, whereas evidence of </w:t>
      </w:r>
      <w:r w:rsidR="00E20B40">
        <w:t xml:space="preserve">concurrent </w:t>
      </w:r>
      <w:r w:rsidR="007B479A">
        <w:t xml:space="preserve">validity would be established insofar as SPQ scores significantly predict scores on the additional measures. </w:t>
      </w:r>
    </w:p>
    <w:p w14:paraId="4E9C3DCA" w14:textId="20DCE6E9" w:rsidR="00BA5500" w:rsidRPr="00A9625F" w:rsidRDefault="00F44AA4" w:rsidP="00A3290E">
      <w:pPr>
        <w:pStyle w:val="Heading1"/>
      </w:pPr>
      <w:r>
        <w:t xml:space="preserve">2. </w:t>
      </w:r>
      <w:r w:rsidR="00BA5500" w:rsidRPr="00A9625F">
        <w:t>Method</w:t>
      </w:r>
    </w:p>
    <w:p w14:paraId="5AFB3B7C" w14:textId="3575FA56" w:rsidR="00635302" w:rsidRPr="007154A2" w:rsidRDefault="00F44AA4" w:rsidP="00A3290E">
      <w:pPr>
        <w:pStyle w:val="Heading2"/>
        <w:rPr>
          <w:lang w:eastAsia="en-GB"/>
        </w:rPr>
      </w:pPr>
      <w:r>
        <w:rPr>
          <w:lang w:eastAsia="en-GB"/>
        </w:rPr>
        <w:t xml:space="preserve">2.1 </w:t>
      </w:r>
      <w:r w:rsidR="00BA5500" w:rsidRPr="007154A2">
        <w:rPr>
          <w:lang w:eastAsia="en-GB"/>
        </w:rPr>
        <w:t>Participants</w:t>
      </w:r>
    </w:p>
    <w:p w14:paraId="0E370538" w14:textId="5098EAC6" w:rsidR="0053654A" w:rsidRPr="00B5536F" w:rsidRDefault="00B57B69" w:rsidP="0053654A">
      <w:pPr>
        <w:spacing w:line="480" w:lineRule="auto"/>
        <w:ind w:firstLine="720"/>
        <w:rPr>
          <w:color w:val="000000" w:themeColor="text1"/>
          <w:shd w:val="clear" w:color="auto" w:fill="FFFFFF"/>
        </w:rPr>
      </w:pPr>
      <w:r>
        <w:t xml:space="preserve">A total of </w:t>
      </w:r>
      <w:r w:rsidR="00352F77">
        <w:t>711</w:t>
      </w:r>
      <w:r w:rsidR="001419EF">
        <w:t xml:space="preserve"> p</w:t>
      </w:r>
      <w:r w:rsidR="00635302">
        <w:t xml:space="preserve">articipants </w:t>
      </w:r>
      <w:r w:rsidR="001419EF">
        <w:t>(</w:t>
      </w:r>
      <w:r w:rsidR="00352F77">
        <w:t>488</w:t>
      </w:r>
      <w:r>
        <w:t xml:space="preserve"> women,</w:t>
      </w:r>
      <w:r w:rsidR="001419EF">
        <w:t xml:space="preserve"> 223</w:t>
      </w:r>
      <w:r w:rsidR="00635302" w:rsidRPr="007A49E1">
        <w:t xml:space="preserve"> m</w:t>
      </w:r>
      <w:r>
        <w:t>en</w:t>
      </w:r>
      <w:r w:rsidR="001419EF">
        <w:t>) were recruited on voluntary basis</w:t>
      </w:r>
      <w:r w:rsidR="00635302" w:rsidRPr="007A49E1">
        <w:t xml:space="preserve"> from a</w:t>
      </w:r>
      <w:r>
        <w:t>mong the student population at a</w:t>
      </w:r>
      <w:r w:rsidR="00635302" w:rsidRPr="007A49E1">
        <w:t xml:space="preserve"> university in </w:t>
      </w:r>
      <w:proofErr w:type="spellStart"/>
      <w:r w:rsidR="00635302" w:rsidRPr="007A49E1">
        <w:t>Timi</w:t>
      </w:r>
      <w:r w:rsidR="00635302" w:rsidRPr="007A49E1">
        <w:rPr>
          <w:color w:val="000000" w:themeColor="text1"/>
          <w:shd w:val="clear" w:color="auto" w:fill="FFFFFF"/>
        </w:rPr>
        <w:t>ș</w:t>
      </w:r>
      <w:proofErr w:type="spellEnd"/>
      <w:r w:rsidR="00635302" w:rsidRPr="007A49E1">
        <w:rPr>
          <w:color w:val="000000" w:themeColor="text1"/>
          <w:shd w:val="clear" w:color="auto" w:fill="FFFFFF"/>
        </w:rPr>
        <w:t xml:space="preserve"> County in the west of Romania</w:t>
      </w:r>
      <w:r w:rsidR="007154A2">
        <w:rPr>
          <w:color w:val="000000" w:themeColor="text1"/>
          <w:shd w:val="clear" w:color="auto" w:fill="FFFFFF"/>
        </w:rPr>
        <w:t>. Participants</w:t>
      </w:r>
      <w:r w:rsidR="001419EF">
        <w:rPr>
          <w:color w:val="000000" w:themeColor="text1"/>
          <w:shd w:val="clear" w:color="auto" w:fill="FFFFFF"/>
        </w:rPr>
        <w:t xml:space="preserve"> ranged in age from </w:t>
      </w:r>
      <w:r w:rsidR="00CC2AF3">
        <w:rPr>
          <w:color w:val="000000" w:themeColor="text1"/>
          <w:shd w:val="clear" w:color="auto" w:fill="FFFFFF"/>
        </w:rPr>
        <w:t>18 to 55 years (</w:t>
      </w:r>
      <w:r w:rsidR="00CC2AF3" w:rsidRPr="00BB3317">
        <w:rPr>
          <w:i/>
          <w:color w:val="000000" w:themeColor="text1"/>
          <w:shd w:val="clear" w:color="auto" w:fill="FFFFFF"/>
        </w:rPr>
        <w:t>M</w:t>
      </w:r>
      <w:r>
        <w:rPr>
          <w:color w:val="000000" w:themeColor="text1"/>
          <w:shd w:val="clear" w:color="auto" w:fill="FFFFFF"/>
        </w:rPr>
        <w:t xml:space="preserve"> </w:t>
      </w:r>
      <w:r w:rsidR="00CC2AF3">
        <w:rPr>
          <w:color w:val="000000" w:themeColor="text1"/>
          <w:shd w:val="clear" w:color="auto" w:fill="FFFFFF"/>
        </w:rPr>
        <w:t>=</w:t>
      </w:r>
      <w:r>
        <w:rPr>
          <w:color w:val="000000" w:themeColor="text1"/>
          <w:shd w:val="clear" w:color="auto" w:fill="FFFFFF"/>
        </w:rPr>
        <w:t xml:space="preserve"> </w:t>
      </w:r>
      <w:r w:rsidR="00CC2AF3">
        <w:rPr>
          <w:color w:val="000000" w:themeColor="text1"/>
          <w:shd w:val="clear" w:color="auto" w:fill="FFFFFF"/>
        </w:rPr>
        <w:t>24</w:t>
      </w:r>
      <w:r w:rsidR="00352F77">
        <w:rPr>
          <w:color w:val="000000" w:themeColor="text1"/>
          <w:shd w:val="clear" w:color="auto" w:fill="FFFFFF"/>
        </w:rPr>
        <w:t>.54</w:t>
      </w:r>
      <w:r w:rsidR="0044687C">
        <w:rPr>
          <w:color w:val="000000" w:themeColor="text1"/>
          <w:shd w:val="clear" w:color="auto" w:fill="FFFFFF"/>
        </w:rPr>
        <w:t xml:space="preserve">, </w:t>
      </w:r>
      <w:r w:rsidR="0044687C" w:rsidRPr="00BB3317">
        <w:rPr>
          <w:i/>
          <w:color w:val="000000" w:themeColor="text1"/>
          <w:shd w:val="clear" w:color="auto" w:fill="FFFFFF"/>
        </w:rPr>
        <w:t>SD</w:t>
      </w:r>
      <w:r>
        <w:rPr>
          <w:color w:val="000000" w:themeColor="text1"/>
          <w:shd w:val="clear" w:color="auto" w:fill="FFFFFF"/>
        </w:rPr>
        <w:t xml:space="preserve"> </w:t>
      </w:r>
      <w:r w:rsidR="0044687C">
        <w:rPr>
          <w:color w:val="000000" w:themeColor="text1"/>
          <w:shd w:val="clear" w:color="auto" w:fill="FFFFFF"/>
        </w:rPr>
        <w:t>=</w:t>
      </w:r>
      <w:r>
        <w:rPr>
          <w:color w:val="000000" w:themeColor="text1"/>
          <w:shd w:val="clear" w:color="auto" w:fill="FFFFFF"/>
        </w:rPr>
        <w:t xml:space="preserve"> </w:t>
      </w:r>
      <w:r w:rsidR="0044687C">
        <w:rPr>
          <w:color w:val="000000" w:themeColor="text1"/>
          <w:shd w:val="clear" w:color="auto" w:fill="FFFFFF"/>
        </w:rPr>
        <w:t>8.14)</w:t>
      </w:r>
      <w:r w:rsidR="00635302" w:rsidRPr="007A49E1">
        <w:rPr>
          <w:color w:val="000000" w:themeColor="text1"/>
          <w:shd w:val="clear" w:color="auto" w:fill="FFFFFF"/>
        </w:rPr>
        <w:t>.</w:t>
      </w:r>
      <w:r w:rsidR="0044687C">
        <w:rPr>
          <w:color w:val="000000" w:themeColor="text1"/>
          <w:shd w:val="clear" w:color="auto" w:fill="FFFFFF"/>
        </w:rPr>
        <w:t xml:space="preserve"> </w:t>
      </w:r>
      <w:proofErr w:type="gramStart"/>
      <w:r w:rsidR="0053654A">
        <w:rPr>
          <w:color w:val="000000" w:themeColor="text1"/>
          <w:shd w:val="clear" w:color="auto" w:fill="FFFFFF"/>
        </w:rPr>
        <w:t>The majority of</w:t>
      </w:r>
      <w:proofErr w:type="gramEnd"/>
      <w:r w:rsidR="0053654A">
        <w:rPr>
          <w:color w:val="000000" w:themeColor="text1"/>
          <w:shd w:val="clear" w:color="auto" w:fill="FFFFFF"/>
        </w:rPr>
        <w:t xml:space="preserve"> participants identified as heterosexual (90.4%; bisexual = 3.0%, gay/lesbian = 1.7%, other = </w:t>
      </w:r>
      <w:r w:rsidR="00D46666">
        <w:rPr>
          <w:color w:val="000000" w:themeColor="text1"/>
          <w:shd w:val="clear" w:color="auto" w:fill="FFFFFF"/>
        </w:rPr>
        <w:t>4</w:t>
      </w:r>
      <w:r w:rsidR="0053654A">
        <w:rPr>
          <w:color w:val="000000" w:themeColor="text1"/>
          <w:shd w:val="clear" w:color="auto" w:fill="FFFFFF"/>
        </w:rPr>
        <w:t>.9%</w:t>
      </w:r>
      <w:r w:rsidR="007154A2">
        <w:rPr>
          <w:color w:val="000000" w:themeColor="text1"/>
          <w:shd w:val="clear" w:color="auto" w:fill="FFFFFF"/>
        </w:rPr>
        <w:t>)</w:t>
      </w:r>
      <w:r w:rsidR="0053654A">
        <w:rPr>
          <w:color w:val="000000" w:themeColor="text1"/>
          <w:shd w:val="clear" w:color="auto" w:fill="FFFFFF"/>
        </w:rPr>
        <w:t xml:space="preserve">. In terms of relationship status, 33.5% of participants were single, 27.2% were partnered but not married, 12.2% married, and the remainder were of some other status. In terms of educational level, 17.9% had completed secondary schooling, 56.4% </w:t>
      </w:r>
      <w:r w:rsidR="007154A2">
        <w:rPr>
          <w:color w:val="000000" w:themeColor="text1"/>
          <w:shd w:val="clear" w:color="auto" w:fill="FFFFFF"/>
        </w:rPr>
        <w:t>were completing an</w:t>
      </w:r>
      <w:r w:rsidR="0053654A">
        <w:rPr>
          <w:color w:val="000000" w:themeColor="text1"/>
          <w:shd w:val="clear" w:color="auto" w:fill="FFFFFF"/>
        </w:rPr>
        <w:t xml:space="preserve"> undergraduate degree, 14.3% </w:t>
      </w:r>
      <w:r w:rsidR="007154A2">
        <w:rPr>
          <w:color w:val="000000" w:themeColor="text1"/>
          <w:shd w:val="clear" w:color="auto" w:fill="FFFFFF"/>
        </w:rPr>
        <w:t>were completing</w:t>
      </w:r>
      <w:r w:rsidR="0053654A">
        <w:rPr>
          <w:color w:val="000000" w:themeColor="text1"/>
          <w:shd w:val="clear" w:color="auto" w:fill="FFFFFF"/>
        </w:rPr>
        <w:t xml:space="preserve"> a postgraduate degree, and the remainder had some other qualification. As for religious beliefs, 74.1% identified</w:t>
      </w:r>
      <w:r w:rsidR="00980A90">
        <w:rPr>
          <w:color w:val="000000" w:themeColor="text1"/>
          <w:shd w:val="clear" w:color="auto" w:fill="FFFFFF"/>
        </w:rPr>
        <w:t xml:space="preserve"> themselves</w:t>
      </w:r>
      <w:r w:rsidR="0053654A">
        <w:rPr>
          <w:color w:val="000000" w:themeColor="text1"/>
          <w:shd w:val="clear" w:color="auto" w:fill="FFFFFF"/>
        </w:rPr>
        <w:t xml:space="preserve"> as orthodox Christians</w:t>
      </w:r>
      <w:r w:rsidR="00980A90">
        <w:rPr>
          <w:color w:val="000000" w:themeColor="text1"/>
          <w:shd w:val="clear" w:color="auto" w:fill="FFFFFF"/>
        </w:rPr>
        <w:t>,</w:t>
      </w:r>
      <w:r w:rsidR="0053654A">
        <w:rPr>
          <w:color w:val="000000" w:themeColor="text1"/>
          <w:shd w:val="clear" w:color="auto" w:fill="FFFFFF"/>
        </w:rPr>
        <w:t xml:space="preserve"> 11.4%</w:t>
      </w:r>
      <w:r w:rsidR="00980A90">
        <w:rPr>
          <w:color w:val="000000" w:themeColor="text1"/>
          <w:shd w:val="clear" w:color="auto" w:fill="FFFFFF"/>
        </w:rPr>
        <w:t xml:space="preserve"> as atheist or as having no religious beliefs, 5.3% as Protestant</w:t>
      </w:r>
      <w:r w:rsidR="0053654A">
        <w:rPr>
          <w:color w:val="000000" w:themeColor="text1"/>
          <w:shd w:val="clear" w:color="auto" w:fill="FFFFFF"/>
        </w:rPr>
        <w:t>,</w:t>
      </w:r>
      <w:r w:rsidR="00980A90">
        <w:rPr>
          <w:color w:val="000000" w:themeColor="text1"/>
          <w:shd w:val="clear" w:color="auto" w:fill="FFFFFF"/>
        </w:rPr>
        <w:t xml:space="preserve"> 5.3% as Catholic, and </w:t>
      </w:r>
      <w:r w:rsidR="0053654A">
        <w:rPr>
          <w:color w:val="000000" w:themeColor="text1"/>
          <w:shd w:val="clear" w:color="auto" w:fill="FFFFFF"/>
        </w:rPr>
        <w:t>3.8%</w:t>
      </w:r>
      <w:r w:rsidR="00980A90">
        <w:rPr>
          <w:color w:val="000000" w:themeColor="text1"/>
          <w:shd w:val="clear" w:color="auto" w:fill="FFFFFF"/>
        </w:rPr>
        <w:t xml:space="preserve"> towards other religious identities</w:t>
      </w:r>
      <w:r w:rsidR="0053654A">
        <w:rPr>
          <w:color w:val="000000" w:themeColor="text1"/>
          <w:shd w:val="clear" w:color="auto" w:fill="FFFFFF"/>
        </w:rPr>
        <w:t>.</w:t>
      </w:r>
    </w:p>
    <w:p w14:paraId="6FCFEA51" w14:textId="47AB08ED" w:rsidR="00BA5500" w:rsidRPr="00F44AA4" w:rsidRDefault="00F44AA4" w:rsidP="00A3290E">
      <w:pPr>
        <w:pStyle w:val="Heading2"/>
        <w:rPr>
          <w:lang w:eastAsia="en-GB"/>
        </w:rPr>
      </w:pPr>
      <w:r>
        <w:rPr>
          <w:lang w:eastAsia="en-GB"/>
        </w:rPr>
        <w:t xml:space="preserve">2.2 </w:t>
      </w:r>
      <w:r w:rsidR="00BA5500" w:rsidRPr="00F44AA4">
        <w:rPr>
          <w:lang w:eastAsia="en-GB"/>
        </w:rPr>
        <w:t>Measures</w:t>
      </w:r>
    </w:p>
    <w:p w14:paraId="165D0F61" w14:textId="1685F6C8" w:rsidR="00E6535B" w:rsidRPr="008B02E7" w:rsidRDefault="00BA5500" w:rsidP="008E6414">
      <w:pPr>
        <w:shd w:val="clear" w:color="auto" w:fill="FFFFFF"/>
        <w:spacing w:line="480" w:lineRule="auto"/>
        <w:ind w:firstLine="720"/>
        <w:textAlignment w:val="baseline"/>
      </w:pPr>
      <w:proofErr w:type="spellStart"/>
      <w:r>
        <w:rPr>
          <w:rFonts w:eastAsia="Arial Unicode MS"/>
          <w:b/>
          <w:lang w:eastAsia="en-GB"/>
        </w:rPr>
        <w:t>Schizotypy</w:t>
      </w:r>
      <w:proofErr w:type="spellEnd"/>
      <w:r>
        <w:rPr>
          <w:rFonts w:eastAsia="Arial Unicode MS"/>
          <w:lang w:eastAsia="en-GB"/>
        </w:rPr>
        <w:t xml:space="preserve">. </w:t>
      </w:r>
      <w:r w:rsidR="00E6535B">
        <w:rPr>
          <w:rFonts w:eastAsia="Arial Unicode MS"/>
          <w:lang w:eastAsia="en-GB"/>
        </w:rPr>
        <w:t>Participants were asked to complete the 74-item SPQ (Raine 1991) using a dichotomous response format (</w:t>
      </w:r>
      <w:r w:rsidR="00E6535B">
        <w:rPr>
          <w:rFonts w:eastAsia="Arial Unicode MS"/>
          <w:i/>
          <w:lang w:eastAsia="en-GB"/>
        </w:rPr>
        <w:t>yes</w:t>
      </w:r>
      <w:r w:rsidR="00E6535B">
        <w:rPr>
          <w:rFonts w:eastAsia="Arial Unicode MS"/>
          <w:lang w:eastAsia="en-GB"/>
        </w:rPr>
        <w:t>/</w:t>
      </w:r>
      <w:r w:rsidR="00E6535B">
        <w:rPr>
          <w:rFonts w:eastAsia="Arial Unicode MS"/>
          <w:i/>
          <w:lang w:eastAsia="en-GB"/>
        </w:rPr>
        <w:t>no</w:t>
      </w:r>
      <w:r w:rsidR="00E6535B">
        <w:rPr>
          <w:rFonts w:eastAsia="Arial Unicode MS"/>
          <w:lang w:eastAsia="en-GB"/>
        </w:rPr>
        <w:t xml:space="preserve">). </w:t>
      </w:r>
      <w:r w:rsidR="0063691C">
        <w:rPr>
          <w:rFonts w:eastAsia="Arial Unicode MS"/>
          <w:lang w:eastAsia="en-GB"/>
        </w:rPr>
        <w:t xml:space="preserve">The SPQ measures </w:t>
      </w:r>
      <w:r w:rsidR="007154A2">
        <w:rPr>
          <w:rFonts w:eastAsia="Arial Unicode MS"/>
          <w:lang w:eastAsia="en-GB"/>
        </w:rPr>
        <w:t>9</w:t>
      </w:r>
      <w:r w:rsidR="0063691C">
        <w:rPr>
          <w:rFonts w:eastAsia="Arial Unicode MS"/>
          <w:lang w:eastAsia="en-GB"/>
        </w:rPr>
        <w:t xml:space="preserve"> schizotypal factors that align with SPD symptomatology, namely </w:t>
      </w:r>
      <w:r w:rsidR="0063691C" w:rsidRPr="00A9625F">
        <w:t>no close friends, constricted affect, ideas of reference, odd beliefs and magical thinking, unusual perceptual experiences, odd or eccentric behaviour, odd speech, suspiciousness, and excessive social anxiety.</w:t>
      </w:r>
      <w:r w:rsidR="005A7D0A">
        <w:t xml:space="preserve"> </w:t>
      </w:r>
      <w:r w:rsidR="005A7D0A" w:rsidRPr="00D36CD2">
        <w:t xml:space="preserve">Each </w:t>
      </w:r>
      <w:r w:rsidR="005A7D0A">
        <w:rPr>
          <w:i/>
        </w:rPr>
        <w:t>yes</w:t>
      </w:r>
      <w:r w:rsidR="005A7D0A" w:rsidRPr="00D36CD2">
        <w:t xml:space="preserve"> response counts as </w:t>
      </w:r>
      <w:r w:rsidR="005A7D0A">
        <w:t>1</w:t>
      </w:r>
      <w:r w:rsidR="005A7D0A" w:rsidRPr="00D36CD2">
        <w:t xml:space="preserve"> point and subscale scores were computed as the total score for all items associated with each subscale.</w:t>
      </w:r>
      <w:r w:rsidR="005A7D0A">
        <w:t xml:space="preserve"> These subscales represent the</w:t>
      </w:r>
      <w:r w:rsidR="007937A4">
        <w:t xml:space="preserve"> primary, pseudo-continuous,</w:t>
      </w:r>
      <w:r w:rsidR="005A7D0A">
        <w:t xml:space="preserve"> </w:t>
      </w:r>
      <w:r w:rsidR="007937A4">
        <w:t>d</w:t>
      </w:r>
      <w:r w:rsidR="005A7D0A">
        <w:t xml:space="preserve">ata in our analytical models </w:t>
      </w:r>
      <w:r w:rsidR="005A7D0A" w:rsidRPr="005A7D0A">
        <w:rPr>
          <w:i/>
          <w:iCs/>
        </w:rPr>
        <w:t>vis-à-vis</w:t>
      </w:r>
      <w:r w:rsidR="007937A4">
        <w:rPr>
          <w:i/>
          <w:iCs/>
        </w:rPr>
        <w:t xml:space="preserve"> </w:t>
      </w:r>
      <w:proofErr w:type="spellStart"/>
      <w:r w:rsidR="007937A4">
        <w:t>schizotypy</w:t>
      </w:r>
      <w:proofErr w:type="spellEnd"/>
      <w:r w:rsidR="007937A4">
        <w:t>.</w:t>
      </w:r>
      <w:r w:rsidR="001F4C0D">
        <w:t xml:space="preserve"> The</w:t>
      </w:r>
      <w:r w:rsidR="007154A2">
        <w:t xml:space="preserve"> hypothesised</w:t>
      </w:r>
      <w:r w:rsidR="001F4C0D">
        <w:t xml:space="preserve"> higher</w:t>
      </w:r>
      <w:r w:rsidR="007154A2">
        <w:t>-</w:t>
      </w:r>
      <w:r w:rsidR="001F4C0D">
        <w:t xml:space="preserve">order </w:t>
      </w:r>
      <w:r w:rsidR="007154A2">
        <w:t>models</w:t>
      </w:r>
      <w:r w:rsidR="001F4C0D">
        <w:t xml:space="preserve"> </w:t>
      </w:r>
      <w:r w:rsidR="007B479A">
        <w:t>that were select</w:t>
      </w:r>
      <w:r w:rsidR="008E6414">
        <w:t>ed</w:t>
      </w:r>
      <w:r w:rsidR="007B479A">
        <w:t xml:space="preserve"> for testing</w:t>
      </w:r>
      <w:r w:rsidR="008E6414">
        <w:t xml:space="preserve"> – specifically, the higher order 3-factor solution (Raine et al. 1994), 4-factor structure </w:t>
      </w:r>
      <w:r w:rsidR="008E6414">
        <w:lastRenderedPageBreak/>
        <w:t>(</w:t>
      </w:r>
      <w:proofErr w:type="spellStart"/>
      <w:r w:rsidR="008E6414">
        <w:t>Stefanis</w:t>
      </w:r>
      <w:proofErr w:type="spellEnd"/>
      <w:r w:rsidR="008E6414">
        <w:t xml:space="preserve"> et al. 2009), and the nested alternative 4-factor model (excessive social anxiety loads only onto the Negative factor; Compton et al. 2009) –</w:t>
      </w:r>
      <w:r w:rsidR="001F4C0D">
        <w:t xml:space="preserve"> are </w:t>
      </w:r>
      <w:r w:rsidR="007B479A">
        <w:t xml:space="preserve">displayed </w:t>
      </w:r>
      <w:r w:rsidR="001F4C0D">
        <w:t>in Figure 1.</w:t>
      </w:r>
      <w:r w:rsidR="000063A5">
        <w:t xml:space="preserve"> </w:t>
      </w:r>
      <w:r w:rsidR="0063691C">
        <w:t xml:space="preserve">The translational procedure and subscale internal consistency coefficients are reported below. </w:t>
      </w:r>
    </w:p>
    <w:p w14:paraId="01A472C7" w14:textId="0B219FB5" w:rsidR="00AF57F5" w:rsidRPr="007A49E1" w:rsidRDefault="00E6535B" w:rsidP="007154A2">
      <w:pPr>
        <w:spacing w:line="480" w:lineRule="auto"/>
        <w:ind w:firstLine="720"/>
        <w:rPr>
          <w:bCs/>
        </w:rPr>
      </w:pPr>
      <w:r w:rsidRPr="007A49E1">
        <w:rPr>
          <w:b/>
          <w:bCs/>
        </w:rPr>
        <w:t>Self-esteem</w:t>
      </w:r>
      <w:r w:rsidRPr="007A49E1">
        <w:rPr>
          <w:bCs/>
        </w:rPr>
        <w:t xml:space="preserve">. </w:t>
      </w:r>
      <w:r w:rsidR="0063691C">
        <w:rPr>
          <w:bCs/>
        </w:rPr>
        <w:t xml:space="preserve">Participants were also asked to complete the </w:t>
      </w:r>
      <w:r w:rsidRPr="007A49E1">
        <w:rPr>
          <w:bCs/>
        </w:rPr>
        <w:t xml:space="preserve">Rosenberg Self-Esteem Scale (RSES; Rosenberg 1965; Romanian translation: Schmitt </w:t>
      </w:r>
      <w:r w:rsidR="005C311B">
        <w:rPr>
          <w:bCs/>
        </w:rPr>
        <w:t>and</w:t>
      </w:r>
      <w:r w:rsidRPr="007A49E1">
        <w:rPr>
          <w:bCs/>
        </w:rPr>
        <w:t xml:space="preserve"> </w:t>
      </w:r>
      <w:proofErr w:type="spellStart"/>
      <w:r w:rsidRPr="007A49E1">
        <w:rPr>
          <w:bCs/>
        </w:rPr>
        <w:t>Allik</w:t>
      </w:r>
      <w:proofErr w:type="spellEnd"/>
      <w:r w:rsidRPr="007A49E1">
        <w:rPr>
          <w:bCs/>
        </w:rPr>
        <w:t xml:space="preserve"> 2005)</w:t>
      </w:r>
      <w:r w:rsidR="0063691C">
        <w:rPr>
          <w:bCs/>
        </w:rPr>
        <w:t>. This is a widely-used,</w:t>
      </w:r>
      <w:r w:rsidRPr="007A49E1">
        <w:rPr>
          <w:bCs/>
        </w:rPr>
        <w:t xml:space="preserve"> 10-item measure of global self-evaluations of worth as a human being. All items were rated on a </w:t>
      </w:r>
      <w:r>
        <w:rPr>
          <w:bCs/>
        </w:rPr>
        <w:t>4</w:t>
      </w:r>
      <w:r w:rsidRPr="007A49E1">
        <w:rPr>
          <w:bCs/>
        </w:rPr>
        <w:t xml:space="preserve">-point scale (1 = </w:t>
      </w:r>
      <w:r w:rsidR="0063691C">
        <w:rPr>
          <w:bCs/>
          <w:i/>
        </w:rPr>
        <w:t>d</w:t>
      </w:r>
      <w:r w:rsidRPr="007A49E1">
        <w:rPr>
          <w:bCs/>
          <w:i/>
        </w:rPr>
        <w:t>efinitely disagree</w:t>
      </w:r>
      <w:r w:rsidRPr="007A49E1">
        <w:rPr>
          <w:bCs/>
        </w:rPr>
        <w:t xml:space="preserve">, 4 = </w:t>
      </w:r>
      <w:r w:rsidR="0063691C">
        <w:rPr>
          <w:bCs/>
          <w:i/>
        </w:rPr>
        <w:t>d</w:t>
      </w:r>
      <w:r w:rsidRPr="007A49E1">
        <w:rPr>
          <w:bCs/>
          <w:i/>
        </w:rPr>
        <w:t>efinitely agree</w:t>
      </w:r>
      <w:r w:rsidRPr="007A49E1">
        <w:rPr>
          <w:bCs/>
        </w:rPr>
        <w:t>)</w:t>
      </w:r>
      <w:r w:rsidR="0063691C">
        <w:rPr>
          <w:bCs/>
        </w:rPr>
        <w:t xml:space="preserve"> and</w:t>
      </w:r>
      <w:r w:rsidRPr="007A49E1">
        <w:rPr>
          <w:bCs/>
        </w:rPr>
        <w:t xml:space="preserve"> </w:t>
      </w:r>
      <w:r w:rsidR="0063691C">
        <w:rPr>
          <w:bCs/>
        </w:rPr>
        <w:t>a</w:t>
      </w:r>
      <w:r w:rsidRPr="007A49E1">
        <w:rPr>
          <w:bCs/>
        </w:rPr>
        <w:t xml:space="preserve">n overall score was computed as the mean of all 10 items, following reverse-coding of 5 items. Higher scores on this scale reflect greater self-esteem. The Romanian version of the RSES </w:t>
      </w:r>
      <w:r w:rsidRPr="007A49E1">
        <w:rPr>
          <w:bCs/>
          <w:color w:val="000000" w:themeColor="text1"/>
        </w:rPr>
        <w:t xml:space="preserve">has </w:t>
      </w:r>
      <w:r w:rsidR="0063691C">
        <w:rPr>
          <w:bCs/>
          <w:color w:val="000000" w:themeColor="text1"/>
        </w:rPr>
        <w:t>a 1-dimensional factor structure</w:t>
      </w:r>
      <w:r w:rsidRPr="007A49E1">
        <w:rPr>
          <w:bCs/>
          <w:color w:val="000000" w:themeColor="text1"/>
        </w:rPr>
        <w:t xml:space="preserve"> (Schmitt </w:t>
      </w:r>
      <w:r w:rsidR="005C311B">
        <w:rPr>
          <w:bCs/>
          <w:color w:val="000000" w:themeColor="text1"/>
        </w:rPr>
        <w:t>and</w:t>
      </w:r>
      <w:r w:rsidRPr="007A49E1">
        <w:rPr>
          <w:bCs/>
          <w:color w:val="000000" w:themeColor="text1"/>
        </w:rPr>
        <w:t xml:space="preserve"> </w:t>
      </w:r>
      <w:proofErr w:type="spellStart"/>
      <w:r w:rsidRPr="007A49E1">
        <w:rPr>
          <w:bCs/>
          <w:color w:val="000000" w:themeColor="text1"/>
        </w:rPr>
        <w:t>Allik</w:t>
      </w:r>
      <w:proofErr w:type="spellEnd"/>
      <w:r w:rsidRPr="007A49E1">
        <w:rPr>
          <w:bCs/>
          <w:color w:val="000000" w:themeColor="text1"/>
        </w:rPr>
        <w:t xml:space="preserve"> 2005) and </w:t>
      </w:r>
      <w:r w:rsidR="0063691C">
        <w:rPr>
          <w:bCs/>
          <w:color w:val="000000" w:themeColor="text1"/>
        </w:rPr>
        <w:t xml:space="preserve">adequate </w:t>
      </w:r>
      <w:r w:rsidRPr="007A49E1">
        <w:rPr>
          <w:bCs/>
          <w:color w:val="000000" w:themeColor="text1"/>
        </w:rPr>
        <w:t xml:space="preserve">patterns of convergent </w:t>
      </w:r>
      <w:r w:rsidRPr="007154A2">
        <w:rPr>
          <w:bCs/>
          <w:color w:val="000000" w:themeColor="text1"/>
        </w:rPr>
        <w:t>validity (e.g., Sava</w:t>
      </w:r>
      <w:r w:rsidR="005C311B">
        <w:rPr>
          <w:bCs/>
          <w:color w:val="000000" w:themeColor="text1"/>
        </w:rPr>
        <w:t xml:space="preserve"> et al.</w:t>
      </w:r>
      <w:r w:rsidRPr="007154A2">
        <w:rPr>
          <w:rStyle w:val="Emphasis"/>
          <w:bCs/>
          <w:i w:val="0"/>
          <w:color w:val="000000" w:themeColor="text1"/>
        </w:rPr>
        <w:t>, 2011)</w:t>
      </w:r>
      <w:r w:rsidRPr="007154A2">
        <w:rPr>
          <w:rStyle w:val="Emphasis"/>
          <w:bCs/>
          <w:color w:val="000000" w:themeColor="text1"/>
        </w:rPr>
        <w:t xml:space="preserve">. </w:t>
      </w:r>
      <w:r w:rsidRPr="007154A2">
        <w:rPr>
          <w:bCs/>
        </w:rPr>
        <w:t>In the present study,</w:t>
      </w:r>
      <w:r w:rsidR="007154A2">
        <w:rPr>
          <w:bCs/>
        </w:rPr>
        <w:t xml:space="preserve"> </w:t>
      </w:r>
      <w:r w:rsidR="008E6414">
        <w:rPr>
          <w:bCs/>
        </w:rPr>
        <w:t xml:space="preserve">McDonald’s </w:t>
      </w:r>
      <w:r w:rsidR="007154A2" w:rsidRPr="007154A2">
        <w:rPr>
          <w:color w:val="222222"/>
          <w:shd w:val="clear" w:color="auto" w:fill="FFFFFF"/>
        </w:rPr>
        <w:t>ω</w:t>
      </w:r>
      <w:r w:rsidR="007154A2">
        <w:rPr>
          <w:bCs/>
        </w:rPr>
        <w:t xml:space="preserve"> </w:t>
      </w:r>
      <w:r w:rsidRPr="007A49E1">
        <w:rPr>
          <w:bCs/>
        </w:rPr>
        <w:t xml:space="preserve">for </w:t>
      </w:r>
      <w:r w:rsidR="0063691C">
        <w:rPr>
          <w:bCs/>
        </w:rPr>
        <w:t xml:space="preserve">scores on </w:t>
      </w:r>
      <w:r w:rsidR="004812E7">
        <w:rPr>
          <w:bCs/>
        </w:rPr>
        <w:t xml:space="preserve">this scale was </w:t>
      </w:r>
      <w:r w:rsidR="00C97E69">
        <w:rPr>
          <w:bCs/>
        </w:rPr>
        <w:t>.88</w:t>
      </w:r>
      <w:r w:rsidR="00575F02">
        <w:rPr>
          <w:bCs/>
        </w:rPr>
        <w:t xml:space="preserve"> (</w:t>
      </w:r>
      <w:r w:rsidR="00575F02">
        <w:rPr>
          <w:szCs w:val="20"/>
          <w:shd w:val="clear" w:color="auto" w:fill="FFFFFF"/>
        </w:rPr>
        <w:t xml:space="preserve">95% CI = </w:t>
      </w:r>
      <w:r w:rsidR="00C97E69" w:rsidRPr="00A9044B">
        <w:rPr>
          <w:szCs w:val="20"/>
          <w:shd w:val="clear" w:color="auto" w:fill="FFFFFF"/>
        </w:rPr>
        <w:t>.</w:t>
      </w:r>
      <w:r w:rsidR="00C97E69">
        <w:rPr>
          <w:szCs w:val="20"/>
          <w:shd w:val="clear" w:color="auto" w:fill="FFFFFF"/>
        </w:rPr>
        <w:t>86</w:t>
      </w:r>
      <w:r w:rsidR="007154A2">
        <w:rPr>
          <w:szCs w:val="20"/>
          <w:shd w:val="clear" w:color="auto" w:fill="FFFFFF"/>
        </w:rPr>
        <w:t xml:space="preserve">, </w:t>
      </w:r>
      <w:r w:rsidR="00C97E69" w:rsidRPr="00A9044B">
        <w:rPr>
          <w:szCs w:val="20"/>
          <w:shd w:val="clear" w:color="auto" w:fill="FFFFFF"/>
        </w:rPr>
        <w:t>.</w:t>
      </w:r>
      <w:r w:rsidR="00C97E69">
        <w:rPr>
          <w:szCs w:val="20"/>
          <w:shd w:val="clear" w:color="auto" w:fill="FFFFFF"/>
        </w:rPr>
        <w:t>89</w:t>
      </w:r>
      <w:r w:rsidR="00575F02">
        <w:rPr>
          <w:szCs w:val="20"/>
          <w:shd w:val="clear" w:color="auto" w:fill="FFFFFF"/>
        </w:rPr>
        <w:t>)</w:t>
      </w:r>
      <w:r w:rsidR="00C97E69">
        <w:rPr>
          <w:bCs/>
        </w:rPr>
        <w:t>.</w:t>
      </w:r>
    </w:p>
    <w:p w14:paraId="7CF145D4" w14:textId="08E07EAF" w:rsidR="00C97E69" w:rsidRPr="00F7604C" w:rsidRDefault="00E6535B">
      <w:pPr>
        <w:spacing w:line="480" w:lineRule="auto"/>
        <w:ind w:firstLine="720"/>
        <w:rPr>
          <w:bCs/>
        </w:rPr>
      </w:pPr>
      <w:r w:rsidRPr="007A49E1">
        <w:rPr>
          <w:b/>
          <w:bCs/>
        </w:rPr>
        <w:t>Satisfaction with life</w:t>
      </w:r>
      <w:r w:rsidRPr="007A49E1">
        <w:rPr>
          <w:bCs/>
        </w:rPr>
        <w:t xml:space="preserve">. </w:t>
      </w:r>
      <w:r w:rsidR="0063691C">
        <w:rPr>
          <w:bCs/>
        </w:rPr>
        <w:t>Participants completed the</w:t>
      </w:r>
      <w:r w:rsidRPr="007A49E1">
        <w:rPr>
          <w:bCs/>
        </w:rPr>
        <w:t xml:space="preserve"> 5-item Satisfaction </w:t>
      </w:r>
      <w:r w:rsidR="0011208B">
        <w:rPr>
          <w:bCs/>
        </w:rPr>
        <w:t>w</w:t>
      </w:r>
      <w:r w:rsidRPr="007A49E1">
        <w:rPr>
          <w:bCs/>
        </w:rPr>
        <w:t>ith Life Scale (SWLS; Diener</w:t>
      </w:r>
      <w:r w:rsidR="005C311B">
        <w:rPr>
          <w:bCs/>
        </w:rPr>
        <w:t xml:space="preserve"> et al.</w:t>
      </w:r>
      <w:r w:rsidRPr="007A49E1">
        <w:rPr>
          <w:bCs/>
        </w:rPr>
        <w:t xml:space="preserve"> 1985; Romanian translation: </w:t>
      </w:r>
      <w:proofErr w:type="spellStart"/>
      <w:r w:rsidRPr="007A49E1">
        <w:rPr>
          <w:bCs/>
        </w:rPr>
        <w:t>Lambru</w:t>
      </w:r>
      <w:proofErr w:type="spellEnd"/>
      <w:r w:rsidRPr="007A49E1">
        <w:rPr>
          <w:bCs/>
        </w:rPr>
        <w:t xml:space="preserve"> et al. 2012), which taps global assessments of life satisfaction. Items on this scale were rated on a 7-point scale (1 = </w:t>
      </w:r>
      <w:r w:rsidR="0063691C">
        <w:rPr>
          <w:bCs/>
          <w:i/>
        </w:rPr>
        <w:t>s</w:t>
      </w:r>
      <w:r w:rsidRPr="007A49E1">
        <w:rPr>
          <w:bCs/>
          <w:i/>
        </w:rPr>
        <w:t>trongly disagree</w:t>
      </w:r>
      <w:r w:rsidRPr="007A49E1">
        <w:rPr>
          <w:bCs/>
        </w:rPr>
        <w:t xml:space="preserve">, 7 = </w:t>
      </w:r>
      <w:r w:rsidR="0063691C">
        <w:rPr>
          <w:bCs/>
          <w:i/>
        </w:rPr>
        <w:t>s</w:t>
      </w:r>
      <w:r w:rsidRPr="007A49E1">
        <w:rPr>
          <w:bCs/>
          <w:i/>
        </w:rPr>
        <w:t>trongly agree</w:t>
      </w:r>
      <w:r w:rsidRPr="007A49E1">
        <w:rPr>
          <w:bCs/>
        </w:rPr>
        <w:t>)</w:t>
      </w:r>
      <w:r w:rsidR="0063691C">
        <w:rPr>
          <w:bCs/>
        </w:rPr>
        <w:t xml:space="preserve"> and</w:t>
      </w:r>
      <w:r w:rsidRPr="007A49E1">
        <w:rPr>
          <w:bCs/>
        </w:rPr>
        <w:t xml:space="preserve"> </w:t>
      </w:r>
      <w:r w:rsidR="0063691C">
        <w:rPr>
          <w:bCs/>
        </w:rPr>
        <w:t>a</w:t>
      </w:r>
      <w:r w:rsidRPr="007A49E1">
        <w:rPr>
          <w:bCs/>
        </w:rPr>
        <w:t xml:space="preserve">n overall score was computed at the mean of all </w:t>
      </w:r>
      <w:r w:rsidR="00026B30">
        <w:rPr>
          <w:bCs/>
        </w:rPr>
        <w:t>5</w:t>
      </w:r>
      <w:r w:rsidRPr="007A49E1">
        <w:rPr>
          <w:bCs/>
        </w:rPr>
        <w:t xml:space="preserve"> items</w:t>
      </w:r>
      <w:r w:rsidR="0063691C">
        <w:rPr>
          <w:bCs/>
        </w:rPr>
        <w:t>. Hi</w:t>
      </w:r>
      <w:r w:rsidRPr="007A49E1">
        <w:rPr>
          <w:bCs/>
        </w:rPr>
        <w:t xml:space="preserve">gher scores </w:t>
      </w:r>
      <w:r w:rsidR="0063691C">
        <w:rPr>
          <w:bCs/>
        </w:rPr>
        <w:t xml:space="preserve">on this scale </w:t>
      </w:r>
      <w:r w:rsidRPr="007A49E1">
        <w:rPr>
          <w:bCs/>
        </w:rPr>
        <w:t xml:space="preserve">reflect greater life satisfaction. Scores on the Romanian version of the scale have been shown to have a </w:t>
      </w:r>
      <w:r w:rsidR="0063691C">
        <w:rPr>
          <w:bCs/>
        </w:rPr>
        <w:t>1</w:t>
      </w:r>
      <w:r w:rsidRPr="007A49E1">
        <w:rPr>
          <w:bCs/>
        </w:rPr>
        <w:t xml:space="preserve">-dimensional factor structure and </w:t>
      </w:r>
      <w:r w:rsidR="0063691C">
        <w:rPr>
          <w:bCs/>
        </w:rPr>
        <w:t>adequate</w:t>
      </w:r>
      <w:r w:rsidRPr="007A49E1">
        <w:rPr>
          <w:bCs/>
        </w:rPr>
        <w:t xml:space="preserve"> convergent validity (</w:t>
      </w:r>
      <w:proofErr w:type="spellStart"/>
      <w:r w:rsidRPr="007A49E1">
        <w:rPr>
          <w:bCs/>
        </w:rPr>
        <w:t>Lambru</w:t>
      </w:r>
      <w:proofErr w:type="spellEnd"/>
      <w:r w:rsidRPr="007A49E1">
        <w:rPr>
          <w:bCs/>
        </w:rPr>
        <w:t xml:space="preserve"> et al. 2012). In the present study, </w:t>
      </w:r>
      <w:r w:rsidR="008E6414">
        <w:rPr>
          <w:bCs/>
        </w:rPr>
        <w:t xml:space="preserve">McDonald’s </w:t>
      </w:r>
      <w:r w:rsidR="00026B30" w:rsidRPr="007154A2">
        <w:rPr>
          <w:color w:val="222222"/>
          <w:shd w:val="clear" w:color="auto" w:fill="FFFFFF"/>
        </w:rPr>
        <w:t>ω</w:t>
      </w:r>
      <w:r w:rsidR="0063691C">
        <w:rPr>
          <w:bCs/>
        </w:rPr>
        <w:t xml:space="preserve"> for SWLS scores</w:t>
      </w:r>
      <w:r w:rsidR="004812E7">
        <w:rPr>
          <w:bCs/>
        </w:rPr>
        <w:t xml:space="preserve"> was</w:t>
      </w:r>
      <w:r w:rsidRPr="007A49E1">
        <w:rPr>
          <w:bCs/>
        </w:rPr>
        <w:t xml:space="preserve"> </w:t>
      </w:r>
      <w:r w:rsidR="00297282">
        <w:rPr>
          <w:bCs/>
        </w:rPr>
        <w:t>0</w:t>
      </w:r>
      <w:r w:rsidR="00575F02">
        <w:rPr>
          <w:bCs/>
        </w:rPr>
        <w:t>.88 (</w:t>
      </w:r>
      <w:r w:rsidR="00575F02">
        <w:rPr>
          <w:szCs w:val="20"/>
          <w:shd w:val="clear" w:color="auto" w:fill="FFFFFF"/>
        </w:rPr>
        <w:t xml:space="preserve">95% CI = </w:t>
      </w:r>
      <w:r w:rsidR="00297282">
        <w:rPr>
          <w:szCs w:val="20"/>
          <w:shd w:val="clear" w:color="auto" w:fill="FFFFFF"/>
        </w:rPr>
        <w:t>0</w:t>
      </w:r>
      <w:r w:rsidR="00C97E69" w:rsidRPr="00A9044B">
        <w:rPr>
          <w:szCs w:val="20"/>
          <w:shd w:val="clear" w:color="auto" w:fill="FFFFFF"/>
        </w:rPr>
        <w:t>.</w:t>
      </w:r>
      <w:r w:rsidR="00C97E69">
        <w:rPr>
          <w:szCs w:val="20"/>
          <w:shd w:val="clear" w:color="auto" w:fill="FFFFFF"/>
        </w:rPr>
        <w:t>86</w:t>
      </w:r>
      <w:r w:rsidR="00026B30">
        <w:rPr>
          <w:szCs w:val="20"/>
          <w:shd w:val="clear" w:color="auto" w:fill="FFFFFF"/>
        </w:rPr>
        <w:t>,</w:t>
      </w:r>
      <w:r w:rsidR="00C97E69" w:rsidRPr="00A9044B">
        <w:rPr>
          <w:szCs w:val="20"/>
          <w:shd w:val="clear" w:color="auto" w:fill="FFFFFF"/>
        </w:rPr>
        <w:t xml:space="preserve"> </w:t>
      </w:r>
      <w:r w:rsidR="00297282">
        <w:rPr>
          <w:szCs w:val="20"/>
          <w:shd w:val="clear" w:color="auto" w:fill="FFFFFF"/>
        </w:rPr>
        <w:t>0</w:t>
      </w:r>
      <w:r w:rsidR="00C97E69" w:rsidRPr="00A9044B">
        <w:rPr>
          <w:szCs w:val="20"/>
          <w:shd w:val="clear" w:color="auto" w:fill="FFFFFF"/>
        </w:rPr>
        <w:t>.</w:t>
      </w:r>
      <w:r w:rsidR="00C97E69">
        <w:rPr>
          <w:szCs w:val="20"/>
          <w:shd w:val="clear" w:color="auto" w:fill="FFFFFF"/>
        </w:rPr>
        <w:t>89</w:t>
      </w:r>
      <w:r w:rsidR="00575F02">
        <w:rPr>
          <w:szCs w:val="20"/>
          <w:shd w:val="clear" w:color="auto" w:fill="FFFFFF"/>
        </w:rPr>
        <w:t>)</w:t>
      </w:r>
      <w:r w:rsidR="00C97E69">
        <w:rPr>
          <w:bCs/>
        </w:rPr>
        <w:t>.</w:t>
      </w:r>
    </w:p>
    <w:p w14:paraId="56F44B68" w14:textId="426383AC" w:rsidR="00A9044B" w:rsidRDefault="0063691C" w:rsidP="00A9044B">
      <w:pPr>
        <w:spacing w:line="480" w:lineRule="auto"/>
        <w:ind w:firstLine="720"/>
        <w:rPr>
          <w:bCs/>
        </w:rPr>
      </w:pPr>
      <w:r>
        <w:rPr>
          <w:b/>
          <w:bCs/>
        </w:rPr>
        <w:t>Quality of life</w:t>
      </w:r>
      <w:r>
        <w:rPr>
          <w:bCs/>
        </w:rPr>
        <w:t xml:space="preserve">. To measure quality of life, we used the 8-item </w:t>
      </w:r>
      <w:r w:rsidR="00DC412C">
        <w:rPr>
          <w:bCs/>
        </w:rPr>
        <w:t>EUROHIS-Quality of Life index (EUROHIS-QOL; Schmidt</w:t>
      </w:r>
      <w:r w:rsidR="005C311B">
        <w:rPr>
          <w:bCs/>
        </w:rPr>
        <w:t xml:space="preserve"> et al.</w:t>
      </w:r>
      <w:r w:rsidR="00DC412C">
        <w:rPr>
          <w:bCs/>
        </w:rPr>
        <w:t xml:space="preserve"> 2006), which measures quality of life in the psychological, physical, social, and environmental domains. All items were rated on a 5-point scale (1 = </w:t>
      </w:r>
      <w:r w:rsidR="00DC412C">
        <w:rPr>
          <w:bCs/>
          <w:i/>
        </w:rPr>
        <w:t>not at all</w:t>
      </w:r>
      <w:r w:rsidR="00DC412C">
        <w:rPr>
          <w:bCs/>
        </w:rPr>
        <w:t xml:space="preserve">, 5 = </w:t>
      </w:r>
      <w:r w:rsidR="00DC412C">
        <w:rPr>
          <w:bCs/>
          <w:i/>
        </w:rPr>
        <w:t>completely</w:t>
      </w:r>
      <w:r w:rsidR="00DC412C">
        <w:rPr>
          <w:bCs/>
        </w:rPr>
        <w:t>) and an overall score was computed as the mean of all 8 items. Higher scores on this measure reflect better</w:t>
      </w:r>
      <w:r w:rsidR="007B479A">
        <w:rPr>
          <w:bCs/>
        </w:rPr>
        <w:t xml:space="preserve"> overall</w:t>
      </w:r>
      <w:r w:rsidR="00DC412C">
        <w:rPr>
          <w:bCs/>
        </w:rPr>
        <w:t xml:space="preserve"> quality of life. The Romanian </w:t>
      </w:r>
      <w:r w:rsidR="00DC412C">
        <w:rPr>
          <w:bCs/>
        </w:rPr>
        <w:lastRenderedPageBreak/>
        <w:t>version of the EUROHIS-QOL has been shown to have a 1-dimensional factor structure and adequate convergent and discriminant validity</w:t>
      </w:r>
      <w:r w:rsidR="0011208B">
        <w:rPr>
          <w:bCs/>
        </w:rPr>
        <w:t xml:space="preserve"> (Schmidt et al. 2006).</w:t>
      </w:r>
      <w:r w:rsidR="00DC412C">
        <w:rPr>
          <w:bCs/>
        </w:rPr>
        <w:t xml:space="preserve"> In the present study, </w:t>
      </w:r>
      <w:r w:rsidR="008E6414">
        <w:rPr>
          <w:bCs/>
        </w:rPr>
        <w:t xml:space="preserve">McDonald’s </w:t>
      </w:r>
      <w:r w:rsidR="00026B30" w:rsidRPr="007154A2">
        <w:rPr>
          <w:color w:val="222222"/>
          <w:shd w:val="clear" w:color="auto" w:fill="FFFFFF"/>
        </w:rPr>
        <w:t>ω</w:t>
      </w:r>
      <w:r w:rsidR="00DC412C">
        <w:rPr>
          <w:bCs/>
        </w:rPr>
        <w:t xml:space="preserve"> for </w:t>
      </w:r>
      <w:r w:rsidR="00102BFC">
        <w:rPr>
          <w:bCs/>
        </w:rPr>
        <w:t xml:space="preserve">EUROHIS-QOL was </w:t>
      </w:r>
      <w:r w:rsidR="00297282">
        <w:rPr>
          <w:bCs/>
        </w:rPr>
        <w:t>0</w:t>
      </w:r>
      <w:r w:rsidR="00102BFC">
        <w:rPr>
          <w:bCs/>
        </w:rPr>
        <w:t xml:space="preserve">.86 (95% CI = </w:t>
      </w:r>
      <w:r w:rsidR="00297282">
        <w:rPr>
          <w:bCs/>
        </w:rPr>
        <w:t>0</w:t>
      </w:r>
      <w:r w:rsidR="00102BFC">
        <w:rPr>
          <w:bCs/>
        </w:rPr>
        <w:t xml:space="preserve">.83, </w:t>
      </w:r>
      <w:r w:rsidR="00297282">
        <w:rPr>
          <w:bCs/>
        </w:rPr>
        <w:t>0</w:t>
      </w:r>
      <w:r w:rsidR="00102BFC">
        <w:rPr>
          <w:bCs/>
        </w:rPr>
        <w:t>.87).</w:t>
      </w:r>
    </w:p>
    <w:p w14:paraId="4F229207" w14:textId="77777777" w:rsidR="0053654A" w:rsidRPr="00BB3317" w:rsidRDefault="00BA5500" w:rsidP="0053654A">
      <w:pPr>
        <w:shd w:val="clear" w:color="auto" w:fill="FFFFFF"/>
        <w:spacing w:line="480" w:lineRule="auto"/>
        <w:ind w:firstLine="720"/>
        <w:textAlignment w:val="baseline"/>
        <w:rPr>
          <w:color w:val="000000" w:themeColor="text1"/>
        </w:rPr>
      </w:pPr>
      <w:r>
        <w:rPr>
          <w:b/>
          <w:color w:val="000000" w:themeColor="text1"/>
        </w:rPr>
        <w:t>Demographics</w:t>
      </w:r>
      <w:r w:rsidR="00B5536F">
        <w:rPr>
          <w:color w:val="000000" w:themeColor="text1"/>
        </w:rPr>
        <w:t>.</w:t>
      </w:r>
      <w:r w:rsidR="00A47A89">
        <w:rPr>
          <w:color w:val="000000" w:themeColor="text1"/>
        </w:rPr>
        <w:t xml:space="preserve"> </w:t>
      </w:r>
      <w:r w:rsidR="0053654A">
        <w:rPr>
          <w:color w:val="000000" w:themeColor="text1"/>
        </w:rPr>
        <w:t xml:space="preserve">Participants provided their demographic details, consisting of sex, age, sexual orientation, relationship status, highest educational qualification, and religious beliefs. </w:t>
      </w:r>
    </w:p>
    <w:p w14:paraId="162386CD" w14:textId="1FE7F44C" w:rsidR="00DC412C" w:rsidRPr="00026B30" w:rsidRDefault="00297282" w:rsidP="00A3290E">
      <w:pPr>
        <w:pStyle w:val="Heading2"/>
      </w:pPr>
      <w:r>
        <w:t xml:space="preserve">2.3 </w:t>
      </w:r>
      <w:r w:rsidR="00BA5500" w:rsidRPr="00026B30">
        <w:t>Procedure</w:t>
      </w:r>
    </w:p>
    <w:p w14:paraId="6BF72509" w14:textId="4B352D18" w:rsidR="00DC412C" w:rsidRDefault="00DC412C" w:rsidP="00DC412C">
      <w:pPr>
        <w:spacing w:line="480" w:lineRule="auto"/>
        <w:ind w:firstLine="720"/>
      </w:pPr>
      <w:r>
        <w:t>Once e</w:t>
      </w:r>
      <w:r w:rsidRPr="007A49E1">
        <w:t>thics approval for this project was obtained from the relevant university ethics committee</w:t>
      </w:r>
      <w:r>
        <w:t xml:space="preserve">, the study was advertised on campus locations between May and July 2018. Interested individuals were screened based on inclusion criteria (of the age of majority, citizens of Romania, and fluent in Romanian) and </w:t>
      </w:r>
      <w:r w:rsidR="0053654A">
        <w:t xml:space="preserve">were </w:t>
      </w:r>
      <w:r>
        <w:t xml:space="preserve">provided with an information sheet that contained brief information about the project. Those who met inclusion criteria and agreed to participate in the study provided written informed consent. </w:t>
      </w:r>
      <w:r w:rsidRPr="007A49E1">
        <w:t xml:space="preserve">They then completed an anonymous paper-and-pencil questionnaire in a private cubicle. The questionnaire took approximately 20 minutes to complete and the order of presentation of the </w:t>
      </w:r>
      <w:r w:rsidR="00EF7031">
        <w:t>measures</w:t>
      </w:r>
      <w:r w:rsidRPr="007A49E1">
        <w:t xml:space="preserve"> above was </w:t>
      </w:r>
      <w:r w:rsidR="0053654A">
        <w:t xml:space="preserve">counter-balanced </w:t>
      </w:r>
      <w:r w:rsidR="00EF7031">
        <w:t>for each participant.</w:t>
      </w:r>
      <w:r w:rsidRPr="007A49E1">
        <w:t xml:space="preserve"> All participation was voluntary and participants </w:t>
      </w:r>
      <w:r w:rsidR="00635302">
        <w:t>were not remunerated</w:t>
      </w:r>
      <w:r w:rsidRPr="007A49E1">
        <w:t>.</w:t>
      </w:r>
      <w:r>
        <w:t xml:space="preserve"> </w:t>
      </w:r>
      <w:r w:rsidRPr="007A49E1">
        <w:t>Upon return of completed questionnaires, participants were provided with written debrief information.</w:t>
      </w:r>
    </w:p>
    <w:p w14:paraId="0354BDD0" w14:textId="0E528144" w:rsidR="00DC412C" w:rsidRPr="00026B30" w:rsidRDefault="00297282" w:rsidP="00A3290E">
      <w:pPr>
        <w:pStyle w:val="Heading2"/>
      </w:pPr>
      <w:r>
        <w:t xml:space="preserve">2.4 </w:t>
      </w:r>
      <w:r w:rsidR="00EF7031" w:rsidRPr="00026B30">
        <w:t>Translation</w:t>
      </w:r>
    </w:p>
    <w:p w14:paraId="038135D4" w14:textId="35FC0239" w:rsidR="00223815" w:rsidRDefault="00635302" w:rsidP="0053654A">
      <w:pPr>
        <w:autoSpaceDE w:val="0"/>
        <w:autoSpaceDN w:val="0"/>
        <w:adjustRightInd w:val="0"/>
        <w:spacing w:line="480" w:lineRule="auto"/>
        <w:rPr>
          <w:b/>
          <w:i/>
        </w:rPr>
      </w:pPr>
      <w:r>
        <w:rPr>
          <w:color w:val="000000" w:themeColor="text1"/>
        </w:rPr>
        <w:tab/>
        <w:t>A Romanian translation of the SPQ was prepared using a combination of the back-translation and committee approaches (</w:t>
      </w:r>
      <w:proofErr w:type="spellStart"/>
      <w:r>
        <w:rPr>
          <w:color w:val="000000" w:themeColor="text1"/>
        </w:rPr>
        <w:t>Brislin</w:t>
      </w:r>
      <w:proofErr w:type="spellEnd"/>
      <w:r>
        <w:rPr>
          <w:color w:val="000000" w:themeColor="text1"/>
        </w:rPr>
        <w:t xml:space="preserve"> 1970</w:t>
      </w:r>
      <w:r w:rsidR="0011208B">
        <w:rPr>
          <w:color w:val="000000" w:themeColor="text1"/>
        </w:rPr>
        <w:t>, 1976</w:t>
      </w:r>
      <w:r>
        <w:rPr>
          <w:color w:val="000000" w:themeColor="text1"/>
        </w:rPr>
        <w:t>). First, a bilingual translator blindly forward-translated the SPQ items, instructions, and response categories from English to Romanian. A second bilingual translator then independently back-translated the SPQ from Romanian to English. The two versions of the SPQ were then compared for conceptual</w:t>
      </w:r>
      <w:r w:rsidR="00A87D94">
        <w:rPr>
          <w:color w:val="000000" w:themeColor="text1"/>
        </w:rPr>
        <w:t xml:space="preserve"> (i.e., </w:t>
      </w:r>
      <w:r w:rsidR="00A87D94" w:rsidRPr="009039D8">
        <w:rPr>
          <w:color w:val="000000" w:themeColor="text1"/>
        </w:rPr>
        <w:t>measures the same constructs</w:t>
      </w:r>
      <w:r w:rsidR="00A87D94">
        <w:rPr>
          <w:color w:val="000000" w:themeColor="text1"/>
        </w:rPr>
        <w:t xml:space="preserve"> which</w:t>
      </w:r>
      <w:r w:rsidR="00A87D94" w:rsidRPr="009039D8">
        <w:rPr>
          <w:color w:val="000000" w:themeColor="text1"/>
        </w:rPr>
        <w:t xml:space="preserve"> retain the same meaning</w:t>
      </w:r>
      <w:r w:rsidR="00A87D94">
        <w:rPr>
          <w:color w:val="000000" w:themeColor="text1"/>
        </w:rPr>
        <w:t>)</w:t>
      </w:r>
      <w:r>
        <w:rPr>
          <w:color w:val="000000" w:themeColor="text1"/>
        </w:rPr>
        <w:t>, item</w:t>
      </w:r>
      <w:r w:rsidR="00A87D94">
        <w:rPr>
          <w:color w:val="000000" w:themeColor="text1"/>
        </w:rPr>
        <w:t xml:space="preserve"> (i.e., </w:t>
      </w:r>
      <w:r w:rsidR="00A87D94" w:rsidRPr="009039D8">
        <w:rPr>
          <w:color w:val="000000" w:themeColor="text1"/>
        </w:rPr>
        <w:t xml:space="preserve">individual items tap </w:t>
      </w:r>
      <w:r w:rsidR="00A87D94" w:rsidRPr="009039D8">
        <w:rPr>
          <w:color w:val="000000" w:themeColor="text1"/>
        </w:rPr>
        <w:lastRenderedPageBreak/>
        <w:t>the construct</w:t>
      </w:r>
      <w:r w:rsidR="00A87D94">
        <w:rPr>
          <w:color w:val="000000" w:themeColor="text1"/>
        </w:rPr>
        <w:t>)</w:t>
      </w:r>
      <w:r>
        <w:rPr>
          <w:color w:val="000000" w:themeColor="text1"/>
        </w:rPr>
        <w:t>, semantic</w:t>
      </w:r>
      <w:r w:rsidR="00A87D94">
        <w:rPr>
          <w:color w:val="000000" w:themeColor="text1"/>
        </w:rPr>
        <w:t xml:space="preserve"> (i.e., the </w:t>
      </w:r>
      <w:r w:rsidR="00A87D94" w:rsidRPr="009039D8">
        <w:rPr>
          <w:color w:val="000000" w:themeColor="text1"/>
          <w:shd w:val="clear" w:color="auto" w:fill="FFFFFF"/>
        </w:rPr>
        <w:t>meaning of concepts tapped in the original measure are retained</w:t>
      </w:r>
      <w:r w:rsidR="00A87D94">
        <w:rPr>
          <w:color w:val="000000" w:themeColor="text1"/>
          <w:shd w:val="clear" w:color="auto" w:fill="FFFFFF"/>
        </w:rPr>
        <w:t>)</w:t>
      </w:r>
      <w:r>
        <w:rPr>
          <w:color w:val="000000" w:themeColor="text1"/>
        </w:rPr>
        <w:t>, and operational equivalence</w:t>
      </w:r>
      <w:r w:rsidR="007B6D76">
        <w:rPr>
          <w:color w:val="000000" w:themeColor="text1"/>
        </w:rPr>
        <w:t xml:space="preserve"> (i.e., </w:t>
      </w:r>
      <w:r w:rsidR="007B6D76" w:rsidRPr="009039D8">
        <w:rPr>
          <w:color w:val="000000" w:themeColor="text1"/>
          <w:shd w:val="clear" w:color="auto" w:fill="FFFFFF"/>
        </w:rPr>
        <w:t xml:space="preserve">characteristics </w:t>
      </w:r>
      <w:r w:rsidR="007B6D76">
        <w:rPr>
          <w:color w:val="000000" w:themeColor="text1"/>
          <w:shd w:val="clear" w:color="auto" w:fill="FFFFFF"/>
        </w:rPr>
        <w:t>of the</w:t>
      </w:r>
      <w:r w:rsidR="007B6D76" w:rsidRPr="009039D8">
        <w:rPr>
          <w:color w:val="000000" w:themeColor="text1"/>
          <w:shd w:val="clear" w:color="auto" w:fill="FFFFFF"/>
        </w:rPr>
        <w:t xml:space="preserve"> instrument</w:t>
      </w:r>
      <w:r w:rsidR="007B6D76">
        <w:rPr>
          <w:color w:val="000000" w:themeColor="text1"/>
          <w:shd w:val="clear" w:color="auto" w:fill="FFFFFF"/>
        </w:rPr>
        <w:t xml:space="preserve"> remains the same) (see Swami and Barron 2019)</w:t>
      </w:r>
      <w:r>
        <w:rPr>
          <w:color w:val="000000" w:themeColor="text1"/>
        </w:rPr>
        <w:t xml:space="preserve">. Where there were discrepancies, a third bilingual translator retranslated the items from English to Romanian. This process continued until all translators agreed that the two versions of the SPQ were identical in meaning. </w:t>
      </w:r>
      <w:r w:rsidR="009C38B3">
        <w:rPr>
          <w:color w:val="000000" w:themeColor="text1"/>
        </w:rPr>
        <w:t>Separately, the second, fourth, and fifth authors – all of whom are bilingual – forward-translated the SPQ from English to Romanian. This version was compared to the final back-translated version described earlier and minor item-level discrepancies were resolved through consensus. The final version of the Romanian SPQ is available from the second author.</w:t>
      </w:r>
    </w:p>
    <w:p w14:paraId="0EFAC303" w14:textId="07C052AF" w:rsidR="005F52AE" w:rsidRPr="00BB3317" w:rsidRDefault="00297282" w:rsidP="00A3290E">
      <w:pPr>
        <w:pStyle w:val="Heading2"/>
      </w:pPr>
      <w:r>
        <w:t xml:space="preserve">2.5 </w:t>
      </w:r>
      <w:r w:rsidR="005F52AE">
        <w:t>Analytic Strategy</w:t>
      </w:r>
    </w:p>
    <w:p w14:paraId="4517F805" w14:textId="20C522E3" w:rsidR="005F52AE" w:rsidRPr="00AF57F5" w:rsidRDefault="008B4369" w:rsidP="008B4369">
      <w:pPr>
        <w:spacing w:line="480" w:lineRule="auto"/>
        <w:ind w:firstLine="720"/>
      </w:pPr>
      <w:r>
        <w:t xml:space="preserve">Little (1988)’s Missing Completely at Random (MCAR) test </w:t>
      </w:r>
      <w:r w:rsidR="00026B30">
        <w:t>showed</w:t>
      </w:r>
      <w:r>
        <w:t xml:space="preserve"> the data were not missing completely at random, </w:t>
      </w:r>
      <w:r w:rsidR="00AF57F5" w:rsidRPr="00BB3317">
        <w:rPr>
          <w:color w:val="545454"/>
          <w:shd w:val="clear" w:color="auto" w:fill="FFFFFF"/>
        </w:rPr>
        <w:t>χ</w:t>
      </w:r>
      <w:r w:rsidR="00AF57F5" w:rsidRPr="00BB3317">
        <w:rPr>
          <w:color w:val="545454"/>
          <w:shd w:val="clear" w:color="auto" w:fill="FFFFFF"/>
          <w:vertAlign w:val="superscript"/>
        </w:rPr>
        <w:t>2</w:t>
      </w:r>
      <w:r w:rsidR="00BB3317">
        <w:rPr>
          <w:color w:val="545454"/>
          <w:shd w:val="clear" w:color="auto" w:fill="FFFFFF"/>
          <w:vertAlign w:val="superscript"/>
        </w:rPr>
        <w:t xml:space="preserve"> </w:t>
      </w:r>
      <w:r w:rsidR="00BB3317">
        <w:rPr>
          <w:color w:val="545454"/>
          <w:shd w:val="clear" w:color="auto" w:fill="FFFFFF"/>
        </w:rPr>
        <w:t>=</w:t>
      </w:r>
      <w:r w:rsidR="006D1ED1">
        <w:t xml:space="preserve"> </w:t>
      </w:r>
      <w:r w:rsidR="002031ED">
        <w:t xml:space="preserve">3882.161, </w:t>
      </w:r>
      <w:r w:rsidR="00BB3317">
        <w:t>df</w:t>
      </w:r>
      <w:r w:rsidR="002031ED">
        <w:t xml:space="preserve"> = 3653, </w:t>
      </w:r>
      <w:r w:rsidR="002031ED" w:rsidRPr="00BB3317">
        <w:rPr>
          <w:i/>
        </w:rPr>
        <w:t>p</w:t>
      </w:r>
      <w:r w:rsidR="002031ED">
        <w:t xml:space="preserve"> = </w:t>
      </w:r>
      <w:r w:rsidR="00297282">
        <w:t>0</w:t>
      </w:r>
      <w:r w:rsidR="002031ED">
        <w:t>.004</w:t>
      </w:r>
      <w:r w:rsidR="00AF57F5">
        <w:t xml:space="preserve">. </w:t>
      </w:r>
      <w:r>
        <w:t xml:space="preserve">However as missing data only accounted for </w:t>
      </w:r>
      <w:r w:rsidR="007B479A">
        <w:t>0</w:t>
      </w:r>
      <w:r>
        <w:t>.5% of the data, individual missing data points was imputed using the mode replacement technique</w:t>
      </w:r>
      <w:r w:rsidR="00575F02">
        <w:t xml:space="preserve"> for categorical values</w:t>
      </w:r>
      <w:r w:rsidR="00857FE8">
        <w:t xml:space="preserve"> (Acuna </w:t>
      </w:r>
      <w:r w:rsidR="00CE5D3D">
        <w:t>and</w:t>
      </w:r>
      <w:r w:rsidR="00857FE8">
        <w:t xml:space="preserve"> Rodriguez 2004)</w:t>
      </w:r>
      <w:r>
        <w:t xml:space="preserve">. </w:t>
      </w:r>
      <w:r w:rsidR="00223815">
        <w:t xml:space="preserve">The </w:t>
      </w:r>
      <w:proofErr w:type="spellStart"/>
      <w:r w:rsidR="00223815" w:rsidRPr="00F8124C">
        <w:rPr>
          <w:i/>
        </w:rPr>
        <w:t>Lavaan</w:t>
      </w:r>
      <w:proofErr w:type="spellEnd"/>
      <w:r w:rsidR="00223815">
        <w:t xml:space="preserve"> package (</w:t>
      </w:r>
      <w:proofErr w:type="spellStart"/>
      <w:r w:rsidR="00223815">
        <w:t>Rosseel</w:t>
      </w:r>
      <w:proofErr w:type="spellEnd"/>
      <w:r w:rsidR="00223815">
        <w:t xml:space="preserve"> 2012) with </w:t>
      </w:r>
      <w:r w:rsidR="00223815" w:rsidRPr="00BB3317">
        <w:rPr>
          <w:i/>
        </w:rPr>
        <w:t>R</w:t>
      </w:r>
      <w:r w:rsidR="00223815">
        <w:t xml:space="preserve"> (</w:t>
      </w:r>
      <w:r w:rsidR="00223815" w:rsidRPr="00BB3317">
        <w:rPr>
          <w:i/>
        </w:rPr>
        <w:t>R</w:t>
      </w:r>
      <w:r w:rsidR="00223815">
        <w:t xml:space="preserve"> Development Core Team 2014) was used to conduct CFA, where</w:t>
      </w:r>
      <w:r w:rsidR="005F52AE">
        <w:t xml:space="preserve"> the</w:t>
      </w:r>
      <w:r w:rsidR="00223815">
        <w:t xml:space="preserve"> higher-order factor structure of SPQ scores was examined. </w:t>
      </w:r>
      <w:r w:rsidR="00E26DB1" w:rsidRPr="00633A38">
        <w:rPr>
          <w:color w:val="000000" w:themeColor="text1"/>
          <w:shd w:val="clear" w:color="auto" w:fill="FFFFFF"/>
        </w:rPr>
        <w:t>Proactive Monte Carlo simulations (</w:t>
      </w:r>
      <w:proofErr w:type="spellStart"/>
      <w:r w:rsidR="00E26DB1" w:rsidRPr="00633A38">
        <w:rPr>
          <w:color w:val="000000" w:themeColor="text1"/>
          <w:shd w:val="clear" w:color="auto" w:fill="FFFFFF"/>
        </w:rPr>
        <w:t>Marcoulides</w:t>
      </w:r>
      <w:proofErr w:type="spellEnd"/>
      <w:r w:rsidR="00E26DB1" w:rsidRPr="00633A38">
        <w:rPr>
          <w:color w:val="000000" w:themeColor="text1"/>
          <w:shd w:val="clear" w:color="auto" w:fill="FFFFFF"/>
        </w:rPr>
        <w:t xml:space="preserve"> </w:t>
      </w:r>
      <w:r w:rsidR="00F44AA4">
        <w:rPr>
          <w:color w:val="000000" w:themeColor="text1"/>
          <w:shd w:val="clear" w:color="auto" w:fill="FFFFFF"/>
        </w:rPr>
        <w:t>and</w:t>
      </w:r>
      <w:r w:rsidR="00E26DB1" w:rsidRPr="00633A38">
        <w:rPr>
          <w:color w:val="000000" w:themeColor="text1"/>
          <w:shd w:val="clear" w:color="auto" w:fill="FFFFFF"/>
        </w:rPr>
        <w:t xml:space="preserve"> Chin 2013) indicated that a sample size of </w:t>
      </w:r>
      <w:r w:rsidR="00E26DB1">
        <w:rPr>
          <w:color w:val="000000" w:themeColor="text1"/>
          <w:shd w:val="clear" w:color="auto" w:fill="FFFFFF"/>
        </w:rPr>
        <w:t>490</w:t>
      </w:r>
      <w:r w:rsidR="00E26DB1" w:rsidRPr="00633A38">
        <w:rPr>
          <w:color w:val="000000" w:themeColor="text1"/>
          <w:shd w:val="clear" w:color="auto" w:fill="FFFFFF"/>
        </w:rPr>
        <w:t xml:space="preserve"> would </w:t>
      </w:r>
      <w:r w:rsidR="00E26DB1">
        <w:rPr>
          <w:color w:val="000000" w:themeColor="text1"/>
          <w:shd w:val="clear" w:color="auto" w:fill="FFFFFF"/>
        </w:rPr>
        <w:t>be sufficient for this analysis, which was surpassed in our study</w:t>
      </w:r>
      <w:r w:rsidR="00987A57">
        <w:rPr>
          <w:color w:val="000000" w:themeColor="text1"/>
          <w:shd w:val="clear" w:color="auto" w:fill="FFFFFF"/>
        </w:rPr>
        <w:t xml:space="preserve">. </w:t>
      </w:r>
      <w:r w:rsidR="009A71F6" w:rsidRPr="00A54EC3">
        <w:rPr>
          <w:rStyle w:val="fontstyle11"/>
        </w:rPr>
        <w:t>Shapiro-Wilk tests for</w:t>
      </w:r>
      <w:r w:rsidR="009A71F6" w:rsidRPr="00A54EC3">
        <w:rPr>
          <w:color w:val="000000"/>
        </w:rPr>
        <w:t xml:space="preserve"> </w:t>
      </w:r>
      <w:r w:rsidR="009A71F6" w:rsidRPr="00A54EC3">
        <w:rPr>
          <w:rStyle w:val="fontstyle11"/>
        </w:rPr>
        <w:t xml:space="preserve">normality were violated across all subscales in the present sample, </w:t>
      </w:r>
      <w:r w:rsidR="009A71F6" w:rsidRPr="00A54EC3">
        <w:rPr>
          <w:color w:val="000000"/>
        </w:rPr>
        <w:t xml:space="preserve">with </w:t>
      </w:r>
      <w:proofErr w:type="spellStart"/>
      <w:r w:rsidR="009A71F6" w:rsidRPr="00A54EC3">
        <w:rPr>
          <w:color w:val="000000"/>
        </w:rPr>
        <w:t>Mardia’s</w:t>
      </w:r>
      <w:proofErr w:type="spellEnd"/>
      <w:r w:rsidR="009A71F6" w:rsidRPr="00A54EC3">
        <w:rPr>
          <w:color w:val="000000"/>
        </w:rPr>
        <w:t xml:space="preserve"> multivariate coefficient for SPQ </w:t>
      </w:r>
      <w:r w:rsidR="009A71F6">
        <w:rPr>
          <w:color w:val="000000"/>
        </w:rPr>
        <w:t xml:space="preserve">score </w:t>
      </w:r>
      <w:r w:rsidR="009A71F6" w:rsidRPr="00A54EC3">
        <w:rPr>
          <w:color w:val="000000"/>
        </w:rPr>
        <w:t>skewness (</w:t>
      </w:r>
      <w:r w:rsidR="009A71F6">
        <w:rPr>
          <w:color w:val="000000"/>
        </w:rPr>
        <w:t>1129.02</w:t>
      </w:r>
      <w:r w:rsidR="009A71F6" w:rsidRPr="00A54EC3">
        <w:rPr>
          <w:color w:val="000000"/>
        </w:rPr>
        <w:t>) and kurtosis (</w:t>
      </w:r>
      <w:r w:rsidR="009A71F6">
        <w:rPr>
          <w:color w:val="000000"/>
        </w:rPr>
        <w:t>11.08</w:t>
      </w:r>
      <w:r w:rsidR="009A71F6" w:rsidRPr="00A54EC3">
        <w:rPr>
          <w:color w:val="000000"/>
        </w:rPr>
        <w:t>) also violated (</w:t>
      </w:r>
      <w:proofErr w:type="spellStart"/>
      <w:r w:rsidR="009A71F6" w:rsidRPr="00A54EC3">
        <w:rPr>
          <w:i/>
          <w:iCs/>
          <w:color w:val="000000"/>
        </w:rPr>
        <w:t>p</w:t>
      </w:r>
      <w:r w:rsidR="009A71F6" w:rsidRPr="00A54EC3">
        <w:rPr>
          <w:color w:val="000000"/>
        </w:rPr>
        <w:t>s</w:t>
      </w:r>
      <w:proofErr w:type="spellEnd"/>
      <w:r w:rsidR="009A71F6" w:rsidRPr="00A54EC3">
        <w:rPr>
          <w:color w:val="000000"/>
        </w:rPr>
        <w:t xml:space="preserve"> &lt; </w:t>
      </w:r>
      <w:r w:rsidR="00297282">
        <w:rPr>
          <w:color w:val="000000"/>
        </w:rPr>
        <w:t>0</w:t>
      </w:r>
      <w:r w:rsidR="009A71F6" w:rsidRPr="00A54EC3">
        <w:rPr>
          <w:color w:val="000000"/>
        </w:rPr>
        <w:t>.001</w:t>
      </w:r>
      <w:r w:rsidR="009A71F6">
        <w:rPr>
          <w:color w:val="000000"/>
        </w:rPr>
        <w:t xml:space="preserve">). For this reason, </w:t>
      </w:r>
      <w:r w:rsidR="009A71F6" w:rsidRPr="00AF6537">
        <w:rPr>
          <w:color w:val="000000" w:themeColor="text1"/>
          <w:shd w:val="clear" w:color="auto" w:fill="FFFFFF"/>
        </w:rPr>
        <w:t xml:space="preserve">parameter estimates were obtained using the robust maximum likelihood method with </w:t>
      </w:r>
      <w:r w:rsidR="009A71F6" w:rsidRPr="00AF6537">
        <w:rPr>
          <w:rFonts w:asciiTheme="majorBidi" w:hAnsiTheme="majorBidi" w:cstheme="majorBidi"/>
          <w:color w:val="000000" w:themeColor="text1"/>
        </w:rPr>
        <w:t xml:space="preserve">the </w:t>
      </w:r>
      <w:proofErr w:type="spellStart"/>
      <w:r w:rsidR="009A71F6" w:rsidRPr="00AF6537">
        <w:rPr>
          <w:rFonts w:asciiTheme="majorBidi" w:hAnsiTheme="majorBidi" w:cstheme="majorBidi"/>
          <w:color w:val="000000" w:themeColor="text1"/>
        </w:rPr>
        <w:t>Satorra-Bentler</w:t>
      </w:r>
      <w:proofErr w:type="spellEnd"/>
      <w:r w:rsidR="009A71F6" w:rsidRPr="00AF6537">
        <w:rPr>
          <w:rFonts w:asciiTheme="majorBidi" w:hAnsiTheme="majorBidi" w:cstheme="majorBidi"/>
          <w:color w:val="000000" w:themeColor="text1"/>
        </w:rPr>
        <w:t xml:space="preserve"> correction </w:t>
      </w:r>
      <w:r w:rsidR="009A71F6" w:rsidRPr="00AF6537">
        <w:rPr>
          <w:rFonts w:eastAsiaTheme="minorHAnsi"/>
          <w:color w:val="000000" w:themeColor="text1"/>
          <w:lang w:val="en-US"/>
        </w:rPr>
        <w:t>(</w:t>
      </w:r>
      <w:proofErr w:type="spellStart"/>
      <w:r w:rsidR="009A71F6" w:rsidRPr="00AF6537">
        <w:rPr>
          <w:rFonts w:eastAsiaTheme="minorHAnsi"/>
          <w:color w:val="000000" w:themeColor="text1"/>
          <w:lang w:val="en-US"/>
        </w:rPr>
        <w:t>Satorra</w:t>
      </w:r>
      <w:proofErr w:type="spellEnd"/>
      <w:r w:rsidR="009A71F6" w:rsidRPr="00AF6537">
        <w:rPr>
          <w:rFonts w:eastAsiaTheme="minorHAnsi"/>
          <w:color w:val="000000" w:themeColor="text1"/>
          <w:lang w:val="en-US"/>
        </w:rPr>
        <w:t xml:space="preserve"> </w:t>
      </w:r>
      <w:r w:rsidR="00F44AA4">
        <w:rPr>
          <w:rFonts w:eastAsiaTheme="minorHAnsi"/>
          <w:color w:val="000000" w:themeColor="text1"/>
          <w:lang w:val="en-US"/>
        </w:rPr>
        <w:t>and</w:t>
      </w:r>
      <w:r w:rsidR="009A71F6" w:rsidRPr="00AF6537">
        <w:rPr>
          <w:rFonts w:eastAsiaTheme="minorHAnsi"/>
          <w:color w:val="000000" w:themeColor="text1"/>
          <w:lang w:val="en-US"/>
        </w:rPr>
        <w:t xml:space="preserve"> </w:t>
      </w:r>
      <w:proofErr w:type="spellStart"/>
      <w:r w:rsidR="009A71F6" w:rsidRPr="00AF6537">
        <w:rPr>
          <w:rFonts w:eastAsiaTheme="minorHAnsi"/>
          <w:color w:val="000000" w:themeColor="text1"/>
          <w:lang w:val="en-US"/>
        </w:rPr>
        <w:t>Bentler</w:t>
      </w:r>
      <w:proofErr w:type="spellEnd"/>
      <w:r w:rsidR="009A71F6" w:rsidRPr="00AF6537">
        <w:rPr>
          <w:rFonts w:eastAsiaTheme="minorHAnsi"/>
          <w:color w:val="000000" w:themeColor="text1"/>
          <w:lang w:val="en-US"/>
        </w:rPr>
        <w:t xml:space="preserve"> 2001).</w:t>
      </w:r>
      <w:r w:rsidR="009A71F6">
        <w:rPr>
          <w:rFonts w:eastAsiaTheme="minorHAnsi"/>
          <w:color w:val="000000" w:themeColor="text1"/>
          <w:lang w:val="en-US"/>
        </w:rPr>
        <w:t xml:space="preserve"> To assess goodness-of-fit, we used the normed model chi-square (</w:t>
      </w:r>
      <w:r w:rsidR="009A71F6" w:rsidRPr="009039D8">
        <w:rPr>
          <w:bCs/>
          <w:iCs/>
          <w:color w:val="000000" w:themeColor="text1"/>
          <w:shd w:val="clear" w:color="auto" w:fill="FFFFFF"/>
        </w:rPr>
        <w:t>χ</w:t>
      </w:r>
      <w:r w:rsidR="009A71F6" w:rsidRPr="009039D8">
        <w:rPr>
          <w:bCs/>
          <w:color w:val="000000" w:themeColor="text1"/>
          <w:shd w:val="clear" w:color="auto" w:fill="FFFFFF"/>
        </w:rPr>
        <w:t>²</w:t>
      </w:r>
      <w:r w:rsidR="009A71F6" w:rsidRPr="009039D8">
        <w:rPr>
          <w:color w:val="000000" w:themeColor="text1"/>
        </w:rPr>
        <w:t>/df</w:t>
      </w:r>
      <w:r w:rsidR="009A71F6">
        <w:rPr>
          <w:color w:val="000000" w:themeColor="text1"/>
        </w:rPr>
        <w:t xml:space="preserve">), with values &lt; 3.0 considered indicative of good fit (Hu </w:t>
      </w:r>
      <w:r w:rsidR="00F44AA4">
        <w:rPr>
          <w:color w:val="000000" w:themeColor="text1"/>
        </w:rPr>
        <w:t>and</w:t>
      </w:r>
      <w:r w:rsidR="009A71F6">
        <w:rPr>
          <w:color w:val="000000" w:themeColor="text1"/>
        </w:rPr>
        <w:t xml:space="preserve"> </w:t>
      </w:r>
      <w:proofErr w:type="spellStart"/>
      <w:r w:rsidR="009A71F6">
        <w:rPr>
          <w:color w:val="000000" w:themeColor="text1"/>
        </w:rPr>
        <w:t>Bentler</w:t>
      </w:r>
      <w:proofErr w:type="spellEnd"/>
      <w:r w:rsidR="00B17BE3">
        <w:rPr>
          <w:color w:val="000000" w:themeColor="text1"/>
        </w:rPr>
        <w:t xml:space="preserve"> </w:t>
      </w:r>
      <w:r w:rsidR="009A71F6">
        <w:rPr>
          <w:color w:val="000000" w:themeColor="text1"/>
        </w:rPr>
        <w:t>1999) and values up to 5.0 considered adequate (Wheaton</w:t>
      </w:r>
      <w:r w:rsidR="00F44AA4">
        <w:rPr>
          <w:color w:val="000000" w:themeColor="text1"/>
        </w:rPr>
        <w:t xml:space="preserve"> et al.</w:t>
      </w:r>
      <w:r w:rsidR="009A71F6">
        <w:rPr>
          <w:color w:val="000000" w:themeColor="text1"/>
        </w:rPr>
        <w:t xml:space="preserve"> 1977).</w:t>
      </w:r>
      <w:r w:rsidR="009A71F6">
        <w:rPr>
          <w:color w:val="000000"/>
        </w:rPr>
        <w:t xml:space="preserve"> </w:t>
      </w:r>
      <w:r w:rsidR="00223815">
        <w:t xml:space="preserve">The </w:t>
      </w:r>
      <w:proofErr w:type="spellStart"/>
      <w:r w:rsidR="00223815">
        <w:t>Steiger</w:t>
      </w:r>
      <w:proofErr w:type="spellEnd"/>
      <w:r w:rsidR="00223815">
        <w:t xml:space="preserve">-Lind root mean square error of approximation (RMSEA) </w:t>
      </w:r>
      <w:r w:rsidR="00223815">
        <w:lastRenderedPageBreak/>
        <w:t xml:space="preserve">and its 90% confidence interval provide a correction for model complexity. RMSEA values approximating </w:t>
      </w:r>
      <w:r w:rsidR="00297282">
        <w:t>0</w:t>
      </w:r>
      <w:r w:rsidR="00223815">
        <w:t xml:space="preserve">.06 demonstrate good fit, with values ranging to </w:t>
      </w:r>
      <w:r w:rsidR="00297282">
        <w:t>0</w:t>
      </w:r>
      <w:r w:rsidR="00421B58">
        <w:t>.</w:t>
      </w:r>
      <w:r w:rsidR="00223815">
        <w:t xml:space="preserve">10 revealing mediocre fit (Hu </w:t>
      </w:r>
      <w:r w:rsidR="00F44AA4">
        <w:t>and</w:t>
      </w:r>
      <w:r w:rsidR="00223815">
        <w:t xml:space="preserve"> </w:t>
      </w:r>
      <w:proofErr w:type="spellStart"/>
      <w:r w:rsidR="00223815">
        <w:t>Bentler</w:t>
      </w:r>
      <w:proofErr w:type="spellEnd"/>
      <w:r w:rsidR="00223815">
        <w:t xml:space="preserve"> 1999). The standardised root mean square residual (SRMR) and the weighted root mean square residual (WRMR) assesses the mean absolute correlation residual and is a badness-of fit index: the smaller the values, the better the model fit. A cut-off value for SRMR indicating a reasonable fit is recommended to be &lt; </w:t>
      </w:r>
      <w:r w:rsidR="00297282">
        <w:t>0</w:t>
      </w:r>
      <w:r w:rsidR="00223815">
        <w:t xml:space="preserve">.09 and &lt; </w:t>
      </w:r>
      <w:r w:rsidR="00297282">
        <w:t>0</w:t>
      </w:r>
      <w:r w:rsidR="00223815">
        <w:t xml:space="preserve">.08 for WRMR (Brown 2015; Hu </w:t>
      </w:r>
      <w:r w:rsidR="00F44AA4">
        <w:t>and</w:t>
      </w:r>
      <w:r w:rsidR="00223815">
        <w:t xml:space="preserve"> </w:t>
      </w:r>
      <w:proofErr w:type="spellStart"/>
      <w:r w:rsidR="00223815">
        <w:t>Bentler</w:t>
      </w:r>
      <w:proofErr w:type="spellEnd"/>
      <w:r w:rsidR="00223815">
        <w:t xml:space="preserve"> 1999). The comparative fit index (CFI) measures the proportionate improvement in fit by comparing a target model with a more restricted, nested baseline model. The CFI reflects a goodness-of-fit index and is recommended to</w:t>
      </w:r>
      <w:r w:rsidR="007B479A">
        <w:t xml:space="preserve"> be</w:t>
      </w:r>
      <w:r w:rsidR="00223815">
        <w:t xml:space="preserve"> close to or &gt; </w:t>
      </w:r>
      <w:r w:rsidR="00297282">
        <w:t>0</w:t>
      </w:r>
      <w:r w:rsidR="00223815">
        <w:t xml:space="preserve">.95 for adequate fit (Hu </w:t>
      </w:r>
      <w:r w:rsidR="00F44AA4">
        <w:t>and</w:t>
      </w:r>
      <w:r w:rsidR="00223815">
        <w:t xml:space="preserve"> </w:t>
      </w:r>
      <w:proofErr w:type="spellStart"/>
      <w:r w:rsidR="00223815">
        <w:t>Bentler</w:t>
      </w:r>
      <w:proofErr w:type="spellEnd"/>
      <w:r w:rsidR="00223815">
        <w:t xml:space="preserve"> 1999). The Tucker-Lewis index (TLI) is indicative of a level of relative fit, with values close to or &gt; </w:t>
      </w:r>
      <w:r w:rsidR="00297282">
        <w:t>0</w:t>
      </w:r>
      <w:r w:rsidR="00223815">
        <w:t xml:space="preserve">.95 for good fit (Hu and </w:t>
      </w:r>
      <w:proofErr w:type="spellStart"/>
      <w:r w:rsidR="00223815">
        <w:t>Bentler</w:t>
      </w:r>
      <w:proofErr w:type="spellEnd"/>
      <w:r w:rsidR="00223815">
        <w:t xml:space="preserve"> 1999). </w:t>
      </w:r>
      <w:proofErr w:type="spellStart"/>
      <w:r w:rsidR="00223815">
        <w:t>Bollen</w:t>
      </w:r>
      <w:r w:rsidR="00C61889">
        <w:t>’</w:t>
      </w:r>
      <w:r w:rsidR="00223815">
        <w:t>s</w:t>
      </w:r>
      <w:proofErr w:type="spellEnd"/>
      <w:r w:rsidR="00223815">
        <w:t xml:space="preserve"> Incremental Fit Index (BL89) was also used with values close to or &gt; </w:t>
      </w:r>
      <w:r w:rsidR="00297282">
        <w:t>0</w:t>
      </w:r>
      <w:r w:rsidR="00223815">
        <w:t xml:space="preserve">.95 signifying an acceptable fit (Hu </w:t>
      </w:r>
      <w:r w:rsidR="00F44AA4">
        <w:t>and</w:t>
      </w:r>
      <w:r w:rsidR="00223815">
        <w:t xml:space="preserve"> </w:t>
      </w:r>
      <w:proofErr w:type="spellStart"/>
      <w:r w:rsidR="00223815">
        <w:t>Bentler</w:t>
      </w:r>
      <w:proofErr w:type="spellEnd"/>
      <w:r w:rsidR="00223815">
        <w:t xml:space="preserve"> 1999). The Akaike information criterion (AIC) and Bayesian information criterion (BIC) was used to compare non-hierarchical factor structures, with preference given to the lowest values. </w:t>
      </w:r>
    </w:p>
    <w:p w14:paraId="4392BEEB" w14:textId="2BC12B3F" w:rsidR="00421B58" w:rsidRDefault="00223815" w:rsidP="009A71F6">
      <w:pPr>
        <w:spacing w:line="480" w:lineRule="auto"/>
        <w:ind w:firstLine="720"/>
        <w:rPr>
          <w:bCs/>
        </w:rPr>
      </w:pPr>
      <w:r>
        <w:t xml:space="preserve">To determine if the best-fitting model was invariant across </w:t>
      </w:r>
      <w:r w:rsidR="009A71F6">
        <w:t>sex</w:t>
      </w:r>
      <w:r>
        <w:t xml:space="preserve">, measurement invariance was tested </w:t>
      </w:r>
      <w:r w:rsidR="009A71F6">
        <w:t xml:space="preserve">using multi-group CFA (Chen 2007). </w:t>
      </w:r>
      <w:r w:rsidR="009A71F6" w:rsidRPr="008B756F">
        <w:rPr>
          <w:color w:val="000000" w:themeColor="text1"/>
        </w:rPr>
        <w:t xml:space="preserve">Configural invariance implies that the latent </w:t>
      </w:r>
      <w:r w:rsidR="007B479A">
        <w:rPr>
          <w:color w:val="000000" w:themeColor="text1"/>
        </w:rPr>
        <w:t>SPQ</w:t>
      </w:r>
      <w:r w:rsidR="009A71F6">
        <w:rPr>
          <w:color w:val="000000" w:themeColor="text1"/>
        </w:rPr>
        <w:t xml:space="preserve"> variable</w:t>
      </w:r>
      <w:r w:rsidR="007B479A">
        <w:rPr>
          <w:color w:val="000000" w:themeColor="text1"/>
        </w:rPr>
        <w:t>s</w:t>
      </w:r>
      <w:r w:rsidR="009A71F6" w:rsidRPr="008B756F">
        <w:rPr>
          <w:color w:val="000000" w:themeColor="text1"/>
        </w:rPr>
        <w:t xml:space="preserve"> and the pattern of loadings of </w:t>
      </w:r>
      <w:r w:rsidR="009A71F6">
        <w:rPr>
          <w:color w:val="000000" w:themeColor="text1"/>
        </w:rPr>
        <w:t>the latent variable</w:t>
      </w:r>
      <w:r w:rsidR="009A71F6" w:rsidRPr="008B756F">
        <w:rPr>
          <w:color w:val="000000" w:themeColor="text1"/>
        </w:rPr>
        <w:t xml:space="preserve"> on indicators are similar across </w:t>
      </w:r>
      <w:r w:rsidR="007B479A">
        <w:rPr>
          <w:color w:val="000000" w:themeColor="text1"/>
        </w:rPr>
        <w:t>sex</w:t>
      </w:r>
      <w:r w:rsidR="009A71F6" w:rsidRPr="008B756F">
        <w:rPr>
          <w:color w:val="000000" w:themeColor="text1"/>
        </w:rPr>
        <w:t xml:space="preserve">. Metric invariance implies that the magnitude of the loadings is similar across groups and is tested by comparing two nested models consisting of a baseline model and an invariance model. </w:t>
      </w:r>
      <w:r w:rsidR="009A71F6">
        <w:rPr>
          <w:color w:val="000000" w:themeColor="text1"/>
        </w:rPr>
        <w:t xml:space="preserve">Because </w:t>
      </w:r>
      <w:r w:rsidR="009A71F6" w:rsidRPr="008B756F">
        <w:rPr>
          <w:color w:val="000000" w:themeColor="text1"/>
        </w:rPr>
        <w:t xml:space="preserve">the </w:t>
      </w:r>
      <w:r w:rsidR="009A71F6" w:rsidRPr="008B756F">
        <w:rPr>
          <w:rFonts w:eastAsia="Arial Unicode MS"/>
          <w:color w:val="000000" w:themeColor="text1"/>
          <w:shd w:val="clear" w:color="auto" w:fill="FFFFFF"/>
        </w:rPr>
        <w:t>Δ</w:t>
      </w:r>
      <w:r w:rsidR="009A71F6" w:rsidRPr="008B756F">
        <w:rPr>
          <w:bCs/>
          <w:i/>
          <w:iCs/>
          <w:color w:val="000000" w:themeColor="text1"/>
          <w:shd w:val="clear" w:color="auto" w:fill="FFFFFF"/>
        </w:rPr>
        <w:t>χ</w:t>
      </w:r>
      <w:r w:rsidR="009A71F6" w:rsidRPr="008B756F">
        <w:rPr>
          <w:bCs/>
          <w:color w:val="000000" w:themeColor="text1"/>
          <w:shd w:val="clear" w:color="auto" w:fill="FFFFFF"/>
        </w:rPr>
        <w:t xml:space="preserve">² statistic </w:t>
      </w:r>
      <w:r w:rsidR="009A71F6">
        <w:rPr>
          <w:bCs/>
          <w:color w:val="000000" w:themeColor="text1"/>
          <w:shd w:val="clear" w:color="auto" w:fill="FFFFFF"/>
        </w:rPr>
        <w:t>is</w:t>
      </w:r>
      <w:r w:rsidR="009A71F6" w:rsidRPr="008B756F">
        <w:rPr>
          <w:bCs/>
          <w:color w:val="000000" w:themeColor="text1"/>
          <w:shd w:val="clear" w:color="auto" w:fill="FFFFFF"/>
        </w:rPr>
        <w:t xml:space="preserve"> overly stringent</w:t>
      </w:r>
      <w:r w:rsidR="009A71F6">
        <w:rPr>
          <w:bCs/>
          <w:color w:val="000000" w:themeColor="text1"/>
          <w:shd w:val="clear" w:color="auto" w:fill="FFFFFF"/>
        </w:rPr>
        <w:t xml:space="preserve"> to determine</w:t>
      </w:r>
      <w:r w:rsidR="009A71F6" w:rsidRPr="008B756F">
        <w:rPr>
          <w:bCs/>
          <w:color w:val="000000" w:themeColor="text1"/>
          <w:shd w:val="clear" w:color="auto" w:fill="FFFFFF"/>
        </w:rPr>
        <w:t xml:space="preserve"> criterion invariance</w:t>
      </w:r>
      <w:r w:rsidR="009A71F6">
        <w:rPr>
          <w:bCs/>
          <w:color w:val="000000" w:themeColor="text1"/>
          <w:shd w:val="clear" w:color="auto" w:fill="FFFFFF"/>
        </w:rPr>
        <w:t xml:space="preserve"> (</w:t>
      </w:r>
      <w:r w:rsidR="009A71F6" w:rsidRPr="008B756F">
        <w:rPr>
          <w:bCs/>
          <w:color w:val="000000" w:themeColor="text1"/>
          <w:shd w:val="clear" w:color="auto" w:fill="FFFFFF"/>
        </w:rPr>
        <w:t>Meade</w:t>
      </w:r>
      <w:r w:rsidR="00F44AA4">
        <w:rPr>
          <w:bCs/>
          <w:color w:val="000000" w:themeColor="text1"/>
          <w:shd w:val="clear" w:color="auto" w:fill="FFFFFF"/>
        </w:rPr>
        <w:t xml:space="preserve"> et al.</w:t>
      </w:r>
      <w:r w:rsidR="009A71F6" w:rsidRPr="008B756F">
        <w:rPr>
          <w:bCs/>
          <w:color w:val="000000" w:themeColor="text1"/>
          <w:shd w:val="clear" w:color="auto" w:fill="FFFFFF"/>
        </w:rPr>
        <w:t xml:space="preserve"> 2008</w:t>
      </w:r>
      <w:r w:rsidR="009A71F6">
        <w:rPr>
          <w:bCs/>
          <w:color w:val="000000" w:themeColor="text1"/>
          <w:shd w:val="clear" w:color="auto" w:fill="FFFFFF"/>
        </w:rPr>
        <w:t xml:space="preserve">), we used </w:t>
      </w:r>
      <w:r w:rsidR="009A71F6" w:rsidRPr="008B756F">
        <w:rPr>
          <w:rFonts w:eastAsia="Arial Unicode MS"/>
          <w:color w:val="000000" w:themeColor="text1"/>
          <w:shd w:val="clear" w:color="auto" w:fill="FFFFFF"/>
        </w:rPr>
        <w:t>ΔCFI</w:t>
      </w:r>
      <w:r w:rsidR="009A71F6">
        <w:rPr>
          <w:rFonts w:eastAsia="Arial Unicode MS"/>
          <w:color w:val="000000" w:themeColor="text1"/>
          <w:shd w:val="clear" w:color="auto" w:fill="FFFFFF"/>
        </w:rPr>
        <w:t xml:space="preserve"> </w:t>
      </w:r>
      <w:r w:rsidR="00AD1055" w:rsidRPr="002607DA">
        <w:rPr>
          <w:rFonts w:eastAsia="Arial Unicode MS"/>
          <w:color w:val="000000" w:themeColor="text1"/>
          <w:shd w:val="clear" w:color="auto" w:fill="FFFFFF"/>
        </w:rPr>
        <w:t>≥ -0.01</w:t>
      </w:r>
      <w:r w:rsidR="009A71F6">
        <w:rPr>
          <w:rFonts w:eastAsia="Arial Unicode MS"/>
          <w:color w:val="000000" w:themeColor="text1"/>
          <w:shd w:val="clear" w:color="auto" w:fill="FFFFFF"/>
        </w:rPr>
        <w:t xml:space="preserve"> as an indicator of metric invariance (</w:t>
      </w:r>
      <w:r w:rsidR="009A71F6" w:rsidRPr="008B756F">
        <w:rPr>
          <w:bCs/>
          <w:color w:val="000000" w:themeColor="text1"/>
          <w:shd w:val="clear" w:color="auto" w:fill="FFFFFF"/>
        </w:rPr>
        <w:t xml:space="preserve">Cheung </w:t>
      </w:r>
      <w:r w:rsidR="00F44AA4">
        <w:rPr>
          <w:bCs/>
          <w:color w:val="000000" w:themeColor="text1"/>
          <w:shd w:val="clear" w:color="auto" w:fill="FFFFFF"/>
        </w:rPr>
        <w:t>and</w:t>
      </w:r>
      <w:r w:rsidR="009A71F6" w:rsidRPr="008B756F">
        <w:rPr>
          <w:bCs/>
          <w:color w:val="000000" w:themeColor="text1"/>
          <w:shd w:val="clear" w:color="auto" w:fill="FFFFFF"/>
        </w:rPr>
        <w:t xml:space="preserve"> </w:t>
      </w:r>
      <w:proofErr w:type="spellStart"/>
      <w:r w:rsidR="009A71F6" w:rsidRPr="008B756F">
        <w:rPr>
          <w:bCs/>
          <w:color w:val="000000" w:themeColor="text1"/>
          <w:shd w:val="clear" w:color="auto" w:fill="FFFFFF"/>
        </w:rPr>
        <w:t>Rensvold</w:t>
      </w:r>
      <w:proofErr w:type="spellEnd"/>
      <w:r w:rsidR="009A71F6" w:rsidRPr="008B756F">
        <w:rPr>
          <w:bCs/>
          <w:color w:val="000000" w:themeColor="text1"/>
          <w:shd w:val="clear" w:color="auto" w:fill="FFFFFF"/>
        </w:rPr>
        <w:t xml:space="preserve"> 2002; Meade</w:t>
      </w:r>
      <w:r w:rsidR="00B0356C">
        <w:rPr>
          <w:bCs/>
          <w:color w:val="000000" w:themeColor="text1"/>
          <w:shd w:val="clear" w:color="auto" w:fill="FFFFFF"/>
        </w:rPr>
        <w:t xml:space="preserve"> et al.</w:t>
      </w:r>
      <w:r w:rsidR="009A71F6" w:rsidRPr="008B756F">
        <w:rPr>
          <w:bCs/>
          <w:color w:val="000000" w:themeColor="text1"/>
          <w:shd w:val="clear" w:color="auto" w:fill="FFFFFF"/>
        </w:rPr>
        <w:t xml:space="preserve"> 2008). </w:t>
      </w:r>
      <w:r w:rsidR="009A71F6" w:rsidRPr="00ED5ADD">
        <w:rPr>
          <w:color w:val="000000" w:themeColor="text1"/>
        </w:rPr>
        <w:t xml:space="preserve">Finally, </w:t>
      </w:r>
      <w:r w:rsidR="009A71F6" w:rsidRPr="008B756F">
        <w:rPr>
          <w:color w:val="000000" w:themeColor="text1"/>
        </w:rPr>
        <w:t>scalar invariance</w:t>
      </w:r>
      <w:r w:rsidR="009A71F6">
        <w:rPr>
          <w:color w:val="000000" w:themeColor="text1"/>
        </w:rPr>
        <w:t xml:space="preserve"> </w:t>
      </w:r>
      <w:r w:rsidR="009A71F6" w:rsidRPr="00ED5ADD">
        <w:rPr>
          <w:color w:val="000000" w:themeColor="text1"/>
        </w:rPr>
        <w:t>implies that both the item loadings and item intercepts are similar across groups and is examined using the same nested-model comparison strategy as with metric invariance (Chen 2007).</w:t>
      </w:r>
      <w:r w:rsidR="009A71F6">
        <w:rPr>
          <w:color w:val="000000" w:themeColor="text1"/>
        </w:rPr>
        <w:t xml:space="preserve"> </w:t>
      </w:r>
      <w:r w:rsidR="009A71F6" w:rsidRPr="008B756F">
        <w:rPr>
          <w:bCs/>
          <w:color w:val="000000" w:themeColor="text1"/>
          <w:shd w:val="clear" w:color="auto" w:fill="FFFFFF"/>
        </w:rPr>
        <w:t xml:space="preserve">For scalar </w:t>
      </w:r>
      <w:r w:rsidR="009A71F6" w:rsidRPr="008B756F">
        <w:rPr>
          <w:bCs/>
          <w:color w:val="000000" w:themeColor="text1"/>
          <w:shd w:val="clear" w:color="auto" w:fill="FFFFFF"/>
        </w:rPr>
        <w:lastRenderedPageBreak/>
        <w:t xml:space="preserve">invariance, Chen (2007) suggested that invariance is supported when </w:t>
      </w:r>
      <w:r w:rsidR="009A71F6" w:rsidRPr="008B756F">
        <w:rPr>
          <w:rFonts w:eastAsia="Arial Unicode MS"/>
          <w:color w:val="000000" w:themeColor="text1"/>
          <w:shd w:val="clear" w:color="auto" w:fill="FFFFFF"/>
        </w:rPr>
        <w:t xml:space="preserve">ΔCFI </w:t>
      </w:r>
      <w:r w:rsidR="002607DA" w:rsidRPr="002607DA">
        <w:rPr>
          <w:rFonts w:eastAsia="Arial Unicode MS"/>
          <w:color w:val="000000" w:themeColor="text1"/>
          <w:shd w:val="clear" w:color="auto" w:fill="FFFFFF"/>
        </w:rPr>
        <w:t>≥ -0.01</w:t>
      </w:r>
      <w:r w:rsidR="009A71F6" w:rsidRPr="008B756F">
        <w:rPr>
          <w:rFonts w:eastAsia="Arial Unicode MS"/>
          <w:color w:val="000000" w:themeColor="text1"/>
          <w:shd w:val="clear" w:color="auto" w:fill="FFFFFF"/>
        </w:rPr>
        <w:t xml:space="preserve"> </w:t>
      </w:r>
      <w:r w:rsidR="009A71F6" w:rsidRPr="008B756F">
        <w:rPr>
          <w:rFonts w:eastAsia="Arial Unicode MS"/>
          <w:i/>
          <w:color w:val="000000" w:themeColor="text1"/>
          <w:shd w:val="clear" w:color="auto" w:fill="FFFFFF"/>
        </w:rPr>
        <w:t>and</w:t>
      </w:r>
      <w:r w:rsidR="009A71F6" w:rsidRPr="008B756F">
        <w:rPr>
          <w:rFonts w:eastAsia="Arial Unicode MS"/>
          <w:color w:val="000000" w:themeColor="text1"/>
          <w:shd w:val="clear" w:color="auto" w:fill="FFFFFF"/>
        </w:rPr>
        <w:t xml:space="preserve"> ΔRMSEA &lt; </w:t>
      </w:r>
      <w:r w:rsidR="00297282">
        <w:rPr>
          <w:rFonts w:eastAsia="Arial Unicode MS"/>
          <w:color w:val="000000" w:themeColor="text1"/>
          <w:shd w:val="clear" w:color="auto" w:fill="FFFFFF"/>
        </w:rPr>
        <w:t>0</w:t>
      </w:r>
      <w:r w:rsidR="009A71F6" w:rsidRPr="008B756F">
        <w:rPr>
          <w:rFonts w:eastAsia="Arial Unicode MS"/>
          <w:color w:val="000000" w:themeColor="text1"/>
          <w:shd w:val="clear" w:color="auto" w:fill="FFFFFF"/>
        </w:rPr>
        <w:t xml:space="preserve">.015 </w:t>
      </w:r>
      <w:r w:rsidR="009A71F6" w:rsidRPr="008B756F">
        <w:rPr>
          <w:rFonts w:eastAsia="Arial Unicode MS"/>
          <w:i/>
          <w:color w:val="000000" w:themeColor="text1"/>
          <w:shd w:val="clear" w:color="auto" w:fill="FFFFFF"/>
        </w:rPr>
        <w:t>or</w:t>
      </w:r>
      <w:r w:rsidR="009A71F6" w:rsidRPr="008B756F">
        <w:rPr>
          <w:rFonts w:eastAsia="Arial Unicode MS"/>
          <w:color w:val="000000" w:themeColor="text1"/>
          <w:shd w:val="clear" w:color="auto" w:fill="FFFFFF"/>
        </w:rPr>
        <w:t xml:space="preserve"> ΔSRMR &lt; </w:t>
      </w:r>
      <w:r w:rsidR="00297282">
        <w:rPr>
          <w:rFonts w:eastAsia="Arial Unicode MS"/>
          <w:color w:val="000000" w:themeColor="text1"/>
          <w:shd w:val="clear" w:color="auto" w:fill="FFFFFF"/>
        </w:rPr>
        <w:t>0</w:t>
      </w:r>
      <w:r w:rsidR="009A71F6" w:rsidRPr="008B756F">
        <w:rPr>
          <w:rFonts w:eastAsia="Arial Unicode MS"/>
          <w:color w:val="000000" w:themeColor="text1"/>
          <w:shd w:val="clear" w:color="auto" w:fill="FFFFFF"/>
        </w:rPr>
        <w:t>.03, although other scholars suggest that Δ</w:t>
      </w:r>
      <w:proofErr w:type="gramStart"/>
      <w:r w:rsidR="009A71F6" w:rsidRPr="008B756F">
        <w:rPr>
          <w:rFonts w:eastAsia="Arial Unicode MS"/>
          <w:color w:val="000000" w:themeColor="text1"/>
          <w:shd w:val="clear" w:color="auto" w:fill="FFFFFF"/>
        </w:rPr>
        <w:t>CFI</w:t>
      </w:r>
      <w:r w:rsidR="002607DA">
        <w:rPr>
          <w:rFonts w:eastAsia="Arial Unicode MS"/>
          <w:color w:val="000000" w:themeColor="text1"/>
          <w:shd w:val="clear" w:color="auto" w:fill="FFFFFF"/>
        </w:rPr>
        <w:t xml:space="preserve"> </w:t>
      </w:r>
      <w:r w:rsidR="002607DA" w:rsidRPr="002607DA">
        <w:rPr>
          <w:rFonts w:eastAsia="Arial Unicode MS"/>
          <w:color w:val="000000" w:themeColor="text1"/>
          <w:shd w:val="clear" w:color="auto" w:fill="FFFFFF"/>
        </w:rPr>
        <w:t xml:space="preserve"> ≥</w:t>
      </w:r>
      <w:proofErr w:type="gramEnd"/>
      <w:r w:rsidR="002607DA" w:rsidRPr="002607DA">
        <w:rPr>
          <w:rFonts w:eastAsia="Arial Unicode MS"/>
          <w:color w:val="000000" w:themeColor="text1"/>
          <w:shd w:val="clear" w:color="auto" w:fill="FFFFFF"/>
        </w:rPr>
        <w:t xml:space="preserve"> -0.01</w:t>
      </w:r>
      <w:r w:rsidR="009A71F6" w:rsidRPr="008B756F">
        <w:rPr>
          <w:rFonts w:eastAsia="Arial Unicode MS"/>
          <w:color w:val="000000" w:themeColor="text1"/>
          <w:shd w:val="clear" w:color="auto" w:fill="FFFFFF"/>
        </w:rPr>
        <w:t xml:space="preserve"> is sufficient (Cheung </w:t>
      </w:r>
      <w:r w:rsidR="00F44AA4">
        <w:rPr>
          <w:rFonts w:eastAsia="Arial Unicode MS"/>
          <w:color w:val="000000" w:themeColor="text1"/>
          <w:shd w:val="clear" w:color="auto" w:fill="FFFFFF"/>
        </w:rPr>
        <w:t>and</w:t>
      </w:r>
      <w:r w:rsidR="009A71F6" w:rsidRPr="008B756F">
        <w:rPr>
          <w:rFonts w:eastAsia="Arial Unicode MS"/>
          <w:color w:val="000000" w:themeColor="text1"/>
          <w:shd w:val="clear" w:color="auto" w:fill="FFFFFF"/>
        </w:rPr>
        <w:t xml:space="preserve"> </w:t>
      </w:r>
      <w:proofErr w:type="spellStart"/>
      <w:r w:rsidR="009A71F6" w:rsidRPr="008B756F">
        <w:rPr>
          <w:rFonts w:eastAsia="Arial Unicode MS"/>
          <w:color w:val="000000" w:themeColor="text1"/>
          <w:shd w:val="clear" w:color="auto" w:fill="FFFFFF"/>
        </w:rPr>
        <w:t>Rensvold</w:t>
      </w:r>
      <w:proofErr w:type="spellEnd"/>
      <w:r w:rsidR="009A71F6" w:rsidRPr="008B756F">
        <w:rPr>
          <w:rFonts w:eastAsia="Arial Unicode MS"/>
          <w:color w:val="000000" w:themeColor="text1"/>
          <w:shd w:val="clear" w:color="auto" w:fill="FFFFFF"/>
        </w:rPr>
        <w:t xml:space="preserve"> 2002).</w:t>
      </w:r>
      <w:r w:rsidR="009A71F6">
        <w:t xml:space="preserve"> </w:t>
      </w:r>
      <w:r w:rsidR="007B479A">
        <w:t>B</w:t>
      </w:r>
      <w:r w:rsidR="009A71F6">
        <w:t xml:space="preserve">ivariate </w:t>
      </w:r>
      <w:r w:rsidR="00421B58">
        <w:t>associations were considered for the higher</w:t>
      </w:r>
      <w:r w:rsidR="00D64D7A">
        <w:t>-</w:t>
      </w:r>
      <w:r w:rsidR="00421B58">
        <w:t>order domains of the best fitting SPQ model and s</w:t>
      </w:r>
      <w:r w:rsidR="00421B58" w:rsidRPr="00421B58">
        <w:rPr>
          <w:bCs/>
        </w:rPr>
        <w:t>elf-</w:t>
      </w:r>
      <w:r w:rsidR="00421B58">
        <w:rPr>
          <w:bCs/>
        </w:rPr>
        <w:t>e</w:t>
      </w:r>
      <w:r w:rsidR="00421B58" w:rsidRPr="00421B58">
        <w:rPr>
          <w:bCs/>
        </w:rPr>
        <w:t xml:space="preserve">steem, </w:t>
      </w:r>
      <w:r w:rsidR="00421B58">
        <w:rPr>
          <w:bCs/>
        </w:rPr>
        <w:t>s</w:t>
      </w:r>
      <w:r w:rsidR="00421B58" w:rsidRPr="00421B58">
        <w:rPr>
          <w:bCs/>
        </w:rPr>
        <w:t>atisfaction</w:t>
      </w:r>
      <w:r w:rsidR="00421B58">
        <w:rPr>
          <w:bCs/>
        </w:rPr>
        <w:t xml:space="preserve"> </w:t>
      </w:r>
      <w:r w:rsidR="00421B58" w:rsidRPr="00421B58">
        <w:rPr>
          <w:bCs/>
        </w:rPr>
        <w:t xml:space="preserve">with </w:t>
      </w:r>
      <w:r w:rsidR="00421B58">
        <w:rPr>
          <w:bCs/>
        </w:rPr>
        <w:t>l</w:t>
      </w:r>
      <w:r w:rsidR="00421B58" w:rsidRPr="00421B58">
        <w:rPr>
          <w:bCs/>
        </w:rPr>
        <w:t>ife</w:t>
      </w:r>
      <w:r w:rsidR="00421B58">
        <w:rPr>
          <w:bCs/>
        </w:rPr>
        <w:t>, and q</w:t>
      </w:r>
      <w:r w:rsidR="00421B58" w:rsidRPr="00421B58">
        <w:rPr>
          <w:bCs/>
        </w:rPr>
        <w:t xml:space="preserve">uality of </w:t>
      </w:r>
      <w:r w:rsidR="00421B58">
        <w:rPr>
          <w:bCs/>
        </w:rPr>
        <w:t>l</w:t>
      </w:r>
      <w:r w:rsidR="00421B58" w:rsidRPr="00421B58">
        <w:rPr>
          <w:bCs/>
        </w:rPr>
        <w:t>ife ind</w:t>
      </w:r>
      <w:r w:rsidR="00421B58">
        <w:rPr>
          <w:bCs/>
        </w:rPr>
        <w:t>ices.</w:t>
      </w:r>
      <w:r w:rsidR="007B479A">
        <w:rPr>
          <w:bCs/>
        </w:rPr>
        <w:t xml:space="preserve"> Finally, </w:t>
      </w:r>
      <w:r w:rsidR="00E20B40">
        <w:rPr>
          <w:bCs/>
        </w:rPr>
        <w:t xml:space="preserve">concurrent </w:t>
      </w:r>
      <w:r w:rsidR="007B479A">
        <w:rPr>
          <w:bCs/>
        </w:rPr>
        <w:t xml:space="preserve">validity was assessed through separate multiple linear regressions with self-esteem, satisfaction with life, and quality of life, respectively, as the criterion variables. </w:t>
      </w:r>
    </w:p>
    <w:p w14:paraId="6FB314CF" w14:textId="2C9C2E69" w:rsidR="009A71F6" w:rsidRPr="00BB3317" w:rsidRDefault="00297282" w:rsidP="00A3290E">
      <w:pPr>
        <w:pStyle w:val="Heading1"/>
      </w:pPr>
      <w:r>
        <w:t xml:space="preserve">3. </w:t>
      </w:r>
      <w:r w:rsidR="009A71F6">
        <w:t>Results</w:t>
      </w:r>
    </w:p>
    <w:p w14:paraId="7A12E3C1" w14:textId="2FECA134" w:rsidR="00092498" w:rsidRDefault="00B5536F" w:rsidP="00BB3317">
      <w:pPr>
        <w:spacing w:line="480" w:lineRule="auto"/>
        <w:ind w:firstLine="720"/>
      </w:pPr>
      <w:r>
        <w:rPr>
          <w:rStyle w:val="fontstyle11"/>
        </w:rPr>
        <w:t>Table 1 shows descriptive statistics</w:t>
      </w:r>
      <w:r w:rsidR="009A71F6">
        <w:rPr>
          <w:rStyle w:val="fontstyle11"/>
        </w:rPr>
        <w:t xml:space="preserve"> and internal consistency coefficients (</w:t>
      </w:r>
      <w:r w:rsidR="00783D23">
        <w:rPr>
          <w:rStyle w:val="fontstyle11"/>
        </w:rPr>
        <w:t xml:space="preserve">McDonald’s </w:t>
      </w:r>
      <w:r w:rsidR="00026B30" w:rsidRPr="007154A2">
        <w:rPr>
          <w:color w:val="222222"/>
          <w:shd w:val="clear" w:color="auto" w:fill="FFFFFF"/>
        </w:rPr>
        <w:t>ω</w:t>
      </w:r>
      <w:r w:rsidR="009A71F6">
        <w:rPr>
          <w:rStyle w:val="fontstyle11"/>
        </w:rPr>
        <w:t xml:space="preserve"> and its 95% CI) </w:t>
      </w:r>
      <w:r>
        <w:rPr>
          <w:rStyle w:val="fontstyle11"/>
        </w:rPr>
        <w:t>for the</w:t>
      </w:r>
      <w:r w:rsidRPr="005D5086">
        <w:rPr>
          <w:color w:val="000000"/>
        </w:rPr>
        <w:t xml:space="preserve"> </w:t>
      </w:r>
      <w:r w:rsidR="00026B30">
        <w:rPr>
          <w:color w:val="000000"/>
        </w:rPr>
        <w:t>9</w:t>
      </w:r>
      <w:r w:rsidRPr="005D5086">
        <w:rPr>
          <w:color w:val="000000"/>
        </w:rPr>
        <w:t xml:space="preserve"> subscales </w:t>
      </w:r>
      <w:r w:rsidR="00421B58">
        <w:rPr>
          <w:color w:val="000000"/>
        </w:rPr>
        <w:t xml:space="preserve">of the </w:t>
      </w:r>
      <w:r>
        <w:rPr>
          <w:rStyle w:val="fontstyle11"/>
        </w:rPr>
        <w:t xml:space="preserve">SPQ </w:t>
      </w:r>
      <w:r w:rsidRPr="00DE7CD9">
        <w:rPr>
          <w:rStyle w:val="fontstyle11"/>
        </w:rPr>
        <w:t>(range =</w:t>
      </w:r>
      <w:r w:rsidR="00297282">
        <w:rPr>
          <w:rStyle w:val="fontstyle11"/>
        </w:rPr>
        <w:t xml:space="preserve"> 0</w:t>
      </w:r>
      <w:r w:rsidR="008D2178">
        <w:rPr>
          <w:rStyle w:val="fontstyle11"/>
        </w:rPr>
        <w:t>.68</w:t>
      </w:r>
      <w:r w:rsidR="00297282">
        <w:rPr>
          <w:rStyle w:val="fontstyle11"/>
        </w:rPr>
        <w:t xml:space="preserve"> </w:t>
      </w:r>
      <w:r w:rsidR="008D2178">
        <w:rPr>
          <w:rStyle w:val="fontstyle11"/>
        </w:rPr>
        <w:t>-</w:t>
      </w:r>
      <w:r w:rsidR="00297282">
        <w:rPr>
          <w:rStyle w:val="fontstyle11"/>
        </w:rPr>
        <w:t xml:space="preserve"> 0</w:t>
      </w:r>
      <w:r w:rsidR="008D2178">
        <w:rPr>
          <w:rStyle w:val="fontstyle11"/>
        </w:rPr>
        <w:t>.84</w:t>
      </w:r>
      <w:r w:rsidR="00693C75">
        <w:rPr>
          <w:rStyle w:val="fontstyle11"/>
        </w:rPr>
        <w:t xml:space="preserve">, mean = </w:t>
      </w:r>
      <w:r w:rsidR="00297282">
        <w:rPr>
          <w:rStyle w:val="fontstyle11"/>
        </w:rPr>
        <w:t>0</w:t>
      </w:r>
      <w:r w:rsidR="00693C75">
        <w:rPr>
          <w:rStyle w:val="fontstyle11"/>
        </w:rPr>
        <w:t>.75</w:t>
      </w:r>
      <w:r w:rsidRPr="007950E7">
        <w:rPr>
          <w:rStyle w:val="fontstyle11"/>
        </w:rPr>
        <w:t>)</w:t>
      </w:r>
      <w:r w:rsidR="007950E7" w:rsidRPr="007950E7">
        <w:rPr>
          <w:rStyle w:val="fontstyle11"/>
        </w:rPr>
        <w:t xml:space="preserve">. </w:t>
      </w:r>
      <w:r w:rsidR="007950E7">
        <w:t xml:space="preserve">Table </w:t>
      </w:r>
      <w:r w:rsidR="00215D3C">
        <w:t>2</w:t>
      </w:r>
      <w:r w:rsidR="00092498">
        <w:t xml:space="preserve"> shows the fit indices for the </w:t>
      </w:r>
      <w:r w:rsidR="00382764">
        <w:t>models that were tested (i.e.,</w:t>
      </w:r>
      <w:r w:rsidR="00693C75">
        <w:t xml:space="preserve"> </w:t>
      </w:r>
      <w:r w:rsidR="00026B30">
        <w:t xml:space="preserve">the </w:t>
      </w:r>
      <w:r w:rsidR="00693C75">
        <w:t>3-factor model, 4-factor model, and alternative 4-factor structure).</w:t>
      </w:r>
      <w:r w:rsidR="00382764">
        <w:t xml:space="preserve"> </w:t>
      </w:r>
      <w:r w:rsidR="00092498">
        <w:t xml:space="preserve">Indices for </w:t>
      </w:r>
      <w:r w:rsidR="00382764">
        <w:t xml:space="preserve">the </w:t>
      </w:r>
      <w:r w:rsidR="00092498">
        <w:t>3-factor model (Raine</w:t>
      </w:r>
      <w:r w:rsidR="0069779D">
        <w:t xml:space="preserve"> et al.</w:t>
      </w:r>
      <w:r w:rsidR="00092498">
        <w:t xml:space="preserve"> 1994) wer</w:t>
      </w:r>
      <w:r w:rsidR="008D2178">
        <w:t>e</w:t>
      </w:r>
      <w:r w:rsidR="00092498">
        <w:t xml:space="preserve"> found to be below levels of acceptability and had </w:t>
      </w:r>
      <w:r w:rsidR="00382764">
        <w:t>poor</w:t>
      </w:r>
      <w:r w:rsidR="00092498">
        <w:t xml:space="preserve"> fit for our data. The inclusion of the </w:t>
      </w:r>
      <w:r w:rsidR="00D64D7A">
        <w:t>P</w:t>
      </w:r>
      <w:r w:rsidR="00092498">
        <w:t>aranoid factor for</w:t>
      </w:r>
      <w:r w:rsidR="004A73E6">
        <w:t xml:space="preserve"> the 4-factor model</w:t>
      </w:r>
      <w:r w:rsidR="00092498">
        <w:t xml:space="preserve"> and </w:t>
      </w:r>
      <w:r w:rsidR="004A73E6">
        <w:t xml:space="preserve">alternative 4-factor structure </w:t>
      </w:r>
      <w:r w:rsidR="00026B30">
        <w:t>i</w:t>
      </w:r>
      <w:r w:rsidR="00092498">
        <w:t>mproved fit for our data. While the fit indices for</w:t>
      </w:r>
      <w:r w:rsidR="004A73E6">
        <w:t xml:space="preserve"> the alternative 4-factor structure </w:t>
      </w:r>
      <w:r w:rsidR="00092498">
        <w:t>(Compton et al 2009) were found to be adequate, when using indices of comparison (AIC and BIC)</w:t>
      </w:r>
      <w:r w:rsidR="000712A6">
        <w:t xml:space="preserve"> and overall fit indices</w:t>
      </w:r>
      <w:r w:rsidR="00092498">
        <w:t xml:space="preserve">, </w:t>
      </w:r>
      <w:r w:rsidR="004A73E6">
        <w:t>the 4-factor model</w:t>
      </w:r>
      <w:r w:rsidR="00092498">
        <w:t xml:space="preserve"> (</w:t>
      </w:r>
      <w:proofErr w:type="spellStart"/>
      <w:r w:rsidR="00092498">
        <w:t>Stefanis</w:t>
      </w:r>
      <w:proofErr w:type="spellEnd"/>
      <w:r w:rsidR="00092498">
        <w:t xml:space="preserve"> et al.</w:t>
      </w:r>
      <w:r w:rsidR="00A023E6">
        <w:t xml:space="preserve"> </w:t>
      </w:r>
      <w:r w:rsidR="00092498">
        <w:t>2004) was deemed have the best fit for the present data</w:t>
      </w:r>
      <w:r w:rsidR="00110B73">
        <w:t xml:space="preserve"> (see Figure 2 for model parameters)</w:t>
      </w:r>
      <w:r w:rsidR="0086283C">
        <w:t>.</w:t>
      </w:r>
      <w:r w:rsidR="00092498">
        <w:t xml:space="preserve"> </w:t>
      </w:r>
    </w:p>
    <w:p w14:paraId="41B85D65" w14:textId="16751675" w:rsidR="00F80B81" w:rsidRDefault="00297282" w:rsidP="00A3290E">
      <w:pPr>
        <w:pStyle w:val="Heading2"/>
      </w:pPr>
      <w:r>
        <w:t xml:space="preserve">3.1 </w:t>
      </w:r>
      <w:r w:rsidR="00F80B81">
        <w:t>Multi-Group Invariance</w:t>
      </w:r>
    </w:p>
    <w:p w14:paraId="58E3D650" w14:textId="5D79A345" w:rsidR="00F80B81" w:rsidRDefault="00F80B81" w:rsidP="005F52AE">
      <w:pPr>
        <w:widowControl w:val="0"/>
        <w:spacing w:line="480" w:lineRule="auto"/>
        <w:ind w:firstLine="720"/>
      </w:pPr>
      <w:r>
        <w:t xml:space="preserve">We then </w:t>
      </w:r>
      <w:r w:rsidR="00215D3C">
        <w:t>analysed</w:t>
      </w:r>
      <w:r>
        <w:t xml:space="preserve"> measurement invariance across </w:t>
      </w:r>
      <w:r w:rsidR="00382764">
        <w:t>sex</w:t>
      </w:r>
      <w:r w:rsidRPr="005B1D1D">
        <w:t xml:space="preserve"> </w:t>
      </w:r>
      <w:r w:rsidR="008D2178">
        <w:t>for the 4-factor model</w:t>
      </w:r>
      <w:r w:rsidR="00026B30">
        <w:t xml:space="preserve"> (see Table </w:t>
      </w:r>
      <w:r w:rsidR="008F7060">
        <w:t>3</w:t>
      </w:r>
      <w:r w:rsidR="00026B30">
        <w:t xml:space="preserve">). </w:t>
      </w:r>
      <w:r w:rsidR="00065C09">
        <w:t>W</w:t>
      </w:r>
      <w:r w:rsidR="00853C18">
        <w:t>hile configural and metric invariance were achieved,</w:t>
      </w:r>
      <w:r>
        <w:t xml:space="preserve"> differences between ΔCFI and ΔRMSEA were above acceptable levels</w:t>
      </w:r>
      <w:r w:rsidR="00853C18">
        <w:t xml:space="preserve"> at the scalar level</w:t>
      </w:r>
      <w:r>
        <w:t xml:space="preserve">. Therefore, univariate test scores were examined to relax constraints within the model. Excessive </w:t>
      </w:r>
      <w:r w:rsidR="00382764">
        <w:t>S</w:t>
      </w:r>
      <w:r>
        <w:t xml:space="preserve">ocial </w:t>
      </w:r>
      <w:r w:rsidR="00382764">
        <w:t>A</w:t>
      </w:r>
      <w:r>
        <w:t>nxiety</w:t>
      </w:r>
      <w:r w:rsidR="001B3597">
        <w:t xml:space="preserve"> (χ</w:t>
      </w:r>
      <w:r w:rsidR="001B3597" w:rsidRPr="00863A19">
        <w:rPr>
          <w:vertAlign w:val="superscript"/>
        </w:rPr>
        <w:t>2</w:t>
      </w:r>
      <w:r w:rsidR="001B3597">
        <w:t xml:space="preserve"> = 50.689, df = 1, </w:t>
      </w:r>
      <w:r w:rsidR="001B3597" w:rsidRPr="00BB3317">
        <w:rPr>
          <w:i/>
        </w:rPr>
        <w:t>p</w:t>
      </w:r>
      <w:r w:rsidR="001B3597">
        <w:t xml:space="preserve"> &lt; </w:t>
      </w:r>
      <w:r w:rsidR="00297282">
        <w:t>0</w:t>
      </w:r>
      <w:r w:rsidR="001B3597">
        <w:t>.001)</w:t>
      </w:r>
      <w:r>
        <w:t xml:space="preserve"> and </w:t>
      </w:r>
      <w:r w:rsidR="00947A3D" w:rsidRPr="00947A3D">
        <w:t>Odd or Eccentric Behaviour</w:t>
      </w:r>
      <w:r w:rsidR="00382764">
        <w:t xml:space="preserve"> </w:t>
      </w:r>
      <w:r w:rsidR="001B3597">
        <w:t>(</w:t>
      </w:r>
      <w:r w:rsidR="00A91253">
        <w:t>χ</w:t>
      </w:r>
      <w:r w:rsidR="00A91253" w:rsidRPr="00863A19">
        <w:rPr>
          <w:vertAlign w:val="superscript"/>
        </w:rPr>
        <w:t>2</w:t>
      </w:r>
      <w:r w:rsidR="00A91253">
        <w:t xml:space="preserve"> = </w:t>
      </w:r>
      <w:r w:rsidR="001B3597">
        <w:t>28.569</w:t>
      </w:r>
      <w:r w:rsidR="00A91253">
        <w:t xml:space="preserve">, </w:t>
      </w:r>
      <w:r w:rsidR="001D51CF">
        <w:t xml:space="preserve">df = </w:t>
      </w:r>
      <w:r w:rsidR="001B3597">
        <w:t>1</w:t>
      </w:r>
      <w:r w:rsidR="00C04A34">
        <w:t xml:space="preserve">, </w:t>
      </w:r>
      <w:r w:rsidR="00A91253" w:rsidRPr="00BB3317">
        <w:rPr>
          <w:i/>
        </w:rPr>
        <w:t>p</w:t>
      </w:r>
      <w:r w:rsidR="00A91253">
        <w:t xml:space="preserve"> &lt; </w:t>
      </w:r>
      <w:r w:rsidR="00297282">
        <w:t>0</w:t>
      </w:r>
      <w:r w:rsidR="00A91253">
        <w:t>.001</w:t>
      </w:r>
      <w:r w:rsidR="001B3597">
        <w:t>)</w:t>
      </w:r>
      <w:r w:rsidRPr="00947A3D">
        <w:rPr>
          <w:sz w:val="32"/>
        </w:rPr>
        <w:t xml:space="preserve"> </w:t>
      </w:r>
      <w:r>
        <w:t>were found to have the greatest difference between subsamples for sex</w:t>
      </w:r>
      <w:r w:rsidR="00026B30">
        <w:t>. W</w:t>
      </w:r>
      <w:r w:rsidR="00FD567B">
        <w:t>hen these</w:t>
      </w:r>
      <w:r>
        <w:t xml:space="preserve"> </w:t>
      </w:r>
      <w:r>
        <w:lastRenderedPageBreak/>
        <w:t>constraint</w:t>
      </w:r>
      <w:r w:rsidR="00FD567B">
        <w:t>s</w:t>
      </w:r>
      <w:r w:rsidR="00382764">
        <w:t xml:space="preserve"> were relaxed</w:t>
      </w:r>
      <w:r>
        <w:t>, fit indices were found to be acceptable at the pa</w:t>
      </w:r>
      <w:r w:rsidR="00F720A7">
        <w:t>rtial scalar level</w:t>
      </w:r>
      <w:r>
        <w:t>. T</w:t>
      </w:r>
      <w:r w:rsidR="00A91253">
        <w:t>herefore,</w:t>
      </w:r>
      <w:r>
        <w:t xml:space="preserve"> support for partial invariance across sex was shown, which </w:t>
      </w:r>
      <w:r w:rsidR="00026B30">
        <w:t>allows for</w:t>
      </w:r>
      <w:r>
        <w:t xml:space="preserve"> latent mean comparison</w:t>
      </w:r>
      <w:r w:rsidR="00026B30">
        <w:t>s</w:t>
      </w:r>
      <w:r>
        <w:t xml:space="preserve">. </w:t>
      </w:r>
    </w:p>
    <w:p w14:paraId="37A1A71C" w14:textId="7727FF45" w:rsidR="00F80B81" w:rsidRPr="00223815" w:rsidRDefault="00297282" w:rsidP="00A3290E">
      <w:pPr>
        <w:pStyle w:val="Heading2"/>
        <w:rPr>
          <w:shd w:val="clear" w:color="auto" w:fill="FFFFFF"/>
        </w:rPr>
      </w:pPr>
      <w:r>
        <w:rPr>
          <w:shd w:val="clear" w:color="auto" w:fill="FFFFFF"/>
        </w:rPr>
        <w:t xml:space="preserve">3.2 </w:t>
      </w:r>
      <w:r w:rsidR="00F80B81" w:rsidRPr="00223815">
        <w:rPr>
          <w:shd w:val="clear" w:color="auto" w:fill="FFFFFF"/>
        </w:rPr>
        <w:t>Between-Group Differences</w:t>
      </w:r>
      <w:r w:rsidR="00A91253">
        <w:rPr>
          <w:shd w:val="clear" w:color="auto" w:fill="FFFFFF"/>
        </w:rPr>
        <w:t xml:space="preserve"> </w:t>
      </w:r>
    </w:p>
    <w:p w14:paraId="3778E7A1" w14:textId="76EED954" w:rsidR="00223209" w:rsidRDefault="00F80B81" w:rsidP="00091F46">
      <w:pPr>
        <w:spacing w:line="480" w:lineRule="auto"/>
        <w:ind w:firstLine="720"/>
        <w:rPr>
          <w:color w:val="000000"/>
        </w:rPr>
      </w:pPr>
      <w:r w:rsidRPr="00223815">
        <w:rPr>
          <w:color w:val="000000"/>
        </w:rPr>
        <w:t>We examined s</w:t>
      </w:r>
      <w:r w:rsidR="00026B30">
        <w:rPr>
          <w:color w:val="000000"/>
        </w:rPr>
        <w:t>ex</w:t>
      </w:r>
      <w:r w:rsidRPr="00223815">
        <w:rPr>
          <w:color w:val="000000"/>
        </w:rPr>
        <w:t xml:space="preserve"> differences in domain</w:t>
      </w:r>
      <w:r w:rsidR="00026B30">
        <w:rPr>
          <w:color w:val="000000"/>
        </w:rPr>
        <w:t xml:space="preserve"> </w:t>
      </w:r>
      <w:r w:rsidRPr="00223815">
        <w:rPr>
          <w:color w:val="000000"/>
        </w:rPr>
        <w:t>s</w:t>
      </w:r>
      <w:r w:rsidR="00026B30">
        <w:rPr>
          <w:color w:val="000000"/>
        </w:rPr>
        <w:t>cores</w:t>
      </w:r>
      <w:r w:rsidRPr="00223815">
        <w:rPr>
          <w:color w:val="000000"/>
        </w:rPr>
        <w:t xml:space="preserve"> f</w:t>
      </w:r>
      <w:r w:rsidR="00026B30">
        <w:rPr>
          <w:color w:val="000000"/>
        </w:rPr>
        <w:t>or</w:t>
      </w:r>
      <w:r w:rsidRPr="00223815">
        <w:rPr>
          <w:color w:val="000000"/>
        </w:rPr>
        <w:t xml:space="preserve"> the 4-factor </w:t>
      </w:r>
      <w:r w:rsidR="00026B30">
        <w:rPr>
          <w:color w:val="000000"/>
        </w:rPr>
        <w:t>model</w:t>
      </w:r>
      <w:r w:rsidRPr="00223815">
        <w:rPr>
          <w:color w:val="000000"/>
        </w:rPr>
        <w:t xml:space="preserve">. A </w:t>
      </w:r>
      <w:r w:rsidR="00382764">
        <w:rPr>
          <w:color w:val="000000"/>
        </w:rPr>
        <w:t>multivariate analysis of variance (MANOVA)</w:t>
      </w:r>
      <w:r w:rsidRPr="00223815">
        <w:rPr>
          <w:color w:val="000000"/>
        </w:rPr>
        <w:t xml:space="preserve"> was conducted, with the </w:t>
      </w:r>
      <w:r w:rsidR="00026B30">
        <w:rPr>
          <w:color w:val="000000"/>
        </w:rPr>
        <w:t>4</w:t>
      </w:r>
      <w:r w:rsidRPr="00223815">
        <w:rPr>
          <w:color w:val="000000"/>
        </w:rPr>
        <w:t xml:space="preserve"> factor scores entered as dependent variables and </w:t>
      </w:r>
      <w:r w:rsidR="00382764">
        <w:rPr>
          <w:color w:val="000000"/>
        </w:rPr>
        <w:t>sex</w:t>
      </w:r>
      <w:r w:rsidRPr="00223815">
        <w:rPr>
          <w:color w:val="000000"/>
        </w:rPr>
        <w:t xml:space="preserve"> as the independent variable. As Box’s </w:t>
      </w:r>
      <w:r w:rsidRPr="00223815">
        <w:rPr>
          <w:i/>
          <w:iCs/>
          <w:color w:val="000000"/>
        </w:rPr>
        <w:t xml:space="preserve">M </w:t>
      </w:r>
      <w:r w:rsidRPr="00223815">
        <w:rPr>
          <w:color w:val="000000"/>
        </w:rPr>
        <w:t>test was significant (</w:t>
      </w:r>
      <w:r w:rsidRPr="00223815">
        <w:rPr>
          <w:i/>
          <w:iCs/>
          <w:color w:val="000000"/>
        </w:rPr>
        <w:t xml:space="preserve">p </w:t>
      </w:r>
      <w:r w:rsidRPr="00223815">
        <w:rPr>
          <w:color w:val="000000"/>
        </w:rPr>
        <w:t xml:space="preserve">&lt; </w:t>
      </w:r>
      <w:r w:rsidR="00297282">
        <w:rPr>
          <w:color w:val="000000"/>
        </w:rPr>
        <w:t>0</w:t>
      </w:r>
      <w:r w:rsidRPr="00223815">
        <w:rPr>
          <w:color w:val="000000"/>
        </w:rPr>
        <w:t>.001), Pillai’s trace criterion was used for interpretation of the MANOVA</w:t>
      </w:r>
      <w:r w:rsidR="00382764">
        <w:rPr>
          <w:color w:val="000000"/>
        </w:rPr>
        <w:t xml:space="preserve"> </w:t>
      </w:r>
      <w:r w:rsidRPr="00223815">
        <w:rPr>
          <w:color w:val="000000"/>
        </w:rPr>
        <w:t>(</w:t>
      </w:r>
      <w:proofErr w:type="spellStart"/>
      <w:r w:rsidRPr="00223815">
        <w:rPr>
          <w:color w:val="000000"/>
        </w:rPr>
        <w:t>Tabachnick</w:t>
      </w:r>
      <w:proofErr w:type="spellEnd"/>
      <w:r w:rsidRPr="00223815">
        <w:rPr>
          <w:color w:val="000000"/>
        </w:rPr>
        <w:t xml:space="preserve"> </w:t>
      </w:r>
      <w:r w:rsidR="00F44AA4">
        <w:rPr>
          <w:color w:val="000000"/>
        </w:rPr>
        <w:t>and</w:t>
      </w:r>
      <w:r w:rsidRPr="00223815">
        <w:rPr>
          <w:color w:val="000000"/>
        </w:rPr>
        <w:t xml:space="preserve"> </w:t>
      </w:r>
      <w:proofErr w:type="spellStart"/>
      <w:r w:rsidRPr="00223815">
        <w:rPr>
          <w:color w:val="000000"/>
        </w:rPr>
        <w:t>Fidell</w:t>
      </w:r>
      <w:proofErr w:type="spellEnd"/>
      <w:r w:rsidRPr="00223815">
        <w:rPr>
          <w:color w:val="000000"/>
        </w:rPr>
        <w:t xml:space="preserve">, 2013). Results indicated a significant omnibus MANOVA result, </w:t>
      </w:r>
      <w:proofErr w:type="gramStart"/>
      <w:r w:rsidRPr="00223815">
        <w:rPr>
          <w:i/>
          <w:iCs/>
          <w:color w:val="000000"/>
        </w:rPr>
        <w:t>F</w:t>
      </w:r>
      <w:r w:rsidR="00236A6D" w:rsidRPr="00223815">
        <w:rPr>
          <w:color w:val="000000"/>
        </w:rPr>
        <w:t>(</w:t>
      </w:r>
      <w:proofErr w:type="gramEnd"/>
      <w:r w:rsidR="00236A6D" w:rsidRPr="00223815">
        <w:rPr>
          <w:color w:val="000000"/>
        </w:rPr>
        <w:t>4, 706) = 19.91</w:t>
      </w:r>
      <w:r w:rsidRPr="00223815">
        <w:rPr>
          <w:color w:val="000000"/>
        </w:rPr>
        <w:t xml:space="preserve">, </w:t>
      </w:r>
      <w:r w:rsidRPr="00223815">
        <w:rPr>
          <w:i/>
          <w:iCs/>
          <w:color w:val="000000"/>
        </w:rPr>
        <w:t xml:space="preserve">p </w:t>
      </w:r>
      <w:r w:rsidR="00236A6D" w:rsidRPr="00223815">
        <w:rPr>
          <w:color w:val="000000"/>
        </w:rPr>
        <w:t>&lt;</w:t>
      </w:r>
      <w:r w:rsidRPr="00223815">
        <w:rPr>
          <w:color w:val="000000"/>
        </w:rPr>
        <w:t xml:space="preserve"> </w:t>
      </w:r>
      <w:r w:rsidR="00297282">
        <w:rPr>
          <w:color w:val="000000"/>
        </w:rPr>
        <w:t>0</w:t>
      </w:r>
      <w:r w:rsidRPr="00223815">
        <w:rPr>
          <w:color w:val="000000"/>
        </w:rPr>
        <w:t>.00</w:t>
      </w:r>
      <w:r w:rsidR="00A91253">
        <w:rPr>
          <w:color w:val="000000"/>
        </w:rPr>
        <w:t>1</w:t>
      </w:r>
      <w:r w:rsidRPr="00223815">
        <w:rPr>
          <w:color w:val="000000"/>
        </w:rPr>
        <w:t>, Pillai’</w:t>
      </w:r>
      <w:r w:rsidR="00236A6D" w:rsidRPr="00223815">
        <w:rPr>
          <w:color w:val="000000"/>
        </w:rPr>
        <w:t xml:space="preserve">s trace = </w:t>
      </w:r>
      <w:r w:rsidR="00297282">
        <w:rPr>
          <w:color w:val="000000"/>
        </w:rPr>
        <w:t>0</w:t>
      </w:r>
      <w:r w:rsidR="00236A6D" w:rsidRPr="00223815">
        <w:rPr>
          <w:color w:val="000000"/>
        </w:rPr>
        <w:t>.10</w:t>
      </w:r>
      <w:r w:rsidRPr="00223815">
        <w:rPr>
          <w:color w:val="000000"/>
        </w:rPr>
        <w:t>, η</w:t>
      </w:r>
      <w:r w:rsidRPr="00BB3317">
        <w:rPr>
          <w:color w:val="000000"/>
          <w:vertAlign w:val="subscript"/>
        </w:rPr>
        <w:t>p</w:t>
      </w:r>
      <w:r w:rsidRPr="00BB3317">
        <w:rPr>
          <w:color w:val="000000"/>
          <w:vertAlign w:val="superscript"/>
        </w:rPr>
        <w:t>2</w:t>
      </w:r>
      <w:r w:rsidRPr="00223815">
        <w:rPr>
          <w:color w:val="000000"/>
        </w:rPr>
        <w:t xml:space="preserve"> </w:t>
      </w:r>
      <w:r w:rsidR="00236A6D" w:rsidRPr="00223815">
        <w:rPr>
          <w:color w:val="000000"/>
        </w:rPr>
        <w:t xml:space="preserve">= </w:t>
      </w:r>
      <w:r w:rsidR="00297282">
        <w:rPr>
          <w:color w:val="000000"/>
        </w:rPr>
        <w:t>0</w:t>
      </w:r>
      <w:r w:rsidR="00236A6D" w:rsidRPr="00223815">
        <w:rPr>
          <w:color w:val="000000"/>
        </w:rPr>
        <w:t>.10</w:t>
      </w:r>
      <w:r w:rsidRPr="00223815">
        <w:rPr>
          <w:color w:val="000000"/>
        </w:rPr>
        <w:t xml:space="preserve">. </w:t>
      </w:r>
      <w:r w:rsidR="00382764">
        <w:rPr>
          <w:color w:val="000000"/>
        </w:rPr>
        <w:t>On the</w:t>
      </w:r>
      <w:r w:rsidR="00820885" w:rsidRPr="00223815">
        <w:rPr>
          <w:color w:val="000000"/>
        </w:rPr>
        <w:t xml:space="preserve"> D</w:t>
      </w:r>
      <w:r w:rsidR="007A1B40" w:rsidRPr="00223815">
        <w:rPr>
          <w:color w:val="000000"/>
        </w:rPr>
        <w:t>isorgani</w:t>
      </w:r>
      <w:r w:rsidR="00223815">
        <w:rPr>
          <w:color w:val="000000"/>
        </w:rPr>
        <w:t>s</w:t>
      </w:r>
      <w:r w:rsidR="007A1B40" w:rsidRPr="00223815">
        <w:rPr>
          <w:color w:val="000000"/>
        </w:rPr>
        <w:t>ed</w:t>
      </w:r>
      <w:r w:rsidR="00382764">
        <w:rPr>
          <w:color w:val="000000"/>
        </w:rPr>
        <w:t xml:space="preserve"> factor</w:t>
      </w:r>
      <w:r w:rsidR="00F92410">
        <w:rPr>
          <w:color w:val="000000"/>
        </w:rPr>
        <w:t>, men</w:t>
      </w:r>
      <w:r w:rsidR="00F92410" w:rsidRPr="00223815">
        <w:rPr>
          <w:color w:val="000000"/>
        </w:rPr>
        <w:t xml:space="preserve"> reported</w:t>
      </w:r>
      <w:r w:rsidR="00F92410">
        <w:rPr>
          <w:color w:val="000000"/>
        </w:rPr>
        <w:t xml:space="preserve"> significantly</w:t>
      </w:r>
      <w:r w:rsidR="00F92410" w:rsidRPr="00223815">
        <w:rPr>
          <w:color w:val="000000"/>
        </w:rPr>
        <w:t xml:space="preserve"> higher score</w:t>
      </w:r>
      <w:r w:rsidR="007B479A">
        <w:rPr>
          <w:color w:val="000000"/>
        </w:rPr>
        <w:t>s</w:t>
      </w:r>
      <w:r w:rsidR="00F92410" w:rsidRPr="00223815">
        <w:rPr>
          <w:color w:val="000000"/>
        </w:rPr>
        <w:t xml:space="preserve"> (</w:t>
      </w:r>
      <w:r w:rsidR="00F92410" w:rsidRPr="00F92410">
        <w:rPr>
          <w:i/>
          <w:color w:val="000000"/>
        </w:rPr>
        <w:t>M</w:t>
      </w:r>
      <w:r w:rsidR="00F92410">
        <w:rPr>
          <w:color w:val="000000"/>
        </w:rPr>
        <w:t xml:space="preserve"> </w:t>
      </w:r>
      <w:r w:rsidR="00F92410" w:rsidRPr="00223815">
        <w:rPr>
          <w:color w:val="000000"/>
        </w:rPr>
        <w:t>=</w:t>
      </w:r>
      <w:r w:rsidR="00F92410">
        <w:rPr>
          <w:color w:val="000000"/>
        </w:rPr>
        <w:t xml:space="preserve"> </w:t>
      </w:r>
      <w:r w:rsidR="00F92410" w:rsidRPr="00223815">
        <w:rPr>
          <w:color w:val="000000"/>
        </w:rPr>
        <w:t xml:space="preserve">4.67, </w:t>
      </w:r>
      <w:r w:rsidR="00F92410" w:rsidRPr="00F92410">
        <w:rPr>
          <w:i/>
          <w:color w:val="000000"/>
        </w:rPr>
        <w:t>SD</w:t>
      </w:r>
      <w:r w:rsidR="00F92410">
        <w:rPr>
          <w:color w:val="000000"/>
        </w:rPr>
        <w:t xml:space="preserve"> </w:t>
      </w:r>
      <w:r w:rsidR="00F92410" w:rsidRPr="00223815">
        <w:rPr>
          <w:color w:val="000000"/>
        </w:rPr>
        <w:t>=</w:t>
      </w:r>
      <w:r w:rsidR="00F92410">
        <w:rPr>
          <w:color w:val="000000"/>
        </w:rPr>
        <w:t xml:space="preserve"> </w:t>
      </w:r>
      <w:r w:rsidR="00F92410" w:rsidRPr="00223815">
        <w:rPr>
          <w:color w:val="000000"/>
        </w:rPr>
        <w:t xml:space="preserve">4.07) than </w:t>
      </w:r>
      <w:r w:rsidR="00F92410">
        <w:rPr>
          <w:color w:val="000000"/>
        </w:rPr>
        <w:t>women</w:t>
      </w:r>
      <w:r w:rsidR="00F92410" w:rsidRPr="00223815">
        <w:rPr>
          <w:color w:val="000000"/>
        </w:rPr>
        <w:t xml:space="preserve"> (</w:t>
      </w:r>
      <w:r w:rsidR="00F92410" w:rsidRPr="00F92410">
        <w:rPr>
          <w:i/>
          <w:color w:val="000000"/>
        </w:rPr>
        <w:t>M</w:t>
      </w:r>
      <w:r w:rsidR="00F92410">
        <w:rPr>
          <w:color w:val="000000"/>
        </w:rPr>
        <w:t xml:space="preserve"> </w:t>
      </w:r>
      <w:r w:rsidR="00F92410" w:rsidRPr="00223815">
        <w:rPr>
          <w:color w:val="000000"/>
        </w:rPr>
        <w:t>=</w:t>
      </w:r>
      <w:r w:rsidR="00F92410">
        <w:rPr>
          <w:color w:val="000000"/>
        </w:rPr>
        <w:t xml:space="preserve"> </w:t>
      </w:r>
      <w:r w:rsidR="00F92410" w:rsidRPr="00223815">
        <w:rPr>
          <w:color w:val="000000"/>
        </w:rPr>
        <w:t xml:space="preserve">3.76, </w:t>
      </w:r>
      <w:r w:rsidR="00F92410" w:rsidRPr="00F92410">
        <w:rPr>
          <w:i/>
          <w:color w:val="000000"/>
        </w:rPr>
        <w:t>SD</w:t>
      </w:r>
      <w:r w:rsidR="00F92410">
        <w:rPr>
          <w:color w:val="000000"/>
        </w:rPr>
        <w:t xml:space="preserve"> </w:t>
      </w:r>
      <w:r w:rsidR="00F92410" w:rsidRPr="00223815">
        <w:rPr>
          <w:color w:val="000000"/>
        </w:rPr>
        <w:t>=</w:t>
      </w:r>
      <w:r w:rsidR="00F92410">
        <w:rPr>
          <w:color w:val="000000"/>
        </w:rPr>
        <w:t xml:space="preserve"> </w:t>
      </w:r>
      <w:r w:rsidR="00F92410" w:rsidRPr="00223815">
        <w:rPr>
          <w:color w:val="000000"/>
        </w:rPr>
        <w:t>3.21)</w:t>
      </w:r>
      <w:r w:rsidR="00F92410">
        <w:rPr>
          <w:color w:val="000000"/>
        </w:rPr>
        <w:t>,</w:t>
      </w:r>
      <w:r w:rsidR="00295BA2" w:rsidRPr="00223815">
        <w:rPr>
          <w:color w:val="000000"/>
        </w:rPr>
        <w:t xml:space="preserve"> </w:t>
      </w:r>
      <w:r w:rsidRPr="00223815">
        <w:rPr>
          <w:i/>
          <w:color w:val="000000"/>
        </w:rPr>
        <w:t>F</w:t>
      </w:r>
      <w:r w:rsidRPr="00223815">
        <w:rPr>
          <w:color w:val="000000"/>
        </w:rPr>
        <w:t>(</w:t>
      </w:r>
      <w:r w:rsidR="007A1B40" w:rsidRPr="00223815">
        <w:rPr>
          <w:color w:val="000000"/>
        </w:rPr>
        <w:t>1, 709</w:t>
      </w:r>
      <w:r w:rsidRPr="00223815">
        <w:rPr>
          <w:color w:val="000000"/>
        </w:rPr>
        <w:t xml:space="preserve">) = </w:t>
      </w:r>
      <w:r w:rsidR="007A1B40" w:rsidRPr="00223815">
        <w:rPr>
          <w:color w:val="010205"/>
        </w:rPr>
        <w:t xml:space="preserve">10.44, </w:t>
      </w:r>
      <w:r w:rsidR="007A1B40" w:rsidRPr="00BB3317">
        <w:rPr>
          <w:i/>
          <w:color w:val="010205"/>
        </w:rPr>
        <w:t>p</w:t>
      </w:r>
      <w:r w:rsidR="007A1B40" w:rsidRPr="00223815">
        <w:rPr>
          <w:color w:val="010205"/>
        </w:rPr>
        <w:t xml:space="preserve"> &lt; </w:t>
      </w:r>
      <w:r w:rsidR="00297282">
        <w:rPr>
          <w:color w:val="010205"/>
        </w:rPr>
        <w:t>0</w:t>
      </w:r>
      <w:r w:rsidR="007A1B40" w:rsidRPr="00223815">
        <w:rPr>
          <w:color w:val="010205"/>
        </w:rPr>
        <w:t>.</w:t>
      </w:r>
      <w:r w:rsidR="00382764">
        <w:rPr>
          <w:color w:val="010205"/>
        </w:rPr>
        <w:t>0</w:t>
      </w:r>
      <w:r w:rsidR="007A1B40" w:rsidRPr="00223815">
        <w:rPr>
          <w:color w:val="010205"/>
        </w:rPr>
        <w:t>01</w:t>
      </w:r>
      <w:r w:rsidRPr="00223815">
        <w:rPr>
          <w:color w:val="010205"/>
        </w:rPr>
        <w:t xml:space="preserve">, </w:t>
      </w:r>
      <w:r w:rsidR="00382764" w:rsidRPr="00223815">
        <w:rPr>
          <w:color w:val="000000"/>
        </w:rPr>
        <w:t>η</w:t>
      </w:r>
      <w:r w:rsidR="00382764" w:rsidRPr="003A246B">
        <w:rPr>
          <w:color w:val="000000"/>
          <w:vertAlign w:val="subscript"/>
        </w:rPr>
        <w:t>p</w:t>
      </w:r>
      <w:r w:rsidR="00382764" w:rsidRPr="003A246B">
        <w:rPr>
          <w:color w:val="000000"/>
          <w:vertAlign w:val="superscript"/>
        </w:rPr>
        <w:t>2</w:t>
      </w:r>
      <w:r w:rsidR="00A91253">
        <w:rPr>
          <w:color w:val="000000"/>
        </w:rPr>
        <w:t xml:space="preserve"> </w:t>
      </w:r>
      <w:r w:rsidR="007A1B40" w:rsidRPr="00223815">
        <w:rPr>
          <w:color w:val="000000"/>
        </w:rPr>
        <w:t xml:space="preserve">= </w:t>
      </w:r>
      <w:r w:rsidR="00297282">
        <w:rPr>
          <w:color w:val="000000"/>
        </w:rPr>
        <w:t>0</w:t>
      </w:r>
      <w:r w:rsidR="007A1B40" w:rsidRPr="00223815">
        <w:rPr>
          <w:color w:val="000000"/>
        </w:rPr>
        <w:t>.02</w:t>
      </w:r>
      <w:r w:rsidRPr="00223815">
        <w:rPr>
          <w:color w:val="000000"/>
        </w:rPr>
        <w:t>.</w:t>
      </w:r>
      <w:r w:rsidR="007A1B40" w:rsidRPr="00223815">
        <w:rPr>
          <w:color w:val="000000"/>
        </w:rPr>
        <w:t xml:space="preserve"> </w:t>
      </w:r>
      <w:r w:rsidR="00F92410">
        <w:rPr>
          <w:color w:val="000000"/>
        </w:rPr>
        <w:t xml:space="preserve">For </w:t>
      </w:r>
      <w:r w:rsidR="00382764">
        <w:rPr>
          <w:color w:val="000000"/>
        </w:rPr>
        <w:t>the P</w:t>
      </w:r>
      <w:r w:rsidR="00F92410">
        <w:rPr>
          <w:color w:val="000000"/>
        </w:rPr>
        <w:t>aranoid</w:t>
      </w:r>
      <w:r w:rsidR="00382764">
        <w:rPr>
          <w:color w:val="000000"/>
        </w:rPr>
        <w:t xml:space="preserve"> factor</w:t>
      </w:r>
      <w:r w:rsidR="00F92410">
        <w:rPr>
          <w:color w:val="000000"/>
        </w:rPr>
        <w:t>, women</w:t>
      </w:r>
      <w:r w:rsidR="007A1B40" w:rsidRPr="00223815">
        <w:rPr>
          <w:color w:val="000000"/>
        </w:rPr>
        <w:t xml:space="preserve"> reported </w:t>
      </w:r>
      <w:r w:rsidR="00F92410">
        <w:rPr>
          <w:color w:val="000000"/>
        </w:rPr>
        <w:t>significantly</w:t>
      </w:r>
      <w:r w:rsidR="007A1B40" w:rsidRPr="00223815">
        <w:rPr>
          <w:color w:val="000000"/>
        </w:rPr>
        <w:t xml:space="preserve"> higher score</w:t>
      </w:r>
      <w:r w:rsidR="007B479A">
        <w:rPr>
          <w:color w:val="000000"/>
        </w:rPr>
        <w:t>s</w:t>
      </w:r>
      <w:r w:rsidR="007A1B40" w:rsidRPr="00223815">
        <w:rPr>
          <w:color w:val="000000"/>
        </w:rPr>
        <w:t xml:space="preserve"> (</w:t>
      </w:r>
      <w:r w:rsidR="00F92410" w:rsidRPr="00F92410">
        <w:rPr>
          <w:i/>
          <w:color w:val="000000"/>
        </w:rPr>
        <w:t>M</w:t>
      </w:r>
      <w:r w:rsidR="00F92410">
        <w:rPr>
          <w:color w:val="000000"/>
        </w:rPr>
        <w:t xml:space="preserve"> </w:t>
      </w:r>
      <w:r w:rsidR="00F92410" w:rsidRPr="00223815">
        <w:rPr>
          <w:color w:val="000000"/>
        </w:rPr>
        <w:t>=</w:t>
      </w:r>
      <w:r w:rsidR="00F92410">
        <w:rPr>
          <w:color w:val="000000"/>
        </w:rPr>
        <w:t xml:space="preserve"> </w:t>
      </w:r>
      <w:r w:rsidR="00F92410" w:rsidRPr="00223815">
        <w:rPr>
          <w:color w:val="000000"/>
        </w:rPr>
        <w:t xml:space="preserve">9.30, </w:t>
      </w:r>
      <w:r w:rsidR="00F92410" w:rsidRPr="00F92410">
        <w:rPr>
          <w:i/>
          <w:color w:val="000000"/>
        </w:rPr>
        <w:t>SD</w:t>
      </w:r>
      <w:r w:rsidR="00F92410">
        <w:rPr>
          <w:color w:val="000000"/>
        </w:rPr>
        <w:t xml:space="preserve"> </w:t>
      </w:r>
      <w:r w:rsidR="00F92410" w:rsidRPr="00223815">
        <w:rPr>
          <w:color w:val="000000"/>
        </w:rPr>
        <w:t>=</w:t>
      </w:r>
      <w:r w:rsidR="00F92410">
        <w:rPr>
          <w:color w:val="000000"/>
        </w:rPr>
        <w:t xml:space="preserve"> </w:t>
      </w:r>
      <w:r w:rsidR="00F92410" w:rsidRPr="00223815">
        <w:rPr>
          <w:color w:val="000000"/>
        </w:rPr>
        <w:t>5.62</w:t>
      </w:r>
      <w:r w:rsidR="007A1B40" w:rsidRPr="00223815">
        <w:rPr>
          <w:color w:val="000000"/>
        </w:rPr>
        <w:t xml:space="preserve">) than </w:t>
      </w:r>
      <w:r w:rsidR="00F92410">
        <w:rPr>
          <w:color w:val="000000"/>
        </w:rPr>
        <w:t xml:space="preserve">men </w:t>
      </w:r>
      <w:r w:rsidR="007A1B40" w:rsidRPr="00223815">
        <w:rPr>
          <w:color w:val="000000"/>
        </w:rPr>
        <w:t>(</w:t>
      </w:r>
      <w:r w:rsidR="00F92410" w:rsidRPr="00F92410">
        <w:rPr>
          <w:i/>
          <w:color w:val="000000"/>
        </w:rPr>
        <w:t>M</w:t>
      </w:r>
      <w:r w:rsidR="00F92410">
        <w:rPr>
          <w:color w:val="000000"/>
        </w:rPr>
        <w:t xml:space="preserve"> </w:t>
      </w:r>
      <w:r w:rsidR="00F92410" w:rsidRPr="00223815">
        <w:rPr>
          <w:color w:val="000000"/>
        </w:rPr>
        <w:t>=</w:t>
      </w:r>
      <w:r w:rsidR="00F92410">
        <w:rPr>
          <w:color w:val="000000"/>
        </w:rPr>
        <w:t xml:space="preserve"> </w:t>
      </w:r>
      <w:r w:rsidR="00F92410" w:rsidRPr="00223815">
        <w:rPr>
          <w:color w:val="000000"/>
        </w:rPr>
        <w:t xml:space="preserve">7.47, </w:t>
      </w:r>
      <w:r w:rsidR="00F92410" w:rsidRPr="00F92410">
        <w:rPr>
          <w:i/>
          <w:color w:val="000000"/>
        </w:rPr>
        <w:t>SD</w:t>
      </w:r>
      <w:r w:rsidR="00F92410">
        <w:rPr>
          <w:color w:val="000000"/>
        </w:rPr>
        <w:t xml:space="preserve"> </w:t>
      </w:r>
      <w:r w:rsidR="00F92410" w:rsidRPr="00223815">
        <w:rPr>
          <w:color w:val="000000"/>
        </w:rPr>
        <w:t>=</w:t>
      </w:r>
      <w:r w:rsidR="00F92410">
        <w:rPr>
          <w:color w:val="000000"/>
        </w:rPr>
        <w:t xml:space="preserve"> </w:t>
      </w:r>
      <w:r w:rsidR="00F92410" w:rsidRPr="00223815">
        <w:rPr>
          <w:color w:val="000000"/>
        </w:rPr>
        <w:t>5.11</w:t>
      </w:r>
      <w:r w:rsidR="00820885" w:rsidRPr="00223815">
        <w:rPr>
          <w:color w:val="000000"/>
        </w:rPr>
        <w:t>)</w:t>
      </w:r>
      <w:r w:rsidR="00F92410">
        <w:rPr>
          <w:color w:val="000000"/>
        </w:rPr>
        <w:t>,</w:t>
      </w:r>
      <w:r w:rsidR="00820885" w:rsidRPr="00223815">
        <w:rPr>
          <w:color w:val="000000"/>
        </w:rPr>
        <w:t xml:space="preserve"> </w:t>
      </w:r>
      <w:r w:rsidR="00820885" w:rsidRPr="00223815">
        <w:rPr>
          <w:i/>
          <w:color w:val="000000"/>
        </w:rPr>
        <w:t>F</w:t>
      </w:r>
      <w:r w:rsidR="00820885" w:rsidRPr="00223815">
        <w:rPr>
          <w:color w:val="000000"/>
        </w:rPr>
        <w:t xml:space="preserve">(1, 709) = 17.27, </w:t>
      </w:r>
      <w:r w:rsidR="00820885" w:rsidRPr="00BB3317">
        <w:rPr>
          <w:i/>
          <w:color w:val="000000"/>
        </w:rPr>
        <w:t>p</w:t>
      </w:r>
      <w:r w:rsidR="00820885" w:rsidRPr="00223815">
        <w:rPr>
          <w:color w:val="000000"/>
        </w:rPr>
        <w:t xml:space="preserve"> &lt;</w:t>
      </w:r>
      <w:r w:rsidR="00F92410">
        <w:rPr>
          <w:color w:val="000000"/>
        </w:rPr>
        <w:t xml:space="preserve"> </w:t>
      </w:r>
      <w:r w:rsidR="00297282">
        <w:rPr>
          <w:color w:val="000000"/>
        </w:rPr>
        <w:t>0</w:t>
      </w:r>
      <w:r w:rsidR="00820885" w:rsidRPr="00223815">
        <w:rPr>
          <w:color w:val="000000"/>
        </w:rPr>
        <w:t>.0</w:t>
      </w:r>
      <w:r w:rsidR="00F92410">
        <w:rPr>
          <w:color w:val="000000"/>
        </w:rPr>
        <w:t>0</w:t>
      </w:r>
      <w:r w:rsidR="00820885" w:rsidRPr="00223815">
        <w:rPr>
          <w:color w:val="000000"/>
        </w:rPr>
        <w:t xml:space="preserve">1, </w:t>
      </w:r>
      <w:r w:rsidR="00382764" w:rsidRPr="00223815">
        <w:rPr>
          <w:color w:val="000000"/>
        </w:rPr>
        <w:t>η</w:t>
      </w:r>
      <w:r w:rsidR="00382764" w:rsidRPr="003A246B">
        <w:rPr>
          <w:color w:val="000000"/>
          <w:vertAlign w:val="subscript"/>
        </w:rPr>
        <w:t>p</w:t>
      </w:r>
      <w:r w:rsidR="00382764" w:rsidRPr="003A246B">
        <w:rPr>
          <w:color w:val="000000"/>
          <w:vertAlign w:val="superscript"/>
        </w:rPr>
        <w:t>2</w:t>
      </w:r>
      <w:r w:rsidR="00820885" w:rsidRPr="00223815">
        <w:rPr>
          <w:color w:val="000000"/>
        </w:rPr>
        <w:t xml:space="preserve">= </w:t>
      </w:r>
      <w:r w:rsidR="00297282">
        <w:rPr>
          <w:color w:val="000000"/>
        </w:rPr>
        <w:t>0</w:t>
      </w:r>
      <w:r w:rsidR="00820885" w:rsidRPr="00223815">
        <w:rPr>
          <w:color w:val="000000"/>
        </w:rPr>
        <w:t>.02.</w:t>
      </w:r>
      <w:r w:rsidR="00BD0A86">
        <w:rPr>
          <w:color w:val="000000"/>
        </w:rPr>
        <w:t xml:space="preserve"> </w:t>
      </w:r>
      <w:r w:rsidR="00BD0E6C">
        <w:rPr>
          <w:color w:val="000000"/>
        </w:rPr>
        <w:t xml:space="preserve"> </w:t>
      </w:r>
      <w:r w:rsidR="009B008C">
        <w:rPr>
          <w:color w:val="000000"/>
        </w:rPr>
        <w:t xml:space="preserve">For the </w:t>
      </w:r>
      <w:r w:rsidR="00334706">
        <w:rPr>
          <w:color w:val="000000"/>
        </w:rPr>
        <w:t>C</w:t>
      </w:r>
      <w:r w:rsidR="009B008C">
        <w:rPr>
          <w:color w:val="000000"/>
        </w:rPr>
        <w:t>ognitive</w:t>
      </w:r>
      <w:r w:rsidR="00D64D7A">
        <w:rPr>
          <w:color w:val="000000"/>
        </w:rPr>
        <w:t>-</w:t>
      </w:r>
      <w:r w:rsidR="00334706">
        <w:rPr>
          <w:color w:val="000000"/>
        </w:rPr>
        <w:t>P</w:t>
      </w:r>
      <w:r w:rsidR="009B008C">
        <w:rPr>
          <w:color w:val="000000"/>
        </w:rPr>
        <w:t xml:space="preserve">erceptual factor, </w:t>
      </w:r>
      <w:r w:rsidR="0059310D">
        <w:rPr>
          <w:color w:val="000000"/>
        </w:rPr>
        <w:t>wo</w:t>
      </w:r>
      <w:r w:rsidR="009B008C">
        <w:rPr>
          <w:color w:val="000000"/>
        </w:rPr>
        <w:t>men</w:t>
      </w:r>
      <w:r w:rsidR="009B008C" w:rsidRPr="00223815">
        <w:rPr>
          <w:color w:val="000000"/>
        </w:rPr>
        <w:t xml:space="preserve"> reported</w:t>
      </w:r>
      <w:r w:rsidR="009B008C">
        <w:rPr>
          <w:color w:val="000000"/>
        </w:rPr>
        <w:t xml:space="preserve"> significantly</w:t>
      </w:r>
      <w:r w:rsidR="009B008C" w:rsidRPr="00223815">
        <w:rPr>
          <w:color w:val="000000"/>
        </w:rPr>
        <w:t xml:space="preserve"> higher score</w:t>
      </w:r>
      <w:r w:rsidR="007B479A">
        <w:rPr>
          <w:color w:val="000000"/>
        </w:rPr>
        <w:t>s</w:t>
      </w:r>
      <w:r w:rsidR="009B008C" w:rsidRPr="00223815">
        <w:rPr>
          <w:color w:val="000000"/>
        </w:rPr>
        <w:t xml:space="preserve"> (</w:t>
      </w:r>
      <w:r w:rsidR="009B008C" w:rsidRPr="00F92410">
        <w:rPr>
          <w:i/>
          <w:color w:val="000000"/>
        </w:rPr>
        <w:t>M</w:t>
      </w:r>
      <w:r w:rsidR="009B008C">
        <w:rPr>
          <w:color w:val="000000"/>
        </w:rPr>
        <w:t xml:space="preserve"> </w:t>
      </w:r>
      <w:r w:rsidR="009B008C" w:rsidRPr="00223815">
        <w:rPr>
          <w:color w:val="000000"/>
        </w:rPr>
        <w:t>=</w:t>
      </w:r>
      <w:r w:rsidR="009B008C">
        <w:rPr>
          <w:color w:val="000000"/>
        </w:rPr>
        <w:t xml:space="preserve"> </w:t>
      </w:r>
      <w:r w:rsidR="0059310D">
        <w:rPr>
          <w:color w:val="000000"/>
        </w:rPr>
        <w:t>3.33</w:t>
      </w:r>
      <w:r w:rsidR="009B008C" w:rsidRPr="00223815">
        <w:rPr>
          <w:color w:val="000000"/>
        </w:rPr>
        <w:t xml:space="preserve">, </w:t>
      </w:r>
      <w:r w:rsidR="009B008C" w:rsidRPr="00F92410">
        <w:rPr>
          <w:i/>
          <w:color w:val="000000"/>
        </w:rPr>
        <w:t>SD</w:t>
      </w:r>
      <w:r w:rsidR="009B008C">
        <w:rPr>
          <w:color w:val="000000"/>
        </w:rPr>
        <w:t xml:space="preserve"> </w:t>
      </w:r>
      <w:r w:rsidR="009B008C" w:rsidRPr="00223815">
        <w:rPr>
          <w:color w:val="000000"/>
        </w:rPr>
        <w:t>=</w:t>
      </w:r>
      <w:r w:rsidR="009B008C">
        <w:rPr>
          <w:color w:val="000000"/>
        </w:rPr>
        <w:t xml:space="preserve"> </w:t>
      </w:r>
      <w:r w:rsidR="0059310D">
        <w:rPr>
          <w:color w:val="000000"/>
        </w:rPr>
        <w:t>3.18</w:t>
      </w:r>
      <w:r w:rsidR="009B008C" w:rsidRPr="00223815">
        <w:rPr>
          <w:color w:val="000000"/>
        </w:rPr>
        <w:t xml:space="preserve">) than </w:t>
      </w:r>
      <w:r w:rsidR="009B008C">
        <w:rPr>
          <w:color w:val="000000"/>
        </w:rPr>
        <w:t>men</w:t>
      </w:r>
      <w:r w:rsidR="009B008C" w:rsidRPr="00223815">
        <w:rPr>
          <w:color w:val="000000"/>
        </w:rPr>
        <w:t xml:space="preserve"> (</w:t>
      </w:r>
      <w:r w:rsidR="009B008C" w:rsidRPr="00F92410">
        <w:rPr>
          <w:i/>
          <w:color w:val="000000"/>
        </w:rPr>
        <w:t>M</w:t>
      </w:r>
      <w:r w:rsidR="009B008C">
        <w:rPr>
          <w:color w:val="000000"/>
        </w:rPr>
        <w:t xml:space="preserve"> </w:t>
      </w:r>
      <w:r w:rsidR="009B008C" w:rsidRPr="00223815">
        <w:rPr>
          <w:color w:val="000000"/>
        </w:rPr>
        <w:t>=</w:t>
      </w:r>
      <w:r w:rsidR="009B008C">
        <w:rPr>
          <w:color w:val="000000"/>
        </w:rPr>
        <w:t xml:space="preserve"> </w:t>
      </w:r>
      <w:r w:rsidR="0059310D">
        <w:rPr>
          <w:color w:val="000000"/>
        </w:rPr>
        <w:t>2.80</w:t>
      </w:r>
      <w:r w:rsidR="009B008C" w:rsidRPr="00223815">
        <w:rPr>
          <w:color w:val="000000"/>
        </w:rPr>
        <w:t xml:space="preserve">, </w:t>
      </w:r>
      <w:r w:rsidR="009B008C" w:rsidRPr="00F92410">
        <w:rPr>
          <w:i/>
          <w:color w:val="000000"/>
        </w:rPr>
        <w:t>SD</w:t>
      </w:r>
      <w:r w:rsidR="009B008C">
        <w:rPr>
          <w:color w:val="000000"/>
        </w:rPr>
        <w:t xml:space="preserve"> </w:t>
      </w:r>
      <w:r w:rsidR="009B008C" w:rsidRPr="00223815">
        <w:rPr>
          <w:color w:val="000000"/>
        </w:rPr>
        <w:t>=</w:t>
      </w:r>
      <w:r w:rsidR="009B008C">
        <w:rPr>
          <w:color w:val="000000"/>
        </w:rPr>
        <w:t xml:space="preserve"> </w:t>
      </w:r>
      <w:r w:rsidR="0059310D">
        <w:rPr>
          <w:color w:val="000000"/>
        </w:rPr>
        <w:t>3.17</w:t>
      </w:r>
      <w:r w:rsidR="009B008C" w:rsidRPr="00223815">
        <w:rPr>
          <w:color w:val="000000"/>
        </w:rPr>
        <w:t>)</w:t>
      </w:r>
      <w:r w:rsidR="009B008C">
        <w:rPr>
          <w:color w:val="000000"/>
        </w:rPr>
        <w:t>,</w:t>
      </w:r>
      <w:r w:rsidR="009B008C" w:rsidRPr="00223815">
        <w:rPr>
          <w:color w:val="000000"/>
        </w:rPr>
        <w:t xml:space="preserve"> </w:t>
      </w:r>
      <w:r w:rsidR="009B008C" w:rsidRPr="00223815">
        <w:rPr>
          <w:i/>
          <w:color w:val="000000"/>
        </w:rPr>
        <w:t>F</w:t>
      </w:r>
      <w:r w:rsidR="009B008C" w:rsidRPr="00223815">
        <w:rPr>
          <w:color w:val="000000"/>
        </w:rPr>
        <w:t xml:space="preserve">(1, 709) = </w:t>
      </w:r>
      <w:r w:rsidR="0059310D">
        <w:rPr>
          <w:color w:val="010205"/>
        </w:rPr>
        <w:t>4.32</w:t>
      </w:r>
      <w:r w:rsidR="009B008C" w:rsidRPr="00223815">
        <w:rPr>
          <w:color w:val="010205"/>
        </w:rPr>
        <w:t xml:space="preserve">, </w:t>
      </w:r>
      <w:r w:rsidR="009B008C" w:rsidRPr="00B7290C">
        <w:rPr>
          <w:i/>
          <w:color w:val="010205"/>
        </w:rPr>
        <w:t>p</w:t>
      </w:r>
      <w:r w:rsidR="009B008C" w:rsidRPr="00223815">
        <w:rPr>
          <w:color w:val="010205"/>
        </w:rPr>
        <w:t xml:space="preserve"> &lt; </w:t>
      </w:r>
      <w:r w:rsidR="00297282">
        <w:rPr>
          <w:color w:val="010205"/>
        </w:rPr>
        <w:t>0</w:t>
      </w:r>
      <w:r w:rsidR="009B008C" w:rsidRPr="00223815">
        <w:rPr>
          <w:color w:val="010205"/>
        </w:rPr>
        <w:t>.</w:t>
      </w:r>
      <w:r w:rsidR="009B008C">
        <w:rPr>
          <w:color w:val="010205"/>
        </w:rPr>
        <w:t>0</w:t>
      </w:r>
      <w:r w:rsidR="009B008C" w:rsidRPr="00223815">
        <w:rPr>
          <w:color w:val="010205"/>
        </w:rPr>
        <w:t xml:space="preserve">01, </w:t>
      </w:r>
      <w:r w:rsidR="009B008C" w:rsidRPr="00223815">
        <w:rPr>
          <w:color w:val="000000"/>
        </w:rPr>
        <w:t>η</w:t>
      </w:r>
      <w:r w:rsidR="009B008C" w:rsidRPr="003A246B">
        <w:rPr>
          <w:color w:val="000000"/>
          <w:vertAlign w:val="subscript"/>
        </w:rPr>
        <w:t>p</w:t>
      </w:r>
      <w:r w:rsidR="009B008C" w:rsidRPr="003A246B">
        <w:rPr>
          <w:color w:val="000000"/>
          <w:vertAlign w:val="superscript"/>
        </w:rPr>
        <w:t>2</w:t>
      </w:r>
      <w:r w:rsidR="009B008C">
        <w:rPr>
          <w:color w:val="000000"/>
        </w:rPr>
        <w:t xml:space="preserve"> </w:t>
      </w:r>
      <w:r w:rsidR="0059310D">
        <w:rPr>
          <w:color w:val="000000"/>
        </w:rPr>
        <w:t xml:space="preserve">= </w:t>
      </w:r>
      <w:r w:rsidR="00297282">
        <w:rPr>
          <w:color w:val="000000"/>
        </w:rPr>
        <w:t>0</w:t>
      </w:r>
      <w:r w:rsidR="0059310D">
        <w:rPr>
          <w:color w:val="000000"/>
        </w:rPr>
        <w:t>.01</w:t>
      </w:r>
      <w:r w:rsidR="009B008C" w:rsidRPr="00223815">
        <w:rPr>
          <w:color w:val="000000"/>
        </w:rPr>
        <w:t>.</w:t>
      </w:r>
      <w:r w:rsidR="0059310D">
        <w:rPr>
          <w:color w:val="000000"/>
        </w:rPr>
        <w:t xml:space="preserve"> The</w:t>
      </w:r>
      <w:r w:rsidR="00223209">
        <w:rPr>
          <w:color w:val="000000"/>
        </w:rPr>
        <w:t xml:space="preserve">re was no significant sex difference on scores </w:t>
      </w:r>
      <w:r w:rsidR="007B479A">
        <w:rPr>
          <w:color w:val="000000"/>
        </w:rPr>
        <w:t xml:space="preserve">of </w:t>
      </w:r>
      <w:r w:rsidR="00575F02">
        <w:rPr>
          <w:color w:val="000000"/>
        </w:rPr>
        <w:t xml:space="preserve">the </w:t>
      </w:r>
      <w:r w:rsidR="0059310D">
        <w:rPr>
          <w:color w:val="000000"/>
        </w:rPr>
        <w:t>N</w:t>
      </w:r>
      <w:r w:rsidR="00575F02">
        <w:rPr>
          <w:color w:val="000000"/>
        </w:rPr>
        <w:t>egative factor</w:t>
      </w:r>
      <w:r w:rsidR="007B479A">
        <w:rPr>
          <w:color w:val="000000"/>
        </w:rPr>
        <w:t xml:space="preserve"> (</w:t>
      </w:r>
      <w:r w:rsidR="00102BFC" w:rsidRPr="00102BFC">
        <w:rPr>
          <w:color w:val="000000"/>
        </w:rPr>
        <w:t xml:space="preserve">women </w:t>
      </w:r>
      <w:r w:rsidR="00102BFC" w:rsidRPr="008F7060">
        <w:rPr>
          <w:i/>
          <w:iCs/>
          <w:color w:val="000000"/>
        </w:rPr>
        <w:t xml:space="preserve">M </w:t>
      </w:r>
      <w:r w:rsidR="00102BFC" w:rsidRPr="00102BFC">
        <w:rPr>
          <w:color w:val="000000"/>
        </w:rPr>
        <w:t xml:space="preserve">= 9.71, </w:t>
      </w:r>
      <w:r w:rsidR="00102BFC" w:rsidRPr="008F7060">
        <w:rPr>
          <w:i/>
          <w:iCs/>
          <w:color w:val="000000"/>
        </w:rPr>
        <w:t>SD</w:t>
      </w:r>
      <w:r w:rsidR="00102BFC" w:rsidRPr="00102BFC">
        <w:rPr>
          <w:color w:val="000000"/>
        </w:rPr>
        <w:t xml:space="preserve"> = .30</w:t>
      </w:r>
      <w:r w:rsidR="007B479A">
        <w:rPr>
          <w:color w:val="000000"/>
        </w:rPr>
        <w:t xml:space="preserve">; </w:t>
      </w:r>
      <w:r w:rsidR="00102BFC" w:rsidRPr="00102BFC">
        <w:rPr>
          <w:color w:val="000000"/>
        </w:rPr>
        <w:t xml:space="preserve">men </w:t>
      </w:r>
      <w:r w:rsidR="00102BFC" w:rsidRPr="008F7060">
        <w:rPr>
          <w:i/>
          <w:iCs/>
          <w:color w:val="000000"/>
        </w:rPr>
        <w:t>M</w:t>
      </w:r>
      <w:r w:rsidR="00102BFC" w:rsidRPr="00102BFC">
        <w:rPr>
          <w:color w:val="000000"/>
        </w:rPr>
        <w:t xml:space="preserve"> = 9.45, </w:t>
      </w:r>
      <w:r w:rsidR="00102BFC" w:rsidRPr="008F7060">
        <w:rPr>
          <w:i/>
          <w:iCs/>
          <w:color w:val="000000"/>
        </w:rPr>
        <w:t>SD</w:t>
      </w:r>
      <w:r w:rsidR="00102BFC" w:rsidRPr="00102BFC">
        <w:rPr>
          <w:color w:val="000000"/>
        </w:rPr>
        <w:t xml:space="preserve"> = </w:t>
      </w:r>
      <w:r w:rsidR="00297282">
        <w:rPr>
          <w:color w:val="000000"/>
        </w:rPr>
        <w:t>0</w:t>
      </w:r>
      <w:r w:rsidR="00102BFC" w:rsidRPr="00102BFC">
        <w:rPr>
          <w:color w:val="000000"/>
        </w:rPr>
        <w:t xml:space="preserve">.44), </w:t>
      </w:r>
      <w:r w:rsidR="00102BFC" w:rsidRPr="00102BFC">
        <w:rPr>
          <w:i/>
          <w:iCs/>
          <w:color w:val="000000"/>
        </w:rPr>
        <w:t>F</w:t>
      </w:r>
      <w:r w:rsidR="00102BFC" w:rsidRPr="00102BFC">
        <w:rPr>
          <w:color w:val="000000"/>
        </w:rPr>
        <w:t xml:space="preserve">(1, 709) = </w:t>
      </w:r>
      <w:r w:rsidR="00297282">
        <w:rPr>
          <w:color w:val="000000"/>
        </w:rPr>
        <w:t>0</w:t>
      </w:r>
      <w:r w:rsidR="00102BFC" w:rsidRPr="00102BFC">
        <w:rPr>
          <w:color w:val="000000"/>
        </w:rPr>
        <w:t xml:space="preserve">.24, </w:t>
      </w:r>
      <w:r w:rsidR="00102BFC" w:rsidRPr="00102BFC">
        <w:rPr>
          <w:i/>
          <w:iCs/>
          <w:color w:val="000000"/>
        </w:rPr>
        <w:t>p</w:t>
      </w:r>
      <w:r w:rsidR="00102BFC" w:rsidRPr="00102BFC">
        <w:rPr>
          <w:color w:val="000000"/>
        </w:rPr>
        <w:t xml:space="preserve"> = </w:t>
      </w:r>
      <w:r w:rsidR="00297282">
        <w:rPr>
          <w:color w:val="000000"/>
        </w:rPr>
        <w:t>0</w:t>
      </w:r>
      <w:r w:rsidR="00102BFC" w:rsidRPr="00102BFC">
        <w:rPr>
          <w:color w:val="000000"/>
        </w:rPr>
        <w:t xml:space="preserve">.63, </w:t>
      </w:r>
      <w:r w:rsidR="00102BFC" w:rsidRPr="00102BFC">
        <w:rPr>
          <w:color w:val="000000" w:themeColor="text1"/>
        </w:rPr>
        <w:t>η</w:t>
      </w:r>
      <w:r w:rsidR="00102BFC" w:rsidRPr="00102BFC">
        <w:rPr>
          <w:color w:val="000000" w:themeColor="text1"/>
          <w:vertAlign w:val="subscript"/>
        </w:rPr>
        <w:t>p</w:t>
      </w:r>
      <w:r w:rsidR="00102BFC" w:rsidRPr="00102BFC">
        <w:rPr>
          <w:color w:val="000000" w:themeColor="text1"/>
          <w:vertAlign w:val="superscript"/>
        </w:rPr>
        <w:t>2</w:t>
      </w:r>
      <w:r w:rsidR="00102BFC" w:rsidRPr="00102BFC">
        <w:rPr>
          <w:color w:val="000000"/>
        </w:rPr>
        <w:t xml:space="preserve"> &lt; </w:t>
      </w:r>
      <w:r w:rsidR="00297282">
        <w:rPr>
          <w:color w:val="000000"/>
        </w:rPr>
        <w:t>0</w:t>
      </w:r>
      <w:r w:rsidR="00102BFC" w:rsidRPr="00102BFC">
        <w:rPr>
          <w:color w:val="000000"/>
        </w:rPr>
        <w:t>.001.</w:t>
      </w:r>
    </w:p>
    <w:p w14:paraId="297196BA" w14:textId="1E796656" w:rsidR="007B479A" w:rsidRPr="003604F6" w:rsidRDefault="00297282" w:rsidP="00A3290E">
      <w:pPr>
        <w:pStyle w:val="Heading2"/>
      </w:pPr>
      <w:r>
        <w:t xml:space="preserve">3.3 </w:t>
      </w:r>
      <w:r w:rsidR="007B479A">
        <w:t xml:space="preserve">Construct and </w:t>
      </w:r>
      <w:r w:rsidR="00E20B40">
        <w:t xml:space="preserve">Concurrent </w:t>
      </w:r>
      <w:r w:rsidR="007B479A">
        <w:t>Validity</w:t>
      </w:r>
    </w:p>
    <w:p w14:paraId="11209CEE" w14:textId="75309504" w:rsidR="00102BFC" w:rsidRDefault="00447AD2" w:rsidP="003604F6">
      <w:pPr>
        <w:autoSpaceDE w:val="0"/>
        <w:autoSpaceDN w:val="0"/>
        <w:adjustRightInd w:val="0"/>
        <w:spacing w:line="480" w:lineRule="auto"/>
        <w:ind w:right="60" w:firstLine="720"/>
        <w:rPr>
          <w:rFonts w:eastAsia="Arial Unicode MS"/>
          <w:b/>
          <w:shd w:val="clear" w:color="auto" w:fill="FFFFFF"/>
        </w:rPr>
      </w:pPr>
      <w:r>
        <w:t xml:space="preserve">Bivariate correlations between the </w:t>
      </w:r>
      <w:r w:rsidR="00F26890">
        <w:t>4</w:t>
      </w:r>
      <w:r>
        <w:t xml:space="preserve"> domains of the SPQ and measures of quality of life, satisfaction with life, and self-esteem are reported in Table 4. As can be seen, all SPQ factors were significantly and negatively correlated with all</w:t>
      </w:r>
      <w:r w:rsidR="007B479A">
        <w:t xml:space="preserve"> additional</w:t>
      </w:r>
      <w:r>
        <w:t xml:space="preserve"> measures</w:t>
      </w:r>
      <w:r w:rsidR="007B479A">
        <w:t>, which is supportive of construct validity</w:t>
      </w:r>
      <w:r>
        <w:t xml:space="preserve">. </w:t>
      </w:r>
      <w:r w:rsidR="00102BFC">
        <w:t xml:space="preserve">To examine the predictive power of </w:t>
      </w:r>
      <w:proofErr w:type="spellStart"/>
      <w:r w:rsidR="00102BFC">
        <w:t>schizotypy</w:t>
      </w:r>
      <w:proofErr w:type="spellEnd"/>
      <w:r w:rsidR="00102BFC">
        <w:t xml:space="preserve">, we computed three separate multiple linear regressions </w:t>
      </w:r>
      <w:r w:rsidR="007B479A">
        <w:t>with the 4 SPQ domain scores entered as predictors</w:t>
      </w:r>
      <w:r w:rsidR="00102BFC">
        <w:t>.</w:t>
      </w:r>
      <w:r w:rsidR="0020625A">
        <w:t xml:space="preserve"> As the</w:t>
      </w:r>
      <w:r w:rsidR="0020625A" w:rsidRPr="0020625A">
        <w:t xml:space="preserve"> MANOVA results </w:t>
      </w:r>
      <w:r w:rsidR="0020625A">
        <w:t>indicated</w:t>
      </w:r>
      <w:r w:rsidR="0020625A" w:rsidRPr="0020625A">
        <w:t xml:space="preserve"> significant differences between </w:t>
      </w:r>
      <w:r w:rsidR="00783D23">
        <w:t>women and men</w:t>
      </w:r>
      <w:r w:rsidR="0020625A">
        <w:t xml:space="preserve"> across most of the </w:t>
      </w:r>
      <w:r w:rsidR="0020625A" w:rsidRPr="0020625A">
        <w:t>higher-order facto</w:t>
      </w:r>
      <w:r w:rsidR="0020625A">
        <w:t>rs, sex was</w:t>
      </w:r>
      <w:r w:rsidR="0020625A" w:rsidRPr="0020625A">
        <w:t xml:space="preserve"> entered in the first step of the multiple </w:t>
      </w:r>
      <w:r w:rsidR="0020625A" w:rsidRPr="0020625A">
        <w:lastRenderedPageBreak/>
        <w:t>regression analyses</w:t>
      </w:r>
      <w:r w:rsidR="0020625A">
        <w:t>.</w:t>
      </w:r>
      <w:r w:rsidR="00102BFC">
        <w:t xml:space="preserve"> In the first regression</w:t>
      </w:r>
      <w:r w:rsidR="007B479A">
        <w:t xml:space="preserve"> with </w:t>
      </w:r>
      <w:r w:rsidR="00102BFC">
        <w:t>quality of life as the criterion variable</w:t>
      </w:r>
      <w:r w:rsidR="007B479A">
        <w:t>, we found a significant result</w:t>
      </w:r>
      <w:r w:rsidR="00783D23">
        <w:t xml:space="preserve"> in the second step of the regression</w:t>
      </w:r>
      <w:r w:rsidR="00102BFC">
        <w:t xml:space="preserve">, </w:t>
      </w:r>
      <w:proofErr w:type="gramStart"/>
      <w:r w:rsidR="00102BFC" w:rsidRPr="009024EE">
        <w:rPr>
          <w:i/>
        </w:rPr>
        <w:t>F</w:t>
      </w:r>
      <w:r w:rsidR="00102BFC" w:rsidRPr="009024EE">
        <w:rPr>
          <w:iCs/>
        </w:rPr>
        <w:t>(</w:t>
      </w:r>
      <w:proofErr w:type="gramEnd"/>
      <w:r w:rsidR="0020625A">
        <w:rPr>
          <w:iCs/>
        </w:rPr>
        <w:t>5</w:t>
      </w:r>
      <w:r w:rsidR="00102BFC" w:rsidRPr="009024EE">
        <w:rPr>
          <w:iCs/>
        </w:rPr>
        <w:t>, 70</w:t>
      </w:r>
      <w:r w:rsidR="0020625A">
        <w:rPr>
          <w:iCs/>
        </w:rPr>
        <w:t>7</w:t>
      </w:r>
      <w:r w:rsidR="00102BFC" w:rsidRPr="009024EE">
        <w:rPr>
          <w:iCs/>
        </w:rPr>
        <w:t xml:space="preserve">) = </w:t>
      </w:r>
      <w:r w:rsidR="0020625A">
        <w:rPr>
          <w:iCs/>
        </w:rPr>
        <w:t>40.9</w:t>
      </w:r>
      <w:r w:rsidR="0014340A">
        <w:rPr>
          <w:iCs/>
        </w:rPr>
        <w:t>3</w:t>
      </w:r>
      <w:r w:rsidR="00102BFC" w:rsidRPr="009024EE">
        <w:rPr>
          <w:iCs/>
        </w:rPr>
        <w:t xml:space="preserve">, </w:t>
      </w:r>
      <w:r w:rsidR="00102BFC" w:rsidRPr="009024EE">
        <w:rPr>
          <w:i/>
        </w:rPr>
        <w:t xml:space="preserve">p </w:t>
      </w:r>
      <w:r w:rsidR="00102BFC" w:rsidRPr="009024EE">
        <w:rPr>
          <w:iCs/>
        </w:rPr>
        <w:t xml:space="preserve">&lt; </w:t>
      </w:r>
      <w:r w:rsidR="00297282">
        <w:rPr>
          <w:iCs/>
        </w:rPr>
        <w:t>0</w:t>
      </w:r>
      <w:r w:rsidR="00102BFC" w:rsidRPr="009024EE">
        <w:rPr>
          <w:iCs/>
        </w:rPr>
        <w:t>.001</w:t>
      </w:r>
      <w:r w:rsidR="00102BFC">
        <w:t xml:space="preserve">, Adj. </w:t>
      </w:r>
      <w:r w:rsidR="00102BFC">
        <w:rPr>
          <w:i/>
        </w:rPr>
        <w:t>R</w:t>
      </w:r>
      <w:r w:rsidR="00102BFC">
        <w:rPr>
          <w:vertAlign w:val="superscript"/>
        </w:rPr>
        <w:t>2</w:t>
      </w:r>
      <w:r w:rsidR="00102BFC">
        <w:t xml:space="preserve"> = </w:t>
      </w:r>
      <w:r w:rsidR="00297282">
        <w:t>0</w:t>
      </w:r>
      <w:r w:rsidR="00102BFC">
        <w:t xml:space="preserve">.22. As </w:t>
      </w:r>
      <w:r w:rsidR="007B479A">
        <w:t>reported</w:t>
      </w:r>
      <w:r w:rsidR="00102BFC">
        <w:t xml:space="preserve"> in Table 5, </w:t>
      </w:r>
      <w:r w:rsidR="007B479A">
        <w:t xml:space="preserve">the </w:t>
      </w:r>
      <w:r w:rsidR="00102BFC">
        <w:t>Negative</w:t>
      </w:r>
      <w:r w:rsidR="007B479A">
        <w:t xml:space="preserve"> domain</w:t>
      </w:r>
      <w:r w:rsidR="00102BFC">
        <w:t xml:space="preserve"> emerged as the strongest predictor, with Paranoid and Disorganised</w:t>
      </w:r>
      <w:r w:rsidR="007B479A">
        <w:t xml:space="preserve"> scores</w:t>
      </w:r>
      <w:r w:rsidR="00102BFC">
        <w:t xml:space="preserve"> also significant predictors. In the second regression</w:t>
      </w:r>
      <w:r w:rsidR="007B479A">
        <w:t xml:space="preserve"> with</w:t>
      </w:r>
      <w:r w:rsidR="00102BFC">
        <w:t xml:space="preserve"> satisfaction with life</w:t>
      </w:r>
      <w:r w:rsidR="00783D23">
        <w:t>,</w:t>
      </w:r>
      <w:r w:rsidR="00102BFC">
        <w:t xml:space="preserve"> </w:t>
      </w:r>
      <w:r w:rsidR="007B479A">
        <w:t>the</w:t>
      </w:r>
      <w:r w:rsidR="00783D23">
        <w:t xml:space="preserve"> second step of the</w:t>
      </w:r>
      <w:r w:rsidR="007B479A">
        <w:t xml:space="preserve"> regression was again significant</w:t>
      </w:r>
      <w:r w:rsidR="00102BFC">
        <w:t xml:space="preserve">, </w:t>
      </w:r>
      <w:proofErr w:type="gramStart"/>
      <w:r w:rsidR="00102BFC" w:rsidRPr="009024EE">
        <w:rPr>
          <w:i/>
        </w:rPr>
        <w:t>F</w:t>
      </w:r>
      <w:r w:rsidR="00102BFC" w:rsidRPr="009024EE">
        <w:rPr>
          <w:iCs/>
        </w:rPr>
        <w:t>(</w:t>
      </w:r>
      <w:proofErr w:type="gramEnd"/>
      <w:r w:rsidR="0014340A">
        <w:rPr>
          <w:iCs/>
        </w:rPr>
        <w:t>5</w:t>
      </w:r>
      <w:r w:rsidR="00102BFC" w:rsidRPr="009024EE">
        <w:rPr>
          <w:iCs/>
        </w:rPr>
        <w:t>, 70</w:t>
      </w:r>
      <w:r w:rsidR="0014340A">
        <w:rPr>
          <w:iCs/>
        </w:rPr>
        <w:t>7</w:t>
      </w:r>
      <w:r w:rsidR="00102BFC" w:rsidRPr="009024EE">
        <w:rPr>
          <w:iCs/>
        </w:rPr>
        <w:t xml:space="preserve">) = </w:t>
      </w:r>
      <w:r w:rsidR="0014340A">
        <w:rPr>
          <w:iCs/>
        </w:rPr>
        <w:t>31.84</w:t>
      </w:r>
      <w:r w:rsidR="00102BFC" w:rsidRPr="009024EE">
        <w:rPr>
          <w:iCs/>
        </w:rPr>
        <w:t xml:space="preserve">, </w:t>
      </w:r>
      <w:r w:rsidR="00102BFC" w:rsidRPr="00F8124C">
        <w:rPr>
          <w:i/>
        </w:rPr>
        <w:t>p</w:t>
      </w:r>
      <w:r w:rsidR="00102BFC" w:rsidRPr="009024EE">
        <w:rPr>
          <w:iCs/>
        </w:rPr>
        <w:t xml:space="preserve"> &lt; </w:t>
      </w:r>
      <w:r w:rsidR="00297282">
        <w:rPr>
          <w:iCs/>
        </w:rPr>
        <w:t>0</w:t>
      </w:r>
      <w:r w:rsidR="00102BFC" w:rsidRPr="009024EE">
        <w:rPr>
          <w:iCs/>
        </w:rPr>
        <w:t>.001</w:t>
      </w:r>
      <w:r w:rsidR="00102BFC">
        <w:t xml:space="preserve">, Adj. </w:t>
      </w:r>
      <w:r w:rsidR="00102BFC">
        <w:rPr>
          <w:i/>
        </w:rPr>
        <w:t>R</w:t>
      </w:r>
      <w:r w:rsidR="00102BFC">
        <w:rPr>
          <w:vertAlign w:val="superscript"/>
        </w:rPr>
        <w:t>2</w:t>
      </w:r>
      <w:r w:rsidR="00102BFC">
        <w:t xml:space="preserve"> = </w:t>
      </w:r>
      <w:r w:rsidR="00297282">
        <w:t>0</w:t>
      </w:r>
      <w:r w:rsidR="00102BFC">
        <w:t xml:space="preserve">.18. </w:t>
      </w:r>
      <w:r w:rsidR="007B479A">
        <w:t xml:space="preserve">The </w:t>
      </w:r>
      <w:r w:rsidR="00102BFC">
        <w:t>Negative</w:t>
      </w:r>
      <w:r w:rsidR="007B479A">
        <w:t xml:space="preserve"> domain</w:t>
      </w:r>
      <w:r w:rsidR="00102BFC">
        <w:t xml:space="preserve"> emerged as the strongest predictor, with Paranoid the only other significant predictor </w:t>
      </w:r>
      <w:r w:rsidR="00E57C5E">
        <w:t>(see Table 5)</w:t>
      </w:r>
      <w:r w:rsidR="00102BFC">
        <w:t xml:space="preserve">. Finally, </w:t>
      </w:r>
      <w:r w:rsidR="007B479A">
        <w:t xml:space="preserve">the </w:t>
      </w:r>
      <w:r w:rsidR="00783D23">
        <w:t xml:space="preserve">second step of the </w:t>
      </w:r>
      <w:r w:rsidR="007B479A">
        <w:t xml:space="preserve">regression with self-esteem </w:t>
      </w:r>
      <w:r w:rsidR="005D60ED">
        <w:t>w</w:t>
      </w:r>
      <w:r w:rsidR="007B479A">
        <w:t xml:space="preserve">as also significant, </w:t>
      </w:r>
      <w:r w:rsidR="00102BFC" w:rsidRPr="00E21D7B">
        <w:rPr>
          <w:i/>
        </w:rPr>
        <w:t>F(</w:t>
      </w:r>
      <w:r w:rsidR="0014340A">
        <w:rPr>
          <w:iCs/>
        </w:rPr>
        <w:t>5</w:t>
      </w:r>
      <w:r w:rsidR="00102BFC" w:rsidRPr="00E21D7B">
        <w:rPr>
          <w:iCs/>
        </w:rPr>
        <w:t>, 70</w:t>
      </w:r>
      <w:r w:rsidR="0014340A">
        <w:rPr>
          <w:iCs/>
        </w:rPr>
        <w:t>7</w:t>
      </w:r>
      <w:r w:rsidR="00102BFC" w:rsidRPr="00E21D7B">
        <w:rPr>
          <w:iCs/>
        </w:rPr>
        <w:t xml:space="preserve">) = </w:t>
      </w:r>
      <w:r w:rsidR="0014340A">
        <w:rPr>
          <w:iCs/>
        </w:rPr>
        <w:t>48.39</w:t>
      </w:r>
      <w:r w:rsidR="00102BFC" w:rsidRPr="00E21D7B">
        <w:rPr>
          <w:iCs/>
        </w:rPr>
        <w:t>,</w:t>
      </w:r>
      <w:r w:rsidR="00102BFC" w:rsidRPr="00E21D7B">
        <w:rPr>
          <w:i/>
        </w:rPr>
        <w:t xml:space="preserve"> p </w:t>
      </w:r>
      <w:r w:rsidR="00102BFC" w:rsidRPr="00E21D7B">
        <w:rPr>
          <w:iCs/>
        </w:rPr>
        <w:t xml:space="preserve">&lt; </w:t>
      </w:r>
      <w:r w:rsidR="00297282">
        <w:rPr>
          <w:iCs/>
        </w:rPr>
        <w:t>0</w:t>
      </w:r>
      <w:r w:rsidR="00102BFC" w:rsidRPr="00E21D7B">
        <w:rPr>
          <w:iCs/>
        </w:rPr>
        <w:t>.001</w:t>
      </w:r>
      <w:r w:rsidR="00102BFC">
        <w:t xml:space="preserve">, Adj. </w:t>
      </w:r>
      <w:r w:rsidR="00102BFC">
        <w:rPr>
          <w:i/>
        </w:rPr>
        <w:t>R</w:t>
      </w:r>
      <w:r w:rsidR="00102BFC">
        <w:rPr>
          <w:vertAlign w:val="superscript"/>
        </w:rPr>
        <w:t>2</w:t>
      </w:r>
      <w:r w:rsidR="00102BFC">
        <w:t xml:space="preserve"> = </w:t>
      </w:r>
      <w:r w:rsidR="00297282">
        <w:t>0</w:t>
      </w:r>
      <w:r w:rsidR="00102BFC">
        <w:t>.2</w:t>
      </w:r>
      <w:r w:rsidR="0014340A">
        <w:t>5</w:t>
      </w:r>
      <w:r w:rsidR="007B479A">
        <w:t>, with the Negative</w:t>
      </w:r>
      <w:r w:rsidR="0014340A">
        <w:t xml:space="preserve"> domain as the strongest predictor</w:t>
      </w:r>
      <w:r w:rsidR="0020625A">
        <w:t xml:space="preserve"> and</w:t>
      </w:r>
      <w:r w:rsidR="0014340A">
        <w:t xml:space="preserve"> the</w:t>
      </w:r>
      <w:r w:rsidR="0020625A">
        <w:t xml:space="preserve"> Paranoid</w:t>
      </w:r>
      <w:r w:rsidR="007B479A">
        <w:t xml:space="preserve"> domain being the only</w:t>
      </w:r>
      <w:r w:rsidR="0014340A">
        <w:t xml:space="preserve"> other</w:t>
      </w:r>
      <w:r w:rsidR="007B479A">
        <w:t xml:space="preserve"> significant predictor </w:t>
      </w:r>
      <w:r w:rsidR="00FB5B42">
        <w:t xml:space="preserve">(see </w:t>
      </w:r>
      <w:r w:rsidR="007B479A">
        <w:t>T</w:t>
      </w:r>
      <w:r w:rsidR="00FB5B42">
        <w:t>able 5)</w:t>
      </w:r>
      <w:r w:rsidR="00102BFC">
        <w:t>.</w:t>
      </w:r>
    </w:p>
    <w:p w14:paraId="16D084AE" w14:textId="26FB47DA" w:rsidR="00E7745D" w:rsidRDefault="00297282" w:rsidP="00A3290E">
      <w:pPr>
        <w:pStyle w:val="Heading1"/>
        <w:rPr>
          <w:shd w:val="clear" w:color="auto" w:fill="FFFFFF"/>
        </w:rPr>
      </w:pPr>
      <w:r>
        <w:rPr>
          <w:shd w:val="clear" w:color="auto" w:fill="FFFFFF"/>
        </w:rPr>
        <w:t xml:space="preserve">4. </w:t>
      </w:r>
      <w:r w:rsidR="004A28E7">
        <w:rPr>
          <w:shd w:val="clear" w:color="auto" w:fill="FFFFFF"/>
        </w:rPr>
        <w:t>Discussion</w:t>
      </w:r>
    </w:p>
    <w:p w14:paraId="520F43FB" w14:textId="0DFAE2AD" w:rsidR="00C61889" w:rsidRDefault="00223209" w:rsidP="0069779D">
      <w:pPr>
        <w:spacing w:line="480" w:lineRule="auto"/>
        <w:ind w:firstLine="720"/>
        <w:rPr>
          <w:rFonts w:asciiTheme="majorBidi" w:hAnsiTheme="majorBidi" w:cstheme="majorBidi"/>
        </w:rPr>
      </w:pPr>
      <w:r>
        <w:rPr>
          <w:rFonts w:asciiTheme="majorBidi" w:eastAsia="Arial Unicode MS" w:hAnsiTheme="majorBidi" w:cstheme="majorBidi"/>
          <w:shd w:val="clear" w:color="auto" w:fill="FFFFFF"/>
        </w:rPr>
        <w:t xml:space="preserve">Previous studies assessing the dimensionality of SPQ scores point to a lack of consensus as to its higher-order structure, with </w:t>
      </w:r>
      <w:r w:rsidR="0069779D">
        <w:rPr>
          <w:rFonts w:asciiTheme="majorBidi" w:eastAsia="Arial Unicode MS" w:hAnsiTheme="majorBidi" w:cstheme="majorBidi"/>
          <w:shd w:val="clear" w:color="auto" w:fill="FFFFFF"/>
        </w:rPr>
        <w:t>early work (e.g., Reynolds et al. 2000) support</w:t>
      </w:r>
      <w:r w:rsidR="007B479A">
        <w:rPr>
          <w:rFonts w:asciiTheme="majorBidi" w:eastAsia="Arial Unicode MS" w:hAnsiTheme="majorBidi" w:cstheme="majorBidi"/>
          <w:shd w:val="clear" w:color="auto" w:fill="FFFFFF"/>
        </w:rPr>
        <w:t>ing</w:t>
      </w:r>
      <w:r w:rsidR="0069779D">
        <w:rPr>
          <w:rFonts w:asciiTheme="majorBidi" w:eastAsia="Arial Unicode MS" w:hAnsiTheme="majorBidi" w:cstheme="majorBidi"/>
          <w:shd w:val="clear" w:color="auto" w:fill="FFFFFF"/>
        </w:rPr>
        <w:t xml:space="preserve"> Raine and colleague’s (1994) 3-dimensional model and more recent work – particularly outside English-speaking, North American populations – supporting 4-factor models (e.g., Fonseca-</w:t>
      </w:r>
      <w:proofErr w:type="spellStart"/>
      <w:r w:rsidR="0069779D">
        <w:rPr>
          <w:rFonts w:asciiTheme="majorBidi" w:eastAsia="Arial Unicode MS" w:hAnsiTheme="majorBidi" w:cstheme="majorBidi"/>
          <w:shd w:val="clear" w:color="auto" w:fill="FFFFFF"/>
        </w:rPr>
        <w:t>Pedrero</w:t>
      </w:r>
      <w:proofErr w:type="spellEnd"/>
      <w:r w:rsidR="0069779D">
        <w:rPr>
          <w:rFonts w:asciiTheme="majorBidi" w:eastAsia="Arial Unicode MS" w:hAnsiTheme="majorBidi" w:cstheme="majorBidi"/>
          <w:shd w:val="clear" w:color="auto" w:fill="FFFFFF"/>
        </w:rPr>
        <w:t xml:space="preserve"> et al. 2018). Here, we tested the higher-order dimensionality of scores on a </w:t>
      </w:r>
      <w:r w:rsidR="007B479A">
        <w:rPr>
          <w:rFonts w:asciiTheme="majorBidi" w:eastAsia="Arial Unicode MS" w:hAnsiTheme="majorBidi" w:cstheme="majorBidi"/>
          <w:shd w:val="clear" w:color="auto" w:fill="FFFFFF"/>
        </w:rPr>
        <w:t>fresh</w:t>
      </w:r>
      <w:r w:rsidR="0069779D">
        <w:rPr>
          <w:rFonts w:asciiTheme="majorBidi" w:eastAsia="Arial Unicode MS" w:hAnsiTheme="majorBidi" w:cstheme="majorBidi"/>
          <w:shd w:val="clear" w:color="auto" w:fill="FFFFFF"/>
        </w:rPr>
        <w:t xml:space="preserve"> translation of the SPQ in Romanian-speaking adults. Our results showed that the 4-factor model proposed by </w:t>
      </w:r>
      <w:proofErr w:type="spellStart"/>
      <w:r w:rsidR="0069779D">
        <w:rPr>
          <w:rFonts w:asciiTheme="majorBidi" w:eastAsia="Arial Unicode MS" w:hAnsiTheme="majorBidi" w:cstheme="majorBidi"/>
          <w:shd w:val="clear" w:color="auto" w:fill="FFFFFF"/>
        </w:rPr>
        <w:t>Stefanis</w:t>
      </w:r>
      <w:proofErr w:type="spellEnd"/>
      <w:r w:rsidR="0069779D">
        <w:rPr>
          <w:rFonts w:asciiTheme="majorBidi" w:eastAsia="Arial Unicode MS" w:hAnsiTheme="majorBidi" w:cstheme="majorBidi"/>
          <w:shd w:val="clear" w:color="auto" w:fill="FFFFFF"/>
        </w:rPr>
        <w:t xml:space="preserve"> and colleagues (2004) had the best fit to the data, although</w:t>
      </w:r>
      <w:r w:rsidR="00783D23">
        <w:rPr>
          <w:rFonts w:asciiTheme="majorBidi" w:eastAsia="Arial Unicode MS" w:hAnsiTheme="majorBidi" w:cstheme="majorBidi"/>
          <w:shd w:val="clear" w:color="auto" w:fill="FFFFFF"/>
        </w:rPr>
        <w:t xml:space="preserve"> it should be noted that</w:t>
      </w:r>
      <w:r w:rsidR="0069779D">
        <w:rPr>
          <w:rFonts w:asciiTheme="majorBidi" w:eastAsia="Arial Unicode MS" w:hAnsiTheme="majorBidi" w:cstheme="majorBidi"/>
          <w:shd w:val="clear" w:color="auto" w:fill="FFFFFF"/>
        </w:rPr>
        <w:t xml:space="preserve"> adequate fit was also obtained for the </w:t>
      </w:r>
      <w:r w:rsidR="00C61889" w:rsidRPr="001B4BE9">
        <w:rPr>
          <w:rFonts w:asciiTheme="majorBidi" w:eastAsia="Arial Unicode MS" w:hAnsiTheme="majorBidi" w:cstheme="majorBidi"/>
          <w:shd w:val="clear" w:color="auto" w:fill="FFFFFF"/>
        </w:rPr>
        <w:t>hierarchically</w:t>
      </w:r>
      <w:r w:rsidR="00C61889">
        <w:rPr>
          <w:rFonts w:asciiTheme="majorBidi" w:eastAsia="Arial Unicode MS" w:hAnsiTheme="majorBidi" w:cstheme="majorBidi"/>
          <w:shd w:val="clear" w:color="auto" w:fill="FFFFFF"/>
        </w:rPr>
        <w:t>-</w:t>
      </w:r>
      <w:r w:rsidR="00C61889" w:rsidRPr="001B4BE9">
        <w:rPr>
          <w:rFonts w:asciiTheme="majorBidi" w:eastAsia="Arial Unicode MS" w:hAnsiTheme="majorBidi" w:cstheme="majorBidi"/>
          <w:shd w:val="clear" w:color="auto" w:fill="FFFFFF"/>
        </w:rPr>
        <w:t xml:space="preserve">related 4-factor </w:t>
      </w:r>
      <w:r w:rsidR="001F4C0D">
        <w:rPr>
          <w:rFonts w:asciiTheme="majorBidi" w:eastAsia="Arial Unicode MS" w:hAnsiTheme="majorBidi" w:cstheme="majorBidi"/>
          <w:shd w:val="clear" w:color="auto" w:fill="FFFFFF"/>
        </w:rPr>
        <w:t>model</w:t>
      </w:r>
      <w:r w:rsidR="00C61889" w:rsidRPr="001B4BE9">
        <w:rPr>
          <w:rFonts w:asciiTheme="majorBidi" w:eastAsia="Arial Unicode MS" w:hAnsiTheme="majorBidi" w:cstheme="majorBidi"/>
          <w:shd w:val="clear" w:color="auto" w:fill="FFFFFF"/>
        </w:rPr>
        <w:t xml:space="preserve"> </w:t>
      </w:r>
      <w:r w:rsidR="00C61889" w:rsidRPr="001B4BE9">
        <w:rPr>
          <w:rFonts w:asciiTheme="majorBidi" w:eastAsia="Arial Unicode MS" w:hAnsiTheme="majorBidi" w:cstheme="majorBidi"/>
          <w:noProof/>
          <w:shd w:val="clear" w:color="auto" w:fill="FFFFFF"/>
        </w:rPr>
        <w:t>(Compton et al. 2009)</w:t>
      </w:r>
      <w:r w:rsidR="00C61889" w:rsidRPr="001B4BE9">
        <w:rPr>
          <w:rFonts w:asciiTheme="majorBidi" w:eastAsia="Arial Unicode MS" w:hAnsiTheme="majorBidi" w:cstheme="majorBidi"/>
          <w:shd w:val="clear" w:color="auto" w:fill="FFFFFF"/>
        </w:rPr>
        <w:t xml:space="preserve">. </w:t>
      </w:r>
      <w:r w:rsidR="0069779D">
        <w:rPr>
          <w:rFonts w:asciiTheme="majorBidi" w:eastAsia="Arial Unicode MS" w:hAnsiTheme="majorBidi" w:cstheme="majorBidi"/>
          <w:shd w:val="clear" w:color="auto" w:fill="FFFFFF"/>
        </w:rPr>
        <w:t xml:space="preserve">Conversely, Raine and colleague’s (1994) 3-factor model showed less-than-adequate fit. Taken together, the present results suggest that the inclusion of a higher-order Paranoid factor improves fit of Romanian SPQ scores, which is </w:t>
      </w:r>
      <w:r w:rsidR="00C61889">
        <w:rPr>
          <w:rFonts w:asciiTheme="majorBidi" w:hAnsiTheme="majorBidi" w:cstheme="majorBidi"/>
        </w:rPr>
        <w:t>consistent with</w:t>
      </w:r>
      <w:r w:rsidR="00C61889" w:rsidRPr="001B4BE9">
        <w:rPr>
          <w:rFonts w:asciiTheme="majorBidi" w:hAnsiTheme="majorBidi" w:cstheme="majorBidi"/>
        </w:rPr>
        <w:t xml:space="preserve"> </w:t>
      </w:r>
      <w:r w:rsidR="00C61889">
        <w:rPr>
          <w:rFonts w:asciiTheme="majorBidi" w:hAnsiTheme="majorBidi" w:cstheme="majorBidi"/>
        </w:rPr>
        <w:t>previous investigations</w:t>
      </w:r>
      <w:r w:rsidR="00B22B8C">
        <w:rPr>
          <w:rFonts w:asciiTheme="majorBidi" w:hAnsiTheme="majorBidi" w:cstheme="majorBidi"/>
        </w:rPr>
        <w:t xml:space="preserve"> in </w:t>
      </w:r>
      <w:r w:rsidR="0069779D">
        <w:rPr>
          <w:rFonts w:asciiTheme="majorBidi" w:hAnsiTheme="majorBidi" w:cstheme="majorBidi"/>
        </w:rPr>
        <w:t>distinct</w:t>
      </w:r>
      <w:r w:rsidR="00B22B8C">
        <w:rPr>
          <w:rFonts w:asciiTheme="majorBidi" w:hAnsiTheme="majorBidi" w:cstheme="majorBidi"/>
        </w:rPr>
        <w:t xml:space="preserve"> </w:t>
      </w:r>
      <w:r w:rsidR="0069779D">
        <w:rPr>
          <w:rFonts w:asciiTheme="majorBidi" w:hAnsiTheme="majorBidi" w:cstheme="majorBidi"/>
        </w:rPr>
        <w:t>national</w:t>
      </w:r>
      <w:r w:rsidR="00B22B8C">
        <w:rPr>
          <w:rFonts w:asciiTheme="majorBidi" w:hAnsiTheme="majorBidi" w:cstheme="majorBidi"/>
        </w:rPr>
        <w:t xml:space="preserve"> settings</w:t>
      </w:r>
      <w:r w:rsidR="00C61889">
        <w:rPr>
          <w:rFonts w:asciiTheme="majorBidi" w:hAnsiTheme="majorBidi" w:cstheme="majorBidi"/>
        </w:rPr>
        <w:t xml:space="preserve"> (</w:t>
      </w:r>
      <w:r w:rsidR="00EA5C31">
        <w:rPr>
          <w:rFonts w:asciiTheme="majorBidi" w:hAnsiTheme="majorBidi" w:cstheme="majorBidi"/>
        </w:rPr>
        <w:t xml:space="preserve">e.g., </w:t>
      </w:r>
      <w:r w:rsidR="00C61889">
        <w:rPr>
          <w:rFonts w:asciiTheme="majorBidi" w:hAnsiTheme="majorBidi" w:cstheme="majorBidi"/>
        </w:rPr>
        <w:t>Barron</w:t>
      </w:r>
      <w:r w:rsidR="00F44AA4">
        <w:rPr>
          <w:rFonts w:asciiTheme="majorBidi" w:hAnsiTheme="majorBidi" w:cstheme="majorBidi"/>
        </w:rPr>
        <w:t xml:space="preserve"> et al.</w:t>
      </w:r>
      <w:r w:rsidR="003803B7">
        <w:rPr>
          <w:rFonts w:asciiTheme="majorBidi" w:hAnsiTheme="majorBidi" w:cstheme="majorBidi"/>
        </w:rPr>
        <w:t xml:space="preserve"> </w:t>
      </w:r>
      <w:r w:rsidR="00C61889">
        <w:rPr>
          <w:rFonts w:asciiTheme="majorBidi" w:hAnsiTheme="majorBidi" w:cstheme="majorBidi"/>
        </w:rPr>
        <w:t>2018</w:t>
      </w:r>
      <w:r w:rsidR="00F44AA4">
        <w:rPr>
          <w:rFonts w:asciiTheme="majorBidi" w:hAnsiTheme="majorBidi" w:cstheme="majorBidi"/>
        </w:rPr>
        <w:t>a, 2018b</w:t>
      </w:r>
      <w:r w:rsidR="003803B7">
        <w:rPr>
          <w:rFonts w:asciiTheme="majorBidi" w:hAnsiTheme="majorBidi" w:cstheme="majorBidi"/>
        </w:rPr>
        <w:t>;</w:t>
      </w:r>
      <w:r w:rsidR="00C61889">
        <w:rPr>
          <w:rFonts w:asciiTheme="majorBidi" w:hAnsiTheme="majorBidi" w:cstheme="majorBidi"/>
        </w:rPr>
        <w:t xml:space="preserve"> </w:t>
      </w:r>
      <w:r w:rsidR="003803B7">
        <w:rPr>
          <w:rFonts w:asciiTheme="majorBidi" w:hAnsiTheme="majorBidi" w:cstheme="majorBidi"/>
        </w:rPr>
        <w:t>Compton et al. 2009</w:t>
      </w:r>
      <w:r w:rsidR="007B479A">
        <w:rPr>
          <w:rFonts w:asciiTheme="majorBidi" w:hAnsiTheme="majorBidi" w:cstheme="majorBidi"/>
        </w:rPr>
        <w:t xml:space="preserve">; </w:t>
      </w:r>
      <w:proofErr w:type="spellStart"/>
      <w:r w:rsidR="007B479A">
        <w:rPr>
          <w:rFonts w:asciiTheme="majorBidi" w:hAnsiTheme="majorBidi" w:cstheme="majorBidi"/>
        </w:rPr>
        <w:t>Rabella</w:t>
      </w:r>
      <w:proofErr w:type="spellEnd"/>
      <w:r w:rsidR="007B479A">
        <w:rPr>
          <w:rFonts w:asciiTheme="majorBidi" w:hAnsiTheme="majorBidi" w:cstheme="majorBidi"/>
        </w:rPr>
        <w:t xml:space="preserve"> et al. 2018</w:t>
      </w:r>
      <w:r w:rsidR="00C61889">
        <w:rPr>
          <w:rFonts w:asciiTheme="majorBidi" w:hAnsiTheme="majorBidi" w:cstheme="majorBidi"/>
        </w:rPr>
        <w:t xml:space="preserve">). </w:t>
      </w:r>
    </w:p>
    <w:p w14:paraId="17FCBF7F" w14:textId="051BE053" w:rsidR="0069779D" w:rsidRPr="00D64D7A" w:rsidRDefault="000A04CB" w:rsidP="007B479A">
      <w:pPr>
        <w:spacing w:line="480" w:lineRule="auto"/>
        <w:ind w:firstLine="720"/>
        <w:rPr>
          <w:rFonts w:asciiTheme="majorBidi" w:hAnsiTheme="majorBidi" w:cstheme="majorBidi"/>
        </w:rPr>
      </w:pPr>
      <w:r>
        <w:rPr>
          <w:rFonts w:asciiTheme="majorBidi" w:hAnsiTheme="majorBidi" w:cstheme="majorBidi"/>
        </w:rPr>
        <w:lastRenderedPageBreak/>
        <w:t xml:space="preserve">The main implication of the present findings </w:t>
      </w:r>
      <w:r w:rsidRPr="00B8517C">
        <w:rPr>
          <w:rFonts w:asciiTheme="majorBidi" w:hAnsiTheme="majorBidi" w:cstheme="majorBidi"/>
          <w:i/>
          <w:iCs/>
        </w:rPr>
        <w:t>vis-à-vis</w:t>
      </w:r>
      <w:r>
        <w:rPr>
          <w:rFonts w:asciiTheme="majorBidi" w:hAnsiTheme="majorBidi" w:cstheme="majorBidi"/>
        </w:rPr>
        <w:t xml:space="preserve"> the higher-order factor structure of Romanian SPQ scores is that 4-dimensional models – particularly the 4-factor model introduced by </w:t>
      </w:r>
      <w:proofErr w:type="spellStart"/>
      <w:r>
        <w:rPr>
          <w:rFonts w:asciiTheme="majorBidi" w:hAnsiTheme="majorBidi" w:cstheme="majorBidi"/>
        </w:rPr>
        <w:t>Stefanis</w:t>
      </w:r>
      <w:proofErr w:type="spellEnd"/>
      <w:r>
        <w:rPr>
          <w:rFonts w:asciiTheme="majorBidi" w:hAnsiTheme="majorBidi" w:cstheme="majorBidi"/>
        </w:rPr>
        <w:t xml:space="preserve"> and colleagues (2004)</w:t>
      </w:r>
      <w:r w:rsidR="007B479A">
        <w:rPr>
          <w:rFonts w:asciiTheme="majorBidi" w:hAnsiTheme="majorBidi" w:cstheme="majorBidi"/>
        </w:rPr>
        <w:t xml:space="preserve"> –</w:t>
      </w:r>
      <w:r>
        <w:rPr>
          <w:rFonts w:asciiTheme="majorBidi" w:hAnsiTheme="majorBidi" w:cstheme="majorBidi"/>
        </w:rPr>
        <w:t xml:space="preserve"> presents greater factorial validity tha</w:t>
      </w:r>
      <w:r w:rsidR="005D60ED">
        <w:rPr>
          <w:rFonts w:asciiTheme="majorBidi" w:hAnsiTheme="majorBidi" w:cstheme="majorBidi"/>
        </w:rPr>
        <w:t>n</w:t>
      </w:r>
      <w:r>
        <w:rPr>
          <w:rFonts w:asciiTheme="majorBidi" w:hAnsiTheme="majorBidi" w:cstheme="majorBidi"/>
        </w:rPr>
        <w:t xml:space="preserve"> the more commonly-used 3-factor model conceptualised by Raine and colleagues (1994). This is particularly important in the Romanian context, where use of the SPQ is marked by analytic deficiencies. More precisely, </w:t>
      </w:r>
      <w:proofErr w:type="spellStart"/>
      <w:r>
        <w:rPr>
          <w:rFonts w:asciiTheme="majorBidi" w:hAnsiTheme="majorBidi" w:cstheme="majorBidi"/>
        </w:rPr>
        <w:t>Mihalca</w:t>
      </w:r>
      <w:proofErr w:type="spellEnd"/>
      <w:r>
        <w:rPr>
          <w:rFonts w:asciiTheme="majorBidi" w:hAnsiTheme="majorBidi" w:cstheme="majorBidi"/>
        </w:rPr>
        <w:t xml:space="preserve"> and colleagues (2011) translated 6 of the 9 SPQ subscales into Romanian and reported that, based on the results of principal-components analysis (PCA) with adolescents and young adults, scores reduced to </w:t>
      </w:r>
      <w:r w:rsidR="00F26890">
        <w:rPr>
          <w:rFonts w:asciiTheme="majorBidi" w:hAnsiTheme="majorBidi" w:cstheme="majorBidi"/>
        </w:rPr>
        <w:t>4</w:t>
      </w:r>
      <w:r>
        <w:rPr>
          <w:rFonts w:asciiTheme="majorBidi" w:hAnsiTheme="majorBidi" w:cstheme="majorBidi"/>
        </w:rPr>
        <w:t xml:space="preserve"> factors (Oddness of Behaviour and Speech, Perception Disorders, Constricted and Suspicious Communication, and Ideas of Reference and Suspiciousness). Even setting aside conceptual concerns (e.g., that only 6 SPQ subscales were included, the use of PCA rather than EFA, sole use of forward-translation) in </w:t>
      </w:r>
      <w:proofErr w:type="spellStart"/>
      <w:r>
        <w:rPr>
          <w:rFonts w:asciiTheme="majorBidi" w:hAnsiTheme="majorBidi" w:cstheme="majorBidi"/>
        </w:rPr>
        <w:t>Mihalca</w:t>
      </w:r>
      <w:proofErr w:type="spellEnd"/>
      <w:r>
        <w:rPr>
          <w:rFonts w:asciiTheme="majorBidi" w:hAnsiTheme="majorBidi" w:cstheme="majorBidi"/>
        </w:rPr>
        <w:t xml:space="preserve"> et al. (2011), our results suggest that it is possible to conceptualise Romanian SPQ scores as consisting of 4 higher-order dimensions. </w:t>
      </w:r>
      <w:r w:rsidR="00D64D7A">
        <w:rPr>
          <w:rFonts w:asciiTheme="majorBidi" w:hAnsiTheme="majorBidi" w:cstheme="majorBidi"/>
        </w:rPr>
        <w:t xml:space="preserve">Of course, one might argue that this 4-factor higher-order dimensionality masks lower-order dimensional ambiguity, which would be useful for future studies to investigate using larger samples. </w:t>
      </w:r>
    </w:p>
    <w:p w14:paraId="626AA293" w14:textId="3C2B792E" w:rsidR="00D64D7A" w:rsidRDefault="00C61889" w:rsidP="00334706">
      <w:pPr>
        <w:spacing w:line="480" w:lineRule="auto"/>
        <w:ind w:firstLine="720"/>
        <w:rPr>
          <w:rFonts w:asciiTheme="majorBidi" w:hAnsiTheme="majorBidi" w:cstheme="majorBidi"/>
        </w:rPr>
      </w:pPr>
      <w:r w:rsidRPr="00EF10B4">
        <w:rPr>
          <w:rFonts w:asciiTheme="majorBidi" w:eastAsia="Arial Unicode MS" w:hAnsiTheme="majorBidi" w:cstheme="majorBidi"/>
          <w:shd w:val="clear" w:color="auto" w:fill="FFFFFF"/>
        </w:rPr>
        <w:t>Our results also showed that</w:t>
      </w:r>
      <w:r>
        <w:rPr>
          <w:rFonts w:asciiTheme="majorBidi" w:eastAsia="Arial Unicode MS" w:hAnsiTheme="majorBidi" w:cstheme="majorBidi"/>
          <w:shd w:val="clear" w:color="auto" w:fill="FFFFFF"/>
        </w:rPr>
        <w:t xml:space="preserve"> </w:t>
      </w:r>
      <w:r w:rsidRPr="00EF10B4">
        <w:rPr>
          <w:rFonts w:asciiTheme="majorBidi" w:eastAsia="Arial Unicode MS" w:hAnsiTheme="majorBidi" w:cstheme="majorBidi"/>
          <w:shd w:val="clear" w:color="auto" w:fill="FFFFFF"/>
        </w:rPr>
        <w:t xml:space="preserve">measurement invariance </w:t>
      </w:r>
      <w:r w:rsidR="00D64D7A">
        <w:rPr>
          <w:rFonts w:asciiTheme="majorBidi" w:eastAsia="Arial Unicode MS" w:hAnsiTheme="majorBidi" w:cstheme="majorBidi"/>
          <w:shd w:val="clear" w:color="auto" w:fill="FFFFFF"/>
        </w:rPr>
        <w:t>was</w:t>
      </w:r>
      <w:r w:rsidRPr="00EF10B4">
        <w:rPr>
          <w:rFonts w:asciiTheme="majorBidi" w:eastAsia="Arial Unicode MS" w:hAnsiTheme="majorBidi" w:cstheme="majorBidi"/>
          <w:shd w:val="clear" w:color="auto" w:fill="FFFFFF"/>
        </w:rPr>
        <w:t xml:space="preserve"> not fully supported</w:t>
      </w:r>
      <w:r>
        <w:rPr>
          <w:rFonts w:asciiTheme="majorBidi" w:eastAsia="Arial Unicode MS" w:hAnsiTheme="majorBidi" w:cstheme="majorBidi"/>
          <w:shd w:val="clear" w:color="auto" w:fill="FFFFFF"/>
        </w:rPr>
        <w:t xml:space="preserve"> </w:t>
      </w:r>
      <w:r w:rsidR="00D64D7A">
        <w:rPr>
          <w:rFonts w:asciiTheme="majorBidi" w:eastAsia="Arial Unicode MS" w:hAnsiTheme="majorBidi" w:cstheme="majorBidi"/>
          <w:shd w:val="clear" w:color="auto" w:fill="FFFFFF"/>
        </w:rPr>
        <w:t>across participant</w:t>
      </w:r>
      <w:r>
        <w:rPr>
          <w:rFonts w:asciiTheme="majorBidi" w:eastAsia="Arial Unicode MS" w:hAnsiTheme="majorBidi" w:cstheme="majorBidi"/>
          <w:shd w:val="clear" w:color="auto" w:fill="FFFFFF"/>
        </w:rPr>
        <w:t xml:space="preserve"> sex</w:t>
      </w:r>
      <w:r w:rsidR="00F85E57">
        <w:rPr>
          <w:rFonts w:asciiTheme="majorBidi" w:eastAsia="Arial Unicode MS" w:hAnsiTheme="majorBidi" w:cstheme="majorBidi"/>
          <w:shd w:val="clear" w:color="auto" w:fill="FFFFFF"/>
        </w:rPr>
        <w:t xml:space="preserve">; </w:t>
      </w:r>
      <w:r w:rsidR="00D64D7A">
        <w:rPr>
          <w:rFonts w:asciiTheme="majorBidi" w:eastAsia="Arial Unicode MS" w:hAnsiTheme="majorBidi" w:cstheme="majorBidi"/>
          <w:shd w:val="clear" w:color="auto" w:fill="FFFFFF"/>
        </w:rPr>
        <w:t>rather</w:t>
      </w:r>
      <w:r w:rsidR="00F85E57">
        <w:rPr>
          <w:rFonts w:asciiTheme="majorBidi" w:eastAsia="Arial Unicode MS" w:hAnsiTheme="majorBidi" w:cstheme="majorBidi"/>
          <w:shd w:val="clear" w:color="auto" w:fill="FFFFFF"/>
        </w:rPr>
        <w:t xml:space="preserve">, </w:t>
      </w:r>
      <w:r w:rsidR="00D64D7A">
        <w:rPr>
          <w:rFonts w:asciiTheme="majorBidi" w:eastAsia="Arial Unicode MS" w:hAnsiTheme="majorBidi" w:cstheme="majorBidi"/>
          <w:shd w:val="clear" w:color="auto" w:fill="FFFFFF"/>
        </w:rPr>
        <w:t xml:space="preserve">based on the 4-factor model, </w:t>
      </w:r>
      <w:r w:rsidR="00F85E57">
        <w:rPr>
          <w:rFonts w:asciiTheme="majorBidi" w:eastAsia="Arial Unicode MS" w:hAnsiTheme="majorBidi" w:cstheme="majorBidi"/>
          <w:shd w:val="clear" w:color="auto" w:fill="FFFFFF"/>
        </w:rPr>
        <w:t xml:space="preserve">we </w:t>
      </w:r>
      <w:r w:rsidR="00D64D7A">
        <w:rPr>
          <w:rFonts w:asciiTheme="majorBidi" w:eastAsia="Arial Unicode MS" w:hAnsiTheme="majorBidi" w:cstheme="majorBidi"/>
          <w:shd w:val="clear" w:color="auto" w:fill="FFFFFF"/>
        </w:rPr>
        <w:t>found evidence of</w:t>
      </w:r>
      <w:r w:rsidR="00F85E57">
        <w:rPr>
          <w:rFonts w:asciiTheme="majorBidi" w:eastAsia="Arial Unicode MS" w:hAnsiTheme="majorBidi" w:cstheme="majorBidi"/>
          <w:shd w:val="clear" w:color="auto" w:fill="FFFFFF"/>
        </w:rPr>
        <w:t xml:space="preserve"> partial </w:t>
      </w:r>
      <w:r w:rsidR="00D64D7A">
        <w:rPr>
          <w:rFonts w:asciiTheme="majorBidi" w:eastAsia="Arial Unicode MS" w:hAnsiTheme="majorBidi" w:cstheme="majorBidi"/>
          <w:shd w:val="clear" w:color="auto" w:fill="FFFFFF"/>
        </w:rPr>
        <w:t>scalar invariance across sex</w:t>
      </w:r>
      <w:r w:rsidRPr="00EF10B4">
        <w:rPr>
          <w:rFonts w:asciiTheme="majorBidi" w:eastAsia="Arial Unicode MS" w:hAnsiTheme="majorBidi" w:cstheme="majorBidi"/>
          <w:shd w:val="clear" w:color="auto" w:fill="FFFFFF"/>
        </w:rPr>
        <w:t>.</w:t>
      </w:r>
      <w:r w:rsidR="00F85E57">
        <w:rPr>
          <w:rFonts w:asciiTheme="majorBidi" w:eastAsia="Arial Unicode MS" w:hAnsiTheme="majorBidi" w:cstheme="majorBidi"/>
          <w:shd w:val="clear" w:color="auto" w:fill="FFFFFF"/>
        </w:rPr>
        <w:t xml:space="preserve"> The non-equivalence in scoring for sex was primarily </w:t>
      </w:r>
      <w:r w:rsidR="00D64D7A">
        <w:rPr>
          <w:rFonts w:asciiTheme="majorBidi" w:eastAsia="Arial Unicode MS" w:hAnsiTheme="majorBidi" w:cstheme="majorBidi"/>
          <w:shd w:val="clear" w:color="auto" w:fill="FFFFFF"/>
        </w:rPr>
        <w:t xml:space="preserve">found </w:t>
      </w:r>
      <w:r w:rsidR="00F85E57">
        <w:rPr>
          <w:rFonts w:asciiTheme="majorBidi" w:eastAsia="Arial Unicode MS" w:hAnsiTheme="majorBidi" w:cstheme="majorBidi"/>
          <w:shd w:val="clear" w:color="auto" w:fill="FFFFFF"/>
        </w:rPr>
        <w:t xml:space="preserve">on the </w:t>
      </w:r>
      <w:r w:rsidR="00DC7CFC">
        <w:rPr>
          <w:rFonts w:asciiTheme="majorBidi" w:eastAsia="Arial Unicode MS" w:hAnsiTheme="majorBidi" w:cstheme="majorBidi"/>
          <w:shd w:val="clear" w:color="auto" w:fill="FFFFFF"/>
        </w:rPr>
        <w:t>Cognitive Perceptual</w:t>
      </w:r>
      <w:r w:rsidR="00F85E57">
        <w:rPr>
          <w:rFonts w:asciiTheme="majorBidi" w:eastAsia="Arial Unicode MS" w:hAnsiTheme="majorBidi" w:cstheme="majorBidi"/>
          <w:shd w:val="clear" w:color="auto" w:fill="FFFFFF"/>
        </w:rPr>
        <w:t xml:space="preserve"> domain</w:t>
      </w:r>
      <w:r w:rsidR="00D64D7A">
        <w:rPr>
          <w:rFonts w:asciiTheme="majorBidi" w:eastAsia="Arial Unicode MS" w:hAnsiTheme="majorBidi" w:cstheme="majorBidi"/>
          <w:shd w:val="clear" w:color="auto" w:fill="FFFFFF"/>
        </w:rPr>
        <w:t>, particularly</w:t>
      </w:r>
      <w:r w:rsidR="00F85E57">
        <w:rPr>
          <w:rFonts w:asciiTheme="majorBidi" w:eastAsia="Arial Unicode MS" w:hAnsiTheme="majorBidi" w:cstheme="majorBidi"/>
          <w:shd w:val="clear" w:color="auto" w:fill="FFFFFF"/>
        </w:rPr>
        <w:t xml:space="preserve"> through </w:t>
      </w:r>
      <w:r w:rsidR="00D64D7A">
        <w:rPr>
          <w:rFonts w:asciiTheme="majorBidi" w:eastAsia="Arial Unicode MS" w:hAnsiTheme="majorBidi" w:cstheme="majorBidi"/>
          <w:shd w:val="clear" w:color="auto" w:fill="FFFFFF"/>
        </w:rPr>
        <w:t>the Odd or Eccentric Behaviour factor</w:t>
      </w:r>
      <w:r w:rsidR="00F85E57">
        <w:rPr>
          <w:rFonts w:asciiTheme="majorBidi" w:eastAsia="Arial Unicode MS" w:hAnsiTheme="majorBidi" w:cstheme="majorBidi"/>
          <w:shd w:val="clear" w:color="auto" w:fill="FFFFFF"/>
        </w:rPr>
        <w:t>. Further,</w:t>
      </w:r>
      <w:r w:rsidRPr="00EF10B4">
        <w:rPr>
          <w:rFonts w:asciiTheme="majorBidi" w:eastAsia="Arial Unicode MS" w:hAnsiTheme="majorBidi" w:cstheme="majorBidi"/>
          <w:shd w:val="clear" w:color="auto" w:fill="FFFFFF"/>
        </w:rPr>
        <w:t xml:space="preserve"> </w:t>
      </w:r>
      <w:r w:rsidR="006E676E">
        <w:rPr>
          <w:rFonts w:asciiTheme="majorBidi" w:eastAsia="Arial Unicode MS" w:hAnsiTheme="majorBidi" w:cstheme="majorBidi"/>
          <w:shd w:val="clear" w:color="auto" w:fill="FFFFFF"/>
        </w:rPr>
        <w:t>non-equivalence</w:t>
      </w:r>
      <w:r w:rsidRPr="00EF10B4">
        <w:rPr>
          <w:rFonts w:asciiTheme="majorBidi" w:eastAsia="Arial Unicode MS" w:hAnsiTheme="majorBidi" w:cstheme="majorBidi"/>
          <w:shd w:val="clear" w:color="auto" w:fill="FFFFFF"/>
        </w:rPr>
        <w:t xml:space="preserve"> was </w:t>
      </w:r>
      <w:r w:rsidR="00F85E57">
        <w:rPr>
          <w:rFonts w:asciiTheme="majorBidi" w:eastAsia="Arial Unicode MS" w:hAnsiTheme="majorBidi" w:cstheme="majorBidi"/>
          <w:shd w:val="clear" w:color="auto" w:fill="FFFFFF"/>
        </w:rPr>
        <w:t>also</w:t>
      </w:r>
      <w:r w:rsidRPr="00EF10B4">
        <w:rPr>
          <w:rFonts w:asciiTheme="majorBidi" w:eastAsia="Arial Unicode MS" w:hAnsiTheme="majorBidi" w:cstheme="majorBidi"/>
          <w:shd w:val="clear" w:color="auto" w:fill="FFFFFF"/>
        </w:rPr>
        <w:t xml:space="preserve"> highlighted on the Negative domain</w:t>
      </w:r>
      <w:r>
        <w:rPr>
          <w:rFonts w:asciiTheme="majorBidi" w:eastAsia="Arial Unicode MS" w:hAnsiTheme="majorBidi" w:cstheme="majorBidi"/>
          <w:shd w:val="clear" w:color="auto" w:fill="FFFFFF"/>
        </w:rPr>
        <w:t xml:space="preserve">, with </w:t>
      </w:r>
      <w:r w:rsidR="00807B9C">
        <w:rPr>
          <w:rFonts w:asciiTheme="majorBidi" w:eastAsia="Arial Unicode MS" w:hAnsiTheme="majorBidi" w:cstheme="majorBidi"/>
          <w:shd w:val="clear" w:color="auto" w:fill="FFFFFF"/>
        </w:rPr>
        <w:t>E</w:t>
      </w:r>
      <w:r w:rsidR="00D64D7A">
        <w:rPr>
          <w:rFonts w:asciiTheme="majorBidi" w:eastAsia="Arial Unicode MS" w:hAnsiTheme="majorBidi" w:cstheme="majorBidi"/>
          <w:shd w:val="clear" w:color="auto" w:fill="FFFFFF"/>
        </w:rPr>
        <w:t xml:space="preserve">xcessive </w:t>
      </w:r>
      <w:r w:rsidR="00807B9C">
        <w:rPr>
          <w:rFonts w:asciiTheme="majorBidi" w:eastAsia="Arial Unicode MS" w:hAnsiTheme="majorBidi" w:cstheme="majorBidi"/>
          <w:shd w:val="clear" w:color="auto" w:fill="FFFFFF"/>
        </w:rPr>
        <w:t>S</w:t>
      </w:r>
      <w:r w:rsidR="00D64D7A">
        <w:rPr>
          <w:rFonts w:asciiTheme="majorBidi" w:eastAsia="Arial Unicode MS" w:hAnsiTheme="majorBidi" w:cstheme="majorBidi"/>
          <w:shd w:val="clear" w:color="auto" w:fill="FFFFFF"/>
        </w:rPr>
        <w:t xml:space="preserve">ocial </w:t>
      </w:r>
      <w:r w:rsidR="00807B9C">
        <w:rPr>
          <w:rFonts w:asciiTheme="majorBidi" w:eastAsia="Arial Unicode MS" w:hAnsiTheme="majorBidi" w:cstheme="majorBidi"/>
          <w:shd w:val="clear" w:color="auto" w:fill="FFFFFF"/>
        </w:rPr>
        <w:t>A</w:t>
      </w:r>
      <w:r w:rsidR="00D64D7A">
        <w:rPr>
          <w:rFonts w:asciiTheme="majorBidi" w:eastAsia="Arial Unicode MS" w:hAnsiTheme="majorBidi" w:cstheme="majorBidi"/>
          <w:shd w:val="clear" w:color="auto" w:fill="FFFFFF"/>
        </w:rPr>
        <w:t>nxiety</w:t>
      </w:r>
      <w:r w:rsidRPr="00EF10B4">
        <w:rPr>
          <w:rFonts w:asciiTheme="majorBidi" w:eastAsia="Arial Unicode MS" w:hAnsiTheme="majorBidi" w:cstheme="majorBidi"/>
          <w:shd w:val="clear" w:color="auto" w:fill="FFFFFF"/>
        </w:rPr>
        <w:t>.</w:t>
      </w:r>
      <w:r w:rsidR="00807B9C">
        <w:rPr>
          <w:rFonts w:asciiTheme="majorBidi" w:eastAsia="Arial Unicode MS" w:hAnsiTheme="majorBidi" w:cstheme="majorBidi"/>
          <w:shd w:val="clear" w:color="auto" w:fill="FFFFFF"/>
        </w:rPr>
        <w:t xml:space="preserve"> </w:t>
      </w:r>
      <w:r w:rsidR="00D64D7A">
        <w:rPr>
          <w:rFonts w:asciiTheme="majorBidi" w:eastAsia="Arial Unicode MS" w:hAnsiTheme="majorBidi" w:cstheme="majorBidi"/>
          <w:shd w:val="clear" w:color="auto" w:fill="FFFFFF"/>
        </w:rPr>
        <w:t>Similar</w:t>
      </w:r>
      <w:r w:rsidR="00807B9C">
        <w:rPr>
          <w:rFonts w:asciiTheme="majorBidi" w:eastAsia="Arial Unicode MS" w:hAnsiTheme="majorBidi" w:cstheme="majorBidi"/>
          <w:shd w:val="clear" w:color="auto" w:fill="FFFFFF"/>
        </w:rPr>
        <w:t xml:space="preserve"> non-equivalence</w:t>
      </w:r>
      <w:r w:rsidR="00D64D7A">
        <w:rPr>
          <w:rFonts w:asciiTheme="majorBidi" w:eastAsia="Arial Unicode MS" w:hAnsiTheme="majorBidi" w:cstheme="majorBidi"/>
          <w:shd w:val="clear" w:color="auto" w:fill="FFFFFF"/>
        </w:rPr>
        <w:t xml:space="preserve"> concerns have been found in </w:t>
      </w:r>
      <w:r w:rsidR="00807B9C">
        <w:rPr>
          <w:rFonts w:asciiTheme="majorBidi" w:eastAsia="Arial Unicode MS" w:hAnsiTheme="majorBidi" w:cstheme="majorBidi"/>
          <w:shd w:val="clear" w:color="auto" w:fill="FFFFFF"/>
        </w:rPr>
        <w:t>previous investigations (</w:t>
      </w:r>
      <w:r w:rsidR="00361DA0">
        <w:rPr>
          <w:rFonts w:asciiTheme="majorBidi" w:eastAsia="Arial Unicode MS" w:hAnsiTheme="majorBidi" w:cstheme="majorBidi"/>
          <w:shd w:val="clear" w:color="auto" w:fill="FFFFFF"/>
        </w:rPr>
        <w:t xml:space="preserve">e.g., </w:t>
      </w:r>
      <w:r w:rsidR="00807B9C">
        <w:rPr>
          <w:rFonts w:asciiTheme="majorBidi" w:eastAsia="Arial Unicode MS" w:hAnsiTheme="majorBidi" w:cstheme="majorBidi"/>
          <w:shd w:val="clear" w:color="auto" w:fill="FFFFFF"/>
        </w:rPr>
        <w:t>Barron</w:t>
      </w:r>
      <w:r w:rsidR="00F44AA4">
        <w:rPr>
          <w:rFonts w:asciiTheme="majorBidi" w:eastAsia="Arial Unicode MS" w:hAnsiTheme="majorBidi" w:cstheme="majorBidi"/>
          <w:shd w:val="clear" w:color="auto" w:fill="FFFFFF"/>
        </w:rPr>
        <w:t xml:space="preserve"> et </w:t>
      </w:r>
      <w:r w:rsidR="00807B9C">
        <w:rPr>
          <w:rFonts w:asciiTheme="majorBidi" w:eastAsia="Arial Unicode MS" w:hAnsiTheme="majorBidi" w:cstheme="majorBidi"/>
          <w:shd w:val="clear" w:color="auto" w:fill="FFFFFF"/>
        </w:rPr>
        <w:t>al. 2018</w:t>
      </w:r>
      <w:r w:rsidR="00F44AA4">
        <w:rPr>
          <w:rFonts w:asciiTheme="majorBidi" w:eastAsia="Arial Unicode MS" w:hAnsiTheme="majorBidi" w:cstheme="majorBidi"/>
          <w:shd w:val="clear" w:color="auto" w:fill="FFFFFF"/>
        </w:rPr>
        <w:t>b</w:t>
      </w:r>
      <w:r w:rsidR="00807B9C">
        <w:rPr>
          <w:rFonts w:asciiTheme="majorBidi" w:eastAsia="Arial Unicode MS" w:hAnsiTheme="majorBidi" w:cstheme="majorBidi"/>
          <w:shd w:val="clear" w:color="auto" w:fill="FFFFFF"/>
        </w:rPr>
        <w:t xml:space="preserve">) and suggests </w:t>
      </w:r>
      <w:r w:rsidR="00F85E57">
        <w:rPr>
          <w:rFonts w:asciiTheme="majorBidi" w:eastAsia="Arial Unicode MS" w:hAnsiTheme="majorBidi" w:cstheme="majorBidi"/>
          <w:shd w:val="clear" w:color="auto" w:fill="FFFFFF"/>
        </w:rPr>
        <w:t>particular</w:t>
      </w:r>
      <w:r w:rsidR="00807B9C">
        <w:rPr>
          <w:rFonts w:asciiTheme="majorBidi" w:eastAsia="Arial Unicode MS" w:hAnsiTheme="majorBidi" w:cstheme="majorBidi"/>
          <w:shd w:val="clear" w:color="auto" w:fill="FFFFFF"/>
        </w:rPr>
        <w:t xml:space="preserve"> </w:t>
      </w:r>
      <w:r w:rsidR="00F85E57">
        <w:rPr>
          <w:rFonts w:asciiTheme="majorBidi" w:eastAsia="Arial Unicode MS" w:hAnsiTheme="majorBidi" w:cstheme="majorBidi"/>
          <w:shd w:val="clear" w:color="auto" w:fill="FFFFFF"/>
        </w:rPr>
        <w:t>adaptational problems with th</w:t>
      </w:r>
      <w:r w:rsidR="00D64D7A">
        <w:rPr>
          <w:rFonts w:asciiTheme="majorBidi" w:eastAsia="Arial Unicode MS" w:hAnsiTheme="majorBidi" w:cstheme="majorBidi"/>
          <w:shd w:val="clear" w:color="auto" w:fill="FFFFFF"/>
        </w:rPr>
        <w:t>e</w:t>
      </w:r>
      <w:r w:rsidR="00F85E57">
        <w:rPr>
          <w:rFonts w:asciiTheme="majorBidi" w:eastAsia="Arial Unicode MS" w:hAnsiTheme="majorBidi" w:cstheme="majorBidi"/>
          <w:shd w:val="clear" w:color="auto" w:fill="FFFFFF"/>
        </w:rPr>
        <w:t>s</w:t>
      </w:r>
      <w:r w:rsidR="00D64D7A">
        <w:rPr>
          <w:rFonts w:asciiTheme="majorBidi" w:eastAsia="Arial Unicode MS" w:hAnsiTheme="majorBidi" w:cstheme="majorBidi"/>
          <w:shd w:val="clear" w:color="auto" w:fill="FFFFFF"/>
        </w:rPr>
        <w:t>e</w:t>
      </w:r>
      <w:r w:rsidR="00F85E57">
        <w:rPr>
          <w:rFonts w:asciiTheme="majorBidi" w:eastAsia="Arial Unicode MS" w:hAnsiTheme="majorBidi" w:cstheme="majorBidi"/>
          <w:shd w:val="clear" w:color="auto" w:fill="FFFFFF"/>
        </w:rPr>
        <w:t xml:space="preserve"> lower-order </w:t>
      </w:r>
      <w:r w:rsidR="00D64D7A">
        <w:rPr>
          <w:rFonts w:asciiTheme="majorBidi" w:eastAsia="Arial Unicode MS" w:hAnsiTheme="majorBidi" w:cstheme="majorBidi"/>
          <w:shd w:val="clear" w:color="auto" w:fill="FFFFFF"/>
        </w:rPr>
        <w:t>factors</w:t>
      </w:r>
      <w:r w:rsidR="00F85E57">
        <w:rPr>
          <w:rFonts w:asciiTheme="majorBidi" w:eastAsia="Arial Unicode MS" w:hAnsiTheme="majorBidi" w:cstheme="majorBidi"/>
          <w:shd w:val="clear" w:color="auto" w:fill="FFFFFF"/>
        </w:rPr>
        <w:t>.</w:t>
      </w:r>
      <w:r w:rsidRPr="00EF10B4">
        <w:rPr>
          <w:rFonts w:asciiTheme="majorBidi" w:eastAsia="Arial Unicode MS" w:hAnsiTheme="majorBidi" w:cstheme="majorBidi"/>
          <w:shd w:val="clear" w:color="auto" w:fill="FFFFFF"/>
        </w:rPr>
        <w:t xml:space="preserve"> Therefore, any between group differences should be interpreted with caution </w:t>
      </w:r>
      <w:r w:rsidR="00F85E57">
        <w:rPr>
          <w:rFonts w:asciiTheme="majorBidi" w:eastAsia="Arial Unicode MS" w:hAnsiTheme="majorBidi" w:cstheme="majorBidi"/>
          <w:shd w:val="clear" w:color="auto" w:fill="FFFFFF"/>
        </w:rPr>
        <w:t>for scores on these domains</w:t>
      </w:r>
      <w:r w:rsidRPr="00EF10B4">
        <w:rPr>
          <w:rFonts w:asciiTheme="majorBidi" w:eastAsia="Arial Unicode MS" w:hAnsiTheme="majorBidi" w:cstheme="majorBidi"/>
          <w:shd w:val="clear" w:color="auto" w:fill="FFFFFF"/>
        </w:rPr>
        <w:t>.</w:t>
      </w:r>
      <w:r w:rsidRPr="00EF10B4">
        <w:rPr>
          <w:rFonts w:asciiTheme="majorBidi" w:hAnsiTheme="majorBidi" w:cstheme="majorBidi"/>
        </w:rPr>
        <w:t xml:space="preserve"> </w:t>
      </w:r>
      <w:r w:rsidR="00D64D7A">
        <w:rPr>
          <w:rFonts w:asciiTheme="majorBidi" w:hAnsiTheme="majorBidi" w:cstheme="majorBidi"/>
        </w:rPr>
        <w:t xml:space="preserve">Nevertheless, based on </w:t>
      </w:r>
      <w:r w:rsidR="00945B30">
        <w:rPr>
          <w:rFonts w:asciiTheme="majorBidi" w:hAnsiTheme="majorBidi" w:cstheme="majorBidi"/>
        </w:rPr>
        <w:t>between-group analyses, we found that</w:t>
      </w:r>
      <w:r w:rsidR="00945B30" w:rsidRPr="001B4BE9">
        <w:rPr>
          <w:rFonts w:asciiTheme="majorBidi" w:hAnsiTheme="majorBidi" w:cstheme="majorBidi"/>
        </w:rPr>
        <w:t xml:space="preserve"> </w:t>
      </w:r>
      <w:r w:rsidR="00945B30" w:rsidRPr="001B4BE9">
        <w:rPr>
          <w:rFonts w:asciiTheme="majorBidi" w:hAnsiTheme="majorBidi" w:cstheme="majorBidi"/>
        </w:rPr>
        <w:lastRenderedPageBreak/>
        <w:t>men scor</w:t>
      </w:r>
      <w:r w:rsidR="00945B30">
        <w:rPr>
          <w:rFonts w:asciiTheme="majorBidi" w:hAnsiTheme="majorBidi" w:cstheme="majorBidi"/>
        </w:rPr>
        <w:t>ed</w:t>
      </w:r>
      <w:r w:rsidR="00945B30" w:rsidRPr="001B4BE9">
        <w:rPr>
          <w:rFonts w:asciiTheme="majorBidi" w:hAnsiTheme="majorBidi" w:cstheme="majorBidi"/>
        </w:rPr>
        <w:t xml:space="preserve"> significantly higher</w:t>
      </w:r>
      <w:r w:rsidR="00334706">
        <w:rPr>
          <w:rFonts w:asciiTheme="majorBidi" w:hAnsiTheme="majorBidi" w:cstheme="majorBidi"/>
        </w:rPr>
        <w:t xml:space="preserve"> than women</w:t>
      </w:r>
      <w:r w:rsidR="00945B30" w:rsidRPr="001B4BE9">
        <w:rPr>
          <w:rFonts w:asciiTheme="majorBidi" w:hAnsiTheme="majorBidi" w:cstheme="majorBidi"/>
        </w:rPr>
        <w:t xml:space="preserve"> on the </w:t>
      </w:r>
      <w:r w:rsidR="00945B30" w:rsidRPr="00945B30">
        <w:rPr>
          <w:rFonts w:asciiTheme="majorBidi" w:hAnsiTheme="majorBidi" w:cstheme="majorBidi"/>
        </w:rPr>
        <w:t>Disorganised</w:t>
      </w:r>
      <w:r w:rsidR="00945B30" w:rsidRPr="001B4BE9">
        <w:rPr>
          <w:rFonts w:asciiTheme="majorBidi" w:hAnsiTheme="majorBidi" w:cstheme="majorBidi"/>
        </w:rPr>
        <w:t xml:space="preserve"> domain</w:t>
      </w:r>
      <w:r w:rsidR="00D64D7A">
        <w:rPr>
          <w:rFonts w:asciiTheme="majorBidi" w:hAnsiTheme="majorBidi" w:cstheme="majorBidi"/>
        </w:rPr>
        <w:t xml:space="preserve">, </w:t>
      </w:r>
      <w:r w:rsidR="00334706">
        <w:rPr>
          <w:rFonts w:asciiTheme="majorBidi" w:hAnsiTheme="majorBidi" w:cstheme="majorBidi"/>
        </w:rPr>
        <w:t xml:space="preserve">which is consistent with previous work (e.g., Raine 1992). Conversely, we found that </w:t>
      </w:r>
      <w:r w:rsidR="00D64D7A">
        <w:rPr>
          <w:rFonts w:asciiTheme="majorBidi" w:hAnsiTheme="majorBidi" w:cstheme="majorBidi"/>
        </w:rPr>
        <w:t xml:space="preserve">women had significantly higher scores on the </w:t>
      </w:r>
      <w:r w:rsidR="00334706">
        <w:rPr>
          <w:rFonts w:asciiTheme="majorBidi" w:hAnsiTheme="majorBidi" w:cstheme="majorBidi"/>
        </w:rPr>
        <w:t xml:space="preserve">Paranoid and </w:t>
      </w:r>
      <w:r w:rsidR="00D64D7A">
        <w:rPr>
          <w:rFonts w:asciiTheme="majorBidi" w:hAnsiTheme="majorBidi" w:cstheme="majorBidi"/>
        </w:rPr>
        <w:t>Cognitive-Perceptual</w:t>
      </w:r>
      <w:r w:rsidR="00334706">
        <w:rPr>
          <w:rFonts w:asciiTheme="majorBidi" w:hAnsiTheme="majorBidi" w:cstheme="majorBidi"/>
        </w:rPr>
        <w:t xml:space="preserve"> dimensions and that there was no significant sex difference on the Negative domain. It is important to note, however, that the effect sizes of the significant differences were </w:t>
      </w:r>
      <w:r w:rsidR="007B479A">
        <w:rPr>
          <w:rFonts w:asciiTheme="majorBidi" w:hAnsiTheme="majorBidi" w:cstheme="majorBidi"/>
        </w:rPr>
        <w:t>very</w:t>
      </w:r>
      <w:r w:rsidR="00334706">
        <w:rPr>
          <w:rFonts w:asciiTheme="majorBidi" w:hAnsiTheme="majorBidi" w:cstheme="majorBidi"/>
        </w:rPr>
        <w:t xml:space="preserve"> small </w:t>
      </w:r>
      <w:r w:rsidR="00334706">
        <w:rPr>
          <w:color w:val="000000"/>
        </w:rPr>
        <w:t xml:space="preserve">and probably negligible in real-world terms. </w:t>
      </w:r>
    </w:p>
    <w:p w14:paraId="3466EFD3" w14:textId="63D1AC1E" w:rsidR="007B479A" w:rsidRDefault="00334706" w:rsidP="007B479A">
      <w:pPr>
        <w:spacing w:line="480" w:lineRule="auto"/>
        <w:ind w:firstLine="720"/>
        <w:rPr>
          <w:noProof/>
        </w:rPr>
      </w:pPr>
      <w:r>
        <w:rPr>
          <w:rFonts w:asciiTheme="majorBidi" w:hAnsiTheme="majorBidi" w:cstheme="majorBidi"/>
        </w:rPr>
        <w:t>Beyond issues of factorial validity and sex invariance, the results of the present study also provide evidence of construct</w:t>
      </w:r>
      <w:r w:rsidR="00F26890">
        <w:rPr>
          <w:rFonts w:asciiTheme="majorBidi" w:hAnsiTheme="majorBidi" w:cstheme="majorBidi"/>
        </w:rPr>
        <w:t xml:space="preserve"> </w:t>
      </w:r>
      <w:r>
        <w:rPr>
          <w:rFonts w:asciiTheme="majorBidi" w:hAnsiTheme="majorBidi" w:cstheme="majorBidi"/>
        </w:rPr>
        <w:t xml:space="preserve">validity, </w:t>
      </w:r>
      <w:r w:rsidR="00F26890">
        <w:rPr>
          <w:rFonts w:asciiTheme="majorBidi" w:hAnsiTheme="majorBidi" w:cstheme="majorBidi"/>
        </w:rPr>
        <w:t xml:space="preserve">insofar </w:t>
      </w:r>
      <w:r>
        <w:rPr>
          <w:rFonts w:asciiTheme="majorBidi" w:hAnsiTheme="majorBidi" w:cstheme="majorBidi"/>
        </w:rPr>
        <w:t>as scores on the 4 SPQ dimensions were significantly</w:t>
      </w:r>
      <w:r w:rsidR="00FB3743">
        <w:rPr>
          <w:rFonts w:asciiTheme="majorBidi" w:hAnsiTheme="majorBidi" w:cstheme="majorBidi"/>
        </w:rPr>
        <w:t xml:space="preserve"> and</w:t>
      </w:r>
      <w:r w:rsidR="00F26890">
        <w:rPr>
          <w:rFonts w:asciiTheme="majorBidi" w:hAnsiTheme="majorBidi" w:cstheme="majorBidi"/>
        </w:rPr>
        <w:t xml:space="preserve"> negatively</w:t>
      </w:r>
      <w:r>
        <w:rPr>
          <w:rFonts w:asciiTheme="majorBidi" w:hAnsiTheme="majorBidi" w:cstheme="majorBidi"/>
        </w:rPr>
        <w:t xml:space="preserve"> associated with </w:t>
      </w:r>
      <w:r w:rsidR="007150B1" w:rsidRPr="00FB3743">
        <w:t>quality of life, self-esteem, and satisfaction with life</w:t>
      </w:r>
      <w:r w:rsidR="008C5C8C" w:rsidRPr="00FB3743">
        <w:t xml:space="preserve">. </w:t>
      </w:r>
      <w:r w:rsidR="00E57C5E" w:rsidRPr="00FB3743">
        <w:t xml:space="preserve">This follows previous research which has indicated </w:t>
      </w:r>
      <w:r w:rsidR="00E57C5E" w:rsidRPr="00FB3743">
        <w:rPr>
          <w:noProof/>
        </w:rPr>
        <w:t xml:space="preserve">moderate-to-large negative correlations between schizotypy and these self-reported measures (e.g., Brosey </w:t>
      </w:r>
      <w:r w:rsidR="00F44AA4">
        <w:rPr>
          <w:noProof/>
        </w:rPr>
        <w:t>and</w:t>
      </w:r>
      <w:r w:rsidR="00E57C5E" w:rsidRPr="00FB3743">
        <w:rPr>
          <w:noProof/>
        </w:rPr>
        <w:t xml:space="preserve"> Woodward 2015; Cohen </w:t>
      </w:r>
      <w:r w:rsidR="00F44AA4">
        <w:rPr>
          <w:noProof/>
        </w:rPr>
        <w:t>and</w:t>
      </w:r>
      <w:r w:rsidR="00E57C5E" w:rsidRPr="00FB3743">
        <w:rPr>
          <w:noProof/>
        </w:rPr>
        <w:t xml:space="preserve"> Davis 2009). </w:t>
      </w:r>
      <w:r w:rsidR="00FB5B42">
        <w:t xml:space="preserve">In terms of </w:t>
      </w:r>
      <w:r w:rsidR="00E20B40">
        <w:t xml:space="preserve">concurrent </w:t>
      </w:r>
      <w:r w:rsidR="00FB5B42">
        <w:t>validity</w:t>
      </w:r>
      <w:r w:rsidR="00F26890" w:rsidRPr="00FB3743">
        <w:t>,</w:t>
      </w:r>
      <w:r w:rsidR="00E57C5E">
        <w:t xml:space="preserve"> while</w:t>
      </w:r>
      <w:r w:rsidR="00F26890" w:rsidRPr="00FB3743">
        <w:t xml:space="preserve"> SPQ </w:t>
      </w:r>
      <w:r w:rsidR="007B479A">
        <w:t xml:space="preserve">scores </w:t>
      </w:r>
      <w:r w:rsidR="00F26890" w:rsidRPr="00FB3743">
        <w:t xml:space="preserve">significantly predicted all </w:t>
      </w:r>
      <w:r w:rsidR="007B479A">
        <w:t xml:space="preserve">additional </w:t>
      </w:r>
      <w:r w:rsidR="00F26890" w:rsidRPr="00FB3743">
        <w:t>measures in the present sample</w:t>
      </w:r>
      <w:r w:rsidR="00E57C5E">
        <w:t xml:space="preserve">, </w:t>
      </w:r>
      <w:r w:rsidR="008C5C8C" w:rsidRPr="00FB3743">
        <w:rPr>
          <w:noProof/>
        </w:rPr>
        <w:t xml:space="preserve">the </w:t>
      </w:r>
      <w:r w:rsidR="007B479A">
        <w:rPr>
          <w:noProof/>
        </w:rPr>
        <w:t>N</w:t>
      </w:r>
      <w:r w:rsidR="008C5C8C" w:rsidRPr="00FB3743">
        <w:rPr>
          <w:noProof/>
        </w:rPr>
        <w:t xml:space="preserve">egative </w:t>
      </w:r>
      <w:r w:rsidR="009800FA" w:rsidRPr="00FB3743">
        <w:rPr>
          <w:noProof/>
        </w:rPr>
        <w:t>d</w:t>
      </w:r>
      <w:r w:rsidR="008C5C8C" w:rsidRPr="00FB3743">
        <w:rPr>
          <w:noProof/>
        </w:rPr>
        <w:t>imension of schizotypy appear</w:t>
      </w:r>
      <w:r w:rsidR="007B479A">
        <w:rPr>
          <w:noProof/>
        </w:rPr>
        <w:t>ed</w:t>
      </w:r>
      <w:r w:rsidR="008C5C8C" w:rsidRPr="00FB3743">
        <w:rPr>
          <w:noProof/>
        </w:rPr>
        <w:t xml:space="preserve"> to account for most of the unique variance in qualify of life, </w:t>
      </w:r>
      <w:r w:rsidR="007B479A">
        <w:rPr>
          <w:noProof/>
        </w:rPr>
        <w:t xml:space="preserve">self-esteem, and satisfaction with life. This is similar to the findings of studies in other linguistic and cultural groups </w:t>
      </w:r>
      <w:r w:rsidR="007B479A" w:rsidRPr="00FB3743">
        <w:rPr>
          <w:noProof/>
        </w:rPr>
        <w:t xml:space="preserve">(Abbott </w:t>
      </w:r>
      <w:r w:rsidR="00F44AA4">
        <w:rPr>
          <w:noProof/>
        </w:rPr>
        <w:t>and</w:t>
      </w:r>
      <w:r w:rsidR="007B479A" w:rsidRPr="00FB3743">
        <w:rPr>
          <w:noProof/>
        </w:rPr>
        <w:t xml:space="preserve"> Byrne 2012; Cohen </w:t>
      </w:r>
      <w:r w:rsidR="00F44AA4">
        <w:rPr>
          <w:noProof/>
        </w:rPr>
        <w:t>and</w:t>
      </w:r>
      <w:r w:rsidR="007B479A" w:rsidRPr="00FB3743">
        <w:rPr>
          <w:noProof/>
        </w:rPr>
        <w:t xml:space="preserve"> Davis 2009)</w:t>
      </w:r>
      <w:r w:rsidR="007B479A">
        <w:rPr>
          <w:noProof/>
        </w:rPr>
        <w:t xml:space="preserve">, and may suggest that diminished subjective well-being and quality of life are characteristic along the schizophrenia spectrum, particularly for individuals who score highly on the Negative domain. For example, it has been suggested that individuals who lack social contact or who are deeply suspicious of others – characteristics of high Negative scores – will be unhappy about multiple dimensions of their lives, which affects self-reported quality of life and subjective well-being (Abbott </w:t>
      </w:r>
      <w:r w:rsidR="00F44AA4">
        <w:rPr>
          <w:noProof/>
        </w:rPr>
        <w:t>and</w:t>
      </w:r>
      <w:r w:rsidR="007B479A">
        <w:rPr>
          <w:noProof/>
        </w:rPr>
        <w:t xml:space="preserve"> Byrne 2012). </w:t>
      </w:r>
    </w:p>
    <w:p w14:paraId="7E40AB26" w14:textId="7DC4E9DD" w:rsidR="00361DA0" w:rsidRDefault="00334706" w:rsidP="002B7C81">
      <w:pPr>
        <w:spacing w:line="480" w:lineRule="auto"/>
        <w:ind w:firstLine="720"/>
        <w:rPr>
          <w:rFonts w:asciiTheme="majorBidi" w:hAnsiTheme="majorBidi" w:cstheme="majorBidi"/>
        </w:rPr>
      </w:pPr>
      <w:r>
        <w:rPr>
          <w:rFonts w:asciiTheme="majorBidi" w:hAnsiTheme="majorBidi" w:cstheme="majorBidi"/>
        </w:rPr>
        <w:t xml:space="preserve">There are a number of limitations of the present work, which should be considered. First, we did not include a measure of urbanicity </w:t>
      </w:r>
      <w:r w:rsidR="002B7C81">
        <w:rPr>
          <w:rFonts w:asciiTheme="majorBidi" w:hAnsiTheme="majorBidi" w:cstheme="majorBidi"/>
        </w:rPr>
        <w:t>and thus were unable to assess the impact of this variable on SPQ scores</w:t>
      </w:r>
      <w:r w:rsidR="00AC3787" w:rsidRPr="001B4BE9">
        <w:rPr>
          <w:rFonts w:asciiTheme="majorBidi" w:hAnsiTheme="majorBidi" w:cstheme="majorBidi"/>
        </w:rPr>
        <w:t>.</w:t>
      </w:r>
      <w:r w:rsidR="00AC3787">
        <w:rPr>
          <w:rFonts w:asciiTheme="majorBidi" w:hAnsiTheme="majorBidi" w:cstheme="majorBidi"/>
        </w:rPr>
        <w:t xml:space="preserve"> </w:t>
      </w:r>
      <w:r w:rsidR="00C61889">
        <w:rPr>
          <w:rFonts w:asciiTheme="majorBidi" w:hAnsiTheme="majorBidi" w:cstheme="majorBidi"/>
        </w:rPr>
        <w:t xml:space="preserve">Indeed, </w:t>
      </w:r>
      <w:r w:rsidR="007B479A">
        <w:rPr>
          <w:rFonts w:asciiTheme="majorBidi" w:hAnsiTheme="majorBidi" w:cstheme="majorBidi"/>
        </w:rPr>
        <w:t>in</w:t>
      </w:r>
      <w:r w:rsidR="00C61889">
        <w:rPr>
          <w:rFonts w:asciiTheme="majorBidi" w:hAnsiTheme="majorBidi" w:cstheme="majorBidi"/>
        </w:rPr>
        <w:t xml:space="preserve"> s</w:t>
      </w:r>
      <w:r w:rsidR="00C61889" w:rsidRPr="008863B2">
        <w:rPr>
          <w:rFonts w:asciiTheme="majorBidi" w:hAnsiTheme="majorBidi" w:cstheme="majorBidi"/>
        </w:rPr>
        <w:t>tudies of European adults (</w:t>
      </w:r>
      <w:r w:rsidR="00AC3787">
        <w:rPr>
          <w:rFonts w:asciiTheme="majorBidi" w:hAnsiTheme="majorBidi" w:cstheme="majorBidi"/>
        </w:rPr>
        <w:t>e.g.,</w:t>
      </w:r>
      <w:r w:rsidR="00C61889" w:rsidRPr="008863B2">
        <w:rPr>
          <w:rFonts w:asciiTheme="majorBidi" w:hAnsiTheme="majorBidi" w:cstheme="majorBidi"/>
        </w:rPr>
        <w:t xml:space="preserve"> van </w:t>
      </w:r>
      <w:proofErr w:type="spellStart"/>
      <w:r w:rsidR="00C61889" w:rsidRPr="008863B2">
        <w:rPr>
          <w:rFonts w:asciiTheme="majorBidi" w:hAnsiTheme="majorBidi" w:cstheme="majorBidi"/>
        </w:rPr>
        <w:t>Os</w:t>
      </w:r>
      <w:proofErr w:type="spellEnd"/>
      <w:r w:rsidR="00C61889">
        <w:rPr>
          <w:rFonts w:asciiTheme="majorBidi" w:hAnsiTheme="majorBidi" w:cstheme="majorBidi"/>
        </w:rPr>
        <w:t xml:space="preserve"> et al.</w:t>
      </w:r>
      <w:r w:rsidR="00C61889" w:rsidRPr="008863B2">
        <w:rPr>
          <w:rFonts w:asciiTheme="majorBidi" w:hAnsiTheme="majorBidi" w:cstheme="majorBidi"/>
        </w:rPr>
        <w:t xml:space="preserve"> 2001</w:t>
      </w:r>
      <w:r w:rsidR="002B7C81">
        <w:rPr>
          <w:rFonts w:asciiTheme="majorBidi" w:hAnsiTheme="majorBidi" w:cstheme="majorBidi"/>
        </w:rPr>
        <w:t xml:space="preserve"> </w:t>
      </w:r>
      <w:r w:rsidR="002B7C81">
        <w:rPr>
          <w:rFonts w:asciiTheme="majorBidi" w:hAnsiTheme="majorBidi" w:cstheme="majorBidi"/>
        </w:rPr>
        <w:lastRenderedPageBreak/>
        <w:t>2002</w:t>
      </w:r>
      <w:r w:rsidR="00C61889" w:rsidRPr="008863B2">
        <w:rPr>
          <w:rFonts w:asciiTheme="majorBidi" w:hAnsiTheme="majorBidi" w:cstheme="majorBidi"/>
        </w:rPr>
        <w:t>)</w:t>
      </w:r>
      <w:r w:rsidR="00C61889">
        <w:rPr>
          <w:rFonts w:asciiTheme="majorBidi" w:hAnsiTheme="majorBidi" w:cstheme="majorBidi"/>
        </w:rPr>
        <w:t>, it has been</w:t>
      </w:r>
      <w:r w:rsidR="00C61889" w:rsidRPr="008863B2">
        <w:rPr>
          <w:rFonts w:asciiTheme="majorBidi" w:hAnsiTheme="majorBidi" w:cstheme="majorBidi"/>
        </w:rPr>
        <w:t xml:space="preserve"> suggested that urbanicity is associated with increased risk of expression of non-clinical psychosis</w:t>
      </w:r>
      <w:r w:rsidR="007B479A">
        <w:rPr>
          <w:rFonts w:asciiTheme="majorBidi" w:hAnsiTheme="majorBidi" w:cstheme="majorBidi"/>
        </w:rPr>
        <w:t>.</w:t>
      </w:r>
      <w:r w:rsidR="002B7C81">
        <w:rPr>
          <w:rFonts w:asciiTheme="majorBidi" w:hAnsiTheme="majorBidi" w:cstheme="majorBidi"/>
        </w:rPr>
        <w:t xml:space="preserve"> </w:t>
      </w:r>
      <w:r w:rsidR="007B479A">
        <w:rPr>
          <w:rFonts w:asciiTheme="majorBidi" w:hAnsiTheme="majorBidi" w:cstheme="majorBidi"/>
        </w:rPr>
        <w:t xml:space="preserve">Thus, </w:t>
      </w:r>
      <w:r w:rsidR="002B7C81">
        <w:rPr>
          <w:rFonts w:asciiTheme="majorBidi" w:hAnsiTheme="majorBidi" w:cstheme="majorBidi"/>
        </w:rPr>
        <w:t>it w</w:t>
      </w:r>
      <w:r w:rsidR="007B479A">
        <w:rPr>
          <w:rFonts w:asciiTheme="majorBidi" w:hAnsiTheme="majorBidi" w:cstheme="majorBidi"/>
        </w:rPr>
        <w:t>ill</w:t>
      </w:r>
      <w:r w:rsidR="002B7C81">
        <w:rPr>
          <w:rFonts w:asciiTheme="majorBidi" w:hAnsiTheme="majorBidi" w:cstheme="majorBidi"/>
        </w:rPr>
        <w:t xml:space="preserve"> be useful to include a measure of urbanicity in future studies of the SPQ with Romanian-speaking populations</w:t>
      </w:r>
      <w:r w:rsidR="007B479A">
        <w:rPr>
          <w:rFonts w:asciiTheme="majorBidi" w:hAnsiTheme="majorBidi" w:cstheme="majorBidi"/>
        </w:rPr>
        <w:t>, particularly as Romania is one</w:t>
      </w:r>
      <w:r w:rsidR="00980A90">
        <w:rPr>
          <w:rFonts w:asciiTheme="majorBidi" w:hAnsiTheme="majorBidi" w:cstheme="majorBidi"/>
        </w:rPr>
        <w:t xml:space="preserve"> of</w:t>
      </w:r>
      <w:r w:rsidR="007B479A">
        <w:rPr>
          <w:rFonts w:asciiTheme="majorBidi" w:hAnsiTheme="majorBidi" w:cstheme="majorBidi"/>
        </w:rPr>
        <w:t xml:space="preserve"> the least urbanised nations in Europe, with 43.6% of the population living in rural areas (</w:t>
      </w:r>
      <w:proofErr w:type="spellStart"/>
      <w:r w:rsidR="007B479A">
        <w:rPr>
          <w:rFonts w:asciiTheme="majorBidi" w:hAnsiTheme="majorBidi" w:cstheme="majorBidi"/>
        </w:rPr>
        <w:t>Ichim</w:t>
      </w:r>
      <w:proofErr w:type="spellEnd"/>
      <w:r w:rsidR="00F44AA4">
        <w:rPr>
          <w:rFonts w:asciiTheme="majorBidi" w:hAnsiTheme="majorBidi" w:cstheme="majorBidi"/>
        </w:rPr>
        <w:t xml:space="preserve"> et al.</w:t>
      </w:r>
      <w:r w:rsidR="007B479A">
        <w:rPr>
          <w:rFonts w:asciiTheme="majorBidi" w:hAnsiTheme="majorBidi" w:cstheme="majorBidi"/>
        </w:rPr>
        <w:t xml:space="preserve"> 2016)</w:t>
      </w:r>
      <w:r w:rsidR="002B7C81">
        <w:rPr>
          <w:rFonts w:asciiTheme="majorBidi" w:hAnsiTheme="majorBidi" w:cstheme="majorBidi"/>
        </w:rPr>
        <w:t xml:space="preserve">. A further limitation of the present study </w:t>
      </w:r>
      <w:r w:rsidR="00C61889">
        <w:rPr>
          <w:rFonts w:asciiTheme="majorBidi" w:hAnsiTheme="majorBidi" w:cstheme="majorBidi"/>
        </w:rPr>
        <w:t xml:space="preserve">was the lack of additional measures to assess the construct validity of </w:t>
      </w:r>
      <w:r w:rsidR="00975D2A">
        <w:rPr>
          <w:rFonts w:asciiTheme="majorBidi" w:hAnsiTheme="majorBidi" w:cstheme="majorBidi"/>
        </w:rPr>
        <w:t>SPQ</w:t>
      </w:r>
      <w:r w:rsidR="00C61889">
        <w:rPr>
          <w:rFonts w:asciiTheme="majorBidi" w:hAnsiTheme="majorBidi" w:cstheme="majorBidi"/>
        </w:rPr>
        <w:t xml:space="preserve"> scores, </w:t>
      </w:r>
      <w:r w:rsidR="002B7C81">
        <w:rPr>
          <w:rFonts w:asciiTheme="majorBidi" w:hAnsiTheme="majorBidi" w:cstheme="majorBidi"/>
        </w:rPr>
        <w:t xml:space="preserve">though we were careful to select instruments that have evidence of adequate psychometric properties in the Romanian context. Similarly, we did not include any measure to </w:t>
      </w:r>
      <w:r w:rsidR="00C61889">
        <w:rPr>
          <w:rFonts w:asciiTheme="majorBidi" w:hAnsiTheme="majorBidi" w:cstheme="majorBidi"/>
        </w:rPr>
        <w:t xml:space="preserve">determine the extent to which participants responded randomly, pseudo-randomly, or dishonestly. </w:t>
      </w:r>
      <w:r w:rsidR="002B7C81">
        <w:rPr>
          <w:rFonts w:asciiTheme="majorBidi" w:hAnsiTheme="majorBidi" w:cstheme="majorBidi"/>
        </w:rPr>
        <w:t>Including appropriate measures</w:t>
      </w:r>
      <w:r w:rsidR="00D378F6">
        <w:rPr>
          <w:rFonts w:asciiTheme="majorBidi" w:hAnsiTheme="majorBidi" w:cstheme="majorBidi"/>
        </w:rPr>
        <w:t xml:space="preserve"> (e.g., </w:t>
      </w:r>
      <w:r w:rsidR="00C61889">
        <w:rPr>
          <w:rFonts w:asciiTheme="majorBidi" w:hAnsiTheme="majorBidi" w:cstheme="majorBidi"/>
        </w:rPr>
        <w:t>the Oviedo Infrequency Scale</w:t>
      </w:r>
      <w:r w:rsidR="00D378F6">
        <w:rPr>
          <w:rFonts w:asciiTheme="majorBidi" w:hAnsiTheme="majorBidi" w:cstheme="majorBidi"/>
        </w:rPr>
        <w:t xml:space="preserve">; </w:t>
      </w:r>
      <w:r w:rsidR="00C61889">
        <w:rPr>
          <w:rFonts w:asciiTheme="majorBidi" w:hAnsiTheme="majorBidi" w:cstheme="majorBidi"/>
        </w:rPr>
        <w:t>Fonseca-</w:t>
      </w:r>
      <w:proofErr w:type="spellStart"/>
      <w:r w:rsidR="00C61889">
        <w:rPr>
          <w:rFonts w:asciiTheme="majorBidi" w:hAnsiTheme="majorBidi" w:cstheme="majorBidi"/>
        </w:rPr>
        <w:t>Pedrero</w:t>
      </w:r>
      <w:proofErr w:type="spellEnd"/>
      <w:r w:rsidR="00C61889">
        <w:rPr>
          <w:rFonts w:asciiTheme="majorBidi" w:hAnsiTheme="majorBidi" w:cstheme="majorBidi"/>
        </w:rPr>
        <w:t xml:space="preserve"> et al. 2008)</w:t>
      </w:r>
      <w:r w:rsidR="002B7C81">
        <w:rPr>
          <w:rFonts w:asciiTheme="majorBidi" w:hAnsiTheme="majorBidi" w:cstheme="majorBidi"/>
        </w:rPr>
        <w:t xml:space="preserve"> would be useful in future research</w:t>
      </w:r>
      <w:r w:rsidR="00C61889">
        <w:rPr>
          <w:rFonts w:asciiTheme="majorBidi" w:hAnsiTheme="majorBidi" w:cstheme="majorBidi"/>
        </w:rPr>
        <w:t xml:space="preserve">. </w:t>
      </w:r>
    </w:p>
    <w:p w14:paraId="6AE0955D" w14:textId="7AEB460D" w:rsidR="00C61889" w:rsidRDefault="005210E1" w:rsidP="002B7C81">
      <w:pPr>
        <w:spacing w:line="480" w:lineRule="auto"/>
        <w:ind w:firstLine="720"/>
        <w:rPr>
          <w:rFonts w:asciiTheme="majorBidi" w:hAnsiTheme="majorBidi" w:cstheme="majorBidi"/>
        </w:rPr>
      </w:pPr>
      <w:r>
        <w:rPr>
          <w:rFonts w:asciiTheme="majorBidi" w:hAnsiTheme="majorBidi" w:cstheme="majorBidi"/>
        </w:rPr>
        <w:t>Further, a</w:t>
      </w:r>
      <w:r w:rsidR="007150B1">
        <w:rPr>
          <w:rFonts w:asciiTheme="majorBidi" w:hAnsiTheme="majorBidi" w:cstheme="majorBidi"/>
        </w:rPr>
        <w:t xml:space="preserve">s the data in the present study were based on self-reports, they are susceptible to false-positive ratings (see van </w:t>
      </w:r>
      <w:proofErr w:type="spellStart"/>
      <w:r w:rsidR="007150B1">
        <w:rPr>
          <w:rFonts w:asciiTheme="majorBidi" w:hAnsiTheme="majorBidi" w:cstheme="majorBidi"/>
        </w:rPr>
        <w:t>Os</w:t>
      </w:r>
      <w:proofErr w:type="spellEnd"/>
      <w:r w:rsidR="007150B1">
        <w:rPr>
          <w:rFonts w:asciiTheme="majorBidi" w:hAnsiTheme="majorBidi" w:cstheme="majorBidi"/>
        </w:rPr>
        <w:t xml:space="preserve"> et al. 2001). Nevertheless, false positive ratings in self-assessment measures does not necessarily attenuate the risk for psychosis.</w:t>
      </w:r>
      <w:r w:rsidR="00BD6205">
        <w:rPr>
          <w:rFonts w:asciiTheme="majorBidi" w:hAnsiTheme="majorBidi" w:cstheme="majorBidi"/>
        </w:rPr>
        <w:t xml:space="preserve"> Finally,</w:t>
      </w:r>
      <w:r>
        <w:rPr>
          <w:rFonts w:asciiTheme="majorBidi" w:hAnsiTheme="majorBidi" w:cstheme="majorBidi"/>
        </w:rPr>
        <w:t xml:space="preserve"> g</w:t>
      </w:r>
      <w:r>
        <w:t>eneralisability of the findings may be limited as these data report on healthy, high-functioning students.</w:t>
      </w:r>
      <w:r w:rsidR="00BD6205">
        <w:rPr>
          <w:rFonts w:asciiTheme="majorBidi" w:hAnsiTheme="majorBidi" w:cstheme="majorBidi"/>
        </w:rPr>
        <w:t xml:space="preserve"> </w:t>
      </w:r>
      <w:r>
        <w:rPr>
          <w:rFonts w:asciiTheme="majorBidi" w:hAnsiTheme="majorBidi" w:cstheme="majorBidi"/>
        </w:rPr>
        <w:t>W</w:t>
      </w:r>
      <w:r w:rsidR="00BD6205" w:rsidRPr="00BD6205">
        <w:rPr>
          <w:rFonts w:asciiTheme="majorBidi" w:hAnsiTheme="majorBidi" w:cstheme="majorBidi"/>
        </w:rPr>
        <w:t>hile</w:t>
      </w:r>
      <w:r w:rsidR="00BD6205">
        <w:rPr>
          <w:rFonts w:asciiTheme="majorBidi" w:hAnsiTheme="majorBidi" w:cstheme="majorBidi"/>
        </w:rPr>
        <w:t xml:space="preserve"> </w:t>
      </w:r>
      <w:r>
        <w:rPr>
          <w:rFonts w:asciiTheme="majorBidi" w:hAnsiTheme="majorBidi" w:cstheme="majorBidi"/>
        </w:rPr>
        <w:t>the use of this</w:t>
      </w:r>
      <w:r w:rsidR="00BD6205">
        <w:rPr>
          <w:rFonts w:asciiTheme="majorBidi" w:hAnsiTheme="majorBidi" w:cstheme="majorBidi"/>
        </w:rPr>
        <w:t xml:space="preserve"> sample </w:t>
      </w:r>
      <w:r w:rsidR="00BD6205" w:rsidRPr="00BD6205">
        <w:rPr>
          <w:rFonts w:asciiTheme="majorBidi" w:hAnsiTheme="majorBidi" w:cstheme="majorBidi"/>
        </w:rPr>
        <w:t xml:space="preserve">is practical </w:t>
      </w:r>
      <w:r>
        <w:rPr>
          <w:rFonts w:asciiTheme="majorBidi" w:hAnsiTheme="majorBidi" w:cstheme="majorBidi"/>
        </w:rPr>
        <w:t>and relevant for</w:t>
      </w:r>
      <w:r w:rsidR="00BD6205" w:rsidRPr="00BD6205">
        <w:rPr>
          <w:rFonts w:asciiTheme="majorBidi" w:hAnsiTheme="majorBidi" w:cstheme="majorBidi"/>
        </w:rPr>
        <w:t xml:space="preserve"> non-pathological </w:t>
      </w:r>
      <w:proofErr w:type="spellStart"/>
      <w:r w:rsidR="00BD6205">
        <w:rPr>
          <w:rFonts w:asciiTheme="majorBidi" w:hAnsiTheme="majorBidi" w:cstheme="majorBidi"/>
        </w:rPr>
        <w:t>schizotypy</w:t>
      </w:r>
      <w:proofErr w:type="spellEnd"/>
      <w:r w:rsidR="00BD6205" w:rsidRPr="00BD6205">
        <w:rPr>
          <w:rFonts w:asciiTheme="majorBidi" w:hAnsiTheme="majorBidi" w:cstheme="majorBidi"/>
        </w:rPr>
        <w:t xml:space="preserve">, this </w:t>
      </w:r>
      <w:r w:rsidR="00BD6205">
        <w:rPr>
          <w:rFonts w:asciiTheme="majorBidi" w:hAnsiTheme="majorBidi" w:cstheme="majorBidi"/>
        </w:rPr>
        <w:t>population</w:t>
      </w:r>
      <w:r w:rsidR="00BD6205" w:rsidRPr="00BD6205">
        <w:rPr>
          <w:rFonts w:asciiTheme="majorBidi" w:hAnsiTheme="majorBidi" w:cstheme="majorBidi"/>
        </w:rPr>
        <w:t xml:space="preserve"> </w:t>
      </w:r>
      <w:r w:rsidR="00BD6205">
        <w:rPr>
          <w:rFonts w:asciiTheme="majorBidi" w:hAnsiTheme="majorBidi" w:cstheme="majorBidi"/>
        </w:rPr>
        <w:t>is regarded as</w:t>
      </w:r>
      <w:r w:rsidR="00BD6205" w:rsidRPr="00BD6205">
        <w:rPr>
          <w:rFonts w:asciiTheme="majorBidi" w:hAnsiTheme="majorBidi" w:cstheme="majorBidi"/>
        </w:rPr>
        <w:t xml:space="preserve"> conservat</w:t>
      </w:r>
      <w:r>
        <w:rPr>
          <w:rFonts w:asciiTheme="majorBidi" w:hAnsiTheme="majorBidi" w:cstheme="majorBidi"/>
        </w:rPr>
        <w:t>ive</w:t>
      </w:r>
      <w:r w:rsidR="00BD6205">
        <w:rPr>
          <w:rFonts w:asciiTheme="majorBidi" w:hAnsiTheme="majorBidi" w:cstheme="majorBidi"/>
        </w:rPr>
        <w:t>; that is</w:t>
      </w:r>
      <w:r w:rsidR="00BD6205" w:rsidRPr="00BD6205">
        <w:rPr>
          <w:rFonts w:asciiTheme="majorBidi" w:hAnsiTheme="majorBidi" w:cstheme="majorBidi"/>
        </w:rPr>
        <w:t xml:space="preserve">, </w:t>
      </w:r>
      <w:r w:rsidR="00BD6205">
        <w:rPr>
          <w:rFonts w:asciiTheme="majorBidi" w:hAnsiTheme="majorBidi" w:cstheme="majorBidi"/>
        </w:rPr>
        <w:t>they are more</w:t>
      </w:r>
      <w:r w:rsidR="00BD6205" w:rsidRPr="00BD6205">
        <w:rPr>
          <w:rFonts w:asciiTheme="majorBidi" w:hAnsiTheme="majorBidi" w:cstheme="majorBidi"/>
        </w:rPr>
        <w:t xml:space="preserve"> likely</w:t>
      </w:r>
      <w:r w:rsidR="00BD6205">
        <w:rPr>
          <w:rFonts w:asciiTheme="majorBidi" w:hAnsiTheme="majorBidi" w:cstheme="majorBidi"/>
        </w:rPr>
        <w:t xml:space="preserve"> to</w:t>
      </w:r>
      <w:r w:rsidR="00BD6205" w:rsidRPr="00BD6205">
        <w:rPr>
          <w:rFonts w:asciiTheme="majorBidi" w:hAnsiTheme="majorBidi" w:cstheme="majorBidi"/>
        </w:rPr>
        <w:t xml:space="preserve"> have milder traits and protective factors given their ability to participate in higher education (</w:t>
      </w:r>
      <w:proofErr w:type="spellStart"/>
      <w:r w:rsidR="00BD6205" w:rsidRPr="00BD6205">
        <w:rPr>
          <w:rFonts w:asciiTheme="majorBidi" w:hAnsiTheme="majorBidi" w:cstheme="majorBidi"/>
        </w:rPr>
        <w:t>Kwapil</w:t>
      </w:r>
      <w:proofErr w:type="spellEnd"/>
      <w:r w:rsidR="00BD6205" w:rsidRPr="00BD6205">
        <w:rPr>
          <w:rFonts w:asciiTheme="majorBidi" w:hAnsiTheme="majorBidi" w:cstheme="majorBidi"/>
        </w:rPr>
        <w:t xml:space="preserve"> and </w:t>
      </w:r>
      <w:proofErr w:type="spellStart"/>
      <w:r w:rsidR="00BD6205" w:rsidRPr="00BD6205">
        <w:rPr>
          <w:rFonts w:asciiTheme="majorBidi" w:hAnsiTheme="majorBidi" w:cstheme="majorBidi"/>
        </w:rPr>
        <w:t>Barrantes</w:t>
      </w:r>
      <w:proofErr w:type="spellEnd"/>
      <w:r w:rsidR="00BD6205" w:rsidRPr="00BD6205">
        <w:rPr>
          <w:rFonts w:asciiTheme="majorBidi" w:hAnsiTheme="majorBidi" w:cstheme="majorBidi"/>
        </w:rPr>
        <w:t>-Vidal 2015).</w:t>
      </w:r>
      <w:r w:rsidR="00BD6205">
        <w:rPr>
          <w:rFonts w:asciiTheme="majorBidi" w:hAnsiTheme="majorBidi" w:cstheme="majorBidi"/>
        </w:rPr>
        <w:t xml:space="preserve"> Indeed, t</w:t>
      </w:r>
      <w:r w:rsidR="00BD6205" w:rsidRPr="00BD6205">
        <w:rPr>
          <w:rFonts w:asciiTheme="majorBidi" w:hAnsiTheme="majorBidi" w:cstheme="majorBidi"/>
        </w:rPr>
        <w:t xml:space="preserve">o understand the expression of </w:t>
      </w:r>
      <w:proofErr w:type="spellStart"/>
      <w:r w:rsidR="00BD6205" w:rsidRPr="00BD6205">
        <w:rPr>
          <w:rFonts w:asciiTheme="majorBidi" w:hAnsiTheme="majorBidi" w:cstheme="majorBidi"/>
        </w:rPr>
        <w:t>schizotypy</w:t>
      </w:r>
      <w:proofErr w:type="spellEnd"/>
      <w:r w:rsidR="00BD6205" w:rsidRPr="00BD6205">
        <w:rPr>
          <w:rFonts w:asciiTheme="majorBidi" w:hAnsiTheme="majorBidi" w:cstheme="majorBidi"/>
        </w:rPr>
        <w:t xml:space="preserve"> across the continuum, it is important to assess it in a broader community sample that includes </w:t>
      </w:r>
      <w:r>
        <w:rPr>
          <w:rFonts w:asciiTheme="majorBidi" w:hAnsiTheme="majorBidi" w:cstheme="majorBidi"/>
        </w:rPr>
        <w:t xml:space="preserve">pathological </w:t>
      </w:r>
      <w:proofErr w:type="spellStart"/>
      <w:r>
        <w:rPr>
          <w:rFonts w:asciiTheme="majorBidi" w:hAnsiTheme="majorBidi" w:cstheme="majorBidi"/>
        </w:rPr>
        <w:t>schizotypy</w:t>
      </w:r>
      <w:proofErr w:type="spellEnd"/>
      <w:r w:rsidR="00BD6205" w:rsidRPr="00BD6205">
        <w:rPr>
          <w:rFonts w:asciiTheme="majorBidi" w:hAnsiTheme="majorBidi" w:cstheme="majorBidi"/>
        </w:rPr>
        <w:t xml:space="preserve"> and to examine the performance of scales that were developed using college students on such samples</w:t>
      </w:r>
      <w:r w:rsidR="00BD6205">
        <w:rPr>
          <w:rFonts w:asciiTheme="majorBidi" w:hAnsiTheme="majorBidi" w:cstheme="majorBidi"/>
        </w:rPr>
        <w:t xml:space="preserve"> (Chan et al. 2019</w:t>
      </w:r>
      <w:r>
        <w:rPr>
          <w:rFonts w:asciiTheme="majorBidi" w:hAnsiTheme="majorBidi" w:cstheme="majorBidi"/>
        </w:rPr>
        <w:t xml:space="preserve">; </w:t>
      </w:r>
      <w:proofErr w:type="spellStart"/>
      <w:r w:rsidRPr="00BD6205">
        <w:rPr>
          <w:rFonts w:asciiTheme="majorBidi" w:hAnsiTheme="majorBidi" w:cstheme="majorBidi"/>
        </w:rPr>
        <w:t>Kwapil</w:t>
      </w:r>
      <w:proofErr w:type="spellEnd"/>
      <w:r w:rsidRPr="00BD6205">
        <w:rPr>
          <w:rFonts w:asciiTheme="majorBidi" w:hAnsiTheme="majorBidi" w:cstheme="majorBidi"/>
        </w:rPr>
        <w:t xml:space="preserve"> and </w:t>
      </w:r>
      <w:proofErr w:type="spellStart"/>
      <w:r w:rsidRPr="00BD6205">
        <w:rPr>
          <w:rFonts w:asciiTheme="majorBidi" w:hAnsiTheme="majorBidi" w:cstheme="majorBidi"/>
        </w:rPr>
        <w:t>Barrantes</w:t>
      </w:r>
      <w:proofErr w:type="spellEnd"/>
      <w:r w:rsidRPr="00BD6205">
        <w:rPr>
          <w:rFonts w:asciiTheme="majorBidi" w:hAnsiTheme="majorBidi" w:cstheme="majorBidi"/>
        </w:rPr>
        <w:t>-Vidal 2015</w:t>
      </w:r>
      <w:r w:rsidR="00BD6205">
        <w:rPr>
          <w:rFonts w:asciiTheme="majorBidi" w:hAnsiTheme="majorBidi" w:cstheme="majorBidi"/>
        </w:rPr>
        <w:t>).</w:t>
      </w:r>
    </w:p>
    <w:p w14:paraId="2562D90E" w14:textId="1F2B2B69" w:rsidR="00621CA8" w:rsidRPr="00A3290E" w:rsidRDefault="00C61889" w:rsidP="006753B7">
      <w:pPr>
        <w:spacing w:line="480" w:lineRule="auto"/>
        <w:rPr>
          <w:rFonts w:asciiTheme="majorBidi" w:hAnsiTheme="majorBidi" w:cstheme="majorBidi"/>
        </w:rPr>
      </w:pPr>
      <w:r>
        <w:rPr>
          <w:rFonts w:asciiTheme="majorBidi" w:hAnsiTheme="majorBidi" w:cstheme="majorBidi"/>
        </w:rPr>
        <w:tab/>
      </w:r>
      <w:r w:rsidR="007B479A">
        <w:rPr>
          <w:rFonts w:asciiTheme="majorBidi" w:hAnsiTheme="majorBidi" w:cstheme="majorBidi"/>
        </w:rPr>
        <w:t>In summary</w:t>
      </w:r>
      <w:r>
        <w:rPr>
          <w:rFonts w:asciiTheme="majorBidi" w:hAnsiTheme="majorBidi" w:cstheme="majorBidi"/>
        </w:rPr>
        <w:t>, t</w:t>
      </w:r>
      <w:r w:rsidRPr="001B4BE9">
        <w:rPr>
          <w:rFonts w:asciiTheme="majorBidi" w:hAnsiTheme="majorBidi" w:cstheme="majorBidi"/>
        </w:rPr>
        <w:t xml:space="preserve">he findings from the present study suggest that the inclusion of the </w:t>
      </w:r>
      <w:r w:rsidRPr="00507704">
        <w:rPr>
          <w:rFonts w:asciiTheme="majorBidi" w:hAnsiTheme="majorBidi" w:cstheme="majorBidi"/>
        </w:rPr>
        <w:t>Paranoid domain to the 3-factor solution</w:t>
      </w:r>
      <w:r w:rsidR="007B479A">
        <w:rPr>
          <w:rFonts w:asciiTheme="majorBidi" w:hAnsiTheme="majorBidi" w:cstheme="majorBidi"/>
        </w:rPr>
        <w:t xml:space="preserve"> –</w:t>
      </w:r>
      <w:r w:rsidRPr="00507704">
        <w:rPr>
          <w:rFonts w:asciiTheme="majorBidi" w:hAnsiTheme="majorBidi" w:cstheme="majorBidi"/>
        </w:rPr>
        <w:t xml:space="preserve"> as suggested by </w:t>
      </w:r>
      <w:proofErr w:type="spellStart"/>
      <w:r w:rsidRPr="00507704">
        <w:rPr>
          <w:rFonts w:asciiTheme="majorBidi" w:hAnsiTheme="majorBidi" w:cstheme="majorBidi"/>
        </w:rPr>
        <w:t>Stefanis</w:t>
      </w:r>
      <w:proofErr w:type="spellEnd"/>
      <w:r w:rsidRPr="00507704">
        <w:rPr>
          <w:rFonts w:asciiTheme="majorBidi" w:hAnsiTheme="majorBidi" w:cstheme="majorBidi"/>
        </w:rPr>
        <w:t xml:space="preserve"> et al. (2004)</w:t>
      </w:r>
      <w:r w:rsidR="007B479A">
        <w:rPr>
          <w:rFonts w:asciiTheme="majorBidi" w:hAnsiTheme="majorBidi" w:cstheme="majorBidi"/>
        </w:rPr>
        <w:t xml:space="preserve"> –</w:t>
      </w:r>
      <w:r w:rsidRPr="00507704">
        <w:rPr>
          <w:rFonts w:asciiTheme="majorBidi" w:hAnsiTheme="majorBidi" w:cstheme="majorBidi"/>
        </w:rPr>
        <w:t xml:space="preserve"> should be </w:t>
      </w:r>
      <w:r w:rsidRPr="00507704">
        <w:rPr>
          <w:rFonts w:asciiTheme="majorBidi" w:hAnsiTheme="majorBidi" w:cstheme="majorBidi"/>
        </w:rPr>
        <w:lastRenderedPageBreak/>
        <w:t xml:space="preserve">endorsed in future applications of </w:t>
      </w:r>
      <w:r w:rsidR="002B7C81">
        <w:rPr>
          <w:rFonts w:asciiTheme="majorBidi" w:hAnsiTheme="majorBidi" w:cstheme="majorBidi"/>
        </w:rPr>
        <w:t>the</w:t>
      </w:r>
      <w:r w:rsidRPr="00507704">
        <w:rPr>
          <w:rFonts w:asciiTheme="majorBidi" w:hAnsiTheme="majorBidi" w:cstheme="majorBidi"/>
        </w:rPr>
        <w:t xml:space="preserve"> </w:t>
      </w:r>
      <w:r w:rsidR="00975D2A">
        <w:rPr>
          <w:rFonts w:asciiTheme="majorBidi" w:hAnsiTheme="majorBidi" w:cstheme="majorBidi"/>
        </w:rPr>
        <w:t>Romanian</w:t>
      </w:r>
      <w:r w:rsidR="002B7C81">
        <w:rPr>
          <w:rFonts w:asciiTheme="majorBidi" w:hAnsiTheme="majorBidi" w:cstheme="majorBidi"/>
        </w:rPr>
        <w:t xml:space="preserve"> SPQ</w:t>
      </w:r>
      <w:r w:rsidRPr="00507704">
        <w:rPr>
          <w:rFonts w:asciiTheme="majorBidi" w:hAnsiTheme="majorBidi" w:cstheme="majorBidi"/>
        </w:rPr>
        <w:t xml:space="preserve">. </w:t>
      </w:r>
      <w:r w:rsidRPr="00507704">
        <w:rPr>
          <w:rFonts w:asciiTheme="majorBidi" w:eastAsia="Arial Unicode MS" w:hAnsiTheme="majorBidi" w:cstheme="majorBidi"/>
          <w:shd w:val="clear" w:color="auto" w:fill="FFFFFF"/>
        </w:rPr>
        <w:t xml:space="preserve">By extension, this study adds to the growing literature that </w:t>
      </w:r>
      <w:r>
        <w:rPr>
          <w:rFonts w:asciiTheme="majorBidi" w:eastAsia="Arial Unicode MS" w:hAnsiTheme="majorBidi" w:cstheme="majorBidi"/>
          <w:shd w:val="clear" w:color="auto" w:fill="FFFFFF"/>
        </w:rPr>
        <w:t xml:space="preserve">scores on </w:t>
      </w:r>
      <w:r w:rsidRPr="00507704">
        <w:rPr>
          <w:rFonts w:asciiTheme="majorBidi" w:eastAsia="Arial Unicode MS" w:hAnsiTheme="majorBidi" w:cstheme="majorBidi"/>
          <w:shd w:val="clear" w:color="auto" w:fill="FFFFFF"/>
        </w:rPr>
        <w:t xml:space="preserve">the SPQ </w:t>
      </w:r>
      <w:r>
        <w:rPr>
          <w:rFonts w:asciiTheme="majorBidi" w:eastAsia="Arial Unicode MS" w:hAnsiTheme="majorBidi" w:cstheme="majorBidi"/>
          <w:shd w:val="clear" w:color="auto" w:fill="FFFFFF"/>
        </w:rPr>
        <w:t>are</w:t>
      </w:r>
      <w:r w:rsidRPr="00507704">
        <w:rPr>
          <w:rFonts w:asciiTheme="majorBidi" w:eastAsia="Arial Unicode MS" w:hAnsiTheme="majorBidi" w:cstheme="majorBidi"/>
          <w:shd w:val="clear" w:color="auto" w:fill="FFFFFF"/>
        </w:rPr>
        <w:t xml:space="preserve"> suited to a 4-factor solution with the additional Paranoid domain included.</w:t>
      </w:r>
      <w:r w:rsidR="00AD1055">
        <w:rPr>
          <w:rFonts w:asciiTheme="majorBidi" w:eastAsia="Arial Unicode MS" w:hAnsiTheme="majorBidi" w:cstheme="majorBidi"/>
          <w:shd w:val="clear" w:color="auto" w:fill="FFFFFF"/>
        </w:rPr>
        <w:t xml:space="preserve"> F</w:t>
      </w:r>
      <w:r w:rsidR="00AD1055" w:rsidRPr="00507704">
        <w:rPr>
          <w:rFonts w:asciiTheme="majorBidi" w:eastAsia="Arial Unicode MS" w:hAnsiTheme="majorBidi" w:cstheme="majorBidi"/>
          <w:shd w:val="clear" w:color="auto" w:fill="FFFFFF"/>
        </w:rPr>
        <w:t>uture work need</w:t>
      </w:r>
      <w:r w:rsidR="00AD1055">
        <w:rPr>
          <w:rFonts w:asciiTheme="majorBidi" w:eastAsia="Arial Unicode MS" w:hAnsiTheme="majorBidi" w:cstheme="majorBidi"/>
          <w:shd w:val="clear" w:color="auto" w:fill="FFFFFF"/>
        </w:rPr>
        <w:t>s</w:t>
      </w:r>
      <w:r w:rsidR="00AD1055" w:rsidRPr="00507704">
        <w:rPr>
          <w:rFonts w:asciiTheme="majorBidi" w:eastAsia="Arial Unicode MS" w:hAnsiTheme="majorBidi" w:cstheme="majorBidi"/>
          <w:shd w:val="clear" w:color="auto" w:fill="FFFFFF"/>
        </w:rPr>
        <w:t xml:space="preserve"> to consider a larger comparison group</w:t>
      </w:r>
      <w:r w:rsidR="00AD1055">
        <w:rPr>
          <w:rFonts w:asciiTheme="majorBidi" w:eastAsia="Arial Unicode MS" w:hAnsiTheme="majorBidi" w:cstheme="majorBidi"/>
          <w:shd w:val="clear" w:color="auto" w:fill="FFFFFF"/>
        </w:rPr>
        <w:t xml:space="preserve"> and </w:t>
      </w:r>
      <w:r w:rsidR="00094950">
        <w:rPr>
          <w:rFonts w:asciiTheme="majorBidi" w:eastAsia="Arial Unicode MS" w:hAnsiTheme="majorBidi" w:cstheme="majorBidi"/>
          <w:shd w:val="clear" w:color="auto" w:fill="FFFFFF"/>
        </w:rPr>
        <w:t>to also</w:t>
      </w:r>
      <w:r w:rsidR="00AD1055">
        <w:rPr>
          <w:rFonts w:asciiTheme="majorBidi" w:eastAsia="Arial Unicode MS" w:hAnsiTheme="majorBidi" w:cstheme="majorBidi"/>
          <w:shd w:val="clear" w:color="auto" w:fill="FFFFFF"/>
        </w:rPr>
        <w:t xml:space="preserve"> consider the dimensionality of the SPQ in Romania at the level of items rather than higher-order factors; that is, confirming the nine lower-order subscales. Notwithstanding the limitations and future directions of this measure</w:t>
      </w:r>
      <w:r w:rsidR="00094950">
        <w:rPr>
          <w:rFonts w:asciiTheme="majorBidi" w:eastAsia="Arial Unicode MS" w:hAnsiTheme="majorBidi" w:cstheme="majorBidi"/>
          <w:shd w:val="clear" w:color="auto" w:fill="FFFFFF"/>
        </w:rPr>
        <w:t>,</w:t>
      </w:r>
      <w:r w:rsidR="00AD1055">
        <w:rPr>
          <w:rFonts w:asciiTheme="majorBidi" w:eastAsia="Arial Unicode MS" w:hAnsiTheme="majorBidi" w:cstheme="majorBidi"/>
          <w:shd w:val="clear" w:color="auto" w:fill="FFFFFF"/>
        </w:rPr>
        <w:t xml:space="preserve"> we</w:t>
      </w:r>
      <w:r w:rsidR="008050F9">
        <w:rPr>
          <w:rFonts w:asciiTheme="majorBidi" w:eastAsia="Arial Unicode MS" w:hAnsiTheme="majorBidi" w:cstheme="majorBidi"/>
          <w:shd w:val="clear" w:color="auto" w:fill="FFFFFF"/>
        </w:rPr>
        <w:t xml:space="preserve"> recommend that scholars intending to use the SPQ in Romania consider scoring the instrument based on the 4-factor higher-order dimensionality.</w:t>
      </w:r>
      <w:r w:rsidR="00094950">
        <w:rPr>
          <w:rFonts w:asciiTheme="majorBidi" w:eastAsia="Arial Unicode MS" w:hAnsiTheme="majorBidi" w:cstheme="majorBidi"/>
          <w:shd w:val="clear" w:color="auto" w:fill="FFFFFF"/>
        </w:rPr>
        <w:t xml:space="preserve"> W</w:t>
      </w:r>
      <w:r w:rsidR="008050F9">
        <w:rPr>
          <w:rFonts w:asciiTheme="majorBidi" w:eastAsia="Arial Unicode MS" w:hAnsiTheme="majorBidi" w:cstheme="majorBidi"/>
          <w:shd w:val="clear" w:color="auto" w:fill="FFFFFF"/>
        </w:rPr>
        <w:t xml:space="preserve">e expect that the Romanian SPQ will become an important tool for scholars wishing to conduct </w:t>
      </w:r>
      <w:proofErr w:type="spellStart"/>
      <w:r w:rsidR="008050F9">
        <w:rPr>
          <w:rFonts w:asciiTheme="majorBidi" w:eastAsia="Arial Unicode MS" w:hAnsiTheme="majorBidi" w:cstheme="majorBidi"/>
          <w:shd w:val="clear" w:color="auto" w:fill="FFFFFF"/>
        </w:rPr>
        <w:t>schizotypy</w:t>
      </w:r>
      <w:proofErr w:type="spellEnd"/>
      <w:r w:rsidR="008050F9">
        <w:rPr>
          <w:rFonts w:asciiTheme="majorBidi" w:eastAsia="Arial Unicode MS" w:hAnsiTheme="majorBidi" w:cstheme="majorBidi"/>
          <w:shd w:val="clear" w:color="auto" w:fill="FFFFFF"/>
        </w:rPr>
        <w:t xml:space="preserve">-related research in Romanian-speaking populations. </w:t>
      </w:r>
      <w:r w:rsidR="00A667F4">
        <w:rPr>
          <w:rFonts w:asciiTheme="majorBidi" w:eastAsia="Arial Unicode MS" w:hAnsiTheme="majorBidi" w:cstheme="majorBidi"/>
          <w:shd w:val="clear" w:color="auto" w:fill="FFFFFF"/>
        </w:rPr>
        <w:t xml:space="preserve">It is hoped that scholars </w:t>
      </w:r>
      <w:r w:rsidR="00A667F4">
        <w:t>will continue to advance this measurement tool in Romania, allowing for it to be used in community studies and in parallel with endophenotypes for the early detection of schizophrenia.</w:t>
      </w:r>
      <w:r w:rsidR="00A667F4">
        <w:rPr>
          <w:rFonts w:asciiTheme="majorBidi" w:eastAsia="Arial Unicode MS" w:hAnsiTheme="majorBidi" w:cstheme="majorBidi"/>
          <w:shd w:val="clear" w:color="auto" w:fill="FFFFFF"/>
        </w:rPr>
        <w:t xml:space="preserve"> </w:t>
      </w:r>
    </w:p>
    <w:p w14:paraId="03F7D207" w14:textId="36DF08D6" w:rsidR="006753B7" w:rsidRDefault="00251B76" w:rsidP="00A3290E">
      <w:pPr>
        <w:pStyle w:val="Heading1"/>
      </w:pPr>
      <w:r>
        <w:t>Compliance with Ethical Standards</w:t>
      </w:r>
    </w:p>
    <w:p w14:paraId="16C7D576" w14:textId="17E4069C" w:rsidR="008050F9" w:rsidRPr="00251B76" w:rsidRDefault="00251B76" w:rsidP="00980A90">
      <w:pPr>
        <w:pStyle w:val="ListParagraph"/>
        <w:numPr>
          <w:ilvl w:val="0"/>
          <w:numId w:val="4"/>
        </w:numPr>
        <w:spacing w:line="480" w:lineRule="auto"/>
        <w:rPr>
          <w:rFonts w:asciiTheme="majorBidi" w:hAnsiTheme="majorBidi" w:cstheme="majorBidi"/>
          <w:b/>
        </w:rPr>
      </w:pPr>
      <w:r w:rsidRPr="00251B76">
        <w:rPr>
          <w:rFonts w:asciiTheme="majorBidi" w:hAnsiTheme="majorBidi" w:cstheme="majorBidi"/>
        </w:rPr>
        <w:t>There are no conflicts of interest.</w:t>
      </w:r>
      <w:r>
        <w:rPr>
          <w:rFonts w:asciiTheme="majorBidi" w:hAnsiTheme="majorBidi" w:cstheme="majorBidi"/>
        </w:rPr>
        <w:t xml:space="preserve"> </w:t>
      </w:r>
      <w:r w:rsidR="00FF7243" w:rsidRPr="00251B76">
        <w:rPr>
          <w:rFonts w:asciiTheme="majorBidi" w:hAnsiTheme="majorBidi" w:cstheme="majorBidi"/>
        </w:rPr>
        <w:t>This research did not receive any specific grant from funding agencies in the public, commercial, or not-for-profit sectors.</w:t>
      </w:r>
    </w:p>
    <w:p w14:paraId="7BEE36A8" w14:textId="77777777" w:rsidR="00251B76" w:rsidRPr="00251B76" w:rsidRDefault="00251B76" w:rsidP="00980A90">
      <w:pPr>
        <w:pStyle w:val="ListParagraph"/>
        <w:numPr>
          <w:ilvl w:val="0"/>
          <w:numId w:val="4"/>
        </w:numPr>
        <w:spacing w:line="480" w:lineRule="auto"/>
        <w:rPr>
          <w:rFonts w:asciiTheme="majorBidi" w:hAnsiTheme="majorBidi" w:cstheme="majorBidi"/>
          <w:b/>
        </w:rPr>
      </w:pPr>
      <w:r w:rsidRPr="00251B76">
        <w:rPr>
          <w:rFonts w:asciiTheme="majorBidi" w:hAnsiTheme="majorBidi" w:cstheme="majorBidi"/>
        </w:rPr>
        <w:t>All procedures performed in studies involving human participants were in accordance with the ethical standards of the institutional and/or national research committee and with the 1964 Helsinki declaration and its later amendments or comparable ethical standards.</w:t>
      </w:r>
    </w:p>
    <w:p w14:paraId="07E018B1" w14:textId="43A1A544" w:rsidR="00251B76" w:rsidRPr="00251B76" w:rsidRDefault="00251B76" w:rsidP="00980A90">
      <w:pPr>
        <w:pStyle w:val="ListParagraph"/>
        <w:numPr>
          <w:ilvl w:val="0"/>
          <w:numId w:val="4"/>
        </w:numPr>
        <w:spacing w:line="480" w:lineRule="auto"/>
        <w:rPr>
          <w:rFonts w:asciiTheme="majorBidi" w:hAnsiTheme="majorBidi" w:cstheme="majorBidi"/>
          <w:b/>
        </w:rPr>
      </w:pPr>
      <w:r>
        <w:t>Informed consent was obtained from all individual participants included in the study</w:t>
      </w:r>
      <w:r>
        <w:rPr>
          <w:rFonts w:asciiTheme="majorBidi" w:hAnsiTheme="majorBidi" w:cstheme="majorBidi"/>
        </w:rPr>
        <w:t>.</w:t>
      </w:r>
    </w:p>
    <w:p w14:paraId="42EA5D38" w14:textId="77777777" w:rsidR="00621CA8" w:rsidRDefault="00621CA8" w:rsidP="00621CA8">
      <w:pPr>
        <w:jc w:val="both"/>
        <w:rPr>
          <w:b/>
        </w:rPr>
      </w:pPr>
    </w:p>
    <w:p w14:paraId="07E34852" w14:textId="5388D1ED" w:rsidR="00621CA8" w:rsidRDefault="00621CA8" w:rsidP="00A3290E">
      <w:pPr>
        <w:pStyle w:val="Heading1"/>
      </w:pPr>
      <w:r>
        <w:t>Data Availability</w:t>
      </w:r>
    </w:p>
    <w:p w14:paraId="2800FF55" w14:textId="77777777" w:rsidR="00621CA8" w:rsidRDefault="00621CA8" w:rsidP="00621CA8">
      <w:pPr>
        <w:jc w:val="both"/>
        <w:rPr>
          <w:b/>
        </w:rPr>
      </w:pPr>
    </w:p>
    <w:p w14:paraId="16DDA3CB" w14:textId="77A6C2B7" w:rsidR="00621CA8" w:rsidRPr="00621CA8" w:rsidRDefault="00621CA8" w:rsidP="00621CA8">
      <w:pPr>
        <w:spacing w:line="480" w:lineRule="auto"/>
        <w:jc w:val="both"/>
        <w:rPr>
          <w:bCs/>
        </w:rPr>
      </w:pPr>
      <w:r w:rsidRPr="00621CA8">
        <w:rPr>
          <w:bCs/>
        </w:rPr>
        <w:t>The datasets generated during and/or analysed during the current study are available from the corresponding author on reasonable request.</w:t>
      </w:r>
      <w:r w:rsidR="007B479A" w:rsidRPr="00621CA8">
        <w:rPr>
          <w:bCs/>
        </w:rPr>
        <w:br w:type="page"/>
      </w:r>
    </w:p>
    <w:p w14:paraId="57FA4BBF" w14:textId="0AF5E7EB" w:rsidR="00CB4029" w:rsidRPr="00036930" w:rsidRDefault="0011208B" w:rsidP="00A3290E">
      <w:pPr>
        <w:pStyle w:val="Heading1"/>
        <w:jc w:val="center"/>
      </w:pPr>
      <w:r w:rsidRPr="00036930">
        <w:lastRenderedPageBreak/>
        <w:t>References</w:t>
      </w:r>
    </w:p>
    <w:p w14:paraId="6D7FE064" w14:textId="77777777" w:rsidR="007A7799" w:rsidRPr="003604F6" w:rsidRDefault="007A7799" w:rsidP="007A7799">
      <w:pPr>
        <w:pStyle w:val="EndNoteBibliography"/>
        <w:spacing w:after="0" w:line="480" w:lineRule="auto"/>
        <w:ind w:left="709" w:hanging="709"/>
        <w:rPr>
          <w:rFonts w:ascii="Times New Roman" w:hAnsi="Times New Roman"/>
          <w:color w:val="000000" w:themeColor="text1"/>
          <w:sz w:val="24"/>
          <w:szCs w:val="24"/>
        </w:rPr>
      </w:pPr>
      <w:r w:rsidRPr="003604F6">
        <w:rPr>
          <w:rFonts w:ascii="Times New Roman" w:hAnsi="Times New Roman"/>
          <w:color w:val="000000" w:themeColor="text1"/>
          <w:sz w:val="24"/>
          <w:szCs w:val="24"/>
        </w:rPr>
        <w:t xml:space="preserve">Abbott, G. R., &amp; Byrne, L. K. (2012). Schizotypy and subjective well-being in university students. </w:t>
      </w:r>
      <w:r w:rsidRPr="00711EF5">
        <w:rPr>
          <w:rFonts w:ascii="Times New Roman" w:hAnsi="Times New Roman"/>
          <w:i/>
          <w:color w:val="000000" w:themeColor="text1"/>
          <w:sz w:val="24"/>
          <w:szCs w:val="24"/>
        </w:rPr>
        <w:t>Psychiatry Research</w:t>
      </w:r>
      <w:r w:rsidRPr="003604F6">
        <w:rPr>
          <w:rFonts w:ascii="Times New Roman" w:hAnsi="Times New Roman"/>
          <w:color w:val="000000" w:themeColor="text1"/>
          <w:sz w:val="24"/>
          <w:szCs w:val="24"/>
        </w:rPr>
        <w:t xml:space="preserve">, </w:t>
      </w:r>
      <w:r w:rsidRPr="00E06A46">
        <w:rPr>
          <w:rFonts w:ascii="Times New Roman" w:hAnsi="Times New Roman"/>
          <w:i/>
          <w:color w:val="000000" w:themeColor="text1"/>
          <w:sz w:val="24"/>
          <w:szCs w:val="24"/>
        </w:rPr>
        <w:t>196</w:t>
      </w:r>
      <w:r w:rsidRPr="003604F6">
        <w:rPr>
          <w:rFonts w:ascii="Times New Roman" w:hAnsi="Times New Roman"/>
          <w:color w:val="000000" w:themeColor="text1"/>
          <w:sz w:val="24"/>
          <w:szCs w:val="24"/>
        </w:rPr>
        <w:t>, 154-156. doi:10.1016/j.psychres.2011.08.013</w:t>
      </w:r>
    </w:p>
    <w:p w14:paraId="5DD05BC8" w14:textId="77777777" w:rsidR="007A7799" w:rsidRPr="003604F6" w:rsidRDefault="007A7799" w:rsidP="007A7799">
      <w:pPr>
        <w:pStyle w:val="EndNoteBibliography"/>
        <w:spacing w:after="0" w:line="480" w:lineRule="auto"/>
        <w:ind w:left="709" w:hanging="709"/>
        <w:rPr>
          <w:rFonts w:ascii="Times New Roman" w:hAnsi="Times New Roman"/>
          <w:color w:val="000000" w:themeColor="text1"/>
          <w:sz w:val="24"/>
          <w:szCs w:val="20"/>
          <w:shd w:val="clear" w:color="auto" w:fill="FFFFFF"/>
        </w:rPr>
      </w:pPr>
      <w:r w:rsidRPr="003604F6">
        <w:rPr>
          <w:rFonts w:ascii="Times New Roman" w:hAnsi="Times New Roman"/>
          <w:color w:val="000000" w:themeColor="text1"/>
          <w:sz w:val="24"/>
          <w:szCs w:val="20"/>
          <w:shd w:val="clear" w:color="auto" w:fill="FFFFFF"/>
        </w:rPr>
        <w:t>Acuna, E., &amp; Rodriguez, C. (2004). The treatment of missing values and its effect on classifier accuracy. In D. Banks, F. R. McMorris, P. Arabie, &amp; W. Gaul (Eds.), </w:t>
      </w:r>
      <w:r w:rsidRPr="00711EF5">
        <w:rPr>
          <w:rFonts w:ascii="Times New Roman" w:hAnsi="Times New Roman"/>
          <w:i/>
          <w:iCs/>
          <w:color w:val="000000" w:themeColor="text1"/>
          <w:sz w:val="24"/>
          <w:szCs w:val="20"/>
          <w:shd w:val="clear" w:color="auto" w:fill="FFFFFF"/>
        </w:rPr>
        <w:t>Classification, clustering, and data mining applications</w:t>
      </w:r>
      <w:r w:rsidRPr="003604F6">
        <w:rPr>
          <w:rFonts w:ascii="Times New Roman" w:hAnsi="Times New Roman"/>
          <w:color w:val="000000" w:themeColor="text1"/>
          <w:sz w:val="24"/>
          <w:szCs w:val="20"/>
          <w:shd w:val="clear" w:color="auto" w:fill="FFFFFF"/>
        </w:rPr>
        <w:t> (pp. 639-647). Berlin</w:t>
      </w:r>
      <w:r>
        <w:rPr>
          <w:rFonts w:ascii="Times New Roman" w:hAnsi="Times New Roman"/>
          <w:color w:val="000000" w:themeColor="text1"/>
          <w:sz w:val="24"/>
          <w:szCs w:val="20"/>
          <w:shd w:val="clear" w:color="auto" w:fill="FFFFFF"/>
        </w:rPr>
        <w:t>: Springer</w:t>
      </w:r>
      <w:r w:rsidRPr="003604F6">
        <w:rPr>
          <w:rFonts w:ascii="Times New Roman" w:hAnsi="Times New Roman"/>
          <w:color w:val="000000" w:themeColor="text1"/>
          <w:sz w:val="24"/>
          <w:szCs w:val="20"/>
          <w:shd w:val="clear" w:color="auto" w:fill="FFFFFF"/>
        </w:rPr>
        <w:t xml:space="preserve"> Heidelberg.</w:t>
      </w:r>
    </w:p>
    <w:p w14:paraId="1D5DE073" w14:textId="77777777" w:rsidR="007A7799" w:rsidRDefault="007A7799" w:rsidP="007A7799">
      <w:pPr>
        <w:spacing w:line="480" w:lineRule="auto"/>
        <w:ind w:left="709" w:hanging="709"/>
      </w:pPr>
      <w:r>
        <w:t xml:space="preserve">American Psychiatric Association. (1987). </w:t>
      </w:r>
      <w:r w:rsidRPr="00711EF5">
        <w:rPr>
          <w:i/>
        </w:rPr>
        <w:t>Diagnostic and statistical manual of mental disorders, 3</w:t>
      </w:r>
      <w:r w:rsidRPr="00711EF5">
        <w:rPr>
          <w:i/>
          <w:vertAlign w:val="superscript"/>
        </w:rPr>
        <w:t>rd</w:t>
      </w:r>
      <w:r w:rsidRPr="00711EF5">
        <w:rPr>
          <w:i/>
        </w:rPr>
        <w:t xml:space="preserve"> edition – revised.</w:t>
      </w:r>
      <w:r>
        <w:rPr>
          <w:i/>
        </w:rPr>
        <w:t xml:space="preserve"> </w:t>
      </w:r>
      <w:r>
        <w:t xml:space="preserve">Washington, DC: American Psychiatric Association. </w:t>
      </w:r>
    </w:p>
    <w:p w14:paraId="3578589F" w14:textId="77777777" w:rsidR="007A7799" w:rsidRPr="00E3738B" w:rsidRDefault="007A7799" w:rsidP="007A7799">
      <w:pPr>
        <w:pStyle w:val="EndNoteBibliography"/>
        <w:spacing w:after="0" w:line="480" w:lineRule="auto"/>
        <w:ind w:left="709" w:hanging="709"/>
        <w:rPr>
          <w:sz w:val="24"/>
          <w:szCs w:val="24"/>
        </w:rPr>
      </w:pPr>
      <w:r w:rsidRPr="00FC6A70">
        <w:rPr>
          <w:rFonts w:ascii="Times New Roman" w:hAnsi="Times New Roman"/>
          <w:sz w:val="24"/>
          <w:szCs w:val="24"/>
        </w:rPr>
        <w:t xml:space="preserve">Badcock, J. C., &amp; Dragović, M. (2006). Schizotypal personality in mature adults. </w:t>
      </w:r>
      <w:r w:rsidRPr="00711EF5">
        <w:rPr>
          <w:rFonts w:ascii="Times New Roman" w:hAnsi="Times New Roman"/>
          <w:i/>
          <w:sz w:val="24"/>
          <w:szCs w:val="24"/>
        </w:rPr>
        <w:t>Personality and Individual Differences</w:t>
      </w:r>
      <w:r w:rsidRPr="007A7799">
        <w:rPr>
          <w:rFonts w:ascii="Times New Roman" w:hAnsi="Times New Roman"/>
          <w:sz w:val="24"/>
          <w:szCs w:val="24"/>
        </w:rPr>
        <w:t xml:space="preserve">, </w:t>
      </w:r>
      <w:r w:rsidRPr="00E06A46">
        <w:rPr>
          <w:rFonts w:ascii="Times New Roman" w:hAnsi="Times New Roman"/>
          <w:i/>
          <w:iCs/>
          <w:sz w:val="24"/>
          <w:szCs w:val="24"/>
        </w:rPr>
        <w:t>40</w:t>
      </w:r>
      <w:r w:rsidRPr="007A7799">
        <w:rPr>
          <w:rFonts w:ascii="Times New Roman" w:hAnsi="Times New Roman"/>
          <w:sz w:val="24"/>
          <w:szCs w:val="24"/>
        </w:rPr>
        <w:t>,</w:t>
      </w:r>
      <w:r w:rsidRPr="00FC6A70">
        <w:rPr>
          <w:rFonts w:ascii="Times New Roman" w:hAnsi="Times New Roman"/>
          <w:sz w:val="24"/>
          <w:szCs w:val="24"/>
        </w:rPr>
        <w:t xml:space="preserve"> 77-85. doi:10.1016/j.paid.2005.06.015</w:t>
      </w:r>
    </w:p>
    <w:p w14:paraId="638E68C5" w14:textId="77777777" w:rsidR="007A7799" w:rsidRDefault="007A7799" w:rsidP="007A7799">
      <w:pPr>
        <w:spacing w:line="480" w:lineRule="auto"/>
        <w:ind w:left="709" w:hanging="709"/>
        <w:rPr>
          <w:rFonts w:eastAsia="Arial Unicode MS"/>
          <w:shd w:val="clear" w:color="auto" w:fill="FFFFFF"/>
        </w:rPr>
      </w:pPr>
      <w:proofErr w:type="spellStart"/>
      <w:r w:rsidRPr="00FC6A70">
        <w:rPr>
          <w:rFonts w:eastAsia="Arial Unicode MS"/>
          <w:shd w:val="clear" w:color="auto" w:fill="FFFFFF"/>
        </w:rPr>
        <w:t>Badoud</w:t>
      </w:r>
      <w:proofErr w:type="spellEnd"/>
      <w:r w:rsidRPr="00FC6A70">
        <w:rPr>
          <w:rFonts w:eastAsia="Arial Unicode MS"/>
          <w:shd w:val="clear" w:color="auto" w:fill="FFFFFF"/>
        </w:rPr>
        <w:t xml:space="preserve">, D., </w:t>
      </w:r>
      <w:proofErr w:type="spellStart"/>
      <w:r w:rsidRPr="00FC6A70">
        <w:rPr>
          <w:rFonts w:eastAsia="Arial Unicode MS"/>
          <w:shd w:val="clear" w:color="auto" w:fill="FFFFFF"/>
        </w:rPr>
        <w:t>Chanal</w:t>
      </w:r>
      <w:proofErr w:type="spellEnd"/>
      <w:r w:rsidRPr="00FC6A70">
        <w:rPr>
          <w:rFonts w:eastAsia="Arial Unicode MS"/>
          <w:shd w:val="clear" w:color="auto" w:fill="FFFFFF"/>
        </w:rPr>
        <w:t xml:space="preserve">, J., van der Linden, M., </w:t>
      </w:r>
      <w:proofErr w:type="spellStart"/>
      <w:r w:rsidRPr="00FC6A70">
        <w:rPr>
          <w:rFonts w:eastAsia="Arial Unicode MS"/>
          <w:shd w:val="clear" w:color="auto" w:fill="FFFFFF"/>
        </w:rPr>
        <w:t>Eliez</w:t>
      </w:r>
      <w:proofErr w:type="spellEnd"/>
      <w:r w:rsidRPr="00FC6A70">
        <w:rPr>
          <w:rFonts w:eastAsia="Arial Unicode MS"/>
          <w:shd w:val="clear" w:color="auto" w:fill="FFFFFF"/>
        </w:rPr>
        <w:t xml:space="preserve">, S., &amp; </w:t>
      </w:r>
      <w:proofErr w:type="spellStart"/>
      <w:r w:rsidRPr="00FC6A70">
        <w:rPr>
          <w:rFonts w:eastAsia="Arial Unicode MS"/>
          <w:shd w:val="clear" w:color="auto" w:fill="FFFFFF"/>
        </w:rPr>
        <w:t>Debbané</w:t>
      </w:r>
      <w:proofErr w:type="spellEnd"/>
      <w:r w:rsidRPr="00FC6A70">
        <w:rPr>
          <w:rFonts w:eastAsia="Arial Unicode MS"/>
          <w:shd w:val="clear" w:color="auto" w:fill="FFFFFF"/>
        </w:rPr>
        <w:t>, M. (2010). Validation study of the French Schizotypal Personality Questionnaire in a sample of adolescents: A confirmatory</w:t>
      </w:r>
      <w:r>
        <w:rPr>
          <w:rFonts w:eastAsia="Arial Unicode MS"/>
          <w:shd w:val="clear" w:color="auto" w:fill="FFFFFF"/>
        </w:rPr>
        <w:t xml:space="preserve"> factor analysis</w:t>
      </w:r>
      <w:r w:rsidRPr="007A7799">
        <w:rPr>
          <w:rFonts w:eastAsia="Arial Unicode MS"/>
          <w:shd w:val="clear" w:color="auto" w:fill="FFFFFF"/>
        </w:rPr>
        <w:t xml:space="preserve">. </w:t>
      </w:r>
      <w:proofErr w:type="spellStart"/>
      <w:r w:rsidRPr="00711EF5">
        <w:rPr>
          <w:rFonts w:eastAsia="Arial Unicode MS"/>
          <w:i/>
          <w:iCs/>
          <w:shd w:val="clear" w:color="auto" w:fill="FFFFFF"/>
        </w:rPr>
        <w:t>L’Encephale</w:t>
      </w:r>
      <w:proofErr w:type="spellEnd"/>
      <w:r w:rsidRPr="007A7799">
        <w:rPr>
          <w:rFonts w:eastAsia="Arial Unicode MS"/>
          <w:shd w:val="clear" w:color="auto" w:fill="FFFFFF"/>
        </w:rPr>
        <w:t xml:space="preserve">, </w:t>
      </w:r>
      <w:r w:rsidRPr="00E06A46">
        <w:rPr>
          <w:rFonts w:eastAsia="Arial Unicode MS"/>
          <w:i/>
          <w:iCs/>
          <w:shd w:val="clear" w:color="auto" w:fill="FFFFFF"/>
        </w:rPr>
        <w:t>37</w:t>
      </w:r>
      <w:r>
        <w:rPr>
          <w:rFonts w:eastAsia="Arial Unicode MS"/>
          <w:shd w:val="clear" w:color="auto" w:fill="FFFFFF"/>
        </w:rPr>
        <w:t xml:space="preserve">, 299-307. </w:t>
      </w:r>
      <w:proofErr w:type="gramStart"/>
      <w:r>
        <w:rPr>
          <w:rFonts w:eastAsia="Arial Unicode MS"/>
          <w:shd w:val="clear" w:color="auto" w:fill="FFFFFF"/>
        </w:rPr>
        <w:t>doi:10.1016/j.encep</w:t>
      </w:r>
      <w:proofErr w:type="gramEnd"/>
      <w:r>
        <w:rPr>
          <w:rFonts w:eastAsia="Arial Unicode MS"/>
          <w:shd w:val="clear" w:color="auto" w:fill="FFFFFF"/>
        </w:rPr>
        <w:t>.2010.08.017</w:t>
      </w:r>
    </w:p>
    <w:p w14:paraId="69564A9F" w14:textId="77777777" w:rsidR="007A7799" w:rsidRPr="00E3738B" w:rsidRDefault="007A7799" w:rsidP="007A7799">
      <w:pPr>
        <w:spacing w:line="480" w:lineRule="auto"/>
        <w:ind w:left="709" w:hanging="709"/>
        <w:rPr>
          <w:rFonts w:eastAsia="Arial Unicode MS"/>
          <w:shd w:val="clear" w:color="auto" w:fill="FFFFFF"/>
        </w:rPr>
      </w:pPr>
      <w:proofErr w:type="spellStart"/>
      <w:r>
        <w:rPr>
          <w:rFonts w:eastAsia="Arial Unicode MS"/>
          <w:shd w:val="clear" w:color="auto" w:fill="FFFFFF"/>
        </w:rPr>
        <w:t>Barrantes</w:t>
      </w:r>
      <w:proofErr w:type="spellEnd"/>
      <w:r>
        <w:rPr>
          <w:rFonts w:eastAsia="Arial Unicode MS"/>
          <w:shd w:val="clear" w:color="auto" w:fill="FFFFFF"/>
        </w:rPr>
        <w:t xml:space="preserve">-Vidal, N., Gross, G. M., Sheinbaum, T., </w:t>
      </w:r>
      <w:proofErr w:type="spellStart"/>
      <w:r>
        <w:rPr>
          <w:rFonts w:eastAsia="Arial Unicode MS"/>
          <w:shd w:val="clear" w:color="auto" w:fill="FFFFFF"/>
        </w:rPr>
        <w:t>Mitjavila</w:t>
      </w:r>
      <w:proofErr w:type="spellEnd"/>
      <w:r>
        <w:rPr>
          <w:rFonts w:eastAsia="Arial Unicode MS"/>
          <w:shd w:val="clear" w:color="auto" w:fill="FFFFFF"/>
        </w:rPr>
        <w:t xml:space="preserve">, M., </w:t>
      </w:r>
      <w:proofErr w:type="spellStart"/>
      <w:r>
        <w:rPr>
          <w:rFonts w:eastAsia="Arial Unicode MS"/>
          <w:shd w:val="clear" w:color="auto" w:fill="FFFFFF"/>
        </w:rPr>
        <w:t>Ballespi</w:t>
      </w:r>
      <w:proofErr w:type="spellEnd"/>
      <w:r>
        <w:rPr>
          <w:rFonts w:eastAsia="Arial Unicode MS"/>
          <w:shd w:val="clear" w:color="auto" w:fill="FFFFFF"/>
        </w:rPr>
        <w:t xml:space="preserve">, S., &amp; </w:t>
      </w:r>
      <w:proofErr w:type="spellStart"/>
      <w:r>
        <w:rPr>
          <w:rFonts w:eastAsia="Arial Unicode MS"/>
          <w:shd w:val="clear" w:color="auto" w:fill="FFFFFF"/>
        </w:rPr>
        <w:t>Kwapil</w:t>
      </w:r>
      <w:proofErr w:type="spellEnd"/>
      <w:r>
        <w:rPr>
          <w:rFonts w:eastAsia="Arial Unicode MS"/>
          <w:shd w:val="clear" w:color="auto" w:fill="FFFFFF"/>
        </w:rPr>
        <w:t xml:space="preserve">, T. R. (2013). Positive and negative </w:t>
      </w:r>
      <w:proofErr w:type="spellStart"/>
      <w:r>
        <w:rPr>
          <w:rFonts w:eastAsia="Arial Unicode MS"/>
          <w:shd w:val="clear" w:color="auto" w:fill="FFFFFF"/>
        </w:rPr>
        <w:t>schizotypy</w:t>
      </w:r>
      <w:proofErr w:type="spellEnd"/>
      <w:r>
        <w:rPr>
          <w:rFonts w:eastAsia="Arial Unicode MS"/>
          <w:shd w:val="clear" w:color="auto" w:fill="FFFFFF"/>
        </w:rPr>
        <w:t xml:space="preserve"> are associated with prodromal and schizophrenia-spectrum symptoms. </w:t>
      </w:r>
      <w:r w:rsidRPr="00711EF5">
        <w:rPr>
          <w:rFonts w:eastAsia="Arial Unicode MS"/>
          <w:i/>
          <w:shd w:val="clear" w:color="auto" w:fill="FFFFFF"/>
        </w:rPr>
        <w:t>Schizophrenia Research</w:t>
      </w:r>
      <w:r w:rsidRPr="007A7799">
        <w:rPr>
          <w:rFonts w:eastAsia="Arial Unicode MS"/>
          <w:iCs/>
          <w:shd w:val="clear" w:color="auto" w:fill="FFFFFF"/>
        </w:rPr>
        <w:t xml:space="preserve">, </w:t>
      </w:r>
      <w:r w:rsidRPr="00E06A46">
        <w:rPr>
          <w:rFonts w:eastAsia="Arial Unicode MS"/>
          <w:i/>
          <w:shd w:val="clear" w:color="auto" w:fill="FFFFFF"/>
        </w:rPr>
        <w:t>145</w:t>
      </w:r>
      <w:r w:rsidRPr="007A7799">
        <w:rPr>
          <w:rFonts w:eastAsia="Arial Unicode MS"/>
          <w:iCs/>
          <w:shd w:val="clear" w:color="auto" w:fill="FFFFFF"/>
        </w:rPr>
        <w:t>,</w:t>
      </w:r>
      <w:r>
        <w:rPr>
          <w:rFonts w:eastAsia="Arial Unicode MS"/>
          <w:shd w:val="clear" w:color="auto" w:fill="FFFFFF"/>
        </w:rPr>
        <w:t xml:space="preserve"> 50-55. </w:t>
      </w:r>
      <w:proofErr w:type="gramStart"/>
      <w:r>
        <w:rPr>
          <w:rFonts w:eastAsia="Arial Unicode MS"/>
          <w:shd w:val="clear" w:color="auto" w:fill="FFFFFF"/>
        </w:rPr>
        <w:t>doi:10.1016/j.schres</w:t>
      </w:r>
      <w:proofErr w:type="gramEnd"/>
      <w:r>
        <w:rPr>
          <w:rFonts w:eastAsia="Arial Unicode MS"/>
          <w:shd w:val="clear" w:color="auto" w:fill="FFFFFF"/>
        </w:rPr>
        <w:t>.2013.01.007</w:t>
      </w:r>
    </w:p>
    <w:p w14:paraId="2E7995AC" w14:textId="77777777" w:rsidR="007A7799" w:rsidRPr="00A9625F" w:rsidRDefault="007A7799" w:rsidP="007A7799">
      <w:pPr>
        <w:spacing w:line="480" w:lineRule="auto"/>
        <w:ind w:left="709" w:hanging="709"/>
        <w:rPr>
          <w:rFonts w:eastAsia="Arial Unicode MS"/>
          <w:shd w:val="clear" w:color="auto" w:fill="FFFFFF"/>
        </w:rPr>
      </w:pPr>
      <w:r w:rsidRPr="00A9625F">
        <w:rPr>
          <w:rFonts w:eastAsia="Arial Unicode MS"/>
          <w:shd w:val="clear" w:color="auto" w:fill="FFFFFF"/>
        </w:rPr>
        <w:t xml:space="preserve">Barron, D., Morgan, K. D., </w:t>
      </w:r>
      <w:proofErr w:type="spellStart"/>
      <w:r w:rsidRPr="00A9625F">
        <w:rPr>
          <w:rFonts w:eastAsia="Arial Unicode MS"/>
          <w:shd w:val="clear" w:color="auto" w:fill="FFFFFF"/>
        </w:rPr>
        <w:t>Towell</w:t>
      </w:r>
      <w:proofErr w:type="spellEnd"/>
      <w:r w:rsidRPr="00A9625F">
        <w:rPr>
          <w:rFonts w:eastAsia="Arial Unicode MS"/>
          <w:shd w:val="clear" w:color="auto" w:fill="FFFFFF"/>
        </w:rPr>
        <w:t>, T, Jaafar, J. L., &amp; Swami, V. (201</w:t>
      </w:r>
      <w:r>
        <w:rPr>
          <w:rFonts w:eastAsia="Arial Unicode MS"/>
          <w:shd w:val="clear" w:color="auto" w:fill="FFFFFF"/>
        </w:rPr>
        <w:t>8</w:t>
      </w:r>
      <w:r w:rsidRPr="00A9625F">
        <w:rPr>
          <w:rFonts w:eastAsia="Arial Unicode MS"/>
          <w:shd w:val="clear" w:color="auto" w:fill="FFFFFF"/>
        </w:rPr>
        <w:t xml:space="preserve">). Psychometric properties of Schizotypal Personality Questionnaire in Malaysia: Measurement invariance and latent mean comparisons of Malay and Chinese adults. </w:t>
      </w:r>
      <w:r w:rsidRPr="00711EF5">
        <w:rPr>
          <w:rFonts w:eastAsia="Arial Unicode MS"/>
          <w:i/>
          <w:shd w:val="clear" w:color="auto" w:fill="FFFFFF"/>
        </w:rPr>
        <w:t>Asia-Pacific Psychiatry</w:t>
      </w:r>
      <w:r w:rsidRPr="007A7799">
        <w:rPr>
          <w:rFonts w:eastAsia="Arial Unicode MS"/>
          <w:iCs/>
          <w:shd w:val="clear" w:color="auto" w:fill="FFFFFF"/>
        </w:rPr>
        <w:t xml:space="preserve">, </w:t>
      </w:r>
      <w:r w:rsidRPr="00E06A46">
        <w:rPr>
          <w:rFonts w:eastAsia="Arial Unicode MS"/>
          <w:i/>
          <w:shd w:val="clear" w:color="auto" w:fill="FFFFFF"/>
        </w:rPr>
        <w:t>10</w:t>
      </w:r>
      <w:r w:rsidRPr="007A7799">
        <w:rPr>
          <w:rFonts w:eastAsia="Arial Unicode MS"/>
          <w:iCs/>
          <w:shd w:val="clear" w:color="auto" w:fill="FFFFFF"/>
        </w:rPr>
        <w:t>,</w:t>
      </w:r>
      <w:r w:rsidRPr="003803B7">
        <w:rPr>
          <w:rFonts w:eastAsia="Arial Unicode MS"/>
          <w:shd w:val="clear" w:color="auto" w:fill="FFFFFF"/>
        </w:rPr>
        <w:t xml:space="preserve"> e12293</w:t>
      </w:r>
      <w:r w:rsidRPr="00A9625F">
        <w:rPr>
          <w:rFonts w:eastAsia="Arial Unicode MS"/>
          <w:shd w:val="clear" w:color="auto" w:fill="FFFFFF"/>
        </w:rPr>
        <w:t>. doi:10.1111/appy.12293</w:t>
      </w:r>
    </w:p>
    <w:p w14:paraId="096FAE25" w14:textId="77777777" w:rsidR="007A7799" w:rsidRPr="00A9625F" w:rsidRDefault="007A7799" w:rsidP="007A7799">
      <w:pPr>
        <w:spacing w:line="480" w:lineRule="auto"/>
        <w:ind w:left="709" w:hanging="709"/>
        <w:rPr>
          <w:rFonts w:eastAsia="Arial Unicode MS"/>
          <w:shd w:val="clear" w:color="auto" w:fill="FFFFFF"/>
        </w:rPr>
      </w:pPr>
      <w:r w:rsidRPr="00A9625F">
        <w:rPr>
          <w:rFonts w:eastAsia="Arial Unicode MS"/>
          <w:shd w:val="clear" w:color="auto" w:fill="FFFFFF"/>
        </w:rPr>
        <w:t xml:space="preserve">Barron, D., Swami, V., </w:t>
      </w:r>
      <w:proofErr w:type="spellStart"/>
      <w:r w:rsidRPr="00A9625F">
        <w:rPr>
          <w:rFonts w:eastAsia="Arial Unicode MS"/>
          <w:shd w:val="clear" w:color="auto" w:fill="FFFFFF"/>
        </w:rPr>
        <w:t>Towell</w:t>
      </w:r>
      <w:proofErr w:type="spellEnd"/>
      <w:r w:rsidRPr="00A9625F">
        <w:rPr>
          <w:rFonts w:eastAsia="Arial Unicode MS"/>
          <w:shd w:val="clear" w:color="auto" w:fill="FFFFFF"/>
        </w:rPr>
        <w:t xml:space="preserve">, T., Hutchinson, G., &amp; Morgan, K. D. (2015). Examination of the factor structure of the Schizotypal Personality Questionnaire among British and </w:t>
      </w:r>
      <w:r w:rsidRPr="00A9625F">
        <w:rPr>
          <w:rFonts w:eastAsia="Arial Unicode MS"/>
          <w:shd w:val="clear" w:color="auto" w:fill="FFFFFF"/>
        </w:rPr>
        <w:lastRenderedPageBreak/>
        <w:t xml:space="preserve">Trinidadian Adults. </w:t>
      </w:r>
      <w:r w:rsidRPr="00711EF5">
        <w:rPr>
          <w:rFonts w:eastAsia="Arial Unicode MS"/>
          <w:i/>
          <w:shd w:val="clear" w:color="auto" w:fill="FFFFFF"/>
        </w:rPr>
        <w:t>BioMed Research International</w:t>
      </w:r>
      <w:r w:rsidRPr="007A7799">
        <w:rPr>
          <w:rFonts w:eastAsia="Arial Unicode MS"/>
          <w:b/>
          <w:bCs/>
          <w:iCs/>
          <w:shd w:val="clear" w:color="auto" w:fill="FFFFFF"/>
        </w:rPr>
        <w:t xml:space="preserve">, </w:t>
      </w:r>
      <w:r w:rsidRPr="007A7799">
        <w:rPr>
          <w:rFonts w:eastAsia="Arial Unicode MS"/>
          <w:iCs/>
          <w:shd w:val="clear" w:color="auto" w:fill="FFFFFF"/>
        </w:rPr>
        <w:t>2015</w:t>
      </w:r>
      <w:r w:rsidRPr="007A7799">
        <w:rPr>
          <w:rFonts w:eastAsia="Arial Unicode MS"/>
          <w:i/>
          <w:shd w:val="clear" w:color="auto" w:fill="FFFFFF"/>
        </w:rPr>
        <w:t>,</w:t>
      </w:r>
      <w:r w:rsidRPr="00A9625F">
        <w:rPr>
          <w:rFonts w:eastAsia="Arial Unicode MS"/>
          <w:shd w:val="clear" w:color="auto" w:fill="FFFFFF"/>
        </w:rPr>
        <w:t xml:space="preserve"> 258275. doi:10.1155/2015/258275</w:t>
      </w:r>
    </w:p>
    <w:p w14:paraId="1C787FEF" w14:textId="342E0599" w:rsidR="007A7799" w:rsidRDefault="007A7799" w:rsidP="007A7799">
      <w:pPr>
        <w:spacing w:line="480" w:lineRule="auto"/>
        <w:ind w:left="709" w:hanging="709"/>
        <w:rPr>
          <w:rFonts w:eastAsia="Calibri"/>
        </w:rPr>
      </w:pPr>
      <w:r w:rsidRPr="00A9625F">
        <w:rPr>
          <w:rFonts w:eastAsia="Calibri"/>
        </w:rPr>
        <w:t xml:space="preserve">Barron, D., </w:t>
      </w:r>
      <w:proofErr w:type="spellStart"/>
      <w:r w:rsidRPr="00A9625F">
        <w:rPr>
          <w:rFonts w:eastAsia="Calibri"/>
        </w:rPr>
        <w:t>Voracek</w:t>
      </w:r>
      <w:proofErr w:type="spellEnd"/>
      <w:r w:rsidRPr="00A9625F">
        <w:rPr>
          <w:rFonts w:eastAsia="Calibri"/>
        </w:rPr>
        <w:t xml:space="preserve">, M., Tran, U. S., Ong, H. S., Morgan, K. D., </w:t>
      </w:r>
      <w:proofErr w:type="spellStart"/>
      <w:r w:rsidRPr="00A9625F">
        <w:rPr>
          <w:rFonts w:eastAsia="Calibri"/>
        </w:rPr>
        <w:t>Towell</w:t>
      </w:r>
      <w:proofErr w:type="spellEnd"/>
      <w:r w:rsidRPr="00A9625F">
        <w:rPr>
          <w:rFonts w:eastAsia="Calibri"/>
        </w:rPr>
        <w:t>, T.</w:t>
      </w:r>
      <w:r w:rsidR="00BB0831">
        <w:rPr>
          <w:rFonts w:eastAsia="Calibri"/>
        </w:rPr>
        <w:t xml:space="preserve"> </w:t>
      </w:r>
      <w:proofErr w:type="gramStart"/>
      <w:r w:rsidR="00BB0831">
        <w:rPr>
          <w:rFonts w:eastAsia="Calibri"/>
        </w:rPr>
        <w:t>et al.</w:t>
      </w:r>
      <w:r w:rsidRPr="00A9625F">
        <w:rPr>
          <w:rFonts w:eastAsia="Calibri"/>
        </w:rPr>
        <w:t>.</w:t>
      </w:r>
      <w:proofErr w:type="gramEnd"/>
      <w:r w:rsidRPr="00A9625F">
        <w:rPr>
          <w:rFonts w:eastAsia="Calibri"/>
        </w:rPr>
        <w:t xml:space="preserve"> (2018). A reassessment of the higher-order factor structure of the German Schizotypal Personality Questionnaire (SPQ-G) in German-speaking adults</w:t>
      </w:r>
      <w:r w:rsidRPr="00711EF5">
        <w:rPr>
          <w:rFonts w:eastAsia="Calibri"/>
          <w:i/>
          <w:iCs/>
        </w:rPr>
        <w:t>. Psychiatry Research</w:t>
      </w:r>
      <w:r w:rsidRPr="007A7799">
        <w:rPr>
          <w:rFonts w:eastAsia="Calibri"/>
        </w:rPr>
        <w:t xml:space="preserve">, </w:t>
      </w:r>
      <w:r w:rsidRPr="00E06A46">
        <w:rPr>
          <w:rFonts w:eastAsia="Calibri"/>
          <w:i/>
          <w:iCs/>
        </w:rPr>
        <w:t>269</w:t>
      </w:r>
      <w:r>
        <w:rPr>
          <w:rFonts w:eastAsia="Calibri"/>
        </w:rPr>
        <w:t xml:space="preserve">, 328-336. </w:t>
      </w:r>
      <w:proofErr w:type="gramStart"/>
      <w:r>
        <w:rPr>
          <w:rFonts w:eastAsia="Calibri"/>
        </w:rPr>
        <w:t>doi:10.1016/j.psychres</w:t>
      </w:r>
      <w:proofErr w:type="gramEnd"/>
      <w:r>
        <w:rPr>
          <w:rFonts w:eastAsia="Calibri"/>
        </w:rPr>
        <w:t>.2018.08.070</w:t>
      </w:r>
    </w:p>
    <w:p w14:paraId="3AEA68CF" w14:textId="77777777" w:rsidR="007A7799" w:rsidRPr="00CB4029" w:rsidRDefault="007A7799" w:rsidP="007A7799">
      <w:pPr>
        <w:pStyle w:val="EndNoteBibliography"/>
        <w:spacing w:after="0" w:line="480" w:lineRule="auto"/>
        <w:ind w:left="720" w:hanging="720"/>
        <w:rPr>
          <w:rFonts w:ascii="Times New Roman" w:hAnsi="Times New Roman"/>
          <w:sz w:val="24"/>
          <w:szCs w:val="24"/>
        </w:rPr>
      </w:pPr>
      <w:r w:rsidRPr="00CB1420">
        <w:rPr>
          <w:rFonts w:ascii="Times New Roman" w:hAnsi="Times New Roman"/>
          <w:sz w:val="24"/>
          <w:szCs w:val="24"/>
        </w:rPr>
        <w:t xml:space="preserve">Bora, E., &amp; Baysan Arabaci, L. (2009). Effect of age and gender on schizotypal personality traits in the normal population. </w:t>
      </w:r>
      <w:r w:rsidRPr="00711EF5">
        <w:rPr>
          <w:rFonts w:ascii="Times New Roman" w:hAnsi="Times New Roman"/>
          <w:i/>
          <w:sz w:val="24"/>
          <w:szCs w:val="24"/>
        </w:rPr>
        <w:t>Psychiatry and Clinical Neurosciences</w:t>
      </w:r>
      <w:r w:rsidRPr="007A7799">
        <w:rPr>
          <w:rFonts w:ascii="Times New Roman" w:hAnsi="Times New Roman"/>
          <w:iCs/>
          <w:sz w:val="24"/>
          <w:szCs w:val="24"/>
        </w:rPr>
        <w:t xml:space="preserve">, </w:t>
      </w:r>
      <w:r w:rsidRPr="00E06A46">
        <w:rPr>
          <w:rFonts w:ascii="Times New Roman" w:hAnsi="Times New Roman"/>
          <w:i/>
          <w:sz w:val="24"/>
          <w:szCs w:val="24"/>
        </w:rPr>
        <w:t>63</w:t>
      </w:r>
      <w:r w:rsidRPr="007A7799">
        <w:rPr>
          <w:rFonts w:ascii="Times New Roman" w:hAnsi="Times New Roman"/>
          <w:iCs/>
          <w:sz w:val="24"/>
          <w:szCs w:val="24"/>
        </w:rPr>
        <w:t>,</w:t>
      </w:r>
      <w:r w:rsidRPr="00CB1420">
        <w:rPr>
          <w:rFonts w:ascii="Times New Roman" w:hAnsi="Times New Roman"/>
          <w:sz w:val="24"/>
          <w:szCs w:val="24"/>
        </w:rPr>
        <w:t xml:space="preserve"> 663-669. doi:</w:t>
      </w:r>
      <w:r w:rsidRPr="00CB1420">
        <w:rPr>
          <w:rFonts w:ascii="Times New Roman" w:hAnsi="Times New Roman" w:cs="OpenSans"/>
          <w:color w:val="262626"/>
          <w:sz w:val="24"/>
          <w:szCs w:val="28"/>
        </w:rPr>
        <w:t>10.1111/j.1440-1819.2009.02011.x</w:t>
      </w:r>
    </w:p>
    <w:p w14:paraId="4DC3A846" w14:textId="77777777" w:rsidR="007A7799" w:rsidRDefault="007A7799" w:rsidP="007A7799">
      <w:pPr>
        <w:spacing w:line="480" w:lineRule="auto"/>
        <w:ind w:left="567" w:hanging="567"/>
        <w:rPr>
          <w:color w:val="000000" w:themeColor="text1"/>
        </w:rPr>
      </w:pPr>
      <w:proofErr w:type="spellStart"/>
      <w:r w:rsidRPr="009039D8">
        <w:rPr>
          <w:color w:val="000000" w:themeColor="text1"/>
        </w:rPr>
        <w:t>Brislin</w:t>
      </w:r>
      <w:proofErr w:type="spellEnd"/>
      <w:r w:rsidRPr="009039D8">
        <w:rPr>
          <w:color w:val="000000" w:themeColor="text1"/>
        </w:rPr>
        <w:t xml:space="preserve">, R. W. (1970). Back-translation for cross-cultural research. </w:t>
      </w:r>
      <w:r w:rsidRPr="00711EF5">
        <w:rPr>
          <w:i/>
          <w:color w:val="000000" w:themeColor="text1"/>
        </w:rPr>
        <w:t>Journal of Cross-Cultural Psychology</w:t>
      </w:r>
      <w:r w:rsidRPr="007A7799">
        <w:rPr>
          <w:iCs/>
          <w:color w:val="000000" w:themeColor="text1"/>
        </w:rPr>
        <w:t xml:space="preserve">, </w:t>
      </w:r>
      <w:r w:rsidRPr="00E06A46">
        <w:rPr>
          <w:i/>
          <w:color w:val="000000" w:themeColor="text1"/>
        </w:rPr>
        <w:t>1</w:t>
      </w:r>
      <w:r w:rsidRPr="009039D8">
        <w:rPr>
          <w:color w:val="000000" w:themeColor="text1"/>
        </w:rPr>
        <w:t>, 185-216. doi:10.1177/135910457000100301</w:t>
      </w:r>
    </w:p>
    <w:p w14:paraId="661B6A22" w14:textId="77777777" w:rsidR="007A7799" w:rsidRPr="001D0388" w:rsidRDefault="007A7799" w:rsidP="007A7799">
      <w:pPr>
        <w:spacing w:line="480" w:lineRule="auto"/>
        <w:ind w:left="567" w:hanging="567"/>
        <w:rPr>
          <w:color w:val="000000" w:themeColor="text1"/>
        </w:rPr>
      </w:pPr>
      <w:proofErr w:type="spellStart"/>
      <w:r w:rsidRPr="009039D8">
        <w:rPr>
          <w:color w:val="000000" w:themeColor="text1"/>
        </w:rPr>
        <w:t>Brislin</w:t>
      </w:r>
      <w:proofErr w:type="spellEnd"/>
      <w:r w:rsidRPr="009039D8">
        <w:rPr>
          <w:color w:val="000000" w:themeColor="text1"/>
        </w:rPr>
        <w:t xml:space="preserve">, R. W. (1976). Comparative research methodology: Cross cultural studies. </w:t>
      </w:r>
      <w:r w:rsidRPr="00711EF5">
        <w:rPr>
          <w:i/>
          <w:iCs/>
          <w:color w:val="000000" w:themeColor="text1"/>
        </w:rPr>
        <w:t>International Journal of Psychology</w:t>
      </w:r>
      <w:r w:rsidRPr="007A7799">
        <w:rPr>
          <w:color w:val="000000" w:themeColor="text1"/>
        </w:rPr>
        <w:t xml:space="preserve">, </w:t>
      </w:r>
      <w:r w:rsidRPr="00E06A46">
        <w:rPr>
          <w:i/>
          <w:iCs/>
          <w:color w:val="000000" w:themeColor="text1"/>
        </w:rPr>
        <w:t>11</w:t>
      </w:r>
      <w:r w:rsidRPr="009039D8">
        <w:rPr>
          <w:color w:val="000000" w:themeColor="text1"/>
        </w:rPr>
        <w:t>, 213-229. doi:10.1080/00207597608247359</w:t>
      </w:r>
    </w:p>
    <w:p w14:paraId="44C378FC" w14:textId="77777777" w:rsidR="007A7799" w:rsidRDefault="007A7799" w:rsidP="007A7799">
      <w:pPr>
        <w:spacing w:line="480" w:lineRule="auto"/>
        <w:ind w:left="709" w:hanging="709"/>
        <w:rPr>
          <w:rFonts w:eastAsia="Calibri"/>
        </w:rPr>
      </w:pPr>
      <w:proofErr w:type="spellStart"/>
      <w:r>
        <w:rPr>
          <w:rFonts w:eastAsia="Calibri"/>
        </w:rPr>
        <w:t>Brosey</w:t>
      </w:r>
      <w:proofErr w:type="spellEnd"/>
      <w:r>
        <w:rPr>
          <w:rFonts w:eastAsia="Calibri"/>
        </w:rPr>
        <w:t xml:space="preserve">, E., &amp; Woodward, N. D. (2015). </w:t>
      </w:r>
      <w:proofErr w:type="spellStart"/>
      <w:r>
        <w:rPr>
          <w:rFonts w:eastAsia="Calibri"/>
        </w:rPr>
        <w:t>Schizotypy</w:t>
      </w:r>
      <w:proofErr w:type="spellEnd"/>
      <w:r>
        <w:rPr>
          <w:rFonts w:eastAsia="Calibri"/>
        </w:rPr>
        <w:t xml:space="preserve"> and clinical symptoms, cognitive function, and quality of life in individuals with a psychotic disorder. </w:t>
      </w:r>
      <w:r w:rsidRPr="00711EF5">
        <w:rPr>
          <w:rFonts w:eastAsia="Calibri"/>
          <w:i/>
        </w:rPr>
        <w:t>Schizophrenia Research,</w:t>
      </w:r>
      <w:r w:rsidRPr="007A7799">
        <w:rPr>
          <w:rFonts w:eastAsia="Calibri"/>
          <w:iCs/>
        </w:rPr>
        <w:t xml:space="preserve"> </w:t>
      </w:r>
      <w:r w:rsidRPr="00E06A46">
        <w:rPr>
          <w:rFonts w:eastAsia="Calibri"/>
          <w:i/>
        </w:rPr>
        <w:t>166</w:t>
      </w:r>
      <w:r w:rsidRPr="007A7799">
        <w:rPr>
          <w:rFonts w:eastAsia="Calibri"/>
          <w:iCs/>
        </w:rPr>
        <w:t xml:space="preserve">, </w:t>
      </w:r>
      <w:r>
        <w:rPr>
          <w:rFonts w:eastAsia="Calibri"/>
        </w:rPr>
        <w:t xml:space="preserve">92-97. </w:t>
      </w:r>
      <w:proofErr w:type="gramStart"/>
      <w:r>
        <w:rPr>
          <w:rFonts w:eastAsia="Calibri"/>
        </w:rPr>
        <w:t>doi:10.1016/j.schres</w:t>
      </w:r>
      <w:proofErr w:type="gramEnd"/>
      <w:r>
        <w:rPr>
          <w:rFonts w:eastAsia="Calibri"/>
        </w:rPr>
        <w:t>.2015.04.038</w:t>
      </w:r>
    </w:p>
    <w:p w14:paraId="1A054533" w14:textId="77777777" w:rsidR="007A7799" w:rsidRPr="001D0388" w:rsidRDefault="007A7799" w:rsidP="007A7799">
      <w:pPr>
        <w:spacing w:line="480" w:lineRule="auto"/>
        <w:ind w:left="567" w:hanging="567"/>
        <w:rPr>
          <w:color w:val="000000" w:themeColor="text1"/>
          <w:shd w:val="clear" w:color="auto" w:fill="FFFFFF"/>
        </w:rPr>
      </w:pPr>
      <w:r w:rsidRPr="009039D8">
        <w:rPr>
          <w:color w:val="000000" w:themeColor="text1"/>
          <w:shd w:val="clear" w:color="auto" w:fill="FFFFFF"/>
        </w:rPr>
        <w:t xml:space="preserve">Chen, F. F. (2007). Sensitivity of goodness of fit indices to lack of measurement invariance. </w:t>
      </w:r>
      <w:r w:rsidRPr="00711EF5">
        <w:rPr>
          <w:i/>
          <w:color w:val="000000" w:themeColor="text1"/>
          <w:shd w:val="clear" w:color="auto" w:fill="FFFFFF"/>
        </w:rPr>
        <w:t xml:space="preserve">Structural Equation </w:t>
      </w:r>
      <w:proofErr w:type="spellStart"/>
      <w:r w:rsidRPr="00711EF5">
        <w:rPr>
          <w:i/>
          <w:color w:val="000000" w:themeColor="text1"/>
          <w:shd w:val="clear" w:color="auto" w:fill="FFFFFF"/>
        </w:rPr>
        <w:t>Modeling</w:t>
      </w:r>
      <w:proofErr w:type="spellEnd"/>
      <w:r w:rsidRPr="007A7799">
        <w:rPr>
          <w:iCs/>
          <w:color w:val="000000" w:themeColor="text1"/>
          <w:shd w:val="clear" w:color="auto" w:fill="FFFFFF"/>
        </w:rPr>
        <w:t xml:space="preserve">, </w:t>
      </w:r>
      <w:r w:rsidRPr="00E06A46">
        <w:rPr>
          <w:i/>
          <w:color w:val="000000" w:themeColor="text1"/>
          <w:shd w:val="clear" w:color="auto" w:fill="FFFFFF"/>
        </w:rPr>
        <w:t>14</w:t>
      </w:r>
      <w:r w:rsidRPr="007A7799">
        <w:rPr>
          <w:iCs/>
          <w:color w:val="000000" w:themeColor="text1"/>
          <w:shd w:val="clear" w:color="auto" w:fill="FFFFFF"/>
        </w:rPr>
        <w:t>,</w:t>
      </w:r>
      <w:r w:rsidRPr="009039D8">
        <w:rPr>
          <w:color w:val="000000" w:themeColor="text1"/>
          <w:shd w:val="clear" w:color="auto" w:fill="FFFFFF"/>
        </w:rPr>
        <w:t xml:space="preserve"> 464-504. doi:10.1207/s15328007sem1203_7</w:t>
      </w:r>
    </w:p>
    <w:p w14:paraId="667CB72B" w14:textId="34576C6F" w:rsidR="00C70171" w:rsidRPr="00036930" w:rsidRDefault="00C70171" w:rsidP="007A7799">
      <w:pPr>
        <w:spacing w:line="480" w:lineRule="auto"/>
        <w:ind w:left="567" w:hanging="567"/>
        <w:rPr>
          <w:color w:val="000000" w:themeColor="text1"/>
        </w:rPr>
      </w:pPr>
      <w:r w:rsidRPr="00036930">
        <w:rPr>
          <w:color w:val="000000" w:themeColor="text1"/>
        </w:rPr>
        <w:t>Cheung, G.W.,</w:t>
      </w:r>
      <w:r w:rsidR="00BB0831">
        <w:rPr>
          <w:color w:val="000000" w:themeColor="text1"/>
        </w:rPr>
        <w:t xml:space="preserve"> &amp;</w:t>
      </w:r>
      <w:r w:rsidRPr="00036930">
        <w:rPr>
          <w:color w:val="000000" w:themeColor="text1"/>
        </w:rPr>
        <w:t xml:space="preserve"> </w:t>
      </w:r>
      <w:proofErr w:type="spellStart"/>
      <w:r w:rsidRPr="00036930">
        <w:rPr>
          <w:color w:val="000000" w:themeColor="text1"/>
        </w:rPr>
        <w:t>Rensvold</w:t>
      </w:r>
      <w:proofErr w:type="spellEnd"/>
      <w:r w:rsidRPr="00036930">
        <w:rPr>
          <w:color w:val="000000" w:themeColor="text1"/>
        </w:rPr>
        <w:t xml:space="preserve">, R.B. </w:t>
      </w:r>
      <w:r w:rsidR="00BB0831">
        <w:rPr>
          <w:color w:val="000000" w:themeColor="text1"/>
        </w:rPr>
        <w:t>(</w:t>
      </w:r>
      <w:r w:rsidRPr="00036930">
        <w:rPr>
          <w:color w:val="000000" w:themeColor="text1"/>
        </w:rPr>
        <w:t>2002</w:t>
      </w:r>
      <w:r w:rsidR="00BB0831">
        <w:rPr>
          <w:color w:val="000000" w:themeColor="text1"/>
        </w:rPr>
        <w:t>)</w:t>
      </w:r>
      <w:r w:rsidRPr="00036930">
        <w:rPr>
          <w:color w:val="000000" w:themeColor="text1"/>
        </w:rPr>
        <w:t xml:space="preserve">. Evaluating goodness-of-fit indexes for testing measurement invariance. </w:t>
      </w:r>
      <w:r w:rsidR="007A7799" w:rsidRPr="00711EF5">
        <w:rPr>
          <w:i/>
          <w:color w:val="000000" w:themeColor="text1"/>
          <w:shd w:val="clear" w:color="auto" w:fill="FFFFFF"/>
        </w:rPr>
        <w:t xml:space="preserve">Structural Equation </w:t>
      </w:r>
      <w:proofErr w:type="spellStart"/>
      <w:r w:rsidR="007A7799" w:rsidRPr="00711EF5">
        <w:rPr>
          <w:i/>
          <w:color w:val="000000" w:themeColor="text1"/>
          <w:shd w:val="clear" w:color="auto" w:fill="FFFFFF"/>
        </w:rPr>
        <w:t>Modeling</w:t>
      </w:r>
      <w:proofErr w:type="spellEnd"/>
      <w:r w:rsidR="00E06A46">
        <w:rPr>
          <w:iCs/>
          <w:color w:val="000000" w:themeColor="text1"/>
        </w:rPr>
        <w:t>,</w:t>
      </w:r>
      <w:r w:rsidRPr="00036930">
        <w:rPr>
          <w:iCs/>
          <w:color w:val="000000" w:themeColor="text1"/>
        </w:rPr>
        <w:t xml:space="preserve"> </w:t>
      </w:r>
      <w:r w:rsidRPr="00E06A46">
        <w:rPr>
          <w:i/>
          <w:color w:val="000000" w:themeColor="text1"/>
        </w:rPr>
        <w:t>9</w:t>
      </w:r>
      <w:r w:rsidRPr="00036930">
        <w:rPr>
          <w:color w:val="000000" w:themeColor="text1"/>
        </w:rPr>
        <w:t xml:space="preserve">, 233-255. </w:t>
      </w:r>
      <w:r w:rsidRPr="00036930">
        <w:t>https://doi.org</w:t>
      </w:r>
      <w:r w:rsidRPr="00036930">
        <w:rPr>
          <w:color w:val="000000" w:themeColor="text1"/>
        </w:rPr>
        <w:t xml:space="preserve">/10.1207/s15328007sem0902_5 </w:t>
      </w:r>
    </w:p>
    <w:p w14:paraId="19C6422F" w14:textId="77777777" w:rsidR="007A7799" w:rsidRPr="003B6514" w:rsidRDefault="007A7799" w:rsidP="007A7799">
      <w:pPr>
        <w:pStyle w:val="EndNoteBibliography"/>
        <w:spacing w:after="0" w:line="480" w:lineRule="auto"/>
        <w:ind w:left="720" w:hanging="720"/>
        <w:rPr>
          <w:rFonts w:ascii="Times New Roman" w:hAnsi="Times New Roman"/>
          <w:sz w:val="24"/>
          <w:szCs w:val="24"/>
        </w:rPr>
      </w:pPr>
      <w:r w:rsidRPr="00A9625F">
        <w:rPr>
          <w:rFonts w:ascii="Times New Roman" w:hAnsi="Times New Roman"/>
          <w:sz w:val="24"/>
          <w:szCs w:val="24"/>
        </w:rPr>
        <w:t xml:space="preserve">Cicero, D. C. (2015). Measurement Invariance of the Schizotypal Personality Questionnaire in Asian, Pacific Islander, White, and Multiethnic Populations. </w:t>
      </w:r>
      <w:r w:rsidRPr="00711EF5">
        <w:rPr>
          <w:rFonts w:ascii="Times New Roman" w:hAnsi="Times New Roman"/>
          <w:i/>
          <w:sz w:val="24"/>
          <w:szCs w:val="24"/>
        </w:rPr>
        <w:t>Psychological Assessesment</w:t>
      </w:r>
      <w:r w:rsidRPr="007A7799">
        <w:rPr>
          <w:rFonts w:ascii="Times New Roman" w:hAnsi="Times New Roman"/>
          <w:iCs/>
          <w:sz w:val="24"/>
          <w:szCs w:val="24"/>
        </w:rPr>
        <w:t xml:space="preserve">, </w:t>
      </w:r>
      <w:r w:rsidRPr="00E06A46">
        <w:rPr>
          <w:rFonts w:ascii="Times New Roman" w:hAnsi="Times New Roman"/>
          <w:i/>
          <w:sz w:val="24"/>
          <w:szCs w:val="24"/>
        </w:rPr>
        <w:t>28</w:t>
      </w:r>
      <w:r w:rsidRPr="00A9625F">
        <w:rPr>
          <w:rFonts w:ascii="Times New Roman" w:hAnsi="Times New Roman"/>
          <w:sz w:val="24"/>
          <w:szCs w:val="24"/>
        </w:rPr>
        <w:t>, 351-361. doi:10.1037/pas0000180</w:t>
      </w:r>
    </w:p>
    <w:p w14:paraId="65E5C549" w14:textId="77777777" w:rsidR="007A7799" w:rsidRDefault="007A7799" w:rsidP="007A7799">
      <w:pPr>
        <w:spacing w:line="480" w:lineRule="auto"/>
        <w:ind w:left="709" w:hanging="709"/>
      </w:pPr>
      <w:r w:rsidRPr="003B6514">
        <w:lastRenderedPageBreak/>
        <w:t>Cicero, D.</w:t>
      </w:r>
      <w:r>
        <w:t xml:space="preserve"> </w:t>
      </w:r>
      <w:r w:rsidRPr="003B6514">
        <w:t>C., Martin, E.</w:t>
      </w:r>
      <w:r>
        <w:t xml:space="preserve"> </w:t>
      </w:r>
      <w:r w:rsidRPr="003B6514">
        <w:t>A., Becker, T.</w:t>
      </w:r>
      <w:r>
        <w:t xml:space="preserve"> </w:t>
      </w:r>
      <w:r w:rsidRPr="003B6514">
        <w:t>M., Docherty, A.</w:t>
      </w:r>
      <w:r>
        <w:t xml:space="preserve"> </w:t>
      </w:r>
      <w:r w:rsidRPr="003B6514">
        <w:t xml:space="preserve">R., </w:t>
      </w:r>
      <w:r>
        <w:t xml:space="preserve">&amp; </w:t>
      </w:r>
      <w:r w:rsidRPr="003B6514">
        <w:t>Kerns, J.</w:t>
      </w:r>
      <w:r>
        <w:t xml:space="preserve"> </w:t>
      </w:r>
      <w:r w:rsidRPr="003B6514">
        <w:t>G.</w:t>
      </w:r>
      <w:r>
        <w:t xml:space="preserve"> (</w:t>
      </w:r>
      <w:r w:rsidRPr="003B6514">
        <w:t>2014</w:t>
      </w:r>
      <w:r>
        <w:t>)</w:t>
      </w:r>
      <w:r w:rsidRPr="003B6514">
        <w:t>. Correspondence between psychometric and clinical high risk for psychosis in an undergraduate population</w:t>
      </w:r>
      <w:r w:rsidRPr="007A7799">
        <w:rPr>
          <w:b/>
          <w:bCs/>
        </w:rPr>
        <w:t xml:space="preserve">. </w:t>
      </w:r>
      <w:r w:rsidRPr="00711EF5">
        <w:rPr>
          <w:i/>
        </w:rPr>
        <w:t>Psychological Assessment</w:t>
      </w:r>
      <w:r w:rsidRPr="007A7799">
        <w:rPr>
          <w:iCs/>
        </w:rPr>
        <w:t xml:space="preserve">, </w:t>
      </w:r>
      <w:r w:rsidRPr="00E06A46">
        <w:rPr>
          <w:i/>
        </w:rPr>
        <w:t>26</w:t>
      </w:r>
      <w:r w:rsidRPr="003B6514">
        <w:t>, 901</w:t>
      </w:r>
      <w:r>
        <w:t>-</w:t>
      </w:r>
      <w:r w:rsidRPr="003B6514">
        <w:t xml:space="preserve">915. </w:t>
      </w:r>
      <w:r>
        <w:t>doi:10.1037/a0036432</w:t>
      </w:r>
    </w:p>
    <w:p w14:paraId="3ACE74E9" w14:textId="77777777" w:rsidR="007A7799" w:rsidRDefault="007A7799" w:rsidP="007A7799">
      <w:pPr>
        <w:pStyle w:val="EndNoteBibliography"/>
        <w:spacing w:after="0" w:line="480" w:lineRule="auto"/>
        <w:ind w:left="720" w:hanging="720"/>
        <w:rPr>
          <w:rFonts w:ascii="Times-Roman" w:hAnsi="Times-Roman" w:cs="Times-Roman"/>
          <w:sz w:val="24"/>
          <w:szCs w:val="24"/>
        </w:rPr>
      </w:pPr>
      <w:r>
        <w:rPr>
          <w:rFonts w:ascii="Times New Roman" w:hAnsi="Times New Roman"/>
          <w:sz w:val="24"/>
          <w:szCs w:val="24"/>
        </w:rPr>
        <w:t xml:space="preserve">Cohen, A. S., Callaway, D. A., Najolia, G. M., Larsen, J. T., &amp; Strauss, G. P. (2012). On “risk” and reward: Investigating state anhedonia in psychometrically defined schizotypy and schizophrenia. </w:t>
      </w:r>
      <w:r w:rsidRPr="00711EF5">
        <w:rPr>
          <w:rFonts w:ascii="Times New Roman" w:hAnsi="Times New Roman"/>
          <w:i/>
          <w:sz w:val="24"/>
          <w:szCs w:val="24"/>
        </w:rPr>
        <w:t>Journal of Abnormal Psychology</w:t>
      </w:r>
      <w:r w:rsidRPr="007A7799">
        <w:rPr>
          <w:rFonts w:ascii="Times New Roman" w:hAnsi="Times New Roman"/>
          <w:iCs/>
          <w:sz w:val="24"/>
          <w:szCs w:val="24"/>
        </w:rPr>
        <w:t xml:space="preserve">, </w:t>
      </w:r>
      <w:r w:rsidRPr="00E06A46">
        <w:rPr>
          <w:rFonts w:ascii="Times New Roman" w:hAnsi="Times New Roman"/>
          <w:i/>
          <w:sz w:val="24"/>
          <w:szCs w:val="24"/>
        </w:rPr>
        <w:t>121</w:t>
      </w:r>
      <w:r>
        <w:rPr>
          <w:rFonts w:ascii="Times New Roman" w:hAnsi="Times New Roman"/>
          <w:sz w:val="24"/>
          <w:szCs w:val="24"/>
        </w:rPr>
        <w:t xml:space="preserve">, 407-415. </w:t>
      </w:r>
      <w:r>
        <w:rPr>
          <w:rFonts w:ascii="Times-Roman" w:hAnsi="Times-Roman" w:cs="Times-Roman"/>
          <w:sz w:val="24"/>
          <w:szCs w:val="24"/>
        </w:rPr>
        <w:t>doi:</w:t>
      </w:r>
      <w:r w:rsidRPr="00550099">
        <w:rPr>
          <w:rFonts w:ascii="Times-Roman" w:hAnsi="Times-Roman" w:cs="Times-Roman"/>
          <w:sz w:val="24"/>
          <w:szCs w:val="24"/>
        </w:rPr>
        <w:t>10.1037/a0026155</w:t>
      </w:r>
    </w:p>
    <w:p w14:paraId="3C2D4895" w14:textId="2072BE8E" w:rsidR="0011208B" w:rsidRPr="00036930" w:rsidRDefault="007A7799" w:rsidP="007A7799">
      <w:pPr>
        <w:pStyle w:val="EndNoteBibliography"/>
        <w:spacing w:after="0" w:line="480" w:lineRule="auto"/>
        <w:ind w:left="720" w:hanging="720"/>
        <w:rPr>
          <w:rFonts w:ascii="Times New Roman" w:hAnsi="Times New Roman"/>
          <w:color w:val="000000" w:themeColor="text1"/>
          <w:sz w:val="24"/>
          <w:szCs w:val="24"/>
        </w:rPr>
      </w:pPr>
      <w:r>
        <w:rPr>
          <w:rFonts w:ascii="Times New Roman" w:hAnsi="Times New Roman"/>
          <w:sz w:val="24"/>
          <w:szCs w:val="24"/>
        </w:rPr>
        <w:t xml:space="preserve">Cohen, A. S., &amp; Davis, T. E., III. (2009). Quality of life across the schizotypy spectrum: Findings from a large nonclinical adult sample. </w:t>
      </w:r>
      <w:r w:rsidRPr="00711EF5">
        <w:rPr>
          <w:rFonts w:ascii="Times New Roman" w:hAnsi="Times New Roman"/>
          <w:i/>
          <w:sz w:val="24"/>
          <w:szCs w:val="24"/>
        </w:rPr>
        <w:t>Comprehensive Psychiatry</w:t>
      </w:r>
      <w:r w:rsidRPr="007A7799">
        <w:rPr>
          <w:rFonts w:ascii="Times New Roman" w:hAnsi="Times New Roman"/>
          <w:iCs/>
          <w:sz w:val="24"/>
          <w:szCs w:val="24"/>
        </w:rPr>
        <w:t xml:space="preserve">, </w:t>
      </w:r>
      <w:r w:rsidRPr="00E06A46">
        <w:rPr>
          <w:rFonts w:ascii="Times New Roman" w:hAnsi="Times New Roman"/>
          <w:i/>
          <w:sz w:val="24"/>
          <w:szCs w:val="24"/>
        </w:rPr>
        <w:t>50</w:t>
      </w:r>
      <w:r>
        <w:rPr>
          <w:rFonts w:ascii="Times New Roman" w:hAnsi="Times New Roman"/>
          <w:sz w:val="24"/>
          <w:szCs w:val="24"/>
        </w:rPr>
        <w:t>, 408-</w:t>
      </w:r>
      <w:r w:rsidRPr="00550099">
        <w:rPr>
          <w:rFonts w:ascii="Times New Roman" w:hAnsi="Times New Roman"/>
          <w:color w:val="000000" w:themeColor="text1"/>
          <w:sz w:val="24"/>
          <w:szCs w:val="24"/>
        </w:rPr>
        <w:t xml:space="preserve">414. </w:t>
      </w:r>
      <w:r>
        <w:rPr>
          <w:rFonts w:ascii="Times New Roman" w:hAnsi="Times New Roman"/>
          <w:color w:val="000000" w:themeColor="text1"/>
          <w:sz w:val="24"/>
          <w:szCs w:val="24"/>
          <w:lang w:val="en"/>
        </w:rPr>
        <w:t>doi:</w:t>
      </w:r>
      <w:r w:rsidRPr="00550099">
        <w:rPr>
          <w:rFonts w:ascii="Times New Roman" w:hAnsi="Times New Roman"/>
          <w:color w:val="000000" w:themeColor="text1"/>
          <w:sz w:val="24"/>
          <w:szCs w:val="24"/>
          <w:lang w:val="en"/>
        </w:rPr>
        <w:t>10.1016/j.comppsych.2008.11.002</w:t>
      </w:r>
    </w:p>
    <w:p w14:paraId="5DE6EC9C" w14:textId="610CB225" w:rsidR="007A7799" w:rsidRPr="003B6514" w:rsidRDefault="007A7799" w:rsidP="007A7799">
      <w:pPr>
        <w:pStyle w:val="EndNoteBibliography"/>
        <w:spacing w:after="0" w:line="480" w:lineRule="auto"/>
        <w:ind w:left="720" w:hanging="720"/>
        <w:rPr>
          <w:rFonts w:ascii="Times New Roman" w:hAnsi="Times New Roman"/>
          <w:sz w:val="24"/>
          <w:szCs w:val="24"/>
          <w:lang w:val="de-DE"/>
        </w:rPr>
      </w:pPr>
      <w:r w:rsidRPr="00A9625F">
        <w:rPr>
          <w:rFonts w:ascii="Times New Roman" w:hAnsi="Times New Roman"/>
          <w:sz w:val="24"/>
          <w:szCs w:val="24"/>
        </w:rPr>
        <w:t xml:space="preserve">Compton, M. T., Goulding, S. M., Bakeman, R., &amp; McClure-Tone, E. B. (2009). Confirmation of a four-factor structure of the Schizotypal Personality Questionnaire among undergraduate students. </w:t>
      </w:r>
      <w:r w:rsidRPr="00711EF5">
        <w:rPr>
          <w:rFonts w:ascii="Times New Roman" w:hAnsi="Times New Roman"/>
          <w:i/>
          <w:sz w:val="24"/>
          <w:szCs w:val="24"/>
          <w:lang w:val="de-DE"/>
        </w:rPr>
        <w:t>Schizophrenia Research</w:t>
      </w:r>
      <w:r w:rsidRPr="007A7799">
        <w:rPr>
          <w:rFonts w:ascii="Times New Roman" w:hAnsi="Times New Roman"/>
          <w:iCs/>
          <w:sz w:val="24"/>
          <w:szCs w:val="24"/>
          <w:lang w:val="de-DE"/>
        </w:rPr>
        <w:t xml:space="preserve">, </w:t>
      </w:r>
      <w:r w:rsidRPr="00E06A46">
        <w:rPr>
          <w:rFonts w:ascii="Times New Roman" w:hAnsi="Times New Roman"/>
          <w:i/>
          <w:sz w:val="24"/>
          <w:szCs w:val="24"/>
          <w:lang w:val="de-DE"/>
        </w:rPr>
        <w:t>111</w:t>
      </w:r>
      <w:r w:rsidRPr="007A7799">
        <w:rPr>
          <w:rFonts w:ascii="Times New Roman" w:hAnsi="Times New Roman"/>
          <w:iCs/>
          <w:sz w:val="24"/>
          <w:szCs w:val="24"/>
          <w:lang w:val="de-DE"/>
        </w:rPr>
        <w:t>,</w:t>
      </w:r>
      <w:r w:rsidRPr="00A9625F">
        <w:rPr>
          <w:rFonts w:ascii="Times New Roman" w:hAnsi="Times New Roman"/>
          <w:sz w:val="24"/>
          <w:szCs w:val="24"/>
          <w:lang w:val="de-DE"/>
        </w:rPr>
        <w:t xml:space="preserve"> 46-52. doi:10.1016/j.schres.2009.02.012</w:t>
      </w:r>
    </w:p>
    <w:p w14:paraId="7F100724" w14:textId="77777777" w:rsidR="007A7799" w:rsidRDefault="007A7799" w:rsidP="007A7799">
      <w:pPr>
        <w:spacing w:line="480" w:lineRule="auto"/>
        <w:ind w:left="709" w:hanging="709"/>
        <w:rPr>
          <w:rFonts w:eastAsia="Calibri"/>
        </w:rPr>
      </w:pPr>
      <w:proofErr w:type="spellStart"/>
      <w:r w:rsidRPr="003B6514">
        <w:rPr>
          <w:rFonts w:eastAsia="Calibri"/>
        </w:rPr>
        <w:t>Debanné</w:t>
      </w:r>
      <w:proofErr w:type="spellEnd"/>
      <w:r w:rsidRPr="003B6514">
        <w:rPr>
          <w:rFonts w:eastAsia="Calibri"/>
        </w:rPr>
        <w:t xml:space="preserve">, M., </w:t>
      </w:r>
      <w:proofErr w:type="spellStart"/>
      <w:r w:rsidRPr="003B6514">
        <w:rPr>
          <w:rFonts w:eastAsia="Calibri"/>
        </w:rPr>
        <w:t>Eliez</w:t>
      </w:r>
      <w:proofErr w:type="spellEnd"/>
      <w:r w:rsidRPr="003B6514">
        <w:rPr>
          <w:rFonts w:eastAsia="Calibri"/>
        </w:rPr>
        <w:t xml:space="preserve">, S., </w:t>
      </w:r>
      <w:proofErr w:type="spellStart"/>
      <w:r w:rsidRPr="003B6514">
        <w:rPr>
          <w:rFonts w:eastAsia="Calibri"/>
        </w:rPr>
        <w:t>Badoud</w:t>
      </w:r>
      <w:proofErr w:type="spellEnd"/>
      <w:r w:rsidRPr="003B6514">
        <w:rPr>
          <w:rFonts w:eastAsia="Calibri"/>
        </w:rPr>
        <w:t xml:space="preserve">, D., Conus, P., </w:t>
      </w:r>
      <w:proofErr w:type="spellStart"/>
      <w:r w:rsidRPr="003B6514">
        <w:rPr>
          <w:rFonts w:eastAsia="Calibri"/>
        </w:rPr>
        <w:t>Flückiger</w:t>
      </w:r>
      <w:proofErr w:type="spellEnd"/>
      <w:r w:rsidRPr="003B6514">
        <w:rPr>
          <w:rFonts w:eastAsia="Calibri"/>
        </w:rPr>
        <w:t>, R., &amp; Schultze-</w:t>
      </w:r>
      <w:proofErr w:type="spellStart"/>
      <w:r w:rsidRPr="003B6514">
        <w:rPr>
          <w:rFonts w:eastAsia="Calibri"/>
        </w:rPr>
        <w:t>Lutter</w:t>
      </w:r>
      <w:proofErr w:type="spellEnd"/>
      <w:r w:rsidRPr="003B6514">
        <w:rPr>
          <w:rFonts w:eastAsia="Calibri"/>
        </w:rPr>
        <w:t>, F. (2015). Developing psychosis and its</w:t>
      </w:r>
      <w:r w:rsidRPr="00A9625F">
        <w:rPr>
          <w:rFonts w:eastAsia="Calibri"/>
        </w:rPr>
        <w:t xml:space="preserve"> risk states through the lens of </w:t>
      </w:r>
      <w:proofErr w:type="spellStart"/>
      <w:r w:rsidRPr="00A9625F">
        <w:rPr>
          <w:rFonts w:eastAsia="Calibri"/>
        </w:rPr>
        <w:t>schizotyypy</w:t>
      </w:r>
      <w:proofErr w:type="spellEnd"/>
      <w:r w:rsidRPr="00A9625F">
        <w:rPr>
          <w:rFonts w:eastAsia="Calibri"/>
        </w:rPr>
        <w:t xml:space="preserve">. </w:t>
      </w:r>
      <w:r w:rsidRPr="00711EF5">
        <w:rPr>
          <w:rFonts w:eastAsia="Calibri"/>
          <w:i/>
        </w:rPr>
        <w:t>Schizophrenia Bulletin</w:t>
      </w:r>
      <w:r w:rsidRPr="00BB0831">
        <w:rPr>
          <w:rFonts w:eastAsia="Calibri"/>
          <w:iCs/>
        </w:rPr>
        <w:t xml:space="preserve">, </w:t>
      </w:r>
      <w:r w:rsidRPr="00E06A46">
        <w:rPr>
          <w:rFonts w:eastAsia="Calibri"/>
          <w:i/>
        </w:rPr>
        <w:t>41</w:t>
      </w:r>
      <w:r w:rsidRPr="00A9625F">
        <w:rPr>
          <w:rFonts w:eastAsia="Calibri"/>
        </w:rPr>
        <w:t>, 396-407. doi:10.1093/</w:t>
      </w:r>
      <w:proofErr w:type="spellStart"/>
      <w:r w:rsidRPr="00A9625F">
        <w:rPr>
          <w:rFonts w:eastAsia="Calibri"/>
        </w:rPr>
        <w:t>schbul</w:t>
      </w:r>
      <w:proofErr w:type="spellEnd"/>
      <w:r w:rsidRPr="00A9625F">
        <w:rPr>
          <w:rFonts w:eastAsia="Calibri"/>
        </w:rPr>
        <w:t>/sbu176</w:t>
      </w:r>
    </w:p>
    <w:p w14:paraId="24EEF48E" w14:textId="6E7443BC" w:rsidR="007A7799" w:rsidRDefault="007A7799" w:rsidP="007A7799">
      <w:pPr>
        <w:spacing w:line="480" w:lineRule="auto"/>
        <w:ind w:left="567" w:hanging="567"/>
        <w:rPr>
          <w:color w:val="000000" w:themeColor="text1"/>
        </w:rPr>
      </w:pPr>
      <w:r w:rsidRPr="007A49E1">
        <w:rPr>
          <w:color w:val="000000" w:themeColor="text1"/>
        </w:rPr>
        <w:t xml:space="preserve">Diener, E., Emmons, R. A., Larsen, R. J., &amp; Griffin, S. (1985). The Satisfaction with Life Scale. </w:t>
      </w:r>
      <w:r w:rsidRPr="00711EF5">
        <w:rPr>
          <w:i/>
          <w:color w:val="000000" w:themeColor="text1"/>
        </w:rPr>
        <w:t>Journal of Personality Assessment</w:t>
      </w:r>
      <w:r w:rsidRPr="00BB0831">
        <w:rPr>
          <w:iCs/>
          <w:color w:val="000000" w:themeColor="text1"/>
        </w:rPr>
        <w:t xml:space="preserve">, </w:t>
      </w:r>
      <w:r w:rsidRPr="00E06A46">
        <w:rPr>
          <w:i/>
          <w:color w:val="000000" w:themeColor="text1"/>
        </w:rPr>
        <w:t>49</w:t>
      </w:r>
      <w:r w:rsidRPr="007A49E1">
        <w:rPr>
          <w:color w:val="000000" w:themeColor="text1"/>
        </w:rPr>
        <w:t xml:space="preserve">, 71-75. doi:10.1207/ s15327752jpa4901_13 </w:t>
      </w:r>
    </w:p>
    <w:p w14:paraId="4A66ECB0" w14:textId="6F70AB9C" w:rsidR="003930E6" w:rsidRPr="00586FD0" w:rsidRDefault="003930E6" w:rsidP="003930E6">
      <w:pPr>
        <w:pStyle w:val="EndNoteBibliography"/>
        <w:spacing w:line="360" w:lineRule="auto"/>
        <w:ind w:left="720" w:hanging="720"/>
        <w:rPr>
          <w:rFonts w:ascii="Times New Roman" w:hAnsi="Times New Roman"/>
          <w:sz w:val="24"/>
          <w:szCs w:val="24"/>
        </w:rPr>
      </w:pPr>
      <w:r w:rsidRPr="00586FD0">
        <w:rPr>
          <w:rFonts w:ascii="Times New Roman" w:hAnsi="Times New Roman"/>
          <w:sz w:val="24"/>
          <w:szCs w:val="24"/>
        </w:rPr>
        <w:t xml:space="preserve">Eckblad, M., &amp; Chapman, L. J. (1983). Magical ideation as an indicator of schizotypy. </w:t>
      </w:r>
      <w:r w:rsidRPr="00586FD0">
        <w:rPr>
          <w:rFonts w:ascii="Times New Roman" w:hAnsi="Times New Roman"/>
          <w:i/>
          <w:sz w:val="24"/>
          <w:szCs w:val="24"/>
        </w:rPr>
        <w:t>J</w:t>
      </w:r>
      <w:r>
        <w:rPr>
          <w:rFonts w:ascii="Times New Roman" w:hAnsi="Times New Roman"/>
          <w:i/>
          <w:sz w:val="24"/>
          <w:szCs w:val="24"/>
        </w:rPr>
        <w:t>ournal of</w:t>
      </w:r>
      <w:r w:rsidRPr="00586FD0">
        <w:rPr>
          <w:rFonts w:ascii="Times New Roman" w:hAnsi="Times New Roman"/>
          <w:i/>
          <w:sz w:val="24"/>
          <w:szCs w:val="24"/>
        </w:rPr>
        <w:t xml:space="preserve"> Consult</w:t>
      </w:r>
      <w:r>
        <w:rPr>
          <w:rFonts w:ascii="Times New Roman" w:hAnsi="Times New Roman"/>
          <w:i/>
          <w:sz w:val="24"/>
          <w:szCs w:val="24"/>
        </w:rPr>
        <w:t>ing and</w:t>
      </w:r>
      <w:r w:rsidRPr="00586FD0">
        <w:rPr>
          <w:rFonts w:ascii="Times New Roman" w:hAnsi="Times New Roman"/>
          <w:i/>
          <w:sz w:val="24"/>
          <w:szCs w:val="24"/>
        </w:rPr>
        <w:t xml:space="preserve"> Clin</w:t>
      </w:r>
      <w:r>
        <w:rPr>
          <w:rFonts w:ascii="Times New Roman" w:hAnsi="Times New Roman"/>
          <w:i/>
          <w:sz w:val="24"/>
          <w:szCs w:val="24"/>
        </w:rPr>
        <w:t>ical</w:t>
      </w:r>
      <w:r w:rsidRPr="00586FD0">
        <w:rPr>
          <w:rFonts w:ascii="Times New Roman" w:hAnsi="Times New Roman"/>
          <w:i/>
          <w:sz w:val="24"/>
          <w:szCs w:val="24"/>
        </w:rPr>
        <w:t xml:space="preserve"> Psychol</w:t>
      </w:r>
      <w:r>
        <w:rPr>
          <w:rFonts w:ascii="Times New Roman" w:hAnsi="Times New Roman"/>
          <w:i/>
          <w:sz w:val="24"/>
          <w:szCs w:val="24"/>
        </w:rPr>
        <w:t>ogy</w:t>
      </w:r>
      <w:r w:rsidRPr="00586FD0">
        <w:rPr>
          <w:rFonts w:ascii="Times New Roman" w:hAnsi="Times New Roman"/>
          <w:i/>
          <w:sz w:val="24"/>
          <w:szCs w:val="24"/>
        </w:rPr>
        <w:t>, 51</w:t>
      </w:r>
      <w:r w:rsidRPr="00586FD0">
        <w:rPr>
          <w:rFonts w:ascii="Times New Roman" w:hAnsi="Times New Roman"/>
          <w:sz w:val="24"/>
          <w:szCs w:val="24"/>
        </w:rPr>
        <w:t xml:space="preserve">(2), 215-225. </w:t>
      </w:r>
    </w:p>
    <w:p w14:paraId="5EED230F" w14:textId="77777777" w:rsidR="003930E6" w:rsidRPr="001D0388" w:rsidRDefault="003930E6" w:rsidP="00F8124C">
      <w:pPr>
        <w:spacing w:line="480" w:lineRule="auto"/>
        <w:rPr>
          <w:color w:val="000000" w:themeColor="text1"/>
        </w:rPr>
      </w:pPr>
    </w:p>
    <w:p w14:paraId="7E28A474" w14:textId="77777777" w:rsidR="007A7799" w:rsidRDefault="007A7799" w:rsidP="007A7799">
      <w:pPr>
        <w:spacing w:line="480" w:lineRule="auto"/>
        <w:ind w:left="709" w:hanging="709"/>
      </w:pPr>
      <w:r w:rsidRPr="00A9625F">
        <w:lastRenderedPageBreak/>
        <w:t xml:space="preserve">Ettinger, U., </w:t>
      </w:r>
      <w:proofErr w:type="spellStart"/>
      <w:r w:rsidRPr="00A9625F">
        <w:t>Alchert</w:t>
      </w:r>
      <w:proofErr w:type="spellEnd"/>
      <w:r w:rsidRPr="00A9625F">
        <w:t xml:space="preserve">, D. S., </w:t>
      </w:r>
      <w:proofErr w:type="spellStart"/>
      <w:r w:rsidRPr="00A9625F">
        <w:t>Wöstmann</w:t>
      </w:r>
      <w:proofErr w:type="spellEnd"/>
      <w:r w:rsidRPr="00A9625F">
        <w:t xml:space="preserve">, N., </w:t>
      </w:r>
      <w:proofErr w:type="spellStart"/>
      <w:r w:rsidRPr="00A9625F">
        <w:t>Dehning</w:t>
      </w:r>
      <w:proofErr w:type="spellEnd"/>
      <w:r w:rsidRPr="00A9625F">
        <w:t xml:space="preserve">, S., Riedel, M., &amp; Kumari, V. (2018). Response inhibition and interference control: Effects of schizophrenia, genetic risk, and </w:t>
      </w:r>
      <w:proofErr w:type="spellStart"/>
      <w:r w:rsidRPr="00A9625F">
        <w:t>schizotypy</w:t>
      </w:r>
      <w:proofErr w:type="spellEnd"/>
      <w:r w:rsidRPr="00BB0831">
        <w:t xml:space="preserve">. </w:t>
      </w:r>
      <w:r w:rsidRPr="00711EF5">
        <w:rPr>
          <w:i/>
          <w:iCs/>
        </w:rPr>
        <w:t>Journal of Neuropsychology</w:t>
      </w:r>
      <w:r w:rsidRPr="00BB0831">
        <w:t xml:space="preserve">, </w:t>
      </w:r>
      <w:r w:rsidRPr="00E06A46">
        <w:rPr>
          <w:i/>
          <w:iCs/>
        </w:rPr>
        <w:t>12</w:t>
      </w:r>
      <w:r>
        <w:t>, 484-510</w:t>
      </w:r>
      <w:r w:rsidRPr="00A9625F">
        <w:t>. doi:10.1111/jnp.12126</w:t>
      </w:r>
    </w:p>
    <w:p w14:paraId="7839F12B" w14:textId="77777777" w:rsidR="007A7799" w:rsidRDefault="007A7799" w:rsidP="007A7799">
      <w:pPr>
        <w:spacing w:line="480" w:lineRule="auto"/>
        <w:ind w:left="567" w:hanging="567"/>
        <w:rPr>
          <w:color w:val="000000" w:themeColor="text1"/>
        </w:rPr>
      </w:pPr>
      <w:r w:rsidRPr="007A49E1">
        <w:rPr>
          <w:color w:val="000000" w:themeColor="text1"/>
        </w:rPr>
        <w:t>European Commission. (2012</w:t>
      </w:r>
      <w:r w:rsidRPr="00BB0831">
        <w:rPr>
          <w:color w:val="000000" w:themeColor="text1"/>
        </w:rPr>
        <w:t xml:space="preserve">). </w:t>
      </w:r>
      <w:r w:rsidRPr="00711EF5">
        <w:rPr>
          <w:i/>
          <w:iCs/>
          <w:color w:val="000000" w:themeColor="text1"/>
        </w:rPr>
        <w:t>Europeans and their languages (Special Eurobarometer 386).</w:t>
      </w:r>
      <w:r w:rsidRPr="007A49E1">
        <w:rPr>
          <w:color w:val="000000" w:themeColor="text1"/>
        </w:rPr>
        <w:t xml:space="preserve"> Brussels: European Commission. </w:t>
      </w:r>
    </w:p>
    <w:p w14:paraId="2A5CECB1" w14:textId="2476E7A1" w:rsidR="00CE6745" w:rsidRPr="00036930" w:rsidRDefault="00CE6745" w:rsidP="00BB0831">
      <w:pPr>
        <w:pStyle w:val="EndNoteBibliography"/>
        <w:spacing w:after="0" w:line="480" w:lineRule="auto"/>
        <w:ind w:left="851" w:hanging="851"/>
        <w:rPr>
          <w:rFonts w:ascii="Times New Roman" w:hAnsi="Times New Roman"/>
          <w:sz w:val="24"/>
          <w:szCs w:val="24"/>
        </w:rPr>
      </w:pPr>
      <w:r w:rsidRPr="00036930">
        <w:rPr>
          <w:rFonts w:ascii="Times New Roman" w:hAnsi="Times New Roman"/>
          <w:sz w:val="24"/>
          <w:szCs w:val="24"/>
        </w:rPr>
        <w:t>Fonseca-Pedrero, E.,</w:t>
      </w:r>
      <w:r w:rsidR="00BB0831">
        <w:rPr>
          <w:rFonts w:ascii="Times New Roman" w:hAnsi="Times New Roman"/>
          <w:sz w:val="24"/>
          <w:szCs w:val="24"/>
        </w:rPr>
        <w:t xml:space="preserve"> &amp;</w:t>
      </w:r>
      <w:r w:rsidRPr="00036930">
        <w:rPr>
          <w:rFonts w:ascii="Times New Roman" w:hAnsi="Times New Roman"/>
          <w:sz w:val="24"/>
          <w:szCs w:val="24"/>
        </w:rPr>
        <w:t xml:space="preserve"> Debanné, M. </w:t>
      </w:r>
      <w:r w:rsidR="00BB0831">
        <w:rPr>
          <w:rFonts w:ascii="Times New Roman" w:hAnsi="Times New Roman"/>
          <w:sz w:val="24"/>
          <w:szCs w:val="24"/>
        </w:rPr>
        <w:t>(</w:t>
      </w:r>
      <w:r w:rsidRPr="00036930">
        <w:rPr>
          <w:rFonts w:ascii="Times New Roman" w:hAnsi="Times New Roman"/>
          <w:sz w:val="24"/>
          <w:szCs w:val="24"/>
        </w:rPr>
        <w:t>2017</w:t>
      </w:r>
      <w:r w:rsidR="00BB0831">
        <w:rPr>
          <w:rFonts w:ascii="Times New Roman" w:hAnsi="Times New Roman"/>
          <w:sz w:val="24"/>
          <w:szCs w:val="24"/>
        </w:rPr>
        <w:t>)</w:t>
      </w:r>
      <w:r w:rsidRPr="00036930">
        <w:rPr>
          <w:rFonts w:ascii="Times New Roman" w:hAnsi="Times New Roman"/>
          <w:sz w:val="24"/>
          <w:szCs w:val="24"/>
        </w:rPr>
        <w:t xml:space="preserve">. Schizotypal traits and psychotic-like experiences during adolescence: An update. </w:t>
      </w:r>
      <w:r w:rsidRPr="00711EF5">
        <w:rPr>
          <w:rFonts w:ascii="Times New Roman" w:hAnsi="Times New Roman"/>
          <w:i/>
          <w:iCs/>
          <w:sz w:val="24"/>
          <w:szCs w:val="24"/>
        </w:rPr>
        <w:t>Psicothema</w:t>
      </w:r>
      <w:r w:rsidR="00E06A46">
        <w:rPr>
          <w:rFonts w:ascii="Times New Roman" w:hAnsi="Times New Roman"/>
          <w:i/>
          <w:iCs/>
          <w:sz w:val="24"/>
          <w:szCs w:val="24"/>
        </w:rPr>
        <w:t>,</w:t>
      </w:r>
      <w:r w:rsidRPr="00036930">
        <w:rPr>
          <w:rFonts w:ascii="Times New Roman" w:hAnsi="Times New Roman"/>
          <w:sz w:val="24"/>
          <w:szCs w:val="24"/>
        </w:rPr>
        <w:t xml:space="preserve"> </w:t>
      </w:r>
      <w:r w:rsidRPr="00E06A46">
        <w:rPr>
          <w:rFonts w:ascii="Times New Roman" w:hAnsi="Times New Roman"/>
          <w:i/>
          <w:iCs/>
          <w:sz w:val="24"/>
          <w:szCs w:val="24"/>
        </w:rPr>
        <w:t>29</w:t>
      </w:r>
      <w:r w:rsidRPr="00036930">
        <w:rPr>
          <w:rFonts w:ascii="Times New Roman" w:hAnsi="Times New Roman"/>
          <w:sz w:val="24"/>
          <w:szCs w:val="24"/>
        </w:rPr>
        <w:t>, 5-17. https://doi.org</w:t>
      </w:r>
      <w:r w:rsidRPr="00036930">
        <w:rPr>
          <w:rFonts w:ascii="Times New Roman" w:hAnsi="Times New Roman"/>
          <w:sz w:val="24"/>
          <w:szCs w:val="24"/>
          <w:lang w:val="de-DE"/>
        </w:rPr>
        <w:t>/</w:t>
      </w:r>
      <w:r w:rsidRPr="00036930">
        <w:rPr>
          <w:rFonts w:ascii="Times New Roman" w:hAnsi="Times New Roman"/>
          <w:sz w:val="24"/>
          <w:szCs w:val="24"/>
        </w:rPr>
        <w:t>10.7334.psicothema2016.209</w:t>
      </w:r>
    </w:p>
    <w:p w14:paraId="21DD67BC" w14:textId="34712C47" w:rsidR="00BB0831" w:rsidRDefault="00BB0831" w:rsidP="00BB0831">
      <w:pPr>
        <w:spacing w:line="480" w:lineRule="auto"/>
        <w:ind w:left="709" w:hanging="709"/>
      </w:pPr>
      <w:r w:rsidRPr="003B6514">
        <w:t>Fonseca-</w:t>
      </w:r>
      <w:proofErr w:type="spellStart"/>
      <w:r w:rsidRPr="003B6514">
        <w:t>Pedrero</w:t>
      </w:r>
      <w:proofErr w:type="spellEnd"/>
      <w:r w:rsidRPr="003B6514">
        <w:t xml:space="preserve">, E., </w:t>
      </w:r>
      <w:proofErr w:type="spellStart"/>
      <w:r w:rsidRPr="003B6514">
        <w:t>Debanné</w:t>
      </w:r>
      <w:proofErr w:type="spellEnd"/>
      <w:r w:rsidRPr="003B6514">
        <w:t xml:space="preserve">, M., </w:t>
      </w:r>
      <w:proofErr w:type="spellStart"/>
      <w:r w:rsidRPr="003B6514">
        <w:t>Ortuño</w:t>
      </w:r>
      <w:proofErr w:type="spellEnd"/>
      <w:r w:rsidRPr="003B6514">
        <w:t>-Sierra, J., Chan, R.C.K., Cicero, D. C.</w:t>
      </w:r>
      <w:r w:rsidR="005E1192">
        <w:t xml:space="preserve">, et al. </w:t>
      </w:r>
      <w:r w:rsidRPr="003B6514">
        <w:t>(2018). The structure</w:t>
      </w:r>
      <w:r w:rsidRPr="00A9625F">
        <w:t xml:space="preserve"> of schizotypal personality traits: A cross-national study. </w:t>
      </w:r>
      <w:r w:rsidRPr="00711EF5">
        <w:rPr>
          <w:i/>
        </w:rPr>
        <w:t>Psychological Medicine</w:t>
      </w:r>
      <w:r w:rsidRPr="00BB0831">
        <w:rPr>
          <w:iCs/>
        </w:rPr>
        <w:t xml:space="preserve">, </w:t>
      </w:r>
      <w:r w:rsidRPr="00E06A46">
        <w:rPr>
          <w:i/>
        </w:rPr>
        <w:t>48</w:t>
      </w:r>
      <w:r>
        <w:t>, 451-462</w:t>
      </w:r>
      <w:r w:rsidRPr="00A9625F">
        <w:t>. doi:10.1017/S0033291717001829</w:t>
      </w:r>
    </w:p>
    <w:p w14:paraId="45E15D21" w14:textId="6B272357" w:rsidR="00BB0831" w:rsidRPr="008050F9" w:rsidRDefault="00BB0831" w:rsidP="00BB0831">
      <w:pPr>
        <w:pStyle w:val="EndNoteBibliography"/>
        <w:spacing w:after="0" w:line="480" w:lineRule="auto"/>
        <w:ind w:left="720" w:hanging="720"/>
        <w:rPr>
          <w:rFonts w:ascii="Times New Roman" w:hAnsi="Times New Roman"/>
          <w:color w:val="000000" w:themeColor="text1"/>
          <w:sz w:val="24"/>
          <w:szCs w:val="24"/>
        </w:rPr>
      </w:pPr>
      <w:r w:rsidRPr="00A9625F">
        <w:rPr>
          <w:rFonts w:ascii="Times New Roman" w:hAnsi="Times New Roman"/>
          <w:sz w:val="24"/>
          <w:szCs w:val="24"/>
        </w:rPr>
        <w:t>Fonseca-Pedrero, E., Fumero, A., Paino, M., de Miguel, A., Ortuño-Sierra, J., Lemos-Giráldez, S</w:t>
      </w:r>
      <w:r>
        <w:rPr>
          <w:rFonts w:ascii="Times New Roman" w:hAnsi="Times New Roman"/>
          <w:sz w:val="24"/>
          <w:szCs w:val="24"/>
        </w:rPr>
        <w:t>, et al.</w:t>
      </w:r>
      <w:r w:rsidRPr="00A9625F">
        <w:rPr>
          <w:rFonts w:ascii="Times New Roman" w:hAnsi="Times New Roman"/>
          <w:sz w:val="24"/>
          <w:szCs w:val="24"/>
        </w:rPr>
        <w:t xml:space="preserve">. (2014). Schizotypal Personality Questionnaire: New sources </w:t>
      </w:r>
      <w:r w:rsidRPr="008050F9">
        <w:rPr>
          <w:rFonts w:ascii="Times New Roman" w:hAnsi="Times New Roman"/>
          <w:color w:val="000000" w:themeColor="text1"/>
          <w:sz w:val="24"/>
          <w:szCs w:val="24"/>
        </w:rPr>
        <w:t xml:space="preserve">of validity evidence in college students. </w:t>
      </w:r>
      <w:r w:rsidRPr="00711EF5">
        <w:rPr>
          <w:rFonts w:ascii="Times New Roman" w:hAnsi="Times New Roman"/>
          <w:i/>
          <w:color w:val="000000" w:themeColor="text1"/>
          <w:sz w:val="24"/>
          <w:szCs w:val="24"/>
        </w:rPr>
        <w:t>Psychiatry Research</w:t>
      </w:r>
      <w:r w:rsidRPr="00BB0831">
        <w:rPr>
          <w:rFonts w:ascii="Times New Roman" w:hAnsi="Times New Roman"/>
          <w:iCs/>
          <w:color w:val="000000" w:themeColor="text1"/>
          <w:sz w:val="24"/>
          <w:szCs w:val="24"/>
        </w:rPr>
        <w:t xml:space="preserve">, </w:t>
      </w:r>
      <w:r w:rsidRPr="00E06A46">
        <w:rPr>
          <w:rFonts w:ascii="Times New Roman" w:hAnsi="Times New Roman"/>
          <w:i/>
          <w:color w:val="000000" w:themeColor="text1"/>
          <w:sz w:val="24"/>
          <w:szCs w:val="24"/>
        </w:rPr>
        <w:t>219</w:t>
      </w:r>
      <w:r w:rsidRPr="008050F9">
        <w:rPr>
          <w:rFonts w:ascii="Times New Roman" w:hAnsi="Times New Roman"/>
          <w:color w:val="000000" w:themeColor="text1"/>
          <w:sz w:val="24"/>
          <w:szCs w:val="24"/>
        </w:rPr>
        <w:t>, 214-220. doi:10.1016/j.psychres.2014.04.054</w:t>
      </w:r>
    </w:p>
    <w:p w14:paraId="71BE9FEA" w14:textId="77777777" w:rsidR="00BB0831" w:rsidRPr="008050F9" w:rsidRDefault="00BB0831" w:rsidP="00BB0831">
      <w:pPr>
        <w:pStyle w:val="EndNoteBibliography"/>
        <w:spacing w:after="0" w:line="480" w:lineRule="auto"/>
        <w:ind w:left="720" w:hanging="720"/>
        <w:rPr>
          <w:rFonts w:ascii="Times New Roman" w:hAnsi="Times New Roman"/>
          <w:color w:val="000000" w:themeColor="text1"/>
          <w:sz w:val="24"/>
          <w:szCs w:val="24"/>
        </w:rPr>
      </w:pPr>
      <w:r w:rsidRPr="008050F9">
        <w:rPr>
          <w:rFonts w:ascii="Times New Roman" w:hAnsi="Times New Roman"/>
          <w:color w:val="000000" w:themeColor="text1"/>
          <w:sz w:val="24"/>
          <w:szCs w:val="24"/>
        </w:rPr>
        <w:t xml:space="preserve">Fonseca-Pedrero, E., Paino, M., Lemos-Giráldez, S., </w:t>
      </w:r>
      <w:r>
        <w:rPr>
          <w:rFonts w:ascii="Times New Roman" w:hAnsi="Times New Roman"/>
          <w:color w:val="000000" w:themeColor="text1"/>
          <w:sz w:val="24"/>
          <w:szCs w:val="24"/>
        </w:rPr>
        <w:t xml:space="preserve">&amp; </w:t>
      </w:r>
      <w:r w:rsidRPr="008050F9">
        <w:rPr>
          <w:rFonts w:ascii="Times New Roman" w:hAnsi="Times New Roman"/>
          <w:color w:val="000000" w:themeColor="text1"/>
          <w:sz w:val="24"/>
          <w:szCs w:val="24"/>
        </w:rPr>
        <w:t>Muñiz, J. (2008)</w:t>
      </w:r>
      <w:r>
        <w:rPr>
          <w:rFonts w:ascii="Times New Roman" w:hAnsi="Times New Roman"/>
          <w:color w:val="000000" w:themeColor="text1"/>
          <w:sz w:val="24"/>
          <w:szCs w:val="24"/>
        </w:rPr>
        <w:t>.</w:t>
      </w:r>
      <w:r w:rsidRPr="008050F9">
        <w:rPr>
          <w:rFonts w:ascii="Times New Roman" w:hAnsi="Times New Roman"/>
          <w:color w:val="000000" w:themeColor="text1"/>
          <w:sz w:val="24"/>
          <w:szCs w:val="24"/>
        </w:rPr>
        <w:t xml:space="preserve"> </w:t>
      </w:r>
      <w:r w:rsidRPr="00711EF5">
        <w:rPr>
          <w:rFonts w:ascii="Times New Roman" w:hAnsi="Times New Roman"/>
          <w:i/>
          <w:color w:val="000000" w:themeColor="text1"/>
          <w:sz w:val="24"/>
          <w:szCs w:val="24"/>
        </w:rPr>
        <w:t>Construction and Validation of the Oviedo Infrequency Scale in Spanish Adolescents</w:t>
      </w:r>
      <w:r w:rsidRPr="008050F9">
        <w:rPr>
          <w:rFonts w:ascii="Times New Roman" w:hAnsi="Times New Roman"/>
          <w:i/>
          <w:color w:val="000000" w:themeColor="text1"/>
          <w:sz w:val="24"/>
          <w:szCs w:val="24"/>
        </w:rPr>
        <w:t>.</w:t>
      </w:r>
      <w:r w:rsidRPr="008050F9">
        <w:rPr>
          <w:rFonts w:ascii="Times New Roman" w:hAnsi="Times New Roman"/>
          <w:color w:val="000000" w:themeColor="text1"/>
          <w:sz w:val="24"/>
          <w:szCs w:val="24"/>
        </w:rPr>
        <w:t xml:space="preserve"> Doctoral dissertation, Universidad de Oviedo, Spain. </w:t>
      </w:r>
    </w:p>
    <w:p w14:paraId="3909C78C" w14:textId="77777777" w:rsidR="00BB0831" w:rsidRPr="008050F9" w:rsidRDefault="00BB0831" w:rsidP="00BB0831">
      <w:pPr>
        <w:spacing w:line="480" w:lineRule="auto"/>
        <w:ind w:left="709" w:hanging="709"/>
        <w:rPr>
          <w:color w:val="000000" w:themeColor="text1"/>
          <w:lang w:val="en"/>
        </w:rPr>
      </w:pPr>
      <w:proofErr w:type="spellStart"/>
      <w:r>
        <w:t>Fossati</w:t>
      </w:r>
      <w:proofErr w:type="spellEnd"/>
      <w:r>
        <w:t xml:space="preserve">, A., Raine, A., </w:t>
      </w:r>
      <w:proofErr w:type="spellStart"/>
      <w:r>
        <w:t>Carretta</w:t>
      </w:r>
      <w:proofErr w:type="spellEnd"/>
      <w:r>
        <w:t xml:space="preserve">, I., Leonardi, B., &amp; Maffei, C. (2003). The three-factor model of schizotypal personality: Invariance across age and gender. </w:t>
      </w:r>
      <w:r w:rsidRPr="00711EF5">
        <w:rPr>
          <w:i/>
        </w:rPr>
        <w:t xml:space="preserve">Personality and </w:t>
      </w:r>
      <w:r w:rsidRPr="00711EF5">
        <w:rPr>
          <w:i/>
          <w:color w:val="000000" w:themeColor="text1"/>
        </w:rPr>
        <w:t>Individual Differences</w:t>
      </w:r>
      <w:r w:rsidRPr="00BB0831">
        <w:rPr>
          <w:iCs/>
          <w:color w:val="000000" w:themeColor="text1"/>
        </w:rPr>
        <w:t xml:space="preserve">, </w:t>
      </w:r>
      <w:r w:rsidRPr="00E06A46">
        <w:rPr>
          <w:i/>
          <w:color w:val="000000" w:themeColor="text1"/>
        </w:rPr>
        <w:t>35</w:t>
      </w:r>
      <w:r w:rsidRPr="00550099">
        <w:rPr>
          <w:color w:val="000000" w:themeColor="text1"/>
        </w:rPr>
        <w:t xml:space="preserve">, 1007-1019. </w:t>
      </w:r>
      <w:proofErr w:type="spellStart"/>
      <w:r w:rsidRPr="00550099">
        <w:rPr>
          <w:color w:val="000000" w:themeColor="text1"/>
        </w:rPr>
        <w:t>doi</w:t>
      </w:r>
      <w:proofErr w:type="spellEnd"/>
      <w:r w:rsidRPr="00550099">
        <w:rPr>
          <w:color w:val="000000" w:themeColor="text1"/>
        </w:rPr>
        <w:t>:</w:t>
      </w:r>
      <w:r w:rsidRPr="00550099">
        <w:rPr>
          <w:color w:val="000000" w:themeColor="text1"/>
          <w:lang w:val="en"/>
        </w:rPr>
        <w:t>10.1016/S0191-8869(02)00314-8</w:t>
      </w:r>
    </w:p>
    <w:p w14:paraId="17C3766B" w14:textId="77777777" w:rsidR="00BB0831" w:rsidRDefault="00BB0831" w:rsidP="00BB0831">
      <w:pPr>
        <w:spacing w:line="480" w:lineRule="auto"/>
        <w:ind w:left="709" w:hanging="709"/>
      </w:pPr>
      <w:r w:rsidRPr="00A9625F">
        <w:t xml:space="preserve">Grant, P., Green, M. J., &amp; Mason, O. (2018). Models of </w:t>
      </w:r>
      <w:proofErr w:type="spellStart"/>
      <w:r w:rsidRPr="00A9625F">
        <w:t>schizotypy</w:t>
      </w:r>
      <w:proofErr w:type="spellEnd"/>
      <w:r w:rsidRPr="00A9625F">
        <w:t xml:space="preserve">: The importance of conceptual clarity. </w:t>
      </w:r>
      <w:r w:rsidRPr="00711EF5">
        <w:rPr>
          <w:i/>
        </w:rPr>
        <w:t>Schizophrenia Bulletin</w:t>
      </w:r>
      <w:r w:rsidRPr="00BB0831">
        <w:rPr>
          <w:iCs/>
        </w:rPr>
        <w:t xml:space="preserve">, </w:t>
      </w:r>
      <w:r w:rsidRPr="00E06A46">
        <w:rPr>
          <w:i/>
        </w:rPr>
        <w:t>44</w:t>
      </w:r>
      <w:r>
        <w:t>, S556-S563</w:t>
      </w:r>
      <w:r w:rsidRPr="00A9625F">
        <w:t>. doi:10.1093/</w:t>
      </w:r>
      <w:proofErr w:type="spellStart"/>
      <w:r w:rsidRPr="00A9625F">
        <w:t>schbul</w:t>
      </w:r>
      <w:proofErr w:type="spellEnd"/>
      <w:r w:rsidRPr="00A9625F">
        <w:t>/sby012</w:t>
      </w:r>
    </w:p>
    <w:p w14:paraId="40A2B71F" w14:textId="77777777" w:rsidR="00BB0831" w:rsidRDefault="00BB0831" w:rsidP="00BB0831">
      <w:pPr>
        <w:spacing w:line="480" w:lineRule="auto"/>
        <w:ind w:left="709" w:hanging="709"/>
      </w:pPr>
      <w:r w:rsidRPr="00550099">
        <w:lastRenderedPageBreak/>
        <w:t xml:space="preserve">Gross, T. R. (2014). Comparing the factor structure of the Wisconsin </w:t>
      </w:r>
      <w:proofErr w:type="spellStart"/>
      <w:r w:rsidRPr="00550099">
        <w:t>Schizotypy</w:t>
      </w:r>
      <w:proofErr w:type="spellEnd"/>
      <w:r w:rsidRPr="00550099">
        <w:t xml:space="preserve"> Scales and the Schizotypal Personality Questionnaire. </w:t>
      </w:r>
      <w:r w:rsidRPr="00711EF5">
        <w:rPr>
          <w:i/>
        </w:rPr>
        <w:t>Personality Disorders</w:t>
      </w:r>
      <w:r w:rsidRPr="00BB0831">
        <w:rPr>
          <w:iCs/>
        </w:rPr>
        <w:t xml:space="preserve">, </w:t>
      </w:r>
      <w:r w:rsidRPr="00E06A46">
        <w:rPr>
          <w:i/>
        </w:rPr>
        <w:t>5</w:t>
      </w:r>
      <w:r w:rsidRPr="00550099">
        <w:t xml:space="preserve">, 397-405. </w:t>
      </w:r>
      <w:r>
        <w:t>doi:</w:t>
      </w:r>
      <w:r w:rsidRPr="00550099">
        <w:t>10.1037/per0000090</w:t>
      </w:r>
    </w:p>
    <w:p w14:paraId="6EA7E4E6" w14:textId="3737C8B2" w:rsidR="00C70171" w:rsidRPr="00036930" w:rsidRDefault="00C70171" w:rsidP="00036930">
      <w:pPr>
        <w:pStyle w:val="EndNoteBibliography"/>
        <w:spacing w:after="0" w:line="480" w:lineRule="auto"/>
        <w:ind w:left="720" w:hanging="720"/>
        <w:rPr>
          <w:rFonts w:ascii="Times New Roman" w:hAnsi="Times New Roman"/>
          <w:sz w:val="24"/>
          <w:szCs w:val="24"/>
        </w:rPr>
      </w:pPr>
      <w:r w:rsidRPr="00036930">
        <w:rPr>
          <w:rFonts w:ascii="Times New Roman" w:hAnsi="Times New Roman"/>
          <w:sz w:val="24"/>
          <w:szCs w:val="24"/>
        </w:rPr>
        <w:t>Hu, L.T.,</w:t>
      </w:r>
      <w:r w:rsidR="00BB0831">
        <w:rPr>
          <w:rFonts w:ascii="Times New Roman" w:hAnsi="Times New Roman"/>
          <w:sz w:val="24"/>
          <w:szCs w:val="24"/>
        </w:rPr>
        <w:t xml:space="preserve"> &amp;</w:t>
      </w:r>
      <w:r w:rsidRPr="00036930">
        <w:rPr>
          <w:rFonts w:ascii="Times New Roman" w:hAnsi="Times New Roman"/>
          <w:sz w:val="24"/>
          <w:szCs w:val="24"/>
        </w:rPr>
        <w:t xml:space="preserve"> Bentler, P.M. </w:t>
      </w:r>
      <w:r w:rsidR="00BB0831">
        <w:rPr>
          <w:rFonts w:ascii="Times New Roman" w:hAnsi="Times New Roman"/>
          <w:sz w:val="24"/>
          <w:szCs w:val="24"/>
        </w:rPr>
        <w:t>(</w:t>
      </w:r>
      <w:r w:rsidRPr="00036930">
        <w:rPr>
          <w:rFonts w:ascii="Times New Roman" w:hAnsi="Times New Roman"/>
          <w:sz w:val="24"/>
          <w:szCs w:val="24"/>
        </w:rPr>
        <w:t>1999</w:t>
      </w:r>
      <w:r w:rsidR="00BB0831">
        <w:rPr>
          <w:rFonts w:ascii="Times New Roman" w:hAnsi="Times New Roman"/>
          <w:sz w:val="24"/>
          <w:szCs w:val="24"/>
        </w:rPr>
        <w:t>)</w:t>
      </w:r>
      <w:r w:rsidRPr="00036930">
        <w:rPr>
          <w:rFonts w:ascii="Times New Roman" w:hAnsi="Times New Roman"/>
          <w:sz w:val="24"/>
          <w:szCs w:val="24"/>
        </w:rPr>
        <w:t xml:space="preserve">. Cutoff criteria for fit indexes in covariance structure analysis: Conventional criteria versus new alternatives. </w:t>
      </w:r>
      <w:r w:rsidR="00BB0831" w:rsidRPr="00711EF5">
        <w:rPr>
          <w:rFonts w:ascii="Times New Roman" w:hAnsi="Times New Roman"/>
          <w:i/>
          <w:iCs/>
          <w:sz w:val="24"/>
          <w:szCs w:val="24"/>
        </w:rPr>
        <w:t>Structural Equation Modeling</w:t>
      </w:r>
      <w:r w:rsidR="00BB0831">
        <w:rPr>
          <w:rFonts w:ascii="Times New Roman" w:hAnsi="Times New Roman"/>
          <w:sz w:val="24"/>
          <w:szCs w:val="24"/>
        </w:rPr>
        <w:t>,</w:t>
      </w:r>
      <w:r w:rsidRPr="00036930">
        <w:rPr>
          <w:rFonts w:ascii="Times New Roman" w:hAnsi="Times New Roman"/>
          <w:sz w:val="24"/>
          <w:szCs w:val="24"/>
        </w:rPr>
        <w:t xml:space="preserve"> </w:t>
      </w:r>
      <w:r w:rsidRPr="00E06A46">
        <w:rPr>
          <w:rFonts w:ascii="Times New Roman" w:hAnsi="Times New Roman"/>
          <w:i/>
          <w:iCs/>
          <w:sz w:val="24"/>
          <w:szCs w:val="24"/>
        </w:rPr>
        <w:t>6</w:t>
      </w:r>
      <w:r w:rsidRPr="00036930">
        <w:rPr>
          <w:rFonts w:ascii="Times New Roman" w:hAnsi="Times New Roman"/>
          <w:sz w:val="24"/>
          <w:szCs w:val="24"/>
        </w:rPr>
        <w:t>, 1-55. https://doi.org</w:t>
      </w:r>
      <w:r w:rsidRPr="00036930">
        <w:rPr>
          <w:rFonts w:ascii="Times New Roman" w:hAnsi="Times New Roman"/>
          <w:sz w:val="24"/>
          <w:szCs w:val="24"/>
          <w:lang w:val="de-DE"/>
        </w:rPr>
        <w:t>/</w:t>
      </w:r>
      <w:r w:rsidRPr="00036930">
        <w:rPr>
          <w:rFonts w:ascii="Times New Roman" w:hAnsi="Times New Roman"/>
          <w:sz w:val="24"/>
          <w:szCs w:val="24"/>
        </w:rPr>
        <w:t>10.1080/10705519909540118</w:t>
      </w:r>
    </w:p>
    <w:p w14:paraId="2DE9E7F0" w14:textId="77777777" w:rsidR="00BB0831" w:rsidRPr="007B479A" w:rsidRDefault="00BB0831" w:rsidP="00BB0831">
      <w:pPr>
        <w:spacing w:line="480" w:lineRule="auto"/>
        <w:ind w:left="709" w:hanging="709"/>
      </w:pPr>
      <w:proofErr w:type="spellStart"/>
      <w:r>
        <w:t>Ichim</w:t>
      </w:r>
      <w:proofErr w:type="spellEnd"/>
      <w:r>
        <w:t xml:space="preserve">, L., Vlaicu, M., </w:t>
      </w:r>
      <w:proofErr w:type="spellStart"/>
      <w:r>
        <w:t>Draxineanu</w:t>
      </w:r>
      <w:proofErr w:type="spellEnd"/>
      <w:r>
        <w:t xml:space="preserve">, A., &amp; </w:t>
      </w:r>
      <w:proofErr w:type="spellStart"/>
      <w:r>
        <w:t>Alexandru</w:t>
      </w:r>
      <w:proofErr w:type="spellEnd"/>
      <w:r>
        <w:t xml:space="preserve">, C. (2016). </w:t>
      </w:r>
      <w:proofErr w:type="spellStart"/>
      <w:r w:rsidRPr="00711EF5">
        <w:rPr>
          <w:i/>
        </w:rPr>
        <w:t>Populatia</w:t>
      </w:r>
      <w:proofErr w:type="spellEnd"/>
      <w:r w:rsidRPr="00711EF5">
        <w:rPr>
          <w:i/>
        </w:rPr>
        <w:t xml:space="preserve">, </w:t>
      </w:r>
      <w:proofErr w:type="spellStart"/>
      <w:r w:rsidRPr="00711EF5">
        <w:rPr>
          <w:i/>
        </w:rPr>
        <w:t>României</w:t>
      </w:r>
      <w:proofErr w:type="spellEnd"/>
      <w:r w:rsidRPr="00711EF5">
        <w:rPr>
          <w:i/>
        </w:rPr>
        <w:t xml:space="preserve"> pe </w:t>
      </w:r>
      <w:proofErr w:type="spellStart"/>
      <w:r w:rsidRPr="00711EF5">
        <w:rPr>
          <w:i/>
        </w:rPr>
        <w:t>localitâti</w:t>
      </w:r>
      <w:proofErr w:type="spellEnd"/>
      <w:r w:rsidRPr="00711EF5">
        <w:rPr>
          <w:i/>
        </w:rPr>
        <w:t>.</w:t>
      </w:r>
      <w:r>
        <w:t xml:space="preserve"> Bucharest: National Institute of Statistics. </w:t>
      </w:r>
    </w:p>
    <w:p w14:paraId="0173B570" w14:textId="77777777" w:rsidR="00BB0831" w:rsidRPr="00A9625F" w:rsidRDefault="00BB0831" w:rsidP="00BB0831">
      <w:pPr>
        <w:pStyle w:val="EndNoteBibliography"/>
        <w:spacing w:after="0" w:line="480" w:lineRule="auto"/>
        <w:ind w:left="720" w:hanging="720"/>
        <w:rPr>
          <w:rFonts w:ascii="Times New Roman" w:hAnsi="Times New Roman"/>
          <w:sz w:val="24"/>
          <w:szCs w:val="24"/>
        </w:rPr>
      </w:pPr>
      <w:r w:rsidRPr="00A9625F">
        <w:rPr>
          <w:rFonts w:ascii="Times New Roman" w:hAnsi="Times New Roman"/>
          <w:sz w:val="24"/>
          <w:szCs w:val="24"/>
        </w:rPr>
        <w:t xml:space="preserve">Kwapil, T. R., &amp; Barrantes-Vidal, N. (2015). Schizotypy: looking back and moving forward. </w:t>
      </w:r>
      <w:r w:rsidRPr="00711EF5">
        <w:rPr>
          <w:rFonts w:ascii="Times New Roman" w:hAnsi="Times New Roman"/>
          <w:i/>
          <w:sz w:val="24"/>
          <w:szCs w:val="24"/>
        </w:rPr>
        <w:t>Schizophrenia Bulletin</w:t>
      </w:r>
      <w:r w:rsidRPr="00020864">
        <w:rPr>
          <w:rFonts w:ascii="Times New Roman" w:hAnsi="Times New Roman"/>
          <w:iCs/>
          <w:sz w:val="24"/>
          <w:szCs w:val="24"/>
        </w:rPr>
        <w:t xml:space="preserve">, </w:t>
      </w:r>
      <w:r w:rsidRPr="00E06A46">
        <w:rPr>
          <w:rFonts w:ascii="Times New Roman" w:hAnsi="Times New Roman"/>
          <w:i/>
          <w:sz w:val="24"/>
          <w:szCs w:val="24"/>
        </w:rPr>
        <w:t>41</w:t>
      </w:r>
      <w:r w:rsidRPr="00A9625F">
        <w:rPr>
          <w:rFonts w:ascii="Times New Roman" w:hAnsi="Times New Roman"/>
          <w:sz w:val="24"/>
          <w:szCs w:val="24"/>
        </w:rPr>
        <w:t>, S366-373. doi:10.1093/schbul.sbu186</w:t>
      </w:r>
    </w:p>
    <w:p w14:paraId="3C62BED4" w14:textId="77777777" w:rsidR="003930E6" w:rsidRDefault="00BB0831" w:rsidP="00BB0831">
      <w:pPr>
        <w:pStyle w:val="EndNoteBibliography"/>
        <w:spacing w:after="0" w:line="480" w:lineRule="auto"/>
        <w:ind w:left="720" w:hanging="720"/>
        <w:rPr>
          <w:rFonts w:ascii="Times New Roman" w:hAnsi="Times New Roman"/>
          <w:sz w:val="24"/>
          <w:szCs w:val="24"/>
        </w:rPr>
      </w:pPr>
      <w:r w:rsidRPr="00A9625F">
        <w:rPr>
          <w:rFonts w:ascii="Times New Roman" w:hAnsi="Times New Roman"/>
          <w:sz w:val="24"/>
          <w:szCs w:val="24"/>
        </w:rPr>
        <w:t xml:space="preserve">Kwapil, T. R., &amp; Chun, C. A. (2015). The psychometric assessment of schizotypy. In O. Mason &amp; G. Claridge (Eds.), </w:t>
      </w:r>
      <w:r w:rsidRPr="00711EF5">
        <w:rPr>
          <w:rFonts w:ascii="Times New Roman" w:hAnsi="Times New Roman"/>
          <w:i/>
          <w:sz w:val="24"/>
          <w:szCs w:val="24"/>
        </w:rPr>
        <w:t>Schizotypy: New dimensions</w:t>
      </w:r>
      <w:r w:rsidRPr="00A9625F">
        <w:rPr>
          <w:rFonts w:ascii="Times New Roman" w:hAnsi="Times New Roman"/>
          <w:i/>
          <w:sz w:val="24"/>
          <w:szCs w:val="24"/>
        </w:rPr>
        <w:t xml:space="preserve"> </w:t>
      </w:r>
      <w:r w:rsidRPr="00A9625F">
        <w:rPr>
          <w:rFonts w:ascii="Times New Roman" w:hAnsi="Times New Roman"/>
          <w:sz w:val="24"/>
          <w:szCs w:val="24"/>
        </w:rPr>
        <w:t xml:space="preserve">(pp. 180-196). London: Routledge. </w:t>
      </w:r>
    </w:p>
    <w:p w14:paraId="49E76DA8" w14:textId="6A95C69D" w:rsidR="00CE59FD" w:rsidRPr="00036930" w:rsidRDefault="003930E6" w:rsidP="00F8124C">
      <w:pPr>
        <w:pStyle w:val="EndNoteBibliography"/>
        <w:spacing w:line="480" w:lineRule="auto"/>
        <w:ind w:left="720" w:hanging="720"/>
        <w:rPr>
          <w:rFonts w:ascii="Times New Roman" w:hAnsi="Times New Roman"/>
          <w:sz w:val="24"/>
          <w:szCs w:val="24"/>
        </w:rPr>
      </w:pPr>
      <w:r w:rsidRPr="003930E6">
        <w:rPr>
          <w:rFonts w:ascii="Times New Roman" w:hAnsi="Times New Roman"/>
          <w:sz w:val="24"/>
          <w:szCs w:val="24"/>
        </w:rPr>
        <w:t>Kwapil, T.R., Gross, G.M., Silvia, P.J., Raulin, M.L., &amp; Barrantes-Vidal, N. (2018). Development and</w:t>
      </w:r>
      <w:r>
        <w:rPr>
          <w:rFonts w:ascii="Times New Roman" w:hAnsi="Times New Roman"/>
          <w:sz w:val="24"/>
          <w:szCs w:val="24"/>
        </w:rPr>
        <w:t xml:space="preserve"> </w:t>
      </w:r>
      <w:r w:rsidRPr="003930E6">
        <w:rPr>
          <w:rFonts w:ascii="Times New Roman" w:hAnsi="Times New Roman"/>
          <w:sz w:val="24"/>
          <w:szCs w:val="24"/>
        </w:rPr>
        <w:t>psychometric properties of the multidimensional schizotypy scale: A new measure for assessing</w:t>
      </w:r>
      <w:r>
        <w:rPr>
          <w:rFonts w:ascii="Times New Roman" w:hAnsi="Times New Roman"/>
          <w:sz w:val="24"/>
          <w:szCs w:val="24"/>
        </w:rPr>
        <w:t xml:space="preserve"> </w:t>
      </w:r>
      <w:r w:rsidRPr="003930E6">
        <w:rPr>
          <w:rFonts w:ascii="Times New Roman" w:hAnsi="Times New Roman"/>
          <w:sz w:val="24"/>
          <w:szCs w:val="24"/>
        </w:rPr>
        <w:t xml:space="preserve">positive, negative, and disorganized schizotypy. </w:t>
      </w:r>
      <w:r w:rsidRPr="00F8124C">
        <w:rPr>
          <w:rFonts w:ascii="Times New Roman" w:hAnsi="Times New Roman"/>
          <w:i/>
          <w:iCs/>
          <w:sz w:val="24"/>
          <w:szCs w:val="24"/>
        </w:rPr>
        <w:t>Schizophrenia Research</w:t>
      </w:r>
      <w:r w:rsidRPr="003930E6">
        <w:rPr>
          <w:rFonts w:ascii="Times New Roman" w:hAnsi="Times New Roman"/>
          <w:sz w:val="24"/>
          <w:szCs w:val="24"/>
        </w:rPr>
        <w:t xml:space="preserve">, </w:t>
      </w:r>
      <w:r w:rsidRPr="00F8124C">
        <w:rPr>
          <w:rFonts w:ascii="Times New Roman" w:hAnsi="Times New Roman"/>
          <w:i/>
          <w:iCs/>
          <w:sz w:val="24"/>
          <w:szCs w:val="24"/>
        </w:rPr>
        <w:t>193</w:t>
      </w:r>
      <w:r w:rsidRPr="003930E6">
        <w:rPr>
          <w:rFonts w:ascii="Times New Roman" w:hAnsi="Times New Roman"/>
          <w:sz w:val="24"/>
          <w:szCs w:val="24"/>
        </w:rPr>
        <w:t>, 209-217.</w:t>
      </w:r>
      <w:r w:rsidR="0011208B" w:rsidRPr="00036930">
        <w:rPr>
          <w:rFonts w:ascii="Times New Roman" w:hAnsi="Times New Roman"/>
          <w:sz w:val="24"/>
          <w:szCs w:val="24"/>
        </w:rPr>
        <w:t xml:space="preserve"> </w:t>
      </w:r>
    </w:p>
    <w:p w14:paraId="73CC48B7" w14:textId="77777777" w:rsidR="00020864" w:rsidRDefault="00020864" w:rsidP="00020864">
      <w:pPr>
        <w:spacing w:line="480" w:lineRule="auto"/>
        <w:ind w:left="567" w:hanging="567"/>
      </w:pPr>
      <w:proofErr w:type="spellStart"/>
      <w:r w:rsidRPr="007A49E1">
        <w:t>Lambru</w:t>
      </w:r>
      <w:proofErr w:type="spellEnd"/>
      <w:r w:rsidRPr="007A49E1">
        <w:t xml:space="preserve">, I., </w:t>
      </w:r>
      <w:proofErr w:type="spellStart"/>
      <w:r w:rsidRPr="007A49E1">
        <w:t>Butucescu</w:t>
      </w:r>
      <w:proofErr w:type="spellEnd"/>
      <w:r w:rsidRPr="007A49E1">
        <w:t xml:space="preserve">, A., </w:t>
      </w:r>
      <w:proofErr w:type="spellStart"/>
      <w:r w:rsidRPr="007A49E1">
        <w:t>Uscātescu</w:t>
      </w:r>
      <w:proofErr w:type="spellEnd"/>
      <w:r w:rsidRPr="007A49E1">
        <w:t xml:space="preserve">, L., Constantinescu, P.-M., Sandu, G., &amp; Stevens, M. J. (2012). Romanian adaptation of the Satisfaction </w:t>
      </w:r>
      <w:r>
        <w:t>w</w:t>
      </w:r>
      <w:r w:rsidRPr="007A49E1">
        <w:t xml:space="preserve">ith Life Scale. </w:t>
      </w:r>
      <w:r w:rsidRPr="00711EF5">
        <w:rPr>
          <w:i/>
        </w:rPr>
        <w:t>Journal of Psychological and Educational Research</w:t>
      </w:r>
      <w:r w:rsidRPr="00020864">
        <w:rPr>
          <w:iCs/>
        </w:rPr>
        <w:t xml:space="preserve">, </w:t>
      </w:r>
      <w:r w:rsidRPr="00E06A46">
        <w:rPr>
          <w:i/>
        </w:rPr>
        <w:t>1</w:t>
      </w:r>
      <w:r w:rsidRPr="00020864">
        <w:rPr>
          <w:iCs/>
        </w:rPr>
        <w:t>,</w:t>
      </w:r>
      <w:r w:rsidRPr="007A49E1">
        <w:t xml:space="preserve"> 17-33. </w:t>
      </w:r>
    </w:p>
    <w:p w14:paraId="7F0E8A7D" w14:textId="77777777" w:rsidR="00020864" w:rsidRDefault="00020864" w:rsidP="00020864">
      <w:pPr>
        <w:pStyle w:val="EndNoteBibliography"/>
        <w:spacing w:after="0" w:line="480" w:lineRule="auto"/>
        <w:ind w:left="720" w:hanging="720"/>
        <w:rPr>
          <w:rFonts w:ascii="Times New Roman" w:hAnsi="Times New Roman"/>
          <w:color w:val="000000" w:themeColor="text1"/>
          <w:sz w:val="24"/>
          <w:szCs w:val="24"/>
        </w:rPr>
      </w:pPr>
      <w:r w:rsidRPr="00A9625F">
        <w:rPr>
          <w:rFonts w:ascii="Times New Roman" w:hAnsi="Times New Roman"/>
          <w:sz w:val="24"/>
          <w:szCs w:val="24"/>
        </w:rPr>
        <w:t xml:space="preserve">Lenzenweger, M. F. (2011). </w:t>
      </w:r>
      <w:r w:rsidRPr="00711EF5">
        <w:rPr>
          <w:rFonts w:ascii="Times New Roman" w:hAnsi="Times New Roman"/>
          <w:i/>
          <w:sz w:val="24"/>
          <w:szCs w:val="24"/>
        </w:rPr>
        <w:t xml:space="preserve">Schizotypy and schizophrenia: The view from experimental </w:t>
      </w:r>
      <w:r w:rsidRPr="00711EF5">
        <w:rPr>
          <w:rFonts w:ascii="Times New Roman" w:hAnsi="Times New Roman"/>
          <w:i/>
          <w:color w:val="000000" w:themeColor="text1"/>
          <w:sz w:val="24"/>
          <w:szCs w:val="24"/>
        </w:rPr>
        <w:t>psychopathology</w:t>
      </w:r>
      <w:r w:rsidRPr="00A9625F">
        <w:rPr>
          <w:rFonts w:ascii="Times New Roman" w:hAnsi="Times New Roman"/>
          <w:color w:val="000000" w:themeColor="text1"/>
          <w:sz w:val="24"/>
          <w:szCs w:val="24"/>
        </w:rPr>
        <w:t>. New York, NY: Guilford.</w:t>
      </w:r>
    </w:p>
    <w:p w14:paraId="6BE3E0E8" w14:textId="77777777" w:rsidR="00020864" w:rsidRPr="00BB3317" w:rsidRDefault="00020864" w:rsidP="00020864">
      <w:pPr>
        <w:pStyle w:val="EndNoteBibliography"/>
        <w:spacing w:after="0" w:line="480" w:lineRule="auto"/>
        <w:ind w:left="720" w:hanging="720"/>
        <w:rPr>
          <w:rFonts w:ascii="Times New Roman" w:hAnsi="Times New Roman"/>
          <w:color w:val="000000" w:themeColor="text1"/>
          <w:sz w:val="28"/>
          <w:szCs w:val="24"/>
        </w:rPr>
      </w:pPr>
      <w:r w:rsidRPr="00BB3317">
        <w:rPr>
          <w:rFonts w:ascii="Times New Roman" w:hAnsi="Times New Roman"/>
          <w:sz w:val="24"/>
        </w:rPr>
        <w:t xml:space="preserve">Little, R. J. A. (1988). A test of missing completely at random for multivariate data with missing values. </w:t>
      </w:r>
      <w:r w:rsidRPr="00711EF5">
        <w:rPr>
          <w:rFonts w:ascii="Times New Roman" w:hAnsi="Times New Roman"/>
          <w:i/>
          <w:sz w:val="24"/>
        </w:rPr>
        <w:t>Journal of the American Statistical Association</w:t>
      </w:r>
      <w:r w:rsidRPr="00020864">
        <w:rPr>
          <w:rFonts w:ascii="Times New Roman" w:hAnsi="Times New Roman"/>
          <w:iCs/>
          <w:sz w:val="24"/>
        </w:rPr>
        <w:t xml:space="preserve">, </w:t>
      </w:r>
      <w:r w:rsidRPr="00E06A46">
        <w:rPr>
          <w:rFonts w:ascii="Times New Roman" w:hAnsi="Times New Roman"/>
          <w:i/>
          <w:sz w:val="24"/>
        </w:rPr>
        <w:t>83</w:t>
      </w:r>
      <w:r w:rsidRPr="00BB3317">
        <w:rPr>
          <w:rFonts w:ascii="Times New Roman" w:hAnsi="Times New Roman"/>
          <w:sz w:val="24"/>
        </w:rPr>
        <w:t>, 1198</w:t>
      </w:r>
      <w:r>
        <w:rPr>
          <w:rFonts w:ascii="Times New Roman" w:hAnsi="Times New Roman"/>
          <w:sz w:val="24"/>
        </w:rPr>
        <w:t>-</w:t>
      </w:r>
      <w:r w:rsidRPr="00BB3317">
        <w:rPr>
          <w:rFonts w:ascii="Times New Roman" w:hAnsi="Times New Roman"/>
          <w:sz w:val="24"/>
        </w:rPr>
        <w:t>1202.</w:t>
      </w:r>
    </w:p>
    <w:p w14:paraId="20381C18" w14:textId="289AEC00" w:rsidR="00020864" w:rsidRDefault="00020864" w:rsidP="00020864">
      <w:pPr>
        <w:pStyle w:val="EndNoteBibliography"/>
        <w:spacing w:after="0" w:line="480" w:lineRule="auto"/>
        <w:ind w:left="720" w:hanging="720"/>
        <w:rPr>
          <w:rFonts w:ascii="Times New Roman" w:hAnsi="Times New Roman"/>
          <w:color w:val="000000" w:themeColor="text1"/>
          <w:sz w:val="24"/>
          <w:szCs w:val="24"/>
        </w:rPr>
      </w:pPr>
      <w:r w:rsidRPr="00A9625F">
        <w:rPr>
          <w:rFonts w:ascii="Times New Roman" w:hAnsi="Times New Roman"/>
          <w:color w:val="000000" w:themeColor="text1"/>
          <w:sz w:val="24"/>
          <w:szCs w:val="24"/>
        </w:rPr>
        <w:lastRenderedPageBreak/>
        <w:t xml:space="preserve">Mason, O. (2015). The assessment of schizotypy and its clinical relevance. </w:t>
      </w:r>
      <w:r w:rsidRPr="00711EF5">
        <w:rPr>
          <w:rFonts w:ascii="Times New Roman" w:hAnsi="Times New Roman"/>
          <w:i/>
          <w:color w:val="000000" w:themeColor="text1"/>
          <w:sz w:val="24"/>
          <w:szCs w:val="24"/>
        </w:rPr>
        <w:t>Schizophrenia Bulletin</w:t>
      </w:r>
      <w:r w:rsidRPr="00E06A46">
        <w:rPr>
          <w:rFonts w:ascii="Times New Roman" w:hAnsi="Times New Roman"/>
          <w:iCs/>
          <w:color w:val="000000" w:themeColor="text1"/>
          <w:sz w:val="24"/>
          <w:szCs w:val="24"/>
        </w:rPr>
        <w:t>,</w:t>
      </w:r>
      <w:r w:rsidRPr="00020864">
        <w:rPr>
          <w:rFonts w:ascii="Times New Roman" w:hAnsi="Times New Roman"/>
          <w:iCs/>
          <w:color w:val="000000" w:themeColor="text1"/>
          <w:sz w:val="24"/>
          <w:szCs w:val="24"/>
        </w:rPr>
        <w:t xml:space="preserve"> </w:t>
      </w:r>
      <w:r w:rsidRPr="00E06A46">
        <w:rPr>
          <w:rFonts w:ascii="Times New Roman" w:hAnsi="Times New Roman"/>
          <w:i/>
          <w:color w:val="000000" w:themeColor="text1"/>
          <w:sz w:val="24"/>
          <w:szCs w:val="24"/>
        </w:rPr>
        <w:t>41</w:t>
      </w:r>
      <w:r w:rsidRPr="00A9625F">
        <w:rPr>
          <w:rFonts w:ascii="Times New Roman" w:hAnsi="Times New Roman"/>
          <w:color w:val="000000" w:themeColor="text1"/>
          <w:sz w:val="24"/>
          <w:szCs w:val="24"/>
        </w:rPr>
        <w:t>, S374-385. doi:10.1093/schbul.sbu194</w:t>
      </w:r>
    </w:p>
    <w:p w14:paraId="2CFE6A01" w14:textId="77777777" w:rsidR="003E5F4F" w:rsidRPr="00586FD0" w:rsidRDefault="003E5F4F" w:rsidP="003E5F4F">
      <w:pPr>
        <w:pStyle w:val="EndNoteBibliography"/>
        <w:spacing w:line="360" w:lineRule="auto"/>
        <w:ind w:left="720" w:hanging="720"/>
        <w:rPr>
          <w:rFonts w:ascii="Times New Roman" w:hAnsi="Times New Roman"/>
          <w:sz w:val="24"/>
          <w:szCs w:val="24"/>
        </w:rPr>
      </w:pPr>
      <w:r w:rsidRPr="00586FD0">
        <w:rPr>
          <w:rFonts w:ascii="Times New Roman" w:hAnsi="Times New Roman"/>
          <w:sz w:val="24"/>
          <w:szCs w:val="24"/>
        </w:rPr>
        <w:t xml:space="preserve">Mason, O., Claridge, G., &amp; Jackson, M. (1995). New scales for the assessment of schizotypy. </w:t>
      </w:r>
      <w:r w:rsidRPr="00586FD0">
        <w:rPr>
          <w:rFonts w:ascii="Times New Roman" w:hAnsi="Times New Roman"/>
          <w:i/>
          <w:sz w:val="24"/>
          <w:szCs w:val="24"/>
        </w:rPr>
        <w:t>Personality and Individual Differences, 18</w:t>
      </w:r>
      <w:r w:rsidRPr="00586FD0">
        <w:rPr>
          <w:rFonts w:ascii="Times New Roman" w:hAnsi="Times New Roman"/>
          <w:sz w:val="24"/>
          <w:szCs w:val="24"/>
        </w:rPr>
        <w:t xml:space="preserve">(1), 7-13. </w:t>
      </w:r>
    </w:p>
    <w:p w14:paraId="1AEA93E5" w14:textId="3272FB2E" w:rsidR="00C70171" w:rsidRPr="00036930" w:rsidRDefault="00C70171" w:rsidP="00036930">
      <w:pPr>
        <w:spacing w:line="480" w:lineRule="auto"/>
        <w:ind w:left="567" w:hanging="567"/>
        <w:rPr>
          <w:color w:val="000000" w:themeColor="text1"/>
        </w:rPr>
      </w:pPr>
      <w:r w:rsidRPr="00036930">
        <w:rPr>
          <w:color w:val="000000" w:themeColor="text1"/>
        </w:rPr>
        <w:t>Meade, A.W., Johnson, E.C.,</w:t>
      </w:r>
      <w:r w:rsidR="00020864">
        <w:rPr>
          <w:color w:val="000000" w:themeColor="text1"/>
        </w:rPr>
        <w:t xml:space="preserve"> &amp;</w:t>
      </w:r>
      <w:r w:rsidRPr="00036930">
        <w:rPr>
          <w:color w:val="000000" w:themeColor="text1"/>
        </w:rPr>
        <w:t xml:space="preserve"> </w:t>
      </w:r>
      <w:proofErr w:type="spellStart"/>
      <w:r w:rsidRPr="00036930">
        <w:rPr>
          <w:color w:val="000000" w:themeColor="text1"/>
        </w:rPr>
        <w:t>Braddy</w:t>
      </w:r>
      <w:proofErr w:type="spellEnd"/>
      <w:r w:rsidRPr="00036930">
        <w:rPr>
          <w:color w:val="000000" w:themeColor="text1"/>
        </w:rPr>
        <w:t xml:space="preserve">, P.W. </w:t>
      </w:r>
      <w:r w:rsidR="00020864">
        <w:rPr>
          <w:color w:val="000000" w:themeColor="text1"/>
        </w:rPr>
        <w:t>(</w:t>
      </w:r>
      <w:r w:rsidRPr="00036930">
        <w:rPr>
          <w:color w:val="000000" w:themeColor="text1"/>
        </w:rPr>
        <w:t>2008</w:t>
      </w:r>
      <w:r w:rsidR="00020864">
        <w:rPr>
          <w:color w:val="000000" w:themeColor="text1"/>
        </w:rPr>
        <w:t>)</w:t>
      </w:r>
      <w:r w:rsidRPr="00036930">
        <w:rPr>
          <w:color w:val="000000" w:themeColor="text1"/>
        </w:rPr>
        <w:t>. Power and sensitivity of alternative fit indices in tests of measurement invariance.</w:t>
      </w:r>
      <w:r w:rsidRPr="00036930">
        <w:rPr>
          <w:rStyle w:val="apple-converted-space"/>
          <w:color w:val="000000" w:themeColor="text1"/>
        </w:rPr>
        <w:t> </w:t>
      </w:r>
      <w:r w:rsidRPr="00711EF5">
        <w:rPr>
          <w:rStyle w:val="source"/>
          <w:i/>
          <w:iCs/>
          <w:color w:val="000000" w:themeColor="text1"/>
        </w:rPr>
        <w:t>J</w:t>
      </w:r>
      <w:r w:rsidR="00020864" w:rsidRPr="00711EF5">
        <w:rPr>
          <w:rStyle w:val="source"/>
          <w:i/>
          <w:iCs/>
          <w:color w:val="000000" w:themeColor="text1"/>
        </w:rPr>
        <w:t>ournal of</w:t>
      </w:r>
      <w:r w:rsidRPr="00711EF5">
        <w:rPr>
          <w:rStyle w:val="source"/>
          <w:i/>
          <w:iCs/>
          <w:color w:val="000000" w:themeColor="text1"/>
        </w:rPr>
        <w:t xml:space="preserve"> Appl</w:t>
      </w:r>
      <w:r w:rsidR="00020864" w:rsidRPr="00711EF5">
        <w:rPr>
          <w:rStyle w:val="source"/>
          <w:i/>
          <w:iCs/>
          <w:color w:val="000000" w:themeColor="text1"/>
        </w:rPr>
        <w:t>ied</w:t>
      </w:r>
      <w:r w:rsidRPr="00711EF5">
        <w:rPr>
          <w:rStyle w:val="source"/>
          <w:i/>
          <w:iCs/>
          <w:color w:val="000000" w:themeColor="text1"/>
        </w:rPr>
        <w:t xml:space="preserve"> Psychol</w:t>
      </w:r>
      <w:r w:rsidR="00020864" w:rsidRPr="00711EF5">
        <w:rPr>
          <w:rStyle w:val="source"/>
          <w:i/>
          <w:iCs/>
          <w:color w:val="000000" w:themeColor="text1"/>
        </w:rPr>
        <w:t>ogy</w:t>
      </w:r>
      <w:r w:rsidR="00E06A46">
        <w:rPr>
          <w:rStyle w:val="source"/>
          <w:color w:val="000000" w:themeColor="text1"/>
        </w:rPr>
        <w:t>,</w:t>
      </w:r>
      <w:r w:rsidRPr="00036930">
        <w:rPr>
          <w:rStyle w:val="apple-converted-space"/>
          <w:iCs/>
          <w:color w:val="000000" w:themeColor="text1"/>
        </w:rPr>
        <w:t> </w:t>
      </w:r>
      <w:r w:rsidRPr="00E06A46">
        <w:rPr>
          <w:rStyle w:val="vol"/>
          <w:i/>
          <w:color w:val="000000" w:themeColor="text1"/>
        </w:rPr>
        <w:t>93</w:t>
      </w:r>
      <w:r w:rsidRPr="00036930">
        <w:rPr>
          <w:iCs/>
          <w:color w:val="000000" w:themeColor="text1"/>
        </w:rPr>
        <w:t>,</w:t>
      </w:r>
      <w:r w:rsidRPr="00036930">
        <w:rPr>
          <w:color w:val="000000" w:themeColor="text1"/>
        </w:rPr>
        <w:t xml:space="preserve"> 568-592. </w:t>
      </w:r>
      <w:r w:rsidRPr="00036930">
        <w:t>https://</w:t>
      </w:r>
      <w:r w:rsidRPr="00036930">
        <w:rPr>
          <w:color w:val="000000" w:themeColor="text1"/>
        </w:rPr>
        <w:t>doi:10.1037/0021-9010.93.3.568</w:t>
      </w:r>
    </w:p>
    <w:p w14:paraId="16476841" w14:textId="77777777" w:rsidR="00020864" w:rsidRPr="003B6514" w:rsidRDefault="00020864" w:rsidP="00020864">
      <w:pPr>
        <w:pStyle w:val="EndNoteBibliography"/>
        <w:spacing w:after="0" w:line="480" w:lineRule="auto"/>
        <w:ind w:left="720" w:hanging="720"/>
        <w:rPr>
          <w:rFonts w:ascii="Times New Roman" w:hAnsi="Times New Roman"/>
          <w:color w:val="000000" w:themeColor="text1"/>
          <w:sz w:val="24"/>
          <w:szCs w:val="24"/>
        </w:rPr>
      </w:pPr>
      <w:r w:rsidRPr="00A9625F">
        <w:rPr>
          <w:rFonts w:ascii="Times New Roman" w:hAnsi="Times New Roman"/>
          <w:color w:val="000000" w:themeColor="text1"/>
          <w:sz w:val="24"/>
          <w:szCs w:val="24"/>
        </w:rPr>
        <w:t xml:space="preserve">Mechri, A., Gassab, L., Lahmar, A., Smairi, S., Beltaief, F., &amp; Gaha, L. (2010). Psychometric </w:t>
      </w:r>
      <w:r w:rsidRPr="00550099">
        <w:rPr>
          <w:rFonts w:ascii="Times New Roman" w:hAnsi="Times New Roman"/>
          <w:color w:val="000000" w:themeColor="text1"/>
          <w:sz w:val="24"/>
          <w:szCs w:val="24"/>
        </w:rPr>
        <w:t>properties of the Arabic version of the Schizotypal Personality Questionnaire in Tunisian university students</w:t>
      </w:r>
      <w:r w:rsidRPr="00020864">
        <w:rPr>
          <w:rFonts w:ascii="Times New Roman" w:hAnsi="Times New Roman"/>
          <w:color w:val="000000" w:themeColor="text1"/>
          <w:sz w:val="24"/>
          <w:szCs w:val="24"/>
        </w:rPr>
        <w:t xml:space="preserve">. </w:t>
      </w:r>
      <w:r w:rsidRPr="00711EF5">
        <w:rPr>
          <w:rFonts w:ascii="Times New Roman" w:hAnsi="Times New Roman"/>
          <w:i/>
          <w:iCs/>
          <w:color w:val="000000" w:themeColor="text1"/>
          <w:sz w:val="24"/>
          <w:szCs w:val="24"/>
        </w:rPr>
        <w:t>Schizophrenia Research</w:t>
      </w:r>
      <w:r w:rsidRPr="00020864">
        <w:rPr>
          <w:rFonts w:ascii="Times New Roman" w:hAnsi="Times New Roman"/>
          <w:color w:val="000000" w:themeColor="text1"/>
          <w:sz w:val="24"/>
          <w:szCs w:val="24"/>
        </w:rPr>
        <w:t xml:space="preserve">, </w:t>
      </w:r>
      <w:r w:rsidRPr="00E06A46">
        <w:rPr>
          <w:rFonts w:ascii="Times New Roman" w:hAnsi="Times New Roman"/>
          <w:i/>
          <w:iCs/>
          <w:color w:val="000000" w:themeColor="text1"/>
          <w:sz w:val="24"/>
          <w:szCs w:val="24"/>
        </w:rPr>
        <w:t>117</w:t>
      </w:r>
      <w:r w:rsidRPr="00020864">
        <w:rPr>
          <w:rFonts w:ascii="Times New Roman" w:hAnsi="Times New Roman"/>
          <w:color w:val="000000" w:themeColor="text1"/>
          <w:sz w:val="24"/>
          <w:szCs w:val="24"/>
        </w:rPr>
        <w:t>,</w:t>
      </w:r>
      <w:r w:rsidRPr="00550099">
        <w:rPr>
          <w:rFonts w:ascii="Times New Roman" w:hAnsi="Times New Roman"/>
          <w:color w:val="000000" w:themeColor="text1"/>
          <w:sz w:val="24"/>
          <w:szCs w:val="24"/>
        </w:rPr>
        <w:t xml:space="preserve"> 313.</w:t>
      </w:r>
      <w:r>
        <w:rPr>
          <w:rFonts w:ascii="Times New Roman" w:hAnsi="Times New Roman"/>
          <w:color w:val="000000" w:themeColor="text1"/>
          <w:sz w:val="24"/>
          <w:szCs w:val="24"/>
        </w:rPr>
        <w:t xml:space="preserve"> </w:t>
      </w:r>
      <w:r>
        <w:rPr>
          <w:rFonts w:ascii="Times New Roman" w:hAnsi="Times New Roman"/>
          <w:color w:val="000000" w:themeColor="text1"/>
          <w:sz w:val="24"/>
          <w:szCs w:val="24"/>
          <w:lang w:val="en"/>
        </w:rPr>
        <w:t>doi:</w:t>
      </w:r>
      <w:r w:rsidRPr="00550099">
        <w:rPr>
          <w:rFonts w:ascii="Times New Roman" w:hAnsi="Times New Roman"/>
          <w:color w:val="000000" w:themeColor="text1"/>
          <w:sz w:val="24"/>
          <w:szCs w:val="24"/>
          <w:lang w:val="en"/>
        </w:rPr>
        <w:t>10.1016/j.schres.2010.02.527</w:t>
      </w:r>
    </w:p>
    <w:p w14:paraId="4C774FB8" w14:textId="77777777" w:rsidR="00020864" w:rsidRDefault="00020864" w:rsidP="00020864">
      <w:pPr>
        <w:spacing w:line="480" w:lineRule="auto"/>
        <w:ind w:left="709" w:hanging="709"/>
      </w:pPr>
      <w:proofErr w:type="spellStart"/>
      <w:r>
        <w:t>Meehl</w:t>
      </w:r>
      <w:proofErr w:type="spellEnd"/>
      <w:r>
        <w:t xml:space="preserve">, P. E. (1962). </w:t>
      </w:r>
      <w:proofErr w:type="spellStart"/>
      <w:r>
        <w:t>Schizotaxia</w:t>
      </w:r>
      <w:proofErr w:type="spellEnd"/>
      <w:r>
        <w:t xml:space="preserve">, </w:t>
      </w:r>
      <w:proofErr w:type="spellStart"/>
      <w:r>
        <w:t>schizotypy</w:t>
      </w:r>
      <w:proofErr w:type="spellEnd"/>
      <w:r>
        <w:t>, schizophrenia</w:t>
      </w:r>
      <w:r w:rsidRPr="00020864">
        <w:t xml:space="preserve">. </w:t>
      </w:r>
      <w:r w:rsidRPr="00711EF5">
        <w:rPr>
          <w:i/>
          <w:iCs/>
        </w:rPr>
        <w:t>American Psychologist</w:t>
      </w:r>
      <w:r w:rsidRPr="00020864">
        <w:t xml:space="preserve">, </w:t>
      </w:r>
      <w:r w:rsidRPr="00E06A46">
        <w:rPr>
          <w:i/>
          <w:iCs/>
        </w:rPr>
        <w:t>17</w:t>
      </w:r>
      <w:r>
        <w:t xml:space="preserve">, 827-838. </w:t>
      </w:r>
    </w:p>
    <w:p w14:paraId="183A11F9" w14:textId="77777777" w:rsidR="00020864" w:rsidRDefault="00020864" w:rsidP="00020864">
      <w:pPr>
        <w:spacing w:line="480" w:lineRule="auto"/>
        <w:ind w:left="709" w:hanging="709"/>
      </w:pPr>
      <w:proofErr w:type="spellStart"/>
      <w:r w:rsidRPr="009039D8">
        <w:rPr>
          <w:color w:val="000000" w:themeColor="text1"/>
        </w:rPr>
        <w:t>Marcoulides</w:t>
      </w:r>
      <w:proofErr w:type="spellEnd"/>
      <w:r w:rsidRPr="009039D8">
        <w:rPr>
          <w:color w:val="000000" w:themeColor="text1"/>
        </w:rPr>
        <w:t xml:space="preserve">, G. A., &amp; Chin, W. (2013). You write, but others read: Common methodological misunderstandings in PLS and related methods. In H. Abdi, W. Chin, V. E. </w:t>
      </w:r>
      <w:proofErr w:type="spellStart"/>
      <w:r w:rsidRPr="009039D8">
        <w:rPr>
          <w:color w:val="000000" w:themeColor="text1"/>
        </w:rPr>
        <w:t>Vinzi</w:t>
      </w:r>
      <w:proofErr w:type="spellEnd"/>
      <w:r w:rsidRPr="009039D8">
        <w:rPr>
          <w:color w:val="000000" w:themeColor="text1"/>
        </w:rPr>
        <w:t xml:space="preserve">, G. </w:t>
      </w:r>
      <w:proofErr w:type="spellStart"/>
      <w:r w:rsidRPr="009039D8">
        <w:rPr>
          <w:color w:val="000000" w:themeColor="text1"/>
        </w:rPr>
        <w:t>Russolillo</w:t>
      </w:r>
      <w:proofErr w:type="spellEnd"/>
      <w:r w:rsidRPr="009039D8">
        <w:rPr>
          <w:color w:val="000000" w:themeColor="text1"/>
        </w:rPr>
        <w:t xml:space="preserve">, &amp; L. </w:t>
      </w:r>
      <w:proofErr w:type="spellStart"/>
      <w:r w:rsidRPr="009039D8">
        <w:rPr>
          <w:color w:val="000000" w:themeColor="text1"/>
        </w:rPr>
        <w:t>Trinchera</w:t>
      </w:r>
      <w:proofErr w:type="spellEnd"/>
      <w:r w:rsidRPr="009039D8">
        <w:rPr>
          <w:color w:val="000000" w:themeColor="text1"/>
        </w:rPr>
        <w:t xml:space="preserve"> L. (2013). </w:t>
      </w:r>
      <w:r w:rsidRPr="00711EF5">
        <w:rPr>
          <w:i/>
          <w:color w:val="000000" w:themeColor="text1"/>
        </w:rPr>
        <w:t>New perspectives in partial least squares and related methods</w:t>
      </w:r>
      <w:r w:rsidRPr="009039D8">
        <w:rPr>
          <w:color w:val="000000" w:themeColor="text1"/>
        </w:rPr>
        <w:t xml:space="preserve"> (pp. 31-64). Berlin: Springer-Verlag. doi:10.1007/978-1-4614-8283-3_2</w:t>
      </w:r>
    </w:p>
    <w:p w14:paraId="00137B0A" w14:textId="77777777" w:rsidR="00020864" w:rsidRPr="001D0388" w:rsidRDefault="00020864" w:rsidP="00020864">
      <w:pPr>
        <w:spacing w:line="480" w:lineRule="auto"/>
        <w:ind w:left="709" w:hanging="709"/>
      </w:pPr>
      <w:proofErr w:type="spellStart"/>
      <w:r>
        <w:t>Mihalca</w:t>
      </w:r>
      <w:proofErr w:type="spellEnd"/>
      <w:r>
        <w:t xml:space="preserve">, A. M., </w:t>
      </w:r>
      <w:proofErr w:type="spellStart"/>
      <w:r>
        <w:t>Gherasim</w:t>
      </w:r>
      <w:proofErr w:type="spellEnd"/>
      <w:r>
        <w:t xml:space="preserve">, L. R., &amp; </w:t>
      </w:r>
      <w:proofErr w:type="spellStart"/>
      <w:r>
        <w:t>Chendran</w:t>
      </w:r>
      <w:proofErr w:type="spellEnd"/>
      <w:r>
        <w:t>, L. A. (2012). Adolescents’ perception of psychosis risk following cannabis consumption</w:t>
      </w:r>
      <w:r w:rsidRPr="00020864">
        <w:rPr>
          <w:b/>
          <w:bCs/>
        </w:rPr>
        <w:t xml:space="preserve">. </w:t>
      </w:r>
      <w:r w:rsidRPr="00711EF5">
        <w:rPr>
          <w:i/>
        </w:rPr>
        <w:t>Substance Use and Misuse</w:t>
      </w:r>
      <w:r w:rsidRPr="00020864">
        <w:rPr>
          <w:iCs/>
        </w:rPr>
        <w:t xml:space="preserve">, </w:t>
      </w:r>
      <w:r w:rsidRPr="00E06A46">
        <w:rPr>
          <w:i/>
        </w:rPr>
        <w:t>47</w:t>
      </w:r>
      <w:r>
        <w:t>, 396-402. doi:10.3109/10826084.2011.639041</w:t>
      </w:r>
    </w:p>
    <w:p w14:paraId="0663EBDA" w14:textId="77777777" w:rsidR="00020864" w:rsidRPr="00E3738B" w:rsidRDefault="00020864" w:rsidP="00020864">
      <w:pPr>
        <w:pStyle w:val="EndNoteBibliography"/>
        <w:spacing w:after="0" w:line="480" w:lineRule="auto"/>
        <w:ind w:left="720" w:hanging="720"/>
        <w:rPr>
          <w:rFonts w:ascii="Times New Roman" w:hAnsi="Times New Roman"/>
          <w:color w:val="000000" w:themeColor="text1"/>
          <w:sz w:val="24"/>
          <w:szCs w:val="24"/>
        </w:rPr>
      </w:pPr>
      <w:r>
        <w:rPr>
          <w:rFonts w:ascii="Times New Roman" w:hAnsi="Times New Roman"/>
          <w:color w:val="000000" w:themeColor="text1"/>
          <w:sz w:val="24"/>
          <w:szCs w:val="24"/>
        </w:rPr>
        <w:t xml:space="preserve">Miller, L. S., &amp; Burns, S. A. (1995). Gender differences in schizotypic features in a large </w:t>
      </w:r>
      <w:r w:rsidRPr="00550099">
        <w:rPr>
          <w:rFonts w:ascii="Times New Roman" w:hAnsi="Times New Roman"/>
          <w:color w:val="000000" w:themeColor="text1"/>
          <w:sz w:val="24"/>
          <w:szCs w:val="24"/>
        </w:rPr>
        <w:t xml:space="preserve">sample of young adults. </w:t>
      </w:r>
      <w:r w:rsidRPr="00711EF5">
        <w:rPr>
          <w:rFonts w:ascii="Times New Roman" w:hAnsi="Times New Roman"/>
          <w:i/>
          <w:color w:val="000000" w:themeColor="text1"/>
          <w:sz w:val="24"/>
          <w:szCs w:val="24"/>
        </w:rPr>
        <w:t>Journal of Nervous and Mental Disorders</w:t>
      </w:r>
      <w:r w:rsidRPr="00020864">
        <w:rPr>
          <w:rFonts w:ascii="Times New Roman" w:hAnsi="Times New Roman"/>
          <w:iCs/>
          <w:color w:val="000000" w:themeColor="text1"/>
          <w:sz w:val="24"/>
          <w:szCs w:val="24"/>
        </w:rPr>
        <w:t xml:space="preserve">, </w:t>
      </w:r>
      <w:r w:rsidRPr="00E06A46">
        <w:rPr>
          <w:rFonts w:ascii="Times New Roman" w:hAnsi="Times New Roman"/>
          <w:i/>
          <w:color w:val="000000" w:themeColor="text1"/>
          <w:sz w:val="24"/>
          <w:szCs w:val="24"/>
        </w:rPr>
        <w:t>183</w:t>
      </w:r>
      <w:r w:rsidRPr="00550099">
        <w:rPr>
          <w:rFonts w:ascii="Times New Roman" w:hAnsi="Times New Roman"/>
          <w:color w:val="000000" w:themeColor="text1"/>
          <w:sz w:val="24"/>
          <w:szCs w:val="24"/>
        </w:rPr>
        <w:t xml:space="preserve">, 657-661. </w:t>
      </w:r>
      <w:r>
        <w:rPr>
          <w:rFonts w:ascii="Times New Roman" w:hAnsi="Times New Roman"/>
          <w:color w:val="000000" w:themeColor="text1"/>
          <w:sz w:val="24"/>
          <w:szCs w:val="24"/>
          <w:lang w:val="en"/>
        </w:rPr>
        <w:t>doi:</w:t>
      </w:r>
      <w:r w:rsidRPr="00550099">
        <w:rPr>
          <w:rFonts w:ascii="Times New Roman" w:hAnsi="Times New Roman"/>
          <w:color w:val="000000" w:themeColor="text1"/>
          <w:sz w:val="24"/>
          <w:szCs w:val="24"/>
          <w:lang w:val="en"/>
        </w:rPr>
        <w:t>10.1097/00005053-199510000-00007</w:t>
      </w:r>
    </w:p>
    <w:p w14:paraId="425BCD08" w14:textId="77777777" w:rsidR="00020864" w:rsidRDefault="00020864" w:rsidP="00020864">
      <w:pPr>
        <w:spacing w:line="480" w:lineRule="auto"/>
        <w:ind w:left="709" w:hanging="709"/>
      </w:pPr>
      <w:r>
        <w:t xml:space="preserve">Moore, T. M., Calkins, M. E., </w:t>
      </w:r>
      <w:proofErr w:type="spellStart"/>
      <w:r>
        <w:t>Reise</w:t>
      </w:r>
      <w:proofErr w:type="spellEnd"/>
      <w:r>
        <w:t xml:space="preserve">, S. P., Gur, R. C., &amp; Gur, R. E. (2018). Development and public release of a computerized adaptive (CAT) version of the Schizotypal </w:t>
      </w:r>
      <w:r>
        <w:lastRenderedPageBreak/>
        <w:t xml:space="preserve">Personality Questionnaire. </w:t>
      </w:r>
      <w:r w:rsidRPr="00711EF5">
        <w:rPr>
          <w:i/>
        </w:rPr>
        <w:t>Psychiatry Research</w:t>
      </w:r>
      <w:r w:rsidRPr="00020864">
        <w:rPr>
          <w:iCs/>
        </w:rPr>
        <w:t xml:space="preserve">, </w:t>
      </w:r>
      <w:r w:rsidRPr="00E06A46">
        <w:rPr>
          <w:i/>
        </w:rPr>
        <w:t>263</w:t>
      </w:r>
      <w:r>
        <w:t xml:space="preserve">, 250-256. </w:t>
      </w:r>
      <w:proofErr w:type="gramStart"/>
      <w:r>
        <w:t>doi:10.1016/j.psychres</w:t>
      </w:r>
      <w:proofErr w:type="gramEnd"/>
      <w:r>
        <w:t>.2018.02.002</w:t>
      </w:r>
    </w:p>
    <w:p w14:paraId="56D5944D" w14:textId="3F2DDD5E" w:rsidR="00020864" w:rsidRDefault="00020864" w:rsidP="00020864">
      <w:pPr>
        <w:pStyle w:val="EndNoteBibliography"/>
        <w:spacing w:after="0" w:line="480" w:lineRule="auto"/>
        <w:ind w:left="720" w:hanging="720"/>
        <w:rPr>
          <w:rFonts w:ascii="Times New Roman" w:hAnsi="Times New Roman"/>
          <w:color w:val="000000" w:themeColor="text1"/>
          <w:sz w:val="24"/>
          <w:szCs w:val="24"/>
        </w:rPr>
      </w:pPr>
      <w:r>
        <w:rPr>
          <w:rFonts w:ascii="Times New Roman" w:hAnsi="Times New Roman"/>
          <w:color w:val="000000" w:themeColor="text1"/>
          <w:sz w:val="24"/>
          <w:szCs w:val="24"/>
        </w:rPr>
        <w:t xml:space="preserve">Preti, A., Siddi, S., Vellante, M., Scanu, R., Muratore, T., Gabrielli, M., et al.. (2015). Bifactor structure of the Schizotypal Personality Questionnaire (SPQ). </w:t>
      </w:r>
      <w:r w:rsidRPr="00711EF5">
        <w:rPr>
          <w:rFonts w:ascii="Times New Roman" w:hAnsi="Times New Roman"/>
          <w:i/>
          <w:color w:val="000000" w:themeColor="text1"/>
          <w:sz w:val="24"/>
          <w:szCs w:val="24"/>
        </w:rPr>
        <w:t>Psychiatry Research</w:t>
      </w:r>
      <w:r w:rsidRPr="00020864">
        <w:rPr>
          <w:rFonts w:ascii="Times New Roman" w:hAnsi="Times New Roman"/>
          <w:iCs/>
          <w:color w:val="000000" w:themeColor="text1"/>
          <w:sz w:val="24"/>
          <w:szCs w:val="24"/>
        </w:rPr>
        <w:t xml:space="preserve">, </w:t>
      </w:r>
      <w:r w:rsidRPr="00E06A46">
        <w:rPr>
          <w:rFonts w:ascii="Times New Roman" w:hAnsi="Times New Roman"/>
          <w:i/>
          <w:color w:val="000000" w:themeColor="text1"/>
          <w:sz w:val="24"/>
          <w:szCs w:val="24"/>
        </w:rPr>
        <w:t>230</w:t>
      </w:r>
      <w:r w:rsidRPr="00020864">
        <w:rPr>
          <w:rFonts w:ascii="Times New Roman" w:hAnsi="Times New Roman"/>
          <w:iCs/>
          <w:color w:val="000000" w:themeColor="text1"/>
          <w:sz w:val="24"/>
          <w:szCs w:val="24"/>
        </w:rPr>
        <w:t>,</w:t>
      </w:r>
      <w:r>
        <w:rPr>
          <w:rFonts w:ascii="Times New Roman" w:hAnsi="Times New Roman"/>
          <w:color w:val="000000" w:themeColor="text1"/>
          <w:sz w:val="24"/>
          <w:szCs w:val="24"/>
        </w:rPr>
        <w:t xml:space="preserve"> 940-950. doi:10.1016/j.psychres.2015.11.010</w:t>
      </w:r>
    </w:p>
    <w:p w14:paraId="51A56AA8" w14:textId="41B6377B" w:rsidR="00F44AA4" w:rsidRPr="00036930" w:rsidRDefault="00F44AA4" w:rsidP="00036930">
      <w:pPr>
        <w:pStyle w:val="EndNoteBibliography"/>
        <w:spacing w:after="0" w:line="480" w:lineRule="auto"/>
        <w:ind w:left="720" w:hanging="720"/>
        <w:rPr>
          <w:rFonts w:ascii="Times New Roman" w:hAnsi="Times New Roman"/>
          <w:sz w:val="24"/>
          <w:szCs w:val="24"/>
        </w:rPr>
      </w:pPr>
      <w:r w:rsidRPr="00036930">
        <w:rPr>
          <w:rFonts w:ascii="Times New Roman" w:hAnsi="Times New Roman"/>
          <w:sz w:val="24"/>
          <w:szCs w:val="24"/>
        </w:rPr>
        <w:t xml:space="preserve">R Development Core Team </w:t>
      </w:r>
      <w:r w:rsidR="00020864">
        <w:rPr>
          <w:rFonts w:ascii="Times New Roman" w:hAnsi="Times New Roman"/>
          <w:sz w:val="24"/>
          <w:szCs w:val="24"/>
        </w:rPr>
        <w:t>(</w:t>
      </w:r>
      <w:r w:rsidRPr="00036930">
        <w:rPr>
          <w:rFonts w:ascii="Times New Roman" w:hAnsi="Times New Roman"/>
          <w:sz w:val="24"/>
          <w:szCs w:val="24"/>
        </w:rPr>
        <w:t>2014</w:t>
      </w:r>
      <w:r w:rsidR="00020864">
        <w:rPr>
          <w:rFonts w:ascii="Times New Roman" w:hAnsi="Times New Roman"/>
          <w:sz w:val="24"/>
          <w:szCs w:val="24"/>
        </w:rPr>
        <w:t>)</w:t>
      </w:r>
      <w:r w:rsidRPr="00036930">
        <w:rPr>
          <w:rFonts w:ascii="Times New Roman" w:hAnsi="Times New Roman"/>
          <w:sz w:val="24"/>
          <w:szCs w:val="24"/>
        </w:rPr>
        <w:t xml:space="preserve">. </w:t>
      </w:r>
      <w:r w:rsidRPr="00711EF5">
        <w:rPr>
          <w:rFonts w:ascii="Times New Roman" w:hAnsi="Times New Roman"/>
          <w:i/>
          <w:iCs/>
          <w:sz w:val="24"/>
          <w:szCs w:val="24"/>
        </w:rPr>
        <w:t>R: A Language and Environment for Statistical Computing</w:t>
      </w:r>
      <w:r w:rsidRPr="00036930">
        <w:rPr>
          <w:rFonts w:ascii="Times New Roman" w:hAnsi="Times New Roman"/>
          <w:sz w:val="24"/>
          <w:szCs w:val="24"/>
        </w:rPr>
        <w:t xml:space="preserve">. </w:t>
      </w:r>
      <w:hyperlink r:id="rId9" w:history="1">
        <w:r w:rsidRPr="00036930">
          <w:rPr>
            <w:rStyle w:val="Hyperlink"/>
            <w:rFonts w:ascii="Times New Roman" w:hAnsi="Times New Roman"/>
            <w:sz w:val="24"/>
            <w:szCs w:val="24"/>
          </w:rPr>
          <w:t>http://www.R-project.org/</w:t>
        </w:r>
      </w:hyperlink>
      <w:r w:rsidRPr="00036930">
        <w:rPr>
          <w:rFonts w:ascii="Times New Roman" w:hAnsi="Times New Roman"/>
          <w:sz w:val="24"/>
          <w:szCs w:val="24"/>
        </w:rPr>
        <w:t xml:space="preserve"> </w:t>
      </w:r>
    </w:p>
    <w:p w14:paraId="1DB9061E" w14:textId="3766A574" w:rsidR="007B479A" w:rsidRPr="00036930" w:rsidRDefault="007B479A" w:rsidP="00036930">
      <w:pPr>
        <w:pStyle w:val="EndNoteBibliography"/>
        <w:spacing w:after="0" w:line="480" w:lineRule="auto"/>
        <w:ind w:left="851" w:hanging="851"/>
        <w:rPr>
          <w:rFonts w:ascii="Times New Roman" w:hAnsi="Times New Roman"/>
          <w:color w:val="000000" w:themeColor="text1"/>
          <w:sz w:val="24"/>
          <w:szCs w:val="24"/>
        </w:rPr>
      </w:pPr>
      <w:r w:rsidRPr="00036930">
        <w:rPr>
          <w:rFonts w:ascii="Times New Roman" w:hAnsi="Times New Roman"/>
          <w:color w:val="000000" w:themeColor="text1"/>
          <w:sz w:val="24"/>
          <w:szCs w:val="24"/>
        </w:rPr>
        <w:t>Rabella, M., Grasa, E., Trujols, J., Gich, I., Torrubia, R., Corripio, I.,</w:t>
      </w:r>
      <w:r w:rsidR="00020864">
        <w:rPr>
          <w:rFonts w:ascii="Times New Roman" w:hAnsi="Times New Roman"/>
          <w:color w:val="000000" w:themeColor="text1"/>
          <w:sz w:val="24"/>
          <w:szCs w:val="24"/>
        </w:rPr>
        <w:t xml:space="preserve"> et al.</w:t>
      </w:r>
      <w:r w:rsidRPr="00036930">
        <w:rPr>
          <w:rFonts w:ascii="Times New Roman" w:hAnsi="Times New Roman"/>
          <w:color w:val="000000" w:themeColor="text1"/>
          <w:sz w:val="24"/>
          <w:szCs w:val="24"/>
        </w:rPr>
        <w:t xml:space="preserve"> (2018). Validation of a Spanish version of the Schizotypal Personality Questionnaire (SPQ): Psychometrics and underlying factor structure derived from a healthy university student sample.</w:t>
      </w:r>
      <w:r w:rsidR="00020864">
        <w:rPr>
          <w:rFonts w:ascii="Times New Roman" w:hAnsi="Times New Roman"/>
          <w:color w:val="000000" w:themeColor="text1"/>
          <w:sz w:val="24"/>
          <w:szCs w:val="24"/>
        </w:rPr>
        <w:t xml:space="preserve"> </w:t>
      </w:r>
      <w:r w:rsidR="00020864" w:rsidRPr="00711EF5">
        <w:rPr>
          <w:rFonts w:ascii="Times New Roman" w:hAnsi="Times New Roman"/>
          <w:i/>
          <w:color w:val="000000" w:themeColor="text1"/>
          <w:sz w:val="24"/>
          <w:szCs w:val="24"/>
        </w:rPr>
        <w:t>Actas Españolas de Psiquitría</w:t>
      </w:r>
      <w:r w:rsidR="00020864" w:rsidRPr="00020864">
        <w:rPr>
          <w:rFonts w:ascii="Times New Roman" w:hAnsi="Times New Roman"/>
          <w:iCs/>
          <w:color w:val="000000" w:themeColor="text1"/>
          <w:sz w:val="24"/>
          <w:szCs w:val="24"/>
        </w:rPr>
        <w:t>,</w:t>
      </w:r>
      <w:r w:rsidRPr="00020864">
        <w:rPr>
          <w:rFonts w:ascii="Times New Roman" w:hAnsi="Times New Roman"/>
          <w:iCs/>
          <w:color w:val="000000" w:themeColor="text1"/>
          <w:sz w:val="24"/>
          <w:szCs w:val="24"/>
        </w:rPr>
        <w:t xml:space="preserve"> </w:t>
      </w:r>
      <w:r w:rsidRPr="00E06A46">
        <w:rPr>
          <w:rFonts w:ascii="Times New Roman" w:hAnsi="Times New Roman"/>
          <w:i/>
          <w:color w:val="000000" w:themeColor="text1"/>
          <w:sz w:val="24"/>
          <w:szCs w:val="24"/>
        </w:rPr>
        <w:t>46</w:t>
      </w:r>
      <w:r w:rsidRPr="00036930">
        <w:rPr>
          <w:rFonts w:ascii="Times New Roman" w:hAnsi="Times New Roman"/>
          <w:color w:val="000000" w:themeColor="text1"/>
          <w:sz w:val="24"/>
          <w:szCs w:val="24"/>
        </w:rPr>
        <w:t xml:space="preserve">, 159-173. </w:t>
      </w:r>
    </w:p>
    <w:p w14:paraId="15816FB5" w14:textId="77777777" w:rsidR="00020864" w:rsidRDefault="00020864" w:rsidP="00020864">
      <w:pPr>
        <w:spacing w:line="480" w:lineRule="auto"/>
        <w:ind w:left="709" w:hanging="709"/>
      </w:pPr>
      <w:proofErr w:type="spellStart"/>
      <w:r>
        <w:t>Rado</w:t>
      </w:r>
      <w:proofErr w:type="spellEnd"/>
      <w:r>
        <w:t xml:space="preserve">, S. (1993). Dynamics and classification of disordered </w:t>
      </w:r>
      <w:proofErr w:type="spellStart"/>
      <w:r>
        <w:t>behavior</w:t>
      </w:r>
      <w:proofErr w:type="spellEnd"/>
      <w:r w:rsidRPr="00020864">
        <w:t xml:space="preserve">. </w:t>
      </w:r>
      <w:r w:rsidRPr="00711EF5">
        <w:rPr>
          <w:i/>
          <w:iCs/>
        </w:rPr>
        <w:t>American Journal of Psychiatry</w:t>
      </w:r>
      <w:r w:rsidRPr="00020864">
        <w:t xml:space="preserve">, </w:t>
      </w:r>
      <w:r w:rsidRPr="00E06A46">
        <w:rPr>
          <w:i/>
          <w:iCs/>
        </w:rPr>
        <w:t>110</w:t>
      </w:r>
      <w:r>
        <w:t>, 406-416. doi:10.1176/ajp.110.6.406</w:t>
      </w:r>
    </w:p>
    <w:p w14:paraId="21A7313F" w14:textId="77777777" w:rsidR="00020864" w:rsidRPr="00550099" w:rsidRDefault="00020864" w:rsidP="00020864">
      <w:pPr>
        <w:pStyle w:val="EndNoteBibliography"/>
        <w:spacing w:after="0" w:line="480" w:lineRule="auto"/>
        <w:ind w:left="720" w:hanging="720"/>
        <w:rPr>
          <w:rFonts w:ascii="Times New Roman" w:hAnsi="Times New Roman"/>
          <w:color w:val="000000" w:themeColor="text1"/>
          <w:sz w:val="24"/>
          <w:szCs w:val="24"/>
        </w:rPr>
      </w:pPr>
      <w:r w:rsidRPr="00A9625F">
        <w:rPr>
          <w:rFonts w:ascii="Times New Roman" w:hAnsi="Times New Roman"/>
          <w:color w:val="000000" w:themeColor="text1"/>
          <w:sz w:val="24"/>
          <w:szCs w:val="24"/>
        </w:rPr>
        <w:t xml:space="preserve">Raine, A. (1991). The SPQ: A scale for the assessment of schizotypal personality based on </w:t>
      </w:r>
      <w:r w:rsidRPr="00550099">
        <w:rPr>
          <w:rFonts w:ascii="Times New Roman" w:hAnsi="Times New Roman"/>
          <w:i/>
          <w:color w:val="000000" w:themeColor="text1"/>
          <w:sz w:val="24"/>
          <w:szCs w:val="24"/>
        </w:rPr>
        <w:t>DSM-III-R</w:t>
      </w:r>
      <w:r w:rsidRPr="00550099">
        <w:rPr>
          <w:rFonts w:ascii="Times New Roman" w:hAnsi="Times New Roman"/>
          <w:color w:val="000000" w:themeColor="text1"/>
          <w:sz w:val="24"/>
          <w:szCs w:val="24"/>
        </w:rPr>
        <w:t xml:space="preserve"> criteria. </w:t>
      </w:r>
      <w:r w:rsidRPr="00711EF5">
        <w:rPr>
          <w:rFonts w:ascii="Times New Roman" w:hAnsi="Times New Roman"/>
          <w:i/>
          <w:color w:val="000000" w:themeColor="text1"/>
          <w:sz w:val="24"/>
          <w:szCs w:val="24"/>
        </w:rPr>
        <w:t>Schizophrenia Bulletin</w:t>
      </w:r>
      <w:r w:rsidRPr="00020864">
        <w:rPr>
          <w:rFonts w:ascii="Times New Roman" w:hAnsi="Times New Roman"/>
          <w:iCs/>
          <w:color w:val="000000" w:themeColor="text1"/>
          <w:sz w:val="24"/>
          <w:szCs w:val="24"/>
        </w:rPr>
        <w:t xml:space="preserve">, </w:t>
      </w:r>
      <w:r w:rsidRPr="00E06A46">
        <w:rPr>
          <w:rFonts w:ascii="Times New Roman" w:hAnsi="Times New Roman"/>
          <w:i/>
          <w:color w:val="000000" w:themeColor="text1"/>
          <w:sz w:val="24"/>
          <w:szCs w:val="24"/>
        </w:rPr>
        <w:t>17</w:t>
      </w:r>
      <w:r w:rsidRPr="00550099">
        <w:rPr>
          <w:rFonts w:ascii="Times New Roman" w:hAnsi="Times New Roman"/>
          <w:color w:val="000000" w:themeColor="text1"/>
          <w:sz w:val="24"/>
          <w:szCs w:val="24"/>
        </w:rPr>
        <w:t xml:space="preserve">, 555-564. </w:t>
      </w:r>
    </w:p>
    <w:p w14:paraId="26190419" w14:textId="77777777" w:rsidR="00020864" w:rsidRPr="00E3738B" w:rsidRDefault="00020864" w:rsidP="00020864">
      <w:pPr>
        <w:pStyle w:val="EndNoteBibliography"/>
        <w:spacing w:after="0" w:line="480" w:lineRule="auto"/>
        <w:ind w:left="720" w:hanging="720"/>
        <w:rPr>
          <w:rFonts w:ascii="Times New Roman" w:hAnsi="Times New Roman"/>
          <w:color w:val="000000" w:themeColor="text1"/>
          <w:sz w:val="24"/>
          <w:szCs w:val="24"/>
        </w:rPr>
      </w:pPr>
      <w:r w:rsidRPr="00550099">
        <w:rPr>
          <w:rFonts w:ascii="Times New Roman" w:hAnsi="Times New Roman"/>
          <w:color w:val="000000" w:themeColor="text1"/>
          <w:sz w:val="24"/>
          <w:szCs w:val="24"/>
        </w:rPr>
        <w:t xml:space="preserve">Raine, A. (1992). Sex differences in schizotypal personality in a non-clinical population. </w:t>
      </w:r>
      <w:r w:rsidRPr="00711EF5">
        <w:rPr>
          <w:rFonts w:ascii="Times New Roman" w:hAnsi="Times New Roman"/>
          <w:i/>
          <w:color w:val="000000" w:themeColor="text1"/>
          <w:sz w:val="24"/>
          <w:szCs w:val="24"/>
        </w:rPr>
        <w:t>Journal of Abnormal Psychology</w:t>
      </w:r>
      <w:r w:rsidRPr="00020864">
        <w:rPr>
          <w:rFonts w:ascii="Times New Roman" w:hAnsi="Times New Roman"/>
          <w:iCs/>
          <w:color w:val="000000" w:themeColor="text1"/>
          <w:sz w:val="24"/>
          <w:szCs w:val="24"/>
        </w:rPr>
        <w:t>,</w:t>
      </w:r>
      <w:r w:rsidRPr="00E06A46">
        <w:rPr>
          <w:rFonts w:ascii="Times New Roman" w:hAnsi="Times New Roman"/>
          <w:i/>
          <w:color w:val="000000" w:themeColor="text1"/>
          <w:sz w:val="24"/>
          <w:szCs w:val="24"/>
        </w:rPr>
        <w:t xml:space="preserve"> 101</w:t>
      </w:r>
      <w:r w:rsidRPr="00550099">
        <w:rPr>
          <w:rFonts w:ascii="Times New Roman" w:hAnsi="Times New Roman"/>
          <w:color w:val="000000" w:themeColor="text1"/>
          <w:sz w:val="24"/>
          <w:szCs w:val="24"/>
        </w:rPr>
        <w:t>, 361-364. doi:</w:t>
      </w:r>
      <w:r w:rsidRPr="00550099">
        <w:rPr>
          <w:rFonts w:ascii="Times New Roman" w:hAnsi="Times New Roman"/>
          <w:color w:val="000000" w:themeColor="text1"/>
          <w:sz w:val="24"/>
          <w:szCs w:val="24"/>
          <w:lang w:val="en"/>
        </w:rPr>
        <w:t>10.1037/0021-843X.101.2.361</w:t>
      </w:r>
    </w:p>
    <w:p w14:paraId="28BEEE21" w14:textId="77777777" w:rsidR="00020864" w:rsidRDefault="00020864" w:rsidP="00020864">
      <w:pPr>
        <w:pStyle w:val="EndNoteBibliography"/>
        <w:spacing w:after="0" w:line="480" w:lineRule="auto"/>
        <w:ind w:left="720" w:hanging="720"/>
        <w:rPr>
          <w:rFonts w:ascii="Times New Roman" w:hAnsi="Times New Roman"/>
          <w:color w:val="000000" w:themeColor="text1"/>
          <w:sz w:val="24"/>
          <w:szCs w:val="24"/>
        </w:rPr>
      </w:pPr>
      <w:r w:rsidRPr="00A9625F">
        <w:rPr>
          <w:rFonts w:ascii="Times New Roman" w:hAnsi="Times New Roman"/>
          <w:color w:val="000000" w:themeColor="text1"/>
          <w:sz w:val="24"/>
          <w:szCs w:val="24"/>
        </w:rPr>
        <w:t xml:space="preserve">Raine, A. (2006). Schizotypal personality: Neurodevelopmental and psychosocial trajectories. </w:t>
      </w:r>
      <w:r w:rsidRPr="00711EF5">
        <w:rPr>
          <w:rFonts w:ascii="Times New Roman" w:hAnsi="Times New Roman"/>
          <w:i/>
          <w:color w:val="000000" w:themeColor="text1"/>
          <w:sz w:val="24"/>
          <w:szCs w:val="24"/>
        </w:rPr>
        <w:t>Annual Review of Clinical Psychology</w:t>
      </w:r>
      <w:r w:rsidRPr="00020864">
        <w:rPr>
          <w:rFonts w:ascii="Times New Roman" w:hAnsi="Times New Roman"/>
          <w:iCs/>
          <w:color w:val="000000" w:themeColor="text1"/>
          <w:sz w:val="24"/>
          <w:szCs w:val="24"/>
        </w:rPr>
        <w:t xml:space="preserve">, </w:t>
      </w:r>
      <w:r w:rsidRPr="00E06A46">
        <w:rPr>
          <w:rFonts w:ascii="Times New Roman" w:hAnsi="Times New Roman"/>
          <w:i/>
          <w:color w:val="000000" w:themeColor="text1"/>
          <w:sz w:val="24"/>
          <w:szCs w:val="24"/>
        </w:rPr>
        <w:t>2</w:t>
      </w:r>
      <w:r w:rsidRPr="00A9625F">
        <w:rPr>
          <w:rFonts w:ascii="Times New Roman" w:hAnsi="Times New Roman"/>
          <w:color w:val="000000" w:themeColor="text1"/>
          <w:sz w:val="24"/>
          <w:szCs w:val="24"/>
        </w:rPr>
        <w:t>, 291-326. doi:10.1146/annurev.clinpsy.2.022305.095318</w:t>
      </w:r>
    </w:p>
    <w:p w14:paraId="0D468BD0" w14:textId="77777777" w:rsidR="00020864" w:rsidRPr="00A9625F" w:rsidRDefault="00020864" w:rsidP="00020864">
      <w:pPr>
        <w:pStyle w:val="EndNoteBibliography"/>
        <w:spacing w:after="0" w:line="480" w:lineRule="auto"/>
        <w:ind w:left="720" w:hanging="720"/>
        <w:rPr>
          <w:rFonts w:ascii="Times New Roman" w:hAnsi="Times New Roman"/>
          <w:color w:val="000000" w:themeColor="text1"/>
          <w:sz w:val="24"/>
          <w:szCs w:val="24"/>
        </w:rPr>
      </w:pPr>
      <w:r w:rsidRPr="00A9625F">
        <w:rPr>
          <w:rFonts w:ascii="Times New Roman" w:hAnsi="Times New Roman"/>
          <w:color w:val="000000" w:themeColor="text1"/>
          <w:sz w:val="24"/>
          <w:szCs w:val="24"/>
        </w:rPr>
        <w:t xml:space="preserve">Raine, A., Reynolds, C., Lencz, T., Scerbo, A., Triphon, N., &amp; Kim, D. (1994). Cognitive-perceptual, interpersonal, and disorganized features of schizotypal personality. </w:t>
      </w:r>
      <w:r w:rsidRPr="00711EF5">
        <w:rPr>
          <w:rFonts w:ascii="Times New Roman" w:hAnsi="Times New Roman"/>
          <w:i/>
          <w:color w:val="000000" w:themeColor="text1"/>
          <w:sz w:val="24"/>
          <w:szCs w:val="24"/>
        </w:rPr>
        <w:t>Schizophrenia Bulletin</w:t>
      </w:r>
      <w:r w:rsidRPr="00020864">
        <w:rPr>
          <w:rFonts w:ascii="Times New Roman" w:hAnsi="Times New Roman"/>
          <w:iCs/>
          <w:color w:val="000000" w:themeColor="text1"/>
          <w:sz w:val="24"/>
          <w:szCs w:val="24"/>
        </w:rPr>
        <w:t xml:space="preserve">, </w:t>
      </w:r>
      <w:r w:rsidRPr="00E06A46">
        <w:rPr>
          <w:rFonts w:ascii="Times New Roman" w:hAnsi="Times New Roman"/>
          <w:i/>
          <w:color w:val="000000" w:themeColor="text1"/>
          <w:sz w:val="24"/>
          <w:szCs w:val="24"/>
        </w:rPr>
        <w:t>20</w:t>
      </w:r>
      <w:r w:rsidRPr="00A9625F">
        <w:rPr>
          <w:rFonts w:ascii="Times New Roman" w:hAnsi="Times New Roman"/>
          <w:color w:val="000000" w:themeColor="text1"/>
          <w:sz w:val="24"/>
          <w:szCs w:val="24"/>
        </w:rPr>
        <w:t xml:space="preserve">, 191-201. </w:t>
      </w:r>
    </w:p>
    <w:p w14:paraId="666E715E" w14:textId="77777777" w:rsidR="00020864" w:rsidRDefault="00020864" w:rsidP="00020864">
      <w:pPr>
        <w:pStyle w:val="EndNoteBibliography"/>
        <w:spacing w:after="0" w:line="480" w:lineRule="auto"/>
        <w:ind w:left="720" w:hanging="720"/>
        <w:rPr>
          <w:rFonts w:ascii="Times New Roman" w:hAnsi="Times New Roman"/>
          <w:sz w:val="24"/>
          <w:szCs w:val="24"/>
        </w:rPr>
      </w:pPr>
      <w:r w:rsidRPr="00A9625F">
        <w:rPr>
          <w:rFonts w:ascii="Times New Roman" w:hAnsi="Times New Roman"/>
          <w:sz w:val="24"/>
          <w:szCs w:val="24"/>
        </w:rPr>
        <w:t xml:space="preserve">Reynolds, C. A., Raine, A., Mellingen, K., Venables, P. H., &amp; Mednick, S. A. (2000). Three-factor model of schizotypal personality: Invariance across culture, gender, religious </w:t>
      </w:r>
      <w:r w:rsidRPr="00A9625F">
        <w:rPr>
          <w:rFonts w:ascii="Times New Roman" w:hAnsi="Times New Roman"/>
          <w:sz w:val="24"/>
          <w:szCs w:val="24"/>
        </w:rPr>
        <w:lastRenderedPageBreak/>
        <w:t xml:space="preserve">affiliation, family adversity, and psychopathology. </w:t>
      </w:r>
      <w:r w:rsidRPr="00711EF5">
        <w:rPr>
          <w:rFonts w:ascii="Times New Roman" w:hAnsi="Times New Roman"/>
          <w:i/>
          <w:sz w:val="24"/>
          <w:szCs w:val="24"/>
        </w:rPr>
        <w:t>Schizophrenia Bulletin</w:t>
      </w:r>
      <w:r w:rsidRPr="00020864">
        <w:rPr>
          <w:rFonts w:ascii="Times New Roman" w:hAnsi="Times New Roman"/>
          <w:iCs/>
          <w:sz w:val="24"/>
          <w:szCs w:val="24"/>
        </w:rPr>
        <w:t xml:space="preserve">, </w:t>
      </w:r>
      <w:r w:rsidRPr="00E06A46">
        <w:rPr>
          <w:rFonts w:ascii="Times New Roman" w:hAnsi="Times New Roman"/>
          <w:i/>
          <w:sz w:val="24"/>
          <w:szCs w:val="24"/>
        </w:rPr>
        <w:t>26</w:t>
      </w:r>
      <w:r w:rsidRPr="00A9625F">
        <w:rPr>
          <w:rFonts w:ascii="Times New Roman" w:hAnsi="Times New Roman"/>
          <w:sz w:val="24"/>
          <w:szCs w:val="24"/>
        </w:rPr>
        <w:t xml:space="preserve">, 603-618. </w:t>
      </w:r>
    </w:p>
    <w:p w14:paraId="2A73CA20" w14:textId="77777777" w:rsidR="00020864" w:rsidRDefault="00020864" w:rsidP="00020864">
      <w:pPr>
        <w:spacing w:line="480" w:lineRule="auto"/>
        <w:ind w:left="851" w:hanging="851"/>
        <w:rPr>
          <w:rStyle w:val="bibliographic-informationvalue1"/>
        </w:rPr>
      </w:pPr>
      <w:proofErr w:type="spellStart"/>
      <w:r>
        <w:t>Ritners</w:t>
      </w:r>
      <w:proofErr w:type="spellEnd"/>
      <w:r>
        <w:t xml:space="preserve">, M., </w:t>
      </w:r>
      <w:proofErr w:type="spellStart"/>
      <w:r>
        <w:t>Kurs</w:t>
      </w:r>
      <w:proofErr w:type="spellEnd"/>
      <w:r>
        <w:t xml:space="preserve">, R., </w:t>
      </w:r>
      <w:proofErr w:type="spellStart"/>
      <w:r>
        <w:t>Gibel</w:t>
      </w:r>
      <w:proofErr w:type="spellEnd"/>
      <w:r>
        <w:t xml:space="preserve">, A., Ratner, Y., &amp; Endicott, J. (2005). Validity of an abbreviated qualify of life enjoyment and satisfaction questionnaire (Q-LES-Q-18) for schizophrenia, schizoaffective, and mood disorder patients. </w:t>
      </w:r>
      <w:r w:rsidRPr="00711EF5">
        <w:rPr>
          <w:i/>
        </w:rPr>
        <w:t>Quality of Life Research</w:t>
      </w:r>
      <w:r w:rsidRPr="00020864">
        <w:rPr>
          <w:iCs/>
        </w:rPr>
        <w:t xml:space="preserve">, </w:t>
      </w:r>
      <w:r w:rsidRPr="00E06A46">
        <w:rPr>
          <w:i/>
        </w:rPr>
        <w:t>14</w:t>
      </w:r>
      <w:r w:rsidRPr="00550099">
        <w:t xml:space="preserve">, 1693-1703. </w:t>
      </w:r>
      <w:r>
        <w:rPr>
          <w:rStyle w:val="bibliographic-informationvalue1"/>
          <w:specVanish w:val="0"/>
        </w:rPr>
        <w:t>doi:</w:t>
      </w:r>
      <w:r w:rsidRPr="00550099">
        <w:rPr>
          <w:rStyle w:val="bibliographic-informationvalue1"/>
          <w:specVanish w:val="0"/>
        </w:rPr>
        <w:t>10.1007/s11136-005-2816-9</w:t>
      </w:r>
    </w:p>
    <w:p w14:paraId="2A9D8EFA" w14:textId="77777777" w:rsidR="00CB621F" w:rsidRDefault="00CB621F" w:rsidP="00CB621F">
      <w:pPr>
        <w:spacing w:line="480" w:lineRule="auto"/>
        <w:ind w:left="567" w:hanging="567"/>
      </w:pPr>
      <w:r w:rsidRPr="007A49E1">
        <w:t xml:space="preserve">Rosenberg, M. (1965). </w:t>
      </w:r>
      <w:r w:rsidRPr="00711EF5">
        <w:rPr>
          <w:i/>
        </w:rPr>
        <w:t>Society and the adolescent self-image</w:t>
      </w:r>
      <w:r w:rsidRPr="007A49E1">
        <w:t xml:space="preserve">. Princeton, NJ: Princeton University Press. </w:t>
      </w:r>
    </w:p>
    <w:p w14:paraId="1D3F83C6" w14:textId="3F2F7060" w:rsidR="00F44AA4" w:rsidRPr="00036930" w:rsidRDefault="00F44AA4" w:rsidP="00036930">
      <w:pPr>
        <w:pStyle w:val="EndNoteBibliography"/>
        <w:spacing w:after="0" w:line="480" w:lineRule="auto"/>
        <w:ind w:left="720" w:hanging="720"/>
        <w:rPr>
          <w:rFonts w:ascii="Times New Roman" w:hAnsi="Times New Roman"/>
          <w:sz w:val="24"/>
          <w:szCs w:val="24"/>
        </w:rPr>
      </w:pPr>
      <w:r w:rsidRPr="00036930">
        <w:rPr>
          <w:rFonts w:ascii="Times New Roman" w:hAnsi="Times New Roman"/>
          <w:sz w:val="24"/>
          <w:szCs w:val="24"/>
        </w:rPr>
        <w:t>Rosseel, Y.</w:t>
      </w:r>
      <w:r w:rsidR="00CB621F">
        <w:rPr>
          <w:rFonts w:ascii="Times New Roman" w:hAnsi="Times New Roman"/>
          <w:sz w:val="24"/>
          <w:szCs w:val="24"/>
        </w:rPr>
        <w:t xml:space="preserve"> (20</w:t>
      </w:r>
      <w:r w:rsidRPr="00036930">
        <w:rPr>
          <w:rFonts w:ascii="Times New Roman" w:hAnsi="Times New Roman"/>
          <w:sz w:val="24"/>
          <w:szCs w:val="24"/>
        </w:rPr>
        <w:t>12</w:t>
      </w:r>
      <w:r w:rsidR="00CB621F">
        <w:rPr>
          <w:rFonts w:ascii="Times New Roman" w:hAnsi="Times New Roman"/>
          <w:sz w:val="24"/>
          <w:szCs w:val="24"/>
        </w:rPr>
        <w:t>)</w:t>
      </w:r>
      <w:r w:rsidRPr="00036930">
        <w:rPr>
          <w:rFonts w:ascii="Times New Roman" w:hAnsi="Times New Roman"/>
          <w:sz w:val="24"/>
          <w:szCs w:val="24"/>
        </w:rPr>
        <w:t xml:space="preserve">. lavaan: An R package for structural equation modeling. </w:t>
      </w:r>
      <w:r w:rsidRPr="00711EF5">
        <w:rPr>
          <w:rFonts w:ascii="Times New Roman" w:hAnsi="Times New Roman"/>
          <w:i/>
          <w:iCs/>
          <w:sz w:val="24"/>
          <w:szCs w:val="24"/>
        </w:rPr>
        <w:t>J</w:t>
      </w:r>
      <w:r w:rsidR="00CB621F" w:rsidRPr="00711EF5">
        <w:rPr>
          <w:rFonts w:ascii="Times New Roman" w:hAnsi="Times New Roman"/>
          <w:i/>
          <w:iCs/>
          <w:sz w:val="24"/>
          <w:szCs w:val="24"/>
        </w:rPr>
        <w:t>ournal of</w:t>
      </w:r>
      <w:r w:rsidRPr="00711EF5">
        <w:rPr>
          <w:rFonts w:ascii="Times New Roman" w:hAnsi="Times New Roman"/>
          <w:i/>
          <w:iCs/>
          <w:sz w:val="24"/>
          <w:szCs w:val="24"/>
        </w:rPr>
        <w:t xml:space="preserve"> Stat</w:t>
      </w:r>
      <w:r w:rsidR="00CB621F" w:rsidRPr="00711EF5">
        <w:rPr>
          <w:rFonts w:ascii="Times New Roman" w:hAnsi="Times New Roman"/>
          <w:i/>
          <w:iCs/>
          <w:sz w:val="24"/>
          <w:szCs w:val="24"/>
        </w:rPr>
        <w:t xml:space="preserve">istical </w:t>
      </w:r>
      <w:r w:rsidRPr="00711EF5">
        <w:rPr>
          <w:rFonts w:ascii="Times New Roman" w:hAnsi="Times New Roman"/>
          <w:i/>
          <w:iCs/>
          <w:sz w:val="24"/>
          <w:szCs w:val="24"/>
        </w:rPr>
        <w:t>Software</w:t>
      </w:r>
      <w:r w:rsidRPr="00036930">
        <w:rPr>
          <w:rFonts w:ascii="Times New Roman" w:hAnsi="Times New Roman"/>
          <w:sz w:val="24"/>
          <w:szCs w:val="24"/>
        </w:rPr>
        <w:t xml:space="preserve">, </w:t>
      </w:r>
      <w:r w:rsidRPr="00E06A46">
        <w:rPr>
          <w:rFonts w:ascii="Times New Roman" w:hAnsi="Times New Roman"/>
          <w:i/>
          <w:iCs/>
          <w:sz w:val="24"/>
          <w:szCs w:val="24"/>
        </w:rPr>
        <w:t>48</w:t>
      </w:r>
      <w:r w:rsidRPr="00036930">
        <w:rPr>
          <w:rFonts w:ascii="Times New Roman" w:hAnsi="Times New Roman"/>
          <w:sz w:val="24"/>
          <w:szCs w:val="24"/>
        </w:rPr>
        <w:t>, 1-36.</w:t>
      </w:r>
    </w:p>
    <w:p w14:paraId="3106789A" w14:textId="77777777" w:rsidR="00CB621F" w:rsidRDefault="00CB621F" w:rsidP="00CB621F">
      <w:pPr>
        <w:pStyle w:val="EndNoteBibliography"/>
        <w:spacing w:after="0" w:line="480" w:lineRule="auto"/>
        <w:ind w:left="720" w:hanging="720"/>
        <w:rPr>
          <w:rFonts w:ascii="Times New Roman" w:hAnsi="Times New Roman"/>
          <w:color w:val="000000" w:themeColor="text1"/>
          <w:sz w:val="24"/>
          <w:szCs w:val="24"/>
          <w:lang w:val="en"/>
        </w:rPr>
      </w:pPr>
      <w:r w:rsidRPr="00550099">
        <w:rPr>
          <w:rFonts w:ascii="Times New Roman" w:hAnsi="Times New Roman"/>
          <w:color w:val="000000" w:themeColor="text1"/>
          <w:sz w:val="24"/>
          <w:szCs w:val="24"/>
        </w:rPr>
        <w:t xml:space="preserve">Rossi, A., &amp; Daneluzzo, E. (2002). Schizotypal dimensions in normals and schizophrenic patients: A comparison with other clinical samples. </w:t>
      </w:r>
      <w:r w:rsidRPr="00711EF5">
        <w:rPr>
          <w:rFonts w:ascii="Times New Roman" w:hAnsi="Times New Roman"/>
          <w:i/>
          <w:color w:val="000000" w:themeColor="text1"/>
          <w:sz w:val="24"/>
          <w:szCs w:val="24"/>
        </w:rPr>
        <w:t>Schizophrenia Research</w:t>
      </w:r>
      <w:r w:rsidRPr="00CB621F">
        <w:rPr>
          <w:rFonts w:ascii="Times New Roman" w:hAnsi="Times New Roman"/>
          <w:iCs/>
          <w:color w:val="000000" w:themeColor="text1"/>
          <w:sz w:val="24"/>
          <w:szCs w:val="24"/>
        </w:rPr>
        <w:t xml:space="preserve">, </w:t>
      </w:r>
      <w:r w:rsidRPr="00E06A46">
        <w:rPr>
          <w:rFonts w:ascii="Times New Roman" w:hAnsi="Times New Roman"/>
          <w:i/>
          <w:color w:val="000000" w:themeColor="text1"/>
          <w:sz w:val="24"/>
          <w:szCs w:val="24"/>
        </w:rPr>
        <w:t>54</w:t>
      </w:r>
      <w:r w:rsidRPr="00CB621F">
        <w:rPr>
          <w:rFonts w:ascii="Times New Roman" w:hAnsi="Times New Roman"/>
          <w:iCs/>
          <w:color w:val="000000" w:themeColor="text1"/>
          <w:sz w:val="24"/>
          <w:szCs w:val="24"/>
        </w:rPr>
        <w:t>,</w:t>
      </w:r>
      <w:r w:rsidRPr="00550099">
        <w:rPr>
          <w:rFonts w:ascii="Times New Roman" w:hAnsi="Times New Roman"/>
          <w:color w:val="000000" w:themeColor="text1"/>
          <w:sz w:val="24"/>
          <w:szCs w:val="24"/>
        </w:rPr>
        <w:t xml:space="preserve"> 67-75. doi:</w:t>
      </w:r>
      <w:r w:rsidRPr="00550099">
        <w:rPr>
          <w:rFonts w:ascii="Times New Roman" w:hAnsi="Times New Roman"/>
          <w:color w:val="000000" w:themeColor="text1"/>
          <w:sz w:val="24"/>
          <w:szCs w:val="24"/>
          <w:lang w:val="en"/>
        </w:rPr>
        <w:t>10.1016/S0920-9964(01)00353-X</w:t>
      </w:r>
    </w:p>
    <w:p w14:paraId="2346B498" w14:textId="1CF8932D" w:rsidR="00C70171" w:rsidRPr="00036930" w:rsidRDefault="00C70171" w:rsidP="00036930">
      <w:pPr>
        <w:pStyle w:val="EndNoteBibliography"/>
        <w:spacing w:after="0" w:line="480" w:lineRule="auto"/>
        <w:ind w:left="851" w:hanging="851"/>
        <w:rPr>
          <w:rFonts w:ascii="Times New Roman" w:hAnsi="Times New Roman"/>
          <w:color w:val="000000" w:themeColor="text1"/>
          <w:sz w:val="24"/>
          <w:szCs w:val="24"/>
          <w:lang w:val="en"/>
        </w:rPr>
      </w:pPr>
      <w:r w:rsidRPr="00036930">
        <w:rPr>
          <w:rFonts w:ascii="Times New Roman" w:hAnsi="Times New Roman"/>
          <w:color w:val="000000" w:themeColor="text1"/>
          <w:sz w:val="24"/>
          <w:szCs w:val="24"/>
          <w:lang w:val="en"/>
        </w:rPr>
        <w:t>Satorra, A.,</w:t>
      </w:r>
      <w:r w:rsidR="00CB621F">
        <w:rPr>
          <w:rFonts w:ascii="Times New Roman" w:hAnsi="Times New Roman"/>
          <w:color w:val="000000" w:themeColor="text1"/>
          <w:sz w:val="24"/>
          <w:szCs w:val="24"/>
          <w:lang w:val="en"/>
        </w:rPr>
        <w:t xml:space="preserve"> &amp;</w:t>
      </w:r>
      <w:r w:rsidRPr="00036930">
        <w:rPr>
          <w:rFonts w:ascii="Times New Roman" w:hAnsi="Times New Roman"/>
          <w:color w:val="000000" w:themeColor="text1"/>
          <w:sz w:val="24"/>
          <w:szCs w:val="24"/>
          <w:lang w:val="en"/>
        </w:rPr>
        <w:t xml:space="preserve"> Bentler, P.M. </w:t>
      </w:r>
      <w:r w:rsidR="00CB621F">
        <w:rPr>
          <w:rFonts w:ascii="Times New Roman" w:hAnsi="Times New Roman"/>
          <w:color w:val="000000" w:themeColor="text1"/>
          <w:sz w:val="24"/>
          <w:szCs w:val="24"/>
          <w:lang w:val="en"/>
        </w:rPr>
        <w:t>(</w:t>
      </w:r>
      <w:r w:rsidRPr="00036930">
        <w:rPr>
          <w:rFonts w:ascii="Times New Roman" w:hAnsi="Times New Roman"/>
          <w:color w:val="000000" w:themeColor="text1"/>
          <w:sz w:val="24"/>
          <w:szCs w:val="24"/>
          <w:lang w:val="en"/>
        </w:rPr>
        <w:t>2001</w:t>
      </w:r>
      <w:r w:rsidR="00CB621F">
        <w:rPr>
          <w:rFonts w:ascii="Times New Roman" w:hAnsi="Times New Roman"/>
          <w:color w:val="000000" w:themeColor="text1"/>
          <w:sz w:val="24"/>
          <w:szCs w:val="24"/>
          <w:lang w:val="en"/>
        </w:rPr>
        <w:t>)</w:t>
      </w:r>
      <w:r w:rsidRPr="00036930">
        <w:rPr>
          <w:rFonts w:ascii="Times New Roman" w:hAnsi="Times New Roman"/>
          <w:color w:val="000000" w:themeColor="text1"/>
          <w:sz w:val="24"/>
          <w:szCs w:val="24"/>
          <w:lang w:val="en"/>
        </w:rPr>
        <w:t xml:space="preserve">. A scaled difference chi-square test statistic for moment structure analysis. </w:t>
      </w:r>
      <w:r w:rsidRPr="00711EF5">
        <w:rPr>
          <w:rFonts w:ascii="Times New Roman" w:hAnsi="Times New Roman"/>
          <w:i/>
          <w:iCs/>
          <w:color w:val="000000" w:themeColor="text1"/>
          <w:sz w:val="24"/>
          <w:szCs w:val="24"/>
          <w:lang w:val="en"/>
        </w:rPr>
        <w:t>Psychometrika</w:t>
      </w:r>
      <w:r w:rsidR="00CB621F">
        <w:rPr>
          <w:rFonts w:ascii="Times New Roman" w:hAnsi="Times New Roman"/>
          <w:color w:val="000000" w:themeColor="text1"/>
          <w:sz w:val="24"/>
          <w:szCs w:val="24"/>
          <w:lang w:val="en"/>
        </w:rPr>
        <w:t>,</w:t>
      </w:r>
      <w:r w:rsidRPr="00036930">
        <w:rPr>
          <w:rFonts w:ascii="Times New Roman" w:hAnsi="Times New Roman"/>
          <w:color w:val="000000" w:themeColor="text1"/>
          <w:sz w:val="24"/>
          <w:szCs w:val="24"/>
          <w:lang w:val="en"/>
        </w:rPr>
        <w:t xml:space="preserve"> </w:t>
      </w:r>
      <w:r w:rsidRPr="00E06A46">
        <w:rPr>
          <w:rFonts w:ascii="Times New Roman" w:hAnsi="Times New Roman"/>
          <w:i/>
          <w:iCs/>
          <w:color w:val="000000" w:themeColor="text1"/>
          <w:sz w:val="24"/>
          <w:szCs w:val="24"/>
          <w:lang w:val="en"/>
        </w:rPr>
        <w:t>66</w:t>
      </w:r>
      <w:r w:rsidRPr="00036930">
        <w:rPr>
          <w:rFonts w:ascii="Times New Roman" w:hAnsi="Times New Roman"/>
          <w:color w:val="000000" w:themeColor="text1"/>
          <w:sz w:val="24"/>
          <w:szCs w:val="24"/>
          <w:lang w:val="en"/>
        </w:rPr>
        <w:t xml:space="preserve">, 507-514. </w:t>
      </w:r>
      <w:hyperlink r:id="rId10" w:history="1">
        <w:r w:rsidRPr="00036930">
          <w:rPr>
            <w:rStyle w:val="Hyperlink"/>
            <w:rFonts w:ascii="Times New Roman" w:hAnsi="Times New Roman"/>
            <w:sz w:val="24"/>
            <w:szCs w:val="24"/>
            <w:lang w:val="en"/>
          </w:rPr>
          <w:t>https://doi.org/10.1007/BF02296192</w:t>
        </w:r>
      </w:hyperlink>
    </w:p>
    <w:p w14:paraId="46143FF0" w14:textId="77777777" w:rsidR="00CB621F" w:rsidRDefault="00CB621F" w:rsidP="00CB621F">
      <w:pPr>
        <w:spacing w:line="480" w:lineRule="auto"/>
        <w:ind w:left="567" w:hanging="567"/>
        <w:rPr>
          <w:rStyle w:val="Emphasis"/>
          <w:bCs/>
          <w:color w:val="000000" w:themeColor="text1"/>
        </w:rPr>
      </w:pPr>
      <w:r w:rsidRPr="007A49E1">
        <w:rPr>
          <w:bCs/>
          <w:color w:val="000000" w:themeColor="text1"/>
        </w:rPr>
        <w:t xml:space="preserve">Sava, F. A., </w:t>
      </w:r>
      <w:proofErr w:type="spellStart"/>
      <w:r w:rsidRPr="008050F9">
        <w:rPr>
          <w:bCs/>
          <w:color w:val="000000" w:themeColor="text1"/>
        </w:rPr>
        <w:t>Maricu</w:t>
      </w:r>
      <w:r w:rsidRPr="008050F9">
        <w:rPr>
          <w:rStyle w:val="Emphasis"/>
          <w:bCs/>
          <w:i w:val="0"/>
          <w:color w:val="000000" w:themeColor="text1"/>
        </w:rPr>
        <w:t>țoiu</w:t>
      </w:r>
      <w:proofErr w:type="spellEnd"/>
      <w:r w:rsidRPr="008050F9">
        <w:rPr>
          <w:rStyle w:val="Emphasis"/>
          <w:bCs/>
          <w:i w:val="0"/>
          <w:color w:val="000000" w:themeColor="text1"/>
        </w:rPr>
        <w:t xml:space="preserve">, L. P., </w:t>
      </w:r>
      <w:proofErr w:type="spellStart"/>
      <w:r w:rsidRPr="008050F9">
        <w:rPr>
          <w:rStyle w:val="Emphasis"/>
          <w:bCs/>
          <w:i w:val="0"/>
          <w:color w:val="000000" w:themeColor="text1"/>
        </w:rPr>
        <w:t>Rusu</w:t>
      </w:r>
      <w:proofErr w:type="spellEnd"/>
      <w:r w:rsidRPr="008050F9">
        <w:rPr>
          <w:rStyle w:val="Emphasis"/>
          <w:bCs/>
          <w:i w:val="0"/>
          <w:color w:val="000000" w:themeColor="text1"/>
        </w:rPr>
        <w:t xml:space="preserve">, S., </w:t>
      </w:r>
      <w:proofErr w:type="spellStart"/>
      <w:r w:rsidRPr="008050F9">
        <w:rPr>
          <w:rStyle w:val="Emphasis"/>
          <w:bCs/>
          <w:i w:val="0"/>
          <w:color w:val="000000" w:themeColor="text1"/>
        </w:rPr>
        <w:t>Macsinga</w:t>
      </w:r>
      <w:proofErr w:type="spellEnd"/>
      <w:r w:rsidRPr="008050F9">
        <w:rPr>
          <w:rStyle w:val="Emphasis"/>
          <w:bCs/>
          <w:i w:val="0"/>
          <w:color w:val="000000" w:themeColor="text1"/>
        </w:rPr>
        <w:t xml:space="preserve">, I., &amp; </w:t>
      </w:r>
      <w:proofErr w:type="spellStart"/>
      <w:r w:rsidRPr="008050F9">
        <w:rPr>
          <w:rStyle w:val="Emphasis"/>
          <w:bCs/>
          <w:i w:val="0"/>
          <w:color w:val="000000" w:themeColor="text1"/>
        </w:rPr>
        <w:t>Vîrgā</w:t>
      </w:r>
      <w:proofErr w:type="spellEnd"/>
      <w:r w:rsidRPr="008050F9">
        <w:rPr>
          <w:rStyle w:val="Emphasis"/>
          <w:bCs/>
          <w:i w:val="0"/>
          <w:color w:val="000000" w:themeColor="text1"/>
        </w:rPr>
        <w:t>, D. (2011). Implicit and explicit self-esteem and irrational beliefs</w:t>
      </w:r>
      <w:r w:rsidRPr="00CB621F">
        <w:rPr>
          <w:rStyle w:val="Emphasis"/>
          <w:b/>
          <w:i w:val="0"/>
          <w:color w:val="000000" w:themeColor="text1"/>
        </w:rPr>
        <w:t>.</w:t>
      </w:r>
      <w:r w:rsidRPr="00CB621F">
        <w:rPr>
          <w:rStyle w:val="Emphasis"/>
          <w:b/>
          <w:color w:val="000000" w:themeColor="text1"/>
        </w:rPr>
        <w:t xml:space="preserve"> </w:t>
      </w:r>
      <w:r w:rsidRPr="00711EF5">
        <w:rPr>
          <w:rStyle w:val="Emphasis"/>
          <w:bCs/>
          <w:color w:val="000000" w:themeColor="text1"/>
        </w:rPr>
        <w:t xml:space="preserve">Journal of Cognitive and </w:t>
      </w:r>
      <w:proofErr w:type="spellStart"/>
      <w:r w:rsidRPr="00711EF5">
        <w:rPr>
          <w:rStyle w:val="Emphasis"/>
          <w:bCs/>
          <w:color w:val="000000" w:themeColor="text1"/>
        </w:rPr>
        <w:t>Behavioral</w:t>
      </w:r>
      <w:proofErr w:type="spellEnd"/>
      <w:r w:rsidRPr="00711EF5">
        <w:rPr>
          <w:rStyle w:val="Emphasis"/>
          <w:bCs/>
          <w:color w:val="000000" w:themeColor="text1"/>
        </w:rPr>
        <w:t xml:space="preserve"> Psychotherapies</w:t>
      </w:r>
      <w:r w:rsidRPr="00CB621F">
        <w:rPr>
          <w:rStyle w:val="Emphasis"/>
          <w:bCs/>
          <w:i w:val="0"/>
          <w:iCs w:val="0"/>
          <w:color w:val="000000" w:themeColor="text1"/>
        </w:rPr>
        <w:t xml:space="preserve">, </w:t>
      </w:r>
      <w:r w:rsidRPr="00E06A46">
        <w:rPr>
          <w:rStyle w:val="Emphasis"/>
          <w:bCs/>
          <w:color w:val="000000" w:themeColor="text1"/>
        </w:rPr>
        <w:t>11</w:t>
      </w:r>
      <w:r w:rsidRPr="007A49E1">
        <w:rPr>
          <w:rStyle w:val="Emphasis"/>
          <w:bCs/>
          <w:color w:val="000000" w:themeColor="text1"/>
        </w:rPr>
        <w:t xml:space="preserve">, </w:t>
      </w:r>
      <w:r w:rsidRPr="00711EF5">
        <w:rPr>
          <w:rStyle w:val="Emphasis"/>
          <w:bCs/>
          <w:i w:val="0"/>
          <w:iCs w:val="0"/>
          <w:color w:val="000000" w:themeColor="text1"/>
        </w:rPr>
        <w:t>97-111</w:t>
      </w:r>
      <w:r w:rsidRPr="007A49E1">
        <w:rPr>
          <w:rStyle w:val="Emphasis"/>
          <w:bCs/>
          <w:color w:val="000000" w:themeColor="text1"/>
        </w:rPr>
        <w:t xml:space="preserve">. </w:t>
      </w:r>
    </w:p>
    <w:p w14:paraId="11E5B5E7" w14:textId="77777777" w:rsidR="00CB621F" w:rsidRPr="001D0388" w:rsidRDefault="00CB621F" w:rsidP="00CB621F">
      <w:pPr>
        <w:spacing w:line="480" w:lineRule="auto"/>
        <w:ind w:left="567" w:hanging="567"/>
        <w:rPr>
          <w:bCs/>
          <w:color w:val="000000" w:themeColor="text1"/>
        </w:rPr>
      </w:pPr>
      <w:r>
        <w:rPr>
          <w:bCs/>
          <w:color w:val="000000" w:themeColor="text1"/>
        </w:rPr>
        <w:t xml:space="preserve">Schmidt, S., </w:t>
      </w:r>
      <w:proofErr w:type="spellStart"/>
      <w:r>
        <w:rPr>
          <w:bCs/>
          <w:color w:val="000000" w:themeColor="text1"/>
        </w:rPr>
        <w:t>Mühlan</w:t>
      </w:r>
      <w:proofErr w:type="spellEnd"/>
      <w:r>
        <w:rPr>
          <w:bCs/>
          <w:color w:val="000000" w:themeColor="text1"/>
        </w:rPr>
        <w:t xml:space="preserve">, H., &amp; Power, M. (2006). The EUROHIS-QOL 8-item index: Psychometric results of a cross-cultural field study. </w:t>
      </w:r>
      <w:r w:rsidRPr="00E06A46">
        <w:rPr>
          <w:bCs/>
          <w:i/>
          <w:color w:val="000000" w:themeColor="text1"/>
        </w:rPr>
        <w:t>European Journal of Public Health, 16</w:t>
      </w:r>
      <w:r>
        <w:rPr>
          <w:bCs/>
          <w:color w:val="000000" w:themeColor="text1"/>
        </w:rPr>
        <w:t>, 420-428. doi:10.1093/</w:t>
      </w:r>
      <w:proofErr w:type="spellStart"/>
      <w:r>
        <w:rPr>
          <w:bCs/>
          <w:color w:val="000000" w:themeColor="text1"/>
        </w:rPr>
        <w:t>eurpub</w:t>
      </w:r>
      <w:proofErr w:type="spellEnd"/>
      <w:r>
        <w:rPr>
          <w:bCs/>
          <w:color w:val="000000" w:themeColor="text1"/>
        </w:rPr>
        <w:t>/cki155</w:t>
      </w:r>
    </w:p>
    <w:p w14:paraId="55FA93C1" w14:textId="615EB61F" w:rsidR="00CB621F" w:rsidRPr="001D0388" w:rsidRDefault="00CB621F" w:rsidP="00CB621F">
      <w:pPr>
        <w:spacing w:line="480" w:lineRule="auto"/>
        <w:ind w:left="567" w:hanging="567"/>
      </w:pPr>
      <w:r w:rsidRPr="007A49E1">
        <w:t xml:space="preserve">Schmitt, D. P., &amp; </w:t>
      </w:r>
      <w:proofErr w:type="spellStart"/>
      <w:r w:rsidRPr="007A49E1">
        <w:t>Allik</w:t>
      </w:r>
      <w:proofErr w:type="spellEnd"/>
      <w:r w:rsidRPr="007A49E1">
        <w:t xml:space="preserve">, J. (2005). Simultaneous administration of the Rosenberg Self-Esteem Scale in 53 nations: Exploring the universal and culture-specific features of global self-esteem. </w:t>
      </w:r>
      <w:r w:rsidRPr="00E06A46">
        <w:rPr>
          <w:i/>
        </w:rPr>
        <w:t>Journal of Personality and Social Psychology, 89</w:t>
      </w:r>
      <w:r w:rsidRPr="007A49E1">
        <w:t>, 623-642. doi:10.1037/0022-3514.89.3.623</w:t>
      </w:r>
    </w:p>
    <w:p w14:paraId="0903459B" w14:textId="77777777" w:rsidR="00CB621F" w:rsidRDefault="00CB621F" w:rsidP="00CB621F">
      <w:pPr>
        <w:pStyle w:val="EndNoteBibliography"/>
        <w:spacing w:after="0" w:line="480" w:lineRule="auto"/>
        <w:ind w:left="720" w:hanging="720"/>
        <w:rPr>
          <w:rFonts w:ascii="Times New Roman" w:hAnsi="Times New Roman"/>
          <w:color w:val="000000" w:themeColor="text1"/>
          <w:sz w:val="24"/>
          <w:szCs w:val="24"/>
          <w:lang w:val="en"/>
        </w:rPr>
      </w:pPr>
      <w:r>
        <w:rPr>
          <w:rFonts w:ascii="Times New Roman" w:hAnsi="Times New Roman"/>
          <w:color w:val="000000" w:themeColor="text1"/>
          <w:sz w:val="24"/>
          <w:szCs w:val="24"/>
          <w:lang w:val="en"/>
        </w:rPr>
        <w:lastRenderedPageBreak/>
        <w:t xml:space="preserve">Sfetcu, R., Pauna, C. B., &amp; Iordan, M. (2011). </w:t>
      </w:r>
      <w:r w:rsidRPr="00E06A46">
        <w:rPr>
          <w:rFonts w:ascii="Times New Roman" w:hAnsi="Times New Roman"/>
          <w:i/>
          <w:iCs/>
          <w:color w:val="000000" w:themeColor="text1"/>
          <w:sz w:val="24"/>
          <w:szCs w:val="24"/>
          <w:lang w:val="en"/>
        </w:rPr>
        <w:t>The impact of poverty on mental health and well-being and the necessity for integrated social policies in Romania</w:t>
      </w:r>
      <w:r>
        <w:rPr>
          <w:rFonts w:ascii="Times New Roman" w:hAnsi="Times New Roman"/>
          <w:color w:val="000000" w:themeColor="text1"/>
          <w:sz w:val="24"/>
          <w:szCs w:val="24"/>
          <w:lang w:val="en"/>
        </w:rPr>
        <w:t>. Paper presented at the 51</w:t>
      </w:r>
      <w:r w:rsidRPr="00E3738B">
        <w:rPr>
          <w:rFonts w:ascii="Times New Roman" w:hAnsi="Times New Roman"/>
          <w:color w:val="000000" w:themeColor="text1"/>
          <w:sz w:val="24"/>
          <w:szCs w:val="24"/>
          <w:vertAlign w:val="superscript"/>
          <w:lang w:val="en"/>
        </w:rPr>
        <w:t>st</w:t>
      </w:r>
      <w:r>
        <w:rPr>
          <w:rFonts w:ascii="Times New Roman" w:hAnsi="Times New Roman"/>
          <w:color w:val="000000" w:themeColor="text1"/>
          <w:sz w:val="24"/>
          <w:szCs w:val="24"/>
          <w:lang w:val="en"/>
        </w:rPr>
        <w:t xml:space="preserve"> Congress of the European Regional Sciences Association, August 30-September 3, 2011, Barcelona, Spain.</w:t>
      </w:r>
    </w:p>
    <w:p w14:paraId="5D9213C3" w14:textId="77777777" w:rsidR="00CB621F" w:rsidRDefault="00CB621F" w:rsidP="00CB621F">
      <w:pPr>
        <w:pStyle w:val="EndNoteBibliography"/>
        <w:spacing w:after="0" w:line="480" w:lineRule="auto"/>
        <w:ind w:left="720" w:hanging="720"/>
        <w:rPr>
          <w:rFonts w:ascii="Times New Roman" w:hAnsi="Times New Roman"/>
          <w:sz w:val="24"/>
          <w:szCs w:val="24"/>
          <w:lang w:val="de-DE"/>
        </w:rPr>
      </w:pPr>
      <w:r w:rsidRPr="00A9625F">
        <w:rPr>
          <w:rFonts w:ascii="Times New Roman" w:hAnsi="Times New Roman"/>
          <w:sz w:val="24"/>
          <w:szCs w:val="24"/>
        </w:rPr>
        <w:t xml:space="preserve">Stefanis, N. C., Smyrnis, N., Avramopoulos, D., Evdokimidis, I., Ntzoufras, I., &amp; Stefanis, C. N. (2004). Factorial composition of self-rated schizotypal traits among young males undergoing military training. </w:t>
      </w:r>
      <w:r w:rsidRPr="00E06A46">
        <w:rPr>
          <w:rFonts w:ascii="Times New Roman" w:hAnsi="Times New Roman"/>
          <w:i/>
          <w:sz w:val="24"/>
          <w:szCs w:val="24"/>
          <w:lang w:val="de-DE"/>
        </w:rPr>
        <w:t>Schizophrenia Bulletin, 30</w:t>
      </w:r>
      <w:r w:rsidRPr="00A9625F">
        <w:rPr>
          <w:rFonts w:ascii="Times New Roman" w:hAnsi="Times New Roman"/>
          <w:sz w:val="24"/>
          <w:szCs w:val="24"/>
          <w:lang w:val="de-DE"/>
        </w:rPr>
        <w:t xml:space="preserve">, 335-350. </w:t>
      </w:r>
    </w:p>
    <w:p w14:paraId="480D127B" w14:textId="556C9163" w:rsidR="00CB621F" w:rsidRPr="001D0388" w:rsidRDefault="00CB621F" w:rsidP="00CB621F">
      <w:pPr>
        <w:pStyle w:val="EndNoteBibliography"/>
        <w:spacing w:after="0" w:line="480" w:lineRule="auto"/>
        <w:ind w:left="720" w:hanging="720"/>
        <w:rPr>
          <w:rFonts w:ascii="Times New Roman" w:hAnsi="Times New Roman"/>
          <w:sz w:val="24"/>
          <w:szCs w:val="24"/>
          <w:lang w:val="de-DE"/>
        </w:rPr>
      </w:pPr>
      <w:r>
        <w:rPr>
          <w:rFonts w:ascii="Times New Roman" w:hAnsi="Times New Roman"/>
          <w:sz w:val="24"/>
          <w:szCs w:val="24"/>
          <w:lang w:val="de-DE"/>
        </w:rPr>
        <w:t>Swami, V., &amp; Barron, D. (2019). Translatio</w:t>
      </w:r>
      <w:r w:rsidR="00E06A46">
        <w:rPr>
          <w:rFonts w:ascii="Times New Roman" w:hAnsi="Times New Roman"/>
          <w:sz w:val="24"/>
          <w:szCs w:val="24"/>
          <w:lang w:val="de-DE"/>
        </w:rPr>
        <w:t>n</w:t>
      </w:r>
      <w:r>
        <w:rPr>
          <w:rFonts w:ascii="Times New Roman" w:hAnsi="Times New Roman"/>
          <w:sz w:val="24"/>
          <w:szCs w:val="24"/>
          <w:lang w:val="de-DE"/>
        </w:rPr>
        <w:t xml:space="preserve"> and validation of body image instruments: Challenges, good practice guidelines, and reporting recommendations for test adaptation. </w:t>
      </w:r>
      <w:r w:rsidRPr="00E06A46">
        <w:rPr>
          <w:rFonts w:ascii="Times New Roman" w:hAnsi="Times New Roman"/>
          <w:i/>
          <w:sz w:val="24"/>
          <w:szCs w:val="24"/>
          <w:lang w:val="de-DE"/>
        </w:rPr>
        <w:t>Body Image</w:t>
      </w:r>
      <w:r w:rsidR="006263B9" w:rsidRPr="00F8124C">
        <w:rPr>
          <w:rFonts w:ascii="Times New Roman" w:hAnsi="Times New Roman"/>
          <w:iCs/>
          <w:sz w:val="24"/>
          <w:szCs w:val="24"/>
          <w:lang w:val="de-DE"/>
        </w:rPr>
        <w:t xml:space="preserve">, </w:t>
      </w:r>
      <w:r w:rsidR="006263B9" w:rsidRPr="00F8124C">
        <w:rPr>
          <w:rFonts w:ascii="Times New Roman" w:hAnsi="Times New Roman"/>
          <w:i/>
          <w:sz w:val="24"/>
          <w:szCs w:val="24"/>
          <w:lang w:val="de-DE"/>
        </w:rPr>
        <w:t>3</w:t>
      </w:r>
      <w:r w:rsidR="006263B9">
        <w:rPr>
          <w:rFonts w:ascii="Times New Roman" w:hAnsi="Times New Roman"/>
          <w:i/>
          <w:sz w:val="24"/>
          <w:szCs w:val="24"/>
          <w:lang w:val="de-DE"/>
        </w:rPr>
        <w:t xml:space="preserve">1, </w:t>
      </w:r>
      <w:r w:rsidR="006263B9">
        <w:rPr>
          <w:rFonts w:ascii="Times New Roman" w:hAnsi="Times New Roman"/>
          <w:iCs/>
          <w:sz w:val="24"/>
          <w:szCs w:val="24"/>
          <w:lang w:val="de-DE"/>
        </w:rPr>
        <w:t>202-220.</w:t>
      </w:r>
      <w:r w:rsidRPr="006263B9">
        <w:rPr>
          <w:rFonts w:ascii="Times New Roman" w:hAnsi="Times New Roman"/>
          <w:sz w:val="24"/>
          <w:szCs w:val="24"/>
          <w:lang w:val="de-DE"/>
        </w:rPr>
        <w:t xml:space="preserve"> </w:t>
      </w:r>
      <w:r>
        <w:rPr>
          <w:rFonts w:ascii="Times New Roman" w:hAnsi="Times New Roman"/>
          <w:sz w:val="24"/>
          <w:szCs w:val="24"/>
          <w:lang w:val="de-DE"/>
        </w:rPr>
        <w:t>doi:10.1016/j.bodyim.2018.08.014</w:t>
      </w:r>
    </w:p>
    <w:p w14:paraId="388ACF14" w14:textId="77777777" w:rsidR="00CB621F" w:rsidRPr="00CB4029" w:rsidRDefault="00CB621F" w:rsidP="00CB621F">
      <w:pPr>
        <w:pStyle w:val="EndNoteBibliography"/>
        <w:spacing w:after="0" w:line="480" w:lineRule="auto"/>
        <w:ind w:left="720" w:hanging="720"/>
        <w:rPr>
          <w:rFonts w:ascii="Times New Roman" w:hAnsi="Times New Roman"/>
          <w:sz w:val="24"/>
          <w:szCs w:val="24"/>
        </w:rPr>
      </w:pPr>
      <w:r w:rsidRPr="00CB4029">
        <w:rPr>
          <w:rFonts w:ascii="Times New Roman" w:hAnsi="Times New Roman"/>
          <w:sz w:val="24"/>
          <w:szCs w:val="24"/>
        </w:rPr>
        <w:t xml:space="preserve">Tsaousis, I., Zouraraki, C., Kamarou, P., Karagiannopoulou, L., &amp; Giakoumaki, S. G. (2015). The validity of the Schizotypal Personality Questionnaire in a Greek sample: Tests of measurement invariance and latent mean differences. </w:t>
      </w:r>
      <w:r w:rsidRPr="00E06A46">
        <w:rPr>
          <w:rFonts w:ascii="Times New Roman" w:hAnsi="Times New Roman"/>
          <w:i/>
          <w:sz w:val="24"/>
          <w:szCs w:val="24"/>
        </w:rPr>
        <w:t>Comprehensive Psychiatry, 62</w:t>
      </w:r>
      <w:r w:rsidRPr="00CB4029">
        <w:rPr>
          <w:rFonts w:ascii="Times New Roman" w:hAnsi="Times New Roman"/>
          <w:sz w:val="24"/>
          <w:szCs w:val="24"/>
        </w:rPr>
        <w:t>, 51-62. doi:10.1016/j.comppsych.2015.06.003</w:t>
      </w:r>
    </w:p>
    <w:p w14:paraId="1079B9F0" w14:textId="77777777" w:rsidR="00CB621F" w:rsidRDefault="00CB621F" w:rsidP="00CB621F">
      <w:pPr>
        <w:pStyle w:val="EndNoteBibliography"/>
        <w:spacing w:after="0" w:line="480" w:lineRule="auto"/>
        <w:ind w:left="851" w:hanging="851"/>
        <w:rPr>
          <w:rFonts w:ascii="Times New Roman" w:hAnsi="Times New Roman"/>
          <w:sz w:val="24"/>
          <w:szCs w:val="24"/>
          <w:lang w:val="de-DE"/>
        </w:rPr>
      </w:pPr>
      <w:r w:rsidRPr="00CB4029">
        <w:rPr>
          <w:rFonts w:ascii="Times New Roman" w:hAnsi="Times New Roman"/>
          <w:sz w:val="24"/>
          <w:szCs w:val="24"/>
        </w:rPr>
        <w:t xml:space="preserve">van Os, J., Hanssen, M., Bijlm, R.V., &amp; Vollebergh, W. </w:t>
      </w:r>
      <w:r>
        <w:rPr>
          <w:rFonts w:ascii="Times New Roman" w:hAnsi="Times New Roman"/>
          <w:sz w:val="24"/>
          <w:szCs w:val="24"/>
        </w:rPr>
        <w:t>(</w:t>
      </w:r>
      <w:r w:rsidRPr="00CB4029">
        <w:rPr>
          <w:rFonts w:ascii="Times New Roman" w:hAnsi="Times New Roman"/>
          <w:sz w:val="24"/>
          <w:szCs w:val="24"/>
        </w:rPr>
        <w:t>2001</w:t>
      </w:r>
      <w:r>
        <w:rPr>
          <w:rFonts w:ascii="Times New Roman" w:hAnsi="Times New Roman"/>
          <w:sz w:val="24"/>
          <w:szCs w:val="24"/>
        </w:rPr>
        <w:t>)</w:t>
      </w:r>
      <w:r w:rsidRPr="00CB4029">
        <w:rPr>
          <w:rFonts w:ascii="Times New Roman" w:hAnsi="Times New Roman"/>
          <w:sz w:val="24"/>
          <w:szCs w:val="24"/>
        </w:rPr>
        <w:t xml:space="preserve"> Prevalence of psychotic disorder and community level of psychotic symptoms: An urban-rural comparison. </w:t>
      </w:r>
      <w:r w:rsidRPr="00E06A46">
        <w:rPr>
          <w:rFonts w:ascii="Times New Roman" w:hAnsi="Times New Roman"/>
          <w:i/>
          <w:sz w:val="24"/>
          <w:szCs w:val="24"/>
        </w:rPr>
        <w:t>Archives of General Psychiatry, 58</w:t>
      </w:r>
      <w:r w:rsidRPr="00CB4029">
        <w:rPr>
          <w:rFonts w:ascii="Times New Roman" w:hAnsi="Times New Roman"/>
          <w:sz w:val="24"/>
          <w:szCs w:val="24"/>
        </w:rPr>
        <w:t xml:space="preserve">, 663-668. </w:t>
      </w:r>
      <w:r>
        <w:rPr>
          <w:rFonts w:ascii="Times New Roman" w:hAnsi="Times New Roman"/>
          <w:sz w:val="24"/>
          <w:szCs w:val="24"/>
        </w:rPr>
        <w:t xml:space="preserve">doi: </w:t>
      </w:r>
      <w:r w:rsidRPr="00CB4029">
        <w:rPr>
          <w:rFonts w:ascii="Times New Roman" w:hAnsi="Times New Roman"/>
          <w:sz w:val="24"/>
          <w:szCs w:val="24"/>
          <w:lang w:val="de-DE"/>
        </w:rPr>
        <w:t>10.1001/archpsyc.58.7.663</w:t>
      </w:r>
    </w:p>
    <w:p w14:paraId="3A4EA185" w14:textId="4559CF5F" w:rsidR="00CB621F" w:rsidRPr="00CB4029" w:rsidRDefault="00CB621F" w:rsidP="00CB621F">
      <w:pPr>
        <w:pStyle w:val="EndNoteBibliography"/>
        <w:spacing w:after="0" w:line="480" w:lineRule="auto"/>
        <w:ind w:left="720" w:hanging="720"/>
        <w:rPr>
          <w:sz w:val="24"/>
          <w:szCs w:val="24"/>
        </w:rPr>
      </w:pPr>
      <w:r w:rsidRPr="00CB4029">
        <w:rPr>
          <w:rFonts w:ascii="Times New Roman" w:hAnsi="Times New Roman"/>
          <w:sz w:val="24"/>
          <w:szCs w:val="24"/>
        </w:rPr>
        <w:t>van Os, J., Hanssen, M., de Graaf, R.,</w:t>
      </w:r>
      <w:r w:rsidR="005E1192">
        <w:rPr>
          <w:rFonts w:ascii="Times New Roman" w:hAnsi="Times New Roman"/>
          <w:sz w:val="24"/>
          <w:szCs w:val="24"/>
        </w:rPr>
        <w:t xml:space="preserve"> &amp;</w:t>
      </w:r>
      <w:r w:rsidRPr="00CB4029">
        <w:rPr>
          <w:rFonts w:ascii="Times New Roman" w:hAnsi="Times New Roman"/>
          <w:sz w:val="24"/>
          <w:szCs w:val="24"/>
        </w:rPr>
        <w:t xml:space="preserve"> Vollebergh, W. </w:t>
      </w:r>
      <w:r>
        <w:rPr>
          <w:rFonts w:ascii="Times New Roman" w:hAnsi="Times New Roman"/>
          <w:sz w:val="24"/>
          <w:szCs w:val="24"/>
        </w:rPr>
        <w:t>(</w:t>
      </w:r>
      <w:r w:rsidRPr="00CB4029">
        <w:rPr>
          <w:rFonts w:ascii="Times New Roman" w:hAnsi="Times New Roman"/>
          <w:sz w:val="24"/>
          <w:szCs w:val="24"/>
        </w:rPr>
        <w:t>2002</w:t>
      </w:r>
      <w:r>
        <w:rPr>
          <w:rFonts w:ascii="Times New Roman" w:hAnsi="Times New Roman"/>
          <w:sz w:val="24"/>
          <w:szCs w:val="24"/>
        </w:rPr>
        <w:t>)</w:t>
      </w:r>
      <w:r w:rsidRPr="00CB4029">
        <w:rPr>
          <w:rFonts w:ascii="Times New Roman" w:hAnsi="Times New Roman"/>
          <w:sz w:val="24"/>
          <w:szCs w:val="24"/>
        </w:rPr>
        <w:t xml:space="preserve"> Does the urban environment independently increase the risk for both negative and positive features of psychosis? </w:t>
      </w:r>
      <w:r w:rsidRPr="00E06A46">
        <w:rPr>
          <w:rFonts w:ascii="Times New Roman" w:hAnsi="Times New Roman"/>
          <w:i/>
          <w:sz w:val="24"/>
          <w:szCs w:val="24"/>
        </w:rPr>
        <w:t>Social Psychiatry and Psychiatric Epidemiology, 37</w:t>
      </w:r>
      <w:r w:rsidRPr="00CB4029">
        <w:rPr>
          <w:rFonts w:ascii="Times New Roman" w:hAnsi="Times New Roman"/>
          <w:sz w:val="24"/>
          <w:szCs w:val="24"/>
        </w:rPr>
        <w:t xml:space="preserve">, 460-464. </w:t>
      </w:r>
      <w:r>
        <w:rPr>
          <w:rFonts w:ascii="Times New Roman" w:hAnsi="Times New Roman"/>
          <w:sz w:val="24"/>
          <w:szCs w:val="24"/>
        </w:rPr>
        <w:t xml:space="preserve">doi: </w:t>
      </w:r>
      <w:r w:rsidRPr="00CB4029">
        <w:rPr>
          <w:rFonts w:ascii="Times New Roman" w:hAnsi="Times New Roman"/>
          <w:sz w:val="24"/>
          <w:szCs w:val="24"/>
        </w:rPr>
        <w:t>10.1007/s00127-002-0588-x</w:t>
      </w:r>
    </w:p>
    <w:p w14:paraId="1D0467D9" w14:textId="276533AC" w:rsidR="00C70171" w:rsidRPr="00036930" w:rsidRDefault="00C70171" w:rsidP="00036930">
      <w:pPr>
        <w:pStyle w:val="EndNoteBibliography"/>
        <w:spacing w:after="0" w:line="480" w:lineRule="auto"/>
        <w:ind w:left="720" w:hanging="720"/>
        <w:rPr>
          <w:rFonts w:ascii="Times New Roman" w:hAnsi="Times New Roman"/>
          <w:sz w:val="24"/>
          <w:szCs w:val="24"/>
        </w:rPr>
      </w:pPr>
      <w:r w:rsidRPr="00036930">
        <w:rPr>
          <w:rFonts w:ascii="Times New Roman" w:hAnsi="Times New Roman"/>
          <w:sz w:val="24"/>
          <w:szCs w:val="24"/>
        </w:rPr>
        <w:t>Wheaton, B., Muthen, B., Alwin, D.,</w:t>
      </w:r>
      <w:r w:rsidR="00CB621F">
        <w:rPr>
          <w:rFonts w:ascii="Times New Roman" w:hAnsi="Times New Roman"/>
          <w:sz w:val="24"/>
          <w:szCs w:val="24"/>
        </w:rPr>
        <w:t xml:space="preserve"> &amp;</w:t>
      </w:r>
      <w:r w:rsidRPr="00036930">
        <w:rPr>
          <w:rFonts w:ascii="Times New Roman" w:hAnsi="Times New Roman"/>
          <w:sz w:val="24"/>
          <w:szCs w:val="24"/>
        </w:rPr>
        <w:t xml:space="preserve"> Summers, G. </w:t>
      </w:r>
      <w:r w:rsidR="00CB621F">
        <w:rPr>
          <w:rFonts w:ascii="Times New Roman" w:hAnsi="Times New Roman"/>
          <w:sz w:val="24"/>
          <w:szCs w:val="24"/>
        </w:rPr>
        <w:t>(</w:t>
      </w:r>
      <w:r w:rsidRPr="00036930">
        <w:rPr>
          <w:rFonts w:ascii="Times New Roman" w:hAnsi="Times New Roman"/>
          <w:sz w:val="24"/>
          <w:szCs w:val="24"/>
        </w:rPr>
        <w:t>1977</w:t>
      </w:r>
      <w:r w:rsidR="00CB621F">
        <w:rPr>
          <w:rFonts w:ascii="Times New Roman" w:hAnsi="Times New Roman"/>
          <w:sz w:val="24"/>
          <w:szCs w:val="24"/>
        </w:rPr>
        <w:t>)</w:t>
      </w:r>
      <w:r w:rsidRPr="00036930">
        <w:rPr>
          <w:rFonts w:ascii="Times New Roman" w:hAnsi="Times New Roman"/>
          <w:sz w:val="24"/>
          <w:szCs w:val="24"/>
        </w:rPr>
        <w:t xml:space="preserve">. Assessing reliability and stability in panel models. </w:t>
      </w:r>
      <w:r w:rsidRPr="00E06A46">
        <w:rPr>
          <w:rFonts w:ascii="Times New Roman" w:hAnsi="Times New Roman"/>
          <w:i/>
          <w:iCs/>
          <w:sz w:val="24"/>
          <w:szCs w:val="24"/>
        </w:rPr>
        <w:t>Sociol</w:t>
      </w:r>
      <w:r w:rsidR="00CB621F" w:rsidRPr="00E06A46">
        <w:rPr>
          <w:rFonts w:ascii="Times New Roman" w:hAnsi="Times New Roman"/>
          <w:i/>
          <w:iCs/>
          <w:sz w:val="24"/>
          <w:szCs w:val="24"/>
        </w:rPr>
        <w:t>ogical</w:t>
      </w:r>
      <w:r w:rsidRPr="00E06A46">
        <w:rPr>
          <w:rFonts w:ascii="Times New Roman" w:hAnsi="Times New Roman"/>
          <w:i/>
          <w:iCs/>
          <w:sz w:val="24"/>
          <w:szCs w:val="24"/>
        </w:rPr>
        <w:t xml:space="preserve"> Meth</w:t>
      </w:r>
      <w:r w:rsidR="00CB621F" w:rsidRPr="00E06A46">
        <w:rPr>
          <w:rFonts w:ascii="Times New Roman" w:hAnsi="Times New Roman"/>
          <w:i/>
          <w:iCs/>
          <w:sz w:val="24"/>
          <w:szCs w:val="24"/>
        </w:rPr>
        <w:t>odology,</w:t>
      </w:r>
      <w:r w:rsidRPr="00E06A46">
        <w:rPr>
          <w:rFonts w:ascii="Times New Roman" w:hAnsi="Times New Roman"/>
          <w:i/>
          <w:iCs/>
          <w:sz w:val="24"/>
          <w:szCs w:val="24"/>
        </w:rPr>
        <w:t xml:space="preserve"> 8</w:t>
      </w:r>
      <w:r w:rsidRPr="00036930">
        <w:rPr>
          <w:rFonts w:ascii="Times New Roman" w:hAnsi="Times New Roman"/>
          <w:sz w:val="24"/>
          <w:szCs w:val="24"/>
        </w:rPr>
        <w:t>, 84-136. https://doi.org</w:t>
      </w:r>
      <w:r w:rsidRPr="00036930">
        <w:rPr>
          <w:rFonts w:ascii="Times New Roman" w:hAnsi="Times New Roman"/>
          <w:sz w:val="24"/>
          <w:szCs w:val="24"/>
          <w:lang w:val="de-DE"/>
        </w:rPr>
        <w:t>/</w:t>
      </w:r>
      <w:r w:rsidRPr="00036930">
        <w:rPr>
          <w:rFonts w:ascii="Times New Roman" w:hAnsi="Times New Roman"/>
          <w:sz w:val="24"/>
          <w:szCs w:val="24"/>
        </w:rPr>
        <w:t>10.2307/270754</w:t>
      </w:r>
    </w:p>
    <w:p w14:paraId="1BF024CC" w14:textId="0A086772" w:rsidR="00A47A89" w:rsidRDefault="00CB621F" w:rsidP="008D7A49">
      <w:pPr>
        <w:pStyle w:val="EndNoteBibliography"/>
        <w:spacing w:after="0" w:line="480" w:lineRule="auto"/>
        <w:ind w:left="720" w:hanging="720"/>
      </w:pPr>
      <w:r w:rsidRPr="00CB4029">
        <w:rPr>
          <w:rFonts w:ascii="Times New Roman" w:hAnsi="Times New Roman"/>
          <w:color w:val="000000" w:themeColor="text1"/>
          <w:sz w:val="24"/>
          <w:szCs w:val="24"/>
        </w:rPr>
        <w:lastRenderedPageBreak/>
        <w:t>Wuthrich, V. M., &amp; Bates, T. C. (2006). Confirmatory factor</w:t>
      </w:r>
      <w:r w:rsidRPr="00550099">
        <w:rPr>
          <w:rFonts w:ascii="Times New Roman" w:hAnsi="Times New Roman"/>
          <w:color w:val="000000" w:themeColor="text1"/>
          <w:sz w:val="24"/>
          <w:szCs w:val="24"/>
        </w:rPr>
        <w:t xml:space="preserve"> analysis of the three factor structure of the Schizotypal Personality Questionnaire and Chapman schizotypy scales. </w:t>
      </w:r>
      <w:r w:rsidRPr="00E06A46">
        <w:rPr>
          <w:rFonts w:ascii="Times New Roman" w:hAnsi="Times New Roman"/>
          <w:i/>
          <w:color w:val="000000" w:themeColor="text1"/>
          <w:sz w:val="24"/>
          <w:szCs w:val="24"/>
        </w:rPr>
        <w:t>Journal of Personality Assessment, 87</w:t>
      </w:r>
      <w:r w:rsidRPr="00550099">
        <w:rPr>
          <w:rFonts w:ascii="Times New Roman" w:hAnsi="Times New Roman"/>
          <w:color w:val="000000" w:themeColor="text1"/>
          <w:sz w:val="24"/>
          <w:szCs w:val="24"/>
        </w:rPr>
        <w:t>, 292-304. doi:</w:t>
      </w:r>
      <w:r w:rsidRPr="00550099">
        <w:rPr>
          <w:rFonts w:ascii="Times New Roman" w:hAnsi="Times New Roman"/>
          <w:color w:val="000000" w:themeColor="text1"/>
          <w:sz w:val="24"/>
          <w:szCs w:val="24"/>
          <w:lang w:val="en"/>
        </w:rPr>
        <w:t>10.1207/s15327752jpa8703_10</w:t>
      </w:r>
      <w:r w:rsidR="00A47A89">
        <w:br w:type="page"/>
      </w:r>
    </w:p>
    <w:p w14:paraId="66C057DC" w14:textId="77777777" w:rsidR="00A47A89" w:rsidRDefault="00A47A89" w:rsidP="00A47A89">
      <w:pPr>
        <w:rPr>
          <w:i/>
        </w:rPr>
        <w:sectPr w:rsidR="00A47A89" w:rsidSect="00E60421">
          <w:headerReference w:type="even" r:id="rId11"/>
          <w:headerReference w:type="default" r:id="rId12"/>
          <w:pgSz w:w="11900" w:h="16840"/>
          <w:pgMar w:top="1440" w:right="1440" w:bottom="1440" w:left="1440" w:header="720" w:footer="720" w:gutter="0"/>
          <w:cols w:space="720"/>
          <w:titlePg/>
          <w:docGrid w:linePitch="360"/>
        </w:sectPr>
      </w:pPr>
    </w:p>
    <w:p w14:paraId="7BF78423" w14:textId="0AF0EAD6" w:rsidR="00A47A89" w:rsidRPr="00420979" w:rsidRDefault="00A47A89" w:rsidP="003604F6">
      <w:pPr>
        <w:spacing w:line="480" w:lineRule="auto"/>
        <w:rPr>
          <w:i/>
        </w:rPr>
      </w:pPr>
      <w:r w:rsidRPr="003604F6">
        <w:lastRenderedPageBreak/>
        <w:t>Table 1</w:t>
      </w:r>
      <w:r w:rsidRPr="00420979">
        <w:rPr>
          <w:i/>
        </w:rPr>
        <w:t>. Inter-Scale Correlations, Descriptive Statistics, Internal Consistencies and Normality for the 9 Schizotypal Personality Questionnaire (SPQ) Subscales in the Present Study (n = 711)</w:t>
      </w:r>
      <w:r w:rsidR="007B479A">
        <w:rPr>
          <w:i/>
        </w:rPr>
        <w:t>.</w:t>
      </w:r>
    </w:p>
    <w:p w14:paraId="61951E29" w14:textId="77777777" w:rsidR="00A47A89" w:rsidRDefault="00A47A89" w:rsidP="00A47A89"/>
    <w:tbl>
      <w:tblPr>
        <w:tblStyle w:val="TableGrid"/>
        <w:tblW w:w="5000" w:type="pct"/>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072"/>
        <w:gridCol w:w="1093"/>
        <w:gridCol w:w="1095"/>
        <w:gridCol w:w="1179"/>
        <w:gridCol w:w="1067"/>
        <w:gridCol w:w="1041"/>
        <w:gridCol w:w="1013"/>
        <w:gridCol w:w="1086"/>
        <w:gridCol w:w="1094"/>
        <w:gridCol w:w="1220"/>
      </w:tblGrid>
      <w:tr w:rsidR="00A47A89" w:rsidRPr="00D678A1" w14:paraId="35B26572" w14:textId="77777777" w:rsidTr="00D316F8">
        <w:trPr>
          <w:jc w:val="center"/>
        </w:trPr>
        <w:tc>
          <w:tcPr>
            <w:tcW w:w="1458" w:type="pct"/>
            <w:tcBorders>
              <w:top w:val="single" w:sz="4" w:space="0" w:color="auto"/>
              <w:bottom w:val="single" w:sz="4" w:space="0" w:color="auto"/>
            </w:tcBorders>
          </w:tcPr>
          <w:p w14:paraId="30B2F704" w14:textId="77777777" w:rsidR="00A47A89" w:rsidRPr="00D678A1" w:rsidRDefault="00A47A89" w:rsidP="00774FCF">
            <w:pPr>
              <w:spacing w:line="480" w:lineRule="auto"/>
              <w:rPr>
                <w:sz w:val="20"/>
              </w:rPr>
            </w:pPr>
          </w:p>
        </w:tc>
        <w:tc>
          <w:tcPr>
            <w:tcW w:w="391" w:type="pct"/>
            <w:tcBorders>
              <w:top w:val="single" w:sz="4" w:space="0" w:color="auto"/>
              <w:bottom w:val="single" w:sz="4" w:space="0" w:color="auto"/>
            </w:tcBorders>
          </w:tcPr>
          <w:p w14:paraId="5CBB3269" w14:textId="77777777" w:rsidR="00A47A89" w:rsidRPr="00D678A1" w:rsidRDefault="00A47A89" w:rsidP="00774FCF">
            <w:pPr>
              <w:spacing w:line="480" w:lineRule="auto"/>
              <w:rPr>
                <w:sz w:val="20"/>
              </w:rPr>
            </w:pPr>
            <w:r w:rsidRPr="00D678A1">
              <w:rPr>
                <w:sz w:val="20"/>
              </w:rPr>
              <w:t xml:space="preserve">(1) </w:t>
            </w:r>
          </w:p>
        </w:tc>
        <w:tc>
          <w:tcPr>
            <w:tcW w:w="392" w:type="pct"/>
            <w:tcBorders>
              <w:top w:val="single" w:sz="4" w:space="0" w:color="auto"/>
              <w:bottom w:val="single" w:sz="4" w:space="0" w:color="auto"/>
            </w:tcBorders>
          </w:tcPr>
          <w:p w14:paraId="1489DDCF" w14:textId="77777777" w:rsidR="00A47A89" w:rsidRPr="00D678A1" w:rsidRDefault="00A47A89" w:rsidP="00774FCF">
            <w:pPr>
              <w:spacing w:line="480" w:lineRule="auto"/>
              <w:rPr>
                <w:sz w:val="20"/>
              </w:rPr>
            </w:pPr>
            <w:r w:rsidRPr="00D678A1">
              <w:rPr>
                <w:sz w:val="20"/>
              </w:rPr>
              <w:t xml:space="preserve">(2) </w:t>
            </w:r>
          </w:p>
        </w:tc>
        <w:tc>
          <w:tcPr>
            <w:tcW w:w="422" w:type="pct"/>
            <w:tcBorders>
              <w:top w:val="single" w:sz="4" w:space="0" w:color="auto"/>
              <w:bottom w:val="single" w:sz="4" w:space="0" w:color="auto"/>
            </w:tcBorders>
          </w:tcPr>
          <w:p w14:paraId="080F04C0" w14:textId="77777777" w:rsidR="00A47A89" w:rsidRPr="00D678A1" w:rsidRDefault="00A47A89" w:rsidP="00774FCF">
            <w:pPr>
              <w:spacing w:line="480" w:lineRule="auto"/>
              <w:rPr>
                <w:sz w:val="20"/>
              </w:rPr>
            </w:pPr>
            <w:r w:rsidRPr="00D678A1">
              <w:rPr>
                <w:sz w:val="20"/>
              </w:rPr>
              <w:t xml:space="preserve">(3) </w:t>
            </w:r>
          </w:p>
        </w:tc>
        <w:tc>
          <w:tcPr>
            <w:tcW w:w="382" w:type="pct"/>
            <w:tcBorders>
              <w:top w:val="single" w:sz="4" w:space="0" w:color="auto"/>
              <w:bottom w:val="single" w:sz="4" w:space="0" w:color="auto"/>
            </w:tcBorders>
          </w:tcPr>
          <w:p w14:paraId="4335F638" w14:textId="77777777" w:rsidR="00A47A89" w:rsidRPr="00D678A1" w:rsidRDefault="00A47A89" w:rsidP="00774FCF">
            <w:pPr>
              <w:spacing w:line="480" w:lineRule="auto"/>
              <w:rPr>
                <w:sz w:val="20"/>
              </w:rPr>
            </w:pPr>
            <w:r w:rsidRPr="00D678A1">
              <w:rPr>
                <w:sz w:val="20"/>
              </w:rPr>
              <w:t xml:space="preserve">(4) </w:t>
            </w:r>
          </w:p>
        </w:tc>
        <w:tc>
          <w:tcPr>
            <w:tcW w:w="373" w:type="pct"/>
            <w:tcBorders>
              <w:top w:val="single" w:sz="4" w:space="0" w:color="auto"/>
              <w:bottom w:val="single" w:sz="4" w:space="0" w:color="auto"/>
            </w:tcBorders>
          </w:tcPr>
          <w:p w14:paraId="08338C3A" w14:textId="77777777" w:rsidR="00A47A89" w:rsidRPr="00D678A1" w:rsidRDefault="00A47A89" w:rsidP="00774FCF">
            <w:pPr>
              <w:spacing w:line="480" w:lineRule="auto"/>
              <w:rPr>
                <w:sz w:val="20"/>
              </w:rPr>
            </w:pPr>
            <w:r w:rsidRPr="00D678A1">
              <w:rPr>
                <w:sz w:val="20"/>
              </w:rPr>
              <w:t xml:space="preserve">(5) </w:t>
            </w:r>
          </w:p>
        </w:tc>
        <w:tc>
          <w:tcPr>
            <w:tcW w:w="363" w:type="pct"/>
            <w:tcBorders>
              <w:top w:val="single" w:sz="4" w:space="0" w:color="auto"/>
              <w:bottom w:val="single" w:sz="4" w:space="0" w:color="auto"/>
            </w:tcBorders>
          </w:tcPr>
          <w:p w14:paraId="3C97444B" w14:textId="77777777" w:rsidR="00A47A89" w:rsidRPr="00D678A1" w:rsidRDefault="00A47A89" w:rsidP="00774FCF">
            <w:pPr>
              <w:spacing w:line="480" w:lineRule="auto"/>
              <w:rPr>
                <w:sz w:val="20"/>
              </w:rPr>
            </w:pPr>
            <w:r w:rsidRPr="00D678A1">
              <w:rPr>
                <w:sz w:val="20"/>
              </w:rPr>
              <w:t xml:space="preserve">(6) </w:t>
            </w:r>
          </w:p>
        </w:tc>
        <w:tc>
          <w:tcPr>
            <w:tcW w:w="389" w:type="pct"/>
            <w:tcBorders>
              <w:top w:val="single" w:sz="4" w:space="0" w:color="auto"/>
              <w:bottom w:val="single" w:sz="4" w:space="0" w:color="auto"/>
            </w:tcBorders>
          </w:tcPr>
          <w:p w14:paraId="1223C611" w14:textId="77777777" w:rsidR="00A47A89" w:rsidRPr="00D678A1" w:rsidRDefault="00A47A89" w:rsidP="00774FCF">
            <w:pPr>
              <w:spacing w:line="480" w:lineRule="auto"/>
              <w:rPr>
                <w:sz w:val="20"/>
              </w:rPr>
            </w:pPr>
            <w:r w:rsidRPr="00D678A1">
              <w:rPr>
                <w:sz w:val="20"/>
              </w:rPr>
              <w:t xml:space="preserve">(7) </w:t>
            </w:r>
          </w:p>
        </w:tc>
        <w:tc>
          <w:tcPr>
            <w:tcW w:w="392" w:type="pct"/>
            <w:tcBorders>
              <w:top w:val="single" w:sz="4" w:space="0" w:color="auto"/>
              <w:bottom w:val="single" w:sz="4" w:space="0" w:color="auto"/>
            </w:tcBorders>
          </w:tcPr>
          <w:p w14:paraId="01724555" w14:textId="77777777" w:rsidR="00A47A89" w:rsidRPr="00D678A1" w:rsidRDefault="00A47A89" w:rsidP="00774FCF">
            <w:pPr>
              <w:spacing w:line="480" w:lineRule="auto"/>
              <w:rPr>
                <w:sz w:val="20"/>
              </w:rPr>
            </w:pPr>
            <w:r w:rsidRPr="00D678A1">
              <w:rPr>
                <w:sz w:val="20"/>
              </w:rPr>
              <w:t xml:space="preserve">(8) </w:t>
            </w:r>
          </w:p>
        </w:tc>
        <w:tc>
          <w:tcPr>
            <w:tcW w:w="437" w:type="pct"/>
            <w:tcBorders>
              <w:top w:val="single" w:sz="4" w:space="0" w:color="auto"/>
              <w:bottom w:val="single" w:sz="4" w:space="0" w:color="auto"/>
            </w:tcBorders>
          </w:tcPr>
          <w:p w14:paraId="17DA887A" w14:textId="77777777" w:rsidR="00A47A89" w:rsidRPr="00D678A1" w:rsidRDefault="00A47A89" w:rsidP="00774FCF">
            <w:pPr>
              <w:spacing w:line="480" w:lineRule="auto"/>
              <w:rPr>
                <w:sz w:val="20"/>
              </w:rPr>
            </w:pPr>
            <w:r w:rsidRPr="00D678A1">
              <w:rPr>
                <w:sz w:val="20"/>
              </w:rPr>
              <w:t xml:space="preserve">(9) </w:t>
            </w:r>
          </w:p>
        </w:tc>
      </w:tr>
      <w:tr w:rsidR="00A47A89" w:rsidRPr="00D678A1" w14:paraId="2FAD1905" w14:textId="77777777" w:rsidTr="00D316F8">
        <w:trPr>
          <w:jc w:val="center"/>
        </w:trPr>
        <w:tc>
          <w:tcPr>
            <w:tcW w:w="1458" w:type="pct"/>
            <w:tcBorders>
              <w:top w:val="single" w:sz="4" w:space="0" w:color="auto"/>
              <w:bottom w:val="nil"/>
            </w:tcBorders>
          </w:tcPr>
          <w:p w14:paraId="17EAA371" w14:textId="77777777" w:rsidR="00A47A89" w:rsidRPr="00D678A1" w:rsidRDefault="00A47A89" w:rsidP="00774FCF">
            <w:pPr>
              <w:spacing w:line="480" w:lineRule="auto"/>
              <w:rPr>
                <w:sz w:val="20"/>
              </w:rPr>
            </w:pPr>
            <w:r w:rsidRPr="00D678A1">
              <w:rPr>
                <w:sz w:val="20"/>
              </w:rPr>
              <w:t>(1) Ideas of Reference</w:t>
            </w:r>
          </w:p>
        </w:tc>
        <w:tc>
          <w:tcPr>
            <w:tcW w:w="391" w:type="pct"/>
            <w:tcBorders>
              <w:top w:val="single" w:sz="4" w:space="0" w:color="auto"/>
              <w:bottom w:val="nil"/>
            </w:tcBorders>
          </w:tcPr>
          <w:p w14:paraId="1F8CD9C1" w14:textId="77777777" w:rsidR="00A47A89" w:rsidRPr="00D678A1" w:rsidRDefault="00A47A89" w:rsidP="00774FCF">
            <w:pPr>
              <w:spacing w:line="480" w:lineRule="auto"/>
              <w:rPr>
                <w:sz w:val="20"/>
              </w:rPr>
            </w:pPr>
          </w:p>
        </w:tc>
        <w:tc>
          <w:tcPr>
            <w:tcW w:w="392" w:type="pct"/>
            <w:tcBorders>
              <w:top w:val="single" w:sz="4" w:space="0" w:color="auto"/>
              <w:bottom w:val="nil"/>
            </w:tcBorders>
          </w:tcPr>
          <w:p w14:paraId="798A8153" w14:textId="6284A025" w:rsidR="00A47A89" w:rsidRPr="00D678A1" w:rsidRDefault="00D316F8" w:rsidP="00774FCF">
            <w:pPr>
              <w:spacing w:line="480" w:lineRule="auto"/>
              <w:rPr>
                <w:sz w:val="20"/>
              </w:rPr>
            </w:pPr>
            <w:r>
              <w:rPr>
                <w:sz w:val="20"/>
              </w:rPr>
              <w:t>0</w:t>
            </w:r>
            <w:r w:rsidR="00A47A89">
              <w:rPr>
                <w:sz w:val="20"/>
              </w:rPr>
              <w:t>.32</w:t>
            </w:r>
          </w:p>
        </w:tc>
        <w:tc>
          <w:tcPr>
            <w:tcW w:w="422" w:type="pct"/>
            <w:tcBorders>
              <w:top w:val="single" w:sz="4" w:space="0" w:color="auto"/>
              <w:bottom w:val="nil"/>
            </w:tcBorders>
          </w:tcPr>
          <w:p w14:paraId="5190408B" w14:textId="15009099" w:rsidR="00A47A89" w:rsidRPr="00D678A1" w:rsidRDefault="00D316F8" w:rsidP="00774FCF">
            <w:pPr>
              <w:spacing w:line="480" w:lineRule="auto"/>
              <w:rPr>
                <w:sz w:val="20"/>
              </w:rPr>
            </w:pPr>
            <w:r>
              <w:rPr>
                <w:sz w:val="20"/>
              </w:rPr>
              <w:t>0</w:t>
            </w:r>
            <w:r w:rsidR="00A47A89">
              <w:rPr>
                <w:sz w:val="20"/>
              </w:rPr>
              <w:t>.48</w:t>
            </w:r>
          </w:p>
        </w:tc>
        <w:tc>
          <w:tcPr>
            <w:tcW w:w="382" w:type="pct"/>
            <w:tcBorders>
              <w:top w:val="single" w:sz="4" w:space="0" w:color="auto"/>
              <w:bottom w:val="nil"/>
            </w:tcBorders>
          </w:tcPr>
          <w:p w14:paraId="2608E3D9" w14:textId="51B7F94D" w:rsidR="00A47A89" w:rsidRPr="00D678A1" w:rsidRDefault="00D316F8" w:rsidP="00774FCF">
            <w:pPr>
              <w:spacing w:line="480" w:lineRule="auto"/>
              <w:rPr>
                <w:sz w:val="20"/>
              </w:rPr>
            </w:pPr>
            <w:r>
              <w:rPr>
                <w:sz w:val="20"/>
              </w:rPr>
              <w:t>0</w:t>
            </w:r>
            <w:r w:rsidR="00A47A89">
              <w:rPr>
                <w:sz w:val="20"/>
              </w:rPr>
              <w:t>.56</w:t>
            </w:r>
          </w:p>
        </w:tc>
        <w:tc>
          <w:tcPr>
            <w:tcW w:w="373" w:type="pct"/>
            <w:tcBorders>
              <w:top w:val="single" w:sz="4" w:space="0" w:color="auto"/>
              <w:bottom w:val="nil"/>
            </w:tcBorders>
          </w:tcPr>
          <w:p w14:paraId="3E19BD05" w14:textId="19E3CFE6" w:rsidR="00A47A89" w:rsidRPr="00D678A1" w:rsidRDefault="00D316F8" w:rsidP="00774FCF">
            <w:pPr>
              <w:spacing w:line="480" w:lineRule="auto"/>
              <w:rPr>
                <w:sz w:val="20"/>
              </w:rPr>
            </w:pPr>
            <w:r>
              <w:rPr>
                <w:sz w:val="20"/>
              </w:rPr>
              <w:t>0</w:t>
            </w:r>
            <w:r w:rsidR="00A47A89">
              <w:rPr>
                <w:sz w:val="20"/>
              </w:rPr>
              <w:t>.2</w:t>
            </w:r>
            <w:r w:rsidR="0059310D">
              <w:rPr>
                <w:sz w:val="20"/>
              </w:rPr>
              <w:t>6</w:t>
            </w:r>
          </w:p>
        </w:tc>
        <w:tc>
          <w:tcPr>
            <w:tcW w:w="363" w:type="pct"/>
            <w:tcBorders>
              <w:top w:val="single" w:sz="4" w:space="0" w:color="auto"/>
              <w:bottom w:val="nil"/>
            </w:tcBorders>
          </w:tcPr>
          <w:p w14:paraId="7C7543B3" w14:textId="53AB64A0" w:rsidR="00A47A89" w:rsidRPr="00D678A1" w:rsidRDefault="00D316F8" w:rsidP="00774FCF">
            <w:pPr>
              <w:spacing w:line="480" w:lineRule="auto"/>
              <w:rPr>
                <w:sz w:val="20"/>
              </w:rPr>
            </w:pPr>
            <w:r>
              <w:rPr>
                <w:sz w:val="20"/>
              </w:rPr>
              <w:t>0</w:t>
            </w:r>
            <w:r w:rsidR="00A47A89">
              <w:rPr>
                <w:sz w:val="20"/>
              </w:rPr>
              <w:t>.25</w:t>
            </w:r>
          </w:p>
        </w:tc>
        <w:tc>
          <w:tcPr>
            <w:tcW w:w="389" w:type="pct"/>
            <w:tcBorders>
              <w:top w:val="single" w:sz="4" w:space="0" w:color="auto"/>
              <w:bottom w:val="nil"/>
            </w:tcBorders>
          </w:tcPr>
          <w:p w14:paraId="39B336E5" w14:textId="71401F32" w:rsidR="00A47A89" w:rsidRPr="00D678A1" w:rsidRDefault="00D316F8" w:rsidP="00774FCF">
            <w:pPr>
              <w:spacing w:line="480" w:lineRule="auto"/>
              <w:rPr>
                <w:sz w:val="20"/>
              </w:rPr>
            </w:pPr>
            <w:r>
              <w:rPr>
                <w:sz w:val="20"/>
              </w:rPr>
              <w:t>0</w:t>
            </w:r>
            <w:r w:rsidR="00A47A89">
              <w:rPr>
                <w:sz w:val="20"/>
              </w:rPr>
              <w:t>.44</w:t>
            </w:r>
          </w:p>
        </w:tc>
        <w:tc>
          <w:tcPr>
            <w:tcW w:w="392" w:type="pct"/>
            <w:tcBorders>
              <w:top w:val="single" w:sz="4" w:space="0" w:color="auto"/>
              <w:bottom w:val="nil"/>
            </w:tcBorders>
          </w:tcPr>
          <w:p w14:paraId="2B4DB540" w14:textId="43F9AF89" w:rsidR="00A47A89" w:rsidRPr="00D678A1" w:rsidRDefault="00D316F8" w:rsidP="00774FCF">
            <w:pPr>
              <w:spacing w:line="480" w:lineRule="auto"/>
              <w:rPr>
                <w:sz w:val="20"/>
              </w:rPr>
            </w:pPr>
            <w:r>
              <w:rPr>
                <w:sz w:val="20"/>
              </w:rPr>
              <w:t>0</w:t>
            </w:r>
            <w:r w:rsidR="00A47A89">
              <w:rPr>
                <w:sz w:val="20"/>
              </w:rPr>
              <w:t>.27</w:t>
            </w:r>
          </w:p>
        </w:tc>
        <w:tc>
          <w:tcPr>
            <w:tcW w:w="437" w:type="pct"/>
            <w:tcBorders>
              <w:top w:val="single" w:sz="4" w:space="0" w:color="auto"/>
              <w:bottom w:val="nil"/>
            </w:tcBorders>
          </w:tcPr>
          <w:p w14:paraId="5F2F2BB8" w14:textId="5CCFE3AC" w:rsidR="00A47A89" w:rsidRPr="00D678A1" w:rsidRDefault="00D316F8" w:rsidP="00774FCF">
            <w:pPr>
              <w:spacing w:line="480" w:lineRule="auto"/>
              <w:rPr>
                <w:sz w:val="20"/>
              </w:rPr>
            </w:pPr>
            <w:r>
              <w:rPr>
                <w:sz w:val="20"/>
              </w:rPr>
              <w:t>0</w:t>
            </w:r>
            <w:r w:rsidR="00A47A89">
              <w:rPr>
                <w:sz w:val="20"/>
              </w:rPr>
              <w:t>.61</w:t>
            </w:r>
          </w:p>
        </w:tc>
      </w:tr>
      <w:tr w:rsidR="00A47A89" w:rsidRPr="00D678A1" w14:paraId="565D9B1E" w14:textId="77777777" w:rsidTr="00D316F8">
        <w:trPr>
          <w:jc w:val="center"/>
        </w:trPr>
        <w:tc>
          <w:tcPr>
            <w:tcW w:w="1458" w:type="pct"/>
            <w:tcBorders>
              <w:top w:val="nil"/>
              <w:bottom w:val="nil"/>
            </w:tcBorders>
          </w:tcPr>
          <w:p w14:paraId="1EA5B33A" w14:textId="77777777" w:rsidR="00A47A89" w:rsidRPr="00D678A1" w:rsidRDefault="00A47A89" w:rsidP="00774FCF">
            <w:pPr>
              <w:spacing w:line="480" w:lineRule="auto"/>
              <w:rPr>
                <w:sz w:val="20"/>
              </w:rPr>
            </w:pPr>
            <w:r w:rsidRPr="00D678A1">
              <w:rPr>
                <w:sz w:val="20"/>
              </w:rPr>
              <w:t>(2) Excessive Social Anxiety</w:t>
            </w:r>
          </w:p>
        </w:tc>
        <w:tc>
          <w:tcPr>
            <w:tcW w:w="391" w:type="pct"/>
            <w:tcBorders>
              <w:top w:val="nil"/>
              <w:bottom w:val="nil"/>
            </w:tcBorders>
          </w:tcPr>
          <w:p w14:paraId="55D98CD0" w14:textId="77777777" w:rsidR="00A47A89" w:rsidRPr="00D678A1" w:rsidRDefault="00A47A89" w:rsidP="00774FCF">
            <w:pPr>
              <w:spacing w:line="480" w:lineRule="auto"/>
              <w:rPr>
                <w:sz w:val="20"/>
              </w:rPr>
            </w:pPr>
          </w:p>
        </w:tc>
        <w:tc>
          <w:tcPr>
            <w:tcW w:w="392" w:type="pct"/>
            <w:tcBorders>
              <w:top w:val="nil"/>
              <w:bottom w:val="nil"/>
            </w:tcBorders>
          </w:tcPr>
          <w:p w14:paraId="15FBF21D" w14:textId="77777777" w:rsidR="00A47A89" w:rsidRPr="00D678A1" w:rsidRDefault="00A47A89" w:rsidP="00774FCF">
            <w:pPr>
              <w:spacing w:line="480" w:lineRule="auto"/>
              <w:rPr>
                <w:sz w:val="20"/>
              </w:rPr>
            </w:pPr>
          </w:p>
        </w:tc>
        <w:tc>
          <w:tcPr>
            <w:tcW w:w="422" w:type="pct"/>
            <w:tcBorders>
              <w:top w:val="nil"/>
              <w:bottom w:val="nil"/>
            </w:tcBorders>
          </w:tcPr>
          <w:p w14:paraId="7D84013F" w14:textId="2E5E3393" w:rsidR="00A47A89" w:rsidRPr="00D678A1" w:rsidRDefault="00D316F8" w:rsidP="00774FCF">
            <w:pPr>
              <w:spacing w:line="480" w:lineRule="auto"/>
              <w:rPr>
                <w:sz w:val="20"/>
              </w:rPr>
            </w:pPr>
            <w:r>
              <w:rPr>
                <w:sz w:val="20"/>
              </w:rPr>
              <w:t>0</w:t>
            </w:r>
            <w:r w:rsidR="00A47A89">
              <w:rPr>
                <w:sz w:val="20"/>
              </w:rPr>
              <w:t>.10</w:t>
            </w:r>
          </w:p>
        </w:tc>
        <w:tc>
          <w:tcPr>
            <w:tcW w:w="382" w:type="pct"/>
            <w:tcBorders>
              <w:top w:val="nil"/>
              <w:bottom w:val="nil"/>
            </w:tcBorders>
          </w:tcPr>
          <w:p w14:paraId="4C30CF5D" w14:textId="6EED4C11" w:rsidR="00A47A89" w:rsidRPr="00D678A1" w:rsidRDefault="00D316F8" w:rsidP="00774FCF">
            <w:pPr>
              <w:spacing w:line="480" w:lineRule="auto"/>
              <w:rPr>
                <w:sz w:val="20"/>
              </w:rPr>
            </w:pPr>
            <w:r>
              <w:rPr>
                <w:sz w:val="20"/>
              </w:rPr>
              <w:t>0</w:t>
            </w:r>
            <w:r w:rsidR="00A47A89">
              <w:rPr>
                <w:sz w:val="20"/>
              </w:rPr>
              <w:t>.24</w:t>
            </w:r>
          </w:p>
        </w:tc>
        <w:tc>
          <w:tcPr>
            <w:tcW w:w="373" w:type="pct"/>
            <w:tcBorders>
              <w:top w:val="nil"/>
              <w:bottom w:val="nil"/>
            </w:tcBorders>
          </w:tcPr>
          <w:p w14:paraId="078FF7D5" w14:textId="208C14D3" w:rsidR="00A47A89" w:rsidRPr="00D678A1" w:rsidRDefault="00D316F8" w:rsidP="00774FCF">
            <w:pPr>
              <w:spacing w:line="480" w:lineRule="auto"/>
              <w:rPr>
                <w:sz w:val="20"/>
              </w:rPr>
            </w:pPr>
            <w:r>
              <w:rPr>
                <w:sz w:val="20"/>
              </w:rPr>
              <w:t>0</w:t>
            </w:r>
            <w:r w:rsidR="00A47A89">
              <w:rPr>
                <w:sz w:val="20"/>
              </w:rPr>
              <w:t>.25</w:t>
            </w:r>
          </w:p>
        </w:tc>
        <w:tc>
          <w:tcPr>
            <w:tcW w:w="363" w:type="pct"/>
            <w:tcBorders>
              <w:top w:val="nil"/>
              <w:bottom w:val="nil"/>
            </w:tcBorders>
          </w:tcPr>
          <w:p w14:paraId="39236013" w14:textId="3907A4D1" w:rsidR="00A47A89" w:rsidRPr="00D678A1" w:rsidRDefault="00D316F8" w:rsidP="00774FCF">
            <w:pPr>
              <w:spacing w:line="480" w:lineRule="auto"/>
              <w:rPr>
                <w:sz w:val="20"/>
              </w:rPr>
            </w:pPr>
            <w:r>
              <w:rPr>
                <w:sz w:val="20"/>
              </w:rPr>
              <w:t>0</w:t>
            </w:r>
            <w:r w:rsidR="00A47A89">
              <w:rPr>
                <w:sz w:val="20"/>
              </w:rPr>
              <w:t>.58</w:t>
            </w:r>
          </w:p>
        </w:tc>
        <w:tc>
          <w:tcPr>
            <w:tcW w:w="389" w:type="pct"/>
            <w:tcBorders>
              <w:top w:val="nil"/>
              <w:bottom w:val="nil"/>
            </w:tcBorders>
          </w:tcPr>
          <w:p w14:paraId="1D298D80" w14:textId="754AA84F" w:rsidR="00A47A89" w:rsidRPr="00D678A1" w:rsidRDefault="00D316F8" w:rsidP="00774FCF">
            <w:pPr>
              <w:spacing w:line="480" w:lineRule="auto"/>
              <w:rPr>
                <w:sz w:val="20"/>
              </w:rPr>
            </w:pPr>
            <w:r>
              <w:rPr>
                <w:sz w:val="20"/>
              </w:rPr>
              <w:t>0</w:t>
            </w:r>
            <w:r w:rsidR="00A47A89">
              <w:rPr>
                <w:sz w:val="20"/>
              </w:rPr>
              <w:t>.4</w:t>
            </w:r>
            <w:r w:rsidR="006E6E7D">
              <w:rPr>
                <w:sz w:val="20"/>
              </w:rPr>
              <w:t>5</w:t>
            </w:r>
          </w:p>
        </w:tc>
        <w:tc>
          <w:tcPr>
            <w:tcW w:w="392" w:type="pct"/>
            <w:tcBorders>
              <w:top w:val="nil"/>
              <w:bottom w:val="nil"/>
            </w:tcBorders>
          </w:tcPr>
          <w:p w14:paraId="5E261DBF" w14:textId="4C27DC5B" w:rsidR="00A47A89" w:rsidRPr="00D678A1" w:rsidRDefault="00D316F8" w:rsidP="00774FCF">
            <w:pPr>
              <w:spacing w:line="480" w:lineRule="auto"/>
              <w:rPr>
                <w:sz w:val="20"/>
              </w:rPr>
            </w:pPr>
            <w:r>
              <w:rPr>
                <w:sz w:val="20"/>
              </w:rPr>
              <w:t>0</w:t>
            </w:r>
            <w:r w:rsidR="00A47A89">
              <w:rPr>
                <w:sz w:val="20"/>
              </w:rPr>
              <w:t>.50</w:t>
            </w:r>
          </w:p>
        </w:tc>
        <w:tc>
          <w:tcPr>
            <w:tcW w:w="437" w:type="pct"/>
            <w:tcBorders>
              <w:top w:val="nil"/>
              <w:bottom w:val="nil"/>
            </w:tcBorders>
          </w:tcPr>
          <w:p w14:paraId="775015B4" w14:textId="303D5A10" w:rsidR="00A47A89" w:rsidRPr="00D678A1" w:rsidRDefault="00D316F8" w:rsidP="00774FCF">
            <w:pPr>
              <w:spacing w:line="480" w:lineRule="auto"/>
              <w:rPr>
                <w:sz w:val="20"/>
              </w:rPr>
            </w:pPr>
            <w:r>
              <w:rPr>
                <w:sz w:val="20"/>
              </w:rPr>
              <w:t>0</w:t>
            </w:r>
            <w:r w:rsidR="00A47A89">
              <w:rPr>
                <w:sz w:val="20"/>
              </w:rPr>
              <w:t>.37</w:t>
            </w:r>
          </w:p>
        </w:tc>
      </w:tr>
      <w:tr w:rsidR="00A47A89" w:rsidRPr="00D678A1" w14:paraId="79F79E8D" w14:textId="77777777" w:rsidTr="00D316F8">
        <w:trPr>
          <w:jc w:val="center"/>
        </w:trPr>
        <w:tc>
          <w:tcPr>
            <w:tcW w:w="1458" w:type="pct"/>
            <w:tcBorders>
              <w:top w:val="nil"/>
              <w:bottom w:val="nil"/>
            </w:tcBorders>
          </w:tcPr>
          <w:p w14:paraId="6014AA22" w14:textId="77777777" w:rsidR="00A47A89" w:rsidRPr="00D678A1" w:rsidRDefault="00A47A89" w:rsidP="00774FCF">
            <w:pPr>
              <w:spacing w:line="480" w:lineRule="auto"/>
              <w:rPr>
                <w:sz w:val="20"/>
              </w:rPr>
            </w:pPr>
            <w:r w:rsidRPr="00D678A1">
              <w:rPr>
                <w:sz w:val="20"/>
              </w:rPr>
              <w:t xml:space="preserve">(3) Odd Beliefs or Magical Thinking </w:t>
            </w:r>
          </w:p>
        </w:tc>
        <w:tc>
          <w:tcPr>
            <w:tcW w:w="391" w:type="pct"/>
            <w:tcBorders>
              <w:top w:val="nil"/>
              <w:bottom w:val="nil"/>
            </w:tcBorders>
          </w:tcPr>
          <w:p w14:paraId="13CFCB32" w14:textId="77777777" w:rsidR="00A47A89" w:rsidRPr="00D678A1" w:rsidRDefault="00A47A89" w:rsidP="00774FCF">
            <w:pPr>
              <w:spacing w:line="480" w:lineRule="auto"/>
              <w:rPr>
                <w:sz w:val="20"/>
              </w:rPr>
            </w:pPr>
          </w:p>
        </w:tc>
        <w:tc>
          <w:tcPr>
            <w:tcW w:w="392" w:type="pct"/>
            <w:tcBorders>
              <w:top w:val="nil"/>
              <w:bottom w:val="nil"/>
            </w:tcBorders>
          </w:tcPr>
          <w:p w14:paraId="25B305C6" w14:textId="77777777" w:rsidR="00A47A89" w:rsidRPr="00D678A1" w:rsidRDefault="00A47A89" w:rsidP="00774FCF">
            <w:pPr>
              <w:spacing w:line="480" w:lineRule="auto"/>
              <w:rPr>
                <w:sz w:val="20"/>
              </w:rPr>
            </w:pPr>
          </w:p>
        </w:tc>
        <w:tc>
          <w:tcPr>
            <w:tcW w:w="422" w:type="pct"/>
            <w:tcBorders>
              <w:top w:val="nil"/>
              <w:bottom w:val="nil"/>
            </w:tcBorders>
          </w:tcPr>
          <w:p w14:paraId="5FF130C7" w14:textId="77777777" w:rsidR="00A47A89" w:rsidRPr="00D678A1" w:rsidRDefault="00A47A89" w:rsidP="00774FCF">
            <w:pPr>
              <w:spacing w:line="480" w:lineRule="auto"/>
              <w:rPr>
                <w:sz w:val="20"/>
              </w:rPr>
            </w:pPr>
          </w:p>
        </w:tc>
        <w:tc>
          <w:tcPr>
            <w:tcW w:w="382" w:type="pct"/>
            <w:tcBorders>
              <w:top w:val="nil"/>
              <w:bottom w:val="nil"/>
            </w:tcBorders>
          </w:tcPr>
          <w:p w14:paraId="42E936CE" w14:textId="3CB4EAD5" w:rsidR="00A47A89" w:rsidRPr="00D678A1" w:rsidRDefault="00D316F8" w:rsidP="00774FCF">
            <w:pPr>
              <w:spacing w:line="480" w:lineRule="auto"/>
              <w:rPr>
                <w:sz w:val="20"/>
              </w:rPr>
            </w:pPr>
            <w:r>
              <w:rPr>
                <w:sz w:val="20"/>
              </w:rPr>
              <w:t>0</w:t>
            </w:r>
            <w:r w:rsidR="00A47A89">
              <w:rPr>
                <w:sz w:val="20"/>
              </w:rPr>
              <w:t>.56</w:t>
            </w:r>
          </w:p>
        </w:tc>
        <w:tc>
          <w:tcPr>
            <w:tcW w:w="373" w:type="pct"/>
            <w:tcBorders>
              <w:top w:val="nil"/>
              <w:bottom w:val="nil"/>
            </w:tcBorders>
          </w:tcPr>
          <w:p w14:paraId="07E867FD" w14:textId="03A1D11D" w:rsidR="00A47A89" w:rsidRPr="00D678A1" w:rsidRDefault="00D316F8" w:rsidP="00774FCF">
            <w:pPr>
              <w:spacing w:line="480" w:lineRule="auto"/>
              <w:rPr>
                <w:sz w:val="20"/>
              </w:rPr>
            </w:pPr>
            <w:r>
              <w:rPr>
                <w:sz w:val="20"/>
              </w:rPr>
              <w:t>0</w:t>
            </w:r>
            <w:r w:rsidR="00A47A89">
              <w:rPr>
                <w:sz w:val="20"/>
              </w:rPr>
              <w:t>.25</w:t>
            </w:r>
          </w:p>
        </w:tc>
        <w:tc>
          <w:tcPr>
            <w:tcW w:w="363" w:type="pct"/>
            <w:tcBorders>
              <w:top w:val="nil"/>
              <w:bottom w:val="nil"/>
            </w:tcBorders>
          </w:tcPr>
          <w:p w14:paraId="79E9FEA4" w14:textId="71DFEFF1" w:rsidR="00A47A89" w:rsidRPr="00D678A1" w:rsidRDefault="00D316F8" w:rsidP="00774FCF">
            <w:pPr>
              <w:spacing w:line="480" w:lineRule="auto"/>
              <w:rPr>
                <w:sz w:val="20"/>
              </w:rPr>
            </w:pPr>
            <w:r>
              <w:rPr>
                <w:sz w:val="20"/>
              </w:rPr>
              <w:t>0</w:t>
            </w:r>
            <w:r w:rsidR="00A47A89">
              <w:rPr>
                <w:sz w:val="20"/>
              </w:rPr>
              <w:t>.18</w:t>
            </w:r>
          </w:p>
        </w:tc>
        <w:tc>
          <w:tcPr>
            <w:tcW w:w="389" w:type="pct"/>
            <w:tcBorders>
              <w:top w:val="nil"/>
              <w:bottom w:val="nil"/>
            </w:tcBorders>
          </w:tcPr>
          <w:p w14:paraId="20DAE074" w14:textId="3704E969" w:rsidR="00A47A89" w:rsidRPr="00D678A1" w:rsidRDefault="00D316F8" w:rsidP="00774FCF">
            <w:pPr>
              <w:spacing w:line="480" w:lineRule="auto"/>
              <w:rPr>
                <w:sz w:val="20"/>
              </w:rPr>
            </w:pPr>
            <w:r>
              <w:rPr>
                <w:sz w:val="20"/>
              </w:rPr>
              <w:t>0</w:t>
            </w:r>
            <w:r w:rsidR="00A47A89">
              <w:rPr>
                <w:sz w:val="20"/>
              </w:rPr>
              <w:t>.28</w:t>
            </w:r>
          </w:p>
        </w:tc>
        <w:tc>
          <w:tcPr>
            <w:tcW w:w="392" w:type="pct"/>
            <w:tcBorders>
              <w:top w:val="nil"/>
              <w:bottom w:val="nil"/>
            </w:tcBorders>
          </w:tcPr>
          <w:p w14:paraId="07E173D2" w14:textId="527B3A88" w:rsidR="00A47A89" w:rsidRPr="00D678A1" w:rsidRDefault="00D316F8" w:rsidP="00774FCF">
            <w:pPr>
              <w:spacing w:line="480" w:lineRule="auto"/>
              <w:rPr>
                <w:sz w:val="20"/>
              </w:rPr>
            </w:pPr>
            <w:r>
              <w:rPr>
                <w:sz w:val="20"/>
              </w:rPr>
              <w:t>0</w:t>
            </w:r>
            <w:r w:rsidR="00A47A89">
              <w:rPr>
                <w:sz w:val="20"/>
              </w:rPr>
              <w:t>.15</w:t>
            </w:r>
          </w:p>
        </w:tc>
        <w:tc>
          <w:tcPr>
            <w:tcW w:w="437" w:type="pct"/>
            <w:tcBorders>
              <w:top w:val="nil"/>
              <w:bottom w:val="nil"/>
            </w:tcBorders>
          </w:tcPr>
          <w:p w14:paraId="6F25032C" w14:textId="5C8167FE" w:rsidR="00A47A89" w:rsidRPr="00D678A1" w:rsidRDefault="00D316F8" w:rsidP="00774FCF">
            <w:pPr>
              <w:spacing w:line="480" w:lineRule="auto"/>
              <w:rPr>
                <w:sz w:val="20"/>
              </w:rPr>
            </w:pPr>
            <w:r>
              <w:rPr>
                <w:sz w:val="20"/>
              </w:rPr>
              <w:t>0</w:t>
            </w:r>
            <w:r w:rsidR="00A47A89">
              <w:rPr>
                <w:sz w:val="20"/>
              </w:rPr>
              <w:t>.34</w:t>
            </w:r>
          </w:p>
        </w:tc>
      </w:tr>
      <w:tr w:rsidR="00A47A89" w:rsidRPr="00D678A1" w14:paraId="34B7765D" w14:textId="77777777" w:rsidTr="00D316F8">
        <w:trPr>
          <w:jc w:val="center"/>
        </w:trPr>
        <w:tc>
          <w:tcPr>
            <w:tcW w:w="1458" w:type="pct"/>
            <w:tcBorders>
              <w:top w:val="nil"/>
              <w:bottom w:val="nil"/>
            </w:tcBorders>
          </w:tcPr>
          <w:p w14:paraId="2B8A72E5" w14:textId="77777777" w:rsidR="00A47A89" w:rsidRPr="00D678A1" w:rsidRDefault="00A47A89" w:rsidP="00774FCF">
            <w:pPr>
              <w:spacing w:line="480" w:lineRule="auto"/>
              <w:rPr>
                <w:sz w:val="20"/>
              </w:rPr>
            </w:pPr>
            <w:r w:rsidRPr="00D678A1">
              <w:rPr>
                <w:sz w:val="20"/>
              </w:rPr>
              <w:t xml:space="preserve">(4) Unusual Perceptual Experiences </w:t>
            </w:r>
          </w:p>
        </w:tc>
        <w:tc>
          <w:tcPr>
            <w:tcW w:w="391" w:type="pct"/>
            <w:tcBorders>
              <w:top w:val="nil"/>
              <w:bottom w:val="nil"/>
            </w:tcBorders>
          </w:tcPr>
          <w:p w14:paraId="796695C7" w14:textId="77777777" w:rsidR="00A47A89" w:rsidRPr="00D678A1" w:rsidRDefault="00A47A89" w:rsidP="00774FCF">
            <w:pPr>
              <w:spacing w:line="480" w:lineRule="auto"/>
              <w:rPr>
                <w:sz w:val="20"/>
              </w:rPr>
            </w:pPr>
          </w:p>
        </w:tc>
        <w:tc>
          <w:tcPr>
            <w:tcW w:w="392" w:type="pct"/>
            <w:tcBorders>
              <w:top w:val="nil"/>
              <w:bottom w:val="nil"/>
            </w:tcBorders>
          </w:tcPr>
          <w:p w14:paraId="6F8CE448" w14:textId="77777777" w:rsidR="00A47A89" w:rsidRPr="00D678A1" w:rsidRDefault="00A47A89" w:rsidP="00774FCF">
            <w:pPr>
              <w:spacing w:line="480" w:lineRule="auto"/>
              <w:rPr>
                <w:sz w:val="20"/>
              </w:rPr>
            </w:pPr>
          </w:p>
        </w:tc>
        <w:tc>
          <w:tcPr>
            <w:tcW w:w="422" w:type="pct"/>
            <w:tcBorders>
              <w:top w:val="nil"/>
              <w:bottom w:val="nil"/>
            </w:tcBorders>
          </w:tcPr>
          <w:p w14:paraId="0B1E9B11" w14:textId="77777777" w:rsidR="00A47A89" w:rsidRPr="00D678A1" w:rsidRDefault="00A47A89" w:rsidP="00774FCF">
            <w:pPr>
              <w:spacing w:line="480" w:lineRule="auto"/>
              <w:rPr>
                <w:sz w:val="20"/>
              </w:rPr>
            </w:pPr>
          </w:p>
        </w:tc>
        <w:tc>
          <w:tcPr>
            <w:tcW w:w="382" w:type="pct"/>
            <w:tcBorders>
              <w:top w:val="nil"/>
              <w:bottom w:val="nil"/>
            </w:tcBorders>
          </w:tcPr>
          <w:p w14:paraId="302F86DC" w14:textId="77777777" w:rsidR="00A47A89" w:rsidRPr="00D678A1" w:rsidRDefault="00A47A89" w:rsidP="00774FCF">
            <w:pPr>
              <w:spacing w:line="480" w:lineRule="auto"/>
              <w:rPr>
                <w:sz w:val="20"/>
              </w:rPr>
            </w:pPr>
          </w:p>
        </w:tc>
        <w:tc>
          <w:tcPr>
            <w:tcW w:w="373" w:type="pct"/>
            <w:tcBorders>
              <w:top w:val="nil"/>
              <w:bottom w:val="nil"/>
            </w:tcBorders>
          </w:tcPr>
          <w:p w14:paraId="2A557BCB" w14:textId="6B7F6D63" w:rsidR="00A47A89" w:rsidRPr="00D678A1" w:rsidRDefault="00D316F8" w:rsidP="00774FCF">
            <w:pPr>
              <w:spacing w:line="480" w:lineRule="auto"/>
              <w:rPr>
                <w:sz w:val="20"/>
              </w:rPr>
            </w:pPr>
            <w:r>
              <w:rPr>
                <w:sz w:val="20"/>
              </w:rPr>
              <w:t>0</w:t>
            </w:r>
            <w:r w:rsidR="00A47A89">
              <w:rPr>
                <w:sz w:val="20"/>
              </w:rPr>
              <w:t>.39</w:t>
            </w:r>
          </w:p>
        </w:tc>
        <w:tc>
          <w:tcPr>
            <w:tcW w:w="363" w:type="pct"/>
            <w:tcBorders>
              <w:top w:val="nil"/>
              <w:bottom w:val="nil"/>
            </w:tcBorders>
          </w:tcPr>
          <w:p w14:paraId="2C7AD45E" w14:textId="1294614F" w:rsidR="00A47A89" w:rsidRPr="00D678A1" w:rsidRDefault="00D316F8" w:rsidP="00774FCF">
            <w:pPr>
              <w:spacing w:line="480" w:lineRule="auto"/>
              <w:rPr>
                <w:sz w:val="20"/>
              </w:rPr>
            </w:pPr>
            <w:r>
              <w:rPr>
                <w:sz w:val="20"/>
              </w:rPr>
              <w:t>0</w:t>
            </w:r>
            <w:r w:rsidR="00A47A89">
              <w:rPr>
                <w:sz w:val="20"/>
              </w:rPr>
              <w:t>.3</w:t>
            </w:r>
            <w:r w:rsidR="00672F78">
              <w:rPr>
                <w:sz w:val="20"/>
              </w:rPr>
              <w:t>1</w:t>
            </w:r>
          </w:p>
        </w:tc>
        <w:tc>
          <w:tcPr>
            <w:tcW w:w="389" w:type="pct"/>
            <w:tcBorders>
              <w:top w:val="nil"/>
              <w:bottom w:val="nil"/>
            </w:tcBorders>
          </w:tcPr>
          <w:p w14:paraId="7F31E7C5" w14:textId="6165CE5E" w:rsidR="00A47A89" w:rsidRPr="00D678A1" w:rsidRDefault="00D316F8" w:rsidP="00774FCF">
            <w:pPr>
              <w:spacing w:line="480" w:lineRule="auto"/>
              <w:rPr>
                <w:sz w:val="20"/>
              </w:rPr>
            </w:pPr>
            <w:r>
              <w:rPr>
                <w:sz w:val="20"/>
              </w:rPr>
              <w:t>0</w:t>
            </w:r>
            <w:r w:rsidR="00A47A89">
              <w:rPr>
                <w:sz w:val="20"/>
              </w:rPr>
              <w:t>.52</w:t>
            </w:r>
          </w:p>
        </w:tc>
        <w:tc>
          <w:tcPr>
            <w:tcW w:w="392" w:type="pct"/>
            <w:tcBorders>
              <w:top w:val="nil"/>
              <w:bottom w:val="nil"/>
            </w:tcBorders>
          </w:tcPr>
          <w:p w14:paraId="389577AA" w14:textId="19AACE9B" w:rsidR="00A47A89" w:rsidRPr="00D678A1" w:rsidRDefault="00D316F8" w:rsidP="00774FCF">
            <w:pPr>
              <w:spacing w:line="480" w:lineRule="auto"/>
              <w:rPr>
                <w:sz w:val="20"/>
              </w:rPr>
            </w:pPr>
            <w:r>
              <w:rPr>
                <w:sz w:val="20"/>
              </w:rPr>
              <w:t>0</w:t>
            </w:r>
            <w:r w:rsidR="00A47A89">
              <w:rPr>
                <w:sz w:val="20"/>
              </w:rPr>
              <w:t>.29</w:t>
            </w:r>
          </w:p>
        </w:tc>
        <w:tc>
          <w:tcPr>
            <w:tcW w:w="437" w:type="pct"/>
            <w:tcBorders>
              <w:top w:val="nil"/>
              <w:bottom w:val="nil"/>
            </w:tcBorders>
          </w:tcPr>
          <w:p w14:paraId="591C7B6A" w14:textId="48C4DDB6" w:rsidR="00A47A89" w:rsidRPr="00D678A1" w:rsidRDefault="00D316F8" w:rsidP="00774FCF">
            <w:pPr>
              <w:spacing w:line="480" w:lineRule="auto"/>
              <w:rPr>
                <w:sz w:val="20"/>
              </w:rPr>
            </w:pPr>
            <w:r>
              <w:rPr>
                <w:sz w:val="20"/>
              </w:rPr>
              <w:t>0</w:t>
            </w:r>
            <w:r w:rsidR="00A47A89">
              <w:rPr>
                <w:sz w:val="20"/>
              </w:rPr>
              <w:t>.47</w:t>
            </w:r>
          </w:p>
        </w:tc>
      </w:tr>
      <w:tr w:rsidR="00A47A89" w:rsidRPr="00D678A1" w14:paraId="2A9ADAA8" w14:textId="77777777" w:rsidTr="00D316F8">
        <w:trPr>
          <w:jc w:val="center"/>
        </w:trPr>
        <w:tc>
          <w:tcPr>
            <w:tcW w:w="1458" w:type="pct"/>
            <w:tcBorders>
              <w:top w:val="nil"/>
              <w:bottom w:val="nil"/>
            </w:tcBorders>
          </w:tcPr>
          <w:p w14:paraId="7D4493FD" w14:textId="77777777" w:rsidR="00A47A89" w:rsidRPr="00D678A1" w:rsidRDefault="00A47A89" w:rsidP="00774FCF">
            <w:pPr>
              <w:spacing w:line="480" w:lineRule="auto"/>
              <w:rPr>
                <w:sz w:val="20"/>
              </w:rPr>
            </w:pPr>
            <w:r w:rsidRPr="00D678A1">
              <w:rPr>
                <w:sz w:val="20"/>
              </w:rPr>
              <w:t>(5) Odd or Eccentric Behaviour</w:t>
            </w:r>
          </w:p>
        </w:tc>
        <w:tc>
          <w:tcPr>
            <w:tcW w:w="391" w:type="pct"/>
            <w:tcBorders>
              <w:top w:val="nil"/>
              <w:bottom w:val="nil"/>
            </w:tcBorders>
          </w:tcPr>
          <w:p w14:paraId="4AEE58AE" w14:textId="77777777" w:rsidR="00A47A89" w:rsidRPr="00D678A1" w:rsidRDefault="00A47A89" w:rsidP="00774FCF">
            <w:pPr>
              <w:spacing w:line="480" w:lineRule="auto"/>
              <w:rPr>
                <w:sz w:val="20"/>
              </w:rPr>
            </w:pPr>
          </w:p>
        </w:tc>
        <w:tc>
          <w:tcPr>
            <w:tcW w:w="392" w:type="pct"/>
            <w:tcBorders>
              <w:top w:val="nil"/>
              <w:bottom w:val="nil"/>
            </w:tcBorders>
          </w:tcPr>
          <w:p w14:paraId="34CCEA25" w14:textId="77777777" w:rsidR="00A47A89" w:rsidRPr="00D678A1" w:rsidRDefault="00A47A89" w:rsidP="00774FCF">
            <w:pPr>
              <w:spacing w:line="480" w:lineRule="auto"/>
              <w:rPr>
                <w:sz w:val="20"/>
              </w:rPr>
            </w:pPr>
          </w:p>
        </w:tc>
        <w:tc>
          <w:tcPr>
            <w:tcW w:w="422" w:type="pct"/>
            <w:tcBorders>
              <w:top w:val="nil"/>
              <w:bottom w:val="nil"/>
            </w:tcBorders>
          </w:tcPr>
          <w:p w14:paraId="343F6C9A" w14:textId="77777777" w:rsidR="00A47A89" w:rsidRPr="00D678A1" w:rsidRDefault="00A47A89" w:rsidP="00774FCF">
            <w:pPr>
              <w:spacing w:line="480" w:lineRule="auto"/>
              <w:rPr>
                <w:sz w:val="20"/>
              </w:rPr>
            </w:pPr>
          </w:p>
        </w:tc>
        <w:tc>
          <w:tcPr>
            <w:tcW w:w="382" w:type="pct"/>
            <w:tcBorders>
              <w:top w:val="nil"/>
              <w:bottom w:val="nil"/>
            </w:tcBorders>
          </w:tcPr>
          <w:p w14:paraId="00361DA6" w14:textId="77777777" w:rsidR="00A47A89" w:rsidRPr="00D678A1" w:rsidRDefault="00A47A89" w:rsidP="00774FCF">
            <w:pPr>
              <w:spacing w:line="480" w:lineRule="auto"/>
              <w:rPr>
                <w:sz w:val="20"/>
              </w:rPr>
            </w:pPr>
          </w:p>
        </w:tc>
        <w:tc>
          <w:tcPr>
            <w:tcW w:w="373" w:type="pct"/>
            <w:tcBorders>
              <w:top w:val="nil"/>
              <w:bottom w:val="nil"/>
            </w:tcBorders>
          </w:tcPr>
          <w:p w14:paraId="371C2AA5" w14:textId="77777777" w:rsidR="00A47A89" w:rsidRPr="00D678A1" w:rsidRDefault="00A47A89" w:rsidP="00774FCF">
            <w:pPr>
              <w:spacing w:line="480" w:lineRule="auto"/>
              <w:rPr>
                <w:sz w:val="20"/>
              </w:rPr>
            </w:pPr>
          </w:p>
        </w:tc>
        <w:tc>
          <w:tcPr>
            <w:tcW w:w="363" w:type="pct"/>
            <w:tcBorders>
              <w:top w:val="nil"/>
              <w:bottom w:val="nil"/>
            </w:tcBorders>
          </w:tcPr>
          <w:p w14:paraId="4E9CBE67" w14:textId="437A5AF2" w:rsidR="00A47A89" w:rsidRPr="00D678A1" w:rsidRDefault="00D316F8" w:rsidP="00774FCF">
            <w:pPr>
              <w:spacing w:line="480" w:lineRule="auto"/>
              <w:rPr>
                <w:sz w:val="20"/>
              </w:rPr>
            </w:pPr>
            <w:r>
              <w:rPr>
                <w:sz w:val="20"/>
              </w:rPr>
              <w:t>0</w:t>
            </w:r>
            <w:r w:rsidR="00A47A89">
              <w:rPr>
                <w:sz w:val="20"/>
              </w:rPr>
              <w:t>.37</w:t>
            </w:r>
          </w:p>
        </w:tc>
        <w:tc>
          <w:tcPr>
            <w:tcW w:w="389" w:type="pct"/>
            <w:tcBorders>
              <w:top w:val="nil"/>
              <w:bottom w:val="nil"/>
            </w:tcBorders>
          </w:tcPr>
          <w:p w14:paraId="6E416210" w14:textId="47FFC8DC" w:rsidR="00A47A89" w:rsidRPr="00D678A1" w:rsidRDefault="00D316F8" w:rsidP="00774FCF">
            <w:pPr>
              <w:spacing w:line="480" w:lineRule="auto"/>
              <w:rPr>
                <w:sz w:val="20"/>
              </w:rPr>
            </w:pPr>
            <w:r>
              <w:rPr>
                <w:sz w:val="20"/>
              </w:rPr>
              <w:t>0</w:t>
            </w:r>
            <w:r w:rsidR="00A47A89">
              <w:rPr>
                <w:sz w:val="20"/>
              </w:rPr>
              <w:t>.</w:t>
            </w:r>
            <w:r w:rsidR="00672F78">
              <w:rPr>
                <w:sz w:val="20"/>
              </w:rPr>
              <w:t>50</w:t>
            </w:r>
          </w:p>
        </w:tc>
        <w:tc>
          <w:tcPr>
            <w:tcW w:w="392" w:type="pct"/>
            <w:tcBorders>
              <w:top w:val="nil"/>
              <w:bottom w:val="nil"/>
            </w:tcBorders>
          </w:tcPr>
          <w:p w14:paraId="5D5BE830" w14:textId="3AC97CAF" w:rsidR="00A47A89" w:rsidRPr="00D678A1" w:rsidRDefault="00D316F8" w:rsidP="00774FCF">
            <w:pPr>
              <w:spacing w:line="480" w:lineRule="auto"/>
              <w:rPr>
                <w:sz w:val="20"/>
              </w:rPr>
            </w:pPr>
            <w:r>
              <w:rPr>
                <w:sz w:val="20"/>
              </w:rPr>
              <w:t>0</w:t>
            </w:r>
            <w:r w:rsidR="00A47A89">
              <w:rPr>
                <w:sz w:val="20"/>
              </w:rPr>
              <w:t>.</w:t>
            </w:r>
            <w:r w:rsidR="00672F78">
              <w:rPr>
                <w:sz w:val="20"/>
              </w:rPr>
              <w:t>40</w:t>
            </w:r>
          </w:p>
        </w:tc>
        <w:tc>
          <w:tcPr>
            <w:tcW w:w="437" w:type="pct"/>
            <w:tcBorders>
              <w:top w:val="nil"/>
              <w:bottom w:val="nil"/>
            </w:tcBorders>
          </w:tcPr>
          <w:p w14:paraId="29E75454" w14:textId="5EC11A77" w:rsidR="00A47A89" w:rsidRPr="00D678A1" w:rsidRDefault="00D316F8" w:rsidP="00774FCF">
            <w:pPr>
              <w:spacing w:line="480" w:lineRule="auto"/>
              <w:rPr>
                <w:sz w:val="20"/>
              </w:rPr>
            </w:pPr>
            <w:r>
              <w:rPr>
                <w:sz w:val="20"/>
              </w:rPr>
              <w:t>0</w:t>
            </w:r>
            <w:r w:rsidR="00A47A89">
              <w:rPr>
                <w:sz w:val="20"/>
              </w:rPr>
              <w:t>.31</w:t>
            </w:r>
          </w:p>
        </w:tc>
      </w:tr>
      <w:tr w:rsidR="00A47A89" w:rsidRPr="00D678A1" w14:paraId="352581D5" w14:textId="77777777" w:rsidTr="00D316F8">
        <w:trPr>
          <w:jc w:val="center"/>
        </w:trPr>
        <w:tc>
          <w:tcPr>
            <w:tcW w:w="1458" w:type="pct"/>
            <w:tcBorders>
              <w:top w:val="nil"/>
              <w:bottom w:val="nil"/>
            </w:tcBorders>
          </w:tcPr>
          <w:p w14:paraId="11C32518" w14:textId="77777777" w:rsidR="00A47A89" w:rsidRPr="00D678A1" w:rsidRDefault="00A47A89" w:rsidP="00774FCF">
            <w:pPr>
              <w:spacing w:line="480" w:lineRule="auto"/>
              <w:rPr>
                <w:sz w:val="20"/>
              </w:rPr>
            </w:pPr>
            <w:r w:rsidRPr="00D678A1">
              <w:rPr>
                <w:sz w:val="20"/>
              </w:rPr>
              <w:t>(6) No Close Friends</w:t>
            </w:r>
          </w:p>
        </w:tc>
        <w:tc>
          <w:tcPr>
            <w:tcW w:w="391" w:type="pct"/>
            <w:tcBorders>
              <w:top w:val="nil"/>
              <w:bottom w:val="nil"/>
            </w:tcBorders>
          </w:tcPr>
          <w:p w14:paraId="0672B6D4" w14:textId="77777777" w:rsidR="00A47A89" w:rsidRPr="00D678A1" w:rsidRDefault="00A47A89" w:rsidP="00774FCF">
            <w:pPr>
              <w:spacing w:line="480" w:lineRule="auto"/>
              <w:rPr>
                <w:sz w:val="20"/>
              </w:rPr>
            </w:pPr>
          </w:p>
        </w:tc>
        <w:tc>
          <w:tcPr>
            <w:tcW w:w="392" w:type="pct"/>
            <w:tcBorders>
              <w:top w:val="nil"/>
              <w:bottom w:val="nil"/>
            </w:tcBorders>
          </w:tcPr>
          <w:p w14:paraId="79DCA3D3" w14:textId="77777777" w:rsidR="00A47A89" w:rsidRPr="00D678A1" w:rsidRDefault="00A47A89" w:rsidP="00774FCF">
            <w:pPr>
              <w:spacing w:line="480" w:lineRule="auto"/>
              <w:rPr>
                <w:sz w:val="20"/>
              </w:rPr>
            </w:pPr>
          </w:p>
        </w:tc>
        <w:tc>
          <w:tcPr>
            <w:tcW w:w="422" w:type="pct"/>
            <w:tcBorders>
              <w:top w:val="nil"/>
              <w:bottom w:val="nil"/>
            </w:tcBorders>
          </w:tcPr>
          <w:p w14:paraId="2085DA6D" w14:textId="77777777" w:rsidR="00A47A89" w:rsidRPr="00D678A1" w:rsidRDefault="00A47A89" w:rsidP="00774FCF">
            <w:pPr>
              <w:spacing w:line="480" w:lineRule="auto"/>
              <w:rPr>
                <w:sz w:val="20"/>
              </w:rPr>
            </w:pPr>
          </w:p>
        </w:tc>
        <w:tc>
          <w:tcPr>
            <w:tcW w:w="382" w:type="pct"/>
            <w:tcBorders>
              <w:top w:val="nil"/>
              <w:bottom w:val="nil"/>
            </w:tcBorders>
          </w:tcPr>
          <w:p w14:paraId="4A195C57" w14:textId="77777777" w:rsidR="00A47A89" w:rsidRPr="00D678A1" w:rsidRDefault="00A47A89" w:rsidP="00774FCF">
            <w:pPr>
              <w:spacing w:line="480" w:lineRule="auto"/>
              <w:rPr>
                <w:sz w:val="20"/>
              </w:rPr>
            </w:pPr>
          </w:p>
        </w:tc>
        <w:tc>
          <w:tcPr>
            <w:tcW w:w="373" w:type="pct"/>
            <w:tcBorders>
              <w:top w:val="nil"/>
              <w:bottom w:val="nil"/>
            </w:tcBorders>
          </w:tcPr>
          <w:p w14:paraId="49F86027" w14:textId="77777777" w:rsidR="00A47A89" w:rsidRPr="00D678A1" w:rsidRDefault="00A47A89" w:rsidP="00774FCF">
            <w:pPr>
              <w:spacing w:line="480" w:lineRule="auto"/>
              <w:rPr>
                <w:sz w:val="20"/>
              </w:rPr>
            </w:pPr>
          </w:p>
        </w:tc>
        <w:tc>
          <w:tcPr>
            <w:tcW w:w="363" w:type="pct"/>
            <w:tcBorders>
              <w:top w:val="nil"/>
              <w:bottom w:val="nil"/>
            </w:tcBorders>
          </w:tcPr>
          <w:p w14:paraId="588D9D3F" w14:textId="77777777" w:rsidR="00A47A89" w:rsidRPr="00D678A1" w:rsidRDefault="00A47A89" w:rsidP="00774FCF">
            <w:pPr>
              <w:spacing w:line="480" w:lineRule="auto"/>
              <w:rPr>
                <w:sz w:val="20"/>
              </w:rPr>
            </w:pPr>
          </w:p>
        </w:tc>
        <w:tc>
          <w:tcPr>
            <w:tcW w:w="389" w:type="pct"/>
            <w:tcBorders>
              <w:top w:val="nil"/>
              <w:bottom w:val="nil"/>
            </w:tcBorders>
          </w:tcPr>
          <w:p w14:paraId="4BD65500" w14:textId="31213FB7" w:rsidR="00A47A89" w:rsidRPr="00D678A1" w:rsidRDefault="00D316F8" w:rsidP="00774FCF">
            <w:pPr>
              <w:spacing w:line="480" w:lineRule="auto"/>
              <w:rPr>
                <w:sz w:val="20"/>
              </w:rPr>
            </w:pPr>
            <w:r>
              <w:rPr>
                <w:sz w:val="20"/>
              </w:rPr>
              <w:t>0</w:t>
            </w:r>
            <w:r w:rsidR="00A47A89">
              <w:rPr>
                <w:sz w:val="20"/>
              </w:rPr>
              <w:t>.43</w:t>
            </w:r>
          </w:p>
        </w:tc>
        <w:tc>
          <w:tcPr>
            <w:tcW w:w="392" w:type="pct"/>
            <w:tcBorders>
              <w:top w:val="nil"/>
              <w:bottom w:val="nil"/>
            </w:tcBorders>
          </w:tcPr>
          <w:p w14:paraId="7887B60A" w14:textId="63962C51" w:rsidR="00A47A89" w:rsidRPr="00D678A1" w:rsidRDefault="00D316F8" w:rsidP="00774FCF">
            <w:pPr>
              <w:spacing w:line="480" w:lineRule="auto"/>
              <w:rPr>
                <w:sz w:val="20"/>
              </w:rPr>
            </w:pPr>
            <w:r>
              <w:rPr>
                <w:sz w:val="20"/>
              </w:rPr>
              <w:t>0</w:t>
            </w:r>
            <w:r w:rsidR="00A47A89">
              <w:rPr>
                <w:sz w:val="20"/>
              </w:rPr>
              <w:t>.67</w:t>
            </w:r>
          </w:p>
        </w:tc>
        <w:tc>
          <w:tcPr>
            <w:tcW w:w="437" w:type="pct"/>
            <w:tcBorders>
              <w:top w:val="nil"/>
              <w:bottom w:val="nil"/>
            </w:tcBorders>
          </w:tcPr>
          <w:p w14:paraId="095FA40F" w14:textId="132EFB4A" w:rsidR="00A47A89" w:rsidRPr="00D678A1" w:rsidRDefault="00D316F8" w:rsidP="00774FCF">
            <w:pPr>
              <w:spacing w:line="480" w:lineRule="auto"/>
              <w:rPr>
                <w:sz w:val="20"/>
              </w:rPr>
            </w:pPr>
            <w:r>
              <w:rPr>
                <w:sz w:val="20"/>
              </w:rPr>
              <w:t>0</w:t>
            </w:r>
            <w:r w:rsidR="00A47A89">
              <w:rPr>
                <w:sz w:val="20"/>
              </w:rPr>
              <w:t>.3</w:t>
            </w:r>
            <w:r w:rsidR="00672F78">
              <w:rPr>
                <w:sz w:val="20"/>
              </w:rPr>
              <w:t>9</w:t>
            </w:r>
          </w:p>
        </w:tc>
      </w:tr>
      <w:tr w:rsidR="00A47A89" w:rsidRPr="00D678A1" w14:paraId="4ACB46B3" w14:textId="77777777" w:rsidTr="00D316F8">
        <w:trPr>
          <w:jc w:val="center"/>
        </w:trPr>
        <w:tc>
          <w:tcPr>
            <w:tcW w:w="1458" w:type="pct"/>
            <w:tcBorders>
              <w:top w:val="nil"/>
              <w:bottom w:val="nil"/>
            </w:tcBorders>
          </w:tcPr>
          <w:p w14:paraId="7AF28C8F" w14:textId="77777777" w:rsidR="00A47A89" w:rsidRPr="00D678A1" w:rsidRDefault="00A47A89" w:rsidP="00774FCF">
            <w:pPr>
              <w:spacing w:line="480" w:lineRule="auto"/>
              <w:rPr>
                <w:sz w:val="20"/>
              </w:rPr>
            </w:pPr>
            <w:r w:rsidRPr="00D678A1">
              <w:rPr>
                <w:sz w:val="20"/>
              </w:rPr>
              <w:t>(7) Odd Speech</w:t>
            </w:r>
          </w:p>
        </w:tc>
        <w:tc>
          <w:tcPr>
            <w:tcW w:w="391" w:type="pct"/>
            <w:tcBorders>
              <w:top w:val="nil"/>
              <w:bottom w:val="nil"/>
            </w:tcBorders>
          </w:tcPr>
          <w:p w14:paraId="46075564" w14:textId="77777777" w:rsidR="00A47A89" w:rsidRPr="00D678A1" w:rsidRDefault="00A47A89" w:rsidP="00774FCF">
            <w:pPr>
              <w:spacing w:line="480" w:lineRule="auto"/>
              <w:rPr>
                <w:sz w:val="20"/>
              </w:rPr>
            </w:pPr>
          </w:p>
        </w:tc>
        <w:tc>
          <w:tcPr>
            <w:tcW w:w="392" w:type="pct"/>
            <w:tcBorders>
              <w:top w:val="nil"/>
              <w:bottom w:val="nil"/>
            </w:tcBorders>
          </w:tcPr>
          <w:p w14:paraId="2263B885" w14:textId="77777777" w:rsidR="00A47A89" w:rsidRPr="00D678A1" w:rsidRDefault="00A47A89" w:rsidP="00774FCF">
            <w:pPr>
              <w:spacing w:line="480" w:lineRule="auto"/>
              <w:rPr>
                <w:sz w:val="20"/>
              </w:rPr>
            </w:pPr>
          </w:p>
        </w:tc>
        <w:tc>
          <w:tcPr>
            <w:tcW w:w="422" w:type="pct"/>
            <w:tcBorders>
              <w:top w:val="nil"/>
              <w:bottom w:val="nil"/>
            </w:tcBorders>
          </w:tcPr>
          <w:p w14:paraId="66AA7BF7" w14:textId="77777777" w:rsidR="00A47A89" w:rsidRPr="00D678A1" w:rsidRDefault="00A47A89" w:rsidP="00774FCF">
            <w:pPr>
              <w:spacing w:line="480" w:lineRule="auto"/>
              <w:rPr>
                <w:sz w:val="20"/>
              </w:rPr>
            </w:pPr>
          </w:p>
        </w:tc>
        <w:tc>
          <w:tcPr>
            <w:tcW w:w="382" w:type="pct"/>
            <w:tcBorders>
              <w:top w:val="nil"/>
              <w:bottom w:val="nil"/>
            </w:tcBorders>
          </w:tcPr>
          <w:p w14:paraId="35628EAB" w14:textId="77777777" w:rsidR="00A47A89" w:rsidRPr="00D678A1" w:rsidRDefault="00A47A89" w:rsidP="00774FCF">
            <w:pPr>
              <w:spacing w:line="480" w:lineRule="auto"/>
              <w:rPr>
                <w:sz w:val="20"/>
              </w:rPr>
            </w:pPr>
          </w:p>
        </w:tc>
        <w:tc>
          <w:tcPr>
            <w:tcW w:w="373" w:type="pct"/>
            <w:tcBorders>
              <w:top w:val="nil"/>
              <w:bottom w:val="nil"/>
            </w:tcBorders>
          </w:tcPr>
          <w:p w14:paraId="21080B18" w14:textId="77777777" w:rsidR="00A47A89" w:rsidRPr="00D678A1" w:rsidRDefault="00A47A89" w:rsidP="00774FCF">
            <w:pPr>
              <w:spacing w:line="480" w:lineRule="auto"/>
              <w:rPr>
                <w:sz w:val="20"/>
              </w:rPr>
            </w:pPr>
          </w:p>
        </w:tc>
        <w:tc>
          <w:tcPr>
            <w:tcW w:w="363" w:type="pct"/>
            <w:tcBorders>
              <w:top w:val="nil"/>
              <w:bottom w:val="nil"/>
            </w:tcBorders>
          </w:tcPr>
          <w:p w14:paraId="4C9E4A72" w14:textId="77777777" w:rsidR="00A47A89" w:rsidRPr="00D678A1" w:rsidRDefault="00A47A89" w:rsidP="00774FCF">
            <w:pPr>
              <w:spacing w:line="480" w:lineRule="auto"/>
              <w:rPr>
                <w:sz w:val="20"/>
              </w:rPr>
            </w:pPr>
          </w:p>
        </w:tc>
        <w:tc>
          <w:tcPr>
            <w:tcW w:w="389" w:type="pct"/>
            <w:tcBorders>
              <w:top w:val="nil"/>
              <w:bottom w:val="nil"/>
            </w:tcBorders>
          </w:tcPr>
          <w:p w14:paraId="6F9AD020" w14:textId="77777777" w:rsidR="00A47A89" w:rsidRPr="00D678A1" w:rsidRDefault="00A47A89" w:rsidP="00774FCF">
            <w:pPr>
              <w:spacing w:line="480" w:lineRule="auto"/>
              <w:rPr>
                <w:sz w:val="20"/>
              </w:rPr>
            </w:pPr>
          </w:p>
        </w:tc>
        <w:tc>
          <w:tcPr>
            <w:tcW w:w="392" w:type="pct"/>
            <w:tcBorders>
              <w:top w:val="nil"/>
              <w:bottom w:val="nil"/>
            </w:tcBorders>
          </w:tcPr>
          <w:p w14:paraId="212F5E3A" w14:textId="0C6B13E3" w:rsidR="00A47A89" w:rsidRPr="00D678A1" w:rsidRDefault="00D316F8" w:rsidP="00774FCF">
            <w:pPr>
              <w:spacing w:line="480" w:lineRule="auto"/>
              <w:rPr>
                <w:sz w:val="20"/>
              </w:rPr>
            </w:pPr>
            <w:r>
              <w:rPr>
                <w:sz w:val="20"/>
              </w:rPr>
              <w:t>0</w:t>
            </w:r>
            <w:r w:rsidR="00A47A89">
              <w:rPr>
                <w:sz w:val="20"/>
              </w:rPr>
              <w:t>.50</w:t>
            </w:r>
          </w:p>
        </w:tc>
        <w:tc>
          <w:tcPr>
            <w:tcW w:w="437" w:type="pct"/>
            <w:tcBorders>
              <w:top w:val="nil"/>
              <w:bottom w:val="nil"/>
            </w:tcBorders>
          </w:tcPr>
          <w:p w14:paraId="313EA1A0" w14:textId="02E6A251" w:rsidR="00A47A89" w:rsidRPr="00D678A1" w:rsidRDefault="00D316F8" w:rsidP="00774FCF">
            <w:pPr>
              <w:spacing w:line="480" w:lineRule="auto"/>
              <w:rPr>
                <w:sz w:val="20"/>
              </w:rPr>
            </w:pPr>
            <w:r>
              <w:rPr>
                <w:sz w:val="20"/>
              </w:rPr>
              <w:t>0</w:t>
            </w:r>
            <w:r w:rsidR="00A47A89">
              <w:rPr>
                <w:sz w:val="20"/>
              </w:rPr>
              <w:t>.46</w:t>
            </w:r>
          </w:p>
        </w:tc>
      </w:tr>
      <w:tr w:rsidR="00A47A89" w:rsidRPr="00D678A1" w14:paraId="33FBA796" w14:textId="77777777" w:rsidTr="00D316F8">
        <w:trPr>
          <w:jc w:val="center"/>
        </w:trPr>
        <w:tc>
          <w:tcPr>
            <w:tcW w:w="1458" w:type="pct"/>
            <w:tcBorders>
              <w:top w:val="nil"/>
              <w:bottom w:val="nil"/>
            </w:tcBorders>
          </w:tcPr>
          <w:p w14:paraId="7364171E" w14:textId="77777777" w:rsidR="00A47A89" w:rsidRPr="00D678A1" w:rsidRDefault="00A47A89" w:rsidP="00774FCF">
            <w:pPr>
              <w:spacing w:line="480" w:lineRule="auto"/>
              <w:rPr>
                <w:sz w:val="20"/>
              </w:rPr>
            </w:pPr>
            <w:r w:rsidRPr="00D678A1">
              <w:rPr>
                <w:sz w:val="20"/>
              </w:rPr>
              <w:t>(8) Constricted Affect</w:t>
            </w:r>
          </w:p>
        </w:tc>
        <w:tc>
          <w:tcPr>
            <w:tcW w:w="391" w:type="pct"/>
            <w:tcBorders>
              <w:top w:val="nil"/>
              <w:bottom w:val="nil"/>
            </w:tcBorders>
          </w:tcPr>
          <w:p w14:paraId="61D7CEC9" w14:textId="77777777" w:rsidR="00A47A89" w:rsidRPr="00D678A1" w:rsidRDefault="00A47A89" w:rsidP="00774FCF">
            <w:pPr>
              <w:spacing w:line="480" w:lineRule="auto"/>
              <w:rPr>
                <w:sz w:val="20"/>
              </w:rPr>
            </w:pPr>
          </w:p>
        </w:tc>
        <w:tc>
          <w:tcPr>
            <w:tcW w:w="392" w:type="pct"/>
            <w:tcBorders>
              <w:top w:val="nil"/>
              <w:bottom w:val="nil"/>
            </w:tcBorders>
          </w:tcPr>
          <w:p w14:paraId="2F24DCA6" w14:textId="77777777" w:rsidR="00A47A89" w:rsidRPr="00D678A1" w:rsidRDefault="00A47A89" w:rsidP="00774FCF">
            <w:pPr>
              <w:spacing w:line="480" w:lineRule="auto"/>
              <w:rPr>
                <w:sz w:val="20"/>
              </w:rPr>
            </w:pPr>
          </w:p>
        </w:tc>
        <w:tc>
          <w:tcPr>
            <w:tcW w:w="422" w:type="pct"/>
            <w:tcBorders>
              <w:top w:val="nil"/>
              <w:bottom w:val="nil"/>
            </w:tcBorders>
          </w:tcPr>
          <w:p w14:paraId="343187CC" w14:textId="77777777" w:rsidR="00A47A89" w:rsidRPr="00D678A1" w:rsidRDefault="00A47A89" w:rsidP="00774FCF">
            <w:pPr>
              <w:spacing w:line="480" w:lineRule="auto"/>
              <w:rPr>
                <w:sz w:val="20"/>
              </w:rPr>
            </w:pPr>
          </w:p>
        </w:tc>
        <w:tc>
          <w:tcPr>
            <w:tcW w:w="382" w:type="pct"/>
            <w:tcBorders>
              <w:top w:val="nil"/>
              <w:bottom w:val="nil"/>
            </w:tcBorders>
          </w:tcPr>
          <w:p w14:paraId="6B337F7D" w14:textId="77777777" w:rsidR="00A47A89" w:rsidRPr="00D678A1" w:rsidRDefault="00A47A89" w:rsidP="00774FCF">
            <w:pPr>
              <w:spacing w:line="480" w:lineRule="auto"/>
              <w:rPr>
                <w:sz w:val="20"/>
              </w:rPr>
            </w:pPr>
          </w:p>
        </w:tc>
        <w:tc>
          <w:tcPr>
            <w:tcW w:w="373" w:type="pct"/>
            <w:tcBorders>
              <w:top w:val="nil"/>
              <w:bottom w:val="nil"/>
            </w:tcBorders>
          </w:tcPr>
          <w:p w14:paraId="31AECB35" w14:textId="77777777" w:rsidR="00A47A89" w:rsidRPr="00D678A1" w:rsidRDefault="00A47A89" w:rsidP="00774FCF">
            <w:pPr>
              <w:spacing w:line="480" w:lineRule="auto"/>
              <w:rPr>
                <w:sz w:val="20"/>
              </w:rPr>
            </w:pPr>
          </w:p>
        </w:tc>
        <w:tc>
          <w:tcPr>
            <w:tcW w:w="363" w:type="pct"/>
            <w:tcBorders>
              <w:top w:val="nil"/>
              <w:bottom w:val="nil"/>
            </w:tcBorders>
          </w:tcPr>
          <w:p w14:paraId="19B68034" w14:textId="77777777" w:rsidR="00A47A89" w:rsidRPr="00D678A1" w:rsidRDefault="00A47A89" w:rsidP="00774FCF">
            <w:pPr>
              <w:spacing w:line="480" w:lineRule="auto"/>
              <w:rPr>
                <w:sz w:val="20"/>
              </w:rPr>
            </w:pPr>
          </w:p>
        </w:tc>
        <w:tc>
          <w:tcPr>
            <w:tcW w:w="389" w:type="pct"/>
            <w:tcBorders>
              <w:top w:val="nil"/>
              <w:bottom w:val="nil"/>
            </w:tcBorders>
          </w:tcPr>
          <w:p w14:paraId="09611D77" w14:textId="77777777" w:rsidR="00A47A89" w:rsidRPr="00D678A1" w:rsidRDefault="00A47A89" w:rsidP="00774FCF">
            <w:pPr>
              <w:spacing w:line="480" w:lineRule="auto"/>
              <w:rPr>
                <w:sz w:val="20"/>
              </w:rPr>
            </w:pPr>
          </w:p>
        </w:tc>
        <w:tc>
          <w:tcPr>
            <w:tcW w:w="392" w:type="pct"/>
            <w:tcBorders>
              <w:top w:val="nil"/>
              <w:bottom w:val="nil"/>
            </w:tcBorders>
          </w:tcPr>
          <w:p w14:paraId="6DB41826" w14:textId="77777777" w:rsidR="00A47A89" w:rsidRPr="00D678A1" w:rsidRDefault="00A47A89" w:rsidP="00774FCF">
            <w:pPr>
              <w:spacing w:line="480" w:lineRule="auto"/>
              <w:rPr>
                <w:sz w:val="20"/>
              </w:rPr>
            </w:pPr>
          </w:p>
        </w:tc>
        <w:tc>
          <w:tcPr>
            <w:tcW w:w="437" w:type="pct"/>
            <w:tcBorders>
              <w:top w:val="nil"/>
              <w:bottom w:val="nil"/>
            </w:tcBorders>
          </w:tcPr>
          <w:p w14:paraId="310F534E" w14:textId="64EDAF67" w:rsidR="00A47A89" w:rsidRPr="00D678A1" w:rsidRDefault="00D316F8" w:rsidP="00774FCF">
            <w:pPr>
              <w:spacing w:line="480" w:lineRule="auto"/>
              <w:rPr>
                <w:sz w:val="20"/>
              </w:rPr>
            </w:pPr>
            <w:r>
              <w:rPr>
                <w:sz w:val="20"/>
              </w:rPr>
              <w:t>0</w:t>
            </w:r>
            <w:r w:rsidR="00A47A89">
              <w:rPr>
                <w:sz w:val="20"/>
              </w:rPr>
              <w:t>.36</w:t>
            </w:r>
          </w:p>
        </w:tc>
      </w:tr>
      <w:tr w:rsidR="00A47A89" w:rsidRPr="00D678A1" w14:paraId="4D18FB74" w14:textId="77777777" w:rsidTr="00D316F8">
        <w:trPr>
          <w:jc w:val="center"/>
        </w:trPr>
        <w:tc>
          <w:tcPr>
            <w:tcW w:w="1458" w:type="pct"/>
            <w:tcBorders>
              <w:top w:val="nil"/>
              <w:bottom w:val="nil"/>
            </w:tcBorders>
          </w:tcPr>
          <w:p w14:paraId="5858ED92" w14:textId="77777777" w:rsidR="00A47A89" w:rsidRPr="00D678A1" w:rsidRDefault="00A47A89" w:rsidP="00774FCF">
            <w:pPr>
              <w:spacing w:line="480" w:lineRule="auto"/>
              <w:rPr>
                <w:sz w:val="20"/>
              </w:rPr>
            </w:pPr>
            <w:r w:rsidRPr="00D678A1">
              <w:rPr>
                <w:sz w:val="20"/>
              </w:rPr>
              <w:t>(9) Suspiciousness</w:t>
            </w:r>
          </w:p>
        </w:tc>
        <w:tc>
          <w:tcPr>
            <w:tcW w:w="391" w:type="pct"/>
            <w:tcBorders>
              <w:top w:val="nil"/>
              <w:bottom w:val="nil"/>
            </w:tcBorders>
          </w:tcPr>
          <w:p w14:paraId="669EF033" w14:textId="77777777" w:rsidR="00A47A89" w:rsidRPr="00D678A1" w:rsidRDefault="00A47A89" w:rsidP="00774FCF">
            <w:pPr>
              <w:spacing w:line="480" w:lineRule="auto"/>
              <w:rPr>
                <w:sz w:val="20"/>
              </w:rPr>
            </w:pPr>
          </w:p>
        </w:tc>
        <w:tc>
          <w:tcPr>
            <w:tcW w:w="392" w:type="pct"/>
            <w:tcBorders>
              <w:top w:val="nil"/>
              <w:bottom w:val="nil"/>
            </w:tcBorders>
          </w:tcPr>
          <w:p w14:paraId="7A71BF86" w14:textId="77777777" w:rsidR="00A47A89" w:rsidRPr="00D678A1" w:rsidRDefault="00A47A89" w:rsidP="00774FCF">
            <w:pPr>
              <w:spacing w:line="480" w:lineRule="auto"/>
              <w:rPr>
                <w:sz w:val="20"/>
              </w:rPr>
            </w:pPr>
          </w:p>
        </w:tc>
        <w:tc>
          <w:tcPr>
            <w:tcW w:w="422" w:type="pct"/>
            <w:tcBorders>
              <w:top w:val="nil"/>
              <w:bottom w:val="nil"/>
            </w:tcBorders>
          </w:tcPr>
          <w:p w14:paraId="78CD6034" w14:textId="77777777" w:rsidR="00A47A89" w:rsidRPr="00D678A1" w:rsidRDefault="00A47A89" w:rsidP="00774FCF">
            <w:pPr>
              <w:spacing w:line="480" w:lineRule="auto"/>
              <w:rPr>
                <w:sz w:val="20"/>
              </w:rPr>
            </w:pPr>
          </w:p>
        </w:tc>
        <w:tc>
          <w:tcPr>
            <w:tcW w:w="382" w:type="pct"/>
            <w:tcBorders>
              <w:top w:val="nil"/>
              <w:bottom w:val="nil"/>
            </w:tcBorders>
          </w:tcPr>
          <w:p w14:paraId="79F093B6" w14:textId="77777777" w:rsidR="00A47A89" w:rsidRPr="00D678A1" w:rsidRDefault="00A47A89" w:rsidP="00774FCF">
            <w:pPr>
              <w:spacing w:line="480" w:lineRule="auto"/>
              <w:rPr>
                <w:sz w:val="20"/>
              </w:rPr>
            </w:pPr>
          </w:p>
        </w:tc>
        <w:tc>
          <w:tcPr>
            <w:tcW w:w="373" w:type="pct"/>
            <w:tcBorders>
              <w:top w:val="nil"/>
              <w:bottom w:val="nil"/>
            </w:tcBorders>
          </w:tcPr>
          <w:p w14:paraId="1D5FB1D1" w14:textId="77777777" w:rsidR="00A47A89" w:rsidRPr="00D678A1" w:rsidRDefault="00A47A89" w:rsidP="00774FCF">
            <w:pPr>
              <w:spacing w:line="480" w:lineRule="auto"/>
              <w:rPr>
                <w:sz w:val="20"/>
              </w:rPr>
            </w:pPr>
          </w:p>
        </w:tc>
        <w:tc>
          <w:tcPr>
            <w:tcW w:w="363" w:type="pct"/>
            <w:tcBorders>
              <w:top w:val="nil"/>
              <w:bottom w:val="nil"/>
            </w:tcBorders>
          </w:tcPr>
          <w:p w14:paraId="7B356CC6" w14:textId="77777777" w:rsidR="00A47A89" w:rsidRPr="00D678A1" w:rsidRDefault="00A47A89" w:rsidP="00774FCF">
            <w:pPr>
              <w:spacing w:line="480" w:lineRule="auto"/>
              <w:rPr>
                <w:sz w:val="20"/>
              </w:rPr>
            </w:pPr>
          </w:p>
        </w:tc>
        <w:tc>
          <w:tcPr>
            <w:tcW w:w="389" w:type="pct"/>
            <w:tcBorders>
              <w:top w:val="nil"/>
              <w:bottom w:val="nil"/>
            </w:tcBorders>
          </w:tcPr>
          <w:p w14:paraId="4B9ADD91" w14:textId="77777777" w:rsidR="00A47A89" w:rsidRPr="00D678A1" w:rsidRDefault="00A47A89" w:rsidP="00774FCF">
            <w:pPr>
              <w:spacing w:line="480" w:lineRule="auto"/>
              <w:rPr>
                <w:sz w:val="20"/>
              </w:rPr>
            </w:pPr>
          </w:p>
        </w:tc>
        <w:tc>
          <w:tcPr>
            <w:tcW w:w="392" w:type="pct"/>
            <w:tcBorders>
              <w:top w:val="nil"/>
              <w:bottom w:val="nil"/>
            </w:tcBorders>
          </w:tcPr>
          <w:p w14:paraId="0F32E469" w14:textId="77777777" w:rsidR="00A47A89" w:rsidRPr="00D678A1" w:rsidRDefault="00A47A89" w:rsidP="00774FCF">
            <w:pPr>
              <w:spacing w:line="480" w:lineRule="auto"/>
              <w:rPr>
                <w:sz w:val="20"/>
              </w:rPr>
            </w:pPr>
          </w:p>
        </w:tc>
        <w:tc>
          <w:tcPr>
            <w:tcW w:w="437" w:type="pct"/>
            <w:tcBorders>
              <w:top w:val="nil"/>
              <w:bottom w:val="nil"/>
            </w:tcBorders>
          </w:tcPr>
          <w:p w14:paraId="2E7156BA" w14:textId="77777777" w:rsidR="00A47A89" w:rsidRPr="00D678A1" w:rsidRDefault="00A47A89" w:rsidP="00774FCF">
            <w:pPr>
              <w:spacing w:line="480" w:lineRule="auto"/>
              <w:rPr>
                <w:sz w:val="20"/>
              </w:rPr>
            </w:pPr>
          </w:p>
        </w:tc>
      </w:tr>
      <w:tr w:rsidR="00A47A89" w:rsidRPr="006F7CC6" w14:paraId="62BB77A8" w14:textId="77777777" w:rsidTr="00D316F8">
        <w:trPr>
          <w:jc w:val="center"/>
        </w:trPr>
        <w:tc>
          <w:tcPr>
            <w:tcW w:w="1458" w:type="pct"/>
            <w:tcBorders>
              <w:top w:val="nil"/>
              <w:bottom w:val="nil"/>
            </w:tcBorders>
          </w:tcPr>
          <w:p w14:paraId="527381D5" w14:textId="77777777" w:rsidR="00A47A89" w:rsidRPr="00A47A89" w:rsidRDefault="00A47A89" w:rsidP="00774FCF">
            <w:pPr>
              <w:spacing w:line="480" w:lineRule="auto"/>
              <w:rPr>
                <w:i/>
                <w:sz w:val="20"/>
                <w:szCs w:val="20"/>
              </w:rPr>
            </w:pPr>
            <w:r w:rsidRPr="00A47A89">
              <w:rPr>
                <w:i/>
                <w:sz w:val="20"/>
                <w:szCs w:val="20"/>
              </w:rPr>
              <w:t>M</w:t>
            </w:r>
          </w:p>
        </w:tc>
        <w:tc>
          <w:tcPr>
            <w:tcW w:w="391" w:type="pct"/>
            <w:tcBorders>
              <w:top w:val="nil"/>
              <w:bottom w:val="nil"/>
            </w:tcBorders>
          </w:tcPr>
          <w:p w14:paraId="3448A969" w14:textId="77777777" w:rsidR="00A47A89" w:rsidRPr="006F7CC6" w:rsidRDefault="00A47A89" w:rsidP="00774FCF">
            <w:pPr>
              <w:spacing w:line="480" w:lineRule="auto"/>
              <w:rPr>
                <w:sz w:val="20"/>
                <w:szCs w:val="20"/>
              </w:rPr>
            </w:pPr>
            <w:r w:rsidRPr="00B300A1">
              <w:rPr>
                <w:color w:val="010205"/>
                <w:sz w:val="20"/>
                <w:szCs w:val="20"/>
                <w:lang w:val="en-MY" w:eastAsia="zh-CN"/>
              </w:rPr>
              <w:t>3.08</w:t>
            </w:r>
          </w:p>
        </w:tc>
        <w:tc>
          <w:tcPr>
            <w:tcW w:w="392" w:type="pct"/>
            <w:tcBorders>
              <w:top w:val="nil"/>
              <w:bottom w:val="nil"/>
            </w:tcBorders>
          </w:tcPr>
          <w:p w14:paraId="62980399" w14:textId="77777777" w:rsidR="00A47A89" w:rsidRPr="006F7CC6" w:rsidRDefault="00A47A89" w:rsidP="00774FCF">
            <w:pPr>
              <w:spacing w:line="480" w:lineRule="auto"/>
              <w:rPr>
                <w:sz w:val="20"/>
                <w:szCs w:val="20"/>
              </w:rPr>
            </w:pPr>
            <w:r w:rsidRPr="00B300A1">
              <w:rPr>
                <w:color w:val="010205"/>
                <w:sz w:val="20"/>
                <w:szCs w:val="20"/>
                <w:lang w:val="en-MY" w:eastAsia="zh-CN"/>
              </w:rPr>
              <w:t>2.69</w:t>
            </w:r>
          </w:p>
        </w:tc>
        <w:tc>
          <w:tcPr>
            <w:tcW w:w="422" w:type="pct"/>
            <w:tcBorders>
              <w:top w:val="nil"/>
              <w:bottom w:val="nil"/>
            </w:tcBorders>
          </w:tcPr>
          <w:p w14:paraId="7CCEF858" w14:textId="082BFF22" w:rsidR="00A47A89" w:rsidRPr="006F7CC6" w:rsidRDefault="00A47A89" w:rsidP="00774FCF">
            <w:pPr>
              <w:spacing w:line="480" w:lineRule="auto"/>
              <w:rPr>
                <w:sz w:val="20"/>
                <w:szCs w:val="20"/>
              </w:rPr>
            </w:pPr>
            <w:r w:rsidRPr="00B300A1">
              <w:rPr>
                <w:color w:val="010205"/>
                <w:sz w:val="20"/>
                <w:szCs w:val="20"/>
                <w:lang w:val="en-MY" w:eastAsia="zh-CN"/>
              </w:rPr>
              <w:t>1.</w:t>
            </w:r>
            <w:r w:rsidR="00672F78">
              <w:rPr>
                <w:color w:val="010205"/>
                <w:sz w:val="20"/>
                <w:szCs w:val="20"/>
                <w:lang w:val="en-MY" w:eastAsia="zh-CN"/>
              </w:rPr>
              <w:t>50</w:t>
            </w:r>
          </w:p>
        </w:tc>
        <w:tc>
          <w:tcPr>
            <w:tcW w:w="382" w:type="pct"/>
            <w:tcBorders>
              <w:top w:val="nil"/>
              <w:bottom w:val="nil"/>
            </w:tcBorders>
          </w:tcPr>
          <w:p w14:paraId="2B1A3A29" w14:textId="77777777" w:rsidR="00A47A89" w:rsidRPr="006F7CC6" w:rsidRDefault="00A47A89" w:rsidP="00774FCF">
            <w:pPr>
              <w:spacing w:line="480" w:lineRule="auto"/>
              <w:rPr>
                <w:sz w:val="20"/>
                <w:szCs w:val="20"/>
              </w:rPr>
            </w:pPr>
            <w:r w:rsidRPr="00B300A1">
              <w:rPr>
                <w:color w:val="010205"/>
                <w:sz w:val="20"/>
                <w:szCs w:val="20"/>
                <w:lang w:val="en-MY" w:eastAsia="zh-CN"/>
              </w:rPr>
              <w:t>1.67</w:t>
            </w:r>
          </w:p>
        </w:tc>
        <w:tc>
          <w:tcPr>
            <w:tcW w:w="373" w:type="pct"/>
            <w:tcBorders>
              <w:top w:val="nil"/>
              <w:bottom w:val="nil"/>
            </w:tcBorders>
          </w:tcPr>
          <w:p w14:paraId="283609D8" w14:textId="1AE7755A" w:rsidR="00A47A89" w:rsidRPr="006F7CC6" w:rsidRDefault="00A47A89" w:rsidP="00774FCF">
            <w:pPr>
              <w:spacing w:line="480" w:lineRule="auto"/>
              <w:rPr>
                <w:sz w:val="20"/>
                <w:szCs w:val="20"/>
              </w:rPr>
            </w:pPr>
            <w:r w:rsidRPr="00B300A1">
              <w:rPr>
                <w:color w:val="010205"/>
                <w:sz w:val="20"/>
                <w:szCs w:val="20"/>
                <w:lang w:val="en-MY" w:eastAsia="zh-CN"/>
              </w:rPr>
              <w:t>1.2</w:t>
            </w:r>
            <w:r w:rsidR="00672F78">
              <w:rPr>
                <w:color w:val="010205"/>
                <w:sz w:val="20"/>
                <w:szCs w:val="20"/>
                <w:lang w:val="en-MY" w:eastAsia="zh-CN"/>
              </w:rPr>
              <w:t>4</w:t>
            </w:r>
          </w:p>
        </w:tc>
        <w:tc>
          <w:tcPr>
            <w:tcW w:w="363" w:type="pct"/>
            <w:tcBorders>
              <w:top w:val="nil"/>
              <w:bottom w:val="nil"/>
            </w:tcBorders>
          </w:tcPr>
          <w:p w14:paraId="3C2459DE" w14:textId="77777777" w:rsidR="00A47A89" w:rsidRPr="006F7CC6" w:rsidRDefault="00A47A89" w:rsidP="00774FCF">
            <w:pPr>
              <w:spacing w:line="480" w:lineRule="auto"/>
              <w:rPr>
                <w:sz w:val="20"/>
                <w:szCs w:val="20"/>
              </w:rPr>
            </w:pPr>
            <w:r w:rsidRPr="00B300A1">
              <w:rPr>
                <w:color w:val="010205"/>
                <w:sz w:val="20"/>
                <w:szCs w:val="20"/>
                <w:lang w:val="en-MY" w:eastAsia="zh-CN"/>
              </w:rPr>
              <w:t>2.19</w:t>
            </w:r>
          </w:p>
        </w:tc>
        <w:tc>
          <w:tcPr>
            <w:tcW w:w="389" w:type="pct"/>
            <w:tcBorders>
              <w:top w:val="nil"/>
              <w:bottom w:val="nil"/>
            </w:tcBorders>
          </w:tcPr>
          <w:p w14:paraId="59986E8A" w14:textId="3C8DB86E" w:rsidR="00A47A89" w:rsidRPr="006F7CC6" w:rsidRDefault="00A47A89" w:rsidP="00774FCF">
            <w:pPr>
              <w:spacing w:line="480" w:lineRule="auto"/>
              <w:rPr>
                <w:sz w:val="20"/>
                <w:szCs w:val="20"/>
              </w:rPr>
            </w:pPr>
            <w:r w:rsidRPr="00B300A1">
              <w:rPr>
                <w:color w:val="010205"/>
                <w:sz w:val="20"/>
                <w:szCs w:val="20"/>
                <w:lang w:val="en-MY" w:eastAsia="zh-CN"/>
              </w:rPr>
              <w:t>2.8</w:t>
            </w:r>
            <w:r w:rsidR="00672F78">
              <w:rPr>
                <w:color w:val="010205"/>
                <w:sz w:val="20"/>
                <w:szCs w:val="20"/>
                <w:lang w:val="en-MY" w:eastAsia="zh-CN"/>
              </w:rPr>
              <w:t>0</w:t>
            </w:r>
          </w:p>
        </w:tc>
        <w:tc>
          <w:tcPr>
            <w:tcW w:w="392" w:type="pct"/>
            <w:tcBorders>
              <w:top w:val="nil"/>
              <w:bottom w:val="nil"/>
            </w:tcBorders>
          </w:tcPr>
          <w:p w14:paraId="47D59C9E" w14:textId="77777777" w:rsidR="00A47A89" w:rsidRPr="006F7CC6" w:rsidRDefault="00A47A89" w:rsidP="00774FCF">
            <w:pPr>
              <w:spacing w:line="480" w:lineRule="auto"/>
              <w:rPr>
                <w:sz w:val="20"/>
                <w:szCs w:val="20"/>
              </w:rPr>
            </w:pPr>
            <w:r w:rsidRPr="00B300A1">
              <w:rPr>
                <w:color w:val="010205"/>
                <w:sz w:val="20"/>
                <w:szCs w:val="20"/>
                <w:lang w:val="en-MY" w:eastAsia="zh-CN"/>
              </w:rPr>
              <w:t>1.80</w:t>
            </w:r>
          </w:p>
        </w:tc>
        <w:tc>
          <w:tcPr>
            <w:tcW w:w="437" w:type="pct"/>
            <w:tcBorders>
              <w:top w:val="nil"/>
              <w:bottom w:val="nil"/>
            </w:tcBorders>
          </w:tcPr>
          <w:p w14:paraId="68E6363B" w14:textId="77777777" w:rsidR="00A47A89" w:rsidRPr="006F7CC6" w:rsidRDefault="00A47A89" w:rsidP="00774FCF">
            <w:pPr>
              <w:spacing w:line="480" w:lineRule="auto"/>
              <w:rPr>
                <w:sz w:val="20"/>
                <w:szCs w:val="20"/>
              </w:rPr>
            </w:pPr>
            <w:r w:rsidRPr="00B300A1">
              <w:rPr>
                <w:color w:val="010205"/>
                <w:sz w:val="20"/>
                <w:szCs w:val="20"/>
                <w:lang w:val="en-MY" w:eastAsia="zh-CN"/>
              </w:rPr>
              <w:t>2.96</w:t>
            </w:r>
          </w:p>
        </w:tc>
      </w:tr>
      <w:tr w:rsidR="00A47A89" w:rsidRPr="006F7CC6" w14:paraId="7FA81079" w14:textId="77777777" w:rsidTr="00D316F8">
        <w:trPr>
          <w:jc w:val="center"/>
        </w:trPr>
        <w:tc>
          <w:tcPr>
            <w:tcW w:w="1458" w:type="pct"/>
            <w:tcBorders>
              <w:top w:val="nil"/>
              <w:bottom w:val="nil"/>
            </w:tcBorders>
          </w:tcPr>
          <w:p w14:paraId="4CEA5C65" w14:textId="77777777" w:rsidR="00A47A89" w:rsidRPr="00A47A89" w:rsidRDefault="00A47A89" w:rsidP="00774FCF">
            <w:pPr>
              <w:spacing w:line="480" w:lineRule="auto"/>
              <w:rPr>
                <w:i/>
                <w:sz w:val="20"/>
                <w:szCs w:val="20"/>
              </w:rPr>
            </w:pPr>
            <w:r w:rsidRPr="00A47A89">
              <w:rPr>
                <w:i/>
                <w:sz w:val="20"/>
                <w:szCs w:val="20"/>
              </w:rPr>
              <w:t>SD</w:t>
            </w:r>
          </w:p>
        </w:tc>
        <w:tc>
          <w:tcPr>
            <w:tcW w:w="391" w:type="pct"/>
            <w:tcBorders>
              <w:top w:val="nil"/>
              <w:bottom w:val="nil"/>
            </w:tcBorders>
          </w:tcPr>
          <w:p w14:paraId="55E76BE7" w14:textId="23E92E24" w:rsidR="00A47A89" w:rsidRPr="006F7CC6" w:rsidRDefault="00A47A89" w:rsidP="00774FCF">
            <w:pPr>
              <w:spacing w:line="480" w:lineRule="auto"/>
              <w:rPr>
                <w:sz w:val="20"/>
                <w:szCs w:val="20"/>
              </w:rPr>
            </w:pPr>
            <w:r w:rsidRPr="00B300A1">
              <w:rPr>
                <w:color w:val="010205"/>
                <w:sz w:val="20"/>
                <w:szCs w:val="20"/>
                <w:lang w:val="en-MY" w:eastAsia="zh-CN"/>
              </w:rPr>
              <w:t>2.4</w:t>
            </w:r>
            <w:r w:rsidR="00672F78">
              <w:rPr>
                <w:color w:val="010205"/>
                <w:sz w:val="20"/>
                <w:szCs w:val="20"/>
                <w:lang w:val="en-MY" w:eastAsia="zh-CN"/>
              </w:rPr>
              <w:t>3</w:t>
            </w:r>
          </w:p>
        </w:tc>
        <w:tc>
          <w:tcPr>
            <w:tcW w:w="392" w:type="pct"/>
            <w:tcBorders>
              <w:top w:val="nil"/>
              <w:bottom w:val="nil"/>
            </w:tcBorders>
          </w:tcPr>
          <w:p w14:paraId="2A235543" w14:textId="77777777" w:rsidR="00A47A89" w:rsidRPr="006F7CC6" w:rsidRDefault="00A47A89" w:rsidP="00774FCF">
            <w:pPr>
              <w:spacing w:line="480" w:lineRule="auto"/>
              <w:rPr>
                <w:sz w:val="20"/>
                <w:szCs w:val="20"/>
              </w:rPr>
            </w:pPr>
            <w:r w:rsidRPr="00B300A1">
              <w:rPr>
                <w:color w:val="010205"/>
                <w:sz w:val="20"/>
                <w:szCs w:val="20"/>
                <w:lang w:val="en-MY" w:eastAsia="zh-CN"/>
              </w:rPr>
              <w:t>2.41</w:t>
            </w:r>
          </w:p>
        </w:tc>
        <w:tc>
          <w:tcPr>
            <w:tcW w:w="422" w:type="pct"/>
            <w:tcBorders>
              <w:top w:val="nil"/>
              <w:bottom w:val="nil"/>
            </w:tcBorders>
          </w:tcPr>
          <w:p w14:paraId="288AA4BD" w14:textId="77777777" w:rsidR="00A47A89" w:rsidRPr="006F7CC6" w:rsidRDefault="00A47A89" w:rsidP="00774FCF">
            <w:pPr>
              <w:spacing w:line="480" w:lineRule="auto"/>
              <w:rPr>
                <w:sz w:val="20"/>
                <w:szCs w:val="20"/>
              </w:rPr>
            </w:pPr>
            <w:r w:rsidRPr="00B300A1">
              <w:rPr>
                <w:color w:val="010205"/>
                <w:sz w:val="20"/>
                <w:szCs w:val="20"/>
                <w:lang w:val="en-MY" w:eastAsia="zh-CN"/>
              </w:rPr>
              <w:t>1.74</w:t>
            </w:r>
          </w:p>
        </w:tc>
        <w:tc>
          <w:tcPr>
            <w:tcW w:w="382" w:type="pct"/>
            <w:tcBorders>
              <w:top w:val="nil"/>
              <w:bottom w:val="nil"/>
            </w:tcBorders>
          </w:tcPr>
          <w:p w14:paraId="69DE9F61" w14:textId="439BD286" w:rsidR="00A47A89" w:rsidRPr="006F7CC6" w:rsidRDefault="00A47A89" w:rsidP="00774FCF">
            <w:pPr>
              <w:spacing w:line="480" w:lineRule="auto"/>
              <w:rPr>
                <w:sz w:val="20"/>
                <w:szCs w:val="20"/>
              </w:rPr>
            </w:pPr>
            <w:r w:rsidRPr="00B300A1">
              <w:rPr>
                <w:color w:val="010205"/>
                <w:sz w:val="20"/>
                <w:szCs w:val="20"/>
                <w:lang w:val="en-MY" w:eastAsia="zh-CN"/>
              </w:rPr>
              <w:t>1.8</w:t>
            </w:r>
            <w:r w:rsidR="00672F78">
              <w:rPr>
                <w:color w:val="010205"/>
                <w:sz w:val="20"/>
                <w:szCs w:val="20"/>
                <w:lang w:val="en-MY" w:eastAsia="zh-CN"/>
              </w:rPr>
              <w:t>7</w:t>
            </w:r>
          </w:p>
        </w:tc>
        <w:tc>
          <w:tcPr>
            <w:tcW w:w="373" w:type="pct"/>
            <w:tcBorders>
              <w:top w:val="nil"/>
              <w:bottom w:val="nil"/>
            </w:tcBorders>
          </w:tcPr>
          <w:p w14:paraId="1C953956" w14:textId="4BE84867" w:rsidR="00A47A89" w:rsidRPr="006F7CC6" w:rsidRDefault="00A47A89" w:rsidP="00774FCF">
            <w:pPr>
              <w:spacing w:line="480" w:lineRule="auto"/>
              <w:rPr>
                <w:sz w:val="20"/>
                <w:szCs w:val="20"/>
              </w:rPr>
            </w:pPr>
            <w:r w:rsidRPr="00B300A1">
              <w:rPr>
                <w:color w:val="010205"/>
                <w:sz w:val="20"/>
                <w:szCs w:val="20"/>
                <w:lang w:val="en-MY" w:eastAsia="zh-CN"/>
              </w:rPr>
              <w:t>1.8</w:t>
            </w:r>
            <w:r w:rsidR="00672F78">
              <w:rPr>
                <w:color w:val="010205"/>
                <w:sz w:val="20"/>
                <w:szCs w:val="20"/>
                <w:lang w:val="en-MY" w:eastAsia="zh-CN"/>
              </w:rPr>
              <w:t>2</w:t>
            </w:r>
          </w:p>
        </w:tc>
        <w:tc>
          <w:tcPr>
            <w:tcW w:w="363" w:type="pct"/>
            <w:tcBorders>
              <w:top w:val="nil"/>
              <w:bottom w:val="nil"/>
            </w:tcBorders>
          </w:tcPr>
          <w:p w14:paraId="23C55DB4" w14:textId="77777777" w:rsidR="00A47A89" w:rsidRPr="006F7CC6" w:rsidRDefault="00A47A89" w:rsidP="00774FCF">
            <w:pPr>
              <w:spacing w:line="480" w:lineRule="auto"/>
              <w:rPr>
                <w:sz w:val="20"/>
                <w:szCs w:val="20"/>
              </w:rPr>
            </w:pPr>
            <w:r w:rsidRPr="00B300A1">
              <w:rPr>
                <w:color w:val="010205"/>
                <w:sz w:val="20"/>
                <w:szCs w:val="20"/>
                <w:lang w:val="en-MY" w:eastAsia="zh-CN"/>
              </w:rPr>
              <w:t>2.03</w:t>
            </w:r>
          </w:p>
        </w:tc>
        <w:tc>
          <w:tcPr>
            <w:tcW w:w="389" w:type="pct"/>
            <w:tcBorders>
              <w:top w:val="nil"/>
              <w:bottom w:val="nil"/>
            </w:tcBorders>
          </w:tcPr>
          <w:p w14:paraId="65A8847A" w14:textId="292E7C93" w:rsidR="00A47A89" w:rsidRPr="006F7CC6" w:rsidRDefault="00A47A89" w:rsidP="00774FCF">
            <w:pPr>
              <w:spacing w:line="480" w:lineRule="auto"/>
              <w:rPr>
                <w:sz w:val="20"/>
                <w:szCs w:val="20"/>
              </w:rPr>
            </w:pPr>
            <w:r w:rsidRPr="00B300A1">
              <w:rPr>
                <w:color w:val="010205"/>
                <w:sz w:val="20"/>
                <w:szCs w:val="20"/>
                <w:lang w:val="en-MY" w:eastAsia="zh-CN"/>
              </w:rPr>
              <w:t>2.2</w:t>
            </w:r>
            <w:r w:rsidR="00672F78">
              <w:rPr>
                <w:color w:val="010205"/>
                <w:sz w:val="20"/>
                <w:szCs w:val="20"/>
                <w:lang w:val="en-MY" w:eastAsia="zh-CN"/>
              </w:rPr>
              <w:t>5</w:t>
            </w:r>
          </w:p>
        </w:tc>
        <w:tc>
          <w:tcPr>
            <w:tcW w:w="392" w:type="pct"/>
            <w:tcBorders>
              <w:top w:val="nil"/>
              <w:bottom w:val="nil"/>
            </w:tcBorders>
          </w:tcPr>
          <w:p w14:paraId="0CEF1E1B" w14:textId="776DCF1E" w:rsidR="00A47A89" w:rsidRPr="006F7CC6" w:rsidRDefault="00A47A89" w:rsidP="00774FCF">
            <w:pPr>
              <w:spacing w:line="480" w:lineRule="auto"/>
              <w:rPr>
                <w:sz w:val="20"/>
                <w:szCs w:val="20"/>
              </w:rPr>
            </w:pPr>
            <w:r w:rsidRPr="00B300A1">
              <w:rPr>
                <w:color w:val="010205"/>
                <w:sz w:val="20"/>
                <w:szCs w:val="20"/>
                <w:lang w:val="en-MY" w:eastAsia="zh-CN"/>
              </w:rPr>
              <w:t>1.7</w:t>
            </w:r>
            <w:r w:rsidR="00672F78">
              <w:rPr>
                <w:color w:val="010205"/>
                <w:sz w:val="20"/>
                <w:szCs w:val="20"/>
                <w:lang w:val="en-MY" w:eastAsia="zh-CN"/>
              </w:rPr>
              <w:t>7</w:t>
            </w:r>
          </w:p>
        </w:tc>
        <w:tc>
          <w:tcPr>
            <w:tcW w:w="437" w:type="pct"/>
            <w:tcBorders>
              <w:top w:val="nil"/>
              <w:bottom w:val="nil"/>
            </w:tcBorders>
          </w:tcPr>
          <w:p w14:paraId="4C62A6DB" w14:textId="77777777" w:rsidR="00A47A89" w:rsidRPr="006F7CC6" w:rsidRDefault="00A47A89" w:rsidP="00774FCF">
            <w:pPr>
              <w:spacing w:line="480" w:lineRule="auto"/>
              <w:rPr>
                <w:sz w:val="20"/>
                <w:szCs w:val="20"/>
              </w:rPr>
            </w:pPr>
            <w:r w:rsidRPr="00B300A1">
              <w:rPr>
                <w:color w:val="010205"/>
                <w:sz w:val="20"/>
                <w:szCs w:val="20"/>
                <w:lang w:val="en-MY" w:eastAsia="zh-CN"/>
              </w:rPr>
              <w:t>2.19</w:t>
            </w:r>
          </w:p>
        </w:tc>
      </w:tr>
      <w:tr w:rsidR="00A47A89" w:rsidRPr="006F7CC6" w14:paraId="12416590" w14:textId="77777777" w:rsidTr="00D316F8">
        <w:trPr>
          <w:trHeight w:val="606"/>
          <w:jc w:val="center"/>
        </w:trPr>
        <w:tc>
          <w:tcPr>
            <w:tcW w:w="1458" w:type="pct"/>
            <w:tcBorders>
              <w:top w:val="nil"/>
              <w:bottom w:val="nil"/>
            </w:tcBorders>
          </w:tcPr>
          <w:p w14:paraId="6D8CE7E4" w14:textId="77777777" w:rsidR="00A47A89" w:rsidRPr="006F7CC6" w:rsidRDefault="00A47A89" w:rsidP="00774FCF">
            <w:pPr>
              <w:spacing w:line="480" w:lineRule="auto"/>
              <w:rPr>
                <w:sz w:val="20"/>
                <w:szCs w:val="20"/>
              </w:rPr>
            </w:pPr>
            <w:r w:rsidRPr="006F7CC6">
              <w:rPr>
                <w:rStyle w:val="fontstyle01"/>
                <w:rFonts w:ascii="Times New Roman" w:hAnsi="Times New Roman"/>
                <w:color w:val="auto"/>
                <w:sz w:val="20"/>
                <w:szCs w:val="20"/>
              </w:rPr>
              <w:t>Shapiro-Wilk Univariate Normality</w:t>
            </w:r>
          </w:p>
        </w:tc>
        <w:tc>
          <w:tcPr>
            <w:tcW w:w="391" w:type="pct"/>
            <w:tcBorders>
              <w:top w:val="nil"/>
              <w:bottom w:val="nil"/>
            </w:tcBorders>
          </w:tcPr>
          <w:p w14:paraId="51A9126F" w14:textId="0D6EE22F" w:rsidR="00A47A89" w:rsidRPr="006F7CC6" w:rsidRDefault="00D316F8" w:rsidP="00774FCF">
            <w:pPr>
              <w:spacing w:line="480" w:lineRule="auto"/>
              <w:rPr>
                <w:sz w:val="20"/>
                <w:szCs w:val="20"/>
              </w:rPr>
            </w:pPr>
            <w:r>
              <w:rPr>
                <w:color w:val="010205"/>
                <w:sz w:val="20"/>
                <w:szCs w:val="20"/>
              </w:rPr>
              <w:t>0</w:t>
            </w:r>
            <w:r w:rsidR="00A47A89" w:rsidRPr="000E741C">
              <w:rPr>
                <w:color w:val="010205"/>
                <w:sz w:val="20"/>
                <w:szCs w:val="20"/>
              </w:rPr>
              <w:t>.93</w:t>
            </w:r>
          </w:p>
        </w:tc>
        <w:tc>
          <w:tcPr>
            <w:tcW w:w="392" w:type="pct"/>
            <w:tcBorders>
              <w:top w:val="nil"/>
              <w:bottom w:val="nil"/>
            </w:tcBorders>
          </w:tcPr>
          <w:p w14:paraId="5E3508DC" w14:textId="71E7CE6F" w:rsidR="00A47A89" w:rsidRPr="006F7CC6" w:rsidRDefault="00D316F8" w:rsidP="00774FCF">
            <w:pPr>
              <w:spacing w:line="480" w:lineRule="auto"/>
              <w:rPr>
                <w:sz w:val="20"/>
                <w:szCs w:val="20"/>
              </w:rPr>
            </w:pPr>
            <w:r>
              <w:rPr>
                <w:color w:val="010205"/>
                <w:sz w:val="20"/>
                <w:szCs w:val="20"/>
              </w:rPr>
              <w:t>0</w:t>
            </w:r>
            <w:r w:rsidR="00A47A89" w:rsidRPr="000E741C">
              <w:rPr>
                <w:color w:val="010205"/>
                <w:sz w:val="20"/>
                <w:szCs w:val="20"/>
              </w:rPr>
              <w:t>.89</w:t>
            </w:r>
          </w:p>
        </w:tc>
        <w:tc>
          <w:tcPr>
            <w:tcW w:w="422" w:type="pct"/>
            <w:tcBorders>
              <w:top w:val="nil"/>
              <w:bottom w:val="nil"/>
            </w:tcBorders>
          </w:tcPr>
          <w:p w14:paraId="33A1C646" w14:textId="64E75C5A" w:rsidR="00A47A89" w:rsidRPr="006F7CC6" w:rsidRDefault="00D316F8" w:rsidP="00774FCF">
            <w:pPr>
              <w:spacing w:line="480" w:lineRule="auto"/>
              <w:rPr>
                <w:sz w:val="20"/>
                <w:szCs w:val="20"/>
              </w:rPr>
            </w:pPr>
            <w:r>
              <w:rPr>
                <w:color w:val="010205"/>
                <w:sz w:val="20"/>
                <w:szCs w:val="20"/>
              </w:rPr>
              <w:t>0</w:t>
            </w:r>
            <w:r w:rsidR="00A47A89" w:rsidRPr="000E741C">
              <w:rPr>
                <w:color w:val="010205"/>
                <w:sz w:val="20"/>
                <w:szCs w:val="20"/>
              </w:rPr>
              <w:t>.82</w:t>
            </w:r>
          </w:p>
        </w:tc>
        <w:tc>
          <w:tcPr>
            <w:tcW w:w="382" w:type="pct"/>
            <w:tcBorders>
              <w:top w:val="nil"/>
              <w:bottom w:val="nil"/>
            </w:tcBorders>
          </w:tcPr>
          <w:p w14:paraId="604049EA" w14:textId="1ACED56B" w:rsidR="00A47A89" w:rsidRPr="006F7CC6" w:rsidRDefault="00D316F8" w:rsidP="00774FCF">
            <w:pPr>
              <w:spacing w:line="480" w:lineRule="auto"/>
              <w:rPr>
                <w:sz w:val="20"/>
                <w:szCs w:val="20"/>
              </w:rPr>
            </w:pPr>
            <w:r>
              <w:rPr>
                <w:color w:val="010205"/>
                <w:sz w:val="20"/>
                <w:szCs w:val="20"/>
              </w:rPr>
              <w:t>0</w:t>
            </w:r>
            <w:r w:rsidR="00A47A89" w:rsidRPr="000E741C">
              <w:rPr>
                <w:color w:val="010205"/>
                <w:sz w:val="20"/>
                <w:szCs w:val="20"/>
              </w:rPr>
              <w:t>.83</w:t>
            </w:r>
          </w:p>
        </w:tc>
        <w:tc>
          <w:tcPr>
            <w:tcW w:w="373" w:type="pct"/>
            <w:tcBorders>
              <w:top w:val="nil"/>
              <w:bottom w:val="nil"/>
            </w:tcBorders>
          </w:tcPr>
          <w:p w14:paraId="1D6071B9" w14:textId="0BDE32DB" w:rsidR="00A47A89" w:rsidRPr="006F7CC6" w:rsidRDefault="00D316F8" w:rsidP="00774FCF">
            <w:pPr>
              <w:spacing w:line="480" w:lineRule="auto"/>
              <w:rPr>
                <w:sz w:val="20"/>
                <w:szCs w:val="20"/>
              </w:rPr>
            </w:pPr>
            <w:r>
              <w:rPr>
                <w:color w:val="010205"/>
                <w:sz w:val="20"/>
                <w:szCs w:val="20"/>
              </w:rPr>
              <w:t>0</w:t>
            </w:r>
            <w:r w:rsidR="00A47A89" w:rsidRPr="000E741C">
              <w:rPr>
                <w:color w:val="010205"/>
                <w:sz w:val="20"/>
                <w:szCs w:val="20"/>
              </w:rPr>
              <w:t>.72</w:t>
            </w:r>
          </w:p>
        </w:tc>
        <w:tc>
          <w:tcPr>
            <w:tcW w:w="363" w:type="pct"/>
            <w:tcBorders>
              <w:top w:val="nil"/>
              <w:bottom w:val="nil"/>
            </w:tcBorders>
          </w:tcPr>
          <w:p w14:paraId="17F78646" w14:textId="6651ABE3" w:rsidR="00A47A89" w:rsidRPr="006F7CC6" w:rsidRDefault="00D316F8" w:rsidP="00774FCF">
            <w:pPr>
              <w:spacing w:line="480" w:lineRule="auto"/>
              <w:rPr>
                <w:sz w:val="20"/>
                <w:szCs w:val="20"/>
              </w:rPr>
            </w:pPr>
            <w:r>
              <w:rPr>
                <w:color w:val="010205"/>
                <w:sz w:val="20"/>
                <w:szCs w:val="20"/>
              </w:rPr>
              <w:t>0</w:t>
            </w:r>
            <w:r w:rsidR="00A47A89" w:rsidRPr="000E741C">
              <w:rPr>
                <w:color w:val="010205"/>
                <w:sz w:val="20"/>
                <w:szCs w:val="20"/>
              </w:rPr>
              <w:t>.89</w:t>
            </w:r>
          </w:p>
        </w:tc>
        <w:tc>
          <w:tcPr>
            <w:tcW w:w="389" w:type="pct"/>
            <w:tcBorders>
              <w:top w:val="nil"/>
              <w:bottom w:val="nil"/>
            </w:tcBorders>
          </w:tcPr>
          <w:p w14:paraId="0DE6EA86" w14:textId="663C035F" w:rsidR="00A47A89" w:rsidRPr="006F7CC6" w:rsidRDefault="00D316F8" w:rsidP="00774FCF">
            <w:pPr>
              <w:spacing w:line="480" w:lineRule="auto"/>
              <w:rPr>
                <w:sz w:val="20"/>
                <w:szCs w:val="20"/>
              </w:rPr>
            </w:pPr>
            <w:r>
              <w:rPr>
                <w:color w:val="010205"/>
                <w:sz w:val="20"/>
                <w:szCs w:val="20"/>
              </w:rPr>
              <w:t>0</w:t>
            </w:r>
            <w:r w:rsidR="00A47A89" w:rsidRPr="000E741C">
              <w:rPr>
                <w:color w:val="010205"/>
                <w:sz w:val="20"/>
                <w:szCs w:val="20"/>
              </w:rPr>
              <w:t>.93</w:t>
            </w:r>
          </w:p>
        </w:tc>
        <w:tc>
          <w:tcPr>
            <w:tcW w:w="392" w:type="pct"/>
            <w:tcBorders>
              <w:top w:val="nil"/>
              <w:bottom w:val="nil"/>
            </w:tcBorders>
          </w:tcPr>
          <w:p w14:paraId="6EBFC7E8" w14:textId="275A4089" w:rsidR="00A47A89" w:rsidRPr="006F7CC6" w:rsidRDefault="00D316F8" w:rsidP="00774FCF">
            <w:pPr>
              <w:spacing w:line="480" w:lineRule="auto"/>
              <w:rPr>
                <w:sz w:val="20"/>
                <w:szCs w:val="20"/>
              </w:rPr>
            </w:pPr>
            <w:r>
              <w:rPr>
                <w:color w:val="010205"/>
                <w:sz w:val="20"/>
                <w:szCs w:val="20"/>
              </w:rPr>
              <w:t>0</w:t>
            </w:r>
            <w:r w:rsidR="00A47A89" w:rsidRPr="000E741C">
              <w:rPr>
                <w:color w:val="010205"/>
                <w:sz w:val="20"/>
                <w:szCs w:val="20"/>
              </w:rPr>
              <w:t>.87</w:t>
            </w:r>
          </w:p>
        </w:tc>
        <w:tc>
          <w:tcPr>
            <w:tcW w:w="437" w:type="pct"/>
            <w:tcBorders>
              <w:top w:val="nil"/>
              <w:bottom w:val="nil"/>
            </w:tcBorders>
          </w:tcPr>
          <w:p w14:paraId="4E64F615" w14:textId="4C6A8642" w:rsidR="00A47A89" w:rsidRPr="006F7CC6" w:rsidRDefault="00D316F8" w:rsidP="00774FCF">
            <w:pPr>
              <w:spacing w:line="480" w:lineRule="auto"/>
              <w:rPr>
                <w:sz w:val="20"/>
                <w:szCs w:val="20"/>
              </w:rPr>
            </w:pPr>
            <w:r>
              <w:rPr>
                <w:color w:val="010205"/>
                <w:sz w:val="20"/>
                <w:szCs w:val="20"/>
              </w:rPr>
              <w:t>0</w:t>
            </w:r>
            <w:r w:rsidR="00A47A89" w:rsidRPr="000E741C">
              <w:rPr>
                <w:color w:val="010205"/>
                <w:sz w:val="20"/>
                <w:szCs w:val="20"/>
              </w:rPr>
              <w:t>.94</w:t>
            </w:r>
          </w:p>
        </w:tc>
      </w:tr>
      <w:tr w:rsidR="00A47A89" w:rsidRPr="006F7CC6" w14:paraId="7A4BF1C1" w14:textId="77777777" w:rsidTr="00D316F8">
        <w:trPr>
          <w:jc w:val="center"/>
        </w:trPr>
        <w:tc>
          <w:tcPr>
            <w:tcW w:w="1458" w:type="pct"/>
            <w:tcBorders>
              <w:top w:val="nil"/>
              <w:bottom w:val="nil"/>
            </w:tcBorders>
          </w:tcPr>
          <w:p w14:paraId="71E2084C" w14:textId="4ABDF368" w:rsidR="00A47A89" w:rsidRPr="006F7CC6" w:rsidRDefault="008050F9" w:rsidP="00774FCF">
            <w:pPr>
              <w:spacing w:line="480" w:lineRule="auto"/>
              <w:rPr>
                <w:sz w:val="20"/>
                <w:szCs w:val="20"/>
              </w:rPr>
            </w:pPr>
            <w:r w:rsidRPr="007154A2">
              <w:rPr>
                <w:color w:val="222222"/>
                <w:shd w:val="clear" w:color="auto" w:fill="FFFFFF"/>
              </w:rPr>
              <w:t>ω</w:t>
            </w:r>
          </w:p>
        </w:tc>
        <w:tc>
          <w:tcPr>
            <w:tcW w:w="391" w:type="pct"/>
            <w:tcBorders>
              <w:top w:val="nil"/>
              <w:bottom w:val="nil"/>
            </w:tcBorders>
          </w:tcPr>
          <w:p w14:paraId="0765344A" w14:textId="2DAD7E8D" w:rsidR="00A47A89" w:rsidRPr="006F7CC6" w:rsidRDefault="00D316F8" w:rsidP="00774FCF">
            <w:pPr>
              <w:spacing w:line="480" w:lineRule="auto"/>
              <w:rPr>
                <w:sz w:val="20"/>
                <w:szCs w:val="20"/>
              </w:rPr>
            </w:pPr>
            <w:r>
              <w:rPr>
                <w:sz w:val="20"/>
                <w:szCs w:val="20"/>
              </w:rPr>
              <w:t>0</w:t>
            </w:r>
            <w:r w:rsidR="004A73E6" w:rsidRPr="00BB3317">
              <w:rPr>
                <w:sz w:val="20"/>
                <w:szCs w:val="20"/>
              </w:rPr>
              <w:t>.77</w:t>
            </w:r>
          </w:p>
        </w:tc>
        <w:tc>
          <w:tcPr>
            <w:tcW w:w="392" w:type="pct"/>
            <w:tcBorders>
              <w:top w:val="nil"/>
              <w:bottom w:val="nil"/>
            </w:tcBorders>
          </w:tcPr>
          <w:p w14:paraId="5093A4EB" w14:textId="73DCA243" w:rsidR="00A47A89" w:rsidRPr="006F7CC6" w:rsidRDefault="00D316F8" w:rsidP="00774FCF">
            <w:pPr>
              <w:spacing w:line="480" w:lineRule="auto"/>
              <w:rPr>
                <w:sz w:val="20"/>
                <w:szCs w:val="20"/>
              </w:rPr>
            </w:pPr>
            <w:r>
              <w:rPr>
                <w:color w:val="000000"/>
                <w:sz w:val="20"/>
                <w:szCs w:val="20"/>
                <w:lang w:val="en-MY" w:eastAsia="zh-CN"/>
              </w:rPr>
              <w:t>0</w:t>
            </w:r>
            <w:r w:rsidR="00A47A89" w:rsidRPr="00B14AF0">
              <w:rPr>
                <w:color w:val="000000"/>
                <w:sz w:val="20"/>
                <w:szCs w:val="20"/>
                <w:lang w:val="en-MY" w:eastAsia="zh-CN"/>
              </w:rPr>
              <w:t>.</w:t>
            </w:r>
            <w:r w:rsidR="007D288D">
              <w:rPr>
                <w:color w:val="000000"/>
                <w:sz w:val="20"/>
                <w:szCs w:val="20"/>
                <w:lang w:val="en-MY" w:eastAsia="zh-CN"/>
              </w:rPr>
              <w:t>82</w:t>
            </w:r>
          </w:p>
        </w:tc>
        <w:tc>
          <w:tcPr>
            <w:tcW w:w="422" w:type="pct"/>
            <w:tcBorders>
              <w:top w:val="nil"/>
              <w:bottom w:val="nil"/>
            </w:tcBorders>
          </w:tcPr>
          <w:p w14:paraId="4B2AA163" w14:textId="7249E9A2" w:rsidR="00A47A89" w:rsidRPr="006F7CC6" w:rsidRDefault="00D316F8" w:rsidP="00774FCF">
            <w:pPr>
              <w:spacing w:line="480" w:lineRule="auto"/>
              <w:rPr>
                <w:sz w:val="20"/>
                <w:szCs w:val="20"/>
              </w:rPr>
            </w:pPr>
            <w:r>
              <w:rPr>
                <w:color w:val="000000"/>
                <w:sz w:val="20"/>
                <w:szCs w:val="20"/>
                <w:lang w:val="en-MY" w:eastAsia="zh-CN"/>
              </w:rPr>
              <w:t>0</w:t>
            </w:r>
            <w:r w:rsidR="007D288D">
              <w:rPr>
                <w:color w:val="000000"/>
                <w:sz w:val="20"/>
                <w:szCs w:val="20"/>
                <w:lang w:val="en-MY" w:eastAsia="zh-CN"/>
              </w:rPr>
              <w:t>.73</w:t>
            </w:r>
          </w:p>
        </w:tc>
        <w:tc>
          <w:tcPr>
            <w:tcW w:w="382" w:type="pct"/>
            <w:tcBorders>
              <w:top w:val="nil"/>
              <w:bottom w:val="nil"/>
            </w:tcBorders>
          </w:tcPr>
          <w:p w14:paraId="3D7E40E3" w14:textId="1894F174" w:rsidR="00A47A89" w:rsidRPr="006F7CC6" w:rsidRDefault="00D316F8" w:rsidP="00774FCF">
            <w:pPr>
              <w:spacing w:line="480" w:lineRule="auto"/>
              <w:rPr>
                <w:sz w:val="20"/>
                <w:szCs w:val="20"/>
              </w:rPr>
            </w:pPr>
            <w:r>
              <w:rPr>
                <w:color w:val="000000"/>
                <w:sz w:val="20"/>
                <w:szCs w:val="20"/>
                <w:lang w:val="en-MY" w:eastAsia="zh-CN"/>
              </w:rPr>
              <w:t>0</w:t>
            </w:r>
            <w:r w:rsidR="007D288D">
              <w:rPr>
                <w:color w:val="000000"/>
                <w:sz w:val="20"/>
                <w:szCs w:val="20"/>
                <w:lang w:val="en-MY" w:eastAsia="zh-CN"/>
              </w:rPr>
              <w:t>.73</w:t>
            </w:r>
          </w:p>
        </w:tc>
        <w:tc>
          <w:tcPr>
            <w:tcW w:w="373" w:type="pct"/>
            <w:tcBorders>
              <w:top w:val="nil"/>
              <w:bottom w:val="nil"/>
            </w:tcBorders>
          </w:tcPr>
          <w:p w14:paraId="2F8C09DA" w14:textId="24FF9D86" w:rsidR="00A47A89" w:rsidRPr="006F7CC6" w:rsidRDefault="00D316F8" w:rsidP="00774FCF">
            <w:pPr>
              <w:spacing w:line="480" w:lineRule="auto"/>
              <w:rPr>
                <w:sz w:val="20"/>
                <w:szCs w:val="20"/>
              </w:rPr>
            </w:pPr>
            <w:r>
              <w:rPr>
                <w:color w:val="000000"/>
                <w:sz w:val="20"/>
                <w:szCs w:val="20"/>
                <w:lang w:val="en-MY" w:eastAsia="zh-CN"/>
              </w:rPr>
              <w:t>0</w:t>
            </w:r>
            <w:r w:rsidR="007D288D">
              <w:rPr>
                <w:color w:val="000000"/>
                <w:sz w:val="20"/>
                <w:szCs w:val="20"/>
                <w:lang w:val="en-MY" w:eastAsia="zh-CN"/>
              </w:rPr>
              <w:t>.84</w:t>
            </w:r>
          </w:p>
        </w:tc>
        <w:tc>
          <w:tcPr>
            <w:tcW w:w="363" w:type="pct"/>
            <w:tcBorders>
              <w:top w:val="nil"/>
              <w:bottom w:val="nil"/>
            </w:tcBorders>
          </w:tcPr>
          <w:p w14:paraId="2A62AB51" w14:textId="7D4AE1DC" w:rsidR="00A47A89" w:rsidRPr="006F7CC6" w:rsidRDefault="00D316F8" w:rsidP="00774FCF">
            <w:pPr>
              <w:spacing w:line="480" w:lineRule="auto"/>
              <w:rPr>
                <w:sz w:val="20"/>
                <w:szCs w:val="20"/>
              </w:rPr>
            </w:pPr>
            <w:r>
              <w:rPr>
                <w:color w:val="000000"/>
                <w:sz w:val="20"/>
                <w:szCs w:val="20"/>
                <w:lang w:val="en-MY" w:eastAsia="zh-CN"/>
              </w:rPr>
              <w:t>0</w:t>
            </w:r>
            <w:r w:rsidR="00A47A89" w:rsidRPr="00B14AF0">
              <w:rPr>
                <w:color w:val="000000"/>
                <w:sz w:val="20"/>
                <w:szCs w:val="20"/>
                <w:lang w:val="en-MY" w:eastAsia="zh-CN"/>
              </w:rPr>
              <w:t>.</w:t>
            </w:r>
            <w:r w:rsidR="007D288D">
              <w:rPr>
                <w:color w:val="000000"/>
                <w:sz w:val="20"/>
                <w:szCs w:val="20"/>
                <w:lang w:val="en-MY" w:eastAsia="zh-CN"/>
              </w:rPr>
              <w:t>70</w:t>
            </w:r>
          </w:p>
        </w:tc>
        <w:tc>
          <w:tcPr>
            <w:tcW w:w="389" w:type="pct"/>
            <w:tcBorders>
              <w:top w:val="nil"/>
              <w:bottom w:val="nil"/>
            </w:tcBorders>
          </w:tcPr>
          <w:p w14:paraId="265301F8" w14:textId="3CC7C05D" w:rsidR="00A47A89" w:rsidRPr="006F7CC6" w:rsidRDefault="00D316F8" w:rsidP="00774FCF">
            <w:pPr>
              <w:spacing w:line="480" w:lineRule="auto"/>
              <w:rPr>
                <w:sz w:val="20"/>
                <w:szCs w:val="20"/>
              </w:rPr>
            </w:pPr>
            <w:r>
              <w:rPr>
                <w:color w:val="000000"/>
                <w:sz w:val="20"/>
                <w:szCs w:val="20"/>
                <w:lang w:val="en-MY" w:eastAsia="zh-CN"/>
              </w:rPr>
              <w:t>0</w:t>
            </w:r>
            <w:r w:rsidR="00A47A89" w:rsidRPr="00B14AF0">
              <w:rPr>
                <w:color w:val="000000"/>
                <w:sz w:val="20"/>
                <w:szCs w:val="20"/>
                <w:lang w:val="en-MY" w:eastAsia="zh-CN"/>
              </w:rPr>
              <w:t>.</w:t>
            </w:r>
            <w:r w:rsidR="0008090F">
              <w:rPr>
                <w:color w:val="000000"/>
                <w:sz w:val="20"/>
                <w:szCs w:val="20"/>
                <w:lang w:val="en-MY" w:eastAsia="zh-CN"/>
              </w:rPr>
              <w:t>75</w:t>
            </w:r>
          </w:p>
        </w:tc>
        <w:tc>
          <w:tcPr>
            <w:tcW w:w="392" w:type="pct"/>
            <w:tcBorders>
              <w:top w:val="nil"/>
              <w:bottom w:val="nil"/>
            </w:tcBorders>
          </w:tcPr>
          <w:p w14:paraId="597F3BC4" w14:textId="562B8AF9" w:rsidR="00A47A89" w:rsidRPr="006F7CC6" w:rsidRDefault="00D316F8" w:rsidP="00774FCF">
            <w:pPr>
              <w:spacing w:line="480" w:lineRule="auto"/>
              <w:rPr>
                <w:sz w:val="20"/>
                <w:szCs w:val="20"/>
              </w:rPr>
            </w:pPr>
            <w:r>
              <w:rPr>
                <w:color w:val="000000"/>
                <w:sz w:val="20"/>
                <w:szCs w:val="20"/>
                <w:lang w:val="en-MY" w:eastAsia="zh-CN"/>
              </w:rPr>
              <w:t>0</w:t>
            </w:r>
            <w:r w:rsidR="00A47A89" w:rsidRPr="00B14AF0">
              <w:rPr>
                <w:color w:val="000000"/>
                <w:sz w:val="20"/>
                <w:szCs w:val="20"/>
                <w:lang w:val="en-MY" w:eastAsia="zh-CN"/>
              </w:rPr>
              <w:t>.</w:t>
            </w:r>
            <w:r w:rsidR="0008090F">
              <w:rPr>
                <w:color w:val="000000"/>
                <w:sz w:val="20"/>
                <w:szCs w:val="20"/>
                <w:lang w:val="en-MY" w:eastAsia="zh-CN"/>
              </w:rPr>
              <w:t>68</w:t>
            </w:r>
          </w:p>
        </w:tc>
        <w:tc>
          <w:tcPr>
            <w:tcW w:w="437" w:type="pct"/>
            <w:tcBorders>
              <w:top w:val="nil"/>
              <w:bottom w:val="nil"/>
            </w:tcBorders>
          </w:tcPr>
          <w:p w14:paraId="0124C2A5" w14:textId="5F7F4E78" w:rsidR="00A47A89" w:rsidRPr="006F7CC6" w:rsidRDefault="00D316F8" w:rsidP="00774FCF">
            <w:pPr>
              <w:spacing w:line="480" w:lineRule="auto"/>
              <w:rPr>
                <w:sz w:val="20"/>
                <w:szCs w:val="20"/>
              </w:rPr>
            </w:pPr>
            <w:r>
              <w:rPr>
                <w:color w:val="000000"/>
                <w:sz w:val="20"/>
                <w:szCs w:val="20"/>
                <w:lang w:val="en-MY" w:eastAsia="zh-CN"/>
              </w:rPr>
              <w:t>0</w:t>
            </w:r>
            <w:r w:rsidR="00A47A89" w:rsidRPr="00B14AF0">
              <w:rPr>
                <w:color w:val="000000"/>
                <w:sz w:val="20"/>
                <w:szCs w:val="20"/>
                <w:lang w:val="en-MY" w:eastAsia="zh-CN"/>
              </w:rPr>
              <w:t>.</w:t>
            </w:r>
            <w:r w:rsidR="0008090F">
              <w:rPr>
                <w:color w:val="000000"/>
                <w:sz w:val="20"/>
                <w:szCs w:val="20"/>
                <w:lang w:val="en-MY" w:eastAsia="zh-CN"/>
              </w:rPr>
              <w:t>73</w:t>
            </w:r>
          </w:p>
        </w:tc>
      </w:tr>
      <w:tr w:rsidR="004A73E6" w:rsidRPr="006F7CC6" w14:paraId="015B727A" w14:textId="77777777" w:rsidTr="00D316F8">
        <w:trPr>
          <w:trHeight w:val="233"/>
          <w:jc w:val="center"/>
        </w:trPr>
        <w:tc>
          <w:tcPr>
            <w:tcW w:w="1458" w:type="pct"/>
            <w:tcBorders>
              <w:top w:val="nil"/>
              <w:bottom w:val="single" w:sz="4" w:space="0" w:color="auto"/>
            </w:tcBorders>
          </w:tcPr>
          <w:p w14:paraId="3A6AA218" w14:textId="17FC00AF" w:rsidR="004A73E6" w:rsidRPr="006F7CC6" w:rsidRDefault="003F06AC" w:rsidP="00774FCF">
            <w:pPr>
              <w:spacing w:line="480" w:lineRule="auto"/>
              <w:rPr>
                <w:sz w:val="20"/>
                <w:szCs w:val="20"/>
              </w:rPr>
            </w:pPr>
            <w:r>
              <w:rPr>
                <w:sz w:val="20"/>
                <w:szCs w:val="20"/>
              </w:rPr>
              <w:t xml:space="preserve">95% </w:t>
            </w:r>
            <w:r w:rsidR="004A73E6">
              <w:rPr>
                <w:sz w:val="20"/>
                <w:szCs w:val="20"/>
              </w:rPr>
              <w:t>Confidence Interval</w:t>
            </w:r>
          </w:p>
        </w:tc>
        <w:tc>
          <w:tcPr>
            <w:tcW w:w="391" w:type="pct"/>
            <w:tcBorders>
              <w:top w:val="nil"/>
              <w:bottom w:val="single" w:sz="4" w:space="0" w:color="auto"/>
            </w:tcBorders>
          </w:tcPr>
          <w:p w14:paraId="27D93435" w14:textId="32C98F60" w:rsidR="004A73E6" w:rsidRPr="00BB3317" w:rsidRDefault="00D316F8" w:rsidP="00774FCF">
            <w:pPr>
              <w:spacing w:line="480" w:lineRule="auto"/>
              <w:rPr>
                <w:sz w:val="20"/>
                <w:szCs w:val="20"/>
              </w:rPr>
            </w:pPr>
            <w:r>
              <w:rPr>
                <w:sz w:val="20"/>
                <w:szCs w:val="20"/>
              </w:rPr>
              <w:t>0</w:t>
            </w:r>
            <w:r w:rsidR="007D288D" w:rsidRPr="00BB3317">
              <w:rPr>
                <w:sz w:val="20"/>
                <w:szCs w:val="20"/>
              </w:rPr>
              <w:t>.74-</w:t>
            </w:r>
            <w:r>
              <w:rPr>
                <w:sz w:val="20"/>
                <w:szCs w:val="20"/>
              </w:rPr>
              <w:t>0</w:t>
            </w:r>
            <w:r w:rsidR="007D288D" w:rsidRPr="00BB3317">
              <w:rPr>
                <w:sz w:val="20"/>
                <w:szCs w:val="20"/>
              </w:rPr>
              <w:t>.79</w:t>
            </w:r>
          </w:p>
        </w:tc>
        <w:tc>
          <w:tcPr>
            <w:tcW w:w="392" w:type="pct"/>
            <w:tcBorders>
              <w:top w:val="nil"/>
              <w:bottom w:val="single" w:sz="4" w:space="0" w:color="auto"/>
            </w:tcBorders>
          </w:tcPr>
          <w:p w14:paraId="52B4A5A7" w14:textId="5EAC9272" w:rsidR="004A73E6" w:rsidRPr="00B14AF0" w:rsidRDefault="00D316F8" w:rsidP="00774FCF">
            <w:pPr>
              <w:spacing w:line="480" w:lineRule="auto"/>
              <w:rPr>
                <w:color w:val="000000"/>
                <w:sz w:val="20"/>
                <w:szCs w:val="20"/>
                <w:lang w:val="en-MY" w:eastAsia="zh-CN"/>
              </w:rPr>
            </w:pPr>
            <w:r>
              <w:rPr>
                <w:color w:val="000000"/>
                <w:sz w:val="20"/>
                <w:szCs w:val="20"/>
                <w:lang w:val="en-MY" w:eastAsia="zh-CN"/>
              </w:rPr>
              <w:t>0</w:t>
            </w:r>
            <w:r w:rsidR="007D288D">
              <w:rPr>
                <w:color w:val="000000"/>
                <w:sz w:val="20"/>
                <w:szCs w:val="20"/>
                <w:lang w:val="en-MY" w:eastAsia="zh-CN"/>
              </w:rPr>
              <w:t>.80-.</w:t>
            </w:r>
            <w:r>
              <w:rPr>
                <w:color w:val="000000"/>
                <w:sz w:val="20"/>
                <w:szCs w:val="20"/>
                <w:lang w:val="en-MY" w:eastAsia="zh-CN"/>
              </w:rPr>
              <w:t>0</w:t>
            </w:r>
            <w:r w:rsidR="007D288D">
              <w:rPr>
                <w:color w:val="000000"/>
                <w:sz w:val="20"/>
                <w:szCs w:val="20"/>
                <w:lang w:val="en-MY" w:eastAsia="zh-CN"/>
              </w:rPr>
              <w:t>84</w:t>
            </w:r>
          </w:p>
        </w:tc>
        <w:tc>
          <w:tcPr>
            <w:tcW w:w="422" w:type="pct"/>
            <w:tcBorders>
              <w:top w:val="nil"/>
              <w:bottom w:val="single" w:sz="4" w:space="0" w:color="auto"/>
            </w:tcBorders>
          </w:tcPr>
          <w:p w14:paraId="7743CDAF" w14:textId="12150026" w:rsidR="004A73E6" w:rsidRPr="00B14AF0" w:rsidRDefault="00D316F8" w:rsidP="00774FCF">
            <w:pPr>
              <w:spacing w:line="480" w:lineRule="auto"/>
              <w:rPr>
                <w:color w:val="000000"/>
                <w:sz w:val="20"/>
                <w:szCs w:val="20"/>
                <w:lang w:val="en-MY" w:eastAsia="zh-CN"/>
              </w:rPr>
            </w:pPr>
            <w:r>
              <w:rPr>
                <w:color w:val="000000"/>
                <w:sz w:val="20"/>
                <w:szCs w:val="20"/>
                <w:lang w:val="en-MY" w:eastAsia="zh-CN"/>
              </w:rPr>
              <w:t>0</w:t>
            </w:r>
            <w:r w:rsidR="007D288D">
              <w:rPr>
                <w:color w:val="000000"/>
                <w:sz w:val="20"/>
                <w:szCs w:val="20"/>
                <w:lang w:val="en-MY" w:eastAsia="zh-CN"/>
              </w:rPr>
              <w:t>.69-</w:t>
            </w:r>
            <w:r>
              <w:rPr>
                <w:color w:val="000000"/>
                <w:sz w:val="20"/>
                <w:szCs w:val="20"/>
                <w:lang w:val="en-MY" w:eastAsia="zh-CN"/>
              </w:rPr>
              <w:t>0</w:t>
            </w:r>
            <w:r w:rsidR="007D288D">
              <w:rPr>
                <w:color w:val="000000"/>
                <w:sz w:val="20"/>
                <w:szCs w:val="20"/>
                <w:lang w:val="en-MY" w:eastAsia="zh-CN"/>
              </w:rPr>
              <w:t>.76</w:t>
            </w:r>
          </w:p>
        </w:tc>
        <w:tc>
          <w:tcPr>
            <w:tcW w:w="382" w:type="pct"/>
            <w:tcBorders>
              <w:top w:val="nil"/>
              <w:bottom w:val="single" w:sz="4" w:space="0" w:color="auto"/>
            </w:tcBorders>
          </w:tcPr>
          <w:p w14:paraId="7F36A07E" w14:textId="626BE85B" w:rsidR="004A73E6" w:rsidRPr="00B14AF0" w:rsidRDefault="00D316F8" w:rsidP="00774FCF">
            <w:pPr>
              <w:spacing w:line="480" w:lineRule="auto"/>
              <w:rPr>
                <w:color w:val="000000"/>
                <w:sz w:val="20"/>
                <w:szCs w:val="20"/>
                <w:lang w:val="en-MY" w:eastAsia="zh-CN"/>
              </w:rPr>
            </w:pPr>
            <w:r>
              <w:rPr>
                <w:color w:val="000000"/>
                <w:sz w:val="20"/>
                <w:szCs w:val="20"/>
                <w:lang w:val="en-MY" w:eastAsia="zh-CN"/>
              </w:rPr>
              <w:t>0</w:t>
            </w:r>
            <w:r w:rsidR="007D288D">
              <w:rPr>
                <w:color w:val="000000"/>
                <w:sz w:val="20"/>
                <w:szCs w:val="20"/>
                <w:lang w:val="en-MY" w:eastAsia="zh-CN"/>
              </w:rPr>
              <w:t>.69-</w:t>
            </w:r>
            <w:r>
              <w:rPr>
                <w:color w:val="000000"/>
                <w:sz w:val="20"/>
                <w:szCs w:val="20"/>
                <w:lang w:val="en-MY" w:eastAsia="zh-CN"/>
              </w:rPr>
              <w:t>0</w:t>
            </w:r>
            <w:r w:rsidR="007D288D">
              <w:rPr>
                <w:color w:val="000000"/>
                <w:sz w:val="20"/>
                <w:szCs w:val="20"/>
                <w:lang w:val="en-MY" w:eastAsia="zh-CN"/>
              </w:rPr>
              <w:t>.76</w:t>
            </w:r>
          </w:p>
        </w:tc>
        <w:tc>
          <w:tcPr>
            <w:tcW w:w="373" w:type="pct"/>
            <w:tcBorders>
              <w:top w:val="nil"/>
              <w:bottom w:val="single" w:sz="4" w:space="0" w:color="auto"/>
            </w:tcBorders>
          </w:tcPr>
          <w:p w14:paraId="6DB7ED98" w14:textId="6F36CF2F" w:rsidR="004A73E6" w:rsidRPr="00B14AF0" w:rsidRDefault="00D316F8" w:rsidP="00774FCF">
            <w:pPr>
              <w:spacing w:line="480" w:lineRule="auto"/>
              <w:rPr>
                <w:color w:val="000000"/>
                <w:sz w:val="20"/>
                <w:szCs w:val="20"/>
                <w:lang w:val="en-MY" w:eastAsia="zh-CN"/>
              </w:rPr>
            </w:pPr>
            <w:r>
              <w:rPr>
                <w:color w:val="000000"/>
                <w:sz w:val="20"/>
                <w:szCs w:val="20"/>
                <w:lang w:val="en-MY" w:eastAsia="zh-CN"/>
              </w:rPr>
              <w:t>0</w:t>
            </w:r>
            <w:r w:rsidR="007D288D">
              <w:rPr>
                <w:color w:val="000000"/>
                <w:sz w:val="20"/>
                <w:szCs w:val="20"/>
                <w:lang w:val="en-MY" w:eastAsia="zh-CN"/>
              </w:rPr>
              <w:t>.81-</w:t>
            </w:r>
            <w:r>
              <w:rPr>
                <w:color w:val="000000"/>
                <w:sz w:val="20"/>
                <w:szCs w:val="20"/>
                <w:lang w:val="en-MY" w:eastAsia="zh-CN"/>
              </w:rPr>
              <w:t>0</w:t>
            </w:r>
            <w:r w:rsidR="007D288D">
              <w:rPr>
                <w:color w:val="000000"/>
                <w:sz w:val="20"/>
                <w:szCs w:val="20"/>
                <w:lang w:val="en-MY" w:eastAsia="zh-CN"/>
              </w:rPr>
              <w:t>.86</w:t>
            </w:r>
          </w:p>
        </w:tc>
        <w:tc>
          <w:tcPr>
            <w:tcW w:w="363" w:type="pct"/>
            <w:tcBorders>
              <w:top w:val="nil"/>
              <w:bottom w:val="single" w:sz="4" w:space="0" w:color="auto"/>
            </w:tcBorders>
          </w:tcPr>
          <w:p w14:paraId="4422C8BE" w14:textId="23674C5B" w:rsidR="004A73E6" w:rsidRPr="00B14AF0" w:rsidRDefault="00D316F8" w:rsidP="00774FCF">
            <w:pPr>
              <w:spacing w:line="480" w:lineRule="auto"/>
              <w:rPr>
                <w:color w:val="000000"/>
                <w:sz w:val="20"/>
                <w:szCs w:val="20"/>
                <w:lang w:val="en-MY" w:eastAsia="zh-CN"/>
              </w:rPr>
            </w:pPr>
            <w:r>
              <w:rPr>
                <w:color w:val="000000"/>
                <w:sz w:val="20"/>
                <w:szCs w:val="20"/>
                <w:lang w:val="en-MY" w:eastAsia="zh-CN"/>
              </w:rPr>
              <w:t>0</w:t>
            </w:r>
            <w:r w:rsidR="007D288D">
              <w:rPr>
                <w:color w:val="000000"/>
                <w:sz w:val="20"/>
                <w:szCs w:val="20"/>
                <w:lang w:val="en-MY" w:eastAsia="zh-CN"/>
              </w:rPr>
              <w:t>.67-</w:t>
            </w:r>
            <w:r>
              <w:rPr>
                <w:color w:val="000000"/>
                <w:sz w:val="20"/>
                <w:szCs w:val="20"/>
                <w:lang w:val="en-MY" w:eastAsia="zh-CN"/>
              </w:rPr>
              <w:t>0</w:t>
            </w:r>
            <w:r w:rsidR="007D288D">
              <w:rPr>
                <w:color w:val="000000"/>
                <w:sz w:val="20"/>
                <w:szCs w:val="20"/>
                <w:lang w:val="en-MY" w:eastAsia="zh-CN"/>
              </w:rPr>
              <w:t>.74</w:t>
            </w:r>
          </w:p>
        </w:tc>
        <w:tc>
          <w:tcPr>
            <w:tcW w:w="389" w:type="pct"/>
            <w:tcBorders>
              <w:top w:val="nil"/>
              <w:bottom w:val="single" w:sz="4" w:space="0" w:color="auto"/>
            </w:tcBorders>
          </w:tcPr>
          <w:p w14:paraId="057C09DA" w14:textId="20739A85" w:rsidR="004A73E6" w:rsidRPr="00B14AF0" w:rsidRDefault="00D316F8" w:rsidP="00774FCF">
            <w:pPr>
              <w:spacing w:line="480" w:lineRule="auto"/>
              <w:rPr>
                <w:color w:val="000000"/>
                <w:sz w:val="20"/>
                <w:szCs w:val="20"/>
                <w:lang w:val="en-MY" w:eastAsia="zh-CN"/>
              </w:rPr>
            </w:pPr>
            <w:r>
              <w:rPr>
                <w:color w:val="000000"/>
                <w:sz w:val="20"/>
                <w:szCs w:val="20"/>
                <w:lang w:val="en-MY" w:eastAsia="zh-CN"/>
              </w:rPr>
              <w:t>0</w:t>
            </w:r>
            <w:r w:rsidR="0008090F">
              <w:rPr>
                <w:color w:val="000000"/>
                <w:sz w:val="20"/>
                <w:szCs w:val="20"/>
                <w:lang w:val="en-MY" w:eastAsia="zh-CN"/>
              </w:rPr>
              <w:t>.72-.</w:t>
            </w:r>
            <w:r>
              <w:rPr>
                <w:color w:val="000000"/>
                <w:sz w:val="20"/>
                <w:szCs w:val="20"/>
                <w:lang w:val="en-MY" w:eastAsia="zh-CN"/>
              </w:rPr>
              <w:t>0</w:t>
            </w:r>
            <w:r w:rsidR="0008090F">
              <w:rPr>
                <w:color w:val="000000"/>
                <w:sz w:val="20"/>
                <w:szCs w:val="20"/>
                <w:lang w:val="en-MY" w:eastAsia="zh-CN"/>
              </w:rPr>
              <w:t>78</w:t>
            </w:r>
          </w:p>
        </w:tc>
        <w:tc>
          <w:tcPr>
            <w:tcW w:w="392" w:type="pct"/>
            <w:tcBorders>
              <w:top w:val="nil"/>
              <w:bottom w:val="single" w:sz="4" w:space="0" w:color="auto"/>
            </w:tcBorders>
          </w:tcPr>
          <w:p w14:paraId="0292A819" w14:textId="0AB19E45" w:rsidR="004A73E6" w:rsidRPr="00B14AF0" w:rsidRDefault="00D316F8" w:rsidP="00774FCF">
            <w:pPr>
              <w:spacing w:line="480" w:lineRule="auto"/>
              <w:rPr>
                <w:color w:val="000000"/>
                <w:sz w:val="20"/>
                <w:szCs w:val="20"/>
                <w:lang w:val="en-MY" w:eastAsia="zh-CN"/>
              </w:rPr>
            </w:pPr>
            <w:r>
              <w:rPr>
                <w:color w:val="000000"/>
                <w:sz w:val="20"/>
                <w:szCs w:val="20"/>
                <w:lang w:val="en-MY" w:eastAsia="zh-CN"/>
              </w:rPr>
              <w:t>0</w:t>
            </w:r>
            <w:r w:rsidR="0008090F">
              <w:rPr>
                <w:color w:val="000000"/>
                <w:sz w:val="20"/>
                <w:szCs w:val="20"/>
                <w:lang w:val="en-MY" w:eastAsia="zh-CN"/>
              </w:rPr>
              <w:t>.63-</w:t>
            </w:r>
            <w:r>
              <w:rPr>
                <w:color w:val="000000"/>
                <w:sz w:val="20"/>
                <w:szCs w:val="20"/>
                <w:lang w:val="en-MY" w:eastAsia="zh-CN"/>
              </w:rPr>
              <w:t>0</w:t>
            </w:r>
            <w:r w:rsidR="0008090F">
              <w:rPr>
                <w:color w:val="000000"/>
                <w:sz w:val="20"/>
                <w:szCs w:val="20"/>
                <w:lang w:val="en-MY" w:eastAsia="zh-CN"/>
              </w:rPr>
              <w:t>.72</w:t>
            </w:r>
          </w:p>
        </w:tc>
        <w:tc>
          <w:tcPr>
            <w:tcW w:w="437" w:type="pct"/>
            <w:tcBorders>
              <w:top w:val="nil"/>
              <w:bottom w:val="single" w:sz="4" w:space="0" w:color="auto"/>
            </w:tcBorders>
          </w:tcPr>
          <w:p w14:paraId="4F476786" w14:textId="48CF2262" w:rsidR="004A73E6" w:rsidRPr="00B14AF0" w:rsidRDefault="00D316F8" w:rsidP="00774FCF">
            <w:pPr>
              <w:spacing w:line="480" w:lineRule="auto"/>
              <w:rPr>
                <w:color w:val="000000"/>
                <w:sz w:val="20"/>
                <w:szCs w:val="20"/>
                <w:lang w:val="en-MY" w:eastAsia="zh-CN"/>
              </w:rPr>
            </w:pPr>
            <w:r>
              <w:rPr>
                <w:color w:val="000000"/>
                <w:sz w:val="20"/>
                <w:szCs w:val="20"/>
                <w:lang w:val="en-MY" w:eastAsia="zh-CN"/>
              </w:rPr>
              <w:t>0</w:t>
            </w:r>
            <w:r w:rsidR="0008090F">
              <w:rPr>
                <w:color w:val="000000"/>
                <w:sz w:val="20"/>
                <w:szCs w:val="20"/>
                <w:lang w:val="en-MY" w:eastAsia="zh-CN"/>
              </w:rPr>
              <w:t>.70-</w:t>
            </w:r>
            <w:r>
              <w:rPr>
                <w:color w:val="000000"/>
                <w:sz w:val="20"/>
                <w:szCs w:val="20"/>
                <w:lang w:val="en-MY" w:eastAsia="zh-CN"/>
              </w:rPr>
              <w:t>0</w:t>
            </w:r>
            <w:r w:rsidR="0008090F">
              <w:rPr>
                <w:color w:val="000000"/>
                <w:sz w:val="20"/>
                <w:szCs w:val="20"/>
                <w:lang w:val="en-MY" w:eastAsia="zh-CN"/>
              </w:rPr>
              <w:t>.76</w:t>
            </w:r>
          </w:p>
        </w:tc>
      </w:tr>
      <w:tr w:rsidR="0008090F" w:rsidRPr="006F7CC6" w14:paraId="06C05196" w14:textId="77777777" w:rsidTr="00D316F8">
        <w:trPr>
          <w:trHeight w:val="233"/>
          <w:jc w:val="center"/>
        </w:trPr>
        <w:tc>
          <w:tcPr>
            <w:tcW w:w="1458" w:type="pct"/>
            <w:tcBorders>
              <w:top w:val="single" w:sz="4" w:space="0" w:color="auto"/>
              <w:bottom w:val="nil"/>
            </w:tcBorders>
          </w:tcPr>
          <w:p w14:paraId="4B8A9077" w14:textId="52D9D4A2" w:rsidR="0008090F" w:rsidRPr="000851B5" w:rsidRDefault="00047EF3" w:rsidP="00774FCF">
            <w:pPr>
              <w:spacing w:line="480" w:lineRule="auto"/>
              <w:rPr>
                <w:sz w:val="20"/>
                <w:szCs w:val="20"/>
              </w:rPr>
            </w:pPr>
            <w:r w:rsidRPr="00047EF3">
              <w:rPr>
                <w:i/>
                <w:color w:val="010205"/>
                <w:sz w:val="20"/>
                <w:szCs w:val="18"/>
              </w:rPr>
              <w:t>Note</w:t>
            </w:r>
            <w:r>
              <w:rPr>
                <w:color w:val="010205"/>
                <w:sz w:val="20"/>
                <w:szCs w:val="18"/>
              </w:rPr>
              <w:t xml:space="preserve">. </w:t>
            </w:r>
            <w:r w:rsidR="000851B5">
              <w:rPr>
                <w:color w:val="010205"/>
                <w:sz w:val="20"/>
                <w:szCs w:val="18"/>
              </w:rPr>
              <w:t xml:space="preserve">All </w:t>
            </w:r>
            <w:proofErr w:type="spellStart"/>
            <w:r w:rsidR="000851B5">
              <w:rPr>
                <w:i/>
                <w:iCs/>
                <w:color w:val="010205"/>
                <w:sz w:val="20"/>
                <w:szCs w:val="18"/>
              </w:rPr>
              <w:t>p</w:t>
            </w:r>
            <w:r w:rsidR="000851B5">
              <w:rPr>
                <w:color w:val="010205"/>
                <w:sz w:val="20"/>
                <w:szCs w:val="18"/>
              </w:rPr>
              <w:t>s</w:t>
            </w:r>
            <w:proofErr w:type="spellEnd"/>
            <w:r w:rsidR="000851B5">
              <w:rPr>
                <w:color w:val="010205"/>
                <w:sz w:val="20"/>
                <w:szCs w:val="18"/>
              </w:rPr>
              <w:t xml:space="preserve"> &lt; </w:t>
            </w:r>
            <w:r w:rsidR="00D316F8">
              <w:rPr>
                <w:color w:val="010205"/>
                <w:sz w:val="20"/>
                <w:szCs w:val="18"/>
              </w:rPr>
              <w:t>0</w:t>
            </w:r>
            <w:r w:rsidR="000851B5">
              <w:rPr>
                <w:color w:val="010205"/>
                <w:sz w:val="20"/>
                <w:szCs w:val="18"/>
              </w:rPr>
              <w:t>.001</w:t>
            </w:r>
          </w:p>
        </w:tc>
        <w:tc>
          <w:tcPr>
            <w:tcW w:w="391" w:type="pct"/>
            <w:tcBorders>
              <w:top w:val="single" w:sz="4" w:space="0" w:color="auto"/>
              <w:bottom w:val="nil"/>
            </w:tcBorders>
          </w:tcPr>
          <w:p w14:paraId="1DD501C5" w14:textId="77777777" w:rsidR="0008090F" w:rsidRPr="0008090F" w:rsidRDefault="0008090F" w:rsidP="00774FCF">
            <w:pPr>
              <w:spacing w:line="480" w:lineRule="auto"/>
              <w:rPr>
                <w:sz w:val="20"/>
                <w:szCs w:val="20"/>
              </w:rPr>
            </w:pPr>
          </w:p>
        </w:tc>
        <w:tc>
          <w:tcPr>
            <w:tcW w:w="392" w:type="pct"/>
            <w:tcBorders>
              <w:top w:val="single" w:sz="4" w:space="0" w:color="auto"/>
              <w:bottom w:val="nil"/>
            </w:tcBorders>
          </w:tcPr>
          <w:p w14:paraId="0FB1A28F" w14:textId="77777777" w:rsidR="0008090F" w:rsidRDefault="0008090F" w:rsidP="00774FCF">
            <w:pPr>
              <w:spacing w:line="480" w:lineRule="auto"/>
              <w:rPr>
                <w:color w:val="000000"/>
                <w:sz w:val="20"/>
                <w:szCs w:val="20"/>
                <w:lang w:val="en-MY" w:eastAsia="zh-CN"/>
              </w:rPr>
            </w:pPr>
          </w:p>
        </w:tc>
        <w:tc>
          <w:tcPr>
            <w:tcW w:w="422" w:type="pct"/>
            <w:tcBorders>
              <w:top w:val="single" w:sz="4" w:space="0" w:color="auto"/>
              <w:bottom w:val="nil"/>
            </w:tcBorders>
          </w:tcPr>
          <w:p w14:paraId="2CB60012" w14:textId="77777777" w:rsidR="0008090F" w:rsidRDefault="0008090F" w:rsidP="00774FCF">
            <w:pPr>
              <w:spacing w:line="480" w:lineRule="auto"/>
              <w:rPr>
                <w:color w:val="000000"/>
                <w:sz w:val="20"/>
                <w:szCs w:val="20"/>
                <w:lang w:val="en-MY" w:eastAsia="zh-CN"/>
              </w:rPr>
            </w:pPr>
          </w:p>
        </w:tc>
        <w:tc>
          <w:tcPr>
            <w:tcW w:w="382" w:type="pct"/>
            <w:tcBorders>
              <w:top w:val="single" w:sz="4" w:space="0" w:color="auto"/>
              <w:bottom w:val="nil"/>
            </w:tcBorders>
          </w:tcPr>
          <w:p w14:paraId="5D2D8E40" w14:textId="77777777" w:rsidR="0008090F" w:rsidRDefault="0008090F" w:rsidP="00774FCF">
            <w:pPr>
              <w:spacing w:line="480" w:lineRule="auto"/>
              <w:rPr>
                <w:color w:val="000000"/>
                <w:sz w:val="20"/>
                <w:szCs w:val="20"/>
                <w:lang w:val="en-MY" w:eastAsia="zh-CN"/>
              </w:rPr>
            </w:pPr>
          </w:p>
        </w:tc>
        <w:tc>
          <w:tcPr>
            <w:tcW w:w="373" w:type="pct"/>
            <w:tcBorders>
              <w:top w:val="single" w:sz="4" w:space="0" w:color="auto"/>
              <w:bottom w:val="nil"/>
            </w:tcBorders>
          </w:tcPr>
          <w:p w14:paraId="37B713AE" w14:textId="77777777" w:rsidR="0008090F" w:rsidRDefault="0008090F" w:rsidP="00774FCF">
            <w:pPr>
              <w:spacing w:line="480" w:lineRule="auto"/>
              <w:rPr>
                <w:color w:val="000000"/>
                <w:sz w:val="20"/>
                <w:szCs w:val="20"/>
                <w:lang w:val="en-MY" w:eastAsia="zh-CN"/>
              </w:rPr>
            </w:pPr>
          </w:p>
        </w:tc>
        <w:tc>
          <w:tcPr>
            <w:tcW w:w="363" w:type="pct"/>
            <w:tcBorders>
              <w:top w:val="single" w:sz="4" w:space="0" w:color="auto"/>
              <w:bottom w:val="nil"/>
            </w:tcBorders>
          </w:tcPr>
          <w:p w14:paraId="057AB94E" w14:textId="77777777" w:rsidR="0008090F" w:rsidRDefault="0008090F" w:rsidP="00774FCF">
            <w:pPr>
              <w:spacing w:line="480" w:lineRule="auto"/>
              <w:rPr>
                <w:color w:val="000000"/>
                <w:sz w:val="20"/>
                <w:szCs w:val="20"/>
                <w:lang w:val="en-MY" w:eastAsia="zh-CN"/>
              </w:rPr>
            </w:pPr>
          </w:p>
        </w:tc>
        <w:tc>
          <w:tcPr>
            <w:tcW w:w="389" w:type="pct"/>
            <w:tcBorders>
              <w:top w:val="single" w:sz="4" w:space="0" w:color="auto"/>
              <w:bottom w:val="nil"/>
            </w:tcBorders>
          </w:tcPr>
          <w:p w14:paraId="50239690" w14:textId="77777777" w:rsidR="0008090F" w:rsidRDefault="0008090F" w:rsidP="00774FCF">
            <w:pPr>
              <w:spacing w:line="480" w:lineRule="auto"/>
              <w:rPr>
                <w:color w:val="000000"/>
                <w:sz w:val="20"/>
                <w:szCs w:val="20"/>
                <w:lang w:val="en-MY" w:eastAsia="zh-CN"/>
              </w:rPr>
            </w:pPr>
          </w:p>
        </w:tc>
        <w:tc>
          <w:tcPr>
            <w:tcW w:w="392" w:type="pct"/>
            <w:tcBorders>
              <w:top w:val="single" w:sz="4" w:space="0" w:color="auto"/>
              <w:bottom w:val="nil"/>
            </w:tcBorders>
          </w:tcPr>
          <w:p w14:paraId="0053F91E" w14:textId="77777777" w:rsidR="0008090F" w:rsidRDefault="0008090F" w:rsidP="00774FCF">
            <w:pPr>
              <w:spacing w:line="480" w:lineRule="auto"/>
              <w:rPr>
                <w:color w:val="000000"/>
                <w:sz w:val="20"/>
                <w:szCs w:val="20"/>
                <w:lang w:val="en-MY" w:eastAsia="zh-CN"/>
              </w:rPr>
            </w:pPr>
          </w:p>
        </w:tc>
        <w:tc>
          <w:tcPr>
            <w:tcW w:w="437" w:type="pct"/>
            <w:tcBorders>
              <w:top w:val="single" w:sz="4" w:space="0" w:color="auto"/>
              <w:bottom w:val="nil"/>
            </w:tcBorders>
          </w:tcPr>
          <w:p w14:paraId="3088AF78" w14:textId="77777777" w:rsidR="0008090F" w:rsidRDefault="0008090F" w:rsidP="00774FCF">
            <w:pPr>
              <w:spacing w:line="480" w:lineRule="auto"/>
              <w:rPr>
                <w:color w:val="000000"/>
                <w:sz w:val="20"/>
                <w:szCs w:val="20"/>
                <w:lang w:val="en-MY" w:eastAsia="zh-CN"/>
              </w:rPr>
            </w:pPr>
          </w:p>
        </w:tc>
      </w:tr>
    </w:tbl>
    <w:p w14:paraId="1DCBB5D6" w14:textId="733B4DE4" w:rsidR="00774FCF" w:rsidRPr="00C12116" w:rsidRDefault="00774FCF" w:rsidP="00774FCF">
      <w:pPr>
        <w:widowControl w:val="0"/>
        <w:spacing w:line="480" w:lineRule="auto"/>
        <w:rPr>
          <w:i/>
        </w:rPr>
      </w:pPr>
      <w:r w:rsidRPr="003604F6">
        <w:lastRenderedPageBreak/>
        <w:t xml:space="preserve">Table </w:t>
      </w:r>
      <w:r w:rsidR="007B479A">
        <w:t>2</w:t>
      </w:r>
      <w:r w:rsidR="007B479A">
        <w:rPr>
          <w:i/>
        </w:rPr>
        <w:t>. Fit</w:t>
      </w:r>
      <w:r w:rsidRPr="00C12116">
        <w:rPr>
          <w:i/>
        </w:rPr>
        <w:t xml:space="preserve"> Indices for </w:t>
      </w:r>
      <w:r w:rsidR="007B479A">
        <w:rPr>
          <w:i/>
        </w:rPr>
        <w:t>Each of the Hypothesised</w:t>
      </w:r>
      <w:r w:rsidRPr="00C12116">
        <w:rPr>
          <w:i/>
        </w:rPr>
        <w:t xml:space="preserve"> Model</w:t>
      </w:r>
      <w:r w:rsidR="007B479A">
        <w:rPr>
          <w:i/>
        </w:rPr>
        <w:t>s in the Present Study.</w:t>
      </w:r>
    </w:p>
    <w:tbl>
      <w:tblPr>
        <w:tblStyle w:val="TableGrid"/>
        <w:tblW w:w="5000" w:type="pct"/>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813"/>
        <w:gridCol w:w="1210"/>
        <w:gridCol w:w="907"/>
        <w:gridCol w:w="603"/>
        <w:gridCol w:w="1510"/>
        <w:gridCol w:w="1058"/>
        <w:gridCol w:w="1058"/>
        <w:gridCol w:w="1058"/>
        <w:gridCol w:w="1058"/>
        <w:gridCol w:w="907"/>
        <w:gridCol w:w="1360"/>
        <w:gridCol w:w="1418"/>
      </w:tblGrid>
      <w:tr w:rsidR="004A73E6" w:rsidRPr="00C12116" w14:paraId="213EA1FE" w14:textId="77777777" w:rsidTr="00D316F8">
        <w:tc>
          <w:tcPr>
            <w:tcW w:w="649" w:type="pct"/>
            <w:tcBorders>
              <w:top w:val="single" w:sz="4" w:space="0" w:color="auto"/>
              <w:bottom w:val="single" w:sz="4" w:space="0" w:color="auto"/>
            </w:tcBorders>
          </w:tcPr>
          <w:p w14:paraId="2B0BA52A" w14:textId="77777777" w:rsidR="004A73E6" w:rsidRPr="00C12116" w:rsidRDefault="004A73E6" w:rsidP="003604F6">
            <w:pPr>
              <w:spacing w:line="480" w:lineRule="auto"/>
              <w:rPr>
                <w:rFonts w:eastAsia="Arial Unicode MS"/>
                <w:sz w:val="24"/>
                <w:szCs w:val="24"/>
                <w:shd w:val="clear" w:color="auto" w:fill="FFFFFF"/>
              </w:rPr>
            </w:pPr>
          </w:p>
        </w:tc>
        <w:tc>
          <w:tcPr>
            <w:tcW w:w="433" w:type="pct"/>
            <w:tcBorders>
              <w:top w:val="single" w:sz="4" w:space="0" w:color="auto"/>
              <w:bottom w:val="single" w:sz="4" w:space="0" w:color="auto"/>
            </w:tcBorders>
          </w:tcPr>
          <w:p w14:paraId="78CC0E9A" w14:textId="77777777" w:rsidR="004A73E6" w:rsidRPr="00C12116" w:rsidRDefault="004A73E6" w:rsidP="003604F6">
            <w:pPr>
              <w:widowControl w:val="0"/>
              <w:spacing w:line="480" w:lineRule="auto"/>
              <w:rPr>
                <w:sz w:val="24"/>
                <w:szCs w:val="24"/>
                <w:vertAlign w:val="superscript"/>
              </w:rPr>
            </w:pPr>
            <w:r w:rsidRPr="00C12116">
              <w:rPr>
                <w:sz w:val="24"/>
                <w:szCs w:val="24"/>
              </w:rPr>
              <w:t>SBχ</w:t>
            </w:r>
            <w:r w:rsidRPr="00C12116">
              <w:rPr>
                <w:sz w:val="24"/>
                <w:szCs w:val="24"/>
                <w:vertAlign w:val="superscript"/>
              </w:rPr>
              <w:t>2</w:t>
            </w:r>
          </w:p>
          <w:p w14:paraId="47591BB0" w14:textId="77777777" w:rsidR="004A73E6" w:rsidRPr="00C12116" w:rsidRDefault="004A73E6" w:rsidP="003604F6">
            <w:pPr>
              <w:spacing w:line="480" w:lineRule="auto"/>
              <w:rPr>
                <w:rFonts w:eastAsia="Arial Unicode MS"/>
                <w:sz w:val="24"/>
                <w:szCs w:val="24"/>
                <w:shd w:val="clear" w:color="auto" w:fill="FFFFFF"/>
              </w:rPr>
            </w:pPr>
          </w:p>
        </w:tc>
        <w:tc>
          <w:tcPr>
            <w:tcW w:w="325" w:type="pct"/>
            <w:tcBorders>
              <w:top w:val="single" w:sz="4" w:space="0" w:color="auto"/>
              <w:bottom w:val="single" w:sz="4" w:space="0" w:color="auto"/>
            </w:tcBorders>
          </w:tcPr>
          <w:p w14:paraId="4087FE96" w14:textId="77777777" w:rsidR="004A73E6" w:rsidRPr="00C12116" w:rsidRDefault="004A73E6" w:rsidP="003604F6">
            <w:pPr>
              <w:spacing w:line="480" w:lineRule="auto"/>
              <w:rPr>
                <w:color w:val="000000"/>
                <w:sz w:val="24"/>
                <w:szCs w:val="24"/>
                <w:lang w:val="en-MY" w:eastAsia="zh-CN"/>
              </w:rPr>
            </w:pPr>
            <w:r w:rsidRPr="00C12116">
              <w:rPr>
                <w:rFonts w:asciiTheme="majorBidi" w:hAnsiTheme="majorBidi" w:cstheme="majorBidi"/>
                <w:sz w:val="24"/>
                <w:szCs w:val="24"/>
              </w:rPr>
              <w:t>SBχ</w:t>
            </w:r>
            <w:r w:rsidRPr="00C12116">
              <w:rPr>
                <w:rFonts w:asciiTheme="majorBidi" w:hAnsiTheme="majorBidi" w:cstheme="majorBidi"/>
                <w:sz w:val="24"/>
                <w:szCs w:val="24"/>
                <w:vertAlign w:val="superscript"/>
              </w:rPr>
              <w:t>2</w:t>
            </w:r>
            <w:r w:rsidRPr="00C12116">
              <w:rPr>
                <w:rFonts w:asciiTheme="majorBidi" w:hAnsiTheme="majorBidi" w:cstheme="majorBidi"/>
                <w:sz w:val="24"/>
                <w:szCs w:val="24"/>
                <w:vertAlign w:val="subscript"/>
              </w:rPr>
              <w:t>M</w:t>
            </w:r>
          </w:p>
        </w:tc>
        <w:tc>
          <w:tcPr>
            <w:tcW w:w="216" w:type="pct"/>
            <w:tcBorders>
              <w:top w:val="single" w:sz="4" w:space="0" w:color="auto"/>
              <w:bottom w:val="single" w:sz="4" w:space="0" w:color="auto"/>
            </w:tcBorders>
          </w:tcPr>
          <w:p w14:paraId="3C3E9D8E" w14:textId="77777777" w:rsidR="004A73E6" w:rsidRPr="00C12116" w:rsidRDefault="004A73E6" w:rsidP="003604F6">
            <w:pPr>
              <w:spacing w:line="480" w:lineRule="auto"/>
              <w:rPr>
                <w:rFonts w:eastAsia="Arial Unicode MS"/>
                <w:sz w:val="24"/>
                <w:szCs w:val="24"/>
                <w:shd w:val="clear" w:color="auto" w:fill="FFFFFF"/>
              </w:rPr>
            </w:pPr>
            <w:r w:rsidRPr="00C12116">
              <w:rPr>
                <w:color w:val="000000"/>
                <w:sz w:val="24"/>
                <w:szCs w:val="24"/>
                <w:lang w:val="en-MY" w:eastAsia="zh-CN"/>
              </w:rPr>
              <w:t>df   </w:t>
            </w:r>
          </w:p>
        </w:tc>
        <w:tc>
          <w:tcPr>
            <w:tcW w:w="541" w:type="pct"/>
            <w:tcBorders>
              <w:top w:val="single" w:sz="4" w:space="0" w:color="auto"/>
              <w:bottom w:val="single" w:sz="4" w:space="0" w:color="auto"/>
            </w:tcBorders>
          </w:tcPr>
          <w:p w14:paraId="492F1AFD" w14:textId="77777777" w:rsidR="004A73E6" w:rsidRPr="00C12116" w:rsidRDefault="004A73E6" w:rsidP="003604F6">
            <w:pPr>
              <w:spacing w:line="480" w:lineRule="auto"/>
              <w:rPr>
                <w:rFonts w:eastAsia="Arial Unicode MS"/>
                <w:sz w:val="24"/>
                <w:szCs w:val="24"/>
                <w:shd w:val="clear" w:color="auto" w:fill="FFFFFF"/>
              </w:rPr>
            </w:pPr>
            <w:r w:rsidRPr="00C12116">
              <w:rPr>
                <w:sz w:val="24"/>
                <w:szCs w:val="24"/>
                <w:lang w:val="en-US"/>
              </w:rPr>
              <w:t xml:space="preserve">Robust </w:t>
            </w:r>
            <w:r w:rsidRPr="00C12116">
              <w:rPr>
                <w:sz w:val="24"/>
                <w:szCs w:val="24"/>
                <w:lang w:val="en-US"/>
              </w:rPr>
              <w:br/>
              <w:t>RMSEA</w:t>
            </w:r>
            <w:r w:rsidRPr="00C12116">
              <w:rPr>
                <w:sz w:val="24"/>
                <w:szCs w:val="24"/>
                <w:lang w:val="en-US"/>
              </w:rPr>
              <w:br/>
              <w:t>(90% CI)</w:t>
            </w:r>
          </w:p>
        </w:tc>
        <w:tc>
          <w:tcPr>
            <w:tcW w:w="379" w:type="pct"/>
            <w:tcBorders>
              <w:top w:val="single" w:sz="4" w:space="0" w:color="auto"/>
              <w:bottom w:val="single" w:sz="4" w:space="0" w:color="auto"/>
            </w:tcBorders>
          </w:tcPr>
          <w:p w14:paraId="2F2B43E9" w14:textId="77777777" w:rsidR="004A73E6" w:rsidRPr="00C12116" w:rsidRDefault="004A73E6" w:rsidP="003604F6">
            <w:pPr>
              <w:widowControl w:val="0"/>
              <w:spacing w:line="480" w:lineRule="auto"/>
              <w:rPr>
                <w:sz w:val="24"/>
                <w:szCs w:val="24"/>
                <w:lang w:val="en-US"/>
              </w:rPr>
            </w:pPr>
            <w:r w:rsidRPr="00C12116">
              <w:rPr>
                <w:sz w:val="24"/>
                <w:szCs w:val="24"/>
                <w:lang w:val="en-US"/>
              </w:rPr>
              <w:t xml:space="preserve">Robust </w:t>
            </w:r>
            <w:r w:rsidRPr="00C12116">
              <w:rPr>
                <w:sz w:val="24"/>
                <w:szCs w:val="24"/>
                <w:lang w:val="en-US"/>
              </w:rPr>
              <w:br/>
              <w:t>CFI</w:t>
            </w:r>
          </w:p>
          <w:p w14:paraId="29D91FFB" w14:textId="77777777" w:rsidR="004A73E6" w:rsidRPr="00C12116" w:rsidRDefault="004A73E6" w:rsidP="003604F6">
            <w:pPr>
              <w:spacing w:line="480" w:lineRule="auto"/>
              <w:rPr>
                <w:rFonts w:eastAsia="Arial Unicode MS"/>
                <w:sz w:val="24"/>
                <w:szCs w:val="24"/>
                <w:shd w:val="clear" w:color="auto" w:fill="FFFFFF"/>
              </w:rPr>
            </w:pPr>
          </w:p>
        </w:tc>
        <w:tc>
          <w:tcPr>
            <w:tcW w:w="379" w:type="pct"/>
            <w:tcBorders>
              <w:top w:val="single" w:sz="4" w:space="0" w:color="auto"/>
              <w:bottom w:val="single" w:sz="4" w:space="0" w:color="auto"/>
            </w:tcBorders>
          </w:tcPr>
          <w:p w14:paraId="09ACADF6" w14:textId="77777777" w:rsidR="004A73E6" w:rsidRPr="00C12116" w:rsidRDefault="004A73E6" w:rsidP="003604F6">
            <w:pPr>
              <w:widowControl w:val="0"/>
              <w:spacing w:line="480" w:lineRule="auto"/>
              <w:rPr>
                <w:sz w:val="24"/>
                <w:szCs w:val="24"/>
                <w:lang w:val="en-US"/>
              </w:rPr>
            </w:pPr>
            <w:r w:rsidRPr="00C12116">
              <w:rPr>
                <w:sz w:val="24"/>
                <w:szCs w:val="24"/>
                <w:lang w:val="en-US"/>
              </w:rPr>
              <w:t xml:space="preserve">Robust </w:t>
            </w:r>
            <w:r w:rsidRPr="00C12116">
              <w:rPr>
                <w:sz w:val="24"/>
                <w:szCs w:val="24"/>
                <w:lang w:val="en-US"/>
              </w:rPr>
              <w:br/>
              <w:t>TLI</w:t>
            </w:r>
          </w:p>
          <w:p w14:paraId="409A7EAC" w14:textId="77777777" w:rsidR="004A73E6" w:rsidRPr="00C12116" w:rsidRDefault="004A73E6" w:rsidP="003604F6">
            <w:pPr>
              <w:spacing w:line="480" w:lineRule="auto"/>
              <w:rPr>
                <w:rFonts w:eastAsia="Arial Unicode MS"/>
                <w:sz w:val="24"/>
                <w:szCs w:val="24"/>
                <w:shd w:val="clear" w:color="auto" w:fill="FFFFFF"/>
              </w:rPr>
            </w:pPr>
          </w:p>
        </w:tc>
        <w:tc>
          <w:tcPr>
            <w:tcW w:w="379" w:type="pct"/>
            <w:tcBorders>
              <w:top w:val="single" w:sz="4" w:space="0" w:color="auto"/>
              <w:bottom w:val="single" w:sz="4" w:space="0" w:color="auto"/>
            </w:tcBorders>
          </w:tcPr>
          <w:p w14:paraId="01FA7131" w14:textId="77777777" w:rsidR="004A73E6" w:rsidRPr="00C12116" w:rsidRDefault="004A73E6" w:rsidP="003604F6">
            <w:pPr>
              <w:widowControl w:val="0"/>
              <w:spacing w:line="480" w:lineRule="auto"/>
              <w:rPr>
                <w:sz w:val="24"/>
                <w:szCs w:val="24"/>
                <w:lang w:val="en-US"/>
              </w:rPr>
            </w:pPr>
            <w:r w:rsidRPr="00C12116">
              <w:rPr>
                <w:sz w:val="24"/>
                <w:szCs w:val="24"/>
                <w:lang w:val="en-US"/>
              </w:rPr>
              <w:t>SRMR</w:t>
            </w:r>
          </w:p>
          <w:p w14:paraId="7FD51D12" w14:textId="77777777" w:rsidR="004A73E6" w:rsidRPr="00C12116" w:rsidRDefault="004A73E6" w:rsidP="003604F6">
            <w:pPr>
              <w:spacing w:line="480" w:lineRule="auto"/>
              <w:rPr>
                <w:rFonts w:eastAsia="Arial Unicode MS"/>
                <w:sz w:val="24"/>
                <w:szCs w:val="24"/>
                <w:shd w:val="clear" w:color="auto" w:fill="FFFFFF"/>
              </w:rPr>
            </w:pPr>
          </w:p>
        </w:tc>
        <w:tc>
          <w:tcPr>
            <w:tcW w:w="379" w:type="pct"/>
            <w:tcBorders>
              <w:top w:val="single" w:sz="4" w:space="0" w:color="auto"/>
              <w:bottom w:val="single" w:sz="4" w:space="0" w:color="auto"/>
            </w:tcBorders>
          </w:tcPr>
          <w:p w14:paraId="2DC92531" w14:textId="77777777" w:rsidR="004A73E6" w:rsidRPr="00C12116" w:rsidRDefault="004A73E6" w:rsidP="003604F6">
            <w:pPr>
              <w:spacing w:line="480" w:lineRule="auto"/>
              <w:rPr>
                <w:rFonts w:eastAsia="Arial Unicode MS"/>
                <w:sz w:val="24"/>
                <w:szCs w:val="24"/>
                <w:shd w:val="clear" w:color="auto" w:fill="FFFFFF"/>
              </w:rPr>
            </w:pPr>
            <w:r w:rsidRPr="00C12116">
              <w:rPr>
                <w:sz w:val="24"/>
                <w:szCs w:val="24"/>
                <w:lang w:val="en-US"/>
              </w:rPr>
              <w:t>WRMR</w:t>
            </w:r>
          </w:p>
        </w:tc>
        <w:tc>
          <w:tcPr>
            <w:tcW w:w="325" w:type="pct"/>
            <w:tcBorders>
              <w:top w:val="single" w:sz="4" w:space="0" w:color="auto"/>
              <w:bottom w:val="single" w:sz="4" w:space="0" w:color="auto"/>
            </w:tcBorders>
          </w:tcPr>
          <w:p w14:paraId="18A497B4" w14:textId="77777777" w:rsidR="004A73E6" w:rsidRPr="00C12116" w:rsidRDefault="004A73E6" w:rsidP="003604F6">
            <w:pPr>
              <w:widowControl w:val="0"/>
              <w:spacing w:line="480" w:lineRule="auto"/>
              <w:rPr>
                <w:sz w:val="24"/>
                <w:szCs w:val="24"/>
                <w:lang w:val="en-US"/>
              </w:rPr>
            </w:pPr>
            <w:r w:rsidRPr="00C12116">
              <w:rPr>
                <w:sz w:val="24"/>
                <w:szCs w:val="24"/>
                <w:lang w:val="en-US"/>
              </w:rPr>
              <w:t>BL89</w:t>
            </w:r>
          </w:p>
          <w:p w14:paraId="7D5C9221" w14:textId="77777777" w:rsidR="004A73E6" w:rsidRPr="00C12116" w:rsidRDefault="004A73E6" w:rsidP="003604F6">
            <w:pPr>
              <w:spacing w:line="480" w:lineRule="auto"/>
              <w:rPr>
                <w:rFonts w:eastAsia="Arial Unicode MS"/>
                <w:sz w:val="24"/>
                <w:szCs w:val="24"/>
                <w:shd w:val="clear" w:color="auto" w:fill="FFFFFF"/>
              </w:rPr>
            </w:pPr>
          </w:p>
        </w:tc>
        <w:tc>
          <w:tcPr>
            <w:tcW w:w="487" w:type="pct"/>
            <w:tcBorders>
              <w:top w:val="single" w:sz="4" w:space="0" w:color="auto"/>
              <w:bottom w:val="single" w:sz="4" w:space="0" w:color="auto"/>
            </w:tcBorders>
          </w:tcPr>
          <w:p w14:paraId="58B6E3E9" w14:textId="77777777" w:rsidR="004A73E6" w:rsidRPr="00C12116" w:rsidRDefault="004A73E6" w:rsidP="003604F6">
            <w:pPr>
              <w:spacing w:line="480" w:lineRule="auto"/>
              <w:rPr>
                <w:rFonts w:eastAsia="Arial Unicode MS"/>
                <w:sz w:val="24"/>
                <w:szCs w:val="24"/>
                <w:shd w:val="clear" w:color="auto" w:fill="FFFFFF"/>
              </w:rPr>
            </w:pPr>
            <w:r w:rsidRPr="00C12116">
              <w:rPr>
                <w:color w:val="000000"/>
                <w:sz w:val="24"/>
                <w:szCs w:val="24"/>
                <w:lang w:val="en-MY" w:eastAsia="zh-CN"/>
              </w:rPr>
              <w:t>AIC</w:t>
            </w:r>
          </w:p>
        </w:tc>
        <w:tc>
          <w:tcPr>
            <w:tcW w:w="510" w:type="pct"/>
            <w:tcBorders>
              <w:top w:val="single" w:sz="4" w:space="0" w:color="auto"/>
              <w:bottom w:val="single" w:sz="4" w:space="0" w:color="auto"/>
            </w:tcBorders>
          </w:tcPr>
          <w:p w14:paraId="7B525974" w14:textId="77777777" w:rsidR="004A73E6" w:rsidRPr="00C12116" w:rsidRDefault="004A73E6" w:rsidP="003604F6">
            <w:pPr>
              <w:spacing w:line="480" w:lineRule="auto"/>
              <w:rPr>
                <w:rFonts w:eastAsia="Arial Unicode MS"/>
                <w:sz w:val="24"/>
                <w:szCs w:val="24"/>
                <w:shd w:val="clear" w:color="auto" w:fill="FFFFFF"/>
              </w:rPr>
            </w:pPr>
            <w:r w:rsidRPr="00C12116">
              <w:rPr>
                <w:color w:val="000000"/>
                <w:sz w:val="24"/>
                <w:szCs w:val="24"/>
                <w:lang w:val="en-MY" w:eastAsia="zh-CN"/>
              </w:rPr>
              <w:t>BIC</w:t>
            </w:r>
          </w:p>
        </w:tc>
      </w:tr>
      <w:tr w:rsidR="004A73E6" w:rsidRPr="00C12116" w14:paraId="4B884623" w14:textId="77777777" w:rsidTr="00D316F8">
        <w:tc>
          <w:tcPr>
            <w:tcW w:w="649" w:type="pct"/>
            <w:tcBorders>
              <w:top w:val="nil"/>
              <w:bottom w:val="nil"/>
            </w:tcBorders>
          </w:tcPr>
          <w:p w14:paraId="5058995A" w14:textId="7F6AE066" w:rsidR="004A73E6" w:rsidRPr="00D316F8" w:rsidRDefault="004A73E6" w:rsidP="007B479A">
            <w:pPr>
              <w:spacing w:line="480" w:lineRule="auto"/>
              <w:rPr>
                <w:rFonts w:eastAsia="Arial Unicode MS"/>
                <w:shd w:val="clear" w:color="auto" w:fill="FFFFFF"/>
              </w:rPr>
            </w:pPr>
            <w:r w:rsidRPr="00D316F8">
              <w:rPr>
                <w:color w:val="000000"/>
                <w:lang w:val="en-MY" w:eastAsia="zh-CN"/>
              </w:rPr>
              <w:t>3-factor model</w:t>
            </w:r>
          </w:p>
        </w:tc>
        <w:tc>
          <w:tcPr>
            <w:tcW w:w="433" w:type="pct"/>
            <w:tcBorders>
              <w:top w:val="nil"/>
              <w:bottom w:val="nil"/>
            </w:tcBorders>
          </w:tcPr>
          <w:p w14:paraId="71FFE7C9" w14:textId="422FA86F" w:rsidR="004A73E6" w:rsidRPr="00D316F8" w:rsidRDefault="004A73E6">
            <w:pPr>
              <w:spacing w:line="480" w:lineRule="auto"/>
              <w:rPr>
                <w:color w:val="000000"/>
                <w:lang w:val="en-MY" w:eastAsia="zh-CN"/>
              </w:rPr>
            </w:pPr>
            <w:r w:rsidRPr="00D316F8">
              <w:rPr>
                <w:color w:val="000000"/>
                <w:lang w:val="en-MY" w:eastAsia="zh-CN"/>
              </w:rPr>
              <w:t>1</w:t>
            </w:r>
            <w:r w:rsidR="00A26D01" w:rsidRPr="00D316F8">
              <w:rPr>
                <w:color w:val="000000"/>
                <w:lang w:val="en-MY" w:eastAsia="zh-CN"/>
              </w:rPr>
              <w:t>60.254</w:t>
            </w:r>
          </w:p>
        </w:tc>
        <w:tc>
          <w:tcPr>
            <w:tcW w:w="325" w:type="pct"/>
            <w:tcBorders>
              <w:top w:val="nil"/>
              <w:bottom w:val="nil"/>
            </w:tcBorders>
          </w:tcPr>
          <w:p w14:paraId="016BFEE9" w14:textId="77777777" w:rsidR="004A73E6" w:rsidRPr="00D316F8" w:rsidRDefault="004A73E6">
            <w:pPr>
              <w:spacing w:line="480" w:lineRule="auto"/>
              <w:rPr>
                <w:color w:val="000000"/>
                <w:lang w:val="en-MY" w:eastAsia="zh-CN"/>
              </w:rPr>
            </w:pPr>
            <w:r w:rsidRPr="00D316F8">
              <w:rPr>
                <w:color w:val="000000"/>
                <w:lang w:val="en-MY" w:eastAsia="zh-CN"/>
              </w:rPr>
              <w:t>6.933</w:t>
            </w:r>
          </w:p>
        </w:tc>
        <w:tc>
          <w:tcPr>
            <w:tcW w:w="216" w:type="pct"/>
            <w:tcBorders>
              <w:top w:val="nil"/>
              <w:bottom w:val="nil"/>
            </w:tcBorders>
          </w:tcPr>
          <w:p w14:paraId="271EF1E9" w14:textId="77777777" w:rsidR="004A73E6" w:rsidRPr="00D316F8" w:rsidRDefault="004A73E6">
            <w:pPr>
              <w:spacing w:line="480" w:lineRule="auto"/>
              <w:rPr>
                <w:color w:val="000000"/>
                <w:lang w:val="en-MY" w:eastAsia="zh-CN"/>
              </w:rPr>
            </w:pPr>
            <w:r w:rsidRPr="00D316F8">
              <w:rPr>
                <w:color w:val="000000"/>
                <w:lang w:val="en-MY" w:eastAsia="zh-CN"/>
              </w:rPr>
              <w:t>23</w:t>
            </w:r>
          </w:p>
        </w:tc>
        <w:tc>
          <w:tcPr>
            <w:tcW w:w="541" w:type="pct"/>
            <w:tcBorders>
              <w:top w:val="nil"/>
              <w:bottom w:val="nil"/>
            </w:tcBorders>
          </w:tcPr>
          <w:p w14:paraId="69333323" w14:textId="50105E6E"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 xml:space="preserve">.098 </w:t>
            </w:r>
            <w:r>
              <w:rPr>
                <w:color w:val="000000"/>
                <w:lang w:val="en-MY" w:eastAsia="zh-CN"/>
              </w:rPr>
              <w:br/>
            </w:r>
            <w:r w:rsidR="004A73E6" w:rsidRPr="00D316F8">
              <w:rPr>
                <w:color w:val="000000"/>
                <w:lang w:val="en-MY" w:eastAsia="zh-CN"/>
              </w:rPr>
              <w:t>(</w:t>
            </w:r>
            <w:r w:rsidRPr="00D316F8">
              <w:rPr>
                <w:color w:val="000000"/>
                <w:lang w:val="en-MY" w:eastAsia="zh-CN"/>
              </w:rPr>
              <w:t>0</w:t>
            </w:r>
            <w:r w:rsidR="004A73E6" w:rsidRPr="00D316F8">
              <w:rPr>
                <w:color w:val="000000"/>
                <w:lang w:val="en-MY" w:eastAsia="zh-CN"/>
              </w:rPr>
              <w:t>.084-</w:t>
            </w:r>
            <w:r w:rsidRPr="00D316F8">
              <w:rPr>
                <w:color w:val="000000"/>
                <w:lang w:val="en-MY" w:eastAsia="zh-CN"/>
              </w:rPr>
              <w:t>0</w:t>
            </w:r>
            <w:r w:rsidR="004A73E6" w:rsidRPr="00D316F8">
              <w:rPr>
                <w:color w:val="000000"/>
                <w:lang w:val="en-MY" w:eastAsia="zh-CN"/>
              </w:rPr>
              <w:t>.11</w:t>
            </w:r>
            <w:r w:rsidR="00A26D01" w:rsidRPr="00D316F8">
              <w:rPr>
                <w:color w:val="000000"/>
                <w:lang w:val="en-MY" w:eastAsia="zh-CN"/>
              </w:rPr>
              <w:t>3</w:t>
            </w:r>
            <w:r w:rsidR="004A73E6" w:rsidRPr="00D316F8">
              <w:rPr>
                <w:color w:val="000000"/>
                <w:lang w:val="en-MY" w:eastAsia="zh-CN"/>
              </w:rPr>
              <w:t>)</w:t>
            </w:r>
          </w:p>
        </w:tc>
        <w:tc>
          <w:tcPr>
            <w:tcW w:w="379" w:type="pct"/>
            <w:tcBorders>
              <w:top w:val="nil"/>
              <w:bottom w:val="nil"/>
            </w:tcBorders>
          </w:tcPr>
          <w:p w14:paraId="6C3DB398" w14:textId="6FD02AE8"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.938</w:t>
            </w:r>
          </w:p>
        </w:tc>
        <w:tc>
          <w:tcPr>
            <w:tcW w:w="379" w:type="pct"/>
            <w:tcBorders>
              <w:top w:val="nil"/>
              <w:bottom w:val="nil"/>
            </w:tcBorders>
          </w:tcPr>
          <w:p w14:paraId="161FC9B4" w14:textId="200B0549"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.903</w:t>
            </w:r>
          </w:p>
        </w:tc>
        <w:tc>
          <w:tcPr>
            <w:tcW w:w="379" w:type="pct"/>
            <w:tcBorders>
              <w:top w:val="nil"/>
              <w:bottom w:val="nil"/>
            </w:tcBorders>
          </w:tcPr>
          <w:p w14:paraId="5C89BF0D" w14:textId="61D696DC"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.04</w:t>
            </w:r>
            <w:r w:rsidR="00702B6E" w:rsidRPr="00D316F8">
              <w:rPr>
                <w:color w:val="000000"/>
                <w:lang w:val="en-MY" w:eastAsia="zh-CN"/>
              </w:rPr>
              <w:t>0</w:t>
            </w:r>
          </w:p>
        </w:tc>
        <w:tc>
          <w:tcPr>
            <w:tcW w:w="379" w:type="pct"/>
            <w:tcBorders>
              <w:top w:val="nil"/>
              <w:bottom w:val="nil"/>
            </w:tcBorders>
          </w:tcPr>
          <w:p w14:paraId="2B734C8F" w14:textId="526D9EE5" w:rsidR="004A73E6" w:rsidRPr="00D316F8" w:rsidRDefault="004A73E6">
            <w:pPr>
              <w:spacing w:line="480" w:lineRule="auto"/>
              <w:rPr>
                <w:color w:val="000000"/>
                <w:lang w:val="en-MY" w:eastAsia="zh-CN"/>
              </w:rPr>
            </w:pPr>
            <w:r w:rsidRPr="00D316F8">
              <w:rPr>
                <w:color w:val="000000"/>
                <w:lang w:val="en-MY" w:eastAsia="zh-CN"/>
              </w:rPr>
              <w:t>1.8</w:t>
            </w:r>
            <w:r w:rsidR="0057270F" w:rsidRPr="00D316F8">
              <w:rPr>
                <w:color w:val="000000"/>
                <w:lang w:val="en-MY" w:eastAsia="zh-CN"/>
              </w:rPr>
              <w:t>42</w:t>
            </w:r>
          </w:p>
        </w:tc>
        <w:tc>
          <w:tcPr>
            <w:tcW w:w="325" w:type="pct"/>
            <w:tcBorders>
              <w:top w:val="nil"/>
              <w:bottom w:val="nil"/>
            </w:tcBorders>
          </w:tcPr>
          <w:p w14:paraId="014CE6F0" w14:textId="006671DC"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.934</w:t>
            </w:r>
          </w:p>
        </w:tc>
        <w:tc>
          <w:tcPr>
            <w:tcW w:w="487" w:type="pct"/>
            <w:tcBorders>
              <w:top w:val="nil"/>
              <w:bottom w:val="nil"/>
            </w:tcBorders>
          </w:tcPr>
          <w:p w14:paraId="30A6B2AD" w14:textId="5275A7A8" w:rsidR="004A73E6" w:rsidRPr="00D316F8" w:rsidRDefault="0057270F">
            <w:pPr>
              <w:spacing w:line="480" w:lineRule="auto"/>
              <w:rPr>
                <w:color w:val="000000"/>
                <w:lang w:val="en-MY" w:eastAsia="zh-CN"/>
              </w:rPr>
            </w:pPr>
            <w:r w:rsidRPr="00D316F8">
              <w:t>24952.131</w:t>
            </w:r>
          </w:p>
        </w:tc>
        <w:tc>
          <w:tcPr>
            <w:tcW w:w="510" w:type="pct"/>
            <w:tcBorders>
              <w:top w:val="nil"/>
              <w:bottom w:val="nil"/>
            </w:tcBorders>
          </w:tcPr>
          <w:p w14:paraId="06216E11" w14:textId="06ADCA87" w:rsidR="004A73E6" w:rsidRPr="00D316F8" w:rsidRDefault="0057270F">
            <w:pPr>
              <w:spacing w:line="480" w:lineRule="auto"/>
              <w:rPr>
                <w:color w:val="000000"/>
                <w:lang w:val="en-MY" w:eastAsia="zh-CN"/>
              </w:rPr>
            </w:pPr>
            <w:r w:rsidRPr="00D316F8">
              <w:t>25093.698</w:t>
            </w:r>
          </w:p>
        </w:tc>
      </w:tr>
      <w:tr w:rsidR="004A73E6" w:rsidRPr="00C12116" w14:paraId="56BA3E7C" w14:textId="77777777" w:rsidTr="00D316F8">
        <w:tc>
          <w:tcPr>
            <w:tcW w:w="649" w:type="pct"/>
            <w:tcBorders>
              <w:top w:val="nil"/>
              <w:bottom w:val="nil"/>
            </w:tcBorders>
          </w:tcPr>
          <w:p w14:paraId="45F77CE3" w14:textId="5C91B6B1" w:rsidR="004A73E6" w:rsidRPr="00D316F8" w:rsidRDefault="004A73E6" w:rsidP="007B479A">
            <w:pPr>
              <w:spacing w:line="480" w:lineRule="auto"/>
              <w:rPr>
                <w:rFonts w:eastAsia="Arial Unicode MS"/>
                <w:shd w:val="clear" w:color="auto" w:fill="FFFFFF"/>
              </w:rPr>
            </w:pPr>
            <w:r w:rsidRPr="00D316F8">
              <w:rPr>
                <w:color w:val="000000"/>
                <w:lang w:val="en-MY" w:eastAsia="zh-CN"/>
              </w:rPr>
              <w:t>4-factor model</w:t>
            </w:r>
          </w:p>
        </w:tc>
        <w:tc>
          <w:tcPr>
            <w:tcW w:w="433" w:type="pct"/>
            <w:tcBorders>
              <w:top w:val="nil"/>
              <w:bottom w:val="nil"/>
            </w:tcBorders>
          </w:tcPr>
          <w:p w14:paraId="427EF7F1" w14:textId="7667FFAA" w:rsidR="004A73E6" w:rsidRPr="00D316F8" w:rsidRDefault="004A73E6">
            <w:pPr>
              <w:spacing w:line="480" w:lineRule="auto"/>
              <w:rPr>
                <w:color w:val="000000"/>
                <w:lang w:val="en-MY" w:eastAsia="zh-CN"/>
              </w:rPr>
            </w:pPr>
            <w:r w:rsidRPr="00D316F8">
              <w:rPr>
                <w:color w:val="000000"/>
                <w:lang w:val="en-MY" w:eastAsia="zh-CN"/>
              </w:rPr>
              <w:t>89.</w:t>
            </w:r>
            <w:r w:rsidR="0057270F" w:rsidRPr="00D316F8">
              <w:rPr>
                <w:color w:val="000000"/>
                <w:lang w:val="en-MY" w:eastAsia="zh-CN"/>
              </w:rPr>
              <w:t>03</w:t>
            </w:r>
            <w:r w:rsidRPr="00D316F8">
              <w:rPr>
                <w:color w:val="000000"/>
                <w:lang w:val="en-MY" w:eastAsia="zh-CN"/>
              </w:rPr>
              <w:t>4</w:t>
            </w:r>
          </w:p>
        </w:tc>
        <w:tc>
          <w:tcPr>
            <w:tcW w:w="325" w:type="pct"/>
            <w:tcBorders>
              <w:top w:val="nil"/>
              <w:bottom w:val="nil"/>
            </w:tcBorders>
          </w:tcPr>
          <w:p w14:paraId="1BFAAC79" w14:textId="77777777" w:rsidR="004A73E6" w:rsidRPr="00D316F8" w:rsidRDefault="004A73E6">
            <w:pPr>
              <w:spacing w:line="480" w:lineRule="auto"/>
              <w:rPr>
                <w:color w:val="000000"/>
                <w:lang w:val="en-MY" w:eastAsia="zh-CN"/>
              </w:rPr>
            </w:pPr>
            <w:r w:rsidRPr="00D316F8">
              <w:rPr>
                <w:color w:val="000000"/>
                <w:lang w:val="en-MY" w:eastAsia="zh-CN"/>
              </w:rPr>
              <w:t>4.692</w:t>
            </w:r>
          </w:p>
        </w:tc>
        <w:tc>
          <w:tcPr>
            <w:tcW w:w="216" w:type="pct"/>
            <w:tcBorders>
              <w:top w:val="nil"/>
              <w:bottom w:val="nil"/>
            </w:tcBorders>
          </w:tcPr>
          <w:p w14:paraId="7AB76237" w14:textId="77777777" w:rsidR="004A73E6" w:rsidRPr="00D316F8" w:rsidRDefault="004A73E6">
            <w:pPr>
              <w:spacing w:line="480" w:lineRule="auto"/>
              <w:rPr>
                <w:color w:val="000000"/>
                <w:lang w:val="en-MY" w:eastAsia="zh-CN"/>
              </w:rPr>
            </w:pPr>
            <w:r w:rsidRPr="00D316F8">
              <w:rPr>
                <w:color w:val="000000"/>
                <w:lang w:val="en-MY" w:eastAsia="zh-CN"/>
              </w:rPr>
              <w:t>19</w:t>
            </w:r>
          </w:p>
        </w:tc>
        <w:tc>
          <w:tcPr>
            <w:tcW w:w="541" w:type="pct"/>
            <w:tcBorders>
              <w:top w:val="nil"/>
              <w:bottom w:val="nil"/>
            </w:tcBorders>
          </w:tcPr>
          <w:p w14:paraId="683FC406" w14:textId="1F037941"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 xml:space="preserve">.077 </w:t>
            </w:r>
            <w:r>
              <w:rPr>
                <w:color w:val="000000"/>
                <w:lang w:val="en-MY" w:eastAsia="zh-CN"/>
              </w:rPr>
              <w:br/>
            </w:r>
            <w:r w:rsidR="004A73E6" w:rsidRPr="00D316F8">
              <w:rPr>
                <w:color w:val="000000"/>
                <w:lang w:val="en-MY" w:eastAsia="zh-CN"/>
              </w:rPr>
              <w:t>(</w:t>
            </w:r>
            <w:r w:rsidRPr="00D316F8">
              <w:rPr>
                <w:color w:val="000000"/>
                <w:lang w:val="en-MY" w:eastAsia="zh-CN"/>
              </w:rPr>
              <w:t>0</w:t>
            </w:r>
            <w:r w:rsidR="004A73E6" w:rsidRPr="00D316F8">
              <w:rPr>
                <w:color w:val="000000"/>
                <w:lang w:val="en-MY" w:eastAsia="zh-CN"/>
              </w:rPr>
              <w:t>.061-</w:t>
            </w:r>
            <w:r w:rsidRPr="00D316F8">
              <w:rPr>
                <w:color w:val="000000"/>
                <w:lang w:val="en-MY" w:eastAsia="zh-CN"/>
              </w:rPr>
              <w:t>0</w:t>
            </w:r>
            <w:r w:rsidR="004A73E6" w:rsidRPr="00D316F8">
              <w:rPr>
                <w:color w:val="000000"/>
                <w:lang w:val="en-MY" w:eastAsia="zh-CN"/>
              </w:rPr>
              <w:t>.094)</w:t>
            </w:r>
          </w:p>
        </w:tc>
        <w:tc>
          <w:tcPr>
            <w:tcW w:w="379" w:type="pct"/>
            <w:tcBorders>
              <w:top w:val="nil"/>
              <w:bottom w:val="nil"/>
            </w:tcBorders>
          </w:tcPr>
          <w:p w14:paraId="715017AF" w14:textId="09D9920A"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.968</w:t>
            </w:r>
          </w:p>
        </w:tc>
        <w:tc>
          <w:tcPr>
            <w:tcW w:w="379" w:type="pct"/>
            <w:tcBorders>
              <w:top w:val="nil"/>
              <w:bottom w:val="nil"/>
            </w:tcBorders>
          </w:tcPr>
          <w:p w14:paraId="28A977EE" w14:textId="7AC435D6"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.9</w:t>
            </w:r>
            <w:r w:rsidR="0057270F" w:rsidRPr="00D316F8">
              <w:rPr>
                <w:color w:val="000000"/>
                <w:lang w:val="en-MY" w:eastAsia="zh-CN"/>
              </w:rPr>
              <w:t>40</w:t>
            </w:r>
          </w:p>
        </w:tc>
        <w:tc>
          <w:tcPr>
            <w:tcW w:w="379" w:type="pct"/>
            <w:tcBorders>
              <w:top w:val="nil"/>
              <w:bottom w:val="nil"/>
            </w:tcBorders>
          </w:tcPr>
          <w:p w14:paraId="086AB9E9" w14:textId="54525963"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.03</w:t>
            </w:r>
            <w:r w:rsidR="00702B6E" w:rsidRPr="00D316F8">
              <w:rPr>
                <w:color w:val="000000"/>
                <w:lang w:val="en-MY" w:eastAsia="zh-CN"/>
              </w:rPr>
              <w:t>0</w:t>
            </w:r>
          </w:p>
        </w:tc>
        <w:tc>
          <w:tcPr>
            <w:tcW w:w="379" w:type="pct"/>
            <w:tcBorders>
              <w:top w:val="nil"/>
              <w:bottom w:val="nil"/>
            </w:tcBorders>
          </w:tcPr>
          <w:p w14:paraId="016AC7F6" w14:textId="2AC760AD" w:rsidR="004A73E6" w:rsidRPr="00D316F8" w:rsidRDefault="004A73E6">
            <w:pPr>
              <w:spacing w:line="480" w:lineRule="auto"/>
              <w:rPr>
                <w:color w:val="000000"/>
                <w:lang w:val="en-MY" w:eastAsia="zh-CN"/>
              </w:rPr>
            </w:pPr>
            <w:r w:rsidRPr="00D316F8">
              <w:rPr>
                <w:color w:val="000000"/>
                <w:lang w:val="en-MY" w:eastAsia="zh-CN"/>
              </w:rPr>
              <w:t>1.37</w:t>
            </w:r>
            <w:r w:rsidR="0057270F" w:rsidRPr="00D316F8">
              <w:rPr>
                <w:color w:val="000000"/>
                <w:lang w:val="en-MY" w:eastAsia="zh-CN"/>
              </w:rPr>
              <w:t>7</w:t>
            </w:r>
          </w:p>
        </w:tc>
        <w:tc>
          <w:tcPr>
            <w:tcW w:w="325" w:type="pct"/>
            <w:tcBorders>
              <w:top w:val="nil"/>
              <w:bottom w:val="nil"/>
            </w:tcBorders>
          </w:tcPr>
          <w:p w14:paraId="7885D133" w14:textId="763C1489"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.966</w:t>
            </w:r>
          </w:p>
        </w:tc>
        <w:tc>
          <w:tcPr>
            <w:tcW w:w="487" w:type="pct"/>
            <w:tcBorders>
              <w:top w:val="nil"/>
              <w:bottom w:val="nil"/>
            </w:tcBorders>
          </w:tcPr>
          <w:p w14:paraId="44F9761C" w14:textId="3DD489D7" w:rsidR="004A73E6" w:rsidRPr="00D316F8" w:rsidRDefault="0057270F">
            <w:pPr>
              <w:spacing w:line="480" w:lineRule="auto"/>
              <w:rPr>
                <w:color w:val="000000"/>
                <w:lang w:val="en-MY" w:eastAsia="zh-CN"/>
              </w:rPr>
            </w:pPr>
            <w:r w:rsidRPr="00D316F8">
              <w:t>24879.270</w:t>
            </w:r>
          </w:p>
        </w:tc>
        <w:tc>
          <w:tcPr>
            <w:tcW w:w="510" w:type="pct"/>
            <w:tcBorders>
              <w:top w:val="nil"/>
              <w:bottom w:val="nil"/>
            </w:tcBorders>
          </w:tcPr>
          <w:p w14:paraId="3134EECF" w14:textId="1DB8D167" w:rsidR="004A73E6" w:rsidRPr="00D316F8" w:rsidRDefault="0057270F">
            <w:pPr>
              <w:spacing w:line="480" w:lineRule="auto"/>
              <w:rPr>
                <w:color w:val="000000"/>
                <w:lang w:val="en-MY" w:eastAsia="zh-CN"/>
              </w:rPr>
            </w:pPr>
            <w:r w:rsidRPr="00D316F8">
              <w:t>25039.104</w:t>
            </w:r>
          </w:p>
        </w:tc>
      </w:tr>
      <w:tr w:rsidR="004A73E6" w:rsidRPr="00C12116" w14:paraId="2DF91205" w14:textId="77777777" w:rsidTr="00D316F8">
        <w:tc>
          <w:tcPr>
            <w:tcW w:w="649" w:type="pct"/>
            <w:tcBorders>
              <w:top w:val="nil"/>
              <w:bottom w:val="single" w:sz="4" w:space="0" w:color="auto"/>
            </w:tcBorders>
          </w:tcPr>
          <w:p w14:paraId="41FBF93B" w14:textId="2176B84F" w:rsidR="004A73E6" w:rsidRPr="00D316F8" w:rsidRDefault="004A73E6" w:rsidP="007B479A">
            <w:pPr>
              <w:spacing w:line="480" w:lineRule="auto"/>
              <w:rPr>
                <w:rFonts w:eastAsia="Arial Unicode MS"/>
                <w:shd w:val="clear" w:color="auto" w:fill="FFFFFF"/>
              </w:rPr>
            </w:pPr>
            <w:r w:rsidRPr="00D316F8">
              <w:rPr>
                <w:color w:val="000000"/>
                <w:lang w:val="en-MY" w:eastAsia="zh-CN"/>
              </w:rPr>
              <w:t xml:space="preserve">Alt </w:t>
            </w:r>
            <w:r w:rsidR="00C12116" w:rsidRPr="00D316F8">
              <w:rPr>
                <w:color w:val="000000"/>
                <w:lang w:val="en-MY" w:eastAsia="zh-CN"/>
              </w:rPr>
              <w:t>4-</w:t>
            </w:r>
            <w:r w:rsidRPr="00D316F8">
              <w:rPr>
                <w:color w:val="000000"/>
                <w:lang w:val="en-MY" w:eastAsia="zh-CN"/>
              </w:rPr>
              <w:t xml:space="preserve">factor </w:t>
            </w:r>
            <w:r w:rsidR="00C12116" w:rsidRPr="00D316F8">
              <w:rPr>
                <w:color w:val="000000"/>
                <w:lang w:val="en-MY" w:eastAsia="zh-CN"/>
              </w:rPr>
              <w:t>model</w:t>
            </w:r>
          </w:p>
        </w:tc>
        <w:tc>
          <w:tcPr>
            <w:tcW w:w="433" w:type="pct"/>
            <w:tcBorders>
              <w:top w:val="nil"/>
              <w:bottom w:val="single" w:sz="4" w:space="0" w:color="auto"/>
            </w:tcBorders>
          </w:tcPr>
          <w:p w14:paraId="7A9532A2" w14:textId="313F1A73" w:rsidR="004A73E6" w:rsidRPr="00D316F8" w:rsidRDefault="004A73E6" w:rsidP="007B479A">
            <w:pPr>
              <w:spacing w:line="480" w:lineRule="auto"/>
              <w:rPr>
                <w:color w:val="000000"/>
                <w:lang w:val="en-MY" w:eastAsia="zh-CN"/>
              </w:rPr>
            </w:pPr>
            <w:r w:rsidRPr="00D316F8">
              <w:rPr>
                <w:color w:val="000000"/>
                <w:lang w:val="en-MY" w:eastAsia="zh-CN"/>
              </w:rPr>
              <w:t>9</w:t>
            </w:r>
            <w:r w:rsidR="0057270F" w:rsidRPr="00D316F8">
              <w:rPr>
                <w:color w:val="000000"/>
                <w:lang w:val="en-MY" w:eastAsia="zh-CN"/>
              </w:rPr>
              <w:t>8</w:t>
            </w:r>
            <w:r w:rsidRPr="00D316F8">
              <w:rPr>
                <w:color w:val="000000"/>
                <w:lang w:val="en-MY" w:eastAsia="zh-CN"/>
              </w:rPr>
              <w:t>.</w:t>
            </w:r>
            <w:r w:rsidR="0057270F" w:rsidRPr="00D316F8">
              <w:rPr>
                <w:color w:val="000000"/>
                <w:lang w:val="en-MY" w:eastAsia="zh-CN"/>
              </w:rPr>
              <w:t>1</w:t>
            </w:r>
            <w:r w:rsidRPr="00D316F8">
              <w:rPr>
                <w:color w:val="000000"/>
                <w:lang w:val="en-MY" w:eastAsia="zh-CN"/>
              </w:rPr>
              <w:t>84</w:t>
            </w:r>
          </w:p>
        </w:tc>
        <w:tc>
          <w:tcPr>
            <w:tcW w:w="325" w:type="pct"/>
            <w:tcBorders>
              <w:top w:val="nil"/>
              <w:bottom w:val="single" w:sz="4" w:space="0" w:color="auto"/>
            </w:tcBorders>
          </w:tcPr>
          <w:p w14:paraId="48C467C3" w14:textId="77777777" w:rsidR="004A73E6" w:rsidRPr="00D316F8" w:rsidRDefault="004A73E6">
            <w:pPr>
              <w:spacing w:line="480" w:lineRule="auto"/>
              <w:rPr>
                <w:color w:val="000000"/>
                <w:lang w:val="en-MY" w:eastAsia="zh-CN"/>
              </w:rPr>
            </w:pPr>
            <w:r w:rsidRPr="00D316F8">
              <w:rPr>
                <w:color w:val="000000"/>
                <w:lang w:val="en-MY" w:eastAsia="zh-CN"/>
              </w:rPr>
              <w:t>4.899</w:t>
            </w:r>
          </w:p>
        </w:tc>
        <w:tc>
          <w:tcPr>
            <w:tcW w:w="216" w:type="pct"/>
            <w:tcBorders>
              <w:top w:val="nil"/>
              <w:bottom w:val="single" w:sz="4" w:space="0" w:color="auto"/>
            </w:tcBorders>
          </w:tcPr>
          <w:p w14:paraId="31CD87DF" w14:textId="77777777" w:rsidR="004A73E6" w:rsidRPr="00D316F8" w:rsidRDefault="004A73E6">
            <w:pPr>
              <w:spacing w:line="480" w:lineRule="auto"/>
              <w:rPr>
                <w:color w:val="000000"/>
                <w:lang w:val="en-MY" w:eastAsia="zh-CN"/>
              </w:rPr>
            </w:pPr>
            <w:r w:rsidRPr="00D316F8">
              <w:rPr>
                <w:color w:val="000000"/>
                <w:lang w:val="en-MY" w:eastAsia="zh-CN"/>
              </w:rPr>
              <w:t>20</w:t>
            </w:r>
          </w:p>
        </w:tc>
        <w:tc>
          <w:tcPr>
            <w:tcW w:w="541" w:type="pct"/>
            <w:tcBorders>
              <w:top w:val="nil"/>
              <w:bottom w:val="single" w:sz="4" w:space="0" w:color="auto"/>
            </w:tcBorders>
          </w:tcPr>
          <w:p w14:paraId="34E23C4C" w14:textId="634F7D8A"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 xml:space="preserve">.079 </w:t>
            </w:r>
            <w:r>
              <w:rPr>
                <w:color w:val="000000"/>
                <w:lang w:val="en-MY" w:eastAsia="zh-CN"/>
              </w:rPr>
              <w:br/>
            </w:r>
            <w:r w:rsidR="004A73E6" w:rsidRPr="00D316F8">
              <w:rPr>
                <w:color w:val="000000"/>
                <w:lang w:val="en-MY" w:eastAsia="zh-CN"/>
              </w:rPr>
              <w:t>(</w:t>
            </w:r>
            <w:r w:rsidRPr="00D316F8">
              <w:rPr>
                <w:color w:val="000000"/>
                <w:lang w:val="en-MY" w:eastAsia="zh-CN"/>
              </w:rPr>
              <w:t>0</w:t>
            </w:r>
            <w:r w:rsidR="004A73E6" w:rsidRPr="00D316F8">
              <w:rPr>
                <w:color w:val="000000"/>
                <w:lang w:val="en-MY" w:eastAsia="zh-CN"/>
              </w:rPr>
              <w:t>.064-</w:t>
            </w:r>
            <w:r w:rsidRPr="00D316F8">
              <w:rPr>
                <w:color w:val="000000"/>
                <w:lang w:val="en-MY" w:eastAsia="zh-CN"/>
              </w:rPr>
              <w:t>0</w:t>
            </w:r>
            <w:r w:rsidR="004A73E6" w:rsidRPr="00D316F8">
              <w:rPr>
                <w:color w:val="000000"/>
                <w:lang w:val="en-MY" w:eastAsia="zh-CN"/>
              </w:rPr>
              <w:t>.095)</w:t>
            </w:r>
          </w:p>
        </w:tc>
        <w:tc>
          <w:tcPr>
            <w:tcW w:w="379" w:type="pct"/>
            <w:tcBorders>
              <w:top w:val="nil"/>
              <w:bottom w:val="single" w:sz="4" w:space="0" w:color="auto"/>
            </w:tcBorders>
          </w:tcPr>
          <w:p w14:paraId="662FF19F" w14:textId="0DF6A83E"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.965</w:t>
            </w:r>
          </w:p>
        </w:tc>
        <w:tc>
          <w:tcPr>
            <w:tcW w:w="379" w:type="pct"/>
            <w:tcBorders>
              <w:top w:val="nil"/>
              <w:bottom w:val="single" w:sz="4" w:space="0" w:color="auto"/>
            </w:tcBorders>
          </w:tcPr>
          <w:p w14:paraId="58553B93" w14:textId="4AA0FBF5"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.936</w:t>
            </w:r>
          </w:p>
        </w:tc>
        <w:tc>
          <w:tcPr>
            <w:tcW w:w="379" w:type="pct"/>
            <w:tcBorders>
              <w:top w:val="nil"/>
              <w:bottom w:val="single" w:sz="4" w:space="0" w:color="auto"/>
            </w:tcBorders>
          </w:tcPr>
          <w:p w14:paraId="58DB55EF" w14:textId="1CEED101"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.031</w:t>
            </w:r>
          </w:p>
        </w:tc>
        <w:tc>
          <w:tcPr>
            <w:tcW w:w="379" w:type="pct"/>
            <w:tcBorders>
              <w:top w:val="nil"/>
              <w:bottom w:val="single" w:sz="4" w:space="0" w:color="auto"/>
            </w:tcBorders>
          </w:tcPr>
          <w:p w14:paraId="717CA25D" w14:textId="77777777" w:rsidR="004A73E6" w:rsidRPr="00D316F8" w:rsidRDefault="004A73E6">
            <w:pPr>
              <w:spacing w:line="480" w:lineRule="auto"/>
              <w:rPr>
                <w:color w:val="000000"/>
                <w:lang w:val="en-MY" w:eastAsia="zh-CN"/>
              </w:rPr>
            </w:pPr>
            <w:r w:rsidRPr="00D316F8">
              <w:rPr>
                <w:color w:val="000000"/>
                <w:lang w:val="en-MY" w:eastAsia="zh-CN"/>
              </w:rPr>
              <w:t>1.44</w:t>
            </w:r>
          </w:p>
        </w:tc>
        <w:tc>
          <w:tcPr>
            <w:tcW w:w="325" w:type="pct"/>
            <w:tcBorders>
              <w:top w:val="nil"/>
              <w:bottom w:val="single" w:sz="4" w:space="0" w:color="auto"/>
            </w:tcBorders>
          </w:tcPr>
          <w:p w14:paraId="556DC33E" w14:textId="10D4D587" w:rsidR="004A73E6" w:rsidRPr="00D316F8" w:rsidRDefault="00D316F8">
            <w:pPr>
              <w:spacing w:line="480" w:lineRule="auto"/>
              <w:rPr>
                <w:color w:val="000000"/>
                <w:lang w:val="en-MY" w:eastAsia="zh-CN"/>
              </w:rPr>
            </w:pPr>
            <w:r w:rsidRPr="00D316F8">
              <w:rPr>
                <w:color w:val="000000"/>
                <w:lang w:val="en-MY" w:eastAsia="zh-CN"/>
              </w:rPr>
              <w:t>0</w:t>
            </w:r>
            <w:r w:rsidR="004A73E6" w:rsidRPr="00D316F8">
              <w:rPr>
                <w:color w:val="000000"/>
                <w:lang w:val="en-MY" w:eastAsia="zh-CN"/>
              </w:rPr>
              <w:t>.962</w:t>
            </w:r>
          </w:p>
        </w:tc>
        <w:tc>
          <w:tcPr>
            <w:tcW w:w="487" w:type="pct"/>
            <w:tcBorders>
              <w:top w:val="nil"/>
              <w:bottom w:val="single" w:sz="4" w:space="0" w:color="auto"/>
            </w:tcBorders>
          </w:tcPr>
          <w:p w14:paraId="64190D2E" w14:textId="5CE680F2" w:rsidR="004A73E6" w:rsidRPr="00D316F8" w:rsidRDefault="0057270F">
            <w:pPr>
              <w:spacing w:line="480" w:lineRule="auto"/>
              <w:rPr>
                <w:color w:val="000000"/>
                <w:lang w:val="en-MY" w:eastAsia="zh-CN"/>
              </w:rPr>
            </w:pPr>
            <w:r w:rsidRPr="00D316F8">
              <w:t>24887.117</w:t>
            </w:r>
          </w:p>
        </w:tc>
        <w:tc>
          <w:tcPr>
            <w:tcW w:w="510" w:type="pct"/>
            <w:tcBorders>
              <w:top w:val="nil"/>
              <w:bottom w:val="single" w:sz="4" w:space="0" w:color="auto"/>
            </w:tcBorders>
          </w:tcPr>
          <w:p w14:paraId="301B9A3E" w14:textId="11EDB595" w:rsidR="004A73E6" w:rsidRPr="00D316F8" w:rsidRDefault="0057270F">
            <w:pPr>
              <w:spacing w:line="480" w:lineRule="auto"/>
              <w:rPr>
                <w:color w:val="000000"/>
                <w:lang w:val="en-MY" w:eastAsia="zh-CN"/>
              </w:rPr>
            </w:pPr>
            <w:r w:rsidRPr="00D316F8">
              <w:t>25042.384</w:t>
            </w:r>
          </w:p>
        </w:tc>
      </w:tr>
    </w:tbl>
    <w:p w14:paraId="633A7962" w14:textId="52CAF59C" w:rsidR="00091F46" w:rsidRDefault="00F50E47" w:rsidP="003604F6">
      <w:pPr>
        <w:spacing w:after="160" w:line="480" w:lineRule="auto"/>
        <w:rPr>
          <w:rFonts w:asciiTheme="majorBidi" w:eastAsia="Arial Unicode MS" w:hAnsiTheme="majorBidi" w:cstheme="majorBidi"/>
          <w:sz w:val="20"/>
          <w:szCs w:val="20"/>
        </w:rPr>
      </w:pPr>
      <w:r w:rsidRPr="00F50E47">
        <w:rPr>
          <w:rFonts w:asciiTheme="majorBidi" w:hAnsiTheme="majorBidi" w:cstheme="majorBidi"/>
          <w:i/>
          <w:sz w:val="20"/>
          <w:szCs w:val="20"/>
        </w:rPr>
        <w:t>Note</w:t>
      </w:r>
      <w:r w:rsidRPr="00F50E47">
        <w:rPr>
          <w:rFonts w:asciiTheme="majorBidi" w:hAnsiTheme="majorBidi" w:cstheme="majorBidi"/>
          <w:sz w:val="20"/>
          <w:szCs w:val="20"/>
        </w:rPr>
        <w:t>: 3-factor model (Raine, 1994); 4-factor model (</w:t>
      </w:r>
      <w:proofErr w:type="spellStart"/>
      <w:r w:rsidRPr="00F50E47">
        <w:rPr>
          <w:rFonts w:asciiTheme="majorBidi" w:hAnsiTheme="majorBidi" w:cstheme="majorBidi"/>
          <w:sz w:val="20"/>
          <w:szCs w:val="20"/>
        </w:rPr>
        <w:t>Stefanis</w:t>
      </w:r>
      <w:proofErr w:type="spellEnd"/>
      <w:r w:rsidRPr="00F50E47">
        <w:rPr>
          <w:rFonts w:asciiTheme="majorBidi" w:hAnsiTheme="majorBidi" w:cstheme="majorBidi"/>
          <w:sz w:val="20"/>
          <w:szCs w:val="20"/>
        </w:rPr>
        <w:t xml:space="preserve"> et al., 2004); </w:t>
      </w:r>
      <w:r w:rsidR="00091F46">
        <w:rPr>
          <w:rFonts w:asciiTheme="majorBidi" w:hAnsiTheme="majorBidi" w:cstheme="majorBidi"/>
          <w:sz w:val="20"/>
          <w:szCs w:val="20"/>
        </w:rPr>
        <w:t>A</w:t>
      </w:r>
      <w:r w:rsidRPr="00F50E47">
        <w:rPr>
          <w:rFonts w:asciiTheme="majorBidi" w:hAnsiTheme="majorBidi" w:cstheme="majorBidi"/>
          <w:sz w:val="20"/>
          <w:szCs w:val="20"/>
        </w:rPr>
        <w:t xml:space="preserve">lt 4-factor </w:t>
      </w:r>
      <w:r w:rsidR="00C12116">
        <w:rPr>
          <w:rFonts w:asciiTheme="majorBidi" w:hAnsiTheme="majorBidi" w:cstheme="majorBidi"/>
          <w:sz w:val="20"/>
          <w:szCs w:val="20"/>
        </w:rPr>
        <w:t>Model</w:t>
      </w:r>
      <w:r w:rsidRPr="00F50E47">
        <w:rPr>
          <w:rFonts w:asciiTheme="majorBidi" w:hAnsiTheme="majorBidi" w:cstheme="majorBidi"/>
          <w:sz w:val="20"/>
          <w:szCs w:val="20"/>
        </w:rPr>
        <w:t xml:space="preserve"> (Compton et al., 2009). SBχ2 = </w:t>
      </w:r>
      <w:proofErr w:type="spellStart"/>
      <w:r w:rsidRPr="00F50E47">
        <w:rPr>
          <w:rFonts w:asciiTheme="majorBidi" w:hAnsiTheme="majorBidi" w:cstheme="majorBidi"/>
          <w:sz w:val="20"/>
          <w:szCs w:val="20"/>
        </w:rPr>
        <w:t>Satorra-Bentler</w:t>
      </w:r>
      <w:proofErr w:type="spellEnd"/>
      <w:r w:rsidRPr="00F50E47">
        <w:rPr>
          <w:rFonts w:asciiTheme="majorBidi" w:hAnsiTheme="majorBidi" w:cstheme="majorBidi"/>
          <w:sz w:val="20"/>
          <w:szCs w:val="20"/>
        </w:rPr>
        <w:t xml:space="preserve"> corrected chi-square, SBχ2</w:t>
      </w:r>
      <w:r w:rsidRPr="00F50E47">
        <w:rPr>
          <w:rFonts w:asciiTheme="majorBidi" w:hAnsiTheme="majorBidi" w:cstheme="majorBidi"/>
          <w:sz w:val="20"/>
          <w:szCs w:val="20"/>
          <w:vertAlign w:val="subscript"/>
        </w:rPr>
        <w:t xml:space="preserve"> M</w:t>
      </w:r>
      <w:r w:rsidRPr="00F50E47">
        <w:rPr>
          <w:rFonts w:asciiTheme="majorBidi" w:hAnsiTheme="majorBidi" w:cstheme="majorBidi"/>
          <w:sz w:val="20"/>
          <w:szCs w:val="20"/>
        </w:rPr>
        <w:t xml:space="preserve"> =</w:t>
      </w:r>
      <w:proofErr w:type="spellStart"/>
      <w:r w:rsidRPr="00F50E47">
        <w:rPr>
          <w:rFonts w:asciiTheme="majorBidi" w:hAnsiTheme="majorBidi" w:cstheme="majorBidi"/>
          <w:sz w:val="20"/>
          <w:szCs w:val="20"/>
        </w:rPr>
        <w:t>Satorra-Bentler</w:t>
      </w:r>
      <w:proofErr w:type="spellEnd"/>
      <w:r w:rsidRPr="00F50E47">
        <w:rPr>
          <w:rFonts w:asciiTheme="majorBidi" w:hAnsiTheme="majorBidi" w:cstheme="majorBidi"/>
          <w:sz w:val="20"/>
          <w:szCs w:val="20"/>
        </w:rPr>
        <w:t xml:space="preserve"> corrected chi-square / df ratio, df = degrees of freedom, robust RMSEA = </w:t>
      </w:r>
      <w:proofErr w:type="spellStart"/>
      <w:r w:rsidRPr="00F50E47">
        <w:rPr>
          <w:rFonts w:asciiTheme="majorBidi" w:hAnsiTheme="majorBidi" w:cstheme="majorBidi"/>
          <w:sz w:val="20"/>
          <w:szCs w:val="20"/>
        </w:rPr>
        <w:t>Satorra-Bentler</w:t>
      </w:r>
      <w:proofErr w:type="spellEnd"/>
      <w:r w:rsidRPr="00F50E47">
        <w:rPr>
          <w:rFonts w:asciiTheme="majorBidi" w:hAnsiTheme="majorBidi" w:cstheme="majorBidi"/>
          <w:sz w:val="20"/>
          <w:szCs w:val="20"/>
        </w:rPr>
        <w:t xml:space="preserve"> corrected </w:t>
      </w:r>
      <w:proofErr w:type="spellStart"/>
      <w:r w:rsidRPr="00F50E47">
        <w:rPr>
          <w:rFonts w:asciiTheme="majorBidi" w:eastAsia="Arial Unicode MS" w:hAnsiTheme="majorBidi" w:cstheme="majorBidi"/>
          <w:sz w:val="20"/>
          <w:szCs w:val="20"/>
        </w:rPr>
        <w:t>Steiger</w:t>
      </w:r>
      <w:proofErr w:type="spellEnd"/>
      <w:r w:rsidRPr="00F50E47">
        <w:rPr>
          <w:rFonts w:asciiTheme="majorBidi" w:eastAsia="Arial Unicode MS" w:hAnsiTheme="majorBidi" w:cstheme="majorBidi"/>
          <w:sz w:val="20"/>
          <w:szCs w:val="20"/>
        </w:rPr>
        <w:t xml:space="preserve">-Lind root mean square error of approximation, robust CFI = </w:t>
      </w:r>
      <w:proofErr w:type="spellStart"/>
      <w:r w:rsidRPr="00F50E47">
        <w:rPr>
          <w:rFonts w:asciiTheme="majorBidi" w:hAnsiTheme="majorBidi" w:cstheme="majorBidi"/>
          <w:sz w:val="20"/>
          <w:szCs w:val="20"/>
        </w:rPr>
        <w:t>Satorra-Bentler</w:t>
      </w:r>
      <w:proofErr w:type="spellEnd"/>
      <w:r w:rsidRPr="00F50E47">
        <w:rPr>
          <w:rFonts w:asciiTheme="majorBidi" w:hAnsiTheme="majorBidi" w:cstheme="majorBidi"/>
          <w:sz w:val="20"/>
          <w:szCs w:val="20"/>
        </w:rPr>
        <w:t xml:space="preserve"> corrected </w:t>
      </w:r>
      <w:r w:rsidRPr="00F50E47">
        <w:rPr>
          <w:rFonts w:asciiTheme="majorBidi" w:eastAsia="Arial Unicode MS" w:hAnsiTheme="majorBidi" w:cstheme="majorBidi"/>
          <w:sz w:val="20"/>
          <w:szCs w:val="20"/>
        </w:rPr>
        <w:t xml:space="preserve">comparative fit index, robust TLI = </w:t>
      </w:r>
      <w:proofErr w:type="spellStart"/>
      <w:r w:rsidRPr="00F50E47">
        <w:rPr>
          <w:rFonts w:asciiTheme="majorBidi" w:hAnsiTheme="majorBidi" w:cstheme="majorBidi"/>
          <w:sz w:val="20"/>
          <w:szCs w:val="20"/>
        </w:rPr>
        <w:t>Satorra-Bentler</w:t>
      </w:r>
      <w:proofErr w:type="spellEnd"/>
      <w:r w:rsidRPr="00F50E47">
        <w:rPr>
          <w:rFonts w:asciiTheme="majorBidi" w:hAnsiTheme="majorBidi" w:cstheme="majorBidi"/>
          <w:sz w:val="20"/>
          <w:szCs w:val="20"/>
        </w:rPr>
        <w:t xml:space="preserve"> corrected </w:t>
      </w:r>
      <w:r w:rsidRPr="00F50E47">
        <w:rPr>
          <w:rFonts w:asciiTheme="majorBidi" w:eastAsia="Arial Unicode MS" w:hAnsiTheme="majorBidi" w:cstheme="majorBidi"/>
          <w:sz w:val="20"/>
          <w:szCs w:val="20"/>
        </w:rPr>
        <w:t xml:space="preserve">Tucker-Lewis index, SRMR = standardised root mean square residual, WRMR = weighted root mean square residual, BL89 = </w:t>
      </w:r>
      <w:proofErr w:type="spellStart"/>
      <w:r w:rsidRPr="00F50E47">
        <w:rPr>
          <w:rFonts w:asciiTheme="majorBidi" w:eastAsia="Arial Unicode MS" w:hAnsiTheme="majorBidi" w:cstheme="majorBidi"/>
          <w:sz w:val="20"/>
          <w:szCs w:val="20"/>
        </w:rPr>
        <w:t>Bollen’s</w:t>
      </w:r>
      <w:proofErr w:type="spellEnd"/>
      <w:r w:rsidRPr="00F50E47">
        <w:rPr>
          <w:rFonts w:asciiTheme="majorBidi" w:eastAsia="Arial Unicode MS" w:hAnsiTheme="majorBidi" w:cstheme="majorBidi"/>
          <w:sz w:val="20"/>
          <w:szCs w:val="20"/>
        </w:rPr>
        <w:t xml:space="preserve"> incremental fit index , AIC = Akaike information criteria, BIC = Bayesian information criteria</w:t>
      </w:r>
    </w:p>
    <w:p w14:paraId="554F8239" w14:textId="77777777" w:rsidR="00091F46" w:rsidRDefault="00091F46" w:rsidP="00F50E47">
      <w:pPr>
        <w:spacing w:after="160" w:line="259" w:lineRule="auto"/>
        <w:rPr>
          <w:rFonts w:asciiTheme="majorBidi" w:eastAsia="Arial Unicode MS" w:hAnsiTheme="majorBidi" w:cstheme="majorBidi"/>
          <w:sz w:val="20"/>
          <w:szCs w:val="20"/>
        </w:rPr>
      </w:pPr>
    </w:p>
    <w:p w14:paraId="6643B027" w14:textId="77777777" w:rsidR="00091F46" w:rsidRDefault="00091F46" w:rsidP="00F50E47">
      <w:pPr>
        <w:spacing w:after="160" w:line="259" w:lineRule="auto"/>
        <w:rPr>
          <w:rFonts w:asciiTheme="majorBidi" w:eastAsia="Arial Unicode MS" w:hAnsiTheme="majorBidi" w:cstheme="majorBidi"/>
          <w:sz w:val="20"/>
          <w:szCs w:val="20"/>
        </w:rPr>
      </w:pPr>
    </w:p>
    <w:p w14:paraId="4DC9B424" w14:textId="18750C45" w:rsidR="007B479A" w:rsidRDefault="007B479A">
      <w:pPr>
        <w:rPr>
          <w:i/>
          <w:color w:val="010205"/>
        </w:rPr>
      </w:pPr>
      <w:r>
        <w:rPr>
          <w:i/>
          <w:color w:val="010205"/>
        </w:rPr>
        <w:br w:type="page"/>
      </w:r>
    </w:p>
    <w:p w14:paraId="34AE7485" w14:textId="2BD65067" w:rsidR="00091F46" w:rsidRPr="008060EF" w:rsidRDefault="00091F46" w:rsidP="005B4C73">
      <w:pPr>
        <w:autoSpaceDE w:val="0"/>
        <w:autoSpaceDN w:val="0"/>
        <w:adjustRightInd w:val="0"/>
        <w:spacing w:line="480" w:lineRule="auto"/>
        <w:ind w:right="60"/>
        <w:rPr>
          <w:color w:val="010205"/>
          <w:sz w:val="20"/>
          <w:szCs w:val="20"/>
        </w:rPr>
      </w:pPr>
      <w:r w:rsidRPr="005B4C73">
        <w:rPr>
          <w:color w:val="010205"/>
        </w:rPr>
        <w:lastRenderedPageBreak/>
        <w:t>Table 3</w:t>
      </w:r>
      <w:r w:rsidR="007B479A">
        <w:rPr>
          <w:i/>
          <w:color w:val="010205"/>
        </w:rPr>
        <w:t>.</w:t>
      </w:r>
      <w:r w:rsidRPr="001C7202">
        <w:rPr>
          <w:i/>
          <w:color w:val="010205"/>
        </w:rPr>
        <w:t xml:space="preserve"> Measurement Invariance Across Sex</w:t>
      </w:r>
      <w:r w:rsidRPr="001C7202">
        <w:rPr>
          <w:i/>
        </w:rPr>
        <w:t xml:space="preserve"> for the</w:t>
      </w:r>
      <w:r w:rsidR="007B479A">
        <w:rPr>
          <w:i/>
        </w:rPr>
        <w:t xml:space="preserve"> Best-Fitting</w:t>
      </w:r>
      <w:r w:rsidRPr="001C7202">
        <w:rPr>
          <w:i/>
        </w:rPr>
        <w:t xml:space="preserve"> 4-</w:t>
      </w:r>
      <w:r w:rsidR="007B479A">
        <w:rPr>
          <w:i/>
        </w:rPr>
        <w:t>F</w:t>
      </w:r>
      <w:r w:rsidRPr="001C7202">
        <w:rPr>
          <w:i/>
        </w:rPr>
        <w:t>actor model.</w:t>
      </w:r>
    </w:p>
    <w:tbl>
      <w:tblPr>
        <w:tblStyle w:val="TableGrid"/>
        <w:tblW w:w="0" w:type="auto"/>
        <w:tblLayout w:type="fixed"/>
        <w:tblLook w:val="04A0" w:firstRow="1" w:lastRow="0" w:firstColumn="1" w:lastColumn="0" w:noHBand="0" w:noVBand="1"/>
      </w:tblPr>
      <w:tblGrid>
        <w:gridCol w:w="1418"/>
        <w:gridCol w:w="1134"/>
        <w:gridCol w:w="567"/>
        <w:gridCol w:w="850"/>
        <w:gridCol w:w="1134"/>
        <w:gridCol w:w="993"/>
        <w:gridCol w:w="2409"/>
        <w:gridCol w:w="993"/>
        <w:gridCol w:w="850"/>
        <w:gridCol w:w="1134"/>
        <w:gridCol w:w="709"/>
        <w:gridCol w:w="1013"/>
        <w:gridCol w:w="756"/>
      </w:tblGrid>
      <w:tr w:rsidR="00D316F8" w:rsidRPr="008060EF" w14:paraId="3CB5A526" w14:textId="77777777" w:rsidTr="00D316F8">
        <w:tc>
          <w:tcPr>
            <w:tcW w:w="1418" w:type="dxa"/>
            <w:tcBorders>
              <w:top w:val="single" w:sz="4" w:space="0" w:color="auto"/>
              <w:left w:val="nil"/>
              <w:bottom w:val="single" w:sz="4" w:space="0" w:color="auto"/>
              <w:right w:val="nil"/>
            </w:tcBorders>
            <w:shd w:val="clear" w:color="auto" w:fill="auto"/>
          </w:tcPr>
          <w:p w14:paraId="23B8D681" w14:textId="77777777" w:rsidR="00091F46" w:rsidRPr="00D316F8" w:rsidRDefault="00091F46" w:rsidP="005B4C73">
            <w:pPr>
              <w:spacing w:line="480" w:lineRule="auto"/>
            </w:pPr>
            <w:r w:rsidRPr="00D316F8">
              <w:t>Model</w:t>
            </w:r>
          </w:p>
        </w:tc>
        <w:tc>
          <w:tcPr>
            <w:tcW w:w="1134" w:type="dxa"/>
            <w:tcBorders>
              <w:top w:val="single" w:sz="4" w:space="0" w:color="auto"/>
              <w:left w:val="nil"/>
              <w:bottom w:val="single" w:sz="4" w:space="0" w:color="auto"/>
              <w:right w:val="nil"/>
            </w:tcBorders>
            <w:shd w:val="clear" w:color="auto" w:fill="auto"/>
          </w:tcPr>
          <w:p w14:paraId="0509D195" w14:textId="77777777" w:rsidR="00091F46" w:rsidRPr="00D316F8" w:rsidRDefault="00091F46" w:rsidP="005B4C73">
            <w:pPr>
              <w:spacing w:line="480" w:lineRule="auto"/>
            </w:pPr>
            <w:r w:rsidRPr="00D316F8">
              <w:t>χ</w:t>
            </w:r>
            <w:r w:rsidRPr="00D316F8">
              <w:rPr>
                <w:vertAlign w:val="superscript"/>
              </w:rPr>
              <w:t>2</w:t>
            </w:r>
          </w:p>
        </w:tc>
        <w:tc>
          <w:tcPr>
            <w:tcW w:w="567" w:type="dxa"/>
            <w:tcBorders>
              <w:top w:val="single" w:sz="4" w:space="0" w:color="auto"/>
              <w:left w:val="nil"/>
              <w:bottom w:val="single" w:sz="4" w:space="0" w:color="auto"/>
              <w:right w:val="nil"/>
            </w:tcBorders>
            <w:shd w:val="clear" w:color="auto" w:fill="auto"/>
          </w:tcPr>
          <w:p w14:paraId="64B9F5E0" w14:textId="77777777" w:rsidR="00091F46" w:rsidRPr="00D316F8" w:rsidRDefault="00091F46" w:rsidP="005B4C73">
            <w:pPr>
              <w:spacing w:line="480" w:lineRule="auto"/>
            </w:pPr>
            <w:r w:rsidRPr="00D316F8">
              <w:t>df</w:t>
            </w:r>
          </w:p>
        </w:tc>
        <w:tc>
          <w:tcPr>
            <w:tcW w:w="850" w:type="dxa"/>
            <w:tcBorders>
              <w:top w:val="single" w:sz="4" w:space="0" w:color="auto"/>
              <w:left w:val="nil"/>
              <w:bottom w:val="single" w:sz="4" w:space="0" w:color="auto"/>
              <w:right w:val="nil"/>
            </w:tcBorders>
            <w:shd w:val="clear" w:color="auto" w:fill="auto"/>
          </w:tcPr>
          <w:p w14:paraId="4D1A8DC8" w14:textId="77777777" w:rsidR="00091F46" w:rsidRPr="00D316F8" w:rsidRDefault="00091F46" w:rsidP="005B4C73">
            <w:pPr>
              <w:spacing w:line="480" w:lineRule="auto"/>
            </w:pPr>
            <w:r w:rsidRPr="00D316F8">
              <w:t>CFI</w:t>
            </w:r>
          </w:p>
        </w:tc>
        <w:tc>
          <w:tcPr>
            <w:tcW w:w="1134" w:type="dxa"/>
            <w:tcBorders>
              <w:top w:val="single" w:sz="4" w:space="0" w:color="auto"/>
              <w:left w:val="nil"/>
              <w:bottom w:val="single" w:sz="4" w:space="0" w:color="auto"/>
              <w:right w:val="nil"/>
            </w:tcBorders>
            <w:shd w:val="clear" w:color="auto" w:fill="auto"/>
          </w:tcPr>
          <w:p w14:paraId="0EBE11B8" w14:textId="77777777" w:rsidR="00091F46" w:rsidRPr="00D316F8" w:rsidRDefault="00091F46" w:rsidP="005B4C73">
            <w:pPr>
              <w:spacing w:line="480" w:lineRule="auto"/>
            </w:pPr>
            <w:r w:rsidRPr="00D316F8">
              <w:t>RMSEA</w:t>
            </w:r>
          </w:p>
        </w:tc>
        <w:tc>
          <w:tcPr>
            <w:tcW w:w="993" w:type="dxa"/>
            <w:tcBorders>
              <w:top w:val="single" w:sz="4" w:space="0" w:color="auto"/>
              <w:left w:val="nil"/>
              <w:bottom w:val="single" w:sz="4" w:space="0" w:color="auto"/>
              <w:right w:val="nil"/>
            </w:tcBorders>
            <w:shd w:val="clear" w:color="auto" w:fill="auto"/>
          </w:tcPr>
          <w:p w14:paraId="2CBA6E13" w14:textId="77777777" w:rsidR="00091F46" w:rsidRPr="00D316F8" w:rsidRDefault="00091F46" w:rsidP="005B4C73">
            <w:pPr>
              <w:spacing w:line="480" w:lineRule="auto"/>
            </w:pPr>
            <w:r w:rsidRPr="00D316F8">
              <w:t>SRMR</w:t>
            </w:r>
          </w:p>
        </w:tc>
        <w:tc>
          <w:tcPr>
            <w:tcW w:w="2409" w:type="dxa"/>
            <w:tcBorders>
              <w:top w:val="single" w:sz="4" w:space="0" w:color="auto"/>
              <w:left w:val="nil"/>
              <w:bottom w:val="single" w:sz="4" w:space="0" w:color="auto"/>
              <w:right w:val="nil"/>
            </w:tcBorders>
            <w:shd w:val="clear" w:color="auto" w:fill="auto"/>
          </w:tcPr>
          <w:p w14:paraId="071DAB84" w14:textId="77777777" w:rsidR="00091F46" w:rsidRPr="00D316F8" w:rsidRDefault="00091F46" w:rsidP="005B4C73">
            <w:pPr>
              <w:spacing w:line="480" w:lineRule="auto"/>
            </w:pPr>
            <w:r w:rsidRPr="00D316F8">
              <w:t>Model Comparison</w:t>
            </w:r>
          </w:p>
        </w:tc>
        <w:tc>
          <w:tcPr>
            <w:tcW w:w="993" w:type="dxa"/>
            <w:tcBorders>
              <w:top w:val="single" w:sz="4" w:space="0" w:color="auto"/>
              <w:left w:val="nil"/>
              <w:bottom w:val="single" w:sz="4" w:space="0" w:color="auto"/>
              <w:right w:val="nil"/>
            </w:tcBorders>
            <w:shd w:val="clear" w:color="auto" w:fill="auto"/>
          </w:tcPr>
          <w:p w14:paraId="1849ADEA" w14:textId="77777777" w:rsidR="00091F46" w:rsidRPr="00D316F8" w:rsidRDefault="00091F46" w:rsidP="005B4C73">
            <w:pPr>
              <w:spacing w:line="480" w:lineRule="auto"/>
            </w:pPr>
            <w:r w:rsidRPr="00D316F8">
              <w:rPr>
                <w:color w:val="2E2E2E"/>
              </w:rPr>
              <w:t>Δ</w:t>
            </w:r>
            <w:r w:rsidRPr="00D316F8">
              <w:t xml:space="preserve"> χ</w:t>
            </w:r>
            <w:r w:rsidRPr="00D316F8">
              <w:rPr>
                <w:vertAlign w:val="superscript"/>
              </w:rPr>
              <w:t>2</w:t>
            </w:r>
          </w:p>
        </w:tc>
        <w:tc>
          <w:tcPr>
            <w:tcW w:w="850" w:type="dxa"/>
            <w:tcBorders>
              <w:top w:val="single" w:sz="4" w:space="0" w:color="auto"/>
              <w:left w:val="nil"/>
              <w:bottom w:val="single" w:sz="4" w:space="0" w:color="auto"/>
              <w:right w:val="nil"/>
            </w:tcBorders>
            <w:shd w:val="clear" w:color="auto" w:fill="auto"/>
          </w:tcPr>
          <w:p w14:paraId="5DA19E02" w14:textId="77777777" w:rsidR="00091F46" w:rsidRPr="00D316F8" w:rsidRDefault="00091F46" w:rsidP="005B4C73">
            <w:pPr>
              <w:spacing w:line="480" w:lineRule="auto"/>
            </w:pPr>
            <w:r w:rsidRPr="00D316F8">
              <w:rPr>
                <w:color w:val="2E2E2E"/>
              </w:rPr>
              <w:t>ΔCFI</w:t>
            </w:r>
          </w:p>
        </w:tc>
        <w:tc>
          <w:tcPr>
            <w:tcW w:w="1134" w:type="dxa"/>
            <w:tcBorders>
              <w:top w:val="single" w:sz="4" w:space="0" w:color="auto"/>
              <w:left w:val="nil"/>
              <w:bottom w:val="single" w:sz="4" w:space="0" w:color="auto"/>
              <w:right w:val="nil"/>
            </w:tcBorders>
            <w:shd w:val="clear" w:color="auto" w:fill="auto"/>
          </w:tcPr>
          <w:p w14:paraId="1C378ED1" w14:textId="77777777" w:rsidR="00091F46" w:rsidRPr="00D316F8" w:rsidRDefault="00091F46" w:rsidP="005B4C73">
            <w:pPr>
              <w:spacing w:line="480" w:lineRule="auto"/>
            </w:pPr>
            <w:r w:rsidRPr="00D316F8">
              <w:rPr>
                <w:color w:val="2E2E2E"/>
              </w:rPr>
              <w:t>ΔRMSEA</w:t>
            </w:r>
          </w:p>
        </w:tc>
        <w:tc>
          <w:tcPr>
            <w:tcW w:w="709" w:type="dxa"/>
            <w:tcBorders>
              <w:top w:val="single" w:sz="4" w:space="0" w:color="auto"/>
              <w:left w:val="nil"/>
              <w:bottom w:val="single" w:sz="4" w:space="0" w:color="auto"/>
              <w:right w:val="nil"/>
            </w:tcBorders>
            <w:shd w:val="clear" w:color="auto" w:fill="auto"/>
          </w:tcPr>
          <w:p w14:paraId="1A6EA478" w14:textId="77777777" w:rsidR="00091F46" w:rsidRPr="00D316F8" w:rsidRDefault="00091F46" w:rsidP="005B4C73">
            <w:pPr>
              <w:spacing w:line="480" w:lineRule="auto"/>
            </w:pPr>
            <w:proofErr w:type="spellStart"/>
            <w:r w:rsidRPr="00D316F8">
              <w:rPr>
                <w:color w:val="2E2E2E"/>
              </w:rPr>
              <w:t>Δdf</w:t>
            </w:r>
            <w:proofErr w:type="spellEnd"/>
          </w:p>
        </w:tc>
        <w:tc>
          <w:tcPr>
            <w:tcW w:w="1013" w:type="dxa"/>
            <w:tcBorders>
              <w:top w:val="single" w:sz="4" w:space="0" w:color="auto"/>
              <w:left w:val="nil"/>
              <w:bottom w:val="single" w:sz="4" w:space="0" w:color="auto"/>
              <w:right w:val="nil"/>
            </w:tcBorders>
            <w:shd w:val="clear" w:color="auto" w:fill="auto"/>
          </w:tcPr>
          <w:p w14:paraId="21A86072" w14:textId="2F8CC97C" w:rsidR="00091F46" w:rsidRPr="00D316F8" w:rsidRDefault="00C12116" w:rsidP="005B4C73">
            <w:pPr>
              <w:spacing w:line="480" w:lineRule="auto"/>
              <w:rPr>
                <w:i/>
              </w:rPr>
            </w:pPr>
            <w:r w:rsidRPr="00D316F8">
              <w:rPr>
                <w:i/>
              </w:rPr>
              <w:t>p</w:t>
            </w:r>
          </w:p>
        </w:tc>
        <w:tc>
          <w:tcPr>
            <w:tcW w:w="756" w:type="dxa"/>
            <w:tcBorders>
              <w:top w:val="single" w:sz="4" w:space="0" w:color="auto"/>
              <w:left w:val="nil"/>
              <w:bottom w:val="single" w:sz="4" w:space="0" w:color="auto"/>
              <w:right w:val="nil"/>
            </w:tcBorders>
            <w:shd w:val="clear" w:color="auto" w:fill="auto"/>
          </w:tcPr>
          <w:p w14:paraId="5388A884" w14:textId="77777777" w:rsidR="00091F46" w:rsidRPr="00D316F8" w:rsidRDefault="00091F46" w:rsidP="005B4C73">
            <w:pPr>
              <w:spacing w:line="480" w:lineRule="auto"/>
            </w:pPr>
            <w:r w:rsidRPr="00D316F8">
              <w:t>PGFI</w:t>
            </w:r>
          </w:p>
        </w:tc>
      </w:tr>
      <w:tr w:rsidR="00D316F8" w:rsidRPr="008060EF" w14:paraId="732B01BF" w14:textId="77777777" w:rsidTr="00D316F8">
        <w:tc>
          <w:tcPr>
            <w:tcW w:w="1418" w:type="dxa"/>
            <w:tcBorders>
              <w:top w:val="single" w:sz="4" w:space="0" w:color="auto"/>
              <w:left w:val="nil"/>
              <w:bottom w:val="nil"/>
              <w:right w:val="nil"/>
            </w:tcBorders>
            <w:shd w:val="clear" w:color="auto" w:fill="auto"/>
          </w:tcPr>
          <w:p w14:paraId="1F8D6A70" w14:textId="77777777" w:rsidR="00091F46" w:rsidRPr="00D316F8" w:rsidRDefault="00091F46" w:rsidP="005B4C73">
            <w:pPr>
              <w:spacing w:line="480" w:lineRule="auto"/>
            </w:pPr>
            <w:r w:rsidRPr="00D316F8">
              <w:t>Configural</w:t>
            </w:r>
          </w:p>
        </w:tc>
        <w:tc>
          <w:tcPr>
            <w:tcW w:w="1134" w:type="dxa"/>
            <w:tcBorders>
              <w:top w:val="single" w:sz="4" w:space="0" w:color="auto"/>
              <w:left w:val="nil"/>
              <w:bottom w:val="nil"/>
              <w:right w:val="nil"/>
            </w:tcBorders>
            <w:shd w:val="clear" w:color="auto" w:fill="auto"/>
          </w:tcPr>
          <w:p w14:paraId="0F39170B" w14:textId="77777777" w:rsidR="00091F46" w:rsidRPr="00D316F8" w:rsidRDefault="00091F46" w:rsidP="005B4C73">
            <w:pPr>
              <w:spacing w:line="480" w:lineRule="auto"/>
            </w:pPr>
            <w:r w:rsidRPr="00D316F8">
              <w:t>103.987</w:t>
            </w:r>
          </w:p>
        </w:tc>
        <w:tc>
          <w:tcPr>
            <w:tcW w:w="567" w:type="dxa"/>
            <w:tcBorders>
              <w:top w:val="single" w:sz="4" w:space="0" w:color="auto"/>
              <w:left w:val="nil"/>
              <w:bottom w:val="nil"/>
              <w:right w:val="nil"/>
            </w:tcBorders>
            <w:shd w:val="clear" w:color="auto" w:fill="auto"/>
          </w:tcPr>
          <w:p w14:paraId="1C35B7FF" w14:textId="77777777" w:rsidR="00091F46" w:rsidRPr="00D316F8" w:rsidRDefault="00091F46" w:rsidP="005B4C73">
            <w:pPr>
              <w:spacing w:line="480" w:lineRule="auto"/>
            </w:pPr>
            <w:r w:rsidRPr="00D316F8">
              <w:t>38</w:t>
            </w:r>
          </w:p>
        </w:tc>
        <w:tc>
          <w:tcPr>
            <w:tcW w:w="850" w:type="dxa"/>
            <w:tcBorders>
              <w:top w:val="single" w:sz="4" w:space="0" w:color="auto"/>
              <w:left w:val="nil"/>
              <w:bottom w:val="nil"/>
              <w:right w:val="nil"/>
            </w:tcBorders>
            <w:shd w:val="clear" w:color="auto" w:fill="auto"/>
          </w:tcPr>
          <w:p w14:paraId="53E0718D" w14:textId="7B90098C" w:rsidR="00091F46" w:rsidRPr="00D316F8" w:rsidRDefault="00D316F8" w:rsidP="005B4C73">
            <w:pPr>
              <w:spacing w:line="480" w:lineRule="auto"/>
            </w:pPr>
            <w:r w:rsidRPr="00D316F8">
              <w:t>0</w:t>
            </w:r>
            <w:r w:rsidR="00091F46" w:rsidRPr="00D316F8">
              <w:t>.974</w:t>
            </w:r>
          </w:p>
        </w:tc>
        <w:tc>
          <w:tcPr>
            <w:tcW w:w="1134" w:type="dxa"/>
            <w:tcBorders>
              <w:top w:val="single" w:sz="4" w:space="0" w:color="auto"/>
              <w:left w:val="nil"/>
              <w:bottom w:val="nil"/>
              <w:right w:val="nil"/>
            </w:tcBorders>
            <w:shd w:val="clear" w:color="auto" w:fill="auto"/>
          </w:tcPr>
          <w:p w14:paraId="647105BD" w14:textId="5FCB27B5" w:rsidR="00091F46" w:rsidRPr="00D316F8" w:rsidRDefault="00D316F8" w:rsidP="005B4C73">
            <w:pPr>
              <w:spacing w:line="480" w:lineRule="auto"/>
            </w:pPr>
            <w:r w:rsidRPr="00D316F8">
              <w:t>0</w:t>
            </w:r>
            <w:r w:rsidR="00091F46" w:rsidRPr="00D316F8">
              <w:t>.070</w:t>
            </w:r>
          </w:p>
        </w:tc>
        <w:tc>
          <w:tcPr>
            <w:tcW w:w="993" w:type="dxa"/>
            <w:tcBorders>
              <w:top w:val="single" w:sz="4" w:space="0" w:color="auto"/>
              <w:left w:val="nil"/>
              <w:bottom w:val="nil"/>
              <w:right w:val="nil"/>
            </w:tcBorders>
            <w:shd w:val="clear" w:color="auto" w:fill="auto"/>
          </w:tcPr>
          <w:p w14:paraId="5EF6037E" w14:textId="0FBF41AB" w:rsidR="00091F46" w:rsidRPr="00D316F8" w:rsidRDefault="00D316F8" w:rsidP="005B4C73">
            <w:pPr>
              <w:spacing w:line="480" w:lineRule="auto"/>
            </w:pPr>
            <w:r w:rsidRPr="00D316F8">
              <w:t>0</w:t>
            </w:r>
            <w:r w:rsidR="00091F46" w:rsidRPr="00D316F8">
              <w:t>.030</w:t>
            </w:r>
          </w:p>
        </w:tc>
        <w:tc>
          <w:tcPr>
            <w:tcW w:w="2409" w:type="dxa"/>
            <w:tcBorders>
              <w:top w:val="single" w:sz="4" w:space="0" w:color="auto"/>
              <w:left w:val="nil"/>
              <w:bottom w:val="nil"/>
              <w:right w:val="nil"/>
            </w:tcBorders>
            <w:shd w:val="clear" w:color="auto" w:fill="auto"/>
          </w:tcPr>
          <w:p w14:paraId="1EF0DED4" w14:textId="77777777" w:rsidR="00091F46" w:rsidRPr="00D316F8" w:rsidRDefault="00091F46" w:rsidP="005B4C73">
            <w:pPr>
              <w:spacing w:line="480" w:lineRule="auto"/>
            </w:pPr>
          </w:p>
        </w:tc>
        <w:tc>
          <w:tcPr>
            <w:tcW w:w="993" w:type="dxa"/>
            <w:tcBorders>
              <w:top w:val="single" w:sz="4" w:space="0" w:color="auto"/>
              <w:left w:val="nil"/>
              <w:bottom w:val="nil"/>
              <w:right w:val="nil"/>
            </w:tcBorders>
            <w:shd w:val="clear" w:color="auto" w:fill="auto"/>
          </w:tcPr>
          <w:p w14:paraId="19A12DA1" w14:textId="77777777" w:rsidR="00091F46" w:rsidRPr="00D316F8" w:rsidRDefault="00091F46" w:rsidP="005B4C73">
            <w:pPr>
              <w:spacing w:line="480" w:lineRule="auto"/>
            </w:pPr>
          </w:p>
        </w:tc>
        <w:tc>
          <w:tcPr>
            <w:tcW w:w="850" w:type="dxa"/>
            <w:tcBorders>
              <w:top w:val="single" w:sz="4" w:space="0" w:color="auto"/>
              <w:left w:val="nil"/>
              <w:bottom w:val="nil"/>
              <w:right w:val="nil"/>
            </w:tcBorders>
            <w:shd w:val="clear" w:color="auto" w:fill="auto"/>
          </w:tcPr>
          <w:p w14:paraId="57603F52" w14:textId="77777777" w:rsidR="00091F46" w:rsidRPr="00D316F8" w:rsidRDefault="00091F46" w:rsidP="005B4C73">
            <w:pPr>
              <w:spacing w:line="480" w:lineRule="auto"/>
            </w:pPr>
          </w:p>
        </w:tc>
        <w:tc>
          <w:tcPr>
            <w:tcW w:w="1134" w:type="dxa"/>
            <w:tcBorders>
              <w:top w:val="single" w:sz="4" w:space="0" w:color="auto"/>
              <w:left w:val="nil"/>
              <w:bottom w:val="nil"/>
              <w:right w:val="nil"/>
            </w:tcBorders>
            <w:shd w:val="clear" w:color="auto" w:fill="auto"/>
          </w:tcPr>
          <w:p w14:paraId="226A11B8" w14:textId="77777777" w:rsidR="00091F46" w:rsidRPr="00D316F8" w:rsidRDefault="00091F46" w:rsidP="005B4C73">
            <w:pPr>
              <w:spacing w:line="480" w:lineRule="auto"/>
            </w:pPr>
          </w:p>
        </w:tc>
        <w:tc>
          <w:tcPr>
            <w:tcW w:w="709" w:type="dxa"/>
            <w:tcBorders>
              <w:top w:val="single" w:sz="4" w:space="0" w:color="auto"/>
              <w:left w:val="nil"/>
              <w:bottom w:val="nil"/>
              <w:right w:val="nil"/>
            </w:tcBorders>
            <w:shd w:val="clear" w:color="auto" w:fill="auto"/>
          </w:tcPr>
          <w:p w14:paraId="5A368D05" w14:textId="77777777" w:rsidR="00091F46" w:rsidRPr="00D316F8" w:rsidRDefault="00091F46" w:rsidP="005B4C73">
            <w:pPr>
              <w:spacing w:line="480" w:lineRule="auto"/>
            </w:pPr>
          </w:p>
        </w:tc>
        <w:tc>
          <w:tcPr>
            <w:tcW w:w="1013" w:type="dxa"/>
            <w:tcBorders>
              <w:top w:val="single" w:sz="4" w:space="0" w:color="auto"/>
              <w:left w:val="nil"/>
              <w:bottom w:val="nil"/>
              <w:right w:val="nil"/>
            </w:tcBorders>
            <w:shd w:val="clear" w:color="auto" w:fill="auto"/>
          </w:tcPr>
          <w:p w14:paraId="79CCD619" w14:textId="77777777" w:rsidR="00091F46" w:rsidRPr="00D316F8" w:rsidRDefault="00091F46" w:rsidP="005B4C73">
            <w:pPr>
              <w:spacing w:line="480" w:lineRule="auto"/>
            </w:pPr>
          </w:p>
        </w:tc>
        <w:tc>
          <w:tcPr>
            <w:tcW w:w="756" w:type="dxa"/>
            <w:tcBorders>
              <w:top w:val="single" w:sz="4" w:space="0" w:color="auto"/>
              <w:left w:val="nil"/>
              <w:bottom w:val="nil"/>
              <w:right w:val="nil"/>
            </w:tcBorders>
            <w:shd w:val="clear" w:color="auto" w:fill="auto"/>
          </w:tcPr>
          <w:p w14:paraId="423E82C1" w14:textId="3746FAB7" w:rsidR="00091F46" w:rsidRPr="00D316F8" w:rsidRDefault="00D316F8" w:rsidP="005B4C73">
            <w:pPr>
              <w:spacing w:line="480" w:lineRule="auto"/>
            </w:pPr>
            <w:r w:rsidRPr="00D316F8">
              <w:t>0</w:t>
            </w:r>
            <w:r w:rsidR="00091F46" w:rsidRPr="00D316F8">
              <w:t>.345</w:t>
            </w:r>
          </w:p>
        </w:tc>
      </w:tr>
      <w:tr w:rsidR="00D316F8" w:rsidRPr="008060EF" w14:paraId="1EC281B0" w14:textId="77777777" w:rsidTr="00D316F8">
        <w:tc>
          <w:tcPr>
            <w:tcW w:w="1418" w:type="dxa"/>
            <w:tcBorders>
              <w:top w:val="nil"/>
              <w:left w:val="nil"/>
              <w:bottom w:val="nil"/>
              <w:right w:val="nil"/>
            </w:tcBorders>
            <w:shd w:val="clear" w:color="auto" w:fill="auto"/>
          </w:tcPr>
          <w:p w14:paraId="53EF0235" w14:textId="77777777" w:rsidR="00091F46" w:rsidRPr="00D316F8" w:rsidRDefault="00091F46" w:rsidP="005B4C73">
            <w:pPr>
              <w:spacing w:line="480" w:lineRule="auto"/>
            </w:pPr>
            <w:r w:rsidRPr="00D316F8">
              <w:t>Metric</w:t>
            </w:r>
          </w:p>
        </w:tc>
        <w:tc>
          <w:tcPr>
            <w:tcW w:w="1134" w:type="dxa"/>
            <w:tcBorders>
              <w:top w:val="nil"/>
              <w:left w:val="nil"/>
              <w:bottom w:val="nil"/>
              <w:right w:val="nil"/>
            </w:tcBorders>
            <w:shd w:val="clear" w:color="auto" w:fill="auto"/>
          </w:tcPr>
          <w:p w14:paraId="133494FB" w14:textId="77777777" w:rsidR="00091F46" w:rsidRPr="00D316F8" w:rsidRDefault="00091F46" w:rsidP="005B4C73">
            <w:pPr>
              <w:spacing w:line="480" w:lineRule="auto"/>
            </w:pPr>
            <w:r w:rsidRPr="00D316F8">
              <w:t>131.046</w:t>
            </w:r>
          </w:p>
        </w:tc>
        <w:tc>
          <w:tcPr>
            <w:tcW w:w="567" w:type="dxa"/>
            <w:tcBorders>
              <w:top w:val="nil"/>
              <w:left w:val="nil"/>
              <w:bottom w:val="nil"/>
              <w:right w:val="nil"/>
            </w:tcBorders>
            <w:shd w:val="clear" w:color="auto" w:fill="auto"/>
          </w:tcPr>
          <w:p w14:paraId="63441FF9" w14:textId="77777777" w:rsidR="00091F46" w:rsidRPr="00D316F8" w:rsidRDefault="00091F46" w:rsidP="005B4C73">
            <w:pPr>
              <w:spacing w:line="480" w:lineRule="auto"/>
            </w:pPr>
            <w:r w:rsidRPr="00D316F8">
              <w:t>45</w:t>
            </w:r>
          </w:p>
        </w:tc>
        <w:tc>
          <w:tcPr>
            <w:tcW w:w="850" w:type="dxa"/>
            <w:tcBorders>
              <w:top w:val="nil"/>
              <w:left w:val="nil"/>
              <w:bottom w:val="nil"/>
              <w:right w:val="nil"/>
            </w:tcBorders>
            <w:shd w:val="clear" w:color="auto" w:fill="auto"/>
          </w:tcPr>
          <w:p w14:paraId="478B758A" w14:textId="390CFDCC" w:rsidR="00091F46" w:rsidRPr="00D316F8" w:rsidRDefault="00D316F8" w:rsidP="005B4C73">
            <w:pPr>
              <w:spacing w:line="480" w:lineRule="auto"/>
            </w:pPr>
            <w:r w:rsidRPr="00D316F8">
              <w:t>0</w:t>
            </w:r>
            <w:r w:rsidR="00091F46" w:rsidRPr="00D316F8">
              <w:t>.967</w:t>
            </w:r>
          </w:p>
        </w:tc>
        <w:tc>
          <w:tcPr>
            <w:tcW w:w="1134" w:type="dxa"/>
            <w:tcBorders>
              <w:top w:val="nil"/>
              <w:left w:val="nil"/>
              <w:bottom w:val="nil"/>
              <w:right w:val="nil"/>
            </w:tcBorders>
            <w:shd w:val="clear" w:color="auto" w:fill="auto"/>
          </w:tcPr>
          <w:p w14:paraId="4C29000E" w14:textId="4271413E" w:rsidR="00091F46" w:rsidRPr="00D316F8" w:rsidRDefault="00D316F8" w:rsidP="005B4C73">
            <w:pPr>
              <w:spacing w:line="480" w:lineRule="auto"/>
            </w:pPr>
            <w:r w:rsidRPr="00D316F8">
              <w:t>0</w:t>
            </w:r>
            <w:r w:rsidR="00091F46" w:rsidRPr="00D316F8">
              <w:t>.073</w:t>
            </w:r>
          </w:p>
        </w:tc>
        <w:tc>
          <w:tcPr>
            <w:tcW w:w="993" w:type="dxa"/>
            <w:tcBorders>
              <w:top w:val="nil"/>
              <w:left w:val="nil"/>
              <w:bottom w:val="nil"/>
              <w:right w:val="nil"/>
            </w:tcBorders>
            <w:shd w:val="clear" w:color="auto" w:fill="auto"/>
          </w:tcPr>
          <w:p w14:paraId="5BF3F984" w14:textId="0DE0C1F7" w:rsidR="00091F46" w:rsidRPr="00D316F8" w:rsidRDefault="00D316F8" w:rsidP="005B4C73">
            <w:pPr>
              <w:spacing w:line="480" w:lineRule="auto"/>
            </w:pPr>
            <w:r w:rsidRPr="00D316F8">
              <w:t>0</w:t>
            </w:r>
            <w:r w:rsidR="00091F46" w:rsidRPr="00D316F8">
              <w:t>.046</w:t>
            </w:r>
          </w:p>
        </w:tc>
        <w:tc>
          <w:tcPr>
            <w:tcW w:w="2409" w:type="dxa"/>
            <w:tcBorders>
              <w:top w:val="nil"/>
              <w:left w:val="nil"/>
              <w:bottom w:val="nil"/>
              <w:right w:val="nil"/>
            </w:tcBorders>
            <w:shd w:val="clear" w:color="auto" w:fill="auto"/>
          </w:tcPr>
          <w:p w14:paraId="39B83464" w14:textId="1BC8EA54" w:rsidR="00091F46" w:rsidRPr="00D316F8" w:rsidRDefault="00091F46" w:rsidP="005B4C73">
            <w:pPr>
              <w:spacing w:line="480" w:lineRule="auto"/>
            </w:pPr>
            <w:r w:rsidRPr="00D316F8">
              <w:t xml:space="preserve">Configural vs. </w:t>
            </w:r>
            <w:r w:rsidR="00C12116" w:rsidRPr="00D316F8">
              <w:t>M</w:t>
            </w:r>
            <w:r w:rsidRPr="00D316F8">
              <w:t>etric</w:t>
            </w:r>
          </w:p>
        </w:tc>
        <w:tc>
          <w:tcPr>
            <w:tcW w:w="993" w:type="dxa"/>
            <w:tcBorders>
              <w:top w:val="nil"/>
              <w:left w:val="nil"/>
              <w:bottom w:val="nil"/>
              <w:right w:val="nil"/>
            </w:tcBorders>
            <w:shd w:val="clear" w:color="auto" w:fill="auto"/>
          </w:tcPr>
          <w:p w14:paraId="6ABEA855" w14:textId="77777777" w:rsidR="00091F46" w:rsidRPr="00D316F8" w:rsidRDefault="00091F46" w:rsidP="005B4C73">
            <w:pPr>
              <w:spacing w:line="480" w:lineRule="auto"/>
            </w:pPr>
            <w:r w:rsidRPr="00D316F8">
              <w:t>27.059</w:t>
            </w:r>
          </w:p>
        </w:tc>
        <w:tc>
          <w:tcPr>
            <w:tcW w:w="850" w:type="dxa"/>
            <w:tcBorders>
              <w:top w:val="nil"/>
              <w:left w:val="nil"/>
              <w:bottom w:val="nil"/>
              <w:right w:val="nil"/>
            </w:tcBorders>
            <w:shd w:val="clear" w:color="auto" w:fill="auto"/>
          </w:tcPr>
          <w:p w14:paraId="2F4CB413" w14:textId="027DDD6D" w:rsidR="00091F46" w:rsidRPr="00D316F8" w:rsidRDefault="00D316F8" w:rsidP="005B4C73">
            <w:pPr>
              <w:spacing w:line="480" w:lineRule="auto"/>
            </w:pPr>
            <w:r w:rsidRPr="00D316F8">
              <w:t>0</w:t>
            </w:r>
            <w:r w:rsidR="00091F46" w:rsidRPr="00D316F8">
              <w:t>.007</w:t>
            </w:r>
          </w:p>
        </w:tc>
        <w:tc>
          <w:tcPr>
            <w:tcW w:w="1134" w:type="dxa"/>
            <w:tcBorders>
              <w:top w:val="nil"/>
              <w:left w:val="nil"/>
              <w:bottom w:val="nil"/>
              <w:right w:val="nil"/>
            </w:tcBorders>
            <w:shd w:val="clear" w:color="auto" w:fill="auto"/>
          </w:tcPr>
          <w:p w14:paraId="2CA505A9" w14:textId="31A45705" w:rsidR="00091F46" w:rsidRPr="00D316F8" w:rsidRDefault="00D316F8" w:rsidP="005B4C73">
            <w:pPr>
              <w:spacing w:line="480" w:lineRule="auto"/>
            </w:pPr>
            <w:r w:rsidRPr="00D316F8">
              <w:t>0</w:t>
            </w:r>
            <w:r w:rsidR="00091F46" w:rsidRPr="00D316F8">
              <w:t>.003</w:t>
            </w:r>
          </w:p>
        </w:tc>
        <w:tc>
          <w:tcPr>
            <w:tcW w:w="709" w:type="dxa"/>
            <w:tcBorders>
              <w:top w:val="nil"/>
              <w:left w:val="nil"/>
              <w:bottom w:val="nil"/>
              <w:right w:val="nil"/>
            </w:tcBorders>
            <w:shd w:val="clear" w:color="auto" w:fill="auto"/>
          </w:tcPr>
          <w:p w14:paraId="51D6E62E" w14:textId="77777777" w:rsidR="00091F46" w:rsidRPr="00D316F8" w:rsidRDefault="00091F46" w:rsidP="005B4C73">
            <w:pPr>
              <w:spacing w:line="480" w:lineRule="auto"/>
            </w:pPr>
            <w:r w:rsidRPr="00D316F8">
              <w:t>7</w:t>
            </w:r>
          </w:p>
        </w:tc>
        <w:tc>
          <w:tcPr>
            <w:tcW w:w="1013" w:type="dxa"/>
            <w:tcBorders>
              <w:top w:val="nil"/>
              <w:left w:val="nil"/>
              <w:bottom w:val="nil"/>
              <w:right w:val="nil"/>
            </w:tcBorders>
            <w:shd w:val="clear" w:color="auto" w:fill="auto"/>
          </w:tcPr>
          <w:p w14:paraId="3C495EFC" w14:textId="08AB2C0B" w:rsidR="00091F46" w:rsidRPr="00D316F8" w:rsidRDefault="00C12116" w:rsidP="005B4C73">
            <w:pPr>
              <w:spacing w:line="480" w:lineRule="auto"/>
            </w:pPr>
            <w:r w:rsidRPr="00D316F8">
              <w:t xml:space="preserve">&lt; </w:t>
            </w:r>
            <w:r w:rsidR="00D316F8" w:rsidRPr="00D316F8">
              <w:t>0</w:t>
            </w:r>
            <w:r w:rsidRPr="00D316F8">
              <w:t>.001</w:t>
            </w:r>
          </w:p>
        </w:tc>
        <w:tc>
          <w:tcPr>
            <w:tcW w:w="756" w:type="dxa"/>
            <w:tcBorders>
              <w:top w:val="nil"/>
              <w:left w:val="nil"/>
              <w:bottom w:val="nil"/>
              <w:right w:val="nil"/>
            </w:tcBorders>
            <w:shd w:val="clear" w:color="auto" w:fill="auto"/>
          </w:tcPr>
          <w:p w14:paraId="65CDAF14" w14:textId="340D1510" w:rsidR="00091F46" w:rsidRPr="00D316F8" w:rsidRDefault="00D316F8" w:rsidP="005B4C73">
            <w:pPr>
              <w:spacing w:line="480" w:lineRule="auto"/>
            </w:pPr>
            <w:r>
              <w:t>0</w:t>
            </w:r>
            <w:r w:rsidR="00091F46" w:rsidRPr="00D316F8">
              <w:t>.407</w:t>
            </w:r>
          </w:p>
        </w:tc>
      </w:tr>
      <w:tr w:rsidR="00D316F8" w:rsidRPr="008060EF" w14:paraId="2E77B501" w14:textId="77777777" w:rsidTr="00D316F8">
        <w:tc>
          <w:tcPr>
            <w:tcW w:w="1418" w:type="dxa"/>
            <w:tcBorders>
              <w:top w:val="nil"/>
              <w:left w:val="nil"/>
              <w:bottom w:val="nil"/>
              <w:right w:val="nil"/>
            </w:tcBorders>
            <w:shd w:val="clear" w:color="auto" w:fill="auto"/>
          </w:tcPr>
          <w:p w14:paraId="26F5F43D" w14:textId="77777777" w:rsidR="00091F46" w:rsidRPr="00D316F8" w:rsidRDefault="00091F46" w:rsidP="005B4C73">
            <w:pPr>
              <w:spacing w:line="480" w:lineRule="auto"/>
            </w:pPr>
            <w:r w:rsidRPr="00D316F8">
              <w:t>Scalar</w:t>
            </w:r>
          </w:p>
        </w:tc>
        <w:tc>
          <w:tcPr>
            <w:tcW w:w="1134" w:type="dxa"/>
            <w:tcBorders>
              <w:top w:val="nil"/>
              <w:left w:val="nil"/>
              <w:bottom w:val="nil"/>
              <w:right w:val="nil"/>
            </w:tcBorders>
            <w:shd w:val="clear" w:color="auto" w:fill="auto"/>
          </w:tcPr>
          <w:p w14:paraId="44A77D96" w14:textId="77777777" w:rsidR="00091F46" w:rsidRPr="00D316F8" w:rsidRDefault="00091F46" w:rsidP="005B4C73">
            <w:pPr>
              <w:spacing w:line="480" w:lineRule="auto"/>
            </w:pPr>
            <w:r w:rsidRPr="00D316F8">
              <w:t>231.099</w:t>
            </w:r>
          </w:p>
        </w:tc>
        <w:tc>
          <w:tcPr>
            <w:tcW w:w="567" w:type="dxa"/>
            <w:tcBorders>
              <w:top w:val="nil"/>
              <w:left w:val="nil"/>
              <w:bottom w:val="nil"/>
              <w:right w:val="nil"/>
            </w:tcBorders>
            <w:shd w:val="clear" w:color="auto" w:fill="auto"/>
          </w:tcPr>
          <w:p w14:paraId="6889AA86" w14:textId="77777777" w:rsidR="00091F46" w:rsidRPr="00D316F8" w:rsidRDefault="00091F46" w:rsidP="005B4C73">
            <w:pPr>
              <w:spacing w:line="480" w:lineRule="auto"/>
            </w:pPr>
            <w:r w:rsidRPr="00D316F8">
              <w:t>50</w:t>
            </w:r>
          </w:p>
        </w:tc>
        <w:tc>
          <w:tcPr>
            <w:tcW w:w="850" w:type="dxa"/>
            <w:tcBorders>
              <w:top w:val="nil"/>
              <w:left w:val="nil"/>
              <w:bottom w:val="nil"/>
              <w:right w:val="nil"/>
            </w:tcBorders>
            <w:shd w:val="clear" w:color="auto" w:fill="auto"/>
          </w:tcPr>
          <w:p w14:paraId="045FB804" w14:textId="74EDD2DD" w:rsidR="00091F46" w:rsidRPr="00D316F8" w:rsidRDefault="00D316F8" w:rsidP="005B4C73">
            <w:pPr>
              <w:spacing w:line="480" w:lineRule="auto"/>
            </w:pPr>
            <w:r>
              <w:t>0</w:t>
            </w:r>
            <w:r w:rsidR="00091F46" w:rsidRPr="00D316F8">
              <w:t>.930</w:t>
            </w:r>
          </w:p>
        </w:tc>
        <w:tc>
          <w:tcPr>
            <w:tcW w:w="1134" w:type="dxa"/>
            <w:tcBorders>
              <w:top w:val="nil"/>
              <w:left w:val="nil"/>
              <w:bottom w:val="nil"/>
              <w:right w:val="nil"/>
            </w:tcBorders>
            <w:shd w:val="clear" w:color="auto" w:fill="auto"/>
          </w:tcPr>
          <w:p w14:paraId="6723230E" w14:textId="62BF5022" w:rsidR="00091F46" w:rsidRPr="00D316F8" w:rsidRDefault="00D316F8" w:rsidP="005B4C73">
            <w:pPr>
              <w:spacing w:line="480" w:lineRule="auto"/>
            </w:pPr>
            <w:r>
              <w:t>0</w:t>
            </w:r>
            <w:r w:rsidR="00091F46" w:rsidRPr="00D316F8">
              <w:t>.101</w:t>
            </w:r>
          </w:p>
        </w:tc>
        <w:tc>
          <w:tcPr>
            <w:tcW w:w="993" w:type="dxa"/>
            <w:tcBorders>
              <w:top w:val="nil"/>
              <w:left w:val="nil"/>
              <w:bottom w:val="nil"/>
              <w:right w:val="nil"/>
            </w:tcBorders>
            <w:shd w:val="clear" w:color="auto" w:fill="auto"/>
          </w:tcPr>
          <w:p w14:paraId="4A04B35E" w14:textId="60721F43" w:rsidR="00091F46" w:rsidRPr="00D316F8" w:rsidRDefault="00D316F8" w:rsidP="005B4C73">
            <w:pPr>
              <w:spacing w:line="480" w:lineRule="auto"/>
            </w:pPr>
            <w:r>
              <w:t>0</w:t>
            </w:r>
            <w:r w:rsidR="00091F46" w:rsidRPr="00D316F8">
              <w:t>.059</w:t>
            </w:r>
          </w:p>
        </w:tc>
        <w:tc>
          <w:tcPr>
            <w:tcW w:w="2409" w:type="dxa"/>
            <w:tcBorders>
              <w:top w:val="nil"/>
              <w:left w:val="nil"/>
              <w:bottom w:val="nil"/>
              <w:right w:val="nil"/>
            </w:tcBorders>
            <w:shd w:val="clear" w:color="auto" w:fill="auto"/>
          </w:tcPr>
          <w:p w14:paraId="3161EA7A" w14:textId="5AAC165B" w:rsidR="00091F46" w:rsidRPr="00D316F8" w:rsidRDefault="00091F46" w:rsidP="005B4C73">
            <w:pPr>
              <w:spacing w:line="480" w:lineRule="auto"/>
            </w:pPr>
            <w:r w:rsidRPr="00D316F8">
              <w:t xml:space="preserve">Metric vs. </w:t>
            </w:r>
            <w:r w:rsidR="00C12116" w:rsidRPr="00D316F8">
              <w:t>S</w:t>
            </w:r>
            <w:r w:rsidRPr="00D316F8">
              <w:t>calar</w:t>
            </w:r>
          </w:p>
        </w:tc>
        <w:tc>
          <w:tcPr>
            <w:tcW w:w="993" w:type="dxa"/>
            <w:tcBorders>
              <w:top w:val="nil"/>
              <w:left w:val="nil"/>
              <w:bottom w:val="nil"/>
              <w:right w:val="nil"/>
            </w:tcBorders>
            <w:shd w:val="clear" w:color="auto" w:fill="auto"/>
          </w:tcPr>
          <w:p w14:paraId="146D0F2F" w14:textId="77777777" w:rsidR="00091F46" w:rsidRPr="00D316F8" w:rsidRDefault="00091F46" w:rsidP="005B4C73">
            <w:pPr>
              <w:spacing w:line="480" w:lineRule="auto"/>
            </w:pPr>
            <w:r w:rsidRPr="00D316F8">
              <w:t>100.053</w:t>
            </w:r>
          </w:p>
        </w:tc>
        <w:tc>
          <w:tcPr>
            <w:tcW w:w="850" w:type="dxa"/>
            <w:tcBorders>
              <w:top w:val="nil"/>
              <w:left w:val="nil"/>
              <w:bottom w:val="nil"/>
              <w:right w:val="nil"/>
            </w:tcBorders>
            <w:shd w:val="clear" w:color="auto" w:fill="auto"/>
          </w:tcPr>
          <w:p w14:paraId="36EC2EC7" w14:textId="1526314C" w:rsidR="00091F46" w:rsidRPr="00D316F8" w:rsidRDefault="00D316F8" w:rsidP="005B4C73">
            <w:pPr>
              <w:spacing w:line="480" w:lineRule="auto"/>
            </w:pPr>
            <w:r>
              <w:t>0</w:t>
            </w:r>
            <w:r w:rsidR="00091F46" w:rsidRPr="00D316F8">
              <w:t>.037</w:t>
            </w:r>
          </w:p>
        </w:tc>
        <w:tc>
          <w:tcPr>
            <w:tcW w:w="1134" w:type="dxa"/>
            <w:tcBorders>
              <w:top w:val="nil"/>
              <w:left w:val="nil"/>
              <w:bottom w:val="nil"/>
              <w:right w:val="nil"/>
            </w:tcBorders>
            <w:shd w:val="clear" w:color="auto" w:fill="auto"/>
          </w:tcPr>
          <w:p w14:paraId="1DCB64AF" w14:textId="753DEFEC" w:rsidR="00091F46" w:rsidRPr="00D316F8" w:rsidRDefault="00D316F8" w:rsidP="005B4C73">
            <w:pPr>
              <w:spacing w:line="480" w:lineRule="auto"/>
            </w:pPr>
            <w:r>
              <w:t>0</w:t>
            </w:r>
            <w:r w:rsidR="00091F46" w:rsidRPr="00D316F8">
              <w:t>.028</w:t>
            </w:r>
          </w:p>
        </w:tc>
        <w:tc>
          <w:tcPr>
            <w:tcW w:w="709" w:type="dxa"/>
            <w:tcBorders>
              <w:top w:val="nil"/>
              <w:left w:val="nil"/>
              <w:bottom w:val="nil"/>
              <w:right w:val="nil"/>
            </w:tcBorders>
            <w:shd w:val="clear" w:color="auto" w:fill="auto"/>
          </w:tcPr>
          <w:p w14:paraId="1EE23FA1" w14:textId="77777777" w:rsidR="00091F46" w:rsidRPr="00D316F8" w:rsidRDefault="00091F46" w:rsidP="005B4C73">
            <w:pPr>
              <w:spacing w:line="480" w:lineRule="auto"/>
            </w:pPr>
            <w:r w:rsidRPr="00D316F8">
              <w:t>5</w:t>
            </w:r>
          </w:p>
        </w:tc>
        <w:tc>
          <w:tcPr>
            <w:tcW w:w="1013" w:type="dxa"/>
            <w:tcBorders>
              <w:top w:val="nil"/>
              <w:left w:val="nil"/>
              <w:bottom w:val="nil"/>
              <w:right w:val="nil"/>
            </w:tcBorders>
            <w:shd w:val="clear" w:color="auto" w:fill="auto"/>
          </w:tcPr>
          <w:p w14:paraId="68AFC3D9" w14:textId="642A1D3B" w:rsidR="00091F46" w:rsidRPr="00D316F8" w:rsidRDefault="001B3597" w:rsidP="005B4C73">
            <w:pPr>
              <w:spacing w:line="480" w:lineRule="auto"/>
            </w:pPr>
            <w:r w:rsidRPr="00D316F8">
              <w:t xml:space="preserve">&lt; </w:t>
            </w:r>
            <w:r w:rsidR="00D316F8">
              <w:t>0</w:t>
            </w:r>
            <w:r w:rsidR="00C12116" w:rsidRPr="00D316F8">
              <w:t>.001</w:t>
            </w:r>
          </w:p>
        </w:tc>
        <w:tc>
          <w:tcPr>
            <w:tcW w:w="756" w:type="dxa"/>
            <w:tcBorders>
              <w:top w:val="nil"/>
              <w:left w:val="nil"/>
              <w:bottom w:val="nil"/>
              <w:right w:val="nil"/>
            </w:tcBorders>
            <w:shd w:val="clear" w:color="auto" w:fill="auto"/>
          </w:tcPr>
          <w:p w14:paraId="39F95D29" w14:textId="3EB03ADF" w:rsidR="00091F46" w:rsidRPr="00D316F8" w:rsidRDefault="00D316F8" w:rsidP="005B4C73">
            <w:pPr>
              <w:spacing w:line="480" w:lineRule="auto"/>
            </w:pPr>
            <w:r>
              <w:t>0</w:t>
            </w:r>
            <w:r w:rsidR="00091F46" w:rsidRPr="00D316F8">
              <w:t>.443</w:t>
            </w:r>
          </w:p>
        </w:tc>
      </w:tr>
      <w:tr w:rsidR="00D316F8" w:rsidRPr="008060EF" w14:paraId="4699713E" w14:textId="77777777" w:rsidTr="00D316F8">
        <w:tc>
          <w:tcPr>
            <w:tcW w:w="1418" w:type="dxa"/>
            <w:tcBorders>
              <w:top w:val="nil"/>
              <w:left w:val="nil"/>
              <w:bottom w:val="single" w:sz="4" w:space="0" w:color="auto"/>
              <w:right w:val="nil"/>
            </w:tcBorders>
            <w:shd w:val="clear" w:color="auto" w:fill="auto"/>
          </w:tcPr>
          <w:p w14:paraId="4167A94D" w14:textId="73AA8E20" w:rsidR="00091F46" w:rsidRPr="00D316F8" w:rsidRDefault="00091F46" w:rsidP="005B4C73">
            <w:pPr>
              <w:spacing w:line="480" w:lineRule="auto"/>
            </w:pPr>
            <w:r w:rsidRPr="00D316F8">
              <w:t xml:space="preserve">Partial </w:t>
            </w:r>
            <w:r w:rsidR="00C12116" w:rsidRPr="00D316F8">
              <w:t>S</w:t>
            </w:r>
            <w:r w:rsidRPr="00D316F8">
              <w:t>calar</w:t>
            </w:r>
          </w:p>
        </w:tc>
        <w:tc>
          <w:tcPr>
            <w:tcW w:w="1134" w:type="dxa"/>
            <w:tcBorders>
              <w:top w:val="nil"/>
              <w:left w:val="nil"/>
              <w:bottom w:val="single" w:sz="4" w:space="0" w:color="auto"/>
              <w:right w:val="nil"/>
            </w:tcBorders>
            <w:shd w:val="clear" w:color="auto" w:fill="auto"/>
          </w:tcPr>
          <w:p w14:paraId="40D6C2D1" w14:textId="77777777" w:rsidR="00091F46" w:rsidRPr="00D316F8" w:rsidRDefault="00091F46" w:rsidP="005B4C73">
            <w:pPr>
              <w:spacing w:line="480" w:lineRule="auto"/>
            </w:pPr>
            <w:r w:rsidRPr="00D316F8">
              <w:t>146.900</w:t>
            </w:r>
          </w:p>
        </w:tc>
        <w:tc>
          <w:tcPr>
            <w:tcW w:w="567" w:type="dxa"/>
            <w:tcBorders>
              <w:top w:val="nil"/>
              <w:left w:val="nil"/>
              <w:bottom w:val="single" w:sz="4" w:space="0" w:color="auto"/>
              <w:right w:val="nil"/>
            </w:tcBorders>
            <w:shd w:val="clear" w:color="auto" w:fill="auto"/>
          </w:tcPr>
          <w:p w14:paraId="09FCAF96" w14:textId="77777777" w:rsidR="00091F46" w:rsidRPr="00D316F8" w:rsidRDefault="00091F46" w:rsidP="005B4C73">
            <w:pPr>
              <w:spacing w:line="480" w:lineRule="auto"/>
            </w:pPr>
            <w:r w:rsidRPr="00D316F8">
              <w:t>48</w:t>
            </w:r>
          </w:p>
        </w:tc>
        <w:tc>
          <w:tcPr>
            <w:tcW w:w="850" w:type="dxa"/>
            <w:tcBorders>
              <w:top w:val="nil"/>
              <w:left w:val="nil"/>
              <w:bottom w:val="single" w:sz="4" w:space="0" w:color="auto"/>
              <w:right w:val="nil"/>
            </w:tcBorders>
            <w:shd w:val="clear" w:color="auto" w:fill="auto"/>
          </w:tcPr>
          <w:p w14:paraId="3DE8B0EF" w14:textId="09CF6012" w:rsidR="00091F46" w:rsidRPr="00D316F8" w:rsidRDefault="00D316F8" w:rsidP="005B4C73">
            <w:pPr>
              <w:spacing w:line="480" w:lineRule="auto"/>
            </w:pPr>
            <w:r>
              <w:t>0</w:t>
            </w:r>
            <w:r w:rsidR="00091F46" w:rsidRPr="00D316F8">
              <w:t>.962</w:t>
            </w:r>
          </w:p>
        </w:tc>
        <w:tc>
          <w:tcPr>
            <w:tcW w:w="1134" w:type="dxa"/>
            <w:tcBorders>
              <w:top w:val="nil"/>
              <w:left w:val="nil"/>
              <w:bottom w:val="single" w:sz="4" w:space="0" w:color="auto"/>
              <w:right w:val="nil"/>
            </w:tcBorders>
            <w:shd w:val="clear" w:color="auto" w:fill="auto"/>
          </w:tcPr>
          <w:p w14:paraId="22D89772" w14:textId="73A54AF5" w:rsidR="00091F46" w:rsidRPr="00D316F8" w:rsidRDefault="00D316F8" w:rsidP="005B4C73">
            <w:pPr>
              <w:spacing w:line="480" w:lineRule="auto"/>
            </w:pPr>
            <w:r>
              <w:t>0</w:t>
            </w:r>
            <w:r w:rsidR="00091F46" w:rsidRPr="00D316F8">
              <w:t>.076</w:t>
            </w:r>
          </w:p>
        </w:tc>
        <w:tc>
          <w:tcPr>
            <w:tcW w:w="993" w:type="dxa"/>
            <w:tcBorders>
              <w:top w:val="nil"/>
              <w:left w:val="nil"/>
              <w:bottom w:val="single" w:sz="4" w:space="0" w:color="auto"/>
              <w:right w:val="nil"/>
            </w:tcBorders>
            <w:shd w:val="clear" w:color="auto" w:fill="auto"/>
          </w:tcPr>
          <w:p w14:paraId="6A36A2FD" w14:textId="27399097" w:rsidR="00091F46" w:rsidRPr="00D316F8" w:rsidRDefault="00D316F8" w:rsidP="005B4C73">
            <w:pPr>
              <w:spacing w:line="480" w:lineRule="auto"/>
            </w:pPr>
            <w:r>
              <w:t>0</w:t>
            </w:r>
            <w:r w:rsidR="00091F46" w:rsidRPr="00D316F8">
              <w:t>.047</w:t>
            </w:r>
          </w:p>
        </w:tc>
        <w:tc>
          <w:tcPr>
            <w:tcW w:w="2409" w:type="dxa"/>
            <w:tcBorders>
              <w:top w:val="nil"/>
              <w:left w:val="nil"/>
              <w:bottom w:val="single" w:sz="4" w:space="0" w:color="auto"/>
              <w:right w:val="nil"/>
            </w:tcBorders>
            <w:shd w:val="clear" w:color="auto" w:fill="auto"/>
          </w:tcPr>
          <w:p w14:paraId="4D17B50D" w14:textId="40B328B7" w:rsidR="00091F46" w:rsidRPr="00D316F8" w:rsidRDefault="00091F46" w:rsidP="005B4C73">
            <w:pPr>
              <w:spacing w:line="480" w:lineRule="auto"/>
            </w:pPr>
            <w:r w:rsidRPr="00D316F8">
              <w:t xml:space="preserve">Metric vs. </w:t>
            </w:r>
            <w:r w:rsidR="00C12116" w:rsidRPr="00D316F8">
              <w:t>P</w:t>
            </w:r>
            <w:r w:rsidRPr="00D316F8">
              <w:t xml:space="preserve">artial </w:t>
            </w:r>
            <w:r w:rsidR="00C12116" w:rsidRPr="00D316F8">
              <w:t>S</w:t>
            </w:r>
            <w:r w:rsidRPr="00D316F8">
              <w:t>calar</w:t>
            </w:r>
          </w:p>
        </w:tc>
        <w:tc>
          <w:tcPr>
            <w:tcW w:w="993" w:type="dxa"/>
            <w:tcBorders>
              <w:top w:val="nil"/>
              <w:left w:val="nil"/>
              <w:bottom w:val="single" w:sz="4" w:space="0" w:color="auto"/>
              <w:right w:val="nil"/>
            </w:tcBorders>
            <w:shd w:val="clear" w:color="auto" w:fill="auto"/>
          </w:tcPr>
          <w:p w14:paraId="21899834" w14:textId="77777777" w:rsidR="00091F46" w:rsidRPr="00D316F8" w:rsidRDefault="00091F46" w:rsidP="005B4C73">
            <w:pPr>
              <w:spacing w:line="480" w:lineRule="auto"/>
            </w:pPr>
            <w:r w:rsidRPr="00D316F8">
              <w:t>15.854</w:t>
            </w:r>
          </w:p>
        </w:tc>
        <w:tc>
          <w:tcPr>
            <w:tcW w:w="850" w:type="dxa"/>
            <w:tcBorders>
              <w:top w:val="nil"/>
              <w:left w:val="nil"/>
              <w:bottom w:val="single" w:sz="4" w:space="0" w:color="auto"/>
              <w:right w:val="nil"/>
            </w:tcBorders>
            <w:shd w:val="clear" w:color="auto" w:fill="auto"/>
          </w:tcPr>
          <w:p w14:paraId="36A0CC9F" w14:textId="666CC6CC" w:rsidR="00091F46" w:rsidRPr="00D316F8" w:rsidRDefault="00D316F8" w:rsidP="005B4C73">
            <w:pPr>
              <w:spacing w:line="480" w:lineRule="auto"/>
            </w:pPr>
            <w:r>
              <w:t>0</w:t>
            </w:r>
            <w:r w:rsidR="00091F46" w:rsidRPr="00D316F8">
              <w:t>.005</w:t>
            </w:r>
          </w:p>
        </w:tc>
        <w:tc>
          <w:tcPr>
            <w:tcW w:w="1134" w:type="dxa"/>
            <w:tcBorders>
              <w:top w:val="nil"/>
              <w:left w:val="nil"/>
              <w:bottom w:val="single" w:sz="4" w:space="0" w:color="auto"/>
              <w:right w:val="nil"/>
            </w:tcBorders>
            <w:shd w:val="clear" w:color="auto" w:fill="auto"/>
          </w:tcPr>
          <w:p w14:paraId="51D6BF69" w14:textId="7613670F" w:rsidR="00091F46" w:rsidRPr="00D316F8" w:rsidRDefault="00D316F8" w:rsidP="005B4C73">
            <w:pPr>
              <w:spacing w:line="480" w:lineRule="auto"/>
            </w:pPr>
            <w:r>
              <w:t>0</w:t>
            </w:r>
            <w:r w:rsidR="00091F46" w:rsidRPr="00D316F8">
              <w:t>.003</w:t>
            </w:r>
          </w:p>
        </w:tc>
        <w:tc>
          <w:tcPr>
            <w:tcW w:w="709" w:type="dxa"/>
            <w:tcBorders>
              <w:top w:val="nil"/>
              <w:left w:val="nil"/>
              <w:bottom w:val="single" w:sz="4" w:space="0" w:color="auto"/>
              <w:right w:val="nil"/>
            </w:tcBorders>
            <w:shd w:val="clear" w:color="auto" w:fill="auto"/>
          </w:tcPr>
          <w:p w14:paraId="3679FC35" w14:textId="77777777" w:rsidR="00091F46" w:rsidRPr="00D316F8" w:rsidRDefault="00091F46" w:rsidP="005B4C73">
            <w:pPr>
              <w:spacing w:line="480" w:lineRule="auto"/>
            </w:pPr>
            <w:r w:rsidRPr="00D316F8">
              <w:t>3</w:t>
            </w:r>
          </w:p>
        </w:tc>
        <w:tc>
          <w:tcPr>
            <w:tcW w:w="1013" w:type="dxa"/>
            <w:tcBorders>
              <w:top w:val="nil"/>
              <w:left w:val="nil"/>
              <w:bottom w:val="single" w:sz="4" w:space="0" w:color="auto"/>
              <w:right w:val="nil"/>
            </w:tcBorders>
            <w:shd w:val="clear" w:color="auto" w:fill="auto"/>
          </w:tcPr>
          <w:p w14:paraId="00CD47A9" w14:textId="61659A51" w:rsidR="00091F46" w:rsidRPr="00D316F8" w:rsidRDefault="003F06AC" w:rsidP="005B4C73">
            <w:pPr>
              <w:spacing w:line="480" w:lineRule="auto"/>
            </w:pPr>
            <w:r w:rsidRPr="00D316F8">
              <w:t xml:space="preserve">&lt; </w:t>
            </w:r>
            <w:r w:rsidR="00D316F8">
              <w:t>0</w:t>
            </w:r>
            <w:r w:rsidR="00091F46" w:rsidRPr="00D316F8">
              <w:t>.001</w:t>
            </w:r>
          </w:p>
        </w:tc>
        <w:tc>
          <w:tcPr>
            <w:tcW w:w="756" w:type="dxa"/>
            <w:tcBorders>
              <w:top w:val="nil"/>
              <w:left w:val="nil"/>
              <w:bottom w:val="single" w:sz="4" w:space="0" w:color="auto"/>
              <w:right w:val="nil"/>
            </w:tcBorders>
            <w:shd w:val="clear" w:color="auto" w:fill="auto"/>
          </w:tcPr>
          <w:p w14:paraId="5E42E008" w14:textId="11DDF69C" w:rsidR="00091F46" w:rsidRPr="00D316F8" w:rsidRDefault="00D316F8" w:rsidP="005B4C73">
            <w:pPr>
              <w:spacing w:line="480" w:lineRule="auto"/>
            </w:pPr>
            <w:r>
              <w:t>0</w:t>
            </w:r>
            <w:r w:rsidR="00091F46" w:rsidRPr="00D316F8">
              <w:t>.433</w:t>
            </w:r>
          </w:p>
        </w:tc>
      </w:tr>
    </w:tbl>
    <w:p w14:paraId="3C4A162C" w14:textId="4F724D97" w:rsidR="00677645" w:rsidRPr="00776E9E" w:rsidRDefault="000851B5" w:rsidP="005B4C73">
      <w:pPr>
        <w:autoSpaceDE w:val="0"/>
        <w:autoSpaceDN w:val="0"/>
        <w:adjustRightInd w:val="0"/>
        <w:spacing w:line="480" w:lineRule="auto"/>
        <w:rPr>
          <w:rFonts w:eastAsiaTheme="minorHAnsi"/>
          <w:i/>
          <w:iCs/>
          <w:sz w:val="22"/>
          <w:szCs w:val="22"/>
          <w:lang w:val="en-MY"/>
        </w:rPr>
      </w:pPr>
      <w:r w:rsidRPr="00776E9E">
        <w:rPr>
          <w:rFonts w:asciiTheme="majorBidi" w:hAnsiTheme="majorBidi" w:cstheme="majorBidi"/>
          <w:i/>
          <w:iCs/>
          <w:sz w:val="22"/>
          <w:szCs w:val="22"/>
        </w:rPr>
        <w:t xml:space="preserve">Note. </w:t>
      </w:r>
      <w:r w:rsidRPr="00776E9E">
        <w:rPr>
          <w:rFonts w:asciiTheme="majorBidi" w:hAnsiTheme="majorBidi" w:cstheme="majorBidi"/>
          <w:sz w:val="22"/>
          <w:szCs w:val="22"/>
        </w:rPr>
        <w:t>χ</w:t>
      </w:r>
      <w:r w:rsidRPr="005B4C73">
        <w:rPr>
          <w:rFonts w:asciiTheme="majorBidi" w:hAnsiTheme="majorBidi" w:cstheme="majorBidi"/>
          <w:sz w:val="22"/>
          <w:szCs w:val="22"/>
          <w:vertAlign w:val="superscript"/>
        </w:rPr>
        <w:t>2</w:t>
      </w:r>
      <w:r w:rsidRPr="00776E9E">
        <w:rPr>
          <w:rFonts w:asciiTheme="majorBidi" w:hAnsiTheme="majorBidi" w:cstheme="majorBidi"/>
          <w:sz w:val="22"/>
          <w:szCs w:val="22"/>
        </w:rPr>
        <w:t xml:space="preserve"> = chi-square, df = degrees of freedom, </w:t>
      </w:r>
      <w:r w:rsidRPr="00776E9E">
        <w:rPr>
          <w:rFonts w:asciiTheme="majorBidi" w:eastAsia="Arial Unicode MS" w:hAnsiTheme="majorBidi" w:cstheme="majorBidi"/>
          <w:sz w:val="22"/>
          <w:szCs w:val="22"/>
        </w:rPr>
        <w:t>CFI = comparative fit index,</w:t>
      </w:r>
      <w:r w:rsidRPr="00776E9E">
        <w:rPr>
          <w:rFonts w:asciiTheme="majorBidi" w:hAnsiTheme="majorBidi" w:cstheme="majorBidi"/>
          <w:sz w:val="22"/>
          <w:szCs w:val="22"/>
        </w:rPr>
        <w:t xml:space="preserve"> RMSEA = </w:t>
      </w:r>
      <w:proofErr w:type="spellStart"/>
      <w:r w:rsidRPr="00776E9E">
        <w:rPr>
          <w:rFonts w:asciiTheme="majorBidi" w:eastAsia="Arial Unicode MS" w:hAnsiTheme="majorBidi" w:cstheme="majorBidi"/>
          <w:sz w:val="22"/>
          <w:szCs w:val="22"/>
        </w:rPr>
        <w:t>Steiger</w:t>
      </w:r>
      <w:proofErr w:type="spellEnd"/>
      <w:r w:rsidRPr="00776E9E">
        <w:rPr>
          <w:rFonts w:asciiTheme="majorBidi" w:eastAsia="Arial Unicode MS" w:hAnsiTheme="majorBidi" w:cstheme="majorBidi"/>
          <w:sz w:val="22"/>
          <w:szCs w:val="22"/>
        </w:rPr>
        <w:t xml:space="preserve">-Lind root mean square error of approximation, SRMR = standardised root </w:t>
      </w:r>
      <w:proofErr w:type="gramStart"/>
      <w:r w:rsidRPr="00776E9E">
        <w:rPr>
          <w:rFonts w:asciiTheme="majorBidi" w:eastAsia="Arial Unicode MS" w:hAnsiTheme="majorBidi" w:cstheme="majorBidi"/>
          <w:sz w:val="22"/>
          <w:szCs w:val="22"/>
        </w:rPr>
        <w:t>mean</w:t>
      </w:r>
      <w:proofErr w:type="gramEnd"/>
      <w:r w:rsidRPr="00776E9E">
        <w:rPr>
          <w:rFonts w:asciiTheme="majorBidi" w:eastAsia="Arial Unicode MS" w:hAnsiTheme="majorBidi" w:cstheme="majorBidi"/>
          <w:sz w:val="22"/>
          <w:szCs w:val="22"/>
        </w:rPr>
        <w:t xml:space="preserve"> square residual, </w:t>
      </w:r>
      <w:r w:rsidR="00776E9E" w:rsidRPr="00776E9E">
        <w:rPr>
          <w:rFonts w:asciiTheme="majorBidi" w:eastAsia="Arial Unicode MS" w:hAnsiTheme="majorBidi" w:cstheme="majorBidi"/>
          <w:sz w:val="22"/>
          <w:szCs w:val="22"/>
        </w:rPr>
        <w:t xml:space="preserve">PGFI = </w:t>
      </w:r>
      <w:r w:rsidR="00776E9E">
        <w:rPr>
          <w:rFonts w:asciiTheme="majorBidi" w:eastAsia="Arial Unicode MS" w:hAnsiTheme="majorBidi" w:cstheme="majorBidi"/>
          <w:sz w:val="22"/>
          <w:szCs w:val="22"/>
        </w:rPr>
        <w:t>p</w:t>
      </w:r>
      <w:r w:rsidR="00776E9E" w:rsidRPr="00776E9E">
        <w:rPr>
          <w:rFonts w:asciiTheme="majorBidi" w:eastAsia="Arial Unicode MS" w:hAnsiTheme="majorBidi" w:cstheme="majorBidi"/>
          <w:sz w:val="22"/>
          <w:szCs w:val="22"/>
        </w:rPr>
        <w:t xml:space="preserve">arsimonious </w:t>
      </w:r>
      <w:r w:rsidR="00776E9E">
        <w:rPr>
          <w:rFonts w:asciiTheme="majorBidi" w:eastAsia="Arial Unicode MS" w:hAnsiTheme="majorBidi" w:cstheme="majorBidi"/>
          <w:sz w:val="22"/>
          <w:szCs w:val="22"/>
        </w:rPr>
        <w:t>g</w:t>
      </w:r>
      <w:r w:rsidR="00776E9E" w:rsidRPr="00776E9E">
        <w:rPr>
          <w:rFonts w:asciiTheme="majorBidi" w:eastAsia="Arial Unicode MS" w:hAnsiTheme="majorBidi" w:cstheme="majorBidi"/>
          <w:sz w:val="22"/>
          <w:szCs w:val="22"/>
        </w:rPr>
        <w:t xml:space="preserve">oodness of fit </w:t>
      </w:r>
      <w:r w:rsidR="00776E9E">
        <w:rPr>
          <w:rFonts w:asciiTheme="majorBidi" w:eastAsia="Arial Unicode MS" w:hAnsiTheme="majorBidi" w:cstheme="majorBidi"/>
          <w:sz w:val="22"/>
          <w:szCs w:val="22"/>
        </w:rPr>
        <w:t>i</w:t>
      </w:r>
      <w:r w:rsidR="00776E9E" w:rsidRPr="00776E9E">
        <w:rPr>
          <w:rFonts w:asciiTheme="majorBidi" w:eastAsia="Arial Unicode MS" w:hAnsiTheme="majorBidi" w:cstheme="majorBidi"/>
          <w:sz w:val="22"/>
          <w:szCs w:val="22"/>
        </w:rPr>
        <w:t>ndex</w:t>
      </w:r>
    </w:p>
    <w:p w14:paraId="0141718D" w14:textId="77777777" w:rsidR="00677645" w:rsidRDefault="00677645" w:rsidP="007B479A">
      <w:pPr>
        <w:autoSpaceDE w:val="0"/>
        <w:autoSpaceDN w:val="0"/>
        <w:adjustRightInd w:val="0"/>
        <w:spacing w:line="480" w:lineRule="auto"/>
        <w:rPr>
          <w:rFonts w:eastAsiaTheme="minorHAnsi"/>
          <w:i/>
          <w:iCs/>
          <w:lang w:val="en-MY"/>
        </w:rPr>
      </w:pPr>
    </w:p>
    <w:p w14:paraId="1A4B4529" w14:textId="77777777" w:rsidR="00223209" w:rsidRDefault="00223209">
      <w:pPr>
        <w:rPr>
          <w:i/>
        </w:rPr>
      </w:pPr>
      <w:r>
        <w:rPr>
          <w:i/>
        </w:rPr>
        <w:br w:type="page"/>
      </w:r>
    </w:p>
    <w:p w14:paraId="0F388880" w14:textId="2443DCFD" w:rsidR="00215D3C" w:rsidRPr="005B4C73" w:rsidRDefault="00215D3C" w:rsidP="005B4C73">
      <w:pPr>
        <w:spacing w:line="480" w:lineRule="auto"/>
        <w:rPr>
          <w:bCs/>
          <w:i/>
          <w:iCs/>
        </w:rPr>
      </w:pPr>
      <w:r w:rsidRPr="005B4C73">
        <w:lastRenderedPageBreak/>
        <w:t xml:space="preserve">Table </w:t>
      </w:r>
      <w:r w:rsidR="00091F46" w:rsidRPr="005B4C73">
        <w:t>4</w:t>
      </w:r>
      <w:r w:rsidRPr="00C12116">
        <w:rPr>
          <w:i/>
        </w:rPr>
        <w:t xml:space="preserve">. </w:t>
      </w:r>
      <w:r w:rsidRPr="005B4C73">
        <w:rPr>
          <w:i/>
          <w:iCs/>
        </w:rPr>
        <w:t xml:space="preserve">Correlation Matrix for the Schizotypal Personality Questionnaire </w:t>
      </w:r>
      <w:r w:rsidR="00776E9E" w:rsidRPr="005B4C73">
        <w:rPr>
          <w:i/>
          <w:iCs/>
        </w:rPr>
        <w:t>Domains</w:t>
      </w:r>
      <w:r w:rsidRPr="005B4C73">
        <w:rPr>
          <w:i/>
          <w:iCs/>
        </w:rPr>
        <w:t>,</w:t>
      </w:r>
      <w:r w:rsidR="00776E9E" w:rsidRPr="005B4C73">
        <w:rPr>
          <w:i/>
          <w:iCs/>
        </w:rPr>
        <w:t xml:space="preserve"> Quality of Life,</w:t>
      </w:r>
      <w:r w:rsidRPr="005B4C73">
        <w:rPr>
          <w:i/>
          <w:iCs/>
        </w:rPr>
        <w:t xml:space="preserve"> </w:t>
      </w:r>
      <w:r w:rsidRPr="005B4C73">
        <w:rPr>
          <w:bCs/>
          <w:i/>
          <w:iCs/>
        </w:rPr>
        <w:t>Self-Esteem</w:t>
      </w:r>
      <w:r w:rsidR="00776E9E" w:rsidRPr="005B4C73">
        <w:rPr>
          <w:bCs/>
          <w:i/>
          <w:iCs/>
        </w:rPr>
        <w:t>, and</w:t>
      </w:r>
      <w:r w:rsidRPr="005B4C73">
        <w:rPr>
          <w:bCs/>
          <w:i/>
          <w:iCs/>
        </w:rPr>
        <w:t xml:space="preserve"> Satisfaction </w:t>
      </w:r>
    </w:p>
    <w:p w14:paraId="56F82483" w14:textId="57D74A1F" w:rsidR="00215D3C" w:rsidRPr="00C12116" w:rsidRDefault="00215D3C" w:rsidP="005B4C73">
      <w:pPr>
        <w:spacing w:line="480" w:lineRule="auto"/>
        <w:rPr>
          <w:i/>
          <w:sz w:val="22"/>
          <w:szCs w:val="22"/>
        </w:rPr>
      </w:pPr>
      <w:r w:rsidRPr="005B4C73">
        <w:rPr>
          <w:bCs/>
          <w:i/>
          <w:iCs/>
        </w:rPr>
        <w:t xml:space="preserve">with Life </w:t>
      </w:r>
      <w:r w:rsidRPr="005B4C73">
        <w:rPr>
          <w:i/>
          <w:iCs/>
        </w:rPr>
        <w:t>in the Present Study</w:t>
      </w:r>
      <w:r w:rsidR="007B479A">
        <w:rPr>
          <w:i/>
          <w:iCs/>
        </w:rPr>
        <w:t>.</w:t>
      </w:r>
    </w:p>
    <w:tbl>
      <w:tblPr>
        <w:tblW w:w="11816" w:type="dxa"/>
        <w:tblInd w:w="-65" w:type="dxa"/>
        <w:tblBorders>
          <w:insideH w:val="single" w:sz="4" w:space="0" w:color="auto"/>
        </w:tblBorders>
        <w:tblLook w:val="04A0" w:firstRow="1" w:lastRow="0" w:firstColumn="1" w:lastColumn="0" w:noHBand="0" w:noVBand="1"/>
      </w:tblPr>
      <w:tblGrid>
        <w:gridCol w:w="3314"/>
        <w:gridCol w:w="1134"/>
        <w:gridCol w:w="1134"/>
        <w:gridCol w:w="1166"/>
        <w:gridCol w:w="1134"/>
        <w:gridCol w:w="1435"/>
        <w:gridCol w:w="1286"/>
        <w:gridCol w:w="1213"/>
      </w:tblGrid>
      <w:tr w:rsidR="00102BFC" w:rsidRPr="00A43EB0" w14:paraId="14FFC3B4" w14:textId="77777777" w:rsidTr="00833F3B">
        <w:trPr>
          <w:trHeight w:val="315"/>
        </w:trPr>
        <w:tc>
          <w:tcPr>
            <w:tcW w:w="3104" w:type="dxa"/>
            <w:tcBorders>
              <w:top w:val="single" w:sz="4" w:space="0" w:color="auto"/>
              <w:bottom w:val="single" w:sz="4" w:space="0" w:color="auto"/>
            </w:tcBorders>
            <w:shd w:val="clear" w:color="auto" w:fill="auto"/>
            <w:vAlign w:val="bottom"/>
          </w:tcPr>
          <w:p w14:paraId="167044A4" w14:textId="77777777" w:rsidR="00102BFC" w:rsidRPr="00A43EB0" w:rsidRDefault="00102BFC" w:rsidP="007B479A">
            <w:pPr>
              <w:spacing w:line="480" w:lineRule="auto"/>
              <w:rPr>
                <w:color w:val="000000" w:themeColor="text1"/>
                <w:sz w:val="20"/>
                <w:szCs w:val="20"/>
              </w:rPr>
            </w:pPr>
          </w:p>
        </w:tc>
        <w:tc>
          <w:tcPr>
            <w:tcW w:w="1134" w:type="dxa"/>
            <w:tcBorders>
              <w:top w:val="single" w:sz="4" w:space="0" w:color="auto"/>
              <w:bottom w:val="single" w:sz="4" w:space="0" w:color="auto"/>
            </w:tcBorders>
            <w:shd w:val="clear" w:color="auto" w:fill="auto"/>
            <w:vAlign w:val="bottom"/>
          </w:tcPr>
          <w:p w14:paraId="6C06180C" w14:textId="77777777" w:rsidR="00102BFC" w:rsidRPr="00A43EB0" w:rsidRDefault="00102BFC">
            <w:pPr>
              <w:spacing w:line="480" w:lineRule="auto"/>
              <w:rPr>
                <w:color w:val="000000" w:themeColor="text1"/>
                <w:sz w:val="20"/>
                <w:szCs w:val="20"/>
              </w:rPr>
            </w:pPr>
            <w:r w:rsidRPr="00A43EB0">
              <w:rPr>
                <w:color w:val="000000" w:themeColor="text1"/>
                <w:sz w:val="20"/>
                <w:szCs w:val="20"/>
              </w:rPr>
              <w:t>(1)</w:t>
            </w:r>
          </w:p>
        </w:tc>
        <w:tc>
          <w:tcPr>
            <w:tcW w:w="1134" w:type="dxa"/>
            <w:tcBorders>
              <w:top w:val="single" w:sz="4" w:space="0" w:color="auto"/>
              <w:bottom w:val="single" w:sz="4" w:space="0" w:color="auto"/>
            </w:tcBorders>
            <w:shd w:val="clear" w:color="auto" w:fill="auto"/>
            <w:vAlign w:val="bottom"/>
          </w:tcPr>
          <w:p w14:paraId="40D587B5" w14:textId="77777777" w:rsidR="00102BFC" w:rsidRPr="00A43EB0" w:rsidRDefault="00102BFC">
            <w:pPr>
              <w:spacing w:line="480" w:lineRule="auto"/>
              <w:rPr>
                <w:color w:val="000000" w:themeColor="text1"/>
                <w:sz w:val="20"/>
                <w:szCs w:val="20"/>
              </w:rPr>
            </w:pPr>
            <w:r w:rsidRPr="00A43EB0">
              <w:rPr>
                <w:color w:val="000000" w:themeColor="text1"/>
                <w:sz w:val="20"/>
                <w:szCs w:val="20"/>
              </w:rPr>
              <w:t>(2)</w:t>
            </w:r>
          </w:p>
        </w:tc>
        <w:tc>
          <w:tcPr>
            <w:tcW w:w="1166" w:type="dxa"/>
            <w:tcBorders>
              <w:top w:val="single" w:sz="4" w:space="0" w:color="auto"/>
              <w:bottom w:val="single" w:sz="4" w:space="0" w:color="auto"/>
            </w:tcBorders>
            <w:shd w:val="clear" w:color="auto" w:fill="auto"/>
            <w:vAlign w:val="bottom"/>
          </w:tcPr>
          <w:p w14:paraId="5AC414A0" w14:textId="77777777" w:rsidR="00102BFC" w:rsidRPr="00A43EB0" w:rsidRDefault="00102BFC">
            <w:pPr>
              <w:spacing w:line="480" w:lineRule="auto"/>
              <w:rPr>
                <w:color w:val="000000" w:themeColor="text1"/>
                <w:sz w:val="20"/>
                <w:szCs w:val="20"/>
              </w:rPr>
            </w:pPr>
            <w:r w:rsidRPr="00A43EB0">
              <w:rPr>
                <w:color w:val="000000" w:themeColor="text1"/>
                <w:sz w:val="20"/>
                <w:szCs w:val="20"/>
              </w:rPr>
              <w:t>(3)</w:t>
            </w:r>
          </w:p>
        </w:tc>
        <w:tc>
          <w:tcPr>
            <w:tcW w:w="1134" w:type="dxa"/>
            <w:tcBorders>
              <w:top w:val="single" w:sz="4" w:space="0" w:color="auto"/>
              <w:bottom w:val="single" w:sz="4" w:space="0" w:color="auto"/>
            </w:tcBorders>
            <w:shd w:val="clear" w:color="auto" w:fill="auto"/>
            <w:vAlign w:val="bottom"/>
          </w:tcPr>
          <w:p w14:paraId="2F583137" w14:textId="77777777" w:rsidR="00102BFC" w:rsidRPr="00A43EB0" w:rsidRDefault="00102BFC">
            <w:pPr>
              <w:spacing w:line="480" w:lineRule="auto"/>
              <w:rPr>
                <w:color w:val="000000" w:themeColor="text1"/>
                <w:sz w:val="20"/>
                <w:szCs w:val="20"/>
              </w:rPr>
            </w:pPr>
            <w:r w:rsidRPr="00A43EB0">
              <w:rPr>
                <w:color w:val="000000" w:themeColor="text1"/>
                <w:sz w:val="20"/>
                <w:szCs w:val="20"/>
              </w:rPr>
              <w:t>(4)</w:t>
            </w:r>
          </w:p>
        </w:tc>
        <w:tc>
          <w:tcPr>
            <w:tcW w:w="1435" w:type="dxa"/>
            <w:tcBorders>
              <w:top w:val="single" w:sz="4" w:space="0" w:color="auto"/>
              <w:bottom w:val="single" w:sz="4" w:space="0" w:color="auto"/>
            </w:tcBorders>
            <w:shd w:val="clear" w:color="auto" w:fill="auto"/>
            <w:vAlign w:val="bottom"/>
          </w:tcPr>
          <w:p w14:paraId="6564E4D1" w14:textId="77777777" w:rsidR="00102BFC" w:rsidRPr="00A43EB0" w:rsidRDefault="00102BFC">
            <w:pPr>
              <w:spacing w:line="480" w:lineRule="auto"/>
              <w:rPr>
                <w:color w:val="000000" w:themeColor="text1"/>
                <w:sz w:val="20"/>
                <w:szCs w:val="20"/>
              </w:rPr>
            </w:pPr>
            <w:r w:rsidRPr="00A43EB0">
              <w:rPr>
                <w:color w:val="000000" w:themeColor="text1"/>
                <w:sz w:val="20"/>
                <w:szCs w:val="20"/>
              </w:rPr>
              <w:t>(5)</w:t>
            </w:r>
          </w:p>
        </w:tc>
        <w:tc>
          <w:tcPr>
            <w:tcW w:w="1286" w:type="dxa"/>
            <w:tcBorders>
              <w:top w:val="single" w:sz="4" w:space="0" w:color="auto"/>
              <w:bottom w:val="single" w:sz="4" w:space="0" w:color="auto"/>
            </w:tcBorders>
            <w:shd w:val="clear" w:color="auto" w:fill="auto"/>
            <w:vAlign w:val="bottom"/>
          </w:tcPr>
          <w:p w14:paraId="6AAB1DF5" w14:textId="77777777" w:rsidR="00102BFC" w:rsidRPr="00A43EB0" w:rsidRDefault="00102BFC">
            <w:pPr>
              <w:spacing w:line="480" w:lineRule="auto"/>
              <w:rPr>
                <w:color w:val="000000" w:themeColor="text1"/>
                <w:sz w:val="20"/>
                <w:szCs w:val="20"/>
              </w:rPr>
            </w:pPr>
            <w:r w:rsidRPr="00A43EB0">
              <w:rPr>
                <w:color w:val="000000" w:themeColor="text1"/>
                <w:sz w:val="20"/>
                <w:szCs w:val="20"/>
              </w:rPr>
              <w:t>(6)</w:t>
            </w:r>
          </w:p>
        </w:tc>
        <w:tc>
          <w:tcPr>
            <w:tcW w:w="1423" w:type="dxa"/>
            <w:tcBorders>
              <w:top w:val="single" w:sz="4" w:space="0" w:color="auto"/>
              <w:bottom w:val="single" w:sz="4" w:space="0" w:color="auto"/>
            </w:tcBorders>
          </w:tcPr>
          <w:p w14:paraId="41A93FC2" w14:textId="77777777" w:rsidR="00102BFC" w:rsidRPr="00A43EB0" w:rsidRDefault="00102BFC">
            <w:pPr>
              <w:spacing w:line="480" w:lineRule="auto"/>
              <w:rPr>
                <w:color w:val="000000" w:themeColor="text1"/>
                <w:sz w:val="20"/>
                <w:szCs w:val="20"/>
              </w:rPr>
            </w:pPr>
            <w:r w:rsidRPr="00A43EB0">
              <w:rPr>
                <w:color w:val="000000" w:themeColor="text1"/>
                <w:sz w:val="20"/>
                <w:szCs w:val="20"/>
              </w:rPr>
              <w:t>(7)</w:t>
            </w:r>
          </w:p>
        </w:tc>
      </w:tr>
      <w:tr w:rsidR="00102BFC" w:rsidRPr="00A43EB0" w14:paraId="0A44D98B" w14:textId="77777777" w:rsidTr="00833F3B">
        <w:trPr>
          <w:trHeight w:val="375"/>
        </w:trPr>
        <w:tc>
          <w:tcPr>
            <w:tcW w:w="3104" w:type="dxa"/>
            <w:tcBorders>
              <w:top w:val="single" w:sz="4" w:space="0" w:color="auto"/>
              <w:bottom w:val="nil"/>
            </w:tcBorders>
            <w:shd w:val="clear" w:color="auto" w:fill="auto"/>
            <w:hideMark/>
          </w:tcPr>
          <w:p w14:paraId="33039C25" w14:textId="77777777" w:rsidR="00102BFC" w:rsidRPr="00A43EB0" w:rsidRDefault="00102BFC" w:rsidP="007B479A">
            <w:pPr>
              <w:spacing w:line="480" w:lineRule="auto"/>
              <w:rPr>
                <w:color w:val="000000" w:themeColor="text1"/>
                <w:sz w:val="20"/>
                <w:szCs w:val="20"/>
              </w:rPr>
            </w:pPr>
            <w:r w:rsidRPr="00A43EB0">
              <w:rPr>
                <w:color w:val="000000" w:themeColor="text1"/>
                <w:sz w:val="20"/>
                <w:szCs w:val="20"/>
              </w:rPr>
              <w:t>(1) SPQ – Disorganised</w:t>
            </w:r>
          </w:p>
        </w:tc>
        <w:tc>
          <w:tcPr>
            <w:tcW w:w="1134" w:type="dxa"/>
            <w:tcBorders>
              <w:top w:val="single" w:sz="4" w:space="0" w:color="auto"/>
              <w:bottom w:val="nil"/>
            </w:tcBorders>
            <w:shd w:val="clear" w:color="auto" w:fill="auto"/>
            <w:noWrap/>
          </w:tcPr>
          <w:p w14:paraId="2C8A036C" w14:textId="77777777" w:rsidR="00102BFC" w:rsidRPr="00A43EB0" w:rsidRDefault="00102BFC">
            <w:pPr>
              <w:spacing w:line="480" w:lineRule="auto"/>
              <w:ind w:right="400"/>
              <w:rPr>
                <w:color w:val="000000" w:themeColor="text1"/>
                <w:sz w:val="20"/>
                <w:szCs w:val="20"/>
              </w:rPr>
            </w:pPr>
            <w:r w:rsidRPr="00A43EB0">
              <w:rPr>
                <w:color w:val="000000" w:themeColor="text1"/>
                <w:sz w:val="20"/>
                <w:szCs w:val="20"/>
              </w:rPr>
              <w:t xml:space="preserve">     </w:t>
            </w:r>
          </w:p>
        </w:tc>
        <w:tc>
          <w:tcPr>
            <w:tcW w:w="1134" w:type="dxa"/>
            <w:tcBorders>
              <w:top w:val="single" w:sz="4" w:space="0" w:color="auto"/>
              <w:bottom w:val="nil"/>
            </w:tcBorders>
            <w:shd w:val="clear" w:color="auto" w:fill="auto"/>
            <w:noWrap/>
          </w:tcPr>
          <w:p w14:paraId="45B200C1" w14:textId="0B4A88B4" w:rsidR="00102BFC" w:rsidRPr="00A43EB0" w:rsidRDefault="00D316F8">
            <w:pPr>
              <w:spacing w:line="480" w:lineRule="auto"/>
              <w:ind w:right="300"/>
              <w:rPr>
                <w:color w:val="000000" w:themeColor="text1"/>
                <w:sz w:val="20"/>
                <w:szCs w:val="20"/>
              </w:rPr>
            </w:pPr>
            <w:r>
              <w:rPr>
                <w:color w:val="000000" w:themeColor="text1"/>
                <w:sz w:val="20"/>
                <w:szCs w:val="20"/>
              </w:rPr>
              <w:t>0</w:t>
            </w:r>
            <w:r w:rsidR="00102BFC" w:rsidRPr="00A43EB0">
              <w:rPr>
                <w:color w:val="000000" w:themeColor="text1"/>
                <w:sz w:val="20"/>
                <w:szCs w:val="20"/>
              </w:rPr>
              <w:t>.48</w:t>
            </w:r>
          </w:p>
        </w:tc>
        <w:tc>
          <w:tcPr>
            <w:tcW w:w="1166" w:type="dxa"/>
            <w:tcBorders>
              <w:top w:val="single" w:sz="4" w:space="0" w:color="auto"/>
              <w:bottom w:val="nil"/>
            </w:tcBorders>
            <w:shd w:val="clear" w:color="auto" w:fill="auto"/>
            <w:noWrap/>
          </w:tcPr>
          <w:p w14:paraId="58D3C0A2" w14:textId="456B268D" w:rsidR="00102BFC" w:rsidRPr="00A43EB0" w:rsidRDefault="00D316F8">
            <w:pPr>
              <w:spacing w:line="480" w:lineRule="auto"/>
              <w:ind w:right="400"/>
              <w:rPr>
                <w:color w:val="000000" w:themeColor="text1"/>
                <w:sz w:val="20"/>
                <w:szCs w:val="20"/>
              </w:rPr>
            </w:pPr>
            <w:r>
              <w:rPr>
                <w:color w:val="000000" w:themeColor="text1"/>
                <w:sz w:val="20"/>
                <w:szCs w:val="20"/>
              </w:rPr>
              <w:t>0</w:t>
            </w:r>
            <w:r w:rsidR="00102BFC" w:rsidRPr="00A43EB0">
              <w:rPr>
                <w:color w:val="000000" w:themeColor="text1"/>
                <w:sz w:val="20"/>
                <w:szCs w:val="20"/>
              </w:rPr>
              <w:t>.54</w:t>
            </w:r>
          </w:p>
        </w:tc>
        <w:tc>
          <w:tcPr>
            <w:tcW w:w="1134" w:type="dxa"/>
            <w:tcBorders>
              <w:top w:val="single" w:sz="4" w:space="0" w:color="auto"/>
              <w:bottom w:val="nil"/>
            </w:tcBorders>
            <w:shd w:val="clear" w:color="auto" w:fill="auto"/>
            <w:noWrap/>
          </w:tcPr>
          <w:p w14:paraId="4E91DC7E" w14:textId="3AB2BBCD" w:rsidR="00102BFC" w:rsidRPr="00A43EB0" w:rsidRDefault="00D316F8">
            <w:pPr>
              <w:spacing w:line="480" w:lineRule="auto"/>
              <w:rPr>
                <w:color w:val="000000" w:themeColor="text1"/>
                <w:sz w:val="20"/>
                <w:szCs w:val="20"/>
              </w:rPr>
            </w:pPr>
            <w:r>
              <w:rPr>
                <w:color w:val="000000" w:themeColor="text1"/>
                <w:sz w:val="20"/>
                <w:szCs w:val="20"/>
              </w:rPr>
              <w:t>0</w:t>
            </w:r>
            <w:r w:rsidR="00102BFC" w:rsidRPr="00A43EB0">
              <w:rPr>
                <w:color w:val="000000" w:themeColor="text1"/>
                <w:sz w:val="20"/>
                <w:szCs w:val="20"/>
              </w:rPr>
              <w:t>.59</w:t>
            </w:r>
          </w:p>
        </w:tc>
        <w:tc>
          <w:tcPr>
            <w:tcW w:w="1435" w:type="dxa"/>
            <w:tcBorders>
              <w:top w:val="single" w:sz="4" w:space="0" w:color="auto"/>
              <w:bottom w:val="nil"/>
            </w:tcBorders>
            <w:shd w:val="clear" w:color="auto" w:fill="auto"/>
            <w:noWrap/>
          </w:tcPr>
          <w:p w14:paraId="4CC4BF37" w14:textId="18DABF24" w:rsidR="00102BFC" w:rsidRPr="00A43EB0" w:rsidRDefault="00102BFC">
            <w:pPr>
              <w:spacing w:line="480" w:lineRule="auto"/>
              <w:rPr>
                <w:color w:val="000000" w:themeColor="text1"/>
                <w:sz w:val="20"/>
                <w:szCs w:val="20"/>
              </w:rPr>
            </w:pPr>
            <w:r w:rsidRPr="00A43EB0">
              <w:rPr>
                <w:color w:val="000000" w:themeColor="text1"/>
                <w:sz w:val="20"/>
                <w:szCs w:val="20"/>
              </w:rPr>
              <w:t>-</w:t>
            </w:r>
            <w:r w:rsidR="00C935F1">
              <w:rPr>
                <w:color w:val="000000" w:themeColor="text1"/>
                <w:sz w:val="20"/>
                <w:szCs w:val="20"/>
              </w:rPr>
              <w:t>0</w:t>
            </w:r>
            <w:r w:rsidRPr="00A43EB0">
              <w:rPr>
                <w:color w:val="000000" w:themeColor="text1"/>
                <w:sz w:val="20"/>
                <w:szCs w:val="20"/>
              </w:rPr>
              <w:t>.32</w:t>
            </w:r>
          </w:p>
        </w:tc>
        <w:tc>
          <w:tcPr>
            <w:tcW w:w="1286" w:type="dxa"/>
            <w:tcBorders>
              <w:top w:val="single" w:sz="4" w:space="0" w:color="auto"/>
              <w:bottom w:val="nil"/>
            </w:tcBorders>
            <w:shd w:val="clear" w:color="auto" w:fill="auto"/>
            <w:noWrap/>
          </w:tcPr>
          <w:p w14:paraId="32E87AF8" w14:textId="1AE37C9B" w:rsidR="00102BFC" w:rsidRPr="00A43EB0" w:rsidRDefault="00102BFC">
            <w:pPr>
              <w:spacing w:line="480" w:lineRule="auto"/>
              <w:rPr>
                <w:color w:val="000000" w:themeColor="text1"/>
                <w:sz w:val="20"/>
                <w:szCs w:val="20"/>
              </w:rPr>
            </w:pPr>
            <w:r w:rsidRPr="00A43EB0">
              <w:rPr>
                <w:color w:val="000000" w:themeColor="text1"/>
                <w:sz w:val="20"/>
                <w:szCs w:val="20"/>
              </w:rPr>
              <w:t>-</w:t>
            </w:r>
            <w:r w:rsidR="00C935F1">
              <w:rPr>
                <w:color w:val="000000" w:themeColor="text1"/>
                <w:sz w:val="20"/>
                <w:szCs w:val="20"/>
              </w:rPr>
              <w:t>0</w:t>
            </w:r>
            <w:r w:rsidRPr="00A43EB0">
              <w:rPr>
                <w:color w:val="000000" w:themeColor="text1"/>
                <w:sz w:val="20"/>
                <w:szCs w:val="20"/>
              </w:rPr>
              <w:t>.32</w:t>
            </w:r>
          </w:p>
        </w:tc>
        <w:tc>
          <w:tcPr>
            <w:tcW w:w="1423" w:type="dxa"/>
            <w:tcBorders>
              <w:top w:val="single" w:sz="4" w:space="0" w:color="auto"/>
              <w:bottom w:val="nil"/>
            </w:tcBorders>
          </w:tcPr>
          <w:p w14:paraId="1BC25BB4" w14:textId="415BF836" w:rsidR="00102BFC" w:rsidRPr="00A43EB0" w:rsidRDefault="00102BFC">
            <w:pPr>
              <w:spacing w:line="480" w:lineRule="auto"/>
              <w:rPr>
                <w:color w:val="000000" w:themeColor="text1"/>
                <w:sz w:val="20"/>
                <w:szCs w:val="20"/>
              </w:rPr>
            </w:pPr>
            <w:r w:rsidRPr="00A43EB0">
              <w:rPr>
                <w:color w:val="000000" w:themeColor="text1"/>
                <w:sz w:val="20"/>
                <w:szCs w:val="20"/>
              </w:rPr>
              <w:t>-</w:t>
            </w:r>
            <w:r w:rsidR="00C935F1">
              <w:rPr>
                <w:color w:val="000000" w:themeColor="text1"/>
                <w:sz w:val="20"/>
                <w:szCs w:val="20"/>
              </w:rPr>
              <w:t>0</w:t>
            </w:r>
            <w:r w:rsidRPr="00A43EB0">
              <w:rPr>
                <w:color w:val="000000" w:themeColor="text1"/>
                <w:sz w:val="20"/>
                <w:szCs w:val="20"/>
              </w:rPr>
              <w:t>.27</w:t>
            </w:r>
          </w:p>
        </w:tc>
      </w:tr>
      <w:tr w:rsidR="00102BFC" w:rsidRPr="00A43EB0" w14:paraId="60442C56" w14:textId="77777777" w:rsidTr="00833F3B">
        <w:trPr>
          <w:trHeight w:val="375"/>
        </w:trPr>
        <w:tc>
          <w:tcPr>
            <w:tcW w:w="3104" w:type="dxa"/>
            <w:tcBorders>
              <w:top w:val="nil"/>
              <w:bottom w:val="nil"/>
            </w:tcBorders>
            <w:shd w:val="clear" w:color="auto" w:fill="auto"/>
            <w:hideMark/>
          </w:tcPr>
          <w:p w14:paraId="0E5A521C" w14:textId="77777777" w:rsidR="00102BFC" w:rsidRPr="00A43EB0" w:rsidRDefault="00102BFC" w:rsidP="007B479A">
            <w:pPr>
              <w:spacing w:line="480" w:lineRule="auto"/>
              <w:rPr>
                <w:color w:val="000000" w:themeColor="text1"/>
                <w:sz w:val="20"/>
                <w:szCs w:val="20"/>
              </w:rPr>
            </w:pPr>
            <w:r w:rsidRPr="00A43EB0">
              <w:rPr>
                <w:color w:val="000000" w:themeColor="text1"/>
                <w:sz w:val="20"/>
                <w:szCs w:val="20"/>
              </w:rPr>
              <w:t>(2) SPQ – Cognitive Perceptual</w:t>
            </w:r>
          </w:p>
        </w:tc>
        <w:tc>
          <w:tcPr>
            <w:tcW w:w="1134" w:type="dxa"/>
            <w:tcBorders>
              <w:top w:val="nil"/>
              <w:bottom w:val="nil"/>
            </w:tcBorders>
            <w:shd w:val="clear" w:color="auto" w:fill="auto"/>
            <w:noWrap/>
          </w:tcPr>
          <w:p w14:paraId="3A0CC0E2" w14:textId="77777777" w:rsidR="00102BFC" w:rsidRPr="00A43EB0" w:rsidRDefault="00102BFC">
            <w:pPr>
              <w:spacing w:line="480" w:lineRule="auto"/>
              <w:rPr>
                <w:color w:val="000000" w:themeColor="text1"/>
                <w:sz w:val="20"/>
                <w:szCs w:val="20"/>
              </w:rPr>
            </w:pPr>
          </w:p>
        </w:tc>
        <w:tc>
          <w:tcPr>
            <w:tcW w:w="1134" w:type="dxa"/>
            <w:tcBorders>
              <w:top w:val="nil"/>
              <w:bottom w:val="nil"/>
            </w:tcBorders>
            <w:shd w:val="clear" w:color="auto" w:fill="auto"/>
            <w:noWrap/>
          </w:tcPr>
          <w:p w14:paraId="1650673C" w14:textId="77777777" w:rsidR="00102BFC" w:rsidRPr="00A43EB0" w:rsidRDefault="00102BFC">
            <w:pPr>
              <w:spacing w:line="480" w:lineRule="auto"/>
              <w:rPr>
                <w:color w:val="000000" w:themeColor="text1"/>
                <w:sz w:val="20"/>
                <w:szCs w:val="20"/>
              </w:rPr>
            </w:pPr>
          </w:p>
        </w:tc>
        <w:tc>
          <w:tcPr>
            <w:tcW w:w="1166" w:type="dxa"/>
            <w:tcBorders>
              <w:top w:val="nil"/>
              <w:bottom w:val="nil"/>
            </w:tcBorders>
            <w:shd w:val="clear" w:color="auto" w:fill="auto"/>
            <w:noWrap/>
          </w:tcPr>
          <w:p w14:paraId="25952710" w14:textId="7501B515" w:rsidR="00102BFC" w:rsidRPr="00A43EB0" w:rsidRDefault="00C935F1">
            <w:pPr>
              <w:spacing w:line="480" w:lineRule="auto"/>
              <w:rPr>
                <w:color w:val="000000" w:themeColor="text1"/>
                <w:sz w:val="20"/>
                <w:szCs w:val="20"/>
              </w:rPr>
            </w:pPr>
            <w:r>
              <w:rPr>
                <w:color w:val="000000" w:themeColor="text1"/>
                <w:sz w:val="20"/>
                <w:szCs w:val="20"/>
                <w:lang w:val="en-US"/>
              </w:rPr>
              <w:t>0</w:t>
            </w:r>
            <w:r w:rsidR="00102BFC" w:rsidRPr="00A43EB0">
              <w:rPr>
                <w:color w:val="000000" w:themeColor="text1"/>
                <w:sz w:val="20"/>
                <w:szCs w:val="20"/>
                <w:lang w:val="en-US"/>
              </w:rPr>
              <w:t>.53</w:t>
            </w:r>
          </w:p>
        </w:tc>
        <w:tc>
          <w:tcPr>
            <w:tcW w:w="1134" w:type="dxa"/>
            <w:tcBorders>
              <w:top w:val="nil"/>
              <w:bottom w:val="nil"/>
            </w:tcBorders>
            <w:shd w:val="clear" w:color="auto" w:fill="auto"/>
            <w:noWrap/>
          </w:tcPr>
          <w:p w14:paraId="6608687A" w14:textId="2910650F" w:rsidR="00102BFC" w:rsidRPr="00A43EB0" w:rsidRDefault="00C935F1">
            <w:pPr>
              <w:spacing w:line="480" w:lineRule="auto"/>
              <w:rPr>
                <w:color w:val="000000" w:themeColor="text1"/>
                <w:sz w:val="20"/>
                <w:szCs w:val="20"/>
              </w:rPr>
            </w:pPr>
            <w:r>
              <w:rPr>
                <w:color w:val="000000" w:themeColor="text1"/>
                <w:sz w:val="20"/>
                <w:szCs w:val="20"/>
                <w:lang w:val="en-US"/>
              </w:rPr>
              <w:t>0</w:t>
            </w:r>
            <w:r w:rsidR="00102BFC" w:rsidRPr="00A43EB0">
              <w:rPr>
                <w:color w:val="000000" w:themeColor="text1"/>
                <w:sz w:val="20"/>
                <w:szCs w:val="20"/>
                <w:lang w:val="en-US"/>
              </w:rPr>
              <w:t>.38</w:t>
            </w:r>
          </w:p>
        </w:tc>
        <w:tc>
          <w:tcPr>
            <w:tcW w:w="1435" w:type="dxa"/>
            <w:tcBorders>
              <w:top w:val="nil"/>
              <w:bottom w:val="nil"/>
            </w:tcBorders>
            <w:shd w:val="clear" w:color="auto" w:fill="auto"/>
            <w:noWrap/>
          </w:tcPr>
          <w:p w14:paraId="6B9CFE17" w14:textId="44F5C111" w:rsidR="00102BFC" w:rsidRPr="00A43EB0" w:rsidRDefault="00102BFC">
            <w:pPr>
              <w:spacing w:line="480" w:lineRule="auto"/>
              <w:rPr>
                <w:color w:val="000000" w:themeColor="text1"/>
                <w:sz w:val="20"/>
                <w:szCs w:val="20"/>
              </w:rPr>
            </w:pPr>
            <w:r w:rsidRPr="00A43EB0">
              <w:rPr>
                <w:color w:val="000000" w:themeColor="text1"/>
                <w:sz w:val="20"/>
                <w:szCs w:val="20"/>
                <w:lang w:val="en-US"/>
              </w:rPr>
              <w:t>-</w:t>
            </w:r>
            <w:r w:rsidR="00C935F1">
              <w:rPr>
                <w:color w:val="000000" w:themeColor="text1"/>
                <w:sz w:val="20"/>
                <w:szCs w:val="20"/>
                <w:lang w:val="en-US"/>
              </w:rPr>
              <w:t>0</w:t>
            </w:r>
            <w:r w:rsidRPr="00A43EB0">
              <w:rPr>
                <w:color w:val="000000" w:themeColor="text1"/>
                <w:sz w:val="20"/>
                <w:szCs w:val="20"/>
                <w:lang w:val="en-US"/>
              </w:rPr>
              <w:t>.13</w:t>
            </w:r>
          </w:p>
        </w:tc>
        <w:tc>
          <w:tcPr>
            <w:tcW w:w="1286" w:type="dxa"/>
            <w:tcBorders>
              <w:top w:val="nil"/>
              <w:bottom w:val="nil"/>
            </w:tcBorders>
            <w:shd w:val="clear" w:color="auto" w:fill="auto"/>
            <w:noWrap/>
          </w:tcPr>
          <w:p w14:paraId="00CC962B" w14:textId="6195A55D" w:rsidR="00102BFC" w:rsidRPr="00A43EB0" w:rsidRDefault="00102BFC">
            <w:pPr>
              <w:spacing w:line="480" w:lineRule="auto"/>
              <w:rPr>
                <w:color w:val="000000" w:themeColor="text1"/>
                <w:sz w:val="20"/>
                <w:szCs w:val="20"/>
              </w:rPr>
            </w:pPr>
            <w:r w:rsidRPr="00A43EB0">
              <w:rPr>
                <w:color w:val="000000" w:themeColor="text1"/>
                <w:sz w:val="20"/>
                <w:szCs w:val="20"/>
                <w:lang w:val="en-US"/>
              </w:rPr>
              <w:t>-</w:t>
            </w:r>
            <w:r w:rsidR="00C935F1">
              <w:rPr>
                <w:color w:val="000000" w:themeColor="text1"/>
                <w:sz w:val="20"/>
                <w:szCs w:val="20"/>
                <w:lang w:val="en-US"/>
              </w:rPr>
              <w:t>0</w:t>
            </w:r>
            <w:r w:rsidRPr="00A43EB0">
              <w:rPr>
                <w:color w:val="000000" w:themeColor="text1"/>
                <w:sz w:val="20"/>
                <w:szCs w:val="20"/>
                <w:lang w:val="en-US"/>
              </w:rPr>
              <w:t>.13</w:t>
            </w:r>
          </w:p>
        </w:tc>
        <w:tc>
          <w:tcPr>
            <w:tcW w:w="1423" w:type="dxa"/>
            <w:tcBorders>
              <w:top w:val="nil"/>
              <w:bottom w:val="nil"/>
            </w:tcBorders>
          </w:tcPr>
          <w:p w14:paraId="43A9B2FB" w14:textId="004E16CC" w:rsidR="00102BFC" w:rsidRPr="00A43EB0" w:rsidRDefault="00102BFC">
            <w:pPr>
              <w:spacing w:line="480" w:lineRule="auto"/>
              <w:rPr>
                <w:color w:val="000000" w:themeColor="text1"/>
                <w:sz w:val="20"/>
                <w:szCs w:val="20"/>
              </w:rPr>
            </w:pPr>
            <w:r w:rsidRPr="00A43EB0">
              <w:rPr>
                <w:color w:val="000000" w:themeColor="text1"/>
                <w:sz w:val="20"/>
                <w:szCs w:val="20"/>
                <w:lang w:val="en-US"/>
              </w:rPr>
              <w:t>-</w:t>
            </w:r>
            <w:r w:rsidR="00C935F1">
              <w:rPr>
                <w:color w:val="000000" w:themeColor="text1"/>
                <w:sz w:val="20"/>
                <w:szCs w:val="20"/>
                <w:lang w:val="en-US"/>
              </w:rPr>
              <w:t>0</w:t>
            </w:r>
            <w:r w:rsidRPr="00A43EB0">
              <w:rPr>
                <w:color w:val="000000" w:themeColor="text1"/>
                <w:sz w:val="20"/>
                <w:szCs w:val="20"/>
                <w:lang w:val="en-US"/>
              </w:rPr>
              <w:t>.07</w:t>
            </w:r>
          </w:p>
        </w:tc>
      </w:tr>
      <w:tr w:rsidR="00102BFC" w:rsidRPr="00A43EB0" w14:paraId="5EEAF775" w14:textId="77777777" w:rsidTr="00833F3B">
        <w:trPr>
          <w:trHeight w:val="375"/>
        </w:trPr>
        <w:tc>
          <w:tcPr>
            <w:tcW w:w="3104" w:type="dxa"/>
            <w:tcBorders>
              <w:top w:val="nil"/>
              <w:bottom w:val="nil"/>
            </w:tcBorders>
            <w:shd w:val="clear" w:color="auto" w:fill="auto"/>
            <w:hideMark/>
          </w:tcPr>
          <w:p w14:paraId="3265CCCA" w14:textId="77777777" w:rsidR="00102BFC" w:rsidRPr="00A43EB0" w:rsidRDefault="00102BFC" w:rsidP="007B479A">
            <w:pPr>
              <w:spacing w:line="480" w:lineRule="auto"/>
              <w:rPr>
                <w:color w:val="000000" w:themeColor="text1"/>
                <w:sz w:val="20"/>
                <w:szCs w:val="20"/>
              </w:rPr>
            </w:pPr>
            <w:r w:rsidRPr="00A43EB0">
              <w:rPr>
                <w:color w:val="000000" w:themeColor="text1"/>
                <w:sz w:val="20"/>
                <w:szCs w:val="20"/>
              </w:rPr>
              <w:t>(3) SPQ – Paranoid</w:t>
            </w:r>
          </w:p>
        </w:tc>
        <w:tc>
          <w:tcPr>
            <w:tcW w:w="1134" w:type="dxa"/>
            <w:tcBorders>
              <w:top w:val="nil"/>
              <w:bottom w:val="nil"/>
            </w:tcBorders>
            <w:shd w:val="clear" w:color="auto" w:fill="auto"/>
            <w:noWrap/>
          </w:tcPr>
          <w:p w14:paraId="066E2A4B" w14:textId="77777777" w:rsidR="00102BFC" w:rsidRPr="00A43EB0" w:rsidRDefault="00102BFC">
            <w:pPr>
              <w:spacing w:line="480" w:lineRule="auto"/>
              <w:rPr>
                <w:color w:val="000000" w:themeColor="text1"/>
                <w:sz w:val="20"/>
                <w:szCs w:val="20"/>
              </w:rPr>
            </w:pPr>
            <w:r w:rsidRPr="00A43EB0">
              <w:rPr>
                <w:color w:val="000000" w:themeColor="text1"/>
                <w:sz w:val="20"/>
                <w:szCs w:val="20"/>
                <w:lang w:val="en-US"/>
              </w:rPr>
              <w:t xml:space="preserve">     </w:t>
            </w:r>
          </w:p>
        </w:tc>
        <w:tc>
          <w:tcPr>
            <w:tcW w:w="1134" w:type="dxa"/>
            <w:tcBorders>
              <w:top w:val="nil"/>
              <w:bottom w:val="nil"/>
            </w:tcBorders>
            <w:shd w:val="clear" w:color="auto" w:fill="auto"/>
            <w:noWrap/>
          </w:tcPr>
          <w:p w14:paraId="4B59289B" w14:textId="77777777" w:rsidR="00102BFC" w:rsidRPr="00A43EB0" w:rsidRDefault="00102BFC">
            <w:pPr>
              <w:spacing w:line="480" w:lineRule="auto"/>
              <w:rPr>
                <w:color w:val="000000" w:themeColor="text1"/>
                <w:sz w:val="20"/>
                <w:szCs w:val="20"/>
              </w:rPr>
            </w:pPr>
          </w:p>
        </w:tc>
        <w:tc>
          <w:tcPr>
            <w:tcW w:w="1166" w:type="dxa"/>
            <w:tcBorders>
              <w:top w:val="nil"/>
              <w:bottom w:val="nil"/>
            </w:tcBorders>
            <w:shd w:val="clear" w:color="auto" w:fill="auto"/>
            <w:noWrap/>
          </w:tcPr>
          <w:p w14:paraId="3677A657" w14:textId="77777777" w:rsidR="00102BFC" w:rsidRPr="00A43EB0" w:rsidRDefault="00102BFC">
            <w:pPr>
              <w:spacing w:line="480" w:lineRule="auto"/>
              <w:rPr>
                <w:color w:val="000000" w:themeColor="text1"/>
                <w:sz w:val="20"/>
                <w:szCs w:val="20"/>
              </w:rPr>
            </w:pPr>
          </w:p>
        </w:tc>
        <w:tc>
          <w:tcPr>
            <w:tcW w:w="1134" w:type="dxa"/>
            <w:tcBorders>
              <w:top w:val="nil"/>
              <w:bottom w:val="nil"/>
            </w:tcBorders>
            <w:shd w:val="clear" w:color="auto" w:fill="auto"/>
            <w:noWrap/>
          </w:tcPr>
          <w:p w14:paraId="27351DE4" w14:textId="1649D22A" w:rsidR="00102BFC" w:rsidRPr="00A43EB0" w:rsidRDefault="00C935F1">
            <w:pPr>
              <w:spacing w:line="480" w:lineRule="auto"/>
              <w:rPr>
                <w:color w:val="000000" w:themeColor="text1"/>
                <w:sz w:val="20"/>
                <w:szCs w:val="20"/>
              </w:rPr>
            </w:pPr>
            <w:r>
              <w:rPr>
                <w:color w:val="000000" w:themeColor="text1"/>
                <w:sz w:val="20"/>
                <w:szCs w:val="20"/>
                <w:lang w:val="en-US"/>
              </w:rPr>
              <w:t>0</w:t>
            </w:r>
            <w:r w:rsidR="00102BFC" w:rsidRPr="00A43EB0">
              <w:rPr>
                <w:color w:val="000000" w:themeColor="text1"/>
                <w:sz w:val="20"/>
                <w:szCs w:val="20"/>
                <w:lang w:val="en-US"/>
              </w:rPr>
              <w:t xml:space="preserve">.83   </w:t>
            </w:r>
          </w:p>
        </w:tc>
        <w:tc>
          <w:tcPr>
            <w:tcW w:w="1435" w:type="dxa"/>
            <w:tcBorders>
              <w:top w:val="nil"/>
              <w:bottom w:val="nil"/>
            </w:tcBorders>
            <w:shd w:val="clear" w:color="auto" w:fill="auto"/>
            <w:noWrap/>
          </w:tcPr>
          <w:p w14:paraId="3BC875D7" w14:textId="22FC92AD" w:rsidR="00102BFC" w:rsidRPr="00A43EB0" w:rsidRDefault="00102BFC">
            <w:pPr>
              <w:spacing w:line="480" w:lineRule="auto"/>
              <w:rPr>
                <w:color w:val="000000" w:themeColor="text1"/>
                <w:sz w:val="20"/>
                <w:szCs w:val="20"/>
              </w:rPr>
            </w:pPr>
            <w:r w:rsidRPr="00A43EB0">
              <w:rPr>
                <w:color w:val="000000" w:themeColor="text1"/>
                <w:sz w:val="20"/>
                <w:szCs w:val="20"/>
                <w:lang w:val="en-US"/>
              </w:rPr>
              <w:t>-</w:t>
            </w:r>
            <w:r w:rsidR="00C935F1">
              <w:rPr>
                <w:color w:val="000000" w:themeColor="text1"/>
                <w:sz w:val="20"/>
                <w:szCs w:val="20"/>
                <w:lang w:val="en-US"/>
              </w:rPr>
              <w:t>0</w:t>
            </w:r>
            <w:r w:rsidRPr="00A43EB0">
              <w:rPr>
                <w:color w:val="000000" w:themeColor="text1"/>
                <w:sz w:val="20"/>
                <w:szCs w:val="20"/>
                <w:lang w:val="en-US"/>
              </w:rPr>
              <w:t>.32</w:t>
            </w:r>
          </w:p>
        </w:tc>
        <w:tc>
          <w:tcPr>
            <w:tcW w:w="1286" w:type="dxa"/>
            <w:tcBorders>
              <w:top w:val="nil"/>
              <w:bottom w:val="nil"/>
            </w:tcBorders>
            <w:shd w:val="clear" w:color="auto" w:fill="auto"/>
            <w:noWrap/>
          </w:tcPr>
          <w:p w14:paraId="145D93EC" w14:textId="3455FB47" w:rsidR="00102BFC" w:rsidRPr="00A43EB0" w:rsidRDefault="00102BFC">
            <w:pPr>
              <w:spacing w:line="480" w:lineRule="auto"/>
              <w:rPr>
                <w:color w:val="000000" w:themeColor="text1"/>
                <w:sz w:val="20"/>
                <w:szCs w:val="20"/>
              </w:rPr>
            </w:pPr>
            <w:r w:rsidRPr="00A43EB0">
              <w:rPr>
                <w:color w:val="000000" w:themeColor="text1"/>
                <w:sz w:val="20"/>
                <w:szCs w:val="20"/>
                <w:lang w:val="en-US"/>
              </w:rPr>
              <w:t>-</w:t>
            </w:r>
            <w:r w:rsidR="00C935F1">
              <w:rPr>
                <w:color w:val="000000" w:themeColor="text1"/>
                <w:sz w:val="20"/>
                <w:szCs w:val="20"/>
                <w:lang w:val="en-US"/>
              </w:rPr>
              <w:t>0</w:t>
            </w:r>
            <w:r w:rsidRPr="00A43EB0">
              <w:rPr>
                <w:color w:val="000000" w:themeColor="text1"/>
                <w:sz w:val="20"/>
                <w:szCs w:val="20"/>
                <w:lang w:val="en-US"/>
              </w:rPr>
              <w:t>.35</w:t>
            </w:r>
          </w:p>
        </w:tc>
        <w:tc>
          <w:tcPr>
            <w:tcW w:w="1423" w:type="dxa"/>
            <w:tcBorders>
              <w:top w:val="nil"/>
              <w:bottom w:val="nil"/>
            </w:tcBorders>
          </w:tcPr>
          <w:p w14:paraId="65007DE7" w14:textId="4ECD4828" w:rsidR="00102BFC" w:rsidRPr="00A43EB0" w:rsidRDefault="00102BFC">
            <w:pPr>
              <w:spacing w:line="480" w:lineRule="auto"/>
              <w:rPr>
                <w:color w:val="000000" w:themeColor="text1"/>
                <w:sz w:val="20"/>
                <w:szCs w:val="20"/>
              </w:rPr>
            </w:pPr>
            <w:r w:rsidRPr="00A43EB0">
              <w:rPr>
                <w:color w:val="000000" w:themeColor="text1"/>
                <w:sz w:val="20"/>
                <w:szCs w:val="20"/>
                <w:lang w:val="en-US"/>
              </w:rPr>
              <w:t>-</w:t>
            </w:r>
            <w:r w:rsidR="00C935F1">
              <w:rPr>
                <w:color w:val="000000" w:themeColor="text1"/>
                <w:sz w:val="20"/>
                <w:szCs w:val="20"/>
                <w:lang w:val="en-US"/>
              </w:rPr>
              <w:t>0</w:t>
            </w:r>
            <w:r w:rsidRPr="00A43EB0">
              <w:rPr>
                <w:color w:val="000000" w:themeColor="text1"/>
                <w:sz w:val="20"/>
                <w:szCs w:val="20"/>
                <w:lang w:val="en-US"/>
              </w:rPr>
              <w:t>.24</w:t>
            </w:r>
          </w:p>
        </w:tc>
      </w:tr>
      <w:tr w:rsidR="00102BFC" w:rsidRPr="00A43EB0" w14:paraId="430CC9F9" w14:textId="77777777" w:rsidTr="00833F3B">
        <w:trPr>
          <w:trHeight w:val="375"/>
        </w:trPr>
        <w:tc>
          <w:tcPr>
            <w:tcW w:w="3104" w:type="dxa"/>
            <w:tcBorders>
              <w:top w:val="nil"/>
              <w:bottom w:val="nil"/>
            </w:tcBorders>
            <w:shd w:val="clear" w:color="auto" w:fill="auto"/>
            <w:hideMark/>
          </w:tcPr>
          <w:p w14:paraId="77243CF6" w14:textId="77777777" w:rsidR="00102BFC" w:rsidRPr="00A43EB0" w:rsidRDefault="00102BFC" w:rsidP="007B479A">
            <w:pPr>
              <w:tabs>
                <w:tab w:val="right" w:pos="3264"/>
              </w:tabs>
              <w:spacing w:line="480" w:lineRule="auto"/>
              <w:rPr>
                <w:color w:val="000000" w:themeColor="text1"/>
                <w:sz w:val="20"/>
                <w:szCs w:val="20"/>
              </w:rPr>
            </w:pPr>
            <w:r w:rsidRPr="00A43EB0">
              <w:rPr>
                <w:color w:val="000000" w:themeColor="text1"/>
                <w:sz w:val="20"/>
                <w:szCs w:val="20"/>
              </w:rPr>
              <w:t>(4) SPQ – Negative</w:t>
            </w:r>
            <w:r w:rsidRPr="00A43EB0">
              <w:rPr>
                <w:color w:val="000000" w:themeColor="text1"/>
                <w:sz w:val="20"/>
                <w:szCs w:val="20"/>
              </w:rPr>
              <w:tab/>
            </w:r>
          </w:p>
        </w:tc>
        <w:tc>
          <w:tcPr>
            <w:tcW w:w="1134" w:type="dxa"/>
            <w:tcBorders>
              <w:top w:val="nil"/>
              <w:bottom w:val="nil"/>
            </w:tcBorders>
            <w:shd w:val="clear" w:color="auto" w:fill="auto"/>
            <w:noWrap/>
          </w:tcPr>
          <w:p w14:paraId="44439411" w14:textId="77777777" w:rsidR="00102BFC" w:rsidRPr="00A43EB0" w:rsidRDefault="00102BFC">
            <w:pPr>
              <w:spacing w:line="480" w:lineRule="auto"/>
              <w:rPr>
                <w:color w:val="000000" w:themeColor="text1"/>
                <w:sz w:val="20"/>
                <w:szCs w:val="20"/>
              </w:rPr>
            </w:pPr>
          </w:p>
        </w:tc>
        <w:tc>
          <w:tcPr>
            <w:tcW w:w="1134" w:type="dxa"/>
            <w:tcBorders>
              <w:top w:val="nil"/>
              <w:bottom w:val="nil"/>
            </w:tcBorders>
            <w:shd w:val="clear" w:color="auto" w:fill="auto"/>
            <w:noWrap/>
          </w:tcPr>
          <w:p w14:paraId="6F941CD3" w14:textId="77777777" w:rsidR="00102BFC" w:rsidRPr="00A43EB0" w:rsidRDefault="00102BFC">
            <w:pPr>
              <w:spacing w:line="480" w:lineRule="auto"/>
              <w:rPr>
                <w:color w:val="000000" w:themeColor="text1"/>
                <w:sz w:val="20"/>
                <w:szCs w:val="20"/>
              </w:rPr>
            </w:pPr>
          </w:p>
        </w:tc>
        <w:tc>
          <w:tcPr>
            <w:tcW w:w="1166" w:type="dxa"/>
            <w:tcBorders>
              <w:top w:val="nil"/>
              <w:bottom w:val="nil"/>
            </w:tcBorders>
            <w:shd w:val="clear" w:color="auto" w:fill="auto"/>
            <w:noWrap/>
          </w:tcPr>
          <w:p w14:paraId="2022C3E3" w14:textId="77777777" w:rsidR="00102BFC" w:rsidRPr="00A43EB0" w:rsidRDefault="00102BFC">
            <w:pPr>
              <w:spacing w:line="480" w:lineRule="auto"/>
              <w:rPr>
                <w:color w:val="000000" w:themeColor="text1"/>
                <w:sz w:val="20"/>
                <w:szCs w:val="20"/>
              </w:rPr>
            </w:pPr>
          </w:p>
        </w:tc>
        <w:tc>
          <w:tcPr>
            <w:tcW w:w="1134" w:type="dxa"/>
            <w:tcBorders>
              <w:top w:val="nil"/>
              <w:bottom w:val="nil"/>
            </w:tcBorders>
            <w:shd w:val="clear" w:color="auto" w:fill="auto"/>
            <w:noWrap/>
          </w:tcPr>
          <w:p w14:paraId="70C1B168" w14:textId="77777777" w:rsidR="00102BFC" w:rsidRPr="00A43EB0" w:rsidRDefault="00102BFC">
            <w:pPr>
              <w:spacing w:line="480" w:lineRule="auto"/>
              <w:rPr>
                <w:color w:val="000000" w:themeColor="text1"/>
                <w:sz w:val="20"/>
                <w:szCs w:val="20"/>
              </w:rPr>
            </w:pPr>
          </w:p>
        </w:tc>
        <w:tc>
          <w:tcPr>
            <w:tcW w:w="1435" w:type="dxa"/>
            <w:tcBorders>
              <w:top w:val="nil"/>
              <w:bottom w:val="nil"/>
            </w:tcBorders>
            <w:shd w:val="clear" w:color="auto" w:fill="auto"/>
            <w:noWrap/>
          </w:tcPr>
          <w:p w14:paraId="51BFC9BB" w14:textId="4E93C718" w:rsidR="00102BFC" w:rsidRPr="00A43EB0" w:rsidRDefault="00102BFC">
            <w:pPr>
              <w:spacing w:line="480" w:lineRule="auto"/>
              <w:rPr>
                <w:color w:val="000000" w:themeColor="text1"/>
                <w:sz w:val="20"/>
                <w:szCs w:val="20"/>
              </w:rPr>
            </w:pPr>
            <w:r w:rsidRPr="00A43EB0">
              <w:rPr>
                <w:color w:val="000000" w:themeColor="text1"/>
                <w:sz w:val="20"/>
                <w:szCs w:val="20"/>
                <w:lang w:val="en-US"/>
              </w:rPr>
              <w:t>-</w:t>
            </w:r>
            <w:r w:rsidR="00C935F1">
              <w:rPr>
                <w:color w:val="000000" w:themeColor="text1"/>
                <w:sz w:val="20"/>
                <w:szCs w:val="20"/>
                <w:lang w:val="en-US"/>
              </w:rPr>
              <w:t>0</w:t>
            </w:r>
            <w:r w:rsidRPr="00A43EB0">
              <w:rPr>
                <w:color w:val="000000" w:themeColor="text1"/>
                <w:sz w:val="20"/>
                <w:szCs w:val="20"/>
                <w:lang w:val="en-US"/>
              </w:rPr>
              <w:t>.45</w:t>
            </w:r>
          </w:p>
        </w:tc>
        <w:tc>
          <w:tcPr>
            <w:tcW w:w="1286" w:type="dxa"/>
            <w:tcBorders>
              <w:top w:val="nil"/>
              <w:bottom w:val="nil"/>
            </w:tcBorders>
            <w:shd w:val="clear" w:color="auto" w:fill="auto"/>
            <w:noWrap/>
          </w:tcPr>
          <w:p w14:paraId="45AAFAF4" w14:textId="5D8CCF27" w:rsidR="00102BFC" w:rsidRPr="00A43EB0" w:rsidRDefault="00102BFC">
            <w:pPr>
              <w:spacing w:line="480" w:lineRule="auto"/>
              <w:rPr>
                <w:color w:val="000000" w:themeColor="text1"/>
                <w:sz w:val="20"/>
                <w:szCs w:val="20"/>
              </w:rPr>
            </w:pPr>
            <w:r w:rsidRPr="00A43EB0">
              <w:rPr>
                <w:color w:val="000000" w:themeColor="text1"/>
                <w:sz w:val="20"/>
                <w:szCs w:val="20"/>
                <w:lang w:val="en-US"/>
              </w:rPr>
              <w:t>-</w:t>
            </w:r>
            <w:r w:rsidR="00C935F1">
              <w:rPr>
                <w:color w:val="000000" w:themeColor="text1"/>
                <w:sz w:val="20"/>
                <w:szCs w:val="20"/>
                <w:lang w:val="en-US"/>
              </w:rPr>
              <w:t>0</w:t>
            </w:r>
            <w:r w:rsidRPr="00A43EB0">
              <w:rPr>
                <w:color w:val="000000" w:themeColor="text1"/>
                <w:sz w:val="20"/>
                <w:szCs w:val="20"/>
                <w:lang w:val="en-US"/>
              </w:rPr>
              <w:t>.49</w:t>
            </w:r>
          </w:p>
        </w:tc>
        <w:tc>
          <w:tcPr>
            <w:tcW w:w="1423" w:type="dxa"/>
            <w:tcBorders>
              <w:top w:val="nil"/>
              <w:bottom w:val="nil"/>
            </w:tcBorders>
          </w:tcPr>
          <w:p w14:paraId="4B6A2B52" w14:textId="57E68FBA" w:rsidR="00102BFC" w:rsidRPr="00A43EB0" w:rsidRDefault="00102BFC">
            <w:pPr>
              <w:spacing w:line="480" w:lineRule="auto"/>
              <w:rPr>
                <w:color w:val="000000" w:themeColor="text1"/>
                <w:sz w:val="20"/>
                <w:szCs w:val="20"/>
              </w:rPr>
            </w:pPr>
            <w:r w:rsidRPr="00A43EB0">
              <w:rPr>
                <w:color w:val="000000" w:themeColor="text1"/>
                <w:sz w:val="20"/>
                <w:szCs w:val="20"/>
                <w:lang w:val="en-US"/>
              </w:rPr>
              <w:t>-</w:t>
            </w:r>
            <w:r w:rsidR="00C935F1">
              <w:rPr>
                <w:color w:val="000000" w:themeColor="text1"/>
                <w:sz w:val="20"/>
                <w:szCs w:val="20"/>
                <w:lang w:val="en-US"/>
              </w:rPr>
              <w:t>0</w:t>
            </w:r>
            <w:r w:rsidRPr="00A43EB0">
              <w:rPr>
                <w:color w:val="000000" w:themeColor="text1"/>
                <w:sz w:val="20"/>
                <w:szCs w:val="20"/>
                <w:lang w:val="en-US"/>
              </w:rPr>
              <w:t>.39</w:t>
            </w:r>
          </w:p>
        </w:tc>
      </w:tr>
      <w:tr w:rsidR="00102BFC" w:rsidRPr="00A43EB0" w14:paraId="7884C1B0" w14:textId="77777777" w:rsidTr="00833F3B">
        <w:trPr>
          <w:trHeight w:val="375"/>
        </w:trPr>
        <w:tc>
          <w:tcPr>
            <w:tcW w:w="3104" w:type="dxa"/>
            <w:tcBorders>
              <w:top w:val="nil"/>
              <w:bottom w:val="nil"/>
            </w:tcBorders>
            <w:shd w:val="clear" w:color="auto" w:fill="auto"/>
            <w:hideMark/>
          </w:tcPr>
          <w:p w14:paraId="5CAD1F7C" w14:textId="59F1934C" w:rsidR="00102BFC" w:rsidRPr="00A43EB0" w:rsidRDefault="00102BFC" w:rsidP="007B479A">
            <w:pPr>
              <w:spacing w:line="480" w:lineRule="auto"/>
              <w:rPr>
                <w:color w:val="000000" w:themeColor="text1"/>
                <w:sz w:val="20"/>
                <w:szCs w:val="20"/>
              </w:rPr>
            </w:pPr>
            <w:r w:rsidRPr="00A43EB0">
              <w:rPr>
                <w:color w:val="000000" w:themeColor="text1"/>
                <w:sz w:val="20"/>
                <w:szCs w:val="20"/>
              </w:rPr>
              <w:t xml:space="preserve">(5) </w:t>
            </w:r>
            <w:r w:rsidR="00776E9E" w:rsidRPr="00776E9E">
              <w:rPr>
                <w:color w:val="000000" w:themeColor="text1"/>
                <w:sz w:val="20"/>
                <w:szCs w:val="20"/>
              </w:rPr>
              <w:t>EUROHIS-QoL</w:t>
            </w:r>
          </w:p>
        </w:tc>
        <w:tc>
          <w:tcPr>
            <w:tcW w:w="1134" w:type="dxa"/>
            <w:tcBorders>
              <w:top w:val="nil"/>
              <w:bottom w:val="nil"/>
            </w:tcBorders>
            <w:shd w:val="clear" w:color="auto" w:fill="auto"/>
            <w:noWrap/>
          </w:tcPr>
          <w:p w14:paraId="789DC391" w14:textId="0295D997" w:rsidR="00102BFC" w:rsidRPr="00A43EB0" w:rsidRDefault="00102BFC">
            <w:pPr>
              <w:spacing w:line="480" w:lineRule="auto"/>
              <w:rPr>
                <w:color w:val="000000" w:themeColor="text1"/>
                <w:sz w:val="20"/>
                <w:szCs w:val="20"/>
              </w:rPr>
            </w:pPr>
          </w:p>
        </w:tc>
        <w:tc>
          <w:tcPr>
            <w:tcW w:w="1134" w:type="dxa"/>
            <w:tcBorders>
              <w:top w:val="nil"/>
              <w:bottom w:val="nil"/>
            </w:tcBorders>
            <w:shd w:val="clear" w:color="auto" w:fill="auto"/>
            <w:noWrap/>
          </w:tcPr>
          <w:p w14:paraId="5764849D" w14:textId="77777777" w:rsidR="00102BFC" w:rsidRPr="00A43EB0" w:rsidRDefault="00102BFC">
            <w:pPr>
              <w:spacing w:line="480" w:lineRule="auto"/>
              <w:rPr>
                <w:color w:val="000000" w:themeColor="text1"/>
                <w:sz w:val="20"/>
                <w:szCs w:val="20"/>
              </w:rPr>
            </w:pPr>
          </w:p>
        </w:tc>
        <w:tc>
          <w:tcPr>
            <w:tcW w:w="1166" w:type="dxa"/>
            <w:tcBorders>
              <w:top w:val="nil"/>
              <w:bottom w:val="nil"/>
            </w:tcBorders>
            <w:shd w:val="clear" w:color="auto" w:fill="auto"/>
            <w:noWrap/>
          </w:tcPr>
          <w:p w14:paraId="46406D73" w14:textId="77777777" w:rsidR="00102BFC" w:rsidRPr="00A43EB0" w:rsidRDefault="00102BFC">
            <w:pPr>
              <w:spacing w:line="480" w:lineRule="auto"/>
              <w:rPr>
                <w:color w:val="000000" w:themeColor="text1"/>
                <w:sz w:val="20"/>
                <w:szCs w:val="20"/>
              </w:rPr>
            </w:pPr>
          </w:p>
        </w:tc>
        <w:tc>
          <w:tcPr>
            <w:tcW w:w="1134" w:type="dxa"/>
            <w:tcBorders>
              <w:top w:val="nil"/>
              <w:bottom w:val="nil"/>
            </w:tcBorders>
            <w:shd w:val="clear" w:color="auto" w:fill="auto"/>
            <w:noWrap/>
          </w:tcPr>
          <w:p w14:paraId="30B3BCA1" w14:textId="77777777" w:rsidR="00102BFC" w:rsidRPr="00A43EB0" w:rsidRDefault="00102BFC">
            <w:pPr>
              <w:spacing w:line="480" w:lineRule="auto"/>
              <w:rPr>
                <w:color w:val="000000" w:themeColor="text1"/>
                <w:sz w:val="20"/>
                <w:szCs w:val="20"/>
              </w:rPr>
            </w:pPr>
          </w:p>
        </w:tc>
        <w:tc>
          <w:tcPr>
            <w:tcW w:w="1435" w:type="dxa"/>
            <w:tcBorders>
              <w:top w:val="nil"/>
              <w:bottom w:val="nil"/>
            </w:tcBorders>
            <w:shd w:val="clear" w:color="auto" w:fill="auto"/>
            <w:noWrap/>
          </w:tcPr>
          <w:p w14:paraId="7A583CE2" w14:textId="5B591A9E" w:rsidR="00102BFC" w:rsidRPr="00A43EB0" w:rsidRDefault="00102BFC">
            <w:pPr>
              <w:spacing w:line="480" w:lineRule="auto"/>
              <w:rPr>
                <w:color w:val="000000" w:themeColor="text1"/>
                <w:sz w:val="20"/>
                <w:szCs w:val="20"/>
              </w:rPr>
            </w:pPr>
          </w:p>
        </w:tc>
        <w:tc>
          <w:tcPr>
            <w:tcW w:w="1286" w:type="dxa"/>
            <w:tcBorders>
              <w:top w:val="nil"/>
              <w:bottom w:val="nil"/>
            </w:tcBorders>
            <w:shd w:val="clear" w:color="auto" w:fill="auto"/>
            <w:noWrap/>
          </w:tcPr>
          <w:p w14:paraId="2624A67C" w14:textId="7DF3F3FD" w:rsidR="00102BFC" w:rsidRPr="00A43EB0" w:rsidRDefault="00C935F1">
            <w:pPr>
              <w:spacing w:line="480" w:lineRule="auto"/>
              <w:rPr>
                <w:color w:val="000000" w:themeColor="text1"/>
                <w:sz w:val="20"/>
                <w:szCs w:val="20"/>
              </w:rPr>
            </w:pPr>
            <w:r>
              <w:rPr>
                <w:color w:val="000000" w:themeColor="text1"/>
                <w:sz w:val="20"/>
                <w:szCs w:val="20"/>
              </w:rPr>
              <w:t>0</w:t>
            </w:r>
            <w:r w:rsidR="00102BFC" w:rsidRPr="00A43EB0">
              <w:rPr>
                <w:color w:val="000000" w:themeColor="text1"/>
                <w:sz w:val="20"/>
                <w:szCs w:val="20"/>
              </w:rPr>
              <w:t>.60</w:t>
            </w:r>
          </w:p>
        </w:tc>
        <w:tc>
          <w:tcPr>
            <w:tcW w:w="1423" w:type="dxa"/>
            <w:tcBorders>
              <w:top w:val="nil"/>
              <w:bottom w:val="nil"/>
            </w:tcBorders>
          </w:tcPr>
          <w:p w14:paraId="6713AA9A" w14:textId="12E43589" w:rsidR="00102BFC" w:rsidRPr="00A43EB0" w:rsidRDefault="00C935F1">
            <w:pPr>
              <w:spacing w:line="480" w:lineRule="auto"/>
              <w:rPr>
                <w:color w:val="000000" w:themeColor="text1"/>
                <w:sz w:val="20"/>
                <w:szCs w:val="20"/>
              </w:rPr>
            </w:pPr>
            <w:r>
              <w:rPr>
                <w:color w:val="000000" w:themeColor="text1"/>
                <w:sz w:val="20"/>
                <w:szCs w:val="20"/>
              </w:rPr>
              <w:t>0</w:t>
            </w:r>
            <w:r w:rsidR="00102BFC" w:rsidRPr="00A43EB0">
              <w:rPr>
                <w:color w:val="000000" w:themeColor="text1"/>
                <w:sz w:val="20"/>
                <w:szCs w:val="20"/>
              </w:rPr>
              <w:t>.76</w:t>
            </w:r>
          </w:p>
        </w:tc>
      </w:tr>
      <w:tr w:rsidR="00102BFC" w:rsidRPr="00A43EB0" w14:paraId="28347E42" w14:textId="77777777" w:rsidTr="005B4C73">
        <w:trPr>
          <w:trHeight w:val="225"/>
        </w:trPr>
        <w:tc>
          <w:tcPr>
            <w:tcW w:w="3104" w:type="dxa"/>
            <w:tcBorders>
              <w:top w:val="nil"/>
              <w:bottom w:val="nil"/>
            </w:tcBorders>
            <w:shd w:val="clear" w:color="auto" w:fill="auto"/>
            <w:hideMark/>
          </w:tcPr>
          <w:p w14:paraId="180784C9" w14:textId="174E469F" w:rsidR="00102BFC" w:rsidRPr="00A43EB0" w:rsidRDefault="00102BFC" w:rsidP="007B479A">
            <w:pPr>
              <w:spacing w:line="480" w:lineRule="auto"/>
              <w:rPr>
                <w:color w:val="000000" w:themeColor="text1"/>
                <w:sz w:val="20"/>
                <w:szCs w:val="20"/>
              </w:rPr>
            </w:pPr>
            <w:r w:rsidRPr="00A43EB0">
              <w:rPr>
                <w:color w:val="000000" w:themeColor="text1"/>
                <w:sz w:val="20"/>
                <w:szCs w:val="20"/>
              </w:rPr>
              <w:t>(6) RSES</w:t>
            </w:r>
          </w:p>
        </w:tc>
        <w:tc>
          <w:tcPr>
            <w:tcW w:w="1134" w:type="dxa"/>
            <w:tcBorders>
              <w:top w:val="nil"/>
              <w:bottom w:val="nil"/>
            </w:tcBorders>
            <w:shd w:val="clear" w:color="auto" w:fill="auto"/>
            <w:noWrap/>
          </w:tcPr>
          <w:p w14:paraId="737DD2A1" w14:textId="77777777" w:rsidR="00102BFC" w:rsidRPr="00A43EB0" w:rsidRDefault="00102BFC" w:rsidP="007B479A">
            <w:pPr>
              <w:spacing w:line="480" w:lineRule="auto"/>
              <w:rPr>
                <w:color w:val="000000" w:themeColor="text1"/>
                <w:sz w:val="20"/>
                <w:szCs w:val="20"/>
              </w:rPr>
            </w:pPr>
          </w:p>
        </w:tc>
        <w:tc>
          <w:tcPr>
            <w:tcW w:w="1134" w:type="dxa"/>
            <w:tcBorders>
              <w:top w:val="nil"/>
              <w:bottom w:val="nil"/>
            </w:tcBorders>
            <w:shd w:val="clear" w:color="auto" w:fill="auto"/>
            <w:noWrap/>
          </w:tcPr>
          <w:p w14:paraId="3D0672DC" w14:textId="77777777" w:rsidR="00102BFC" w:rsidRPr="00A43EB0" w:rsidRDefault="00102BFC" w:rsidP="007B479A">
            <w:pPr>
              <w:spacing w:line="480" w:lineRule="auto"/>
              <w:rPr>
                <w:color w:val="000000" w:themeColor="text1"/>
                <w:sz w:val="20"/>
                <w:szCs w:val="20"/>
              </w:rPr>
            </w:pPr>
          </w:p>
        </w:tc>
        <w:tc>
          <w:tcPr>
            <w:tcW w:w="1166" w:type="dxa"/>
            <w:tcBorders>
              <w:top w:val="nil"/>
              <w:bottom w:val="nil"/>
            </w:tcBorders>
            <w:shd w:val="clear" w:color="auto" w:fill="auto"/>
            <w:noWrap/>
          </w:tcPr>
          <w:p w14:paraId="3B712BE0" w14:textId="77777777" w:rsidR="00102BFC" w:rsidRPr="00A43EB0" w:rsidRDefault="00102BFC">
            <w:pPr>
              <w:spacing w:line="480" w:lineRule="auto"/>
              <w:rPr>
                <w:color w:val="000000" w:themeColor="text1"/>
                <w:sz w:val="20"/>
                <w:szCs w:val="20"/>
              </w:rPr>
            </w:pPr>
          </w:p>
        </w:tc>
        <w:tc>
          <w:tcPr>
            <w:tcW w:w="1134" w:type="dxa"/>
            <w:tcBorders>
              <w:top w:val="nil"/>
              <w:bottom w:val="nil"/>
            </w:tcBorders>
            <w:shd w:val="clear" w:color="auto" w:fill="auto"/>
            <w:noWrap/>
          </w:tcPr>
          <w:p w14:paraId="7FAD14ED" w14:textId="77777777" w:rsidR="00102BFC" w:rsidRPr="00A43EB0" w:rsidRDefault="00102BFC">
            <w:pPr>
              <w:spacing w:line="480" w:lineRule="auto"/>
              <w:rPr>
                <w:color w:val="000000" w:themeColor="text1"/>
                <w:sz w:val="20"/>
                <w:szCs w:val="20"/>
              </w:rPr>
            </w:pPr>
          </w:p>
        </w:tc>
        <w:tc>
          <w:tcPr>
            <w:tcW w:w="1435" w:type="dxa"/>
            <w:tcBorders>
              <w:top w:val="nil"/>
              <w:bottom w:val="nil"/>
            </w:tcBorders>
            <w:shd w:val="clear" w:color="auto" w:fill="auto"/>
            <w:noWrap/>
          </w:tcPr>
          <w:p w14:paraId="2E08BF29" w14:textId="0FFC4112" w:rsidR="00102BFC" w:rsidRPr="00A43EB0" w:rsidRDefault="00102BFC">
            <w:pPr>
              <w:spacing w:line="480" w:lineRule="auto"/>
              <w:rPr>
                <w:color w:val="000000" w:themeColor="text1"/>
                <w:sz w:val="20"/>
                <w:szCs w:val="20"/>
              </w:rPr>
            </w:pPr>
          </w:p>
        </w:tc>
        <w:tc>
          <w:tcPr>
            <w:tcW w:w="1286" w:type="dxa"/>
            <w:tcBorders>
              <w:top w:val="nil"/>
              <w:bottom w:val="nil"/>
            </w:tcBorders>
            <w:shd w:val="clear" w:color="auto" w:fill="auto"/>
            <w:noWrap/>
          </w:tcPr>
          <w:p w14:paraId="209A5380" w14:textId="5AABE851" w:rsidR="00102BFC" w:rsidRPr="00A43EB0" w:rsidRDefault="00102BFC">
            <w:pPr>
              <w:spacing w:line="480" w:lineRule="auto"/>
              <w:rPr>
                <w:color w:val="000000" w:themeColor="text1"/>
                <w:sz w:val="20"/>
                <w:szCs w:val="20"/>
              </w:rPr>
            </w:pPr>
          </w:p>
        </w:tc>
        <w:tc>
          <w:tcPr>
            <w:tcW w:w="1423" w:type="dxa"/>
            <w:tcBorders>
              <w:top w:val="nil"/>
              <w:bottom w:val="nil"/>
            </w:tcBorders>
          </w:tcPr>
          <w:p w14:paraId="5B82138A" w14:textId="4324ACEF" w:rsidR="00102BFC" w:rsidRPr="00A43EB0" w:rsidRDefault="00C935F1">
            <w:pPr>
              <w:spacing w:line="480" w:lineRule="auto"/>
              <w:rPr>
                <w:color w:val="000000" w:themeColor="text1"/>
                <w:sz w:val="20"/>
                <w:szCs w:val="20"/>
              </w:rPr>
            </w:pPr>
            <w:r>
              <w:rPr>
                <w:color w:val="000000" w:themeColor="text1"/>
                <w:sz w:val="20"/>
                <w:szCs w:val="20"/>
                <w:lang w:val="en-US"/>
              </w:rPr>
              <w:t>0</w:t>
            </w:r>
            <w:r w:rsidR="00102BFC" w:rsidRPr="00A43EB0">
              <w:rPr>
                <w:color w:val="000000" w:themeColor="text1"/>
                <w:sz w:val="20"/>
                <w:szCs w:val="20"/>
                <w:lang w:val="en-US"/>
              </w:rPr>
              <w:t>.57</w:t>
            </w:r>
          </w:p>
        </w:tc>
      </w:tr>
      <w:tr w:rsidR="00102BFC" w:rsidRPr="00A43EB0" w14:paraId="502120E6" w14:textId="77777777" w:rsidTr="005B4C73">
        <w:trPr>
          <w:trHeight w:val="375"/>
        </w:trPr>
        <w:tc>
          <w:tcPr>
            <w:tcW w:w="3104" w:type="dxa"/>
            <w:tcBorders>
              <w:top w:val="nil"/>
              <w:bottom w:val="single" w:sz="4" w:space="0" w:color="auto"/>
            </w:tcBorders>
            <w:shd w:val="clear" w:color="auto" w:fill="auto"/>
            <w:hideMark/>
          </w:tcPr>
          <w:p w14:paraId="00DC7DC0" w14:textId="30F804D3" w:rsidR="00102BFC" w:rsidRPr="00A43EB0" w:rsidRDefault="00102BFC" w:rsidP="007B479A">
            <w:pPr>
              <w:spacing w:line="480" w:lineRule="auto"/>
              <w:rPr>
                <w:color w:val="000000" w:themeColor="text1"/>
                <w:sz w:val="20"/>
                <w:szCs w:val="20"/>
              </w:rPr>
            </w:pPr>
            <w:r w:rsidRPr="00A43EB0">
              <w:rPr>
                <w:color w:val="000000" w:themeColor="text1"/>
                <w:sz w:val="20"/>
                <w:szCs w:val="20"/>
              </w:rPr>
              <w:t>(7) SWLS</w:t>
            </w:r>
          </w:p>
        </w:tc>
        <w:tc>
          <w:tcPr>
            <w:tcW w:w="1134" w:type="dxa"/>
            <w:tcBorders>
              <w:top w:val="nil"/>
              <w:bottom w:val="single" w:sz="4" w:space="0" w:color="auto"/>
            </w:tcBorders>
            <w:shd w:val="clear" w:color="auto" w:fill="auto"/>
            <w:noWrap/>
          </w:tcPr>
          <w:p w14:paraId="25D0E513" w14:textId="49C91DCB" w:rsidR="00102BFC" w:rsidRPr="00A43EB0" w:rsidRDefault="00102BFC" w:rsidP="007B479A">
            <w:pPr>
              <w:spacing w:line="480" w:lineRule="auto"/>
              <w:rPr>
                <w:color w:val="000000" w:themeColor="text1"/>
                <w:sz w:val="20"/>
                <w:szCs w:val="20"/>
              </w:rPr>
            </w:pPr>
          </w:p>
        </w:tc>
        <w:tc>
          <w:tcPr>
            <w:tcW w:w="1134" w:type="dxa"/>
            <w:tcBorders>
              <w:top w:val="nil"/>
              <w:bottom w:val="single" w:sz="4" w:space="0" w:color="auto"/>
            </w:tcBorders>
            <w:shd w:val="clear" w:color="auto" w:fill="auto"/>
            <w:noWrap/>
          </w:tcPr>
          <w:p w14:paraId="59F0D7D4" w14:textId="77777777" w:rsidR="00102BFC" w:rsidRPr="00A43EB0" w:rsidRDefault="00102BFC">
            <w:pPr>
              <w:spacing w:line="480" w:lineRule="auto"/>
              <w:rPr>
                <w:color w:val="000000" w:themeColor="text1"/>
                <w:sz w:val="20"/>
                <w:szCs w:val="20"/>
              </w:rPr>
            </w:pPr>
          </w:p>
        </w:tc>
        <w:tc>
          <w:tcPr>
            <w:tcW w:w="1166" w:type="dxa"/>
            <w:tcBorders>
              <w:top w:val="nil"/>
              <w:bottom w:val="single" w:sz="4" w:space="0" w:color="auto"/>
            </w:tcBorders>
            <w:shd w:val="clear" w:color="auto" w:fill="auto"/>
            <w:noWrap/>
          </w:tcPr>
          <w:p w14:paraId="0794C1C3" w14:textId="77777777" w:rsidR="00102BFC" w:rsidRPr="00A43EB0" w:rsidRDefault="00102BFC">
            <w:pPr>
              <w:spacing w:line="480" w:lineRule="auto"/>
              <w:rPr>
                <w:color w:val="000000" w:themeColor="text1"/>
                <w:sz w:val="20"/>
                <w:szCs w:val="20"/>
              </w:rPr>
            </w:pPr>
          </w:p>
        </w:tc>
        <w:tc>
          <w:tcPr>
            <w:tcW w:w="1134" w:type="dxa"/>
            <w:tcBorders>
              <w:top w:val="nil"/>
              <w:bottom w:val="single" w:sz="4" w:space="0" w:color="auto"/>
            </w:tcBorders>
            <w:shd w:val="clear" w:color="auto" w:fill="auto"/>
            <w:noWrap/>
          </w:tcPr>
          <w:p w14:paraId="70DA1A9F" w14:textId="77777777" w:rsidR="00102BFC" w:rsidRPr="00A43EB0" w:rsidRDefault="00102BFC">
            <w:pPr>
              <w:spacing w:line="480" w:lineRule="auto"/>
              <w:rPr>
                <w:color w:val="000000" w:themeColor="text1"/>
                <w:sz w:val="20"/>
                <w:szCs w:val="20"/>
              </w:rPr>
            </w:pPr>
          </w:p>
        </w:tc>
        <w:tc>
          <w:tcPr>
            <w:tcW w:w="1435" w:type="dxa"/>
            <w:tcBorders>
              <w:top w:val="nil"/>
              <w:bottom w:val="single" w:sz="4" w:space="0" w:color="auto"/>
            </w:tcBorders>
            <w:shd w:val="clear" w:color="auto" w:fill="auto"/>
            <w:noWrap/>
          </w:tcPr>
          <w:p w14:paraId="7A3C3C38" w14:textId="61972DBC" w:rsidR="00102BFC" w:rsidRPr="00A43EB0" w:rsidRDefault="00102BFC">
            <w:pPr>
              <w:spacing w:line="480" w:lineRule="auto"/>
              <w:rPr>
                <w:color w:val="000000" w:themeColor="text1"/>
                <w:sz w:val="20"/>
                <w:szCs w:val="20"/>
              </w:rPr>
            </w:pPr>
          </w:p>
        </w:tc>
        <w:tc>
          <w:tcPr>
            <w:tcW w:w="1286" w:type="dxa"/>
            <w:tcBorders>
              <w:top w:val="nil"/>
              <w:bottom w:val="single" w:sz="4" w:space="0" w:color="auto"/>
            </w:tcBorders>
            <w:shd w:val="clear" w:color="auto" w:fill="auto"/>
            <w:noWrap/>
          </w:tcPr>
          <w:p w14:paraId="73DF3749" w14:textId="7FC26E58" w:rsidR="00102BFC" w:rsidRPr="00A43EB0" w:rsidRDefault="00102BFC">
            <w:pPr>
              <w:spacing w:line="480" w:lineRule="auto"/>
              <w:rPr>
                <w:color w:val="000000" w:themeColor="text1"/>
                <w:sz w:val="20"/>
                <w:szCs w:val="20"/>
              </w:rPr>
            </w:pPr>
          </w:p>
        </w:tc>
        <w:tc>
          <w:tcPr>
            <w:tcW w:w="1423" w:type="dxa"/>
            <w:tcBorders>
              <w:top w:val="nil"/>
              <w:bottom w:val="single" w:sz="4" w:space="0" w:color="auto"/>
            </w:tcBorders>
          </w:tcPr>
          <w:p w14:paraId="5558F0F7" w14:textId="61101922" w:rsidR="00102BFC" w:rsidRPr="00A43EB0" w:rsidRDefault="00102BFC">
            <w:pPr>
              <w:spacing w:line="480" w:lineRule="auto"/>
              <w:rPr>
                <w:color w:val="000000" w:themeColor="text1"/>
                <w:sz w:val="20"/>
                <w:szCs w:val="20"/>
              </w:rPr>
            </w:pPr>
          </w:p>
        </w:tc>
      </w:tr>
      <w:tr w:rsidR="00102BFC" w:rsidRPr="00A43EB0" w14:paraId="569AB7B2" w14:textId="77777777" w:rsidTr="005B4C73">
        <w:trPr>
          <w:trHeight w:val="375"/>
        </w:trPr>
        <w:tc>
          <w:tcPr>
            <w:tcW w:w="3104" w:type="dxa"/>
            <w:tcBorders>
              <w:top w:val="single" w:sz="4" w:space="0" w:color="auto"/>
              <w:bottom w:val="nil"/>
            </w:tcBorders>
            <w:shd w:val="clear" w:color="auto" w:fill="auto"/>
            <w:hideMark/>
          </w:tcPr>
          <w:p w14:paraId="21F80A59" w14:textId="4A8F2704" w:rsidR="00102BFC" w:rsidRPr="00A43EB0" w:rsidRDefault="00102BFC" w:rsidP="007B479A">
            <w:pPr>
              <w:tabs>
                <w:tab w:val="right" w:pos="3264"/>
              </w:tabs>
              <w:spacing w:line="480" w:lineRule="auto"/>
              <w:rPr>
                <w:color w:val="000000" w:themeColor="text1"/>
                <w:sz w:val="20"/>
                <w:szCs w:val="20"/>
              </w:rPr>
            </w:pPr>
            <w:r w:rsidRPr="00A43EB0">
              <w:rPr>
                <w:i/>
                <w:color w:val="000000" w:themeColor="text1"/>
                <w:sz w:val="20"/>
                <w:szCs w:val="20"/>
              </w:rPr>
              <w:t>M</w:t>
            </w:r>
            <w:r w:rsidRPr="00A43EB0">
              <w:rPr>
                <w:i/>
                <w:color w:val="000000" w:themeColor="text1"/>
                <w:sz w:val="20"/>
                <w:szCs w:val="20"/>
              </w:rPr>
              <w:tab/>
            </w:r>
          </w:p>
        </w:tc>
        <w:tc>
          <w:tcPr>
            <w:tcW w:w="1134" w:type="dxa"/>
            <w:tcBorders>
              <w:top w:val="single" w:sz="4" w:space="0" w:color="auto"/>
              <w:bottom w:val="nil"/>
            </w:tcBorders>
            <w:shd w:val="clear" w:color="auto" w:fill="auto"/>
            <w:noWrap/>
          </w:tcPr>
          <w:p w14:paraId="43B1B64C" w14:textId="77777777" w:rsidR="00102BFC" w:rsidRPr="00A43EB0" w:rsidRDefault="00102BFC" w:rsidP="007B479A">
            <w:pPr>
              <w:spacing w:line="480" w:lineRule="auto"/>
              <w:rPr>
                <w:color w:val="000000" w:themeColor="text1"/>
                <w:sz w:val="20"/>
                <w:szCs w:val="20"/>
              </w:rPr>
            </w:pPr>
            <w:r w:rsidRPr="00A43EB0">
              <w:rPr>
                <w:color w:val="000000" w:themeColor="text1"/>
                <w:sz w:val="20"/>
                <w:szCs w:val="20"/>
              </w:rPr>
              <w:t>4.05</w:t>
            </w:r>
          </w:p>
        </w:tc>
        <w:tc>
          <w:tcPr>
            <w:tcW w:w="1134" w:type="dxa"/>
            <w:tcBorders>
              <w:top w:val="single" w:sz="4" w:space="0" w:color="auto"/>
              <w:bottom w:val="nil"/>
            </w:tcBorders>
            <w:shd w:val="clear" w:color="auto" w:fill="auto"/>
            <w:noWrap/>
          </w:tcPr>
          <w:p w14:paraId="13AB63C5" w14:textId="77777777" w:rsidR="00102BFC" w:rsidRPr="00A43EB0" w:rsidRDefault="00102BFC">
            <w:pPr>
              <w:spacing w:line="480" w:lineRule="auto"/>
              <w:rPr>
                <w:color w:val="000000" w:themeColor="text1"/>
                <w:sz w:val="20"/>
                <w:szCs w:val="20"/>
              </w:rPr>
            </w:pPr>
            <w:r w:rsidRPr="00A43EB0">
              <w:rPr>
                <w:color w:val="000000" w:themeColor="text1"/>
                <w:sz w:val="20"/>
                <w:szCs w:val="20"/>
              </w:rPr>
              <w:t>3.16</w:t>
            </w:r>
          </w:p>
        </w:tc>
        <w:tc>
          <w:tcPr>
            <w:tcW w:w="1166" w:type="dxa"/>
            <w:tcBorders>
              <w:top w:val="single" w:sz="4" w:space="0" w:color="auto"/>
              <w:bottom w:val="nil"/>
            </w:tcBorders>
            <w:shd w:val="clear" w:color="auto" w:fill="auto"/>
            <w:noWrap/>
          </w:tcPr>
          <w:p w14:paraId="311F2E18" w14:textId="77777777" w:rsidR="00102BFC" w:rsidRPr="00A43EB0" w:rsidRDefault="00102BFC">
            <w:pPr>
              <w:spacing w:line="480" w:lineRule="auto"/>
              <w:rPr>
                <w:color w:val="000000" w:themeColor="text1"/>
                <w:sz w:val="20"/>
                <w:szCs w:val="20"/>
              </w:rPr>
            </w:pPr>
            <w:r w:rsidRPr="00A43EB0">
              <w:rPr>
                <w:color w:val="000000" w:themeColor="text1"/>
                <w:sz w:val="20"/>
                <w:szCs w:val="20"/>
              </w:rPr>
              <w:t>8.73</w:t>
            </w:r>
          </w:p>
        </w:tc>
        <w:tc>
          <w:tcPr>
            <w:tcW w:w="1134" w:type="dxa"/>
            <w:tcBorders>
              <w:top w:val="single" w:sz="4" w:space="0" w:color="auto"/>
              <w:bottom w:val="nil"/>
            </w:tcBorders>
            <w:shd w:val="clear" w:color="auto" w:fill="auto"/>
            <w:noWrap/>
          </w:tcPr>
          <w:p w14:paraId="14382B09" w14:textId="77777777" w:rsidR="00102BFC" w:rsidRPr="00A43EB0" w:rsidRDefault="00102BFC">
            <w:pPr>
              <w:spacing w:line="480" w:lineRule="auto"/>
              <w:rPr>
                <w:color w:val="000000" w:themeColor="text1"/>
                <w:sz w:val="20"/>
                <w:szCs w:val="20"/>
              </w:rPr>
            </w:pPr>
            <w:r w:rsidRPr="00A43EB0">
              <w:rPr>
                <w:color w:val="000000" w:themeColor="text1"/>
                <w:sz w:val="20"/>
                <w:szCs w:val="20"/>
              </w:rPr>
              <w:t>9.62</w:t>
            </w:r>
          </w:p>
        </w:tc>
        <w:tc>
          <w:tcPr>
            <w:tcW w:w="1435" w:type="dxa"/>
            <w:tcBorders>
              <w:top w:val="single" w:sz="4" w:space="0" w:color="auto"/>
              <w:bottom w:val="nil"/>
            </w:tcBorders>
            <w:shd w:val="clear" w:color="auto" w:fill="auto"/>
            <w:noWrap/>
          </w:tcPr>
          <w:p w14:paraId="49D7A35A" w14:textId="77777777" w:rsidR="00102BFC" w:rsidRPr="00A43EB0" w:rsidRDefault="00102BFC">
            <w:pPr>
              <w:spacing w:line="480" w:lineRule="auto"/>
              <w:rPr>
                <w:color w:val="000000" w:themeColor="text1"/>
                <w:sz w:val="20"/>
                <w:szCs w:val="20"/>
              </w:rPr>
            </w:pPr>
            <w:r w:rsidRPr="00A43EB0">
              <w:rPr>
                <w:color w:val="000000" w:themeColor="text1"/>
                <w:sz w:val="20"/>
                <w:szCs w:val="20"/>
              </w:rPr>
              <w:t>31.34</w:t>
            </w:r>
          </w:p>
        </w:tc>
        <w:tc>
          <w:tcPr>
            <w:tcW w:w="1286" w:type="dxa"/>
            <w:tcBorders>
              <w:top w:val="single" w:sz="4" w:space="0" w:color="auto"/>
              <w:bottom w:val="nil"/>
            </w:tcBorders>
            <w:shd w:val="clear" w:color="auto" w:fill="auto"/>
            <w:noWrap/>
          </w:tcPr>
          <w:p w14:paraId="70A29E8A" w14:textId="77777777" w:rsidR="00102BFC" w:rsidRPr="00A43EB0" w:rsidRDefault="00102BFC">
            <w:pPr>
              <w:spacing w:line="480" w:lineRule="auto"/>
              <w:rPr>
                <w:color w:val="000000" w:themeColor="text1"/>
                <w:sz w:val="20"/>
                <w:szCs w:val="20"/>
              </w:rPr>
            </w:pPr>
            <w:r w:rsidRPr="00A43EB0">
              <w:rPr>
                <w:color w:val="000000" w:themeColor="text1"/>
                <w:sz w:val="20"/>
                <w:szCs w:val="20"/>
              </w:rPr>
              <w:t>32.86</w:t>
            </w:r>
          </w:p>
        </w:tc>
        <w:tc>
          <w:tcPr>
            <w:tcW w:w="1423" w:type="dxa"/>
            <w:tcBorders>
              <w:top w:val="single" w:sz="4" w:space="0" w:color="auto"/>
              <w:bottom w:val="nil"/>
            </w:tcBorders>
          </w:tcPr>
          <w:p w14:paraId="29A91516" w14:textId="77777777" w:rsidR="00102BFC" w:rsidRPr="00A43EB0" w:rsidRDefault="00102BFC">
            <w:pPr>
              <w:spacing w:line="480" w:lineRule="auto"/>
              <w:rPr>
                <w:color w:val="000000" w:themeColor="text1"/>
                <w:sz w:val="20"/>
                <w:szCs w:val="20"/>
              </w:rPr>
            </w:pPr>
            <w:r w:rsidRPr="00A43EB0">
              <w:rPr>
                <w:color w:val="000000" w:themeColor="text1"/>
                <w:sz w:val="20"/>
                <w:szCs w:val="20"/>
              </w:rPr>
              <w:t>26.01</w:t>
            </w:r>
          </w:p>
        </w:tc>
      </w:tr>
      <w:tr w:rsidR="00102BFC" w:rsidRPr="00A43EB0" w14:paraId="2A378AA6" w14:textId="77777777" w:rsidTr="00833F3B">
        <w:trPr>
          <w:trHeight w:val="375"/>
        </w:trPr>
        <w:tc>
          <w:tcPr>
            <w:tcW w:w="3104" w:type="dxa"/>
            <w:tcBorders>
              <w:top w:val="nil"/>
              <w:bottom w:val="nil"/>
            </w:tcBorders>
            <w:shd w:val="clear" w:color="auto" w:fill="auto"/>
            <w:hideMark/>
          </w:tcPr>
          <w:p w14:paraId="0886052E" w14:textId="70D8AB54" w:rsidR="00102BFC" w:rsidRPr="00A43EB0" w:rsidRDefault="00102BFC" w:rsidP="007B479A">
            <w:pPr>
              <w:spacing w:line="480" w:lineRule="auto"/>
              <w:rPr>
                <w:color w:val="000000" w:themeColor="text1"/>
                <w:sz w:val="20"/>
                <w:szCs w:val="20"/>
              </w:rPr>
            </w:pPr>
            <w:r w:rsidRPr="00A43EB0">
              <w:rPr>
                <w:i/>
                <w:color w:val="000000" w:themeColor="text1"/>
                <w:sz w:val="20"/>
                <w:szCs w:val="20"/>
              </w:rPr>
              <w:t>SD</w:t>
            </w:r>
          </w:p>
        </w:tc>
        <w:tc>
          <w:tcPr>
            <w:tcW w:w="1134" w:type="dxa"/>
            <w:tcBorders>
              <w:top w:val="nil"/>
              <w:bottom w:val="nil"/>
            </w:tcBorders>
            <w:shd w:val="clear" w:color="auto" w:fill="auto"/>
            <w:noWrap/>
          </w:tcPr>
          <w:p w14:paraId="18815D33" w14:textId="77777777" w:rsidR="00102BFC" w:rsidRPr="00A43EB0" w:rsidRDefault="00102BFC">
            <w:pPr>
              <w:spacing w:line="480" w:lineRule="auto"/>
              <w:rPr>
                <w:color w:val="000000" w:themeColor="text1"/>
                <w:sz w:val="20"/>
                <w:szCs w:val="20"/>
              </w:rPr>
            </w:pPr>
            <w:r w:rsidRPr="00A43EB0">
              <w:rPr>
                <w:color w:val="000000" w:themeColor="text1"/>
                <w:sz w:val="20"/>
                <w:szCs w:val="20"/>
              </w:rPr>
              <w:t>3.53</w:t>
            </w:r>
          </w:p>
        </w:tc>
        <w:tc>
          <w:tcPr>
            <w:tcW w:w="1134" w:type="dxa"/>
            <w:tcBorders>
              <w:top w:val="nil"/>
              <w:bottom w:val="nil"/>
            </w:tcBorders>
            <w:shd w:val="clear" w:color="auto" w:fill="auto"/>
            <w:noWrap/>
          </w:tcPr>
          <w:p w14:paraId="35E13CCD" w14:textId="77777777" w:rsidR="00102BFC" w:rsidRPr="00A43EB0" w:rsidRDefault="00102BFC">
            <w:pPr>
              <w:spacing w:line="480" w:lineRule="auto"/>
              <w:rPr>
                <w:color w:val="000000" w:themeColor="text1"/>
                <w:sz w:val="20"/>
                <w:szCs w:val="20"/>
              </w:rPr>
            </w:pPr>
            <w:r w:rsidRPr="00A43EB0">
              <w:rPr>
                <w:color w:val="000000" w:themeColor="text1"/>
                <w:sz w:val="20"/>
                <w:szCs w:val="20"/>
              </w:rPr>
              <w:t>3.19</w:t>
            </w:r>
          </w:p>
        </w:tc>
        <w:tc>
          <w:tcPr>
            <w:tcW w:w="1166" w:type="dxa"/>
            <w:tcBorders>
              <w:top w:val="nil"/>
              <w:bottom w:val="nil"/>
            </w:tcBorders>
            <w:shd w:val="clear" w:color="auto" w:fill="auto"/>
            <w:noWrap/>
          </w:tcPr>
          <w:p w14:paraId="1CE6650F" w14:textId="77777777" w:rsidR="00102BFC" w:rsidRPr="00A43EB0" w:rsidRDefault="00102BFC">
            <w:pPr>
              <w:spacing w:line="480" w:lineRule="auto"/>
              <w:rPr>
                <w:color w:val="000000" w:themeColor="text1"/>
                <w:sz w:val="20"/>
                <w:szCs w:val="20"/>
              </w:rPr>
            </w:pPr>
            <w:r w:rsidRPr="00A43EB0">
              <w:rPr>
                <w:color w:val="000000" w:themeColor="text1"/>
                <w:sz w:val="20"/>
                <w:szCs w:val="20"/>
              </w:rPr>
              <w:t>5.53</w:t>
            </w:r>
          </w:p>
        </w:tc>
        <w:tc>
          <w:tcPr>
            <w:tcW w:w="1134" w:type="dxa"/>
            <w:tcBorders>
              <w:top w:val="nil"/>
              <w:bottom w:val="nil"/>
            </w:tcBorders>
            <w:shd w:val="clear" w:color="auto" w:fill="auto"/>
            <w:noWrap/>
          </w:tcPr>
          <w:p w14:paraId="4DBFA918" w14:textId="77777777" w:rsidR="00102BFC" w:rsidRPr="00A43EB0" w:rsidRDefault="00102BFC">
            <w:pPr>
              <w:spacing w:line="480" w:lineRule="auto"/>
              <w:rPr>
                <w:color w:val="000000" w:themeColor="text1"/>
                <w:sz w:val="20"/>
                <w:szCs w:val="20"/>
              </w:rPr>
            </w:pPr>
            <w:r w:rsidRPr="00A43EB0">
              <w:rPr>
                <w:color w:val="000000" w:themeColor="text1"/>
                <w:sz w:val="20"/>
                <w:szCs w:val="20"/>
              </w:rPr>
              <w:t>6.54</w:t>
            </w:r>
          </w:p>
        </w:tc>
        <w:tc>
          <w:tcPr>
            <w:tcW w:w="1435" w:type="dxa"/>
            <w:tcBorders>
              <w:top w:val="nil"/>
              <w:bottom w:val="nil"/>
            </w:tcBorders>
            <w:shd w:val="clear" w:color="auto" w:fill="auto"/>
            <w:noWrap/>
          </w:tcPr>
          <w:p w14:paraId="4CC6E3D8" w14:textId="77777777" w:rsidR="00102BFC" w:rsidRPr="00A43EB0" w:rsidRDefault="00102BFC">
            <w:pPr>
              <w:spacing w:line="480" w:lineRule="auto"/>
              <w:rPr>
                <w:color w:val="000000" w:themeColor="text1"/>
                <w:sz w:val="20"/>
                <w:szCs w:val="20"/>
              </w:rPr>
            </w:pPr>
            <w:r w:rsidRPr="00A43EB0">
              <w:rPr>
                <w:color w:val="000000" w:themeColor="text1"/>
                <w:sz w:val="20"/>
                <w:szCs w:val="20"/>
              </w:rPr>
              <w:t>5.16</w:t>
            </w:r>
          </w:p>
        </w:tc>
        <w:tc>
          <w:tcPr>
            <w:tcW w:w="1286" w:type="dxa"/>
            <w:tcBorders>
              <w:top w:val="nil"/>
              <w:bottom w:val="nil"/>
            </w:tcBorders>
            <w:shd w:val="clear" w:color="auto" w:fill="auto"/>
            <w:noWrap/>
          </w:tcPr>
          <w:p w14:paraId="051FC56A" w14:textId="77777777" w:rsidR="00102BFC" w:rsidRPr="00A43EB0" w:rsidRDefault="00102BFC">
            <w:pPr>
              <w:spacing w:line="480" w:lineRule="auto"/>
              <w:rPr>
                <w:color w:val="000000" w:themeColor="text1"/>
                <w:sz w:val="20"/>
                <w:szCs w:val="20"/>
              </w:rPr>
            </w:pPr>
            <w:r w:rsidRPr="00A43EB0">
              <w:rPr>
                <w:color w:val="000000" w:themeColor="text1"/>
                <w:sz w:val="20"/>
                <w:szCs w:val="20"/>
              </w:rPr>
              <w:t>5.58</w:t>
            </w:r>
          </w:p>
        </w:tc>
        <w:tc>
          <w:tcPr>
            <w:tcW w:w="1423" w:type="dxa"/>
            <w:tcBorders>
              <w:top w:val="nil"/>
              <w:bottom w:val="nil"/>
            </w:tcBorders>
          </w:tcPr>
          <w:p w14:paraId="2EE53539" w14:textId="77777777" w:rsidR="00102BFC" w:rsidRPr="00A43EB0" w:rsidRDefault="00102BFC">
            <w:pPr>
              <w:spacing w:line="480" w:lineRule="auto"/>
              <w:rPr>
                <w:color w:val="000000" w:themeColor="text1"/>
                <w:sz w:val="20"/>
                <w:szCs w:val="20"/>
              </w:rPr>
            </w:pPr>
            <w:r w:rsidRPr="00A43EB0">
              <w:rPr>
                <w:color w:val="000000" w:themeColor="text1"/>
                <w:sz w:val="20"/>
                <w:szCs w:val="20"/>
              </w:rPr>
              <w:t>5.67</w:t>
            </w:r>
          </w:p>
        </w:tc>
      </w:tr>
      <w:tr w:rsidR="00102BFC" w:rsidRPr="00A43EB0" w14:paraId="7E606B4E" w14:textId="77777777" w:rsidTr="00833F3B">
        <w:trPr>
          <w:trHeight w:val="375"/>
        </w:trPr>
        <w:tc>
          <w:tcPr>
            <w:tcW w:w="3104" w:type="dxa"/>
            <w:tcBorders>
              <w:top w:val="nil"/>
              <w:bottom w:val="single" w:sz="4" w:space="0" w:color="auto"/>
            </w:tcBorders>
            <w:shd w:val="clear" w:color="auto" w:fill="auto"/>
          </w:tcPr>
          <w:p w14:paraId="2FCECBF6" w14:textId="43319E6A" w:rsidR="00102BFC" w:rsidRPr="00A43EB0" w:rsidRDefault="00102BFC" w:rsidP="007B479A">
            <w:pPr>
              <w:spacing w:line="480" w:lineRule="auto"/>
              <w:rPr>
                <w:color w:val="000000" w:themeColor="text1"/>
                <w:sz w:val="20"/>
                <w:szCs w:val="20"/>
              </w:rPr>
            </w:pPr>
            <w:r w:rsidRPr="00A43EB0">
              <w:rPr>
                <w:color w:val="000000" w:themeColor="text1"/>
                <w:sz w:val="20"/>
                <w:szCs w:val="20"/>
              </w:rPr>
              <w:t>Omega alpha</w:t>
            </w:r>
          </w:p>
        </w:tc>
        <w:tc>
          <w:tcPr>
            <w:tcW w:w="1134" w:type="dxa"/>
            <w:tcBorders>
              <w:top w:val="nil"/>
              <w:bottom w:val="single" w:sz="4" w:space="0" w:color="auto"/>
            </w:tcBorders>
            <w:shd w:val="clear" w:color="auto" w:fill="auto"/>
            <w:noWrap/>
          </w:tcPr>
          <w:p w14:paraId="2B73650D" w14:textId="710B28E9" w:rsidR="00102BFC" w:rsidRPr="00A43EB0" w:rsidRDefault="00C935F1">
            <w:pPr>
              <w:spacing w:line="480" w:lineRule="auto"/>
              <w:rPr>
                <w:color w:val="000000" w:themeColor="text1"/>
                <w:sz w:val="20"/>
                <w:szCs w:val="20"/>
              </w:rPr>
            </w:pPr>
            <w:r>
              <w:rPr>
                <w:color w:val="000000" w:themeColor="text1"/>
                <w:sz w:val="20"/>
                <w:szCs w:val="20"/>
              </w:rPr>
              <w:t>0</w:t>
            </w:r>
            <w:r w:rsidR="00102BFC" w:rsidRPr="00A43EB0">
              <w:rPr>
                <w:color w:val="000000" w:themeColor="text1"/>
                <w:sz w:val="20"/>
                <w:szCs w:val="20"/>
              </w:rPr>
              <w:t>.65</w:t>
            </w:r>
          </w:p>
        </w:tc>
        <w:tc>
          <w:tcPr>
            <w:tcW w:w="1134" w:type="dxa"/>
            <w:tcBorders>
              <w:top w:val="nil"/>
              <w:bottom w:val="single" w:sz="4" w:space="0" w:color="auto"/>
            </w:tcBorders>
            <w:shd w:val="clear" w:color="auto" w:fill="auto"/>
            <w:noWrap/>
          </w:tcPr>
          <w:p w14:paraId="04F85E8C" w14:textId="542D558D" w:rsidR="00102BFC" w:rsidRPr="00A43EB0" w:rsidRDefault="00C935F1">
            <w:pPr>
              <w:spacing w:line="480" w:lineRule="auto"/>
              <w:rPr>
                <w:color w:val="000000" w:themeColor="text1"/>
                <w:sz w:val="20"/>
                <w:szCs w:val="20"/>
              </w:rPr>
            </w:pPr>
            <w:r>
              <w:rPr>
                <w:color w:val="000000" w:themeColor="text1"/>
                <w:sz w:val="20"/>
                <w:szCs w:val="20"/>
              </w:rPr>
              <w:t>0</w:t>
            </w:r>
            <w:r w:rsidR="00102BFC" w:rsidRPr="00A43EB0">
              <w:rPr>
                <w:color w:val="000000" w:themeColor="text1"/>
                <w:sz w:val="20"/>
                <w:szCs w:val="20"/>
              </w:rPr>
              <w:t>.72</w:t>
            </w:r>
          </w:p>
        </w:tc>
        <w:tc>
          <w:tcPr>
            <w:tcW w:w="1166" w:type="dxa"/>
            <w:tcBorders>
              <w:top w:val="nil"/>
              <w:bottom w:val="single" w:sz="4" w:space="0" w:color="auto"/>
            </w:tcBorders>
            <w:shd w:val="clear" w:color="auto" w:fill="auto"/>
            <w:noWrap/>
          </w:tcPr>
          <w:p w14:paraId="474FC486" w14:textId="6A37D311" w:rsidR="00102BFC" w:rsidRPr="00A43EB0" w:rsidRDefault="00C935F1">
            <w:pPr>
              <w:spacing w:line="480" w:lineRule="auto"/>
              <w:rPr>
                <w:color w:val="000000" w:themeColor="text1"/>
                <w:sz w:val="20"/>
                <w:szCs w:val="20"/>
              </w:rPr>
            </w:pPr>
            <w:r>
              <w:rPr>
                <w:color w:val="000000" w:themeColor="text1"/>
                <w:sz w:val="20"/>
                <w:szCs w:val="20"/>
              </w:rPr>
              <w:t>0</w:t>
            </w:r>
            <w:r w:rsidR="00102BFC" w:rsidRPr="00A43EB0">
              <w:rPr>
                <w:color w:val="000000" w:themeColor="text1"/>
                <w:sz w:val="20"/>
                <w:szCs w:val="20"/>
              </w:rPr>
              <w:t>.71</w:t>
            </w:r>
          </w:p>
        </w:tc>
        <w:tc>
          <w:tcPr>
            <w:tcW w:w="1134" w:type="dxa"/>
            <w:tcBorders>
              <w:top w:val="nil"/>
              <w:bottom w:val="single" w:sz="4" w:space="0" w:color="auto"/>
            </w:tcBorders>
            <w:shd w:val="clear" w:color="auto" w:fill="auto"/>
            <w:noWrap/>
          </w:tcPr>
          <w:p w14:paraId="5A333433" w14:textId="7AA93300" w:rsidR="00102BFC" w:rsidRPr="00A43EB0" w:rsidRDefault="00C935F1">
            <w:pPr>
              <w:spacing w:line="480" w:lineRule="auto"/>
              <w:rPr>
                <w:color w:val="000000" w:themeColor="text1"/>
                <w:sz w:val="20"/>
                <w:szCs w:val="20"/>
              </w:rPr>
            </w:pPr>
            <w:r>
              <w:rPr>
                <w:color w:val="000000" w:themeColor="text1"/>
                <w:sz w:val="20"/>
                <w:szCs w:val="20"/>
              </w:rPr>
              <w:t>0</w:t>
            </w:r>
            <w:r w:rsidR="00102BFC" w:rsidRPr="00A43EB0">
              <w:rPr>
                <w:color w:val="000000" w:themeColor="text1"/>
                <w:sz w:val="20"/>
                <w:szCs w:val="20"/>
              </w:rPr>
              <w:t>.78</w:t>
            </w:r>
          </w:p>
        </w:tc>
        <w:tc>
          <w:tcPr>
            <w:tcW w:w="1435" w:type="dxa"/>
            <w:tcBorders>
              <w:top w:val="nil"/>
              <w:bottom w:val="single" w:sz="4" w:space="0" w:color="auto"/>
            </w:tcBorders>
            <w:shd w:val="clear" w:color="auto" w:fill="auto"/>
            <w:noWrap/>
          </w:tcPr>
          <w:p w14:paraId="79667B77" w14:textId="4816828E" w:rsidR="00102BFC" w:rsidRPr="00A43EB0" w:rsidRDefault="00C935F1">
            <w:pPr>
              <w:spacing w:line="480" w:lineRule="auto"/>
              <w:rPr>
                <w:color w:val="000000" w:themeColor="text1"/>
                <w:sz w:val="20"/>
                <w:szCs w:val="20"/>
              </w:rPr>
            </w:pPr>
            <w:r>
              <w:rPr>
                <w:color w:val="000000" w:themeColor="text1"/>
                <w:sz w:val="20"/>
                <w:szCs w:val="20"/>
              </w:rPr>
              <w:t>0</w:t>
            </w:r>
            <w:r w:rsidR="00102BFC" w:rsidRPr="00A43EB0">
              <w:rPr>
                <w:color w:val="000000" w:themeColor="text1"/>
                <w:sz w:val="20"/>
                <w:szCs w:val="20"/>
              </w:rPr>
              <w:t>.86</w:t>
            </w:r>
          </w:p>
        </w:tc>
        <w:tc>
          <w:tcPr>
            <w:tcW w:w="1286" w:type="dxa"/>
            <w:tcBorders>
              <w:top w:val="nil"/>
              <w:bottom w:val="single" w:sz="4" w:space="0" w:color="auto"/>
            </w:tcBorders>
            <w:shd w:val="clear" w:color="auto" w:fill="auto"/>
            <w:noWrap/>
          </w:tcPr>
          <w:p w14:paraId="6B9B767E" w14:textId="229B6FA8" w:rsidR="00102BFC" w:rsidRPr="00A43EB0" w:rsidRDefault="00C935F1">
            <w:pPr>
              <w:spacing w:line="480" w:lineRule="auto"/>
              <w:rPr>
                <w:color w:val="000000" w:themeColor="text1"/>
                <w:sz w:val="20"/>
                <w:szCs w:val="20"/>
              </w:rPr>
            </w:pPr>
            <w:r>
              <w:rPr>
                <w:color w:val="000000" w:themeColor="text1"/>
                <w:sz w:val="20"/>
                <w:szCs w:val="20"/>
              </w:rPr>
              <w:t>0</w:t>
            </w:r>
            <w:r w:rsidR="00102BFC" w:rsidRPr="00A43EB0">
              <w:rPr>
                <w:color w:val="000000" w:themeColor="text1"/>
                <w:sz w:val="20"/>
                <w:szCs w:val="20"/>
              </w:rPr>
              <w:t>.88</w:t>
            </w:r>
          </w:p>
        </w:tc>
        <w:tc>
          <w:tcPr>
            <w:tcW w:w="1423" w:type="dxa"/>
            <w:tcBorders>
              <w:top w:val="nil"/>
              <w:bottom w:val="single" w:sz="4" w:space="0" w:color="auto"/>
            </w:tcBorders>
          </w:tcPr>
          <w:p w14:paraId="461DC020" w14:textId="4017535A" w:rsidR="00102BFC" w:rsidRPr="00A43EB0" w:rsidRDefault="00C935F1">
            <w:pPr>
              <w:spacing w:line="480" w:lineRule="auto"/>
              <w:rPr>
                <w:color w:val="000000" w:themeColor="text1"/>
                <w:sz w:val="20"/>
                <w:szCs w:val="20"/>
              </w:rPr>
            </w:pPr>
            <w:r>
              <w:rPr>
                <w:color w:val="000000" w:themeColor="text1"/>
                <w:sz w:val="20"/>
                <w:szCs w:val="20"/>
              </w:rPr>
              <w:t>0</w:t>
            </w:r>
            <w:r w:rsidR="00102BFC" w:rsidRPr="00A43EB0">
              <w:rPr>
                <w:color w:val="000000" w:themeColor="text1"/>
                <w:sz w:val="20"/>
                <w:szCs w:val="20"/>
              </w:rPr>
              <w:t>.88</w:t>
            </w:r>
          </w:p>
        </w:tc>
      </w:tr>
    </w:tbl>
    <w:p w14:paraId="6F5CD862" w14:textId="59E57CEF" w:rsidR="00215D3C" w:rsidRPr="00C12116" w:rsidRDefault="00215D3C" w:rsidP="005B4C73">
      <w:pPr>
        <w:autoSpaceDE w:val="0"/>
        <w:autoSpaceDN w:val="0"/>
        <w:adjustRightInd w:val="0"/>
        <w:spacing w:line="480" w:lineRule="auto"/>
        <w:ind w:left="60" w:right="60"/>
        <w:rPr>
          <w:color w:val="010205"/>
          <w:sz w:val="22"/>
          <w:szCs w:val="22"/>
        </w:rPr>
      </w:pPr>
      <w:r w:rsidRPr="00C12116">
        <w:rPr>
          <w:i/>
          <w:color w:val="010205"/>
          <w:sz w:val="22"/>
          <w:szCs w:val="22"/>
        </w:rPr>
        <w:t>Note.</w:t>
      </w:r>
      <w:r w:rsidR="00776E9E">
        <w:rPr>
          <w:i/>
          <w:color w:val="010205"/>
          <w:sz w:val="22"/>
          <w:szCs w:val="22"/>
        </w:rPr>
        <w:t xml:space="preserve"> </w:t>
      </w:r>
      <w:r w:rsidR="00776E9E">
        <w:rPr>
          <w:iCs/>
          <w:color w:val="010205"/>
          <w:sz w:val="22"/>
          <w:szCs w:val="22"/>
        </w:rPr>
        <w:t xml:space="preserve">SPQ = Schizotypal Personality Questionnaire, </w:t>
      </w:r>
      <w:r w:rsidR="00776E9E" w:rsidRPr="00102BFC">
        <w:rPr>
          <w:color w:val="000000" w:themeColor="text1"/>
        </w:rPr>
        <w:t>EUROHIS-</w:t>
      </w:r>
      <w:r w:rsidR="00776E9E">
        <w:rPr>
          <w:color w:val="000000" w:themeColor="text1"/>
        </w:rPr>
        <w:t>QoL</w:t>
      </w:r>
      <w:r w:rsidR="00776E9E" w:rsidRPr="00BF18D5">
        <w:rPr>
          <w:color w:val="000000" w:themeColor="text1"/>
        </w:rPr>
        <w:t xml:space="preserve"> = quality of life</w:t>
      </w:r>
      <w:r w:rsidR="00776E9E">
        <w:rPr>
          <w:color w:val="000000" w:themeColor="text1"/>
        </w:rPr>
        <w:t xml:space="preserve">, </w:t>
      </w:r>
      <w:r w:rsidR="00776E9E" w:rsidRPr="00BF18D5">
        <w:rPr>
          <w:color w:val="000000" w:themeColor="text1"/>
        </w:rPr>
        <w:t>RSES = self-esteem,</w:t>
      </w:r>
      <w:r w:rsidR="00776E9E">
        <w:rPr>
          <w:color w:val="000000" w:themeColor="text1"/>
        </w:rPr>
        <w:t xml:space="preserve"> and</w:t>
      </w:r>
      <w:r w:rsidR="00776E9E" w:rsidRPr="00BF18D5">
        <w:rPr>
          <w:color w:val="000000" w:themeColor="text1"/>
        </w:rPr>
        <w:t xml:space="preserve"> </w:t>
      </w:r>
      <w:r w:rsidR="00776E9E">
        <w:rPr>
          <w:color w:val="000000" w:themeColor="text1"/>
        </w:rPr>
        <w:br/>
      </w:r>
      <w:r w:rsidR="00776E9E" w:rsidRPr="00BF18D5">
        <w:rPr>
          <w:color w:val="000000" w:themeColor="text1"/>
        </w:rPr>
        <w:t>SWLS = satisfaction with life.</w:t>
      </w:r>
      <w:r w:rsidRPr="00C12116">
        <w:rPr>
          <w:i/>
          <w:color w:val="010205"/>
          <w:sz w:val="22"/>
          <w:szCs w:val="22"/>
        </w:rPr>
        <w:t xml:space="preserve"> </w:t>
      </w:r>
      <w:r w:rsidR="00776E9E">
        <w:rPr>
          <w:color w:val="010205"/>
          <w:sz w:val="22"/>
          <w:szCs w:val="22"/>
        </w:rPr>
        <w:t>A</w:t>
      </w:r>
      <w:r w:rsidR="000851B5">
        <w:rPr>
          <w:color w:val="010205"/>
          <w:sz w:val="22"/>
          <w:szCs w:val="22"/>
        </w:rPr>
        <w:t>ll</w:t>
      </w:r>
      <w:r w:rsidRPr="00C12116">
        <w:rPr>
          <w:color w:val="010205"/>
          <w:sz w:val="22"/>
          <w:szCs w:val="22"/>
        </w:rPr>
        <w:t xml:space="preserve"> </w:t>
      </w:r>
      <w:proofErr w:type="spellStart"/>
      <w:r w:rsidR="00102BFC" w:rsidRPr="00102BFC">
        <w:rPr>
          <w:i/>
          <w:iCs/>
          <w:color w:val="010205"/>
          <w:sz w:val="22"/>
          <w:szCs w:val="22"/>
        </w:rPr>
        <w:t>p</w:t>
      </w:r>
      <w:r w:rsidR="000851B5">
        <w:rPr>
          <w:i/>
          <w:iCs/>
          <w:color w:val="010205"/>
          <w:sz w:val="22"/>
          <w:szCs w:val="22"/>
        </w:rPr>
        <w:t>s</w:t>
      </w:r>
      <w:proofErr w:type="spellEnd"/>
      <w:r w:rsidR="00102BFC">
        <w:rPr>
          <w:color w:val="010205"/>
          <w:sz w:val="22"/>
          <w:szCs w:val="22"/>
        </w:rPr>
        <w:t xml:space="preserve"> &lt;</w:t>
      </w:r>
      <w:r w:rsidR="00C935F1">
        <w:rPr>
          <w:color w:val="010205"/>
          <w:sz w:val="22"/>
          <w:szCs w:val="22"/>
        </w:rPr>
        <w:t>0</w:t>
      </w:r>
      <w:r w:rsidR="00102BFC">
        <w:rPr>
          <w:color w:val="010205"/>
          <w:sz w:val="22"/>
          <w:szCs w:val="22"/>
        </w:rPr>
        <w:t xml:space="preserve"> .001</w:t>
      </w:r>
      <w:r w:rsidRPr="00C12116">
        <w:rPr>
          <w:color w:val="010205"/>
          <w:sz w:val="22"/>
          <w:szCs w:val="22"/>
        </w:rPr>
        <w:t>.</w:t>
      </w:r>
    </w:p>
    <w:p w14:paraId="74846E12" w14:textId="77777777" w:rsidR="00FD2668" w:rsidRPr="00C12116" w:rsidRDefault="00FD2668" w:rsidP="00215D3C">
      <w:pPr>
        <w:autoSpaceDE w:val="0"/>
        <w:autoSpaceDN w:val="0"/>
        <w:adjustRightInd w:val="0"/>
        <w:spacing w:line="320" w:lineRule="atLeast"/>
        <w:ind w:left="60" w:right="60"/>
        <w:rPr>
          <w:color w:val="010205"/>
          <w:sz w:val="22"/>
          <w:szCs w:val="22"/>
        </w:rPr>
      </w:pPr>
    </w:p>
    <w:p w14:paraId="75EEE58B" w14:textId="77777777" w:rsidR="00102BFC" w:rsidRDefault="00102BFC" w:rsidP="00102BFC">
      <w:pPr>
        <w:autoSpaceDE w:val="0"/>
        <w:autoSpaceDN w:val="0"/>
        <w:adjustRightInd w:val="0"/>
        <w:spacing w:line="360" w:lineRule="auto"/>
        <w:ind w:right="60"/>
        <w:rPr>
          <w:i/>
          <w:color w:val="000000" w:themeColor="text1"/>
        </w:rPr>
      </w:pPr>
    </w:p>
    <w:p w14:paraId="2D3BA4A2" w14:textId="793DC4F8" w:rsidR="007B479A" w:rsidRDefault="007B479A">
      <w:pPr>
        <w:rPr>
          <w:i/>
          <w:color w:val="000000" w:themeColor="text1"/>
        </w:rPr>
      </w:pPr>
      <w:r>
        <w:rPr>
          <w:i/>
          <w:color w:val="000000" w:themeColor="text1"/>
        </w:rPr>
        <w:br w:type="page"/>
      </w:r>
    </w:p>
    <w:p w14:paraId="7BFB2926" w14:textId="160E264A" w:rsidR="000851B5" w:rsidRDefault="00102BFC" w:rsidP="005B4C73">
      <w:pPr>
        <w:autoSpaceDE w:val="0"/>
        <w:autoSpaceDN w:val="0"/>
        <w:adjustRightInd w:val="0"/>
        <w:spacing w:line="480" w:lineRule="auto"/>
        <w:ind w:right="60"/>
        <w:rPr>
          <w:color w:val="000000" w:themeColor="text1"/>
        </w:rPr>
      </w:pPr>
      <w:r w:rsidRPr="005B4C73">
        <w:rPr>
          <w:color w:val="000000" w:themeColor="text1"/>
        </w:rPr>
        <w:lastRenderedPageBreak/>
        <w:t>Table 5</w:t>
      </w:r>
      <w:r w:rsidRPr="007B479A">
        <w:rPr>
          <w:i/>
          <w:color w:val="000000" w:themeColor="text1"/>
        </w:rPr>
        <w:t xml:space="preserve">. </w:t>
      </w:r>
      <w:r w:rsidR="000851B5" w:rsidRPr="005B4C73">
        <w:rPr>
          <w:i/>
        </w:rPr>
        <w:t xml:space="preserve">Standardised and </w:t>
      </w:r>
      <w:r w:rsidR="007B479A">
        <w:rPr>
          <w:i/>
        </w:rPr>
        <w:t>U</w:t>
      </w:r>
      <w:r w:rsidR="000851B5" w:rsidRPr="005B4C73">
        <w:rPr>
          <w:i/>
        </w:rPr>
        <w:t xml:space="preserve">nstandardised </w:t>
      </w:r>
      <w:r w:rsidR="007B479A">
        <w:rPr>
          <w:i/>
        </w:rPr>
        <w:t>R</w:t>
      </w:r>
      <w:r w:rsidR="000851B5" w:rsidRPr="005B4C73">
        <w:rPr>
          <w:i/>
        </w:rPr>
        <w:t xml:space="preserve">egression </w:t>
      </w:r>
      <w:r w:rsidR="007B479A">
        <w:rPr>
          <w:i/>
        </w:rPr>
        <w:t>C</w:t>
      </w:r>
      <w:r w:rsidR="000851B5" w:rsidRPr="005B4C73">
        <w:rPr>
          <w:i/>
        </w:rPr>
        <w:t>oefficients for the</w:t>
      </w:r>
      <w:r w:rsidR="00D976D6">
        <w:rPr>
          <w:i/>
        </w:rPr>
        <w:t xml:space="preserve"> Sex </w:t>
      </w:r>
      <w:proofErr w:type="spellStart"/>
      <w:r w:rsidR="00D976D6">
        <w:rPr>
          <w:i/>
        </w:rPr>
        <w:t>Covariated</w:t>
      </w:r>
      <w:proofErr w:type="spellEnd"/>
      <w:r w:rsidR="000851B5" w:rsidRPr="005B4C73">
        <w:rPr>
          <w:i/>
        </w:rPr>
        <w:t xml:space="preserve"> </w:t>
      </w:r>
      <w:r w:rsidR="007B479A">
        <w:rPr>
          <w:i/>
        </w:rPr>
        <w:t>R</w:t>
      </w:r>
      <w:r w:rsidR="000851B5" w:rsidRPr="005B4C73">
        <w:rPr>
          <w:i/>
        </w:rPr>
        <w:t>egression</w:t>
      </w:r>
      <w:r w:rsidR="007B479A">
        <w:rPr>
          <w:i/>
        </w:rPr>
        <w:t>s</w:t>
      </w:r>
      <w:r w:rsidR="000851B5" w:rsidRPr="005B4C73">
        <w:rPr>
          <w:i/>
        </w:rPr>
        <w:t xml:space="preserve"> with </w:t>
      </w:r>
      <w:r w:rsidR="007B479A">
        <w:rPr>
          <w:i/>
        </w:rPr>
        <w:t>Q</w:t>
      </w:r>
      <w:r w:rsidR="000851B5" w:rsidRPr="005B4C73">
        <w:rPr>
          <w:i/>
        </w:rPr>
        <w:t xml:space="preserve">uality of </w:t>
      </w:r>
      <w:r w:rsidR="007B479A">
        <w:rPr>
          <w:i/>
        </w:rPr>
        <w:t>L</w:t>
      </w:r>
      <w:r w:rsidR="000851B5" w:rsidRPr="005B4C73">
        <w:rPr>
          <w:i/>
        </w:rPr>
        <w:t xml:space="preserve">ife, </w:t>
      </w:r>
      <w:r w:rsidR="007B479A">
        <w:rPr>
          <w:i/>
        </w:rPr>
        <w:t>S</w:t>
      </w:r>
      <w:r w:rsidR="000851B5" w:rsidRPr="005B4C73">
        <w:rPr>
          <w:i/>
        </w:rPr>
        <w:t xml:space="preserve">atisfaction with </w:t>
      </w:r>
      <w:r w:rsidR="007B479A">
        <w:rPr>
          <w:i/>
        </w:rPr>
        <w:t>L</w:t>
      </w:r>
      <w:r w:rsidR="000851B5" w:rsidRPr="005B4C73">
        <w:rPr>
          <w:i/>
        </w:rPr>
        <w:t xml:space="preserve">ife, and </w:t>
      </w:r>
      <w:r w:rsidR="007B479A">
        <w:rPr>
          <w:i/>
        </w:rPr>
        <w:t>S</w:t>
      </w:r>
      <w:r w:rsidR="000851B5" w:rsidRPr="005B4C73">
        <w:rPr>
          <w:i/>
        </w:rPr>
        <w:t>elf-</w:t>
      </w:r>
      <w:r w:rsidR="007B479A">
        <w:rPr>
          <w:i/>
        </w:rPr>
        <w:t>E</w:t>
      </w:r>
      <w:r w:rsidR="000851B5" w:rsidRPr="005B4C73">
        <w:rPr>
          <w:i/>
        </w:rPr>
        <w:t>steem</w:t>
      </w:r>
      <w:r w:rsidR="007B479A">
        <w:rPr>
          <w:i/>
        </w:rPr>
        <w:t xml:space="preserve"> </w:t>
      </w:r>
      <w:r w:rsidR="000851B5" w:rsidRPr="005B4C73">
        <w:rPr>
          <w:i/>
        </w:rPr>
        <w:t xml:space="preserve">as </w:t>
      </w:r>
      <w:r w:rsidR="007B479A">
        <w:rPr>
          <w:i/>
        </w:rPr>
        <w:t>C</w:t>
      </w:r>
      <w:r w:rsidR="000851B5" w:rsidRPr="005B4C73">
        <w:rPr>
          <w:i/>
        </w:rPr>
        <w:t>riterion variable</w:t>
      </w:r>
      <w:r w:rsidR="007B479A">
        <w:rPr>
          <w:i/>
          <w:color w:val="000000" w:themeColor="text1"/>
        </w:rPr>
        <w:t>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1701"/>
        <w:gridCol w:w="851"/>
        <w:gridCol w:w="850"/>
        <w:gridCol w:w="993"/>
        <w:gridCol w:w="1275"/>
        <w:gridCol w:w="284"/>
        <w:gridCol w:w="333"/>
        <w:gridCol w:w="881"/>
        <w:gridCol w:w="664"/>
        <w:gridCol w:w="774"/>
        <w:gridCol w:w="950"/>
        <w:gridCol w:w="236"/>
        <w:gridCol w:w="236"/>
        <w:gridCol w:w="730"/>
        <w:gridCol w:w="664"/>
        <w:gridCol w:w="730"/>
        <w:gridCol w:w="950"/>
        <w:gridCol w:w="236"/>
        <w:gridCol w:w="664"/>
      </w:tblGrid>
      <w:tr w:rsidR="00102BFC" w:rsidRPr="00BF18D5" w14:paraId="5B2298FD" w14:textId="77777777" w:rsidTr="00F8124C">
        <w:tc>
          <w:tcPr>
            <w:tcW w:w="1701" w:type="dxa"/>
            <w:tcBorders>
              <w:top w:val="single" w:sz="4" w:space="0" w:color="auto"/>
              <w:bottom w:val="nil"/>
            </w:tcBorders>
          </w:tcPr>
          <w:p w14:paraId="3734083A" w14:textId="77777777" w:rsidR="00102BFC" w:rsidRPr="00BF18D5" w:rsidRDefault="00102BFC" w:rsidP="007B479A">
            <w:pPr>
              <w:autoSpaceDE w:val="0"/>
              <w:autoSpaceDN w:val="0"/>
              <w:adjustRightInd w:val="0"/>
              <w:spacing w:line="480" w:lineRule="auto"/>
              <w:ind w:right="60"/>
              <w:rPr>
                <w:color w:val="000000" w:themeColor="text1"/>
              </w:rPr>
            </w:pPr>
            <w:r w:rsidRPr="00BF18D5">
              <w:rPr>
                <w:color w:val="000000" w:themeColor="text1"/>
              </w:rPr>
              <w:t>Predictor</w:t>
            </w:r>
          </w:p>
        </w:tc>
        <w:tc>
          <w:tcPr>
            <w:tcW w:w="3969" w:type="dxa"/>
            <w:gridSpan w:val="4"/>
            <w:tcBorders>
              <w:top w:val="single" w:sz="4" w:space="0" w:color="auto"/>
              <w:bottom w:val="single" w:sz="4" w:space="0" w:color="auto"/>
            </w:tcBorders>
          </w:tcPr>
          <w:p w14:paraId="622C61AD" w14:textId="27E3C537" w:rsidR="00102BFC" w:rsidRPr="00BF18D5" w:rsidRDefault="00102BFC">
            <w:pPr>
              <w:autoSpaceDE w:val="0"/>
              <w:autoSpaceDN w:val="0"/>
              <w:adjustRightInd w:val="0"/>
              <w:spacing w:line="480" w:lineRule="auto"/>
              <w:ind w:right="60"/>
              <w:jc w:val="center"/>
              <w:rPr>
                <w:color w:val="000000" w:themeColor="text1"/>
              </w:rPr>
            </w:pPr>
            <w:r w:rsidRPr="00102BFC">
              <w:rPr>
                <w:color w:val="000000" w:themeColor="text1"/>
              </w:rPr>
              <w:t>EUROHIS-</w:t>
            </w:r>
            <w:r>
              <w:rPr>
                <w:color w:val="000000" w:themeColor="text1"/>
              </w:rPr>
              <w:t>QoL</w:t>
            </w:r>
          </w:p>
        </w:tc>
        <w:tc>
          <w:tcPr>
            <w:tcW w:w="284" w:type="dxa"/>
            <w:tcBorders>
              <w:top w:val="single" w:sz="4" w:space="0" w:color="auto"/>
              <w:bottom w:val="nil"/>
            </w:tcBorders>
          </w:tcPr>
          <w:p w14:paraId="5BAC040F" w14:textId="77777777" w:rsidR="00102BFC" w:rsidRPr="00BF18D5" w:rsidRDefault="00102BFC">
            <w:pPr>
              <w:autoSpaceDE w:val="0"/>
              <w:autoSpaceDN w:val="0"/>
              <w:adjustRightInd w:val="0"/>
              <w:spacing w:line="480" w:lineRule="auto"/>
              <w:ind w:right="60"/>
              <w:rPr>
                <w:color w:val="000000" w:themeColor="text1"/>
              </w:rPr>
            </w:pPr>
          </w:p>
        </w:tc>
        <w:tc>
          <w:tcPr>
            <w:tcW w:w="333" w:type="dxa"/>
            <w:tcBorders>
              <w:top w:val="single" w:sz="4" w:space="0" w:color="auto"/>
              <w:bottom w:val="single" w:sz="4" w:space="0" w:color="auto"/>
            </w:tcBorders>
          </w:tcPr>
          <w:p w14:paraId="7124A7F6" w14:textId="77777777" w:rsidR="00102BFC" w:rsidRPr="00BF18D5" w:rsidRDefault="00102BFC">
            <w:pPr>
              <w:autoSpaceDE w:val="0"/>
              <w:autoSpaceDN w:val="0"/>
              <w:adjustRightInd w:val="0"/>
              <w:spacing w:line="480" w:lineRule="auto"/>
              <w:ind w:right="60"/>
              <w:rPr>
                <w:color w:val="000000" w:themeColor="text1"/>
              </w:rPr>
            </w:pPr>
          </w:p>
        </w:tc>
        <w:tc>
          <w:tcPr>
            <w:tcW w:w="3269" w:type="dxa"/>
            <w:gridSpan w:val="4"/>
            <w:tcBorders>
              <w:top w:val="single" w:sz="4" w:space="0" w:color="auto"/>
              <w:bottom w:val="single" w:sz="4" w:space="0" w:color="auto"/>
            </w:tcBorders>
          </w:tcPr>
          <w:p w14:paraId="264C7384" w14:textId="77777777" w:rsidR="00102BFC" w:rsidRPr="00BF18D5" w:rsidRDefault="00102BFC">
            <w:pPr>
              <w:autoSpaceDE w:val="0"/>
              <w:autoSpaceDN w:val="0"/>
              <w:adjustRightInd w:val="0"/>
              <w:spacing w:line="480" w:lineRule="auto"/>
              <w:ind w:right="60"/>
              <w:jc w:val="center"/>
              <w:rPr>
                <w:color w:val="000000" w:themeColor="text1"/>
              </w:rPr>
            </w:pPr>
            <w:r w:rsidRPr="00BF18D5">
              <w:rPr>
                <w:color w:val="000000" w:themeColor="text1"/>
              </w:rPr>
              <w:t>SWLS</w:t>
            </w:r>
          </w:p>
        </w:tc>
        <w:tc>
          <w:tcPr>
            <w:tcW w:w="222" w:type="dxa"/>
            <w:tcBorders>
              <w:top w:val="single" w:sz="4" w:space="0" w:color="auto"/>
              <w:bottom w:val="nil"/>
            </w:tcBorders>
          </w:tcPr>
          <w:p w14:paraId="5DF85F33" w14:textId="77777777" w:rsidR="00102BFC" w:rsidRPr="00BF18D5" w:rsidRDefault="00102BFC">
            <w:pPr>
              <w:autoSpaceDE w:val="0"/>
              <w:autoSpaceDN w:val="0"/>
              <w:adjustRightInd w:val="0"/>
              <w:spacing w:line="480" w:lineRule="auto"/>
              <w:ind w:right="60"/>
              <w:rPr>
                <w:color w:val="000000" w:themeColor="text1"/>
              </w:rPr>
            </w:pPr>
          </w:p>
        </w:tc>
        <w:tc>
          <w:tcPr>
            <w:tcW w:w="222" w:type="dxa"/>
            <w:tcBorders>
              <w:top w:val="single" w:sz="4" w:space="0" w:color="auto"/>
              <w:bottom w:val="single" w:sz="4" w:space="0" w:color="auto"/>
            </w:tcBorders>
          </w:tcPr>
          <w:p w14:paraId="1C6915F9" w14:textId="77777777" w:rsidR="00102BFC" w:rsidRPr="00BF18D5" w:rsidRDefault="00102BFC" w:rsidP="005B4C73">
            <w:pPr>
              <w:autoSpaceDE w:val="0"/>
              <w:autoSpaceDN w:val="0"/>
              <w:adjustRightInd w:val="0"/>
              <w:spacing w:line="480" w:lineRule="auto"/>
              <w:ind w:right="60"/>
              <w:rPr>
                <w:color w:val="000000" w:themeColor="text1"/>
              </w:rPr>
            </w:pPr>
          </w:p>
        </w:tc>
        <w:tc>
          <w:tcPr>
            <w:tcW w:w="3074" w:type="dxa"/>
            <w:gridSpan w:val="4"/>
            <w:tcBorders>
              <w:top w:val="single" w:sz="4" w:space="0" w:color="auto"/>
              <w:bottom w:val="single" w:sz="4" w:space="0" w:color="auto"/>
            </w:tcBorders>
          </w:tcPr>
          <w:p w14:paraId="067CC142" w14:textId="77777777" w:rsidR="00102BFC" w:rsidRPr="00BF18D5" w:rsidRDefault="00102BFC" w:rsidP="007B479A">
            <w:pPr>
              <w:autoSpaceDE w:val="0"/>
              <w:autoSpaceDN w:val="0"/>
              <w:adjustRightInd w:val="0"/>
              <w:spacing w:line="480" w:lineRule="auto"/>
              <w:ind w:right="60"/>
              <w:jc w:val="center"/>
              <w:rPr>
                <w:color w:val="000000" w:themeColor="text1"/>
              </w:rPr>
            </w:pPr>
            <w:r w:rsidRPr="00BF18D5">
              <w:rPr>
                <w:color w:val="000000" w:themeColor="text1"/>
              </w:rPr>
              <w:t>RSES</w:t>
            </w:r>
          </w:p>
        </w:tc>
        <w:tc>
          <w:tcPr>
            <w:tcW w:w="222" w:type="dxa"/>
            <w:tcBorders>
              <w:top w:val="single" w:sz="4" w:space="0" w:color="auto"/>
              <w:bottom w:val="nil"/>
            </w:tcBorders>
          </w:tcPr>
          <w:p w14:paraId="7B0EC59C" w14:textId="77777777" w:rsidR="00102BFC" w:rsidRPr="00BF18D5" w:rsidRDefault="00102BFC">
            <w:pPr>
              <w:autoSpaceDE w:val="0"/>
              <w:autoSpaceDN w:val="0"/>
              <w:adjustRightInd w:val="0"/>
              <w:spacing w:line="480" w:lineRule="auto"/>
              <w:ind w:right="60"/>
              <w:rPr>
                <w:color w:val="000000" w:themeColor="text1"/>
              </w:rPr>
            </w:pPr>
          </w:p>
        </w:tc>
        <w:tc>
          <w:tcPr>
            <w:tcW w:w="664" w:type="dxa"/>
            <w:tcBorders>
              <w:top w:val="single" w:sz="4" w:space="0" w:color="auto"/>
              <w:bottom w:val="single" w:sz="4" w:space="0" w:color="auto"/>
            </w:tcBorders>
          </w:tcPr>
          <w:p w14:paraId="00BFDA33" w14:textId="77777777" w:rsidR="00102BFC" w:rsidRPr="00BF18D5" w:rsidRDefault="00102BFC">
            <w:pPr>
              <w:autoSpaceDE w:val="0"/>
              <w:autoSpaceDN w:val="0"/>
              <w:adjustRightInd w:val="0"/>
              <w:spacing w:line="480" w:lineRule="auto"/>
              <w:ind w:right="60"/>
              <w:rPr>
                <w:color w:val="000000" w:themeColor="text1"/>
              </w:rPr>
            </w:pPr>
          </w:p>
        </w:tc>
      </w:tr>
      <w:tr w:rsidR="009F7FB5" w:rsidRPr="00BF18D5" w14:paraId="67D54194" w14:textId="77777777" w:rsidTr="00F8124C">
        <w:tc>
          <w:tcPr>
            <w:tcW w:w="1701" w:type="dxa"/>
            <w:tcBorders>
              <w:top w:val="nil"/>
              <w:bottom w:val="nil"/>
            </w:tcBorders>
          </w:tcPr>
          <w:p w14:paraId="5954002B" w14:textId="77777777" w:rsidR="00102BFC" w:rsidRPr="00BF18D5" w:rsidRDefault="00102BFC" w:rsidP="007B479A">
            <w:pPr>
              <w:autoSpaceDE w:val="0"/>
              <w:autoSpaceDN w:val="0"/>
              <w:adjustRightInd w:val="0"/>
              <w:spacing w:line="480" w:lineRule="auto"/>
              <w:ind w:right="60"/>
              <w:rPr>
                <w:color w:val="000000" w:themeColor="text1"/>
              </w:rPr>
            </w:pPr>
          </w:p>
        </w:tc>
        <w:tc>
          <w:tcPr>
            <w:tcW w:w="851" w:type="dxa"/>
            <w:tcBorders>
              <w:top w:val="single" w:sz="4" w:space="0" w:color="auto"/>
              <w:bottom w:val="single" w:sz="4" w:space="0" w:color="auto"/>
            </w:tcBorders>
          </w:tcPr>
          <w:p w14:paraId="06976A42" w14:textId="77777777" w:rsidR="00102BFC" w:rsidRPr="000851B5" w:rsidRDefault="00102BFC">
            <w:pPr>
              <w:autoSpaceDE w:val="0"/>
              <w:autoSpaceDN w:val="0"/>
              <w:adjustRightInd w:val="0"/>
              <w:spacing w:line="480" w:lineRule="auto"/>
              <w:ind w:right="60"/>
              <w:rPr>
                <w:i/>
                <w:iCs/>
                <w:color w:val="000000" w:themeColor="text1"/>
              </w:rPr>
            </w:pPr>
            <w:r w:rsidRPr="000851B5">
              <w:rPr>
                <w:i/>
                <w:iCs/>
                <w:color w:val="000000" w:themeColor="text1"/>
              </w:rPr>
              <w:t>B</w:t>
            </w:r>
          </w:p>
        </w:tc>
        <w:tc>
          <w:tcPr>
            <w:tcW w:w="850" w:type="dxa"/>
            <w:tcBorders>
              <w:top w:val="single" w:sz="4" w:space="0" w:color="auto"/>
              <w:bottom w:val="single" w:sz="4" w:space="0" w:color="auto"/>
            </w:tcBorders>
          </w:tcPr>
          <w:p w14:paraId="79D42A62" w14:textId="77777777" w:rsidR="00102BFC" w:rsidRPr="000851B5" w:rsidRDefault="00102BFC">
            <w:pPr>
              <w:autoSpaceDE w:val="0"/>
              <w:autoSpaceDN w:val="0"/>
              <w:adjustRightInd w:val="0"/>
              <w:spacing w:line="480" w:lineRule="auto"/>
              <w:ind w:right="60"/>
              <w:rPr>
                <w:i/>
                <w:iCs/>
                <w:color w:val="000000" w:themeColor="text1"/>
              </w:rPr>
            </w:pPr>
            <w:r w:rsidRPr="000851B5">
              <w:rPr>
                <w:i/>
                <w:iCs/>
                <w:color w:val="000000" w:themeColor="text1"/>
              </w:rPr>
              <w:t>SE</w:t>
            </w:r>
          </w:p>
        </w:tc>
        <w:tc>
          <w:tcPr>
            <w:tcW w:w="993" w:type="dxa"/>
            <w:tcBorders>
              <w:top w:val="single" w:sz="4" w:space="0" w:color="auto"/>
              <w:bottom w:val="single" w:sz="4" w:space="0" w:color="auto"/>
            </w:tcBorders>
          </w:tcPr>
          <w:p w14:paraId="5B6AEB95" w14:textId="77777777" w:rsidR="00102BFC" w:rsidRPr="000851B5" w:rsidRDefault="00102BFC">
            <w:pPr>
              <w:autoSpaceDE w:val="0"/>
              <w:autoSpaceDN w:val="0"/>
              <w:adjustRightInd w:val="0"/>
              <w:spacing w:line="480" w:lineRule="auto"/>
              <w:ind w:right="60"/>
              <w:rPr>
                <w:i/>
                <w:iCs/>
                <w:color w:val="000000" w:themeColor="text1"/>
              </w:rPr>
            </w:pPr>
            <w:r w:rsidRPr="000851B5">
              <w:rPr>
                <w:i/>
                <w:iCs/>
                <w:color w:val="000000" w:themeColor="text1"/>
                <w:shd w:val="clear" w:color="auto" w:fill="FFFFFF"/>
              </w:rPr>
              <w:t>β</w:t>
            </w:r>
          </w:p>
        </w:tc>
        <w:tc>
          <w:tcPr>
            <w:tcW w:w="1275" w:type="dxa"/>
            <w:tcBorders>
              <w:top w:val="single" w:sz="4" w:space="0" w:color="auto"/>
              <w:bottom w:val="single" w:sz="4" w:space="0" w:color="auto"/>
            </w:tcBorders>
          </w:tcPr>
          <w:p w14:paraId="2FDCA83E" w14:textId="77777777" w:rsidR="00102BFC" w:rsidRPr="000851B5" w:rsidRDefault="00102BFC">
            <w:pPr>
              <w:autoSpaceDE w:val="0"/>
              <w:autoSpaceDN w:val="0"/>
              <w:adjustRightInd w:val="0"/>
              <w:spacing w:line="480" w:lineRule="auto"/>
              <w:ind w:right="60"/>
              <w:rPr>
                <w:i/>
                <w:iCs/>
                <w:color w:val="000000" w:themeColor="text1"/>
              </w:rPr>
            </w:pPr>
            <w:r w:rsidRPr="000851B5">
              <w:rPr>
                <w:i/>
                <w:iCs/>
                <w:color w:val="000000" w:themeColor="text1"/>
              </w:rPr>
              <w:t>t</w:t>
            </w:r>
          </w:p>
        </w:tc>
        <w:tc>
          <w:tcPr>
            <w:tcW w:w="284" w:type="dxa"/>
            <w:tcBorders>
              <w:top w:val="nil"/>
              <w:bottom w:val="nil"/>
            </w:tcBorders>
          </w:tcPr>
          <w:p w14:paraId="3F2F28B1" w14:textId="77777777" w:rsidR="00102BFC" w:rsidRPr="000851B5" w:rsidRDefault="00102BFC">
            <w:pPr>
              <w:autoSpaceDE w:val="0"/>
              <w:autoSpaceDN w:val="0"/>
              <w:adjustRightInd w:val="0"/>
              <w:spacing w:line="480" w:lineRule="auto"/>
              <w:ind w:right="60"/>
              <w:rPr>
                <w:i/>
                <w:iCs/>
                <w:color w:val="000000" w:themeColor="text1"/>
              </w:rPr>
            </w:pPr>
          </w:p>
        </w:tc>
        <w:tc>
          <w:tcPr>
            <w:tcW w:w="333" w:type="dxa"/>
            <w:tcBorders>
              <w:top w:val="single" w:sz="4" w:space="0" w:color="auto"/>
              <w:bottom w:val="single" w:sz="4" w:space="0" w:color="auto"/>
            </w:tcBorders>
          </w:tcPr>
          <w:p w14:paraId="0F38E3CC" w14:textId="77777777" w:rsidR="00102BFC" w:rsidRPr="000851B5" w:rsidRDefault="00102BFC">
            <w:pPr>
              <w:autoSpaceDE w:val="0"/>
              <w:autoSpaceDN w:val="0"/>
              <w:adjustRightInd w:val="0"/>
              <w:spacing w:line="480" w:lineRule="auto"/>
              <w:ind w:right="60"/>
              <w:rPr>
                <w:i/>
                <w:iCs/>
                <w:color w:val="000000" w:themeColor="text1"/>
              </w:rPr>
            </w:pPr>
          </w:p>
        </w:tc>
        <w:tc>
          <w:tcPr>
            <w:tcW w:w="881" w:type="dxa"/>
            <w:tcBorders>
              <w:top w:val="single" w:sz="4" w:space="0" w:color="auto"/>
              <w:bottom w:val="single" w:sz="4" w:space="0" w:color="auto"/>
            </w:tcBorders>
          </w:tcPr>
          <w:p w14:paraId="1487C641" w14:textId="77777777" w:rsidR="00102BFC" w:rsidRPr="000851B5" w:rsidRDefault="00102BFC">
            <w:pPr>
              <w:autoSpaceDE w:val="0"/>
              <w:autoSpaceDN w:val="0"/>
              <w:adjustRightInd w:val="0"/>
              <w:spacing w:line="480" w:lineRule="auto"/>
              <w:ind w:right="60"/>
              <w:rPr>
                <w:i/>
                <w:iCs/>
                <w:color w:val="000000" w:themeColor="text1"/>
              </w:rPr>
            </w:pPr>
            <w:r w:rsidRPr="000851B5">
              <w:rPr>
                <w:i/>
                <w:iCs/>
                <w:color w:val="000000" w:themeColor="text1"/>
              </w:rPr>
              <w:t>B</w:t>
            </w:r>
          </w:p>
        </w:tc>
        <w:tc>
          <w:tcPr>
            <w:tcW w:w="664" w:type="dxa"/>
            <w:tcBorders>
              <w:top w:val="single" w:sz="4" w:space="0" w:color="auto"/>
              <w:bottom w:val="single" w:sz="4" w:space="0" w:color="auto"/>
            </w:tcBorders>
          </w:tcPr>
          <w:p w14:paraId="37CD677B" w14:textId="77777777" w:rsidR="00102BFC" w:rsidRPr="000851B5" w:rsidRDefault="00102BFC">
            <w:pPr>
              <w:autoSpaceDE w:val="0"/>
              <w:autoSpaceDN w:val="0"/>
              <w:adjustRightInd w:val="0"/>
              <w:spacing w:line="480" w:lineRule="auto"/>
              <w:ind w:right="60"/>
              <w:rPr>
                <w:i/>
                <w:iCs/>
                <w:color w:val="000000" w:themeColor="text1"/>
              </w:rPr>
            </w:pPr>
            <w:r w:rsidRPr="000851B5">
              <w:rPr>
                <w:i/>
                <w:iCs/>
                <w:color w:val="000000" w:themeColor="text1"/>
              </w:rPr>
              <w:t>SE</w:t>
            </w:r>
          </w:p>
        </w:tc>
        <w:tc>
          <w:tcPr>
            <w:tcW w:w="774" w:type="dxa"/>
            <w:tcBorders>
              <w:top w:val="single" w:sz="4" w:space="0" w:color="auto"/>
              <w:bottom w:val="single" w:sz="4" w:space="0" w:color="auto"/>
            </w:tcBorders>
          </w:tcPr>
          <w:p w14:paraId="5E07B88B" w14:textId="77777777" w:rsidR="00102BFC" w:rsidRPr="000851B5" w:rsidRDefault="00102BFC">
            <w:pPr>
              <w:autoSpaceDE w:val="0"/>
              <w:autoSpaceDN w:val="0"/>
              <w:adjustRightInd w:val="0"/>
              <w:spacing w:line="480" w:lineRule="auto"/>
              <w:ind w:right="60"/>
              <w:rPr>
                <w:i/>
                <w:iCs/>
                <w:color w:val="000000" w:themeColor="text1"/>
              </w:rPr>
            </w:pPr>
            <w:r w:rsidRPr="000851B5">
              <w:rPr>
                <w:i/>
                <w:iCs/>
                <w:color w:val="000000" w:themeColor="text1"/>
                <w:shd w:val="clear" w:color="auto" w:fill="FFFFFF"/>
              </w:rPr>
              <w:t>β</w:t>
            </w:r>
          </w:p>
        </w:tc>
        <w:tc>
          <w:tcPr>
            <w:tcW w:w="950" w:type="dxa"/>
            <w:tcBorders>
              <w:top w:val="single" w:sz="4" w:space="0" w:color="auto"/>
              <w:bottom w:val="single" w:sz="4" w:space="0" w:color="auto"/>
            </w:tcBorders>
          </w:tcPr>
          <w:p w14:paraId="693F84AF" w14:textId="77777777" w:rsidR="00102BFC" w:rsidRPr="000851B5" w:rsidRDefault="00102BFC">
            <w:pPr>
              <w:autoSpaceDE w:val="0"/>
              <w:autoSpaceDN w:val="0"/>
              <w:adjustRightInd w:val="0"/>
              <w:spacing w:line="480" w:lineRule="auto"/>
              <w:ind w:right="60"/>
              <w:rPr>
                <w:i/>
                <w:iCs/>
                <w:color w:val="000000" w:themeColor="text1"/>
              </w:rPr>
            </w:pPr>
            <w:r w:rsidRPr="000851B5">
              <w:rPr>
                <w:i/>
                <w:iCs/>
                <w:color w:val="000000" w:themeColor="text1"/>
              </w:rPr>
              <w:t>t</w:t>
            </w:r>
          </w:p>
        </w:tc>
        <w:tc>
          <w:tcPr>
            <w:tcW w:w="222" w:type="dxa"/>
            <w:tcBorders>
              <w:top w:val="nil"/>
              <w:bottom w:val="nil"/>
            </w:tcBorders>
          </w:tcPr>
          <w:p w14:paraId="44D225C2" w14:textId="77777777" w:rsidR="00102BFC" w:rsidRPr="000851B5" w:rsidRDefault="00102BFC">
            <w:pPr>
              <w:autoSpaceDE w:val="0"/>
              <w:autoSpaceDN w:val="0"/>
              <w:adjustRightInd w:val="0"/>
              <w:spacing w:line="480" w:lineRule="auto"/>
              <w:ind w:right="60"/>
              <w:rPr>
                <w:i/>
                <w:iCs/>
                <w:color w:val="000000" w:themeColor="text1"/>
              </w:rPr>
            </w:pPr>
          </w:p>
        </w:tc>
        <w:tc>
          <w:tcPr>
            <w:tcW w:w="222" w:type="dxa"/>
            <w:tcBorders>
              <w:top w:val="single" w:sz="4" w:space="0" w:color="auto"/>
              <w:bottom w:val="single" w:sz="4" w:space="0" w:color="auto"/>
            </w:tcBorders>
          </w:tcPr>
          <w:p w14:paraId="4CFF6ACD" w14:textId="77777777" w:rsidR="00102BFC" w:rsidRPr="000851B5" w:rsidRDefault="00102BFC" w:rsidP="005B4C73">
            <w:pPr>
              <w:autoSpaceDE w:val="0"/>
              <w:autoSpaceDN w:val="0"/>
              <w:adjustRightInd w:val="0"/>
              <w:spacing w:line="480" w:lineRule="auto"/>
              <w:ind w:right="60"/>
              <w:rPr>
                <w:i/>
                <w:iCs/>
                <w:color w:val="000000" w:themeColor="text1"/>
              </w:rPr>
            </w:pPr>
          </w:p>
        </w:tc>
        <w:tc>
          <w:tcPr>
            <w:tcW w:w="730" w:type="dxa"/>
            <w:tcBorders>
              <w:top w:val="single" w:sz="4" w:space="0" w:color="auto"/>
              <w:bottom w:val="single" w:sz="4" w:space="0" w:color="auto"/>
            </w:tcBorders>
          </w:tcPr>
          <w:p w14:paraId="7DB126D1" w14:textId="77777777" w:rsidR="00102BFC" w:rsidRPr="000851B5" w:rsidRDefault="00102BFC" w:rsidP="007B479A">
            <w:pPr>
              <w:autoSpaceDE w:val="0"/>
              <w:autoSpaceDN w:val="0"/>
              <w:adjustRightInd w:val="0"/>
              <w:spacing w:line="480" w:lineRule="auto"/>
              <w:ind w:right="60"/>
              <w:rPr>
                <w:i/>
                <w:iCs/>
                <w:color w:val="000000" w:themeColor="text1"/>
              </w:rPr>
            </w:pPr>
            <w:r w:rsidRPr="000851B5">
              <w:rPr>
                <w:i/>
                <w:iCs/>
                <w:color w:val="000000" w:themeColor="text1"/>
              </w:rPr>
              <w:t>B</w:t>
            </w:r>
          </w:p>
        </w:tc>
        <w:tc>
          <w:tcPr>
            <w:tcW w:w="664" w:type="dxa"/>
            <w:tcBorders>
              <w:top w:val="single" w:sz="4" w:space="0" w:color="auto"/>
              <w:bottom w:val="single" w:sz="4" w:space="0" w:color="auto"/>
            </w:tcBorders>
          </w:tcPr>
          <w:p w14:paraId="102B12CB" w14:textId="77777777" w:rsidR="00102BFC" w:rsidRPr="000851B5" w:rsidRDefault="00102BFC">
            <w:pPr>
              <w:autoSpaceDE w:val="0"/>
              <w:autoSpaceDN w:val="0"/>
              <w:adjustRightInd w:val="0"/>
              <w:spacing w:line="480" w:lineRule="auto"/>
              <w:ind w:right="60"/>
              <w:rPr>
                <w:i/>
                <w:iCs/>
                <w:color w:val="000000" w:themeColor="text1"/>
              </w:rPr>
            </w:pPr>
            <w:r w:rsidRPr="000851B5">
              <w:rPr>
                <w:i/>
                <w:iCs/>
                <w:color w:val="000000" w:themeColor="text1"/>
              </w:rPr>
              <w:t>SE</w:t>
            </w:r>
          </w:p>
        </w:tc>
        <w:tc>
          <w:tcPr>
            <w:tcW w:w="730" w:type="dxa"/>
            <w:tcBorders>
              <w:top w:val="single" w:sz="4" w:space="0" w:color="auto"/>
              <w:bottom w:val="single" w:sz="4" w:space="0" w:color="auto"/>
            </w:tcBorders>
          </w:tcPr>
          <w:p w14:paraId="5F7CBAC1" w14:textId="77777777" w:rsidR="00102BFC" w:rsidRPr="000851B5" w:rsidRDefault="00102BFC">
            <w:pPr>
              <w:autoSpaceDE w:val="0"/>
              <w:autoSpaceDN w:val="0"/>
              <w:adjustRightInd w:val="0"/>
              <w:spacing w:line="480" w:lineRule="auto"/>
              <w:ind w:right="60"/>
              <w:rPr>
                <w:i/>
                <w:iCs/>
                <w:color w:val="000000" w:themeColor="text1"/>
              </w:rPr>
            </w:pPr>
            <w:r w:rsidRPr="000851B5">
              <w:rPr>
                <w:i/>
                <w:iCs/>
                <w:color w:val="000000" w:themeColor="text1"/>
                <w:shd w:val="clear" w:color="auto" w:fill="FFFFFF"/>
              </w:rPr>
              <w:t>β</w:t>
            </w:r>
          </w:p>
        </w:tc>
        <w:tc>
          <w:tcPr>
            <w:tcW w:w="950" w:type="dxa"/>
            <w:tcBorders>
              <w:top w:val="single" w:sz="4" w:space="0" w:color="auto"/>
              <w:bottom w:val="single" w:sz="4" w:space="0" w:color="auto"/>
            </w:tcBorders>
          </w:tcPr>
          <w:p w14:paraId="4F15631E" w14:textId="77777777" w:rsidR="00102BFC" w:rsidRPr="000851B5" w:rsidRDefault="00102BFC">
            <w:pPr>
              <w:autoSpaceDE w:val="0"/>
              <w:autoSpaceDN w:val="0"/>
              <w:adjustRightInd w:val="0"/>
              <w:spacing w:line="480" w:lineRule="auto"/>
              <w:ind w:right="60"/>
              <w:rPr>
                <w:i/>
                <w:iCs/>
                <w:color w:val="000000" w:themeColor="text1"/>
              </w:rPr>
            </w:pPr>
            <w:r w:rsidRPr="000851B5">
              <w:rPr>
                <w:i/>
                <w:iCs/>
                <w:color w:val="000000" w:themeColor="text1"/>
              </w:rPr>
              <w:t>t</w:t>
            </w:r>
          </w:p>
        </w:tc>
        <w:tc>
          <w:tcPr>
            <w:tcW w:w="222" w:type="dxa"/>
            <w:tcBorders>
              <w:top w:val="nil"/>
              <w:bottom w:val="nil"/>
            </w:tcBorders>
          </w:tcPr>
          <w:p w14:paraId="02884A0C" w14:textId="77777777" w:rsidR="00102BFC" w:rsidRPr="00BF18D5" w:rsidRDefault="00102BFC">
            <w:pPr>
              <w:autoSpaceDE w:val="0"/>
              <w:autoSpaceDN w:val="0"/>
              <w:adjustRightInd w:val="0"/>
              <w:spacing w:line="480" w:lineRule="auto"/>
              <w:ind w:right="60"/>
              <w:rPr>
                <w:color w:val="000000" w:themeColor="text1"/>
              </w:rPr>
            </w:pPr>
          </w:p>
        </w:tc>
        <w:tc>
          <w:tcPr>
            <w:tcW w:w="664" w:type="dxa"/>
            <w:tcBorders>
              <w:top w:val="single" w:sz="4" w:space="0" w:color="auto"/>
              <w:bottom w:val="single" w:sz="4" w:space="0" w:color="auto"/>
            </w:tcBorders>
          </w:tcPr>
          <w:p w14:paraId="418D6129" w14:textId="77777777" w:rsidR="00102BFC" w:rsidRPr="00BF18D5" w:rsidRDefault="00102BFC">
            <w:pPr>
              <w:autoSpaceDE w:val="0"/>
              <w:autoSpaceDN w:val="0"/>
              <w:adjustRightInd w:val="0"/>
              <w:spacing w:line="480" w:lineRule="auto"/>
              <w:ind w:right="60"/>
              <w:jc w:val="center"/>
              <w:rPr>
                <w:color w:val="000000" w:themeColor="text1"/>
              </w:rPr>
            </w:pPr>
            <w:r w:rsidRPr="00BF18D5">
              <w:rPr>
                <w:color w:val="000000" w:themeColor="text1"/>
              </w:rPr>
              <w:t>VIF</w:t>
            </w:r>
          </w:p>
        </w:tc>
      </w:tr>
      <w:tr w:rsidR="009F7FB5" w:rsidRPr="00BF18D5" w14:paraId="6C01FD74" w14:textId="77777777" w:rsidTr="00F8124C">
        <w:tc>
          <w:tcPr>
            <w:tcW w:w="1701" w:type="dxa"/>
            <w:tcBorders>
              <w:top w:val="nil"/>
              <w:bottom w:val="single" w:sz="4" w:space="0" w:color="auto"/>
            </w:tcBorders>
          </w:tcPr>
          <w:p w14:paraId="7B41B9E2" w14:textId="77897929" w:rsidR="00102BFC" w:rsidRPr="00BF18D5" w:rsidRDefault="00D976D6" w:rsidP="00F8124C">
            <w:pPr>
              <w:autoSpaceDE w:val="0"/>
              <w:autoSpaceDN w:val="0"/>
              <w:adjustRightInd w:val="0"/>
              <w:spacing w:before="120" w:line="480" w:lineRule="auto"/>
              <w:ind w:right="62"/>
              <w:rPr>
                <w:color w:val="000000" w:themeColor="text1"/>
              </w:rPr>
            </w:pPr>
            <w:r>
              <w:rPr>
                <w:color w:val="000000" w:themeColor="text1"/>
              </w:rPr>
              <w:t>Sex</w:t>
            </w:r>
          </w:p>
        </w:tc>
        <w:tc>
          <w:tcPr>
            <w:tcW w:w="851" w:type="dxa"/>
            <w:tcBorders>
              <w:top w:val="single" w:sz="4" w:space="0" w:color="auto"/>
              <w:bottom w:val="single" w:sz="4" w:space="0" w:color="auto"/>
            </w:tcBorders>
          </w:tcPr>
          <w:p w14:paraId="2384FB41" w14:textId="6C13A5CA" w:rsidR="00102BFC" w:rsidRPr="00BF18D5" w:rsidRDefault="00D976D6" w:rsidP="00F8124C">
            <w:pPr>
              <w:autoSpaceDE w:val="0"/>
              <w:autoSpaceDN w:val="0"/>
              <w:adjustRightInd w:val="0"/>
              <w:spacing w:before="120" w:line="480" w:lineRule="auto"/>
              <w:ind w:right="62"/>
              <w:rPr>
                <w:color w:val="000000" w:themeColor="text1"/>
              </w:rPr>
            </w:pPr>
            <w:r>
              <w:rPr>
                <w:color w:val="000000" w:themeColor="text1"/>
              </w:rPr>
              <w:t>0.98</w:t>
            </w:r>
          </w:p>
        </w:tc>
        <w:tc>
          <w:tcPr>
            <w:tcW w:w="850" w:type="dxa"/>
            <w:tcBorders>
              <w:top w:val="nil"/>
              <w:bottom w:val="single" w:sz="4" w:space="0" w:color="auto"/>
            </w:tcBorders>
          </w:tcPr>
          <w:p w14:paraId="3FA7B2AC" w14:textId="2F9A1D80" w:rsidR="00102BFC" w:rsidRPr="00BF18D5" w:rsidRDefault="00D976D6" w:rsidP="00F8124C">
            <w:pPr>
              <w:autoSpaceDE w:val="0"/>
              <w:autoSpaceDN w:val="0"/>
              <w:adjustRightInd w:val="0"/>
              <w:spacing w:before="120" w:line="480" w:lineRule="auto"/>
              <w:ind w:right="62"/>
              <w:rPr>
                <w:color w:val="000000" w:themeColor="text1"/>
              </w:rPr>
            </w:pPr>
            <w:r>
              <w:rPr>
                <w:color w:val="000000" w:themeColor="text1"/>
              </w:rPr>
              <w:t>0.42</w:t>
            </w:r>
          </w:p>
        </w:tc>
        <w:tc>
          <w:tcPr>
            <w:tcW w:w="993" w:type="dxa"/>
            <w:tcBorders>
              <w:top w:val="nil"/>
              <w:bottom w:val="single" w:sz="4" w:space="0" w:color="auto"/>
            </w:tcBorders>
          </w:tcPr>
          <w:p w14:paraId="1F7E43F5" w14:textId="24BD5C5F" w:rsidR="00102BFC" w:rsidRPr="00BF18D5" w:rsidRDefault="00D976D6" w:rsidP="00F8124C">
            <w:pPr>
              <w:autoSpaceDE w:val="0"/>
              <w:autoSpaceDN w:val="0"/>
              <w:adjustRightInd w:val="0"/>
              <w:spacing w:before="120" w:line="480" w:lineRule="auto"/>
              <w:ind w:right="62"/>
              <w:rPr>
                <w:color w:val="000000" w:themeColor="text1"/>
              </w:rPr>
            </w:pPr>
            <w:r>
              <w:rPr>
                <w:color w:val="000000" w:themeColor="text1"/>
              </w:rPr>
              <w:t>0.09</w:t>
            </w:r>
          </w:p>
        </w:tc>
        <w:tc>
          <w:tcPr>
            <w:tcW w:w="1275" w:type="dxa"/>
            <w:tcBorders>
              <w:top w:val="nil"/>
              <w:bottom w:val="single" w:sz="4" w:space="0" w:color="auto"/>
            </w:tcBorders>
          </w:tcPr>
          <w:p w14:paraId="4A01CED1" w14:textId="02070FA4" w:rsidR="00102BFC" w:rsidRPr="00BF18D5" w:rsidRDefault="00D976D6" w:rsidP="00F8124C">
            <w:pPr>
              <w:autoSpaceDE w:val="0"/>
              <w:autoSpaceDN w:val="0"/>
              <w:adjustRightInd w:val="0"/>
              <w:spacing w:before="120" w:line="480" w:lineRule="auto"/>
              <w:ind w:right="62"/>
              <w:rPr>
                <w:color w:val="000000" w:themeColor="text1"/>
              </w:rPr>
            </w:pPr>
            <w:r>
              <w:rPr>
                <w:color w:val="000000" w:themeColor="text1"/>
              </w:rPr>
              <w:t>2.37**</w:t>
            </w:r>
          </w:p>
        </w:tc>
        <w:tc>
          <w:tcPr>
            <w:tcW w:w="284" w:type="dxa"/>
            <w:tcBorders>
              <w:top w:val="nil"/>
              <w:bottom w:val="single" w:sz="4" w:space="0" w:color="auto"/>
            </w:tcBorders>
          </w:tcPr>
          <w:p w14:paraId="42680656" w14:textId="77777777" w:rsidR="00102BFC" w:rsidRPr="00BF18D5" w:rsidRDefault="00102BFC" w:rsidP="00F8124C">
            <w:pPr>
              <w:autoSpaceDE w:val="0"/>
              <w:autoSpaceDN w:val="0"/>
              <w:adjustRightInd w:val="0"/>
              <w:spacing w:before="120" w:line="480" w:lineRule="auto"/>
              <w:ind w:right="62"/>
              <w:rPr>
                <w:color w:val="000000" w:themeColor="text1"/>
              </w:rPr>
            </w:pPr>
          </w:p>
        </w:tc>
        <w:tc>
          <w:tcPr>
            <w:tcW w:w="333" w:type="dxa"/>
            <w:tcBorders>
              <w:top w:val="nil"/>
              <w:bottom w:val="single" w:sz="4" w:space="0" w:color="auto"/>
            </w:tcBorders>
          </w:tcPr>
          <w:p w14:paraId="2BC7E5FD" w14:textId="77777777" w:rsidR="00102BFC" w:rsidRPr="00BF18D5" w:rsidRDefault="00102BFC" w:rsidP="00F8124C">
            <w:pPr>
              <w:autoSpaceDE w:val="0"/>
              <w:autoSpaceDN w:val="0"/>
              <w:adjustRightInd w:val="0"/>
              <w:spacing w:before="120" w:line="480" w:lineRule="auto"/>
              <w:ind w:right="62"/>
              <w:rPr>
                <w:color w:val="000000" w:themeColor="text1"/>
              </w:rPr>
            </w:pPr>
          </w:p>
        </w:tc>
        <w:tc>
          <w:tcPr>
            <w:tcW w:w="881" w:type="dxa"/>
            <w:tcBorders>
              <w:top w:val="nil"/>
              <w:bottom w:val="single" w:sz="4" w:space="0" w:color="auto"/>
            </w:tcBorders>
          </w:tcPr>
          <w:p w14:paraId="2ECEDF19" w14:textId="20C3816E" w:rsidR="00102BFC" w:rsidRPr="00BF18D5" w:rsidRDefault="009F7FB5" w:rsidP="00F8124C">
            <w:pPr>
              <w:autoSpaceDE w:val="0"/>
              <w:autoSpaceDN w:val="0"/>
              <w:adjustRightInd w:val="0"/>
              <w:spacing w:before="120" w:line="480" w:lineRule="auto"/>
              <w:ind w:right="62"/>
              <w:rPr>
                <w:color w:val="000000" w:themeColor="text1"/>
              </w:rPr>
            </w:pPr>
            <w:r>
              <w:rPr>
                <w:color w:val="000000" w:themeColor="text1"/>
              </w:rPr>
              <w:t>1.62</w:t>
            </w:r>
          </w:p>
        </w:tc>
        <w:tc>
          <w:tcPr>
            <w:tcW w:w="664" w:type="dxa"/>
            <w:tcBorders>
              <w:top w:val="nil"/>
              <w:bottom w:val="single" w:sz="4" w:space="0" w:color="auto"/>
            </w:tcBorders>
          </w:tcPr>
          <w:p w14:paraId="515180CC" w14:textId="3092FAB1" w:rsidR="00102BFC" w:rsidRPr="00BF18D5" w:rsidRDefault="009F7FB5" w:rsidP="00F8124C">
            <w:pPr>
              <w:autoSpaceDE w:val="0"/>
              <w:autoSpaceDN w:val="0"/>
              <w:adjustRightInd w:val="0"/>
              <w:spacing w:before="120" w:line="480" w:lineRule="auto"/>
              <w:ind w:right="62"/>
              <w:rPr>
                <w:color w:val="000000" w:themeColor="text1"/>
              </w:rPr>
            </w:pPr>
            <w:r>
              <w:rPr>
                <w:color w:val="000000" w:themeColor="text1"/>
              </w:rPr>
              <w:t>0.45</w:t>
            </w:r>
          </w:p>
        </w:tc>
        <w:tc>
          <w:tcPr>
            <w:tcW w:w="774" w:type="dxa"/>
            <w:tcBorders>
              <w:top w:val="single" w:sz="4" w:space="0" w:color="auto"/>
              <w:bottom w:val="single" w:sz="4" w:space="0" w:color="auto"/>
            </w:tcBorders>
          </w:tcPr>
          <w:p w14:paraId="3EC6ED39" w14:textId="6B647897" w:rsidR="00102BFC" w:rsidRPr="00BF18D5" w:rsidRDefault="009F7FB5" w:rsidP="00F8124C">
            <w:pPr>
              <w:autoSpaceDE w:val="0"/>
              <w:autoSpaceDN w:val="0"/>
              <w:adjustRightInd w:val="0"/>
              <w:spacing w:before="120" w:line="480" w:lineRule="auto"/>
              <w:ind w:right="62"/>
              <w:rPr>
                <w:color w:val="000000" w:themeColor="text1"/>
              </w:rPr>
            </w:pPr>
            <w:r>
              <w:rPr>
                <w:color w:val="000000" w:themeColor="text1"/>
              </w:rPr>
              <w:t>0.13</w:t>
            </w:r>
          </w:p>
        </w:tc>
        <w:tc>
          <w:tcPr>
            <w:tcW w:w="950" w:type="dxa"/>
            <w:tcBorders>
              <w:top w:val="single" w:sz="4" w:space="0" w:color="auto"/>
              <w:bottom w:val="single" w:sz="4" w:space="0" w:color="auto"/>
            </w:tcBorders>
          </w:tcPr>
          <w:p w14:paraId="708778BF" w14:textId="1F0F753A" w:rsidR="00102BFC" w:rsidRPr="00BF18D5" w:rsidRDefault="009F7FB5" w:rsidP="00F8124C">
            <w:pPr>
              <w:autoSpaceDE w:val="0"/>
              <w:autoSpaceDN w:val="0"/>
              <w:adjustRightInd w:val="0"/>
              <w:spacing w:before="120" w:line="480" w:lineRule="auto"/>
              <w:ind w:right="62"/>
              <w:rPr>
                <w:color w:val="000000" w:themeColor="text1"/>
              </w:rPr>
            </w:pPr>
            <w:r>
              <w:rPr>
                <w:color w:val="000000" w:themeColor="text1"/>
              </w:rPr>
              <w:t>3.57**</w:t>
            </w:r>
          </w:p>
        </w:tc>
        <w:tc>
          <w:tcPr>
            <w:tcW w:w="222" w:type="dxa"/>
            <w:tcBorders>
              <w:top w:val="single" w:sz="4" w:space="0" w:color="auto"/>
              <w:bottom w:val="single" w:sz="4" w:space="0" w:color="auto"/>
            </w:tcBorders>
          </w:tcPr>
          <w:p w14:paraId="18303DD0" w14:textId="77777777" w:rsidR="00102BFC" w:rsidRPr="00BF18D5" w:rsidRDefault="00102BFC" w:rsidP="00F8124C">
            <w:pPr>
              <w:autoSpaceDE w:val="0"/>
              <w:autoSpaceDN w:val="0"/>
              <w:adjustRightInd w:val="0"/>
              <w:spacing w:before="120" w:line="480" w:lineRule="auto"/>
              <w:ind w:right="62"/>
              <w:rPr>
                <w:color w:val="000000" w:themeColor="text1"/>
              </w:rPr>
            </w:pPr>
          </w:p>
        </w:tc>
        <w:tc>
          <w:tcPr>
            <w:tcW w:w="222" w:type="dxa"/>
            <w:tcBorders>
              <w:top w:val="single" w:sz="4" w:space="0" w:color="auto"/>
              <w:bottom w:val="single" w:sz="4" w:space="0" w:color="auto"/>
            </w:tcBorders>
          </w:tcPr>
          <w:p w14:paraId="0DC002F2" w14:textId="77777777" w:rsidR="00102BFC" w:rsidRPr="00BF18D5" w:rsidRDefault="00102BFC" w:rsidP="00F8124C">
            <w:pPr>
              <w:autoSpaceDE w:val="0"/>
              <w:autoSpaceDN w:val="0"/>
              <w:adjustRightInd w:val="0"/>
              <w:spacing w:before="120" w:line="480" w:lineRule="auto"/>
              <w:ind w:right="62"/>
              <w:rPr>
                <w:color w:val="000000" w:themeColor="text1"/>
              </w:rPr>
            </w:pPr>
          </w:p>
        </w:tc>
        <w:tc>
          <w:tcPr>
            <w:tcW w:w="730" w:type="dxa"/>
            <w:tcBorders>
              <w:top w:val="single" w:sz="4" w:space="0" w:color="auto"/>
              <w:bottom w:val="single" w:sz="4" w:space="0" w:color="auto"/>
            </w:tcBorders>
          </w:tcPr>
          <w:p w14:paraId="1A3DC21A" w14:textId="466278EE" w:rsidR="00102BFC" w:rsidRPr="00BF18D5" w:rsidRDefault="000610A7" w:rsidP="00F8124C">
            <w:pPr>
              <w:autoSpaceDE w:val="0"/>
              <w:autoSpaceDN w:val="0"/>
              <w:adjustRightInd w:val="0"/>
              <w:spacing w:before="120" w:line="480" w:lineRule="auto"/>
              <w:ind w:right="62"/>
              <w:rPr>
                <w:color w:val="000000" w:themeColor="text1"/>
              </w:rPr>
            </w:pPr>
            <w:r>
              <w:rPr>
                <w:color w:val="000000" w:themeColor="text1"/>
              </w:rPr>
              <w:t>0.31</w:t>
            </w:r>
          </w:p>
        </w:tc>
        <w:tc>
          <w:tcPr>
            <w:tcW w:w="664" w:type="dxa"/>
            <w:tcBorders>
              <w:top w:val="single" w:sz="4" w:space="0" w:color="auto"/>
              <w:bottom w:val="single" w:sz="4" w:space="0" w:color="auto"/>
            </w:tcBorders>
          </w:tcPr>
          <w:p w14:paraId="4E4C1E29" w14:textId="0A2DC012" w:rsidR="00102BFC" w:rsidRPr="00BF18D5" w:rsidRDefault="000610A7" w:rsidP="00F8124C">
            <w:pPr>
              <w:autoSpaceDE w:val="0"/>
              <w:autoSpaceDN w:val="0"/>
              <w:adjustRightInd w:val="0"/>
              <w:spacing w:before="120" w:line="480" w:lineRule="auto"/>
              <w:ind w:right="62"/>
              <w:rPr>
                <w:color w:val="000000" w:themeColor="text1"/>
              </w:rPr>
            </w:pPr>
            <w:r>
              <w:rPr>
                <w:color w:val="000000" w:themeColor="text1"/>
              </w:rPr>
              <w:t>0.45</w:t>
            </w:r>
          </w:p>
        </w:tc>
        <w:tc>
          <w:tcPr>
            <w:tcW w:w="730" w:type="dxa"/>
            <w:tcBorders>
              <w:top w:val="single" w:sz="4" w:space="0" w:color="auto"/>
              <w:bottom w:val="single" w:sz="4" w:space="0" w:color="auto"/>
            </w:tcBorders>
          </w:tcPr>
          <w:p w14:paraId="592DE602" w14:textId="73D11A81" w:rsidR="00102BFC" w:rsidRPr="00BF18D5" w:rsidRDefault="000610A7" w:rsidP="00F8124C">
            <w:pPr>
              <w:autoSpaceDE w:val="0"/>
              <w:autoSpaceDN w:val="0"/>
              <w:adjustRightInd w:val="0"/>
              <w:spacing w:before="120" w:line="480" w:lineRule="auto"/>
              <w:ind w:right="62"/>
              <w:rPr>
                <w:color w:val="000000" w:themeColor="text1"/>
              </w:rPr>
            </w:pPr>
            <w:r>
              <w:rPr>
                <w:color w:val="000000" w:themeColor="text1"/>
              </w:rPr>
              <w:t>0.03</w:t>
            </w:r>
          </w:p>
        </w:tc>
        <w:tc>
          <w:tcPr>
            <w:tcW w:w="950" w:type="dxa"/>
            <w:tcBorders>
              <w:top w:val="single" w:sz="4" w:space="0" w:color="auto"/>
              <w:bottom w:val="single" w:sz="4" w:space="0" w:color="auto"/>
            </w:tcBorders>
          </w:tcPr>
          <w:p w14:paraId="50DDAFC5" w14:textId="6C166C48" w:rsidR="00102BFC" w:rsidRPr="00BF18D5" w:rsidRDefault="000610A7" w:rsidP="00F8124C">
            <w:pPr>
              <w:autoSpaceDE w:val="0"/>
              <w:autoSpaceDN w:val="0"/>
              <w:adjustRightInd w:val="0"/>
              <w:spacing w:before="120" w:line="480" w:lineRule="auto"/>
              <w:ind w:right="62"/>
              <w:rPr>
                <w:color w:val="000000" w:themeColor="text1"/>
              </w:rPr>
            </w:pPr>
            <w:r>
              <w:rPr>
                <w:color w:val="000000" w:themeColor="text1"/>
              </w:rPr>
              <w:t>0.70</w:t>
            </w:r>
          </w:p>
        </w:tc>
        <w:tc>
          <w:tcPr>
            <w:tcW w:w="222" w:type="dxa"/>
            <w:tcBorders>
              <w:top w:val="nil"/>
              <w:bottom w:val="single" w:sz="4" w:space="0" w:color="auto"/>
            </w:tcBorders>
          </w:tcPr>
          <w:p w14:paraId="63ACF89F" w14:textId="77777777" w:rsidR="00102BFC" w:rsidRPr="00BF18D5" w:rsidRDefault="00102BFC" w:rsidP="00F8124C">
            <w:pPr>
              <w:autoSpaceDE w:val="0"/>
              <w:autoSpaceDN w:val="0"/>
              <w:adjustRightInd w:val="0"/>
              <w:spacing w:before="120" w:line="480" w:lineRule="auto"/>
              <w:ind w:right="62"/>
              <w:rPr>
                <w:color w:val="000000" w:themeColor="text1"/>
              </w:rPr>
            </w:pPr>
          </w:p>
        </w:tc>
        <w:tc>
          <w:tcPr>
            <w:tcW w:w="664" w:type="dxa"/>
            <w:tcBorders>
              <w:top w:val="single" w:sz="4" w:space="0" w:color="auto"/>
              <w:bottom w:val="single" w:sz="4" w:space="0" w:color="auto"/>
            </w:tcBorders>
          </w:tcPr>
          <w:p w14:paraId="7DCAE6B7" w14:textId="5CB948E2" w:rsidR="00102BFC" w:rsidRPr="00BF18D5" w:rsidRDefault="000610A7" w:rsidP="00F8124C">
            <w:pPr>
              <w:autoSpaceDE w:val="0"/>
              <w:autoSpaceDN w:val="0"/>
              <w:adjustRightInd w:val="0"/>
              <w:spacing w:before="120" w:line="480" w:lineRule="auto"/>
              <w:ind w:right="62"/>
              <w:rPr>
                <w:color w:val="000000" w:themeColor="text1"/>
              </w:rPr>
            </w:pPr>
            <w:r>
              <w:rPr>
                <w:color w:val="000000" w:themeColor="text1"/>
              </w:rPr>
              <w:t>-</w:t>
            </w:r>
          </w:p>
        </w:tc>
      </w:tr>
      <w:tr w:rsidR="009F7FB5" w:rsidRPr="00BF18D5" w14:paraId="5AAEFC3D" w14:textId="77777777" w:rsidTr="00F8124C">
        <w:tc>
          <w:tcPr>
            <w:tcW w:w="1701" w:type="dxa"/>
            <w:tcBorders>
              <w:top w:val="single" w:sz="4" w:space="0" w:color="auto"/>
              <w:bottom w:val="nil"/>
            </w:tcBorders>
          </w:tcPr>
          <w:p w14:paraId="23653877" w14:textId="77777777" w:rsidR="00102BFC" w:rsidRPr="00BF18D5" w:rsidRDefault="00102BFC" w:rsidP="00F8124C">
            <w:pPr>
              <w:autoSpaceDE w:val="0"/>
              <w:autoSpaceDN w:val="0"/>
              <w:adjustRightInd w:val="0"/>
              <w:spacing w:before="120" w:line="480" w:lineRule="auto"/>
              <w:ind w:right="62"/>
              <w:rPr>
                <w:color w:val="000000" w:themeColor="text1"/>
              </w:rPr>
            </w:pPr>
            <w:r w:rsidRPr="00BF18D5">
              <w:rPr>
                <w:color w:val="000000" w:themeColor="text1"/>
              </w:rPr>
              <w:t>Cognitive Perceptual</w:t>
            </w:r>
          </w:p>
        </w:tc>
        <w:tc>
          <w:tcPr>
            <w:tcW w:w="851" w:type="dxa"/>
            <w:tcBorders>
              <w:top w:val="single" w:sz="4" w:space="0" w:color="auto"/>
              <w:bottom w:val="nil"/>
            </w:tcBorders>
          </w:tcPr>
          <w:p w14:paraId="7D33E14D" w14:textId="7828E062" w:rsidR="00102BFC" w:rsidRPr="00BF18D5" w:rsidRDefault="00C935F1" w:rsidP="00F8124C">
            <w:pPr>
              <w:autoSpaceDE w:val="0"/>
              <w:autoSpaceDN w:val="0"/>
              <w:adjustRightInd w:val="0"/>
              <w:spacing w:before="120" w:line="480" w:lineRule="auto"/>
              <w:ind w:right="62"/>
              <w:rPr>
                <w:color w:val="000000" w:themeColor="text1"/>
              </w:rPr>
            </w:pPr>
            <w:r>
              <w:rPr>
                <w:color w:val="000000" w:themeColor="text1"/>
              </w:rPr>
              <w:t>0</w:t>
            </w:r>
            <w:r w:rsidR="00102BFC" w:rsidRPr="00BF18D5">
              <w:rPr>
                <w:color w:val="000000" w:themeColor="text1"/>
              </w:rPr>
              <w:t>.0</w:t>
            </w:r>
            <w:r w:rsidR="00D976D6">
              <w:rPr>
                <w:color w:val="000000" w:themeColor="text1"/>
              </w:rPr>
              <w:t>5</w:t>
            </w:r>
          </w:p>
        </w:tc>
        <w:tc>
          <w:tcPr>
            <w:tcW w:w="850" w:type="dxa"/>
            <w:tcBorders>
              <w:top w:val="single" w:sz="4" w:space="0" w:color="auto"/>
              <w:bottom w:val="nil"/>
            </w:tcBorders>
          </w:tcPr>
          <w:p w14:paraId="4A575064" w14:textId="3CB5F351" w:rsidR="00102BFC" w:rsidRPr="00BF18D5" w:rsidRDefault="00C935F1" w:rsidP="00F8124C">
            <w:pPr>
              <w:autoSpaceDE w:val="0"/>
              <w:autoSpaceDN w:val="0"/>
              <w:adjustRightInd w:val="0"/>
              <w:spacing w:before="120" w:line="480" w:lineRule="auto"/>
              <w:ind w:right="62"/>
              <w:rPr>
                <w:color w:val="000000" w:themeColor="text1"/>
              </w:rPr>
            </w:pPr>
            <w:r>
              <w:rPr>
                <w:color w:val="000000" w:themeColor="text1"/>
              </w:rPr>
              <w:t>0</w:t>
            </w:r>
            <w:r w:rsidR="00102BFC" w:rsidRPr="00BF18D5">
              <w:rPr>
                <w:color w:val="000000" w:themeColor="text1"/>
              </w:rPr>
              <w:t>.07</w:t>
            </w:r>
          </w:p>
        </w:tc>
        <w:tc>
          <w:tcPr>
            <w:tcW w:w="993" w:type="dxa"/>
            <w:tcBorders>
              <w:top w:val="single" w:sz="4" w:space="0" w:color="auto"/>
              <w:bottom w:val="nil"/>
            </w:tcBorders>
          </w:tcPr>
          <w:p w14:paraId="12B3EB44" w14:textId="533517E5" w:rsidR="00102BFC" w:rsidRPr="00BF18D5" w:rsidRDefault="00C935F1" w:rsidP="00F8124C">
            <w:pPr>
              <w:autoSpaceDE w:val="0"/>
              <w:autoSpaceDN w:val="0"/>
              <w:adjustRightInd w:val="0"/>
              <w:spacing w:before="120" w:line="480" w:lineRule="auto"/>
              <w:ind w:right="62"/>
              <w:rPr>
                <w:color w:val="000000" w:themeColor="text1"/>
              </w:rPr>
            </w:pPr>
            <w:r>
              <w:rPr>
                <w:color w:val="000000" w:themeColor="text1"/>
              </w:rPr>
              <w:t>0</w:t>
            </w:r>
            <w:r w:rsidR="00102BFC" w:rsidRPr="00BF18D5">
              <w:rPr>
                <w:color w:val="000000" w:themeColor="text1"/>
              </w:rPr>
              <w:t>.0</w:t>
            </w:r>
            <w:r w:rsidR="00D976D6">
              <w:rPr>
                <w:color w:val="000000" w:themeColor="text1"/>
              </w:rPr>
              <w:t>3</w:t>
            </w:r>
          </w:p>
        </w:tc>
        <w:tc>
          <w:tcPr>
            <w:tcW w:w="1275" w:type="dxa"/>
            <w:tcBorders>
              <w:top w:val="single" w:sz="4" w:space="0" w:color="auto"/>
              <w:bottom w:val="nil"/>
            </w:tcBorders>
          </w:tcPr>
          <w:p w14:paraId="1B554880" w14:textId="36E2959E" w:rsidR="00102BFC" w:rsidRPr="00BF18D5" w:rsidRDefault="00C935F1" w:rsidP="00F8124C">
            <w:pPr>
              <w:autoSpaceDE w:val="0"/>
              <w:autoSpaceDN w:val="0"/>
              <w:adjustRightInd w:val="0"/>
              <w:spacing w:before="120" w:line="480" w:lineRule="auto"/>
              <w:ind w:right="62"/>
              <w:rPr>
                <w:color w:val="000000" w:themeColor="text1"/>
              </w:rPr>
            </w:pPr>
            <w:r>
              <w:rPr>
                <w:color w:val="000000" w:themeColor="text1"/>
              </w:rPr>
              <w:t>0</w:t>
            </w:r>
            <w:r w:rsidR="00102BFC" w:rsidRPr="00BF18D5">
              <w:rPr>
                <w:color w:val="000000" w:themeColor="text1"/>
              </w:rPr>
              <w:t>.</w:t>
            </w:r>
            <w:r w:rsidR="00D976D6">
              <w:rPr>
                <w:color w:val="000000" w:themeColor="text1"/>
              </w:rPr>
              <w:t>80</w:t>
            </w:r>
          </w:p>
        </w:tc>
        <w:tc>
          <w:tcPr>
            <w:tcW w:w="284" w:type="dxa"/>
            <w:tcBorders>
              <w:top w:val="single" w:sz="4" w:space="0" w:color="auto"/>
              <w:bottom w:val="nil"/>
            </w:tcBorders>
          </w:tcPr>
          <w:p w14:paraId="31CB2434" w14:textId="77777777" w:rsidR="00102BFC" w:rsidRPr="00BF18D5" w:rsidRDefault="00102BFC" w:rsidP="00F8124C">
            <w:pPr>
              <w:autoSpaceDE w:val="0"/>
              <w:autoSpaceDN w:val="0"/>
              <w:adjustRightInd w:val="0"/>
              <w:spacing w:before="120" w:line="480" w:lineRule="auto"/>
              <w:ind w:right="62"/>
              <w:rPr>
                <w:color w:val="000000" w:themeColor="text1"/>
              </w:rPr>
            </w:pPr>
          </w:p>
        </w:tc>
        <w:tc>
          <w:tcPr>
            <w:tcW w:w="333" w:type="dxa"/>
            <w:tcBorders>
              <w:top w:val="single" w:sz="4" w:space="0" w:color="auto"/>
              <w:bottom w:val="nil"/>
            </w:tcBorders>
          </w:tcPr>
          <w:p w14:paraId="5938A03A" w14:textId="77777777" w:rsidR="00102BFC" w:rsidRPr="00BF18D5" w:rsidRDefault="00102BFC" w:rsidP="00F8124C">
            <w:pPr>
              <w:autoSpaceDE w:val="0"/>
              <w:autoSpaceDN w:val="0"/>
              <w:adjustRightInd w:val="0"/>
              <w:spacing w:before="120" w:line="480" w:lineRule="auto"/>
              <w:ind w:right="62"/>
              <w:rPr>
                <w:color w:val="000000" w:themeColor="text1"/>
              </w:rPr>
            </w:pPr>
          </w:p>
        </w:tc>
        <w:tc>
          <w:tcPr>
            <w:tcW w:w="881" w:type="dxa"/>
            <w:tcBorders>
              <w:top w:val="single" w:sz="4" w:space="0" w:color="auto"/>
              <w:bottom w:val="nil"/>
            </w:tcBorders>
          </w:tcPr>
          <w:p w14:paraId="6C67B9E5" w14:textId="2D9297AE" w:rsidR="00102BFC" w:rsidRPr="00BF18D5" w:rsidRDefault="00C935F1" w:rsidP="00F8124C">
            <w:pPr>
              <w:autoSpaceDE w:val="0"/>
              <w:autoSpaceDN w:val="0"/>
              <w:adjustRightInd w:val="0"/>
              <w:spacing w:before="120" w:line="480" w:lineRule="auto"/>
              <w:ind w:right="62"/>
              <w:rPr>
                <w:color w:val="000000" w:themeColor="text1"/>
              </w:rPr>
            </w:pPr>
            <w:r>
              <w:rPr>
                <w:color w:val="000000" w:themeColor="text1"/>
              </w:rPr>
              <w:t>0</w:t>
            </w:r>
            <w:r w:rsidR="00102BFC" w:rsidRPr="00BF18D5">
              <w:rPr>
                <w:color w:val="000000" w:themeColor="text1"/>
              </w:rPr>
              <w:t>.1</w:t>
            </w:r>
            <w:r w:rsidR="009F7FB5">
              <w:rPr>
                <w:color w:val="000000" w:themeColor="text1"/>
              </w:rPr>
              <w:t>1</w:t>
            </w:r>
          </w:p>
        </w:tc>
        <w:tc>
          <w:tcPr>
            <w:tcW w:w="664" w:type="dxa"/>
            <w:tcBorders>
              <w:top w:val="single" w:sz="4" w:space="0" w:color="auto"/>
              <w:bottom w:val="nil"/>
            </w:tcBorders>
          </w:tcPr>
          <w:p w14:paraId="62536473" w14:textId="74C29989" w:rsidR="00102BFC" w:rsidRPr="00BF18D5" w:rsidRDefault="00C935F1" w:rsidP="00F8124C">
            <w:pPr>
              <w:autoSpaceDE w:val="0"/>
              <w:autoSpaceDN w:val="0"/>
              <w:adjustRightInd w:val="0"/>
              <w:spacing w:before="120" w:line="480" w:lineRule="auto"/>
              <w:ind w:right="62"/>
              <w:rPr>
                <w:color w:val="000000" w:themeColor="text1"/>
              </w:rPr>
            </w:pPr>
            <w:r>
              <w:rPr>
                <w:color w:val="000000" w:themeColor="text1"/>
              </w:rPr>
              <w:t>0</w:t>
            </w:r>
            <w:r w:rsidR="00102BFC" w:rsidRPr="00BF18D5">
              <w:rPr>
                <w:color w:val="000000" w:themeColor="text1"/>
              </w:rPr>
              <w:t>.08</w:t>
            </w:r>
          </w:p>
        </w:tc>
        <w:tc>
          <w:tcPr>
            <w:tcW w:w="774" w:type="dxa"/>
            <w:tcBorders>
              <w:top w:val="single" w:sz="4" w:space="0" w:color="auto"/>
              <w:bottom w:val="nil"/>
            </w:tcBorders>
          </w:tcPr>
          <w:p w14:paraId="34417D19" w14:textId="6BD1BA69" w:rsidR="00102BFC" w:rsidRPr="00BF18D5" w:rsidRDefault="00C935F1" w:rsidP="00F8124C">
            <w:pPr>
              <w:autoSpaceDE w:val="0"/>
              <w:autoSpaceDN w:val="0"/>
              <w:adjustRightInd w:val="0"/>
              <w:spacing w:before="120" w:line="480" w:lineRule="auto"/>
              <w:ind w:right="62"/>
              <w:rPr>
                <w:color w:val="000000" w:themeColor="text1"/>
              </w:rPr>
            </w:pPr>
            <w:r>
              <w:rPr>
                <w:color w:val="000000" w:themeColor="text1"/>
              </w:rPr>
              <w:t>0</w:t>
            </w:r>
            <w:r w:rsidR="00102BFC" w:rsidRPr="00BF18D5">
              <w:rPr>
                <w:color w:val="000000" w:themeColor="text1"/>
              </w:rPr>
              <w:t>.0</w:t>
            </w:r>
            <w:r w:rsidR="009F7FB5">
              <w:rPr>
                <w:color w:val="000000" w:themeColor="text1"/>
              </w:rPr>
              <w:t>6</w:t>
            </w:r>
          </w:p>
        </w:tc>
        <w:tc>
          <w:tcPr>
            <w:tcW w:w="950" w:type="dxa"/>
            <w:tcBorders>
              <w:top w:val="single" w:sz="4" w:space="0" w:color="auto"/>
              <w:bottom w:val="nil"/>
            </w:tcBorders>
          </w:tcPr>
          <w:p w14:paraId="4F690272" w14:textId="67E943EE" w:rsidR="00102BFC" w:rsidRPr="00BF18D5" w:rsidRDefault="00102BFC" w:rsidP="00F8124C">
            <w:pPr>
              <w:autoSpaceDE w:val="0"/>
              <w:autoSpaceDN w:val="0"/>
              <w:adjustRightInd w:val="0"/>
              <w:spacing w:before="120" w:line="480" w:lineRule="auto"/>
              <w:ind w:right="62"/>
              <w:rPr>
                <w:color w:val="000000" w:themeColor="text1"/>
              </w:rPr>
            </w:pPr>
            <w:r w:rsidRPr="00BF18D5">
              <w:rPr>
                <w:color w:val="000000" w:themeColor="text1"/>
              </w:rPr>
              <w:t>1.</w:t>
            </w:r>
            <w:r w:rsidR="009F7FB5">
              <w:rPr>
                <w:color w:val="000000" w:themeColor="text1"/>
              </w:rPr>
              <w:t>50</w:t>
            </w:r>
          </w:p>
        </w:tc>
        <w:tc>
          <w:tcPr>
            <w:tcW w:w="222" w:type="dxa"/>
            <w:tcBorders>
              <w:top w:val="single" w:sz="4" w:space="0" w:color="auto"/>
              <w:bottom w:val="nil"/>
            </w:tcBorders>
          </w:tcPr>
          <w:p w14:paraId="0A8FAB81" w14:textId="77777777" w:rsidR="00102BFC" w:rsidRPr="00BF18D5" w:rsidRDefault="00102BFC" w:rsidP="00F8124C">
            <w:pPr>
              <w:autoSpaceDE w:val="0"/>
              <w:autoSpaceDN w:val="0"/>
              <w:adjustRightInd w:val="0"/>
              <w:spacing w:before="120" w:line="480" w:lineRule="auto"/>
              <w:ind w:right="62"/>
              <w:rPr>
                <w:color w:val="000000" w:themeColor="text1"/>
              </w:rPr>
            </w:pPr>
          </w:p>
        </w:tc>
        <w:tc>
          <w:tcPr>
            <w:tcW w:w="222" w:type="dxa"/>
            <w:tcBorders>
              <w:top w:val="single" w:sz="4" w:space="0" w:color="auto"/>
              <w:bottom w:val="nil"/>
            </w:tcBorders>
          </w:tcPr>
          <w:p w14:paraId="44B33068" w14:textId="77777777" w:rsidR="00102BFC" w:rsidRPr="00BF18D5" w:rsidRDefault="00102BFC" w:rsidP="00F8124C">
            <w:pPr>
              <w:autoSpaceDE w:val="0"/>
              <w:autoSpaceDN w:val="0"/>
              <w:adjustRightInd w:val="0"/>
              <w:spacing w:before="120" w:line="480" w:lineRule="auto"/>
              <w:ind w:right="62"/>
              <w:rPr>
                <w:color w:val="000000" w:themeColor="text1"/>
              </w:rPr>
            </w:pPr>
          </w:p>
        </w:tc>
        <w:tc>
          <w:tcPr>
            <w:tcW w:w="730" w:type="dxa"/>
            <w:tcBorders>
              <w:top w:val="single" w:sz="4" w:space="0" w:color="auto"/>
              <w:bottom w:val="nil"/>
            </w:tcBorders>
          </w:tcPr>
          <w:p w14:paraId="2954D6A1" w14:textId="7ADFEFFA" w:rsidR="00102BFC" w:rsidRPr="00BF18D5" w:rsidRDefault="00C935F1" w:rsidP="00F8124C">
            <w:pPr>
              <w:autoSpaceDE w:val="0"/>
              <w:autoSpaceDN w:val="0"/>
              <w:adjustRightInd w:val="0"/>
              <w:spacing w:before="120" w:line="480" w:lineRule="auto"/>
              <w:ind w:right="62"/>
              <w:rPr>
                <w:color w:val="000000" w:themeColor="text1"/>
              </w:rPr>
            </w:pPr>
            <w:r>
              <w:rPr>
                <w:color w:val="000000" w:themeColor="text1"/>
              </w:rPr>
              <w:t>0</w:t>
            </w:r>
            <w:r w:rsidR="00102BFC" w:rsidRPr="00BF18D5">
              <w:rPr>
                <w:color w:val="000000" w:themeColor="text1"/>
              </w:rPr>
              <w:t>.0</w:t>
            </w:r>
            <w:r w:rsidR="000610A7">
              <w:rPr>
                <w:color w:val="000000" w:themeColor="text1"/>
              </w:rPr>
              <w:t>7</w:t>
            </w:r>
          </w:p>
        </w:tc>
        <w:tc>
          <w:tcPr>
            <w:tcW w:w="664" w:type="dxa"/>
            <w:tcBorders>
              <w:top w:val="single" w:sz="4" w:space="0" w:color="auto"/>
              <w:bottom w:val="nil"/>
            </w:tcBorders>
          </w:tcPr>
          <w:p w14:paraId="36BAB7F4" w14:textId="385C7EEF" w:rsidR="00102BFC" w:rsidRPr="00BF18D5" w:rsidRDefault="00C935F1" w:rsidP="00F8124C">
            <w:pPr>
              <w:autoSpaceDE w:val="0"/>
              <w:autoSpaceDN w:val="0"/>
              <w:adjustRightInd w:val="0"/>
              <w:spacing w:before="120" w:line="480" w:lineRule="auto"/>
              <w:ind w:right="62"/>
              <w:rPr>
                <w:color w:val="000000" w:themeColor="text1"/>
              </w:rPr>
            </w:pPr>
            <w:r>
              <w:rPr>
                <w:color w:val="000000" w:themeColor="text1"/>
              </w:rPr>
              <w:t>0</w:t>
            </w:r>
            <w:r w:rsidR="00102BFC" w:rsidRPr="00BF18D5">
              <w:rPr>
                <w:color w:val="000000" w:themeColor="text1"/>
              </w:rPr>
              <w:t>.07</w:t>
            </w:r>
          </w:p>
        </w:tc>
        <w:tc>
          <w:tcPr>
            <w:tcW w:w="730" w:type="dxa"/>
            <w:tcBorders>
              <w:top w:val="single" w:sz="4" w:space="0" w:color="auto"/>
              <w:bottom w:val="nil"/>
            </w:tcBorders>
          </w:tcPr>
          <w:p w14:paraId="342FE0D6" w14:textId="4F7E73F6" w:rsidR="00102BFC" w:rsidRPr="00BF18D5" w:rsidRDefault="00C935F1" w:rsidP="00F8124C">
            <w:pPr>
              <w:autoSpaceDE w:val="0"/>
              <w:autoSpaceDN w:val="0"/>
              <w:adjustRightInd w:val="0"/>
              <w:spacing w:before="120" w:line="480" w:lineRule="auto"/>
              <w:ind w:right="62"/>
              <w:rPr>
                <w:color w:val="000000" w:themeColor="text1"/>
              </w:rPr>
            </w:pPr>
            <w:r>
              <w:rPr>
                <w:color w:val="000000" w:themeColor="text1"/>
              </w:rPr>
              <w:t>0</w:t>
            </w:r>
            <w:r w:rsidR="00102BFC" w:rsidRPr="00BF18D5">
              <w:rPr>
                <w:color w:val="000000" w:themeColor="text1"/>
              </w:rPr>
              <w:t>.04</w:t>
            </w:r>
          </w:p>
        </w:tc>
        <w:tc>
          <w:tcPr>
            <w:tcW w:w="950" w:type="dxa"/>
            <w:tcBorders>
              <w:top w:val="single" w:sz="4" w:space="0" w:color="auto"/>
              <w:bottom w:val="nil"/>
            </w:tcBorders>
          </w:tcPr>
          <w:p w14:paraId="2BD13960" w14:textId="7C0646F2" w:rsidR="00102BFC" w:rsidRPr="00BF18D5" w:rsidRDefault="00102BFC" w:rsidP="00F8124C">
            <w:pPr>
              <w:autoSpaceDE w:val="0"/>
              <w:autoSpaceDN w:val="0"/>
              <w:adjustRightInd w:val="0"/>
              <w:spacing w:before="120" w:line="480" w:lineRule="auto"/>
              <w:ind w:right="62"/>
              <w:rPr>
                <w:color w:val="000000" w:themeColor="text1"/>
              </w:rPr>
            </w:pPr>
            <w:r w:rsidRPr="00BF18D5">
              <w:rPr>
                <w:color w:val="000000" w:themeColor="text1"/>
              </w:rPr>
              <w:t>1.0</w:t>
            </w:r>
            <w:r w:rsidR="000610A7">
              <w:rPr>
                <w:color w:val="000000" w:themeColor="text1"/>
              </w:rPr>
              <w:t>1</w:t>
            </w:r>
          </w:p>
        </w:tc>
        <w:tc>
          <w:tcPr>
            <w:tcW w:w="222" w:type="dxa"/>
            <w:tcBorders>
              <w:top w:val="single" w:sz="4" w:space="0" w:color="auto"/>
              <w:bottom w:val="nil"/>
            </w:tcBorders>
          </w:tcPr>
          <w:p w14:paraId="1492E43B" w14:textId="77777777" w:rsidR="00102BFC" w:rsidRPr="00BF18D5" w:rsidRDefault="00102BFC" w:rsidP="00F8124C">
            <w:pPr>
              <w:autoSpaceDE w:val="0"/>
              <w:autoSpaceDN w:val="0"/>
              <w:adjustRightInd w:val="0"/>
              <w:spacing w:before="120" w:line="480" w:lineRule="auto"/>
              <w:ind w:right="62"/>
              <w:rPr>
                <w:color w:val="000000" w:themeColor="text1"/>
              </w:rPr>
            </w:pPr>
          </w:p>
        </w:tc>
        <w:tc>
          <w:tcPr>
            <w:tcW w:w="664" w:type="dxa"/>
            <w:tcBorders>
              <w:top w:val="single" w:sz="4" w:space="0" w:color="auto"/>
              <w:bottom w:val="nil"/>
            </w:tcBorders>
          </w:tcPr>
          <w:p w14:paraId="624A626E" w14:textId="77777777" w:rsidR="00102BFC" w:rsidRPr="00BF18D5" w:rsidRDefault="00102BFC" w:rsidP="00F8124C">
            <w:pPr>
              <w:autoSpaceDE w:val="0"/>
              <w:autoSpaceDN w:val="0"/>
              <w:adjustRightInd w:val="0"/>
              <w:spacing w:before="120" w:line="480" w:lineRule="auto"/>
              <w:ind w:right="62"/>
              <w:rPr>
                <w:color w:val="000000" w:themeColor="text1"/>
              </w:rPr>
            </w:pPr>
            <w:r w:rsidRPr="00BF18D5">
              <w:rPr>
                <w:color w:val="000000" w:themeColor="text1"/>
              </w:rPr>
              <w:t>1.58</w:t>
            </w:r>
          </w:p>
        </w:tc>
      </w:tr>
      <w:tr w:rsidR="009F7FB5" w:rsidRPr="00BF18D5" w14:paraId="6A41CB37" w14:textId="77777777" w:rsidTr="00F8124C">
        <w:tc>
          <w:tcPr>
            <w:tcW w:w="1701" w:type="dxa"/>
            <w:tcBorders>
              <w:top w:val="nil"/>
              <w:bottom w:val="nil"/>
            </w:tcBorders>
          </w:tcPr>
          <w:p w14:paraId="060F87AE" w14:textId="77777777" w:rsidR="00102BFC" w:rsidRPr="00BF18D5" w:rsidRDefault="00102BFC" w:rsidP="007B479A">
            <w:pPr>
              <w:autoSpaceDE w:val="0"/>
              <w:autoSpaceDN w:val="0"/>
              <w:adjustRightInd w:val="0"/>
              <w:spacing w:line="480" w:lineRule="auto"/>
              <w:ind w:right="60"/>
              <w:rPr>
                <w:color w:val="000000" w:themeColor="text1"/>
              </w:rPr>
            </w:pPr>
            <w:r w:rsidRPr="00BF18D5">
              <w:rPr>
                <w:color w:val="000000" w:themeColor="text1"/>
              </w:rPr>
              <w:t>Paranoid</w:t>
            </w:r>
          </w:p>
        </w:tc>
        <w:tc>
          <w:tcPr>
            <w:tcW w:w="851" w:type="dxa"/>
            <w:tcBorders>
              <w:top w:val="nil"/>
              <w:bottom w:val="nil"/>
            </w:tcBorders>
          </w:tcPr>
          <w:p w14:paraId="1CD4D7AF" w14:textId="17DCBF4E"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.1</w:t>
            </w:r>
            <w:r w:rsidR="00D976D6">
              <w:rPr>
                <w:color w:val="000000" w:themeColor="text1"/>
              </w:rPr>
              <w:t>3</w:t>
            </w:r>
          </w:p>
        </w:tc>
        <w:tc>
          <w:tcPr>
            <w:tcW w:w="850" w:type="dxa"/>
            <w:tcBorders>
              <w:top w:val="nil"/>
              <w:bottom w:val="nil"/>
            </w:tcBorders>
          </w:tcPr>
          <w:p w14:paraId="2C631444" w14:textId="6E38B789"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.06</w:t>
            </w:r>
          </w:p>
        </w:tc>
        <w:tc>
          <w:tcPr>
            <w:tcW w:w="993" w:type="dxa"/>
            <w:tcBorders>
              <w:top w:val="nil"/>
              <w:bottom w:val="nil"/>
            </w:tcBorders>
          </w:tcPr>
          <w:p w14:paraId="700D3750" w14:textId="0AA3E3E3"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.1</w:t>
            </w:r>
            <w:r w:rsidR="00D976D6">
              <w:rPr>
                <w:color w:val="000000" w:themeColor="text1"/>
              </w:rPr>
              <w:t>4</w:t>
            </w:r>
          </w:p>
        </w:tc>
        <w:tc>
          <w:tcPr>
            <w:tcW w:w="1275" w:type="dxa"/>
            <w:tcBorders>
              <w:top w:val="nil"/>
              <w:bottom w:val="nil"/>
            </w:tcBorders>
          </w:tcPr>
          <w:p w14:paraId="460FE442" w14:textId="4C6A390E"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2.</w:t>
            </w:r>
            <w:r w:rsidR="00D976D6">
              <w:rPr>
                <w:color w:val="000000" w:themeColor="text1"/>
              </w:rPr>
              <w:t>11</w:t>
            </w:r>
            <w:r w:rsidRPr="00BF18D5">
              <w:rPr>
                <w:color w:val="000000" w:themeColor="text1"/>
              </w:rPr>
              <w:t>*</w:t>
            </w:r>
          </w:p>
        </w:tc>
        <w:tc>
          <w:tcPr>
            <w:tcW w:w="284" w:type="dxa"/>
            <w:tcBorders>
              <w:top w:val="nil"/>
              <w:bottom w:val="nil"/>
            </w:tcBorders>
          </w:tcPr>
          <w:p w14:paraId="6AB49CE7" w14:textId="77777777" w:rsidR="00102BFC" w:rsidRPr="00BF18D5" w:rsidRDefault="00102BFC">
            <w:pPr>
              <w:autoSpaceDE w:val="0"/>
              <w:autoSpaceDN w:val="0"/>
              <w:adjustRightInd w:val="0"/>
              <w:spacing w:line="480" w:lineRule="auto"/>
              <w:ind w:right="60"/>
              <w:rPr>
                <w:color w:val="000000" w:themeColor="text1"/>
              </w:rPr>
            </w:pPr>
          </w:p>
        </w:tc>
        <w:tc>
          <w:tcPr>
            <w:tcW w:w="333" w:type="dxa"/>
            <w:tcBorders>
              <w:top w:val="nil"/>
              <w:bottom w:val="nil"/>
            </w:tcBorders>
          </w:tcPr>
          <w:p w14:paraId="2DF43D75" w14:textId="77777777" w:rsidR="00102BFC" w:rsidRPr="00BF18D5" w:rsidRDefault="00102BFC">
            <w:pPr>
              <w:autoSpaceDE w:val="0"/>
              <w:autoSpaceDN w:val="0"/>
              <w:adjustRightInd w:val="0"/>
              <w:spacing w:line="480" w:lineRule="auto"/>
              <w:ind w:right="60"/>
              <w:rPr>
                <w:color w:val="000000" w:themeColor="text1"/>
              </w:rPr>
            </w:pPr>
          </w:p>
        </w:tc>
        <w:tc>
          <w:tcPr>
            <w:tcW w:w="881" w:type="dxa"/>
            <w:tcBorders>
              <w:top w:val="nil"/>
              <w:bottom w:val="nil"/>
            </w:tcBorders>
          </w:tcPr>
          <w:p w14:paraId="0DE68ECB" w14:textId="221BB3C4"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w:t>
            </w:r>
            <w:r w:rsidR="009F7FB5">
              <w:rPr>
                <w:color w:val="000000" w:themeColor="text1"/>
              </w:rPr>
              <w:t>18</w:t>
            </w:r>
          </w:p>
        </w:tc>
        <w:tc>
          <w:tcPr>
            <w:tcW w:w="664" w:type="dxa"/>
            <w:tcBorders>
              <w:top w:val="nil"/>
              <w:bottom w:val="nil"/>
            </w:tcBorders>
          </w:tcPr>
          <w:p w14:paraId="6100BAB1" w14:textId="7F469A44"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.07</w:t>
            </w:r>
          </w:p>
        </w:tc>
        <w:tc>
          <w:tcPr>
            <w:tcW w:w="774" w:type="dxa"/>
            <w:tcBorders>
              <w:top w:val="nil"/>
              <w:bottom w:val="nil"/>
            </w:tcBorders>
          </w:tcPr>
          <w:p w14:paraId="7406F3EF" w14:textId="1BCC2C57"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w:t>
            </w:r>
            <w:r w:rsidR="009F7FB5">
              <w:rPr>
                <w:color w:val="000000" w:themeColor="text1"/>
              </w:rPr>
              <w:t>17</w:t>
            </w:r>
          </w:p>
        </w:tc>
        <w:tc>
          <w:tcPr>
            <w:tcW w:w="950" w:type="dxa"/>
            <w:tcBorders>
              <w:top w:val="nil"/>
              <w:bottom w:val="nil"/>
            </w:tcBorders>
          </w:tcPr>
          <w:p w14:paraId="49C91DA5" w14:textId="29592B45" w:rsidR="00102BFC" w:rsidRPr="00BF18D5" w:rsidRDefault="009F7FB5">
            <w:pPr>
              <w:autoSpaceDE w:val="0"/>
              <w:autoSpaceDN w:val="0"/>
              <w:adjustRightInd w:val="0"/>
              <w:spacing w:line="480" w:lineRule="auto"/>
              <w:ind w:right="60"/>
              <w:rPr>
                <w:color w:val="000000" w:themeColor="text1"/>
              </w:rPr>
            </w:pPr>
            <w:r>
              <w:rPr>
                <w:color w:val="000000" w:themeColor="text1"/>
              </w:rPr>
              <w:t>2</w:t>
            </w:r>
            <w:r w:rsidR="00102BFC" w:rsidRPr="00BF18D5">
              <w:rPr>
                <w:color w:val="000000" w:themeColor="text1"/>
              </w:rPr>
              <w:t>.</w:t>
            </w:r>
            <w:r>
              <w:rPr>
                <w:color w:val="000000" w:themeColor="text1"/>
              </w:rPr>
              <w:t>48</w:t>
            </w:r>
            <w:r w:rsidR="00102BFC" w:rsidRPr="00BF18D5">
              <w:rPr>
                <w:color w:val="000000" w:themeColor="text1"/>
              </w:rPr>
              <w:t>*</w:t>
            </w:r>
          </w:p>
        </w:tc>
        <w:tc>
          <w:tcPr>
            <w:tcW w:w="222" w:type="dxa"/>
            <w:tcBorders>
              <w:top w:val="nil"/>
              <w:bottom w:val="nil"/>
            </w:tcBorders>
          </w:tcPr>
          <w:p w14:paraId="43832CAA" w14:textId="77777777" w:rsidR="00102BFC" w:rsidRPr="00BF18D5" w:rsidRDefault="00102BFC">
            <w:pPr>
              <w:autoSpaceDE w:val="0"/>
              <w:autoSpaceDN w:val="0"/>
              <w:adjustRightInd w:val="0"/>
              <w:spacing w:line="480" w:lineRule="auto"/>
              <w:ind w:right="60"/>
              <w:rPr>
                <w:color w:val="000000" w:themeColor="text1"/>
              </w:rPr>
            </w:pPr>
          </w:p>
        </w:tc>
        <w:tc>
          <w:tcPr>
            <w:tcW w:w="222" w:type="dxa"/>
            <w:tcBorders>
              <w:top w:val="nil"/>
              <w:bottom w:val="nil"/>
            </w:tcBorders>
          </w:tcPr>
          <w:p w14:paraId="1A555AEA" w14:textId="77777777" w:rsidR="00102BFC" w:rsidRPr="00BF18D5" w:rsidRDefault="00102BFC" w:rsidP="005B4C73">
            <w:pPr>
              <w:autoSpaceDE w:val="0"/>
              <w:autoSpaceDN w:val="0"/>
              <w:adjustRightInd w:val="0"/>
              <w:spacing w:line="480" w:lineRule="auto"/>
              <w:ind w:right="60"/>
              <w:rPr>
                <w:color w:val="000000" w:themeColor="text1"/>
              </w:rPr>
            </w:pPr>
          </w:p>
        </w:tc>
        <w:tc>
          <w:tcPr>
            <w:tcW w:w="730" w:type="dxa"/>
            <w:tcBorders>
              <w:top w:val="nil"/>
              <w:bottom w:val="nil"/>
            </w:tcBorders>
          </w:tcPr>
          <w:p w14:paraId="578D7EB9" w14:textId="5CDDAE7D" w:rsidR="00102BFC" w:rsidRPr="00BF18D5" w:rsidRDefault="00C935F1" w:rsidP="007B479A">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.1</w:t>
            </w:r>
            <w:r w:rsidR="000610A7">
              <w:rPr>
                <w:color w:val="000000" w:themeColor="text1"/>
              </w:rPr>
              <w:t>7</w:t>
            </w:r>
          </w:p>
        </w:tc>
        <w:tc>
          <w:tcPr>
            <w:tcW w:w="664" w:type="dxa"/>
            <w:tcBorders>
              <w:top w:val="nil"/>
              <w:bottom w:val="nil"/>
            </w:tcBorders>
          </w:tcPr>
          <w:p w14:paraId="6A43767E" w14:textId="0CB36E51"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.07</w:t>
            </w:r>
          </w:p>
        </w:tc>
        <w:tc>
          <w:tcPr>
            <w:tcW w:w="730" w:type="dxa"/>
            <w:tcBorders>
              <w:top w:val="nil"/>
              <w:bottom w:val="nil"/>
            </w:tcBorders>
          </w:tcPr>
          <w:p w14:paraId="3925A035" w14:textId="3F7BD9A3"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.1</w:t>
            </w:r>
            <w:r w:rsidR="000610A7">
              <w:rPr>
                <w:color w:val="000000" w:themeColor="text1"/>
              </w:rPr>
              <w:t>7</w:t>
            </w:r>
          </w:p>
        </w:tc>
        <w:tc>
          <w:tcPr>
            <w:tcW w:w="950" w:type="dxa"/>
            <w:tcBorders>
              <w:top w:val="nil"/>
              <w:bottom w:val="nil"/>
            </w:tcBorders>
          </w:tcPr>
          <w:p w14:paraId="737FE253" w14:textId="0D590F18"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2.</w:t>
            </w:r>
            <w:r w:rsidR="000610A7">
              <w:rPr>
                <w:color w:val="000000" w:themeColor="text1"/>
              </w:rPr>
              <w:t>59*</w:t>
            </w:r>
          </w:p>
        </w:tc>
        <w:tc>
          <w:tcPr>
            <w:tcW w:w="222" w:type="dxa"/>
            <w:tcBorders>
              <w:top w:val="nil"/>
              <w:bottom w:val="nil"/>
            </w:tcBorders>
          </w:tcPr>
          <w:p w14:paraId="0C1A7886" w14:textId="77777777" w:rsidR="00102BFC" w:rsidRPr="00BF18D5" w:rsidRDefault="00102BFC">
            <w:pPr>
              <w:autoSpaceDE w:val="0"/>
              <w:autoSpaceDN w:val="0"/>
              <w:adjustRightInd w:val="0"/>
              <w:spacing w:line="480" w:lineRule="auto"/>
              <w:ind w:right="60"/>
              <w:rPr>
                <w:color w:val="000000" w:themeColor="text1"/>
              </w:rPr>
            </w:pPr>
          </w:p>
        </w:tc>
        <w:tc>
          <w:tcPr>
            <w:tcW w:w="664" w:type="dxa"/>
            <w:tcBorders>
              <w:top w:val="nil"/>
              <w:bottom w:val="nil"/>
            </w:tcBorders>
          </w:tcPr>
          <w:p w14:paraId="6E8E7595" w14:textId="2CA4CD22" w:rsidR="00102BFC" w:rsidRPr="00BF18D5" w:rsidRDefault="000610A7">
            <w:pPr>
              <w:autoSpaceDE w:val="0"/>
              <w:autoSpaceDN w:val="0"/>
              <w:adjustRightInd w:val="0"/>
              <w:spacing w:line="480" w:lineRule="auto"/>
              <w:ind w:right="60"/>
              <w:rPr>
                <w:color w:val="000000" w:themeColor="text1"/>
              </w:rPr>
            </w:pPr>
            <w:r>
              <w:rPr>
                <w:color w:val="000000" w:themeColor="text1"/>
              </w:rPr>
              <w:t>4.16</w:t>
            </w:r>
          </w:p>
        </w:tc>
      </w:tr>
      <w:tr w:rsidR="009F7FB5" w:rsidRPr="00BF18D5" w14:paraId="206C551C" w14:textId="77777777" w:rsidTr="00F8124C">
        <w:tc>
          <w:tcPr>
            <w:tcW w:w="1701" w:type="dxa"/>
            <w:tcBorders>
              <w:top w:val="nil"/>
              <w:bottom w:val="nil"/>
            </w:tcBorders>
          </w:tcPr>
          <w:p w14:paraId="791DE102" w14:textId="77777777" w:rsidR="00102BFC" w:rsidRPr="00BF18D5" w:rsidRDefault="00102BFC" w:rsidP="007B479A">
            <w:pPr>
              <w:autoSpaceDE w:val="0"/>
              <w:autoSpaceDN w:val="0"/>
              <w:adjustRightInd w:val="0"/>
              <w:spacing w:line="480" w:lineRule="auto"/>
              <w:ind w:right="60"/>
              <w:rPr>
                <w:color w:val="000000" w:themeColor="text1"/>
              </w:rPr>
            </w:pPr>
            <w:r w:rsidRPr="00BF18D5">
              <w:rPr>
                <w:color w:val="000000" w:themeColor="text1"/>
              </w:rPr>
              <w:t>Negative</w:t>
            </w:r>
          </w:p>
        </w:tc>
        <w:tc>
          <w:tcPr>
            <w:tcW w:w="851" w:type="dxa"/>
            <w:tcBorders>
              <w:top w:val="nil"/>
              <w:bottom w:val="nil"/>
            </w:tcBorders>
          </w:tcPr>
          <w:p w14:paraId="0A4DF660" w14:textId="495E5AC8"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C935F1">
              <w:rPr>
                <w:color w:val="000000" w:themeColor="text1"/>
              </w:rPr>
              <w:t>0</w:t>
            </w:r>
            <w:r w:rsidRPr="00BF18D5">
              <w:rPr>
                <w:color w:val="000000" w:themeColor="text1"/>
              </w:rPr>
              <w:t>.4</w:t>
            </w:r>
            <w:r w:rsidR="00D976D6">
              <w:rPr>
                <w:color w:val="000000" w:themeColor="text1"/>
              </w:rPr>
              <w:t>2</w:t>
            </w:r>
          </w:p>
        </w:tc>
        <w:tc>
          <w:tcPr>
            <w:tcW w:w="850" w:type="dxa"/>
            <w:tcBorders>
              <w:top w:val="nil"/>
              <w:bottom w:val="nil"/>
            </w:tcBorders>
          </w:tcPr>
          <w:p w14:paraId="6BF18309" w14:textId="06FCEB41"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.05</w:t>
            </w:r>
          </w:p>
        </w:tc>
        <w:tc>
          <w:tcPr>
            <w:tcW w:w="993" w:type="dxa"/>
            <w:tcBorders>
              <w:top w:val="nil"/>
              <w:bottom w:val="nil"/>
            </w:tcBorders>
          </w:tcPr>
          <w:p w14:paraId="2B3CD905" w14:textId="43CD84CC"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C935F1">
              <w:rPr>
                <w:color w:val="000000" w:themeColor="text1"/>
              </w:rPr>
              <w:t>0</w:t>
            </w:r>
            <w:r w:rsidRPr="00BF18D5">
              <w:rPr>
                <w:color w:val="000000" w:themeColor="text1"/>
              </w:rPr>
              <w:t>.5</w:t>
            </w:r>
            <w:r w:rsidR="00D976D6">
              <w:rPr>
                <w:color w:val="000000" w:themeColor="text1"/>
              </w:rPr>
              <w:t>3</w:t>
            </w:r>
          </w:p>
        </w:tc>
        <w:tc>
          <w:tcPr>
            <w:tcW w:w="1275" w:type="dxa"/>
            <w:tcBorders>
              <w:top w:val="nil"/>
              <w:bottom w:val="nil"/>
            </w:tcBorders>
          </w:tcPr>
          <w:p w14:paraId="585E6C42" w14:textId="3E6C4D4B"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-8.</w:t>
            </w:r>
            <w:r w:rsidR="00D976D6">
              <w:rPr>
                <w:color w:val="000000" w:themeColor="text1"/>
              </w:rPr>
              <w:t>23</w:t>
            </w:r>
            <w:r w:rsidRPr="00BF18D5">
              <w:rPr>
                <w:color w:val="000000" w:themeColor="text1"/>
              </w:rPr>
              <w:t>**</w:t>
            </w:r>
          </w:p>
        </w:tc>
        <w:tc>
          <w:tcPr>
            <w:tcW w:w="284" w:type="dxa"/>
            <w:tcBorders>
              <w:top w:val="nil"/>
              <w:bottom w:val="nil"/>
            </w:tcBorders>
          </w:tcPr>
          <w:p w14:paraId="396BF8D8" w14:textId="77777777" w:rsidR="00102BFC" w:rsidRPr="00BF18D5" w:rsidRDefault="00102BFC">
            <w:pPr>
              <w:autoSpaceDE w:val="0"/>
              <w:autoSpaceDN w:val="0"/>
              <w:adjustRightInd w:val="0"/>
              <w:spacing w:line="480" w:lineRule="auto"/>
              <w:ind w:right="60"/>
              <w:rPr>
                <w:color w:val="000000" w:themeColor="text1"/>
              </w:rPr>
            </w:pPr>
          </w:p>
        </w:tc>
        <w:tc>
          <w:tcPr>
            <w:tcW w:w="333" w:type="dxa"/>
            <w:tcBorders>
              <w:top w:val="nil"/>
              <w:bottom w:val="nil"/>
            </w:tcBorders>
          </w:tcPr>
          <w:p w14:paraId="7E363A46" w14:textId="77777777" w:rsidR="00102BFC" w:rsidRPr="00BF18D5" w:rsidRDefault="00102BFC">
            <w:pPr>
              <w:autoSpaceDE w:val="0"/>
              <w:autoSpaceDN w:val="0"/>
              <w:adjustRightInd w:val="0"/>
              <w:spacing w:line="480" w:lineRule="auto"/>
              <w:ind w:right="60"/>
              <w:rPr>
                <w:color w:val="000000" w:themeColor="text1"/>
              </w:rPr>
            </w:pPr>
          </w:p>
        </w:tc>
        <w:tc>
          <w:tcPr>
            <w:tcW w:w="881" w:type="dxa"/>
            <w:tcBorders>
              <w:top w:val="nil"/>
              <w:bottom w:val="nil"/>
            </w:tcBorders>
          </w:tcPr>
          <w:p w14:paraId="01669E66" w14:textId="5BDDFF26"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C935F1">
              <w:rPr>
                <w:color w:val="000000" w:themeColor="text1"/>
              </w:rPr>
              <w:t>0</w:t>
            </w:r>
            <w:r w:rsidRPr="00BF18D5">
              <w:rPr>
                <w:color w:val="000000" w:themeColor="text1"/>
              </w:rPr>
              <w:t>.4</w:t>
            </w:r>
            <w:r w:rsidR="009F7FB5">
              <w:rPr>
                <w:color w:val="000000" w:themeColor="text1"/>
              </w:rPr>
              <w:t>3</w:t>
            </w:r>
          </w:p>
        </w:tc>
        <w:tc>
          <w:tcPr>
            <w:tcW w:w="664" w:type="dxa"/>
            <w:tcBorders>
              <w:top w:val="nil"/>
              <w:bottom w:val="nil"/>
            </w:tcBorders>
          </w:tcPr>
          <w:p w14:paraId="58D7520C" w14:textId="4935BEE2"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.06</w:t>
            </w:r>
          </w:p>
        </w:tc>
        <w:tc>
          <w:tcPr>
            <w:tcW w:w="774" w:type="dxa"/>
            <w:tcBorders>
              <w:top w:val="nil"/>
              <w:bottom w:val="nil"/>
            </w:tcBorders>
          </w:tcPr>
          <w:p w14:paraId="57736988" w14:textId="6E924AE4"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C935F1">
              <w:rPr>
                <w:color w:val="000000" w:themeColor="text1"/>
              </w:rPr>
              <w:t>0</w:t>
            </w:r>
            <w:r w:rsidRPr="00BF18D5">
              <w:rPr>
                <w:color w:val="000000" w:themeColor="text1"/>
              </w:rPr>
              <w:t>.5</w:t>
            </w:r>
            <w:r w:rsidR="009F7FB5">
              <w:rPr>
                <w:color w:val="000000" w:themeColor="text1"/>
              </w:rPr>
              <w:t>0</w:t>
            </w:r>
          </w:p>
        </w:tc>
        <w:tc>
          <w:tcPr>
            <w:tcW w:w="950" w:type="dxa"/>
            <w:tcBorders>
              <w:top w:val="nil"/>
              <w:bottom w:val="nil"/>
            </w:tcBorders>
          </w:tcPr>
          <w:p w14:paraId="01A45D2D" w14:textId="7D4FF0DB"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-7.</w:t>
            </w:r>
            <w:r w:rsidR="009F7FB5">
              <w:rPr>
                <w:color w:val="000000" w:themeColor="text1"/>
              </w:rPr>
              <w:t>54</w:t>
            </w:r>
            <w:r w:rsidRPr="00BF18D5">
              <w:rPr>
                <w:color w:val="000000" w:themeColor="text1"/>
              </w:rPr>
              <w:t>**</w:t>
            </w:r>
          </w:p>
        </w:tc>
        <w:tc>
          <w:tcPr>
            <w:tcW w:w="222" w:type="dxa"/>
            <w:tcBorders>
              <w:top w:val="nil"/>
              <w:bottom w:val="nil"/>
            </w:tcBorders>
          </w:tcPr>
          <w:p w14:paraId="199747DD" w14:textId="77777777" w:rsidR="00102BFC" w:rsidRPr="00BF18D5" w:rsidRDefault="00102BFC">
            <w:pPr>
              <w:autoSpaceDE w:val="0"/>
              <w:autoSpaceDN w:val="0"/>
              <w:adjustRightInd w:val="0"/>
              <w:spacing w:line="480" w:lineRule="auto"/>
              <w:ind w:right="60"/>
              <w:rPr>
                <w:color w:val="000000" w:themeColor="text1"/>
              </w:rPr>
            </w:pPr>
          </w:p>
        </w:tc>
        <w:tc>
          <w:tcPr>
            <w:tcW w:w="222" w:type="dxa"/>
            <w:tcBorders>
              <w:top w:val="nil"/>
              <w:bottom w:val="nil"/>
            </w:tcBorders>
          </w:tcPr>
          <w:p w14:paraId="5BACABD2" w14:textId="77777777" w:rsidR="00102BFC" w:rsidRPr="00BF18D5" w:rsidRDefault="00102BFC" w:rsidP="005B4C73">
            <w:pPr>
              <w:autoSpaceDE w:val="0"/>
              <w:autoSpaceDN w:val="0"/>
              <w:adjustRightInd w:val="0"/>
              <w:spacing w:line="480" w:lineRule="auto"/>
              <w:ind w:right="60"/>
              <w:rPr>
                <w:color w:val="000000" w:themeColor="text1"/>
              </w:rPr>
            </w:pPr>
          </w:p>
        </w:tc>
        <w:tc>
          <w:tcPr>
            <w:tcW w:w="730" w:type="dxa"/>
            <w:tcBorders>
              <w:top w:val="nil"/>
              <w:bottom w:val="nil"/>
            </w:tcBorders>
          </w:tcPr>
          <w:p w14:paraId="0A488806" w14:textId="7ED7EE47" w:rsidR="00102BFC" w:rsidRPr="00BF18D5" w:rsidRDefault="00102BFC" w:rsidP="007B479A">
            <w:pPr>
              <w:autoSpaceDE w:val="0"/>
              <w:autoSpaceDN w:val="0"/>
              <w:adjustRightInd w:val="0"/>
              <w:spacing w:line="480" w:lineRule="auto"/>
              <w:ind w:right="60"/>
              <w:rPr>
                <w:color w:val="000000" w:themeColor="text1"/>
              </w:rPr>
            </w:pPr>
            <w:r w:rsidRPr="00BF18D5">
              <w:rPr>
                <w:color w:val="000000" w:themeColor="text1"/>
              </w:rPr>
              <w:t>-</w:t>
            </w:r>
            <w:r w:rsidR="000610A7">
              <w:rPr>
                <w:color w:val="000000" w:themeColor="text1"/>
              </w:rPr>
              <w:t xml:space="preserve"> </w:t>
            </w:r>
            <w:r w:rsidR="00C935F1">
              <w:rPr>
                <w:color w:val="000000" w:themeColor="text1"/>
              </w:rPr>
              <w:t>0</w:t>
            </w:r>
            <w:r w:rsidRPr="00BF18D5">
              <w:rPr>
                <w:color w:val="000000" w:themeColor="text1"/>
              </w:rPr>
              <w:t>.5</w:t>
            </w:r>
            <w:r w:rsidR="000610A7">
              <w:rPr>
                <w:color w:val="000000" w:themeColor="text1"/>
              </w:rPr>
              <w:t>2</w:t>
            </w:r>
          </w:p>
        </w:tc>
        <w:tc>
          <w:tcPr>
            <w:tcW w:w="664" w:type="dxa"/>
            <w:tcBorders>
              <w:top w:val="nil"/>
              <w:bottom w:val="nil"/>
            </w:tcBorders>
          </w:tcPr>
          <w:p w14:paraId="1B96F931" w14:textId="42AB6FD3"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.05</w:t>
            </w:r>
          </w:p>
        </w:tc>
        <w:tc>
          <w:tcPr>
            <w:tcW w:w="730" w:type="dxa"/>
            <w:tcBorders>
              <w:top w:val="nil"/>
              <w:bottom w:val="nil"/>
            </w:tcBorders>
          </w:tcPr>
          <w:p w14:paraId="09E28A52" w14:textId="45EDC652"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C935F1">
              <w:rPr>
                <w:color w:val="000000" w:themeColor="text1"/>
              </w:rPr>
              <w:t>0</w:t>
            </w:r>
            <w:r w:rsidRPr="00BF18D5">
              <w:rPr>
                <w:color w:val="000000" w:themeColor="text1"/>
              </w:rPr>
              <w:t>.61</w:t>
            </w:r>
          </w:p>
        </w:tc>
        <w:tc>
          <w:tcPr>
            <w:tcW w:w="950" w:type="dxa"/>
            <w:tcBorders>
              <w:top w:val="nil"/>
              <w:bottom w:val="nil"/>
            </w:tcBorders>
          </w:tcPr>
          <w:p w14:paraId="52E12422" w14:textId="3CDD0936"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-9.</w:t>
            </w:r>
            <w:r w:rsidR="000610A7">
              <w:rPr>
                <w:color w:val="000000" w:themeColor="text1"/>
              </w:rPr>
              <w:t>61</w:t>
            </w:r>
            <w:r w:rsidRPr="00BF18D5">
              <w:rPr>
                <w:color w:val="000000" w:themeColor="text1"/>
              </w:rPr>
              <w:t>**</w:t>
            </w:r>
          </w:p>
        </w:tc>
        <w:tc>
          <w:tcPr>
            <w:tcW w:w="222" w:type="dxa"/>
            <w:tcBorders>
              <w:top w:val="nil"/>
              <w:bottom w:val="nil"/>
            </w:tcBorders>
          </w:tcPr>
          <w:p w14:paraId="22341CF9" w14:textId="77777777" w:rsidR="00102BFC" w:rsidRPr="00BF18D5" w:rsidRDefault="00102BFC">
            <w:pPr>
              <w:autoSpaceDE w:val="0"/>
              <w:autoSpaceDN w:val="0"/>
              <w:adjustRightInd w:val="0"/>
              <w:spacing w:line="480" w:lineRule="auto"/>
              <w:ind w:right="60"/>
              <w:rPr>
                <w:color w:val="000000" w:themeColor="text1"/>
              </w:rPr>
            </w:pPr>
          </w:p>
        </w:tc>
        <w:tc>
          <w:tcPr>
            <w:tcW w:w="664" w:type="dxa"/>
            <w:tcBorders>
              <w:top w:val="nil"/>
              <w:bottom w:val="nil"/>
            </w:tcBorders>
          </w:tcPr>
          <w:p w14:paraId="44483028" w14:textId="06B73A5B"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3.</w:t>
            </w:r>
            <w:r w:rsidR="000610A7">
              <w:rPr>
                <w:color w:val="000000" w:themeColor="text1"/>
              </w:rPr>
              <w:t>82</w:t>
            </w:r>
          </w:p>
        </w:tc>
      </w:tr>
      <w:tr w:rsidR="009F7FB5" w:rsidRPr="00BF18D5" w14:paraId="395D7F69" w14:textId="77777777" w:rsidTr="00F8124C">
        <w:tc>
          <w:tcPr>
            <w:tcW w:w="1701" w:type="dxa"/>
            <w:tcBorders>
              <w:top w:val="nil"/>
              <w:bottom w:val="single" w:sz="4" w:space="0" w:color="auto"/>
            </w:tcBorders>
          </w:tcPr>
          <w:p w14:paraId="7709E032" w14:textId="77777777" w:rsidR="00102BFC" w:rsidRPr="00BF18D5" w:rsidRDefault="00102BFC" w:rsidP="007B479A">
            <w:pPr>
              <w:autoSpaceDE w:val="0"/>
              <w:autoSpaceDN w:val="0"/>
              <w:adjustRightInd w:val="0"/>
              <w:spacing w:line="480" w:lineRule="auto"/>
              <w:ind w:right="60"/>
              <w:rPr>
                <w:color w:val="000000" w:themeColor="text1"/>
              </w:rPr>
            </w:pPr>
            <w:r w:rsidRPr="00BF18D5">
              <w:rPr>
                <w:color w:val="000000" w:themeColor="text1"/>
              </w:rPr>
              <w:t>Disorganised</w:t>
            </w:r>
          </w:p>
        </w:tc>
        <w:tc>
          <w:tcPr>
            <w:tcW w:w="851" w:type="dxa"/>
            <w:tcBorders>
              <w:top w:val="nil"/>
              <w:bottom w:val="single" w:sz="4" w:space="0" w:color="auto"/>
            </w:tcBorders>
          </w:tcPr>
          <w:p w14:paraId="50EAD3E0" w14:textId="3E467174"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C935F1">
              <w:rPr>
                <w:color w:val="000000" w:themeColor="text1"/>
              </w:rPr>
              <w:t>0</w:t>
            </w:r>
            <w:r w:rsidRPr="00BF18D5">
              <w:rPr>
                <w:color w:val="000000" w:themeColor="text1"/>
              </w:rPr>
              <w:t>.1</w:t>
            </w:r>
            <w:r w:rsidR="009F7FB5">
              <w:rPr>
                <w:color w:val="000000" w:themeColor="text1"/>
              </w:rPr>
              <w:t>3</w:t>
            </w:r>
          </w:p>
        </w:tc>
        <w:tc>
          <w:tcPr>
            <w:tcW w:w="850" w:type="dxa"/>
            <w:tcBorders>
              <w:top w:val="nil"/>
              <w:bottom w:val="single" w:sz="4" w:space="0" w:color="auto"/>
            </w:tcBorders>
          </w:tcPr>
          <w:p w14:paraId="5BCF2000" w14:textId="2F7B320E"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.0</w:t>
            </w:r>
            <w:r w:rsidR="009F7FB5">
              <w:rPr>
                <w:color w:val="000000" w:themeColor="text1"/>
              </w:rPr>
              <w:t>7</w:t>
            </w:r>
          </w:p>
        </w:tc>
        <w:tc>
          <w:tcPr>
            <w:tcW w:w="993" w:type="dxa"/>
            <w:tcBorders>
              <w:top w:val="nil"/>
              <w:bottom w:val="single" w:sz="4" w:space="0" w:color="auto"/>
            </w:tcBorders>
          </w:tcPr>
          <w:p w14:paraId="340B81DB" w14:textId="2C9C9668"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C935F1">
              <w:rPr>
                <w:color w:val="000000" w:themeColor="text1"/>
              </w:rPr>
              <w:t>0</w:t>
            </w:r>
            <w:r w:rsidRPr="00BF18D5">
              <w:rPr>
                <w:color w:val="000000" w:themeColor="text1"/>
              </w:rPr>
              <w:t>.</w:t>
            </w:r>
            <w:r w:rsidR="009F7FB5">
              <w:rPr>
                <w:color w:val="000000" w:themeColor="text1"/>
              </w:rPr>
              <w:t>09</w:t>
            </w:r>
          </w:p>
        </w:tc>
        <w:tc>
          <w:tcPr>
            <w:tcW w:w="1275" w:type="dxa"/>
            <w:tcBorders>
              <w:top w:val="nil"/>
              <w:bottom w:val="single" w:sz="4" w:space="0" w:color="auto"/>
            </w:tcBorders>
          </w:tcPr>
          <w:p w14:paraId="388190F1" w14:textId="36F671B4"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9F7FB5">
              <w:rPr>
                <w:color w:val="000000" w:themeColor="text1"/>
              </w:rPr>
              <w:t>1</w:t>
            </w:r>
            <w:r w:rsidRPr="00BF18D5">
              <w:rPr>
                <w:color w:val="000000" w:themeColor="text1"/>
              </w:rPr>
              <w:t>.</w:t>
            </w:r>
            <w:r w:rsidR="009F7FB5">
              <w:rPr>
                <w:color w:val="000000" w:themeColor="text1"/>
              </w:rPr>
              <w:t>97</w:t>
            </w:r>
            <w:r w:rsidRPr="00BF18D5">
              <w:rPr>
                <w:color w:val="000000" w:themeColor="text1"/>
              </w:rPr>
              <w:t>*</w:t>
            </w:r>
          </w:p>
        </w:tc>
        <w:tc>
          <w:tcPr>
            <w:tcW w:w="284" w:type="dxa"/>
            <w:tcBorders>
              <w:top w:val="nil"/>
              <w:bottom w:val="single" w:sz="4" w:space="0" w:color="auto"/>
            </w:tcBorders>
          </w:tcPr>
          <w:p w14:paraId="5DA233FB" w14:textId="77777777" w:rsidR="00102BFC" w:rsidRPr="00BF18D5" w:rsidRDefault="00102BFC">
            <w:pPr>
              <w:autoSpaceDE w:val="0"/>
              <w:autoSpaceDN w:val="0"/>
              <w:adjustRightInd w:val="0"/>
              <w:spacing w:line="480" w:lineRule="auto"/>
              <w:ind w:right="60"/>
              <w:rPr>
                <w:color w:val="000000" w:themeColor="text1"/>
              </w:rPr>
            </w:pPr>
          </w:p>
        </w:tc>
        <w:tc>
          <w:tcPr>
            <w:tcW w:w="333" w:type="dxa"/>
            <w:tcBorders>
              <w:top w:val="nil"/>
              <w:bottom w:val="single" w:sz="4" w:space="0" w:color="auto"/>
            </w:tcBorders>
          </w:tcPr>
          <w:p w14:paraId="32B11A7F" w14:textId="77777777" w:rsidR="00102BFC" w:rsidRPr="00BF18D5" w:rsidRDefault="00102BFC">
            <w:pPr>
              <w:autoSpaceDE w:val="0"/>
              <w:autoSpaceDN w:val="0"/>
              <w:adjustRightInd w:val="0"/>
              <w:spacing w:line="480" w:lineRule="auto"/>
              <w:ind w:right="60"/>
              <w:rPr>
                <w:color w:val="000000" w:themeColor="text1"/>
              </w:rPr>
            </w:pPr>
          </w:p>
        </w:tc>
        <w:tc>
          <w:tcPr>
            <w:tcW w:w="881" w:type="dxa"/>
            <w:tcBorders>
              <w:top w:val="nil"/>
              <w:bottom w:val="single" w:sz="4" w:space="0" w:color="auto"/>
            </w:tcBorders>
          </w:tcPr>
          <w:p w14:paraId="4F524CB5" w14:textId="2774E002"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C935F1">
              <w:rPr>
                <w:color w:val="000000" w:themeColor="text1"/>
              </w:rPr>
              <w:t>0</w:t>
            </w:r>
            <w:r w:rsidRPr="00BF18D5">
              <w:rPr>
                <w:color w:val="000000" w:themeColor="text1"/>
              </w:rPr>
              <w:t>.1</w:t>
            </w:r>
            <w:r w:rsidR="009F7FB5">
              <w:rPr>
                <w:color w:val="000000" w:themeColor="text1"/>
              </w:rPr>
              <w:t>4</w:t>
            </w:r>
          </w:p>
        </w:tc>
        <w:tc>
          <w:tcPr>
            <w:tcW w:w="664" w:type="dxa"/>
            <w:tcBorders>
              <w:top w:val="nil"/>
              <w:bottom w:val="single" w:sz="4" w:space="0" w:color="auto"/>
            </w:tcBorders>
          </w:tcPr>
          <w:p w14:paraId="23559C0A" w14:textId="0605D81D"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.07</w:t>
            </w:r>
          </w:p>
        </w:tc>
        <w:tc>
          <w:tcPr>
            <w:tcW w:w="774" w:type="dxa"/>
            <w:tcBorders>
              <w:top w:val="nil"/>
              <w:bottom w:val="single" w:sz="4" w:space="0" w:color="auto"/>
            </w:tcBorders>
          </w:tcPr>
          <w:p w14:paraId="264FEEC5" w14:textId="49C2697E"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C935F1">
              <w:rPr>
                <w:color w:val="000000" w:themeColor="text1"/>
              </w:rPr>
              <w:t>0</w:t>
            </w:r>
            <w:r w:rsidRPr="00BF18D5">
              <w:rPr>
                <w:color w:val="000000" w:themeColor="text1"/>
              </w:rPr>
              <w:t>.</w:t>
            </w:r>
            <w:r w:rsidR="009F7FB5">
              <w:rPr>
                <w:color w:val="000000" w:themeColor="text1"/>
              </w:rPr>
              <w:t>09</w:t>
            </w:r>
          </w:p>
        </w:tc>
        <w:tc>
          <w:tcPr>
            <w:tcW w:w="950" w:type="dxa"/>
            <w:tcBorders>
              <w:top w:val="nil"/>
              <w:bottom w:val="single" w:sz="4" w:space="0" w:color="auto"/>
            </w:tcBorders>
          </w:tcPr>
          <w:p w14:paraId="6387CBD0" w14:textId="4255EC87"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9F7FB5">
              <w:rPr>
                <w:color w:val="000000" w:themeColor="text1"/>
              </w:rPr>
              <w:t>1.95</w:t>
            </w:r>
          </w:p>
        </w:tc>
        <w:tc>
          <w:tcPr>
            <w:tcW w:w="222" w:type="dxa"/>
            <w:tcBorders>
              <w:top w:val="nil"/>
              <w:bottom w:val="single" w:sz="4" w:space="0" w:color="auto"/>
            </w:tcBorders>
          </w:tcPr>
          <w:p w14:paraId="6BA2D901" w14:textId="77777777" w:rsidR="00102BFC" w:rsidRPr="00BF18D5" w:rsidRDefault="00102BFC">
            <w:pPr>
              <w:autoSpaceDE w:val="0"/>
              <w:autoSpaceDN w:val="0"/>
              <w:adjustRightInd w:val="0"/>
              <w:spacing w:line="480" w:lineRule="auto"/>
              <w:ind w:right="60"/>
              <w:rPr>
                <w:color w:val="000000" w:themeColor="text1"/>
              </w:rPr>
            </w:pPr>
          </w:p>
        </w:tc>
        <w:tc>
          <w:tcPr>
            <w:tcW w:w="222" w:type="dxa"/>
            <w:tcBorders>
              <w:top w:val="nil"/>
              <w:bottom w:val="single" w:sz="4" w:space="0" w:color="auto"/>
            </w:tcBorders>
          </w:tcPr>
          <w:p w14:paraId="616BF186" w14:textId="77777777" w:rsidR="00102BFC" w:rsidRPr="00BF18D5" w:rsidRDefault="00102BFC" w:rsidP="005B4C73">
            <w:pPr>
              <w:autoSpaceDE w:val="0"/>
              <w:autoSpaceDN w:val="0"/>
              <w:adjustRightInd w:val="0"/>
              <w:spacing w:line="480" w:lineRule="auto"/>
              <w:ind w:right="60"/>
              <w:rPr>
                <w:color w:val="000000" w:themeColor="text1"/>
              </w:rPr>
            </w:pPr>
          </w:p>
        </w:tc>
        <w:tc>
          <w:tcPr>
            <w:tcW w:w="730" w:type="dxa"/>
            <w:tcBorders>
              <w:top w:val="nil"/>
              <w:bottom w:val="single" w:sz="4" w:space="0" w:color="auto"/>
            </w:tcBorders>
          </w:tcPr>
          <w:p w14:paraId="051D8CC2" w14:textId="2A04250D" w:rsidR="00102BFC" w:rsidRPr="00BF18D5" w:rsidRDefault="00102BFC" w:rsidP="007B479A">
            <w:pPr>
              <w:autoSpaceDE w:val="0"/>
              <w:autoSpaceDN w:val="0"/>
              <w:adjustRightInd w:val="0"/>
              <w:spacing w:line="480" w:lineRule="auto"/>
              <w:ind w:right="60"/>
              <w:rPr>
                <w:color w:val="000000" w:themeColor="text1"/>
              </w:rPr>
            </w:pPr>
            <w:r w:rsidRPr="00BF18D5">
              <w:rPr>
                <w:color w:val="000000" w:themeColor="text1"/>
              </w:rPr>
              <w:t>-</w:t>
            </w:r>
            <w:r w:rsidR="00C935F1">
              <w:rPr>
                <w:color w:val="000000" w:themeColor="text1"/>
              </w:rPr>
              <w:t>0</w:t>
            </w:r>
            <w:r w:rsidRPr="00BF18D5">
              <w:rPr>
                <w:color w:val="000000" w:themeColor="text1"/>
              </w:rPr>
              <w:t>.11</w:t>
            </w:r>
          </w:p>
        </w:tc>
        <w:tc>
          <w:tcPr>
            <w:tcW w:w="664" w:type="dxa"/>
            <w:tcBorders>
              <w:top w:val="nil"/>
              <w:bottom w:val="single" w:sz="4" w:space="0" w:color="auto"/>
            </w:tcBorders>
          </w:tcPr>
          <w:p w14:paraId="59AD913E" w14:textId="7C0E1E9D" w:rsidR="00102BFC" w:rsidRPr="00BF18D5" w:rsidRDefault="00C935F1">
            <w:pPr>
              <w:autoSpaceDE w:val="0"/>
              <w:autoSpaceDN w:val="0"/>
              <w:adjustRightInd w:val="0"/>
              <w:spacing w:line="480" w:lineRule="auto"/>
              <w:ind w:right="60"/>
              <w:rPr>
                <w:color w:val="000000" w:themeColor="text1"/>
              </w:rPr>
            </w:pPr>
            <w:r>
              <w:rPr>
                <w:color w:val="000000" w:themeColor="text1"/>
              </w:rPr>
              <w:t>0</w:t>
            </w:r>
            <w:r w:rsidR="00102BFC" w:rsidRPr="00BF18D5">
              <w:rPr>
                <w:color w:val="000000" w:themeColor="text1"/>
              </w:rPr>
              <w:t>.07</w:t>
            </w:r>
          </w:p>
        </w:tc>
        <w:tc>
          <w:tcPr>
            <w:tcW w:w="730" w:type="dxa"/>
            <w:tcBorders>
              <w:top w:val="nil"/>
              <w:bottom w:val="single" w:sz="4" w:space="0" w:color="auto"/>
            </w:tcBorders>
          </w:tcPr>
          <w:p w14:paraId="72A9DC26" w14:textId="44B96465"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w:t>
            </w:r>
            <w:r w:rsidR="00C935F1">
              <w:rPr>
                <w:color w:val="000000" w:themeColor="text1"/>
              </w:rPr>
              <w:t>0</w:t>
            </w:r>
            <w:r w:rsidRPr="00BF18D5">
              <w:rPr>
                <w:color w:val="000000" w:themeColor="text1"/>
              </w:rPr>
              <w:t>.07</w:t>
            </w:r>
          </w:p>
        </w:tc>
        <w:tc>
          <w:tcPr>
            <w:tcW w:w="950" w:type="dxa"/>
            <w:tcBorders>
              <w:top w:val="nil"/>
              <w:bottom w:val="single" w:sz="4" w:space="0" w:color="auto"/>
            </w:tcBorders>
          </w:tcPr>
          <w:p w14:paraId="796F9BD5" w14:textId="755FC424"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-1.5</w:t>
            </w:r>
            <w:r w:rsidR="000610A7">
              <w:rPr>
                <w:color w:val="000000" w:themeColor="text1"/>
              </w:rPr>
              <w:t>4</w:t>
            </w:r>
          </w:p>
        </w:tc>
        <w:tc>
          <w:tcPr>
            <w:tcW w:w="222" w:type="dxa"/>
            <w:tcBorders>
              <w:top w:val="nil"/>
              <w:bottom w:val="single" w:sz="4" w:space="0" w:color="auto"/>
            </w:tcBorders>
          </w:tcPr>
          <w:p w14:paraId="49BA284C" w14:textId="77777777" w:rsidR="00102BFC" w:rsidRPr="00BF18D5" w:rsidRDefault="00102BFC">
            <w:pPr>
              <w:autoSpaceDE w:val="0"/>
              <w:autoSpaceDN w:val="0"/>
              <w:adjustRightInd w:val="0"/>
              <w:spacing w:line="480" w:lineRule="auto"/>
              <w:ind w:right="60"/>
              <w:rPr>
                <w:color w:val="000000" w:themeColor="text1"/>
              </w:rPr>
            </w:pPr>
          </w:p>
        </w:tc>
        <w:tc>
          <w:tcPr>
            <w:tcW w:w="664" w:type="dxa"/>
            <w:tcBorders>
              <w:top w:val="nil"/>
              <w:bottom w:val="single" w:sz="4" w:space="0" w:color="auto"/>
            </w:tcBorders>
          </w:tcPr>
          <w:p w14:paraId="05A8D76F" w14:textId="75F495C1" w:rsidR="00102BFC" w:rsidRPr="00BF18D5" w:rsidRDefault="00102BFC">
            <w:pPr>
              <w:autoSpaceDE w:val="0"/>
              <w:autoSpaceDN w:val="0"/>
              <w:adjustRightInd w:val="0"/>
              <w:spacing w:line="480" w:lineRule="auto"/>
              <w:ind w:right="60"/>
              <w:rPr>
                <w:color w:val="000000" w:themeColor="text1"/>
              </w:rPr>
            </w:pPr>
            <w:r w:rsidRPr="00BF18D5">
              <w:rPr>
                <w:color w:val="000000" w:themeColor="text1"/>
              </w:rPr>
              <w:t>1.</w:t>
            </w:r>
            <w:r w:rsidR="000610A7">
              <w:rPr>
                <w:color w:val="000000" w:themeColor="text1"/>
              </w:rPr>
              <w:t>82</w:t>
            </w:r>
          </w:p>
        </w:tc>
      </w:tr>
    </w:tbl>
    <w:p w14:paraId="52EDC0ED" w14:textId="0E226B8B" w:rsidR="00102BFC" w:rsidRPr="00BF18D5" w:rsidRDefault="00102BFC" w:rsidP="007B479A">
      <w:pPr>
        <w:autoSpaceDE w:val="0"/>
        <w:autoSpaceDN w:val="0"/>
        <w:adjustRightInd w:val="0"/>
        <w:spacing w:line="480" w:lineRule="auto"/>
        <w:ind w:right="60"/>
        <w:rPr>
          <w:i/>
          <w:iCs/>
          <w:color w:val="000000" w:themeColor="text1"/>
        </w:rPr>
      </w:pPr>
      <w:r w:rsidRPr="00BF18D5">
        <w:rPr>
          <w:i/>
          <w:color w:val="000000" w:themeColor="text1"/>
        </w:rPr>
        <w:t>Note</w:t>
      </w:r>
      <w:r w:rsidRPr="00BF18D5">
        <w:rPr>
          <w:color w:val="000000" w:themeColor="text1"/>
        </w:rPr>
        <w:t xml:space="preserve">. </w:t>
      </w:r>
      <w:r w:rsidRPr="00102BFC">
        <w:rPr>
          <w:color w:val="000000" w:themeColor="text1"/>
        </w:rPr>
        <w:t>EUROHIS-</w:t>
      </w:r>
      <w:r>
        <w:rPr>
          <w:color w:val="000000" w:themeColor="text1"/>
        </w:rPr>
        <w:t>QoL</w:t>
      </w:r>
      <w:r w:rsidRPr="00BF18D5">
        <w:rPr>
          <w:color w:val="000000" w:themeColor="text1"/>
        </w:rPr>
        <w:t xml:space="preserve"> = quality of life, SWLS = satisfaction with life, and RSES = self-esteem. *</w:t>
      </w:r>
      <w:r w:rsidRPr="00BF18D5">
        <w:rPr>
          <w:i/>
          <w:iCs/>
          <w:color w:val="000000" w:themeColor="text1"/>
        </w:rPr>
        <w:t>p ≤</w:t>
      </w:r>
      <w:r w:rsidRPr="00BF18D5">
        <w:rPr>
          <w:color w:val="000000" w:themeColor="text1"/>
        </w:rPr>
        <w:t xml:space="preserve"> </w:t>
      </w:r>
      <w:r w:rsidR="00C935F1">
        <w:rPr>
          <w:color w:val="000000" w:themeColor="text1"/>
        </w:rPr>
        <w:t>0</w:t>
      </w:r>
      <w:r w:rsidRPr="00BF18D5">
        <w:rPr>
          <w:color w:val="000000" w:themeColor="text1"/>
        </w:rPr>
        <w:t>.05, **</w:t>
      </w:r>
      <w:r w:rsidRPr="00BF18D5">
        <w:rPr>
          <w:i/>
          <w:iCs/>
          <w:color w:val="000000" w:themeColor="text1"/>
        </w:rPr>
        <w:t xml:space="preserve">p </w:t>
      </w:r>
      <w:r w:rsidRPr="00BF18D5">
        <w:rPr>
          <w:color w:val="000000" w:themeColor="text1"/>
        </w:rPr>
        <w:t xml:space="preserve">≤ </w:t>
      </w:r>
      <w:r w:rsidR="00C935F1">
        <w:rPr>
          <w:color w:val="000000" w:themeColor="text1"/>
        </w:rPr>
        <w:t>0</w:t>
      </w:r>
      <w:r w:rsidRPr="00BF18D5">
        <w:rPr>
          <w:color w:val="000000" w:themeColor="text1"/>
        </w:rPr>
        <w:t xml:space="preserve">.001 </w:t>
      </w:r>
    </w:p>
    <w:p w14:paraId="177FAF56" w14:textId="77777777" w:rsidR="00FD2668" w:rsidRPr="00C12116" w:rsidRDefault="00FD2668" w:rsidP="00215D3C">
      <w:pPr>
        <w:autoSpaceDE w:val="0"/>
        <w:autoSpaceDN w:val="0"/>
        <w:adjustRightInd w:val="0"/>
        <w:spacing w:line="320" w:lineRule="atLeast"/>
        <w:ind w:left="60" w:right="60"/>
        <w:rPr>
          <w:color w:val="010205"/>
          <w:sz w:val="22"/>
          <w:szCs w:val="22"/>
        </w:rPr>
      </w:pPr>
    </w:p>
    <w:p w14:paraId="18764764" w14:textId="77777777" w:rsidR="00FD2668" w:rsidRPr="00C12116" w:rsidRDefault="00FD2668" w:rsidP="00215D3C">
      <w:pPr>
        <w:autoSpaceDE w:val="0"/>
        <w:autoSpaceDN w:val="0"/>
        <w:adjustRightInd w:val="0"/>
        <w:spacing w:line="320" w:lineRule="atLeast"/>
        <w:ind w:left="60" w:right="60"/>
        <w:rPr>
          <w:color w:val="010205"/>
          <w:sz w:val="22"/>
          <w:szCs w:val="22"/>
        </w:rPr>
      </w:pPr>
    </w:p>
    <w:p w14:paraId="0265060E" w14:textId="7B7FA0BE" w:rsidR="008060EF" w:rsidRPr="00C12116" w:rsidRDefault="008060EF" w:rsidP="00BB3317">
      <w:pPr>
        <w:autoSpaceDE w:val="0"/>
        <w:autoSpaceDN w:val="0"/>
        <w:adjustRightInd w:val="0"/>
        <w:spacing w:line="320" w:lineRule="atLeast"/>
        <w:ind w:right="60"/>
        <w:rPr>
          <w:color w:val="010205"/>
          <w:sz w:val="22"/>
          <w:szCs w:val="22"/>
        </w:rPr>
      </w:pPr>
    </w:p>
    <w:p w14:paraId="7878AFE2" w14:textId="77777777" w:rsidR="008060EF" w:rsidRPr="00C12116" w:rsidRDefault="008060EF" w:rsidP="00215D3C">
      <w:pPr>
        <w:autoSpaceDE w:val="0"/>
        <w:autoSpaceDN w:val="0"/>
        <w:adjustRightInd w:val="0"/>
        <w:spacing w:line="320" w:lineRule="atLeast"/>
        <w:ind w:left="60" w:right="60"/>
        <w:rPr>
          <w:color w:val="010205"/>
          <w:sz w:val="22"/>
          <w:szCs w:val="22"/>
        </w:rPr>
      </w:pPr>
    </w:p>
    <w:p w14:paraId="062635BC" w14:textId="77777777" w:rsidR="008060EF" w:rsidRPr="00C12116" w:rsidRDefault="008060EF" w:rsidP="00215D3C">
      <w:pPr>
        <w:autoSpaceDE w:val="0"/>
        <w:autoSpaceDN w:val="0"/>
        <w:adjustRightInd w:val="0"/>
        <w:spacing w:line="320" w:lineRule="atLeast"/>
        <w:ind w:left="60" w:right="60"/>
        <w:rPr>
          <w:color w:val="010205"/>
          <w:sz w:val="22"/>
          <w:szCs w:val="22"/>
        </w:rPr>
      </w:pPr>
    </w:p>
    <w:tbl>
      <w:tblPr>
        <w:tblpPr w:leftFromText="180" w:rightFromText="180" w:vertAnchor="text" w:horzAnchor="margin" w:tblpY="376"/>
        <w:tblW w:w="13071" w:type="dxa"/>
        <w:tblLayout w:type="fixed"/>
        <w:tblLook w:val="04A0" w:firstRow="1" w:lastRow="0" w:firstColumn="1" w:lastColumn="0" w:noHBand="0" w:noVBand="1"/>
      </w:tblPr>
      <w:tblGrid>
        <w:gridCol w:w="4629"/>
        <w:gridCol w:w="4221"/>
        <w:gridCol w:w="4221"/>
      </w:tblGrid>
      <w:tr w:rsidR="001F4C0D" w:rsidRPr="001B4BE9" w14:paraId="2EED526F" w14:textId="77777777" w:rsidTr="00A667F4">
        <w:trPr>
          <w:trHeight w:val="4735"/>
        </w:trPr>
        <w:tc>
          <w:tcPr>
            <w:tcW w:w="4629" w:type="dxa"/>
          </w:tcPr>
          <w:p w14:paraId="42A297B2" w14:textId="4A1B2633" w:rsidR="001F4C0D" w:rsidRPr="001B4BE9" w:rsidRDefault="00B22B8C" w:rsidP="00975D2A">
            <w:pPr>
              <w:spacing w:line="480" w:lineRule="auto"/>
              <w:rPr>
                <w:rFonts w:asciiTheme="majorBidi" w:hAnsiTheme="majorBidi" w:cstheme="majorBidi"/>
              </w:rPr>
            </w:pPr>
            <w:r w:rsidRPr="001B4BE9">
              <w:rPr>
                <w:rFonts w:asciiTheme="majorBidi" w:hAnsiTheme="majorBidi" w:cstheme="majorBidi"/>
                <w:noProof/>
                <w:lang w:val="en-MY" w:eastAsia="en-MY"/>
              </w:rPr>
              <w:lastRenderedPageBreak/>
              <w:drawing>
                <wp:inline distT="0" distB="0" distL="0" distR="0" wp14:anchorId="0E95501E" wp14:editId="6A0E940F">
                  <wp:extent cx="2672080" cy="3581302"/>
                  <wp:effectExtent l="0" t="0" r="0" b="635"/>
                  <wp:docPr id="1" name="Picture 1" descr="Fig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Figure 1"/>
                          <pic:cNvPicPr/>
                        </pic:nvPicPr>
                        <pic:blipFill rotWithShape="1">
                          <a:blip r:embed="rId13">
                            <a:extLst>
                              <a:ext uri="{28A0092B-C50C-407E-A947-70E740481C1C}">
                                <a14:useLocalDpi xmlns:a14="http://schemas.microsoft.com/office/drawing/2010/main" val="0"/>
                              </a:ext>
                            </a:extLst>
                          </a:blip>
                          <a:srcRect l="8154" t="1279" r="47632" b="20060"/>
                          <a:stretch/>
                        </pic:blipFill>
                        <pic:spPr bwMode="auto">
                          <a:xfrm>
                            <a:off x="0" y="0"/>
                            <a:ext cx="2675761" cy="3586236"/>
                          </a:xfrm>
                          <a:prstGeom prst="rect">
                            <a:avLst/>
                          </a:prstGeom>
                          <a:ln>
                            <a:noFill/>
                          </a:ln>
                          <a:extLst>
                            <a:ext uri="{53640926-AAD7-44d8-BBD7-CCE9431645EC}">
                              <a14:shadowObscured xmlns:mo="http://schemas.microsoft.com/office/mac/office/2008/main" xmlns:mv="urn:schemas-microsoft-com:mac:vml" xmlns:arto="http://schemas.microsoft.com/office/word/2006/arto" xmlns:ve="http://schemas.openxmlformats.org/markup-compatibility/2006"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inline>
              </w:drawing>
            </w:r>
          </w:p>
        </w:tc>
        <w:tc>
          <w:tcPr>
            <w:tcW w:w="4221" w:type="dxa"/>
          </w:tcPr>
          <w:p w14:paraId="72A25BE1" w14:textId="7E0D400C" w:rsidR="001F4C0D" w:rsidRPr="001B4BE9" w:rsidRDefault="00B22B8C" w:rsidP="00975D2A">
            <w:pPr>
              <w:spacing w:line="480" w:lineRule="auto"/>
              <w:rPr>
                <w:rFonts w:asciiTheme="majorBidi" w:hAnsiTheme="majorBidi" w:cstheme="majorBidi"/>
              </w:rPr>
            </w:pPr>
            <w:r w:rsidRPr="001B4BE9">
              <w:rPr>
                <w:rFonts w:asciiTheme="majorBidi" w:hAnsiTheme="majorBidi" w:cstheme="majorBidi"/>
                <w:noProof/>
                <w:lang w:val="en-MY" w:eastAsia="en-MY"/>
              </w:rPr>
              <w:drawing>
                <wp:inline distT="0" distB="0" distL="0" distR="0" wp14:anchorId="5D5F0CB6" wp14:editId="25F6E3E8">
                  <wp:extent cx="2580640" cy="3583305"/>
                  <wp:effectExtent l="0" t="0" r="0" b="0"/>
                  <wp:docPr id="3" name="Picture 3"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
                          <pic:cNvPicPr/>
                        </pic:nvPicPr>
                        <pic:blipFill rotWithShape="1">
                          <a:blip r:embed="rId14">
                            <a:extLst>
                              <a:ext uri="{28A0092B-C50C-407E-A947-70E740481C1C}">
                                <a14:useLocalDpi xmlns:a14="http://schemas.microsoft.com/office/drawing/2010/main" val="0"/>
                              </a:ext>
                            </a:extLst>
                          </a:blip>
                          <a:srcRect l="7916" t="-1" r="47962" b="18994"/>
                          <a:stretch/>
                        </pic:blipFill>
                        <pic:spPr bwMode="auto">
                          <a:xfrm>
                            <a:off x="0" y="0"/>
                            <a:ext cx="2581071" cy="3583903"/>
                          </a:xfrm>
                          <a:prstGeom prst="rect">
                            <a:avLst/>
                          </a:prstGeom>
                          <a:ln>
                            <a:noFill/>
                          </a:ln>
                          <a:extLst>
                            <a:ext uri="{53640926-AAD7-44d8-BBD7-CCE9431645EC}">
                              <a14:shadowObscured xmlns:mo="http://schemas.microsoft.com/office/mac/office/2008/main" xmlns:mv="urn:schemas-microsoft-com:mac:vml" xmlns:arto="http://schemas.microsoft.com/office/word/2006/arto" xmlns:ve="http://schemas.openxmlformats.org/markup-compatibility/2006"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inline>
              </w:drawing>
            </w:r>
          </w:p>
        </w:tc>
        <w:tc>
          <w:tcPr>
            <w:tcW w:w="4221" w:type="dxa"/>
          </w:tcPr>
          <w:p w14:paraId="59ABCD3C" w14:textId="0B83EE9E" w:rsidR="001F4C0D" w:rsidRPr="001B4BE9" w:rsidRDefault="00B22B8C" w:rsidP="00975D2A">
            <w:pPr>
              <w:spacing w:line="480" w:lineRule="auto"/>
              <w:rPr>
                <w:rFonts w:asciiTheme="majorBidi" w:hAnsiTheme="majorBidi" w:cstheme="majorBidi"/>
              </w:rPr>
            </w:pPr>
            <w:r w:rsidRPr="001B4BE9">
              <w:rPr>
                <w:rFonts w:asciiTheme="majorBidi" w:hAnsiTheme="majorBidi" w:cstheme="majorBidi"/>
                <w:noProof/>
                <w:lang w:val="en-MY" w:eastAsia="en-MY"/>
              </w:rPr>
              <w:drawing>
                <wp:inline distT="0" distB="0" distL="0" distR="0" wp14:anchorId="5F65D6DF" wp14:editId="78E5F59E">
                  <wp:extent cx="2651760" cy="3620770"/>
                  <wp:effectExtent l="0" t="0" r="2540" b="0"/>
                  <wp:docPr id="2" name="Picture 2"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1"/>
                          <pic:cNvPicPr/>
                        </pic:nvPicPr>
                        <pic:blipFill rotWithShape="1">
                          <a:blip r:embed="rId15">
                            <a:extLst>
                              <a:ext uri="{28A0092B-C50C-407E-A947-70E740481C1C}">
                                <a14:useLocalDpi xmlns:a14="http://schemas.microsoft.com/office/drawing/2010/main" val="0"/>
                              </a:ext>
                            </a:extLst>
                          </a:blip>
                          <a:srcRect l="8392" t="625" r="47077" b="18581"/>
                          <a:stretch/>
                        </pic:blipFill>
                        <pic:spPr bwMode="auto">
                          <a:xfrm>
                            <a:off x="0" y="0"/>
                            <a:ext cx="2651899" cy="3620960"/>
                          </a:xfrm>
                          <a:prstGeom prst="rect">
                            <a:avLst/>
                          </a:prstGeom>
                          <a:ln>
                            <a:noFill/>
                          </a:ln>
                          <a:extLst>
                            <a:ext uri="{53640926-AAD7-44d8-BBD7-CCE9431645EC}">
                              <a14:shadowObscured xmlns:mo="http://schemas.microsoft.com/office/mac/office/2008/main" xmlns:mv="urn:schemas-microsoft-com:mac:vml" xmlns:arto="http://schemas.microsoft.com/office/word/2006/arto" xmlns:ve="http://schemas.openxmlformats.org/markup-compatibility/2006"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inline>
              </w:drawing>
            </w:r>
          </w:p>
        </w:tc>
      </w:tr>
      <w:tr w:rsidR="001F4C0D" w:rsidRPr="001B4BE9" w14:paraId="65424DEE" w14:textId="77777777" w:rsidTr="00A667F4">
        <w:trPr>
          <w:trHeight w:val="1305"/>
        </w:trPr>
        <w:tc>
          <w:tcPr>
            <w:tcW w:w="4629" w:type="dxa"/>
          </w:tcPr>
          <w:p w14:paraId="11E8213C" w14:textId="432216E8" w:rsidR="001F4C0D" w:rsidRPr="001B4BE9" w:rsidRDefault="00B22B8C" w:rsidP="00975D2A">
            <w:pPr>
              <w:spacing w:line="480" w:lineRule="auto"/>
              <w:rPr>
                <w:rFonts w:asciiTheme="majorBidi" w:hAnsiTheme="majorBidi" w:cstheme="majorBidi"/>
              </w:rPr>
            </w:pPr>
            <w:r w:rsidRPr="001B4BE9">
              <w:rPr>
                <w:rFonts w:asciiTheme="majorBidi" w:hAnsiTheme="majorBidi" w:cstheme="majorBidi"/>
              </w:rPr>
              <w:t xml:space="preserve">3-factor model </w:t>
            </w:r>
            <w:r w:rsidRPr="001B4BE9">
              <w:rPr>
                <w:rFonts w:asciiTheme="majorBidi" w:hAnsiTheme="majorBidi" w:cstheme="majorBidi"/>
                <w:noProof/>
              </w:rPr>
              <w:t>(Raine et al. 1994)</w:t>
            </w:r>
            <w:r w:rsidRPr="001B4BE9">
              <w:rPr>
                <w:rFonts w:asciiTheme="majorBidi" w:hAnsiTheme="majorBidi" w:cstheme="majorBidi"/>
              </w:rPr>
              <w:t>.</w:t>
            </w:r>
          </w:p>
        </w:tc>
        <w:tc>
          <w:tcPr>
            <w:tcW w:w="4221" w:type="dxa"/>
          </w:tcPr>
          <w:p w14:paraId="3878E9A1" w14:textId="0DD59D9F" w:rsidR="001F4C0D" w:rsidRPr="001B4BE9" w:rsidRDefault="00B22B8C" w:rsidP="00975D2A">
            <w:pPr>
              <w:spacing w:line="480" w:lineRule="auto"/>
              <w:rPr>
                <w:rFonts w:asciiTheme="majorBidi" w:hAnsiTheme="majorBidi" w:cstheme="majorBidi"/>
              </w:rPr>
            </w:pPr>
            <w:r>
              <w:rPr>
                <w:rFonts w:asciiTheme="majorBidi" w:hAnsiTheme="majorBidi" w:cstheme="majorBidi"/>
              </w:rPr>
              <w:t>4-factor model (</w:t>
            </w:r>
            <w:proofErr w:type="spellStart"/>
            <w:r>
              <w:rPr>
                <w:rFonts w:asciiTheme="majorBidi" w:hAnsiTheme="majorBidi" w:cstheme="majorBidi"/>
              </w:rPr>
              <w:t>Stefanis</w:t>
            </w:r>
            <w:proofErr w:type="spellEnd"/>
            <w:r>
              <w:rPr>
                <w:rFonts w:asciiTheme="majorBidi" w:hAnsiTheme="majorBidi" w:cstheme="majorBidi"/>
              </w:rPr>
              <w:t xml:space="preserve"> et al. 2004)</w:t>
            </w:r>
          </w:p>
        </w:tc>
        <w:tc>
          <w:tcPr>
            <w:tcW w:w="4221" w:type="dxa"/>
          </w:tcPr>
          <w:p w14:paraId="65255BDE" w14:textId="570CA059" w:rsidR="00975D2A" w:rsidRPr="00975D2A" w:rsidRDefault="00B22B8C" w:rsidP="00A667F4">
            <w:pPr>
              <w:rPr>
                <w:rFonts w:asciiTheme="majorBidi" w:hAnsiTheme="majorBidi" w:cstheme="majorBidi"/>
              </w:rPr>
            </w:pPr>
            <w:r>
              <w:rPr>
                <w:rFonts w:asciiTheme="majorBidi" w:hAnsiTheme="majorBidi" w:cstheme="majorBidi"/>
              </w:rPr>
              <w:t>Alt 4-factor</w:t>
            </w:r>
            <w:r w:rsidRPr="001B4BE9">
              <w:rPr>
                <w:rFonts w:asciiTheme="majorBidi" w:hAnsiTheme="majorBidi" w:cstheme="majorBidi"/>
              </w:rPr>
              <w:t xml:space="preserve"> </w:t>
            </w:r>
            <w:r w:rsidRPr="001B4BE9">
              <w:rPr>
                <w:rFonts w:asciiTheme="majorBidi" w:hAnsiTheme="majorBidi" w:cstheme="majorBidi"/>
                <w:noProof/>
              </w:rPr>
              <w:t>(Compton et al. 2009)</w:t>
            </w:r>
            <w:r w:rsidRPr="001B4BE9">
              <w:rPr>
                <w:rFonts w:asciiTheme="majorBidi" w:hAnsiTheme="majorBidi" w:cstheme="majorBidi"/>
              </w:rPr>
              <w:t xml:space="preserve">.  </w:t>
            </w:r>
            <w:r>
              <w:rPr>
                <w:rFonts w:asciiTheme="majorBidi" w:hAnsiTheme="majorBidi" w:cstheme="majorBidi"/>
              </w:rPr>
              <w:br/>
            </w:r>
            <w:r w:rsidRPr="001B4BE9">
              <w:rPr>
                <w:rFonts w:asciiTheme="majorBidi" w:hAnsiTheme="majorBidi" w:cstheme="majorBidi"/>
              </w:rPr>
              <w:t>Only Sus loads on both the paranoid and negative factors.</w:t>
            </w:r>
          </w:p>
        </w:tc>
      </w:tr>
    </w:tbl>
    <w:p w14:paraId="33C4CD3C" w14:textId="77777777" w:rsidR="00975D2A" w:rsidRDefault="00975D2A" w:rsidP="00B22B8C">
      <w:pPr>
        <w:autoSpaceDE w:val="0"/>
        <w:autoSpaceDN w:val="0"/>
        <w:adjustRightInd w:val="0"/>
        <w:spacing w:line="320" w:lineRule="atLeast"/>
        <w:ind w:right="60"/>
        <w:rPr>
          <w:rFonts w:asciiTheme="majorBidi" w:hAnsiTheme="majorBidi" w:cstheme="majorBidi"/>
          <w:i/>
        </w:rPr>
      </w:pPr>
      <w:bookmarkStart w:id="0" w:name="_Toc482961010"/>
    </w:p>
    <w:p w14:paraId="176F856A" w14:textId="77777777" w:rsidR="00A667F4" w:rsidRDefault="00B22B8C" w:rsidP="00026B30">
      <w:pPr>
        <w:autoSpaceDE w:val="0"/>
        <w:autoSpaceDN w:val="0"/>
        <w:adjustRightInd w:val="0"/>
        <w:spacing w:line="320" w:lineRule="atLeast"/>
        <w:ind w:right="60"/>
        <w:rPr>
          <w:rFonts w:asciiTheme="majorBidi" w:hAnsiTheme="majorBidi" w:cstheme="majorBidi"/>
          <w:i/>
          <w:noProof/>
          <w:lang w:eastAsia="en-GB"/>
        </w:rPr>
      </w:pPr>
      <w:r w:rsidRPr="00B22B8C">
        <w:rPr>
          <w:rFonts w:asciiTheme="majorBidi" w:hAnsiTheme="majorBidi" w:cstheme="majorBidi"/>
          <w:i/>
        </w:rPr>
        <w:t xml:space="preserve">Figure 1. </w:t>
      </w:r>
      <w:r w:rsidRPr="00B22B8C">
        <w:rPr>
          <w:rFonts w:asciiTheme="majorBidi" w:hAnsiTheme="majorBidi" w:cstheme="majorBidi"/>
          <w:i/>
          <w:noProof/>
          <w:lang w:eastAsia="en-GB"/>
        </w:rPr>
        <w:t>The measurement models under examination. High-order factors: Cog P = Cognitive-Perceptual, Pn = Paranoid, Neg = Negative, Dis = Disorganised, Int P = Interpersonal. Lower-order subscales: OBoMT = odd beliefs or magical thinking, UPE = unusual perceptual experiences, IoR = ideas of reference, Sus = suspiciousness, ESA = excessive social anxiety, NCF = no close friends, CA = constricted affect, OoEB = odd or eccentric behaviour, OS = odd speech</w:t>
      </w:r>
      <w:bookmarkEnd w:id="0"/>
    </w:p>
    <w:p w14:paraId="5C37E20E" w14:textId="77777777" w:rsidR="00110B73" w:rsidRDefault="00110B73" w:rsidP="00026B30">
      <w:pPr>
        <w:autoSpaceDE w:val="0"/>
        <w:autoSpaceDN w:val="0"/>
        <w:adjustRightInd w:val="0"/>
        <w:spacing w:line="320" w:lineRule="atLeast"/>
        <w:ind w:right="60"/>
        <w:rPr>
          <w:rFonts w:asciiTheme="majorBidi" w:hAnsiTheme="majorBidi" w:cstheme="majorBidi"/>
          <w:i/>
          <w:noProof/>
          <w:lang w:eastAsia="en-GB"/>
        </w:rPr>
      </w:pPr>
    </w:p>
    <w:p w14:paraId="6FBA8C77" w14:textId="77777777" w:rsidR="00110B73" w:rsidRDefault="00110B73" w:rsidP="00026B30">
      <w:pPr>
        <w:autoSpaceDE w:val="0"/>
        <w:autoSpaceDN w:val="0"/>
        <w:adjustRightInd w:val="0"/>
        <w:spacing w:line="320" w:lineRule="atLeast"/>
        <w:ind w:right="60"/>
        <w:rPr>
          <w:rFonts w:asciiTheme="majorBidi" w:hAnsiTheme="majorBidi" w:cstheme="majorBidi"/>
          <w:i/>
          <w:noProof/>
          <w:lang w:eastAsia="en-GB"/>
        </w:rPr>
      </w:pPr>
    </w:p>
    <w:p w14:paraId="6D5E7CB1" w14:textId="77777777" w:rsidR="00110B73" w:rsidRDefault="00110B73" w:rsidP="00026B30">
      <w:pPr>
        <w:autoSpaceDE w:val="0"/>
        <w:autoSpaceDN w:val="0"/>
        <w:adjustRightInd w:val="0"/>
        <w:spacing w:line="320" w:lineRule="atLeast"/>
        <w:ind w:right="60"/>
        <w:rPr>
          <w:rFonts w:asciiTheme="majorBidi" w:hAnsiTheme="majorBidi" w:cstheme="majorBidi"/>
          <w:i/>
          <w:noProof/>
          <w:lang w:eastAsia="en-GB"/>
        </w:rPr>
      </w:pPr>
    </w:p>
    <w:p w14:paraId="70B5B113" w14:textId="63E3CD21" w:rsidR="00110B73" w:rsidRDefault="00110B73" w:rsidP="00026B30">
      <w:pPr>
        <w:autoSpaceDE w:val="0"/>
        <w:autoSpaceDN w:val="0"/>
        <w:adjustRightInd w:val="0"/>
        <w:spacing w:line="320" w:lineRule="atLeast"/>
        <w:ind w:right="60"/>
        <w:rPr>
          <w:iCs/>
          <w:color w:val="010205"/>
        </w:rPr>
      </w:pPr>
      <w:r>
        <w:rPr>
          <w:iCs/>
          <w:noProof/>
          <w:color w:val="010205"/>
        </w:rPr>
        <w:drawing>
          <wp:inline distT="0" distB="0" distL="0" distR="0" wp14:anchorId="130F01DF" wp14:editId="39F473A4">
            <wp:extent cx="8029575" cy="4086225"/>
            <wp:effectExtent l="0" t="0" r="9525" b="9525"/>
            <wp:docPr id="4" name="Picture 4"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pic:cNvPicPr/>
                  </pic:nvPicPr>
                  <pic:blipFill rotWithShape="1">
                    <a:blip r:embed="rId16">
                      <a:extLst>
                        <a:ext uri="{28A0092B-C50C-407E-A947-70E740481C1C}">
                          <a14:useLocalDpi xmlns:a14="http://schemas.microsoft.com/office/drawing/2010/main" val="0"/>
                        </a:ext>
                      </a:extLst>
                    </a:blip>
                    <a:srcRect r="9420" b="18057"/>
                    <a:stretch/>
                  </pic:blipFill>
                  <pic:spPr bwMode="auto">
                    <a:xfrm>
                      <a:off x="0" y="0"/>
                      <a:ext cx="8029575" cy="4086225"/>
                    </a:xfrm>
                    <a:prstGeom prst="rect">
                      <a:avLst/>
                    </a:prstGeom>
                    <a:ln>
                      <a:noFill/>
                    </a:ln>
                    <a:extLst>
                      <a:ext uri="{53640926-AAD7-44D8-BBD7-CCE9431645EC}">
                        <a14:shadowObscured xmlns:a14="http://schemas.microsoft.com/office/drawing/2010/main"/>
                      </a:ext>
                    </a:extLst>
                  </pic:spPr>
                </pic:pic>
              </a:graphicData>
            </a:graphic>
          </wp:inline>
        </w:drawing>
      </w:r>
    </w:p>
    <w:p w14:paraId="3907C51E" w14:textId="76E15ED7" w:rsidR="00110B73" w:rsidRPr="00A3290E" w:rsidRDefault="00110B73" w:rsidP="00026B30">
      <w:pPr>
        <w:autoSpaceDE w:val="0"/>
        <w:autoSpaceDN w:val="0"/>
        <w:adjustRightInd w:val="0"/>
        <w:spacing w:line="320" w:lineRule="atLeast"/>
        <w:ind w:right="60"/>
        <w:rPr>
          <w:rFonts w:asciiTheme="majorBidi" w:hAnsiTheme="majorBidi" w:cstheme="majorBidi"/>
          <w:i/>
          <w:noProof/>
          <w:lang w:eastAsia="en-GB"/>
        </w:rPr>
        <w:sectPr w:rsidR="00110B73" w:rsidRPr="00A3290E" w:rsidSect="00A47A89">
          <w:pgSz w:w="16840" w:h="11900" w:orient="landscape"/>
          <w:pgMar w:top="1440" w:right="1440" w:bottom="1440" w:left="1440" w:header="720" w:footer="720" w:gutter="0"/>
          <w:cols w:space="720"/>
          <w:titlePg/>
          <w:docGrid w:linePitch="360"/>
        </w:sectPr>
      </w:pPr>
      <w:r w:rsidRPr="00B22B8C">
        <w:rPr>
          <w:rFonts w:asciiTheme="majorBidi" w:hAnsiTheme="majorBidi" w:cstheme="majorBidi"/>
          <w:i/>
        </w:rPr>
        <w:t xml:space="preserve">Figure </w:t>
      </w:r>
      <w:r>
        <w:rPr>
          <w:rFonts w:asciiTheme="majorBidi" w:hAnsiTheme="majorBidi" w:cstheme="majorBidi"/>
          <w:i/>
        </w:rPr>
        <w:t>2</w:t>
      </w:r>
      <w:r w:rsidRPr="00B22B8C">
        <w:rPr>
          <w:rFonts w:asciiTheme="majorBidi" w:hAnsiTheme="majorBidi" w:cstheme="majorBidi"/>
          <w:i/>
        </w:rPr>
        <w:t xml:space="preserve">. </w:t>
      </w:r>
      <w:r>
        <w:rPr>
          <w:rFonts w:asciiTheme="majorBidi" w:hAnsiTheme="majorBidi" w:cstheme="majorBidi"/>
          <w:i/>
        </w:rPr>
        <w:t>S</w:t>
      </w:r>
      <w:r w:rsidRPr="00110B73">
        <w:rPr>
          <w:rFonts w:asciiTheme="majorBidi" w:hAnsiTheme="majorBidi" w:cstheme="majorBidi"/>
          <w:i/>
        </w:rPr>
        <w:t>tandardi</w:t>
      </w:r>
      <w:r>
        <w:rPr>
          <w:rFonts w:asciiTheme="majorBidi" w:hAnsiTheme="majorBidi" w:cstheme="majorBidi"/>
          <w:i/>
        </w:rPr>
        <w:t>s</w:t>
      </w:r>
      <w:r w:rsidRPr="00110B73">
        <w:rPr>
          <w:rFonts w:asciiTheme="majorBidi" w:hAnsiTheme="majorBidi" w:cstheme="majorBidi"/>
          <w:i/>
        </w:rPr>
        <w:t xml:space="preserve">ed </w:t>
      </w:r>
      <w:r>
        <w:rPr>
          <w:rFonts w:asciiTheme="majorBidi" w:hAnsiTheme="majorBidi" w:cstheme="majorBidi"/>
          <w:i/>
        </w:rPr>
        <w:t>estimates (unstandardised</w:t>
      </w:r>
      <w:r w:rsidRPr="00110B73">
        <w:rPr>
          <w:rFonts w:asciiTheme="majorBidi" w:hAnsiTheme="majorBidi" w:cstheme="majorBidi"/>
          <w:i/>
        </w:rPr>
        <w:t xml:space="preserve"> </w:t>
      </w:r>
      <w:r>
        <w:rPr>
          <w:rFonts w:asciiTheme="majorBidi" w:hAnsiTheme="majorBidi" w:cstheme="majorBidi"/>
          <w:i/>
        </w:rPr>
        <w:t xml:space="preserve">estimates, </w:t>
      </w:r>
      <w:r w:rsidRPr="00110B73">
        <w:rPr>
          <w:rFonts w:asciiTheme="majorBidi" w:hAnsiTheme="majorBidi" w:cstheme="majorBidi"/>
          <w:i/>
        </w:rPr>
        <w:t>standard error</w:t>
      </w:r>
      <w:r>
        <w:rPr>
          <w:rFonts w:asciiTheme="majorBidi" w:hAnsiTheme="majorBidi" w:cstheme="majorBidi"/>
          <w:i/>
        </w:rPr>
        <w:t>s)</w:t>
      </w:r>
      <w:r w:rsidRPr="00110B73">
        <w:rPr>
          <w:rFonts w:asciiTheme="majorBidi" w:hAnsiTheme="majorBidi" w:cstheme="majorBidi"/>
          <w:i/>
        </w:rPr>
        <w:t xml:space="preserve"> and latent correlations </w:t>
      </w:r>
      <w:r>
        <w:rPr>
          <w:rFonts w:asciiTheme="majorBidi" w:hAnsiTheme="majorBidi" w:cstheme="majorBidi"/>
          <w:i/>
        </w:rPr>
        <w:t xml:space="preserve">for </w:t>
      </w:r>
      <w:r>
        <w:rPr>
          <w:rFonts w:asciiTheme="majorBidi" w:hAnsiTheme="majorBidi" w:cstheme="majorBidi"/>
          <w:i/>
          <w:noProof/>
          <w:lang w:eastAsia="en-GB"/>
        </w:rPr>
        <w:t>the best fitting factor structure (4-factor, Stefanis et al. 2004)</w:t>
      </w:r>
      <w:r w:rsidRPr="00B22B8C">
        <w:rPr>
          <w:rFonts w:asciiTheme="majorBidi" w:hAnsiTheme="majorBidi" w:cstheme="majorBidi"/>
          <w:i/>
          <w:noProof/>
          <w:lang w:eastAsia="en-GB"/>
        </w:rPr>
        <w:t>.</w:t>
      </w:r>
      <w:r>
        <w:rPr>
          <w:rFonts w:asciiTheme="majorBidi" w:hAnsiTheme="majorBidi" w:cstheme="majorBidi"/>
          <w:i/>
          <w:noProof/>
          <w:lang w:eastAsia="en-GB"/>
        </w:rPr>
        <w:t xml:space="preserve"> Note, dotted line indicates latent correlation;</w:t>
      </w:r>
      <w:r w:rsidRPr="00B22B8C">
        <w:rPr>
          <w:rFonts w:asciiTheme="majorBidi" w:hAnsiTheme="majorBidi" w:cstheme="majorBidi"/>
          <w:i/>
          <w:noProof/>
          <w:lang w:eastAsia="en-GB"/>
        </w:rPr>
        <w:t xml:space="preserve"> High-order factors: Cog P = Cognitive-Perceptual, Pn = Paranoid, Neg = Negative, Dis = Disorganised, Int P = Interpersonal</w:t>
      </w:r>
      <w:r>
        <w:rPr>
          <w:rFonts w:asciiTheme="majorBidi" w:hAnsiTheme="majorBidi" w:cstheme="majorBidi"/>
          <w:i/>
          <w:noProof/>
          <w:lang w:eastAsia="en-GB"/>
        </w:rPr>
        <w:t>;</w:t>
      </w:r>
      <w:r w:rsidRPr="00B22B8C">
        <w:rPr>
          <w:rFonts w:asciiTheme="majorBidi" w:hAnsiTheme="majorBidi" w:cstheme="majorBidi"/>
          <w:i/>
          <w:noProof/>
          <w:lang w:eastAsia="en-GB"/>
        </w:rPr>
        <w:t xml:space="preserve"> Lower-order subscales: OBoMT = odd beliefs or magical thinking, UPE = unusual perceptual experiences, IoR = ideas of reference, Sus = suspiciousness, ESA = excessive social anxiety, NCF = no close friends, CA = constricted affect, OoEB = odd or eccentric behaviour, OS = odd speech</w:t>
      </w:r>
    </w:p>
    <w:p w14:paraId="57E61020" w14:textId="2883247A" w:rsidR="00215D3C" w:rsidRPr="00C12116" w:rsidRDefault="00215D3C" w:rsidP="00BB3317">
      <w:pPr>
        <w:autoSpaceDE w:val="0"/>
        <w:autoSpaceDN w:val="0"/>
        <w:adjustRightInd w:val="0"/>
        <w:spacing w:line="320" w:lineRule="atLeast"/>
        <w:ind w:right="60"/>
        <w:rPr>
          <w:sz w:val="22"/>
          <w:szCs w:val="22"/>
        </w:rPr>
      </w:pPr>
    </w:p>
    <w:sectPr w:rsidR="00215D3C" w:rsidRPr="00C12116" w:rsidSect="00A667F4">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B7801" w14:textId="77777777" w:rsidR="00C41584" w:rsidRDefault="00C41584" w:rsidP="00E60421">
      <w:r>
        <w:separator/>
      </w:r>
    </w:p>
  </w:endnote>
  <w:endnote w:type="continuationSeparator" w:id="0">
    <w:p w14:paraId="04237411" w14:textId="77777777" w:rsidR="00C41584" w:rsidRDefault="00C41584" w:rsidP="00E6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Times-Roman">
    <w:altName w:val="Times New Roman"/>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auto"/>
    <w:pitch w:val="variable"/>
    <w:sig w:usb0="00000003" w:usb1="00000000" w:usb2="00000000" w:usb3="00000000" w:csb0="00000003" w:csb1="00000000"/>
  </w:font>
  <w:font w:name="Arial Unicode MS">
    <w:altName w:val="Yu Gothic"/>
    <w:panose1 w:val="020B0604020202020204"/>
    <w:charset w:val="80"/>
    <w:family w:val="swiss"/>
    <w:pitch w:val="variable"/>
    <w:sig w:usb0="F7FFAFFF" w:usb1="E9DFFFFF" w:usb2="0000003F" w:usb3="00000000" w:csb0="003F01FF" w:csb1="00000000"/>
  </w:font>
  <w:font w:name="OpenSans">
    <w:altName w:val="Tw Cen 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F9A68" w14:textId="77777777" w:rsidR="00C41584" w:rsidRDefault="00C41584" w:rsidP="00E60421">
      <w:r>
        <w:separator/>
      </w:r>
    </w:p>
  </w:footnote>
  <w:footnote w:type="continuationSeparator" w:id="0">
    <w:p w14:paraId="4AA7E369" w14:textId="77777777" w:rsidR="00C41584" w:rsidRDefault="00C41584" w:rsidP="00E6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86157347"/>
      <w:docPartObj>
        <w:docPartGallery w:val="Page Numbers (Top of Page)"/>
        <w:docPartUnique/>
      </w:docPartObj>
    </w:sdtPr>
    <w:sdtEndPr>
      <w:rPr>
        <w:rStyle w:val="PageNumber"/>
      </w:rPr>
    </w:sdtEndPr>
    <w:sdtContent>
      <w:p w14:paraId="6D7C591E" w14:textId="77777777" w:rsidR="004171C3" w:rsidRDefault="004171C3" w:rsidP="00E774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673BF0B" w14:textId="77777777" w:rsidR="004171C3" w:rsidRDefault="004171C3" w:rsidP="00E6042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3842588"/>
      <w:docPartObj>
        <w:docPartGallery w:val="Page Numbers (Top of Page)"/>
        <w:docPartUnique/>
      </w:docPartObj>
    </w:sdtPr>
    <w:sdtEndPr>
      <w:rPr>
        <w:rStyle w:val="PageNumber"/>
      </w:rPr>
    </w:sdtEndPr>
    <w:sdtContent>
      <w:p w14:paraId="707ECBC0" w14:textId="77777777" w:rsidR="004171C3" w:rsidRDefault="004171C3" w:rsidP="00E774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sdtContent>
  </w:sdt>
  <w:p w14:paraId="4B5B7AE9" w14:textId="77777777" w:rsidR="004171C3" w:rsidRDefault="004171C3" w:rsidP="00E60421">
    <w:pPr>
      <w:pStyle w:val="Header"/>
      <w:ind w:right="360"/>
    </w:pPr>
    <w:r>
      <w:t>Schizotypal Measurement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504BE"/>
    <w:multiLevelType w:val="hybridMultilevel"/>
    <w:tmpl w:val="2E968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D23070"/>
    <w:multiLevelType w:val="hybridMultilevel"/>
    <w:tmpl w:val="141492C0"/>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 w15:restartNumberingAfterBreak="0">
    <w:nsid w:val="33712549"/>
    <w:multiLevelType w:val="hybridMultilevel"/>
    <w:tmpl w:val="13089B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595D68"/>
    <w:multiLevelType w:val="hybridMultilevel"/>
    <w:tmpl w:val="2C984D4E"/>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4" w15:restartNumberingAfterBreak="0">
    <w:nsid w:val="41952169"/>
    <w:multiLevelType w:val="hybridMultilevel"/>
    <w:tmpl w:val="AEB006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0D4100"/>
    <w:multiLevelType w:val="hybridMultilevel"/>
    <w:tmpl w:val="33AA672A"/>
    <w:lvl w:ilvl="0" w:tplc="56627DCA">
      <w:start w:val="100"/>
      <w:numFmt w:val="bullet"/>
      <w:lvlText w:val="-"/>
      <w:lvlJc w:val="left"/>
      <w:pPr>
        <w:ind w:left="720" w:hanging="360"/>
      </w:pPr>
      <w:rPr>
        <w:rFonts w:ascii="Times New Roman" w:eastAsia="Times New Roman"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35"/>
    <w:rsid w:val="00000B46"/>
    <w:rsid w:val="000063A5"/>
    <w:rsid w:val="00020864"/>
    <w:rsid w:val="00020E43"/>
    <w:rsid w:val="00022E47"/>
    <w:rsid w:val="00026B30"/>
    <w:rsid w:val="00036930"/>
    <w:rsid w:val="000416AE"/>
    <w:rsid w:val="00042066"/>
    <w:rsid w:val="00047149"/>
    <w:rsid w:val="00047EF3"/>
    <w:rsid w:val="00056762"/>
    <w:rsid w:val="000610A7"/>
    <w:rsid w:val="00064E2D"/>
    <w:rsid w:val="00065C09"/>
    <w:rsid w:val="000712A6"/>
    <w:rsid w:val="00071E85"/>
    <w:rsid w:val="0008090F"/>
    <w:rsid w:val="000851B5"/>
    <w:rsid w:val="000868D8"/>
    <w:rsid w:val="00086C21"/>
    <w:rsid w:val="00091F46"/>
    <w:rsid w:val="00092498"/>
    <w:rsid w:val="00094950"/>
    <w:rsid w:val="000A04CB"/>
    <w:rsid w:val="000C00CA"/>
    <w:rsid w:val="000D1583"/>
    <w:rsid w:val="000D39E1"/>
    <w:rsid w:val="000D4DE8"/>
    <w:rsid w:val="000D7343"/>
    <w:rsid w:val="000E7D22"/>
    <w:rsid w:val="00102BFC"/>
    <w:rsid w:val="00110B73"/>
    <w:rsid w:val="0011208B"/>
    <w:rsid w:val="00120AD4"/>
    <w:rsid w:val="001264B8"/>
    <w:rsid w:val="00127013"/>
    <w:rsid w:val="001419EF"/>
    <w:rsid w:val="0014340A"/>
    <w:rsid w:val="00167059"/>
    <w:rsid w:val="00183DE4"/>
    <w:rsid w:val="001926A8"/>
    <w:rsid w:val="001B3597"/>
    <w:rsid w:val="001C433D"/>
    <w:rsid w:val="001C53FE"/>
    <w:rsid w:val="001D51CF"/>
    <w:rsid w:val="001D77BB"/>
    <w:rsid w:val="001E6E44"/>
    <w:rsid w:val="001F461B"/>
    <w:rsid w:val="001F4C0D"/>
    <w:rsid w:val="001F6163"/>
    <w:rsid w:val="002031ED"/>
    <w:rsid w:val="002050C8"/>
    <w:rsid w:val="0020625A"/>
    <w:rsid w:val="0020666A"/>
    <w:rsid w:val="00215D3C"/>
    <w:rsid w:val="00220D3E"/>
    <w:rsid w:val="00220E2F"/>
    <w:rsid w:val="00223209"/>
    <w:rsid w:val="00223815"/>
    <w:rsid w:val="00223D7F"/>
    <w:rsid w:val="00236A6D"/>
    <w:rsid w:val="00251B76"/>
    <w:rsid w:val="002607DA"/>
    <w:rsid w:val="00262BA4"/>
    <w:rsid w:val="002730B5"/>
    <w:rsid w:val="00292E04"/>
    <w:rsid w:val="00294591"/>
    <w:rsid w:val="00295BA2"/>
    <w:rsid w:val="00297282"/>
    <w:rsid w:val="002A1F65"/>
    <w:rsid w:val="002B7C81"/>
    <w:rsid w:val="002C670F"/>
    <w:rsid w:val="002E658A"/>
    <w:rsid w:val="002F1C2E"/>
    <w:rsid w:val="002F539C"/>
    <w:rsid w:val="002F654D"/>
    <w:rsid w:val="00334706"/>
    <w:rsid w:val="0034444E"/>
    <w:rsid w:val="00352F77"/>
    <w:rsid w:val="00357A34"/>
    <w:rsid w:val="003604F6"/>
    <w:rsid w:val="00361DA0"/>
    <w:rsid w:val="003803B7"/>
    <w:rsid w:val="00382764"/>
    <w:rsid w:val="003930E6"/>
    <w:rsid w:val="00397242"/>
    <w:rsid w:val="003E5F4F"/>
    <w:rsid w:val="003F06AC"/>
    <w:rsid w:val="00410FE3"/>
    <w:rsid w:val="004134FA"/>
    <w:rsid w:val="004171C3"/>
    <w:rsid w:val="00420979"/>
    <w:rsid w:val="00420BC0"/>
    <w:rsid w:val="00421B58"/>
    <w:rsid w:val="004353F9"/>
    <w:rsid w:val="0044687C"/>
    <w:rsid w:val="00446DBC"/>
    <w:rsid w:val="00447AD2"/>
    <w:rsid w:val="00464FF8"/>
    <w:rsid w:val="004751DE"/>
    <w:rsid w:val="004812E7"/>
    <w:rsid w:val="00494230"/>
    <w:rsid w:val="004A28E7"/>
    <w:rsid w:val="004A73E6"/>
    <w:rsid w:val="004C5849"/>
    <w:rsid w:val="004F78F0"/>
    <w:rsid w:val="005210E1"/>
    <w:rsid w:val="0053654A"/>
    <w:rsid w:val="005426D4"/>
    <w:rsid w:val="005429CA"/>
    <w:rsid w:val="0057270F"/>
    <w:rsid w:val="00575F02"/>
    <w:rsid w:val="0059310D"/>
    <w:rsid w:val="005A7D0A"/>
    <w:rsid w:val="005B4C73"/>
    <w:rsid w:val="005B6474"/>
    <w:rsid w:val="005C311B"/>
    <w:rsid w:val="005C3373"/>
    <w:rsid w:val="005D4BF6"/>
    <w:rsid w:val="005D60ED"/>
    <w:rsid w:val="005E0152"/>
    <w:rsid w:val="005E1192"/>
    <w:rsid w:val="005F1D9A"/>
    <w:rsid w:val="005F52AE"/>
    <w:rsid w:val="00615C5C"/>
    <w:rsid w:val="00621CA8"/>
    <w:rsid w:val="00621D24"/>
    <w:rsid w:val="00622F9A"/>
    <w:rsid w:val="00625B87"/>
    <w:rsid w:val="006263B9"/>
    <w:rsid w:val="00627A4E"/>
    <w:rsid w:val="00635302"/>
    <w:rsid w:val="0063691C"/>
    <w:rsid w:val="00636D4B"/>
    <w:rsid w:val="006409F2"/>
    <w:rsid w:val="00642A31"/>
    <w:rsid w:val="00657B9B"/>
    <w:rsid w:val="00663A57"/>
    <w:rsid w:val="00672F78"/>
    <w:rsid w:val="006753B7"/>
    <w:rsid w:val="00677645"/>
    <w:rsid w:val="006832A2"/>
    <w:rsid w:val="00693C75"/>
    <w:rsid w:val="0069779D"/>
    <w:rsid w:val="006B15D1"/>
    <w:rsid w:val="006B77A9"/>
    <w:rsid w:val="006C1203"/>
    <w:rsid w:val="006D1ED1"/>
    <w:rsid w:val="006D5D97"/>
    <w:rsid w:val="006E676E"/>
    <w:rsid w:val="006E6E7D"/>
    <w:rsid w:val="006F55A2"/>
    <w:rsid w:val="006F7CC6"/>
    <w:rsid w:val="00702B6E"/>
    <w:rsid w:val="00711EF5"/>
    <w:rsid w:val="007150B1"/>
    <w:rsid w:val="007154A2"/>
    <w:rsid w:val="00715EED"/>
    <w:rsid w:val="00722136"/>
    <w:rsid w:val="00723E4C"/>
    <w:rsid w:val="00730454"/>
    <w:rsid w:val="0073360D"/>
    <w:rsid w:val="00734540"/>
    <w:rsid w:val="007350C9"/>
    <w:rsid w:val="00746806"/>
    <w:rsid w:val="007527BA"/>
    <w:rsid w:val="00774FCF"/>
    <w:rsid w:val="00775806"/>
    <w:rsid w:val="00776E9E"/>
    <w:rsid w:val="00780806"/>
    <w:rsid w:val="00780EAA"/>
    <w:rsid w:val="00783D23"/>
    <w:rsid w:val="007937A4"/>
    <w:rsid w:val="00794663"/>
    <w:rsid w:val="007950E7"/>
    <w:rsid w:val="00795783"/>
    <w:rsid w:val="00795A7B"/>
    <w:rsid w:val="007A1B40"/>
    <w:rsid w:val="007A7799"/>
    <w:rsid w:val="007B479A"/>
    <w:rsid w:val="007B6D76"/>
    <w:rsid w:val="007C2F0B"/>
    <w:rsid w:val="007C34CD"/>
    <w:rsid w:val="007C76D8"/>
    <w:rsid w:val="007D2780"/>
    <w:rsid w:val="007D288D"/>
    <w:rsid w:val="007E54C8"/>
    <w:rsid w:val="007F1E5E"/>
    <w:rsid w:val="007F6FCA"/>
    <w:rsid w:val="00801B6A"/>
    <w:rsid w:val="00802729"/>
    <w:rsid w:val="008050F9"/>
    <w:rsid w:val="008060EF"/>
    <w:rsid w:val="00807B9C"/>
    <w:rsid w:val="00810A6B"/>
    <w:rsid w:val="00820885"/>
    <w:rsid w:val="00833F3B"/>
    <w:rsid w:val="00836BD8"/>
    <w:rsid w:val="0084640D"/>
    <w:rsid w:val="00853C18"/>
    <w:rsid w:val="00857FE8"/>
    <w:rsid w:val="0086283C"/>
    <w:rsid w:val="00863A19"/>
    <w:rsid w:val="0087481D"/>
    <w:rsid w:val="008914D7"/>
    <w:rsid w:val="008A544E"/>
    <w:rsid w:val="008B02E7"/>
    <w:rsid w:val="008B351C"/>
    <w:rsid w:val="008B4369"/>
    <w:rsid w:val="008B61D3"/>
    <w:rsid w:val="008B6AEB"/>
    <w:rsid w:val="008C5C8C"/>
    <w:rsid w:val="008D2178"/>
    <w:rsid w:val="008D478D"/>
    <w:rsid w:val="008D7A49"/>
    <w:rsid w:val="008D7BB7"/>
    <w:rsid w:val="008E636C"/>
    <w:rsid w:val="008E6414"/>
    <w:rsid w:val="008F7060"/>
    <w:rsid w:val="009042ED"/>
    <w:rsid w:val="00940663"/>
    <w:rsid w:val="00945B30"/>
    <w:rsid w:val="00947A3D"/>
    <w:rsid w:val="009632F3"/>
    <w:rsid w:val="00967525"/>
    <w:rsid w:val="00975D2A"/>
    <w:rsid w:val="009800FA"/>
    <w:rsid w:val="00980A90"/>
    <w:rsid w:val="00987A57"/>
    <w:rsid w:val="009A5838"/>
    <w:rsid w:val="009A66DD"/>
    <w:rsid w:val="009A71F6"/>
    <w:rsid w:val="009B008C"/>
    <w:rsid w:val="009C15C2"/>
    <w:rsid w:val="009C38B3"/>
    <w:rsid w:val="009C7B07"/>
    <w:rsid w:val="009D7EAD"/>
    <w:rsid w:val="009E7143"/>
    <w:rsid w:val="009F7FB5"/>
    <w:rsid w:val="00A023E6"/>
    <w:rsid w:val="00A1611E"/>
    <w:rsid w:val="00A20BCA"/>
    <w:rsid w:val="00A21FAD"/>
    <w:rsid w:val="00A2534C"/>
    <w:rsid w:val="00A26D01"/>
    <w:rsid w:val="00A3290E"/>
    <w:rsid w:val="00A40239"/>
    <w:rsid w:val="00A42BBA"/>
    <w:rsid w:val="00A47A89"/>
    <w:rsid w:val="00A50335"/>
    <w:rsid w:val="00A53F04"/>
    <w:rsid w:val="00A54EC3"/>
    <w:rsid w:val="00A55B85"/>
    <w:rsid w:val="00A667F4"/>
    <w:rsid w:val="00A7617C"/>
    <w:rsid w:val="00A87D94"/>
    <w:rsid w:val="00A9020B"/>
    <w:rsid w:val="00A9044B"/>
    <w:rsid w:val="00A91253"/>
    <w:rsid w:val="00AA393B"/>
    <w:rsid w:val="00AA7B17"/>
    <w:rsid w:val="00AC3787"/>
    <w:rsid w:val="00AC7865"/>
    <w:rsid w:val="00AD1055"/>
    <w:rsid w:val="00AF57F5"/>
    <w:rsid w:val="00B00562"/>
    <w:rsid w:val="00B01A7E"/>
    <w:rsid w:val="00B0356C"/>
    <w:rsid w:val="00B14AF0"/>
    <w:rsid w:val="00B17BE3"/>
    <w:rsid w:val="00B22B8C"/>
    <w:rsid w:val="00B26325"/>
    <w:rsid w:val="00B300A1"/>
    <w:rsid w:val="00B4605F"/>
    <w:rsid w:val="00B5536F"/>
    <w:rsid w:val="00B57B69"/>
    <w:rsid w:val="00B624F1"/>
    <w:rsid w:val="00B67616"/>
    <w:rsid w:val="00B8517C"/>
    <w:rsid w:val="00B928F8"/>
    <w:rsid w:val="00B93B9B"/>
    <w:rsid w:val="00BA5500"/>
    <w:rsid w:val="00BB0831"/>
    <w:rsid w:val="00BB3317"/>
    <w:rsid w:val="00BB7116"/>
    <w:rsid w:val="00BC38E0"/>
    <w:rsid w:val="00BD0A86"/>
    <w:rsid w:val="00BD0E6C"/>
    <w:rsid w:val="00BD6205"/>
    <w:rsid w:val="00BD764D"/>
    <w:rsid w:val="00BF0D64"/>
    <w:rsid w:val="00C01CDF"/>
    <w:rsid w:val="00C04A34"/>
    <w:rsid w:val="00C12116"/>
    <w:rsid w:val="00C37BC6"/>
    <w:rsid w:val="00C411FC"/>
    <w:rsid w:val="00C41584"/>
    <w:rsid w:val="00C6029B"/>
    <w:rsid w:val="00C61182"/>
    <w:rsid w:val="00C61889"/>
    <w:rsid w:val="00C70171"/>
    <w:rsid w:val="00C80F49"/>
    <w:rsid w:val="00C935F1"/>
    <w:rsid w:val="00C97E69"/>
    <w:rsid w:val="00CB4029"/>
    <w:rsid w:val="00CB621F"/>
    <w:rsid w:val="00CC26AC"/>
    <w:rsid w:val="00CC2AF3"/>
    <w:rsid w:val="00CE0588"/>
    <w:rsid w:val="00CE59FD"/>
    <w:rsid w:val="00CE5D3D"/>
    <w:rsid w:val="00CE6745"/>
    <w:rsid w:val="00D079C3"/>
    <w:rsid w:val="00D17FC2"/>
    <w:rsid w:val="00D316F8"/>
    <w:rsid w:val="00D378F6"/>
    <w:rsid w:val="00D41181"/>
    <w:rsid w:val="00D46666"/>
    <w:rsid w:val="00D60B2A"/>
    <w:rsid w:val="00D64D7A"/>
    <w:rsid w:val="00D805BE"/>
    <w:rsid w:val="00D82A9F"/>
    <w:rsid w:val="00D954F3"/>
    <w:rsid w:val="00D96722"/>
    <w:rsid w:val="00D976D6"/>
    <w:rsid w:val="00DC1D0E"/>
    <w:rsid w:val="00DC412C"/>
    <w:rsid w:val="00DC7CFC"/>
    <w:rsid w:val="00DE25A5"/>
    <w:rsid w:val="00DE74D4"/>
    <w:rsid w:val="00E06A46"/>
    <w:rsid w:val="00E20B40"/>
    <w:rsid w:val="00E2100E"/>
    <w:rsid w:val="00E24CCE"/>
    <w:rsid w:val="00E26DB1"/>
    <w:rsid w:val="00E42F2F"/>
    <w:rsid w:val="00E464C0"/>
    <w:rsid w:val="00E53A69"/>
    <w:rsid w:val="00E546C1"/>
    <w:rsid w:val="00E57C5E"/>
    <w:rsid w:val="00E60421"/>
    <w:rsid w:val="00E625D9"/>
    <w:rsid w:val="00E6535B"/>
    <w:rsid w:val="00E659E5"/>
    <w:rsid w:val="00E72F49"/>
    <w:rsid w:val="00E7745D"/>
    <w:rsid w:val="00E812A7"/>
    <w:rsid w:val="00E82CDE"/>
    <w:rsid w:val="00E850C4"/>
    <w:rsid w:val="00EA1A54"/>
    <w:rsid w:val="00EA2CAC"/>
    <w:rsid w:val="00EA56A2"/>
    <w:rsid w:val="00EA5C31"/>
    <w:rsid w:val="00EC7C35"/>
    <w:rsid w:val="00ED08C9"/>
    <w:rsid w:val="00ED47D7"/>
    <w:rsid w:val="00EE79C4"/>
    <w:rsid w:val="00EF7031"/>
    <w:rsid w:val="00F11C04"/>
    <w:rsid w:val="00F26890"/>
    <w:rsid w:val="00F44AA4"/>
    <w:rsid w:val="00F50E47"/>
    <w:rsid w:val="00F54847"/>
    <w:rsid w:val="00F57F4F"/>
    <w:rsid w:val="00F63A3D"/>
    <w:rsid w:val="00F720A7"/>
    <w:rsid w:val="00F75505"/>
    <w:rsid w:val="00F75A09"/>
    <w:rsid w:val="00F7604C"/>
    <w:rsid w:val="00F80B81"/>
    <w:rsid w:val="00F8124C"/>
    <w:rsid w:val="00F82168"/>
    <w:rsid w:val="00F85E57"/>
    <w:rsid w:val="00F92410"/>
    <w:rsid w:val="00F94500"/>
    <w:rsid w:val="00F97556"/>
    <w:rsid w:val="00FA3F08"/>
    <w:rsid w:val="00FB3743"/>
    <w:rsid w:val="00FB5B42"/>
    <w:rsid w:val="00FB7889"/>
    <w:rsid w:val="00FC021D"/>
    <w:rsid w:val="00FC5D24"/>
    <w:rsid w:val="00FD2668"/>
    <w:rsid w:val="00FD567B"/>
    <w:rsid w:val="00FD7E26"/>
    <w:rsid w:val="00FE7F9B"/>
    <w:rsid w:val="00FF724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74E1C"/>
  <w14:defaultImageDpi w14:val="32767"/>
  <w15:chartTrackingRefBased/>
  <w15:docId w15:val="{FC6A4C9B-B643-094F-AAE2-B14FED444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0F9"/>
    <w:rPr>
      <w:rFonts w:ascii="Times New Roman" w:eastAsia="Times New Roman" w:hAnsi="Times New Roman" w:cs="Times New Roman"/>
    </w:rPr>
  </w:style>
  <w:style w:type="paragraph" w:styleId="Heading1">
    <w:name w:val="heading 1"/>
    <w:basedOn w:val="Normal"/>
    <w:next w:val="Normal"/>
    <w:link w:val="Heading1Char"/>
    <w:uiPriority w:val="9"/>
    <w:qFormat/>
    <w:rsid w:val="00E24CCE"/>
    <w:pPr>
      <w:keepNext/>
      <w:keepLines/>
      <w:spacing w:before="240" w:line="480"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E24CCE"/>
    <w:pPr>
      <w:keepNext/>
      <w:keepLines/>
      <w:spacing w:before="40" w:line="480"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varticle">
    <w:name w:val="svarticle"/>
    <w:basedOn w:val="Normal"/>
    <w:rsid w:val="00BA5500"/>
    <w:pPr>
      <w:spacing w:before="100" w:beforeAutospacing="1" w:after="100" w:afterAutospacing="1"/>
    </w:pPr>
    <w:rPr>
      <w:lang w:eastAsia="en-GB"/>
    </w:rPr>
  </w:style>
  <w:style w:type="paragraph" w:customStyle="1" w:styleId="xmsonormal">
    <w:name w:val="x_msonormal"/>
    <w:basedOn w:val="Normal"/>
    <w:rsid w:val="00BA5500"/>
    <w:pPr>
      <w:spacing w:before="100" w:beforeAutospacing="1" w:after="100" w:afterAutospacing="1"/>
    </w:pPr>
    <w:rPr>
      <w:lang w:eastAsia="en-GB"/>
    </w:rPr>
  </w:style>
  <w:style w:type="paragraph" w:styleId="Header">
    <w:name w:val="header"/>
    <w:basedOn w:val="Normal"/>
    <w:link w:val="HeaderChar"/>
    <w:uiPriority w:val="99"/>
    <w:unhideWhenUsed/>
    <w:rsid w:val="00E60421"/>
    <w:pPr>
      <w:tabs>
        <w:tab w:val="center" w:pos="4513"/>
        <w:tab w:val="right" w:pos="9026"/>
      </w:tabs>
    </w:pPr>
  </w:style>
  <w:style w:type="character" w:customStyle="1" w:styleId="HeaderChar">
    <w:name w:val="Header Char"/>
    <w:basedOn w:val="DefaultParagraphFont"/>
    <w:link w:val="Header"/>
    <w:uiPriority w:val="99"/>
    <w:rsid w:val="00E60421"/>
    <w:rPr>
      <w:rFonts w:ascii="Times New Roman" w:eastAsia="Times New Roman" w:hAnsi="Times New Roman" w:cs="Times New Roman"/>
    </w:rPr>
  </w:style>
  <w:style w:type="character" w:styleId="PageNumber">
    <w:name w:val="page number"/>
    <w:basedOn w:val="DefaultParagraphFont"/>
    <w:uiPriority w:val="99"/>
    <w:semiHidden/>
    <w:unhideWhenUsed/>
    <w:rsid w:val="00E60421"/>
  </w:style>
  <w:style w:type="paragraph" w:styleId="Footer">
    <w:name w:val="footer"/>
    <w:basedOn w:val="Normal"/>
    <w:link w:val="FooterChar"/>
    <w:uiPriority w:val="99"/>
    <w:unhideWhenUsed/>
    <w:rsid w:val="00E60421"/>
    <w:pPr>
      <w:tabs>
        <w:tab w:val="center" w:pos="4513"/>
        <w:tab w:val="right" w:pos="9026"/>
      </w:tabs>
    </w:pPr>
  </w:style>
  <w:style w:type="character" w:customStyle="1" w:styleId="FooterChar">
    <w:name w:val="Footer Char"/>
    <w:basedOn w:val="DefaultParagraphFont"/>
    <w:link w:val="Footer"/>
    <w:uiPriority w:val="99"/>
    <w:rsid w:val="00E60421"/>
    <w:rPr>
      <w:rFonts w:ascii="Times New Roman" w:eastAsia="Times New Roman" w:hAnsi="Times New Roman" w:cs="Times New Roman"/>
    </w:rPr>
  </w:style>
  <w:style w:type="paragraph" w:styleId="NormalWeb">
    <w:name w:val="Normal (Web)"/>
    <w:basedOn w:val="Normal"/>
    <w:uiPriority w:val="99"/>
    <w:semiHidden/>
    <w:unhideWhenUsed/>
    <w:rsid w:val="00F11C04"/>
    <w:pPr>
      <w:spacing w:before="100" w:beforeAutospacing="1" w:after="100" w:afterAutospacing="1"/>
    </w:pPr>
  </w:style>
  <w:style w:type="character" w:customStyle="1" w:styleId="apple-converted-space">
    <w:name w:val="apple-converted-space"/>
    <w:basedOn w:val="DefaultParagraphFont"/>
    <w:rsid w:val="0034444E"/>
  </w:style>
  <w:style w:type="character" w:styleId="Emphasis">
    <w:name w:val="Emphasis"/>
    <w:basedOn w:val="DefaultParagraphFont"/>
    <w:uiPriority w:val="20"/>
    <w:qFormat/>
    <w:rsid w:val="00E6535B"/>
    <w:rPr>
      <w:i/>
      <w:iCs/>
    </w:rPr>
  </w:style>
  <w:style w:type="paragraph" w:customStyle="1" w:styleId="EndNoteBibliography">
    <w:name w:val="EndNote Bibliography"/>
    <w:basedOn w:val="Normal"/>
    <w:link w:val="EndNoteBibliographyChar"/>
    <w:rsid w:val="0011208B"/>
    <w:pPr>
      <w:spacing w:after="160"/>
    </w:pPr>
    <w:rPr>
      <w:rFonts w:ascii="Calibri" w:hAnsi="Calibri"/>
      <w:noProof/>
      <w:sz w:val="22"/>
      <w:szCs w:val="22"/>
      <w:lang w:val="en-US"/>
    </w:rPr>
  </w:style>
  <w:style w:type="character" w:customStyle="1" w:styleId="EndNoteBibliographyChar">
    <w:name w:val="EndNote Bibliography Char"/>
    <w:basedOn w:val="DefaultParagraphFont"/>
    <w:link w:val="EndNoteBibliography"/>
    <w:rsid w:val="0011208B"/>
    <w:rPr>
      <w:rFonts w:ascii="Calibri" w:eastAsia="Times New Roman" w:hAnsi="Calibri" w:cs="Times New Roman"/>
      <w:noProof/>
      <w:sz w:val="22"/>
      <w:szCs w:val="22"/>
      <w:lang w:val="en-US"/>
    </w:rPr>
  </w:style>
  <w:style w:type="character" w:customStyle="1" w:styleId="bibliographic-informationvalue1">
    <w:name w:val="bibliographic-information__value1"/>
    <w:basedOn w:val="DefaultParagraphFont"/>
    <w:rsid w:val="0011208B"/>
    <w:rPr>
      <w:vanish w:val="0"/>
      <w:webHidden w:val="0"/>
      <w:specVanish w:val="0"/>
    </w:rPr>
  </w:style>
  <w:style w:type="character" w:customStyle="1" w:styleId="fontstyle11">
    <w:name w:val="fontstyle11"/>
    <w:basedOn w:val="DefaultParagraphFont"/>
    <w:rsid w:val="00B5536F"/>
    <w:rPr>
      <w:rFonts w:ascii="Times New Roman" w:hAnsi="Times New Roman" w:cs="Times New Roman" w:hint="default"/>
      <w:b w:val="0"/>
      <w:bCs w:val="0"/>
      <w:i w:val="0"/>
      <w:iCs w:val="0"/>
      <w:color w:val="000000"/>
      <w:sz w:val="24"/>
      <w:szCs w:val="24"/>
    </w:rPr>
  </w:style>
  <w:style w:type="table" w:styleId="TableGrid">
    <w:name w:val="Table Grid"/>
    <w:basedOn w:val="TableNormal"/>
    <w:uiPriority w:val="39"/>
    <w:rsid w:val="00092498"/>
    <w:rPr>
      <w:rFonts w:eastAsia="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92498"/>
    <w:rPr>
      <w:rFonts w:ascii="Times-Roman" w:hAnsi="Times-Roman" w:hint="default"/>
      <w:b w:val="0"/>
      <w:bCs w:val="0"/>
      <w:i w:val="0"/>
      <w:iCs w:val="0"/>
      <w:color w:val="B2B2B2"/>
      <w:sz w:val="100"/>
      <w:szCs w:val="100"/>
    </w:rPr>
  </w:style>
  <w:style w:type="paragraph" w:styleId="BalloonText">
    <w:name w:val="Balloon Text"/>
    <w:basedOn w:val="Normal"/>
    <w:link w:val="BalloonTextChar"/>
    <w:uiPriority w:val="99"/>
    <w:semiHidden/>
    <w:unhideWhenUsed/>
    <w:rsid w:val="008027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72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57B69"/>
    <w:rPr>
      <w:sz w:val="16"/>
      <w:szCs w:val="16"/>
    </w:rPr>
  </w:style>
  <w:style w:type="paragraph" w:styleId="CommentText">
    <w:name w:val="annotation text"/>
    <w:basedOn w:val="Normal"/>
    <w:link w:val="CommentTextChar"/>
    <w:uiPriority w:val="99"/>
    <w:semiHidden/>
    <w:unhideWhenUsed/>
    <w:rsid w:val="00B57B69"/>
    <w:rPr>
      <w:sz w:val="20"/>
      <w:szCs w:val="20"/>
    </w:rPr>
  </w:style>
  <w:style w:type="character" w:customStyle="1" w:styleId="CommentTextChar">
    <w:name w:val="Comment Text Char"/>
    <w:basedOn w:val="DefaultParagraphFont"/>
    <w:link w:val="CommentText"/>
    <w:uiPriority w:val="99"/>
    <w:semiHidden/>
    <w:rsid w:val="00B57B6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57B69"/>
    <w:rPr>
      <w:b/>
      <w:bCs/>
    </w:rPr>
  </w:style>
  <w:style w:type="character" w:customStyle="1" w:styleId="CommentSubjectChar">
    <w:name w:val="Comment Subject Char"/>
    <w:basedOn w:val="CommentTextChar"/>
    <w:link w:val="CommentSubject"/>
    <w:uiPriority w:val="99"/>
    <w:semiHidden/>
    <w:rsid w:val="00B57B69"/>
    <w:rPr>
      <w:rFonts w:ascii="Times New Roman" w:eastAsia="Times New Roman" w:hAnsi="Times New Roman" w:cs="Times New Roman"/>
      <w:b/>
      <w:bCs/>
      <w:sz w:val="20"/>
      <w:szCs w:val="20"/>
    </w:rPr>
  </w:style>
  <w:style w:type="paragraph" w:styleId="PlainText">
    <w:name w:val="Plain Text"/>
    <w:basedOn w:val="Normal"/>
    <w:link w:val="PlainTextChar"/>
    <w:uiPriority w:val="99"/>
    <w:unhideWhenUsed/>
    <w:rsid w:val="007D288D"/>
    <w:rPr>
      <w:rFonts w:ascii="Courier" w:eastAsiaTheme="minorHAnsi" w:hAnsi="Courier" w:cstheme="minorBidi"/>
      <w:sz w:val="21"/>
      <w:szCs w:val="21"/>
    </w:rPr>
  </w:style>
  <w:style w:type="character" w:customStyle="1" w:styleId="PlainTextChar">
    <w:name w:val="Plain Text Char"/>
    <w:basedOn w:val="DefaultParagraphFont"/>
    <w:link w:val="PlainText"/>
    <w:uiPriority w:val="99"/>
    <w:rsid w:val="007D288D"/>
    <w:rPr>
      <w:rFonts w:ascii="Courier" w:hAnsi="Courier"/>
      <w:sz w:val="21"/>
      <w:szCs w:val="21"/>
    </w:rPr>
  </w:style>
  <w:style w:type="paragraph" w:styleId="Revision">
    <w:name w:val="Revision"/>
    <w:hidden/>
    <w:uiPriority w:val="99"/>
    <w:semiHidden/>
    <w:rsid w:val="00575F02"/>
    <w:rPr>
      <w:rFonts w:ascii="Times New Roman" w:eastAsia="Times New Roman" w:hAnsi="Times New Roman" w:cs="Times New Roman"/>
    </w:rPr>
  </w:style>
  <w:style w:type="paragraph" w:styleId="ListParagraph">
    <w:name w:val="List Paragraph"/>
    <w:basedOn w:val="Normal"/>
    <w:uiPriority w:val="34"/>
    <w:qFormat/>
    <w:rsid w:val="008060EF"/>
    <w:pPr>
      <w:ind w:left="720"/>
      <w:contextualSpacing/>
    </w:pPr>
  </w:style>
  <w:style w:type="paragraph" w:styleId="Caption">
    <w:name w:val="caption"/>
    <w:basedOn w:val="Normal"/>
    <w:next w:val="Normal"/>
    <w:uiPriority w:val="35"/>
    <w:unhideWhenUsed/>
    <w:qFormat/>
    <w:rsid w:val="001F4C0D"/>
    <w:pPr>
      <w:spacing w:after="200"/>
    </w:pPr>
    <w:rPr>
      <w:rFonts w:asciiTheme="minorHAnsi" w:eastAsiaTheme="minorHAnsi" w:hAnsiTheme="minorHAnsi" w:cstheme="minorBidi"/>
      <w:i/>
      <w:iCs/>
      <w:color w:val="44546A" w:themeColor="text2"/>
      <w:sz w:val="18"/>
      <w:szCs w:val="18"/>
    </w:rPr>
  </w:style>
  <w:style w:type="character" w:styleId="Hyperlink">
    <w:name w:val="Hyperlink"/>
    <w:basedOn w:val="DefaultParagraphFont"/>
    <w:uiPriority w:val="99"/>
    <w:unhideWhenUsed/>
    <w:rsid w:val="00CE6745"/>
    <w:rPr>
      <w:color w:val="0563C1" w:themeColor="hyperlink"/>
      <w:u w:val="single"/>
    </w:rPr>
  </w:style>
  <w:style w:type="character" w:styleId="UnresolvedMention">
    <w:name w:val="Unresolved Mention"/>
    <w:basedOn w:val="DefaultParagraphFont"/>
    <w:uiPriority w:val="99"/>
    <w:semiHidden/>
    <w:unhideWhenUsed/>
    <w:rsid w:val="00CE6745"/>
    <w:rPr>
      <w:color w:val="605E5C"/>
      <w:shd w:val="clear" w:color="auto" w:fill="E1DFDD"/>
    </w:rPr>
  </w:style>
  <w:style w:type="character" w:customStyle="1" w:styleId="source">
    <w:name w:val="source"/>
    <w:basedOn w:val="DefaultParagraphFont"/>
    <w:rsid w:val="00C70171"/>
  </w:style>
  <w:style w:type="character" w:customStyle="1" w:styleId="vol">
    <w:name w:val="vol"/>
    <w:basedOn w:val="DefaultParagraphFont"/>
    <w:rsid w:val="00C70171"/>
  </w:style>
  <w:style w:type="paragraph" w:styleId="Title">
    <w:name w:val="Title"/>
    <w:basedOn w:val="Normal"/>
    <w:next w:val="Normal"/>
    <w:link w:val="TitleChar"/>
    <w:uiPriority w:val="10"/>
    <w:qFormat/>
    <w:rsid w:val="00E24CCE"/>
    <w:pPr>
      <w:spacing w:line="480" w:lineRule="auto"/>
      <w:contextualSpacing/>
      <w:jc w:val="center"/>
    </w:pPr>
    <w:rPr>
      <w:rFonts w:eastAsiaTheme="majorEastAsia" w:cstheme="majorBidi"/>
      <w:spacing w:val="-10"/>
      <w:kern w:val="28"/>
      <w:szCs w:val="56"/>
    </w:rPr>
  </w:style>
  <w:style w:type="character" w:customStyle="1" w:styleId="TitleChar">
    <w:name w:val="Title Char"/>
    <w:basedOn w:val="DefaultParagraphFont"/>
    <w:link w:val="Title"/>
    <w:uiPriority w:val="10"/>
    <w:rsid w:val="00E24CCE"/>
    <w:rPr>
      <w:rFonts w:ascii="Times New Roman" w:eastAsiaTheme="majorEastAsia" w:hAnsi="Times New Roman" w:cstheme="majorBidi"/>
      <w:spacing w:val="-10"/>
      <w:kern w:val="28"/>
      <w:szCs w:val="56"/>
    </w:rPr>
  </w:style>
  <w:style w:type="character" w:customStyle="1" w:styleId="Heading1Char">
    <w:name w:val="Heading 1 Char"/>
    <w:basedOn w:val="DefaultParagraphFont"/>
    <w:link w:val="Heading1"/>
    <w:uiPriority w:val="9"/>
    <w:rsid w:val="00E24CCE"/>
    <w:rPr>
      <w:rFonts w:ascii="Times New Roman" w:eastAsiaTheme="majorEastAsia" w:hAnsi="Times New Roman" w:cstheme="majorBidi"/>
      <w:b/>
      <w:szCs w:val="32"/>
    </w:rPr>
  </w:style>
  <w:style w:type="character" w:customStyle="1" w:styleId="Heading2Char">
    <w:name w:val="Heading 2 Char"/>
    <w:basedOn w:val="DefaultParagraphFont"/>
    <w:link w:val="Heading2"/>
    <w:uiPriority w:val="9"/>
    <w:rsid w:val="00E24CCE"/>
    <w:rPr>
      <w:rFonts w:ascii="Times New Roman" w:eastAsiaTheme="majorEastAsia" w:hAnsi="Times New Roman"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8247">
      <w:bodyDiv w:val="1"/>
      <w:marLeft w:val="0"/>
      <w:marRight w:val="0"/>
      <w:marTop w:val="0"/>
      <w:marBottom w:val="0"/>
      <w:divBdr>
        <w:top w:val="none" w:sz="0" w:space="0" w:color="auto"/>
        <w:left w:val="none" w:sz="0" w:space="0" w:color="auto"/>
        <w:bottom w:val="none" w:sz="0" w:space="0" w:color="auto"/>
        <w:right w:val="none" w:sz="0" w:space="0" w:color="auto"/>
      </w:divBdr>
    </w:div>
    <w:div w:id="158276791">
      <w:bodyDiv w:val="1"/>
      <w:marLeft w:val="0"/>
      <w:marRight w:val="0"/>
      <w:marTop w:val="0"/>
      <w:marBottom w:val="0"/>
      <w:divBdr>
        <w:top w:val="none" w:sz="0" w:space="0" w:color="auto"/>
        <w:left w:val="none" w:sz="0" w:space="0" w:color="auto"/>
        <w:bottom w:val="none" w:sz="0" w:space="0" w:color="auto"/>
        <w:right w:val="none" w:sz="0" w:space="0" w:color="auto"/>
      </w:divBdr>
    </w:div>
    <w:div w:id="240142946">
      <w:bodyDiv w:val="1"/>
      <w:marLeft w:val="0"/>
      <w:marRight w:val="0"/>
      <w:marTop w:val="0"/>
      <w:marBottom w:val="0"/>
      <w:divBdr>
        <w:top w:val="none" w:sz="0" w:space="0" w:color="auto"/>
        <w:left w:val="none" w:sz="0" w:space="0" w:color="auto"/>
        <w:bottom w:val="none" w:sz="0" w:space="0" w:color="auto"/>
        <w:right w:val="none" w:sz="0" w:space="0" w:color="auto"/>
      </w:divBdr>
    </w:div>
    <w:div w:id="300891408">
      <w:bodyDiv w:val="1"/>
      <w:marLeft w:val="0"/>
      <w:marRight w:val="0"/>
      <w:marTop w:val="0"/>
      <w:marBottom w:val="0"/>
      <w:divBdr>
        <w:top w:val="none" w:sz="0" w:space="0" w:color="auto"/>
        <w:left w:val="none" w:sz="0" w:space="0" w:color="auto"/>
        <w:bottom w:val="none" w:sz="0" w:space="0" w:color="auto"/>
        <w:right w:val="none" w:sz="0" w:space="0" w:color="auto"/>
      </w:divBdr>
      <w:divsChild>
        <w:div w:id="351225338">
          <w:marLeft w:val="0"/>
          <w:marRight w:val="0"/>
          <w:marTop w:val="0"/>
          <w:marBottom w:val="0"/>
          <w:divBdr>
            <w:top w:val="none" w:sz="0" w:space="0" w:color="auto"/>
            <w:left w:val="none" w:sz="0" w:space="0" w:color="auto"/>
            <w:bottom w:val="none" w:sz="0" w:space="0" w:color="auto"/>
            <w:right w:val="none" w:sz="0" w:space="0" w:color="auto"/>
          </w:divBdr>
          <w:divsChild>
            <w:div w:id="1377505572">
              <w:marLeft w:val="0"/>
              <w:marRight w:val="0"/>
              <w:marTop w:val="0"/>
              <w:marBottom w:val="0"/>
              <w:divBdr>
                <w:top w:val="none" w:sz="0" w:space="0" w:color="auto"/>
                <w:left w:val="none" w:sz="0" w:space="0" w:color="auto"/>
                <w:bottom w:val="none" w:sz="0" w:space="0" w:color="auto"/>
                <w:right w:val="none" w:sz="0" w:space="0" w:color="auto"/>
              </w:divBdr>
              <w:divsChild>
                <w:div w:id="132628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800871">
      <w:bodyDiv w:val="1"/>
      <w:marLeft w:val="0"/>
      <w:marRight w:val="0"/>
      <w:marTop w:val="0"/>
      <w:marBottom w:val="0"/>
      <w:divBdr>
        <w:top w:val="none" w:sz="0" w:space="0" w:color="auto"/>
        <w:left w:val="none" w:sz="0" w:space="0" w:color="auto"/>
        <w:bottom w:val="none" w:sz="0" w:space="0" w:color="auto"/>
        <w:right w:val="none" w:sz="0" w:space="0" w:color="auto"/>
      </w:divBdr>
    </w:div>
    <w:div w:id="383338752">
      <w:bodyDiv w:val="1"/>
      <w:marLeft w:val="0"/>
      <w:marRight w:val="0"/>
      <w:marTop w:val="0"/>
      <w:marBottom w:val="0"/>
      <w:divBdr>
        <w:top w:val="none" w:sz="0" w:space="0" w:color="auto"/>
        <w:left w:val="none" w:sz="0" w:space="0" w:color="auto"/>
        <w:bottom w:val="none" w:sz="0" w:space="0" w:color="auto"/>
        <w:right w:val="none" w:sz="0" w:space="0" w:color="auto"/>
      </w:divBdr>
      <w:divsChild>
        <w:div w:id="24642474">
          <w:marLeft w:val="0"/>
          <w:marRight w:val="0"/>
          <w:marTop w:val="0"/>
          <w:marBottom w:val="0"/>
          <w:divBdr>
            <w:top w:val="none" w:sz="0" w:space="0" w:color="auto"/>
            <w:left w:val="none" w:sz="0" w:space="0" w:color="auto"/>
            <w:bottom w:val="none" w:sz="0" w:space="0" w:color="auto"/>
            <w:right w:val="none" w:sz="0" w:space="0" w:color="auto"/>
          </w:divBdr>
          <w:divsChild>
            <w:div w:id="364912635">
              <w:marLeft w:val="0"/>
              <w:marRight w:val="0"/>
              <w:marTop w:val="0"/>
              <w:marBottom w:val="0"/>
              <w:divBdr>
                <w:top w:val="none" w:sz="0" w:space="0" w:color="auto"/>
                <w:left w:val="none" w:sz="0" w:space="0" w:color="auto"/>
                <w:bottom w:val="none" w:sz="0" w:space="0" w:color="auto"/>
                <w:right w:val="none" w:sz="0" w:space="0" w:color="auto"/>
              </w:divBdr>
              <w:divsChild>
                <w:div w:id="209632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320083">
      <w:bodyDiv w:val="1"/>
      <w:marLeft w:val="0"/>
      <w:marRight w:val="0"/>
      <w:marTop w:val="0"/>
      <w:marBottom w:val="0"/>
      <w:divBdr>
        <w:top w:val="none" w:sz="0" w:space="0" w:color="auto"/>
        <w:left w:val="none" w:sz="0" w:space="0" w:color="auto"/>
        <w:bottom w:val="none" w:sz="0" w:space="0" w:color="auto"/>
        <w:right w:val="none" w:sz="0" w:space="0" w:color="auto"/>
      </w:divBdr>
    </w:div>
    <w:div w:id="506945332">
      <w:bodyDiv w:val="1"/>
      <w:marLeft w:val="0"/>
      <w:marRight w:val="0"/>
      <w:marTop w:val="0"/>
      <w:marBottom w:val="0"/>
      <w:divBdr>
        <w:top w:val="none" w:sz="0" w:space="0" w:color="auto"/>
        <w:left w:val="none" w:sz="0" w:space="0" w:color="auto"/>
        <w:bottom w:val="none" w:sz="0" w:space="0" w:color="auto"/>
        <w:right w:val="none" w:sz="0" w:space="0" w:color="auto"/>
      </w:divBdr>
    </w:div>
    <w:div w:id="515385331">
      <w:bodyDiv w:val="1"/>
      <w:marLeft w:val="0"/>
      <w:marRight w:val="0"/>
      <w:marTop w:val="0"/>
      <w:marBottom w:val="0"/>
      <w:divBdr>
        <w:top w:val="none" w:sz="0" w:space="0" w:color="auto"/>
        <w:left w:val="none" w:sz="0" w:space="0" w:color="auto"/>
        <w:bottom w:val="none" w:sz="0" w:space="0" w:color="auto"/>
        <w:right w:val="none" w:sz="0" w:space="0" w:color="auto"/>
      </w:divBdr>
    </w:div>
    <w:div w:id="541093153">
      <w:bodyDiv w:val="1"/>
      <w:marLeft w:val="0"/>
      <w:marRight w:val="0"/>
      <w:marTop w:val="0"/>
      <w:marBottom w:val="0"/>
      <w:divBdr>
        <w:top w:val="none" w:sz="0" w:space="0" w:color="auto"/>
        <w:left w:val="none" w:sz="0" w:space="0" w:color="auto"/>
        <w:bottom w:val="none" w:sz="0" w:space="0" w:color="auto"/>
        <w:right w:val="none" w:sz="0" w:space="0" w:color="auto"/>
      </w:divBdr>
    </w:div>
    <w:div w:id="580453291">
      <w:bodyDiv w:val="1"/>
      <w:marLeft w:val="0"/>
      <w:marRight w:val="0"/>
      <w:marTop w:val="0"/>
      <w:marBottom w:val="0"/>
      <w:divBdr>
        <w:top w:val="none" w:sz="0" w:space="0" w:color="auto"/>
        <w:left w:val="none" w:sz="0" w:space="0" w:color="auto"/>
        <w:bottom w:val="none" w:sz="0" w:space="0" w:color="auto"/>
        <w:right w:val="none" w:sz="0" w:space="0" w:color="auto"/>
      </w:divBdr>
    </w:div>
    <w:div w:id="601300206">
      <w:bodyDiv w:val="1"/>
      <w:marLeft w:val="0"/>
      <w:marRight w:val="0"/>
      <w:marTop w:val="0"/>
      <w:marBottom w:val="0"/>
      <w:divBdr>
        <w:top w:val="none" w:sz="0" w:space="0" w:color="auto"/>
        <w:left w:val="none" w:sz="0" w:space="0" w:color="auto"/>
        <w:bottom w:val="none" w:sz="0" w:space="0" w:color="auto"/>
        <w:right w:val="none" w:sz="0" w:space="0" w:color="auto"/>
      </w:divBdr>
      <w:divsChild>
        <w:div w:id="1293293327">
          <w:marLeft w:val="0"/>
          <w:marRight w:val="0"/>
          <w:marTop w:val="0"/>
          <w:marBottom w:val="0"/>
          <w:divBdr>
            <w:top w:val="none" w:sz="0" w:space="0" w:color="auto"/>
            <w:left w:val="none" w:sz="0" w:space="0" w:color="auto"/>
            <w:bottom w:val="none" w:sz="0" w:space="0" w:color="auto"/>
            <w:right w:val="none" w:sz="0" w:space="0" w:color="auto"/>
          </w:divBdr>
          <w:divsChild>
            <w:div w:id="1233661660">
              <w:marLeft w:val="0"/>
              <w:marRight w:val="0"/>
              <w:marTop w:val="0"/>
              <w:marBottom w:val="0"/>
              <w:divBdr>
                <w:top w:val="none" w:sz="0" w:space="0" w:color="auto"/>
                <w:left w:val="none" w:sz="0" w:space="0" w:color="auto"/>
                <w:bottom w:val="none" w:sz="0" w:space="0" w:color="auto"/>
                <w:right w:val="none" w:sz="0" w:space="0" w:color="auto"/>
              </w:divBdr>
              <w:divsChild>
                <w:div w:id="58446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29724">
      <w:bodyDiv w:val="1"/>
      <w:marLeft w:val="0"/>
      <w:marRight w:val="0"/>
      <w:marTop w:val="0"/>
      <w:marBottom w:val="0"/>
      <w:divBdr>
        <w:top w:val="none" w:sz="0" w:space="0" w:color="auto"/>
        <w:left w:val="none" w:sz="0" w:space="0" w:color="auto"/>
        <w:bottom w:val="none" w:sz="0" w:space="0" w:color="auto"/>
        <w:right w:val="none" w:sz="0" w:space="0" w:color="auto"/>
      </w:divBdr>
    </w:div>
    <w:div w:id="658848924">
      <w:bodyDiv w:val="1"/>
      <w:marLeft w:val="0"/>
      <w:marRight w:val="0"/>
      <w:marTop w:val="0"/>
      <w:marBottom w:val="0"/>
      <w:divBdr>
        <w:top w:val="none" w:sz="0" w:space="0" w:color="auto"/>
        <w:left w:val="none" w:sz="0" w:space="0" w:color="auto"/>
        <w:bottom w:val="none" w:sz="0" w:space="0" w:color="auto"/>
        <w:right w:val="none" w:sz="0" w:space="0" w:color="auto"/>
      </w:divBdr>
      <w:divsChild>
        <w:div w:id="1863124799">
          <w:marLeft w:val="0"/>
          <w:marRight w:val="0"/>
          <w:marTop w:val="0"/>
          <w:marBottom w:val="0"/>
          <w:divBdr>
            <w:top w:val="none" w:sz="0" w:space="0" w:color="auto"/>
            <w:left w:val="none" w:sz="0" w:space="0" w:color="auto"/>
            <w:bottom w:val="none" w:sz="0" w:space="0" w:color="auto"/>
            <w:right w:val="none" w:sz="0" w:space="0" w:color="auto"/>
          </w:divBdr>
        </w:div>
        <w:div w:id="2037853357">
          <w:marLeft w:val="0"/>
          <w:marRight w:val="0"/>
          <w:marTop w:val="0"/>
          <w:marBottom w:val="0"/>
          <w:divBdr>
            <w:top w:val="none" w:sz="0" w:space="0" w:color="auto"/>
            <w:left w:val="none" w:sz="0" w:space="0" w:color="auto"/>
            <w:bottom w:val="none" w:sz="0" w:space="0" w:color="auto"/>
            <w:right w:val="none" w:sz="0" w:space="0" w:color="auto"/>
          </w:divBdr>
        </w:div>
        <w:div w:id="2074769224">
          <w:marLeft w:val="0"/>
          <w:marRight w:val="0"/>
          <w:marTop w:val="0"/>
          <w:marBottom w:val="0"/>
          <w:divBdr>
            <w:top w:val="none" w:sz="0" w:space="0" w:color="auto"/>
            <w:left w:val="none" w:sz="0" w:space="0" w:color="auto"/>
            <w:bottom w:val="none" w:sz="0" w:space="0" w:color="auto"/>
            <w:right w:val="none" w:sz="0" w:space="0" w:color="auto"/>
          </w:divBdr>
        </w:div>
        <w:div w:id="665940283">
          <w:marLeft w:val="0"/>
          <w:marRight w:val="0"/>
          <w:marTop w:val="0"/>
          <w:marBottom w:val="0"/>
          <w:divBdr>
            <w:top w:val="none" w:sz="0" w:space="0" w:color="auto"/>
            <w:left w:val="none" w:sz="0" w:space="0" w:color="auto"/>
            <w:bottom w:val="none" w:sz="0" w:space="0" w:color="auto"/>
            <w:right w:val="none" w:sz="0" w:space="0" w:color="auto"/>
          </w:divBdr>
        </w:div>
        <w:div w:id="2104640256">
          <w:marLeft w:val="0"/>
          <w:marRight w:val="0"/>
          <w:marTop w:val="0"/>
          <w:marBottom w:val="0"/>
          <w:divBdr>
            <w:top w:val="none" w:sz="0" w:space="0" w:color="auto"/>
            <w:left w:val="none" w:sz="0" w:space="0" w:color="auto"/>
            <w:bottom w:val="none" w:sz="0" w:space="0" w:color="auto"/>
            <w:right w:val="none" w:sz="0" w:space="0" w:color="auto"/>
          </w:divBdr>
        </w:div>
        <w:div w:id="1809976622">
          <w:marLeft w:val="0"/>
          <w:marRight w:val="0"/>
          <w:marTop w:val="0"/>
          <w:marBottom w:val="0"/>
          <w:divBdr>
            <w:top w:val="none" w:sz="0" w:space="0" w:color="auto"/>
            <w:left w:val="none" w:sz="0" w:space="0" w:color="auto"/>
            <w:bottom w:val="none" w:sz="0" w:space="0" w:color="auto"/>
            <w:right w:val="none" w:sz="0" w:space="0" w:color="auto"/>
          </w:divBdr>
        </w:div>
        <w:div w:id="999699336">
          <w:marLeft w:val="0"/>
          <w:marRight w:val="0"/>
          <w:marTop w:val="0"/>
          <w:marBottom w:val="0"/>
          <w:divBdr>
            <w:top w:val="none" w:sz="0" w:space="0" w:color="auto"/>
            <w:left w:val="none" w:sz="0" w:space="0" w:color="auto"/>
            <w:bottom w:val="none" w:sz="0" w:space="0" w:color="auto"/>
            <w:right w:val="none" w:sz="0" w:space="0" w:color="auto"/>
          </w:divBdr>
        </w:div>
        <w:div w:id="1950769125">
          <w:marLeft w:val="0"/>
          <w:marRight w:val="0"/>
          <w:marTop w:val="0"/>
          <w:marBottom w:val="0"/>
          <w:divBdr>
            <w:top w:val="none" w:sz="0" w:space="0" w:color="auto"/>
            <w:left w:val="none" w:sz="0" w:space="0" w:color="auto"/>
            <w:bottom w:val="none" w:sz="0" w:space="0" w:color="auto"/>
            <w:right w:val="none" w:sz="0" w:space="0" w:color="auto"/>
          </w:divBdr>
        </w:div>
        <w:div w:id="177894113">
          <w:marLeft w:val="0"/>
          <w:marRight w:val="0"/>
          <w:marTop w:val="0"/>
          <w:marBottom w:val="0"/>
          <w:divBdr>
            <w:top w:val="none" w:sz="0" w:space="0" w:color="auto"/>
            <w:left w:val="none" w:sz="0" w:space="0" w:color="auto"/>
            <w:bottom w:val="none" w:sz="0" w:space="0" w:color="auto"/>
            <w:right w:val="none" w:sz="0" w:space="0" w:color="auto"/>
          </w:divBdr>
        </w:div>
        <w:div w:id="1481385303">
          <w:marLeft w:val="0"/>
          <w:marRight w:val="0"/>
          <w:marTop w:val="0"/>
          <w:marBottom w:val="0"/>
          <w:divBdr>
            <w:top w:val="none" w:sz="0" w:space="0" w:color="auto"/>
            <w:left w:val="none" w:sz="0" w:space="0" w:color="auto"/>
            <w:bottom w:val="none" w:sz="0" w:space="0" w:color="auto"/>
            <w:right w:val="none" w:sz="0" w:space="0" w:color="auto"/>
          </w:divBdr>
        </w:div>
        <w:div w:id="2062829401">
          <w:marLeft w:val="0"/>
          <w:marRight w:val="0"/>
          <w:marTop w:val="0"/>
          <w:marBottom w:val="0"/>
          <w:divBdr>
            <w:top w:val="none" w:sz="0" w:space="0" w:color="auto"/>
            <w:left w:val="none" w:sz="0" w:space="0" w:color="auto"/>
            <w:bottom w:val="none" w:sz="0" w:space="0" w:color="auto"/>
            <w:right w:val="none" w:sz="0" w:space="0" w:color="auto"/>
          </w:divBdr>
        </w:div>
        <w:div w:id="741484388">
          <w:marLeft w:val="0"/>
          <w:marRight w:val="0"/>
          <w:marTop w:val="0"/>
          <w:marBottom w:val="0"/>
          <w:divBdr>
            <w:top w:val="none" w:sz="0" w:space="0" w:color="auto"/>
            <w:left w:val="none" w:sz="0" w:space="0" w:color="auto"/>
            <w:bottom w:val="none" w:sz="0" w:space="0" w:color="auto"/>
            <w:right w:val="none" w:sz="0" w:space="0" w:color="auto"/>
          </w:divBdr>
        </w:div>
        <w:div w:id="675881271">
          <w:marLeft w:val="0"/>
          <w:marRight w:val="0"/>
          <w:marTop w:val="0"/>
          <w:marBottom w:val="0"/>
          <w:divBdr>
            <w:top w:val="none" w:sz="0" w:space="0" w:color="auto"/>
            <w:left w:val="none" w:sz="0" w:space="0" w:color="auto"/>
            <w:bottom w:val="none" w:sz="0" w:space="0" w:color="auto"/>
            <w:right w:val="none" w:sz="0" w:space="0" w:color="auto"/>
          </w:divBdr>
        </w:div>
        <w:div w:id="1055739988">
          <w:marLeft w:val="0"/>
          <w:marRight w:val="0"/>
          <w:marTop w:val="0"/>
          <w:marBottom w:val="0"/>
          <w:divBdr>
            <w:top w:val="none" w:sz="0" w:space="0" w:color="auto"/>
            <w:left w:val="none" w:sz="0" w:space="0" w:color="auto"/>
            <w:bottom w:val="none" w:sz="0" w:space="0" w:color="auto"/>
            <w:right w:val="none" w:sz="0" w:space="0" w:color="auto"/>
          </w:divBdr>
        </w:div>
        <w:div w:id="1378311531">
          <w:marLeft w:val="0"/>
          <w:marRight w:val="0"/>
          <w:marTop w:val="0"/>
          <w:marBottom w:val="0"/>
          <w:divBdr>
            <w:top w:val="none" w:sz="0" w:space="0" w:color="auto"/>
            <w:left w:val="none" w:sz="0" w:space="0" w:color="auto"/>
            <w:bottom w:val="none" w:sz="0" w:space="0" w:color="auto"/>
            <w:right w:val="none" w:sz="0" w:space="0" w:color="auto"/>
          </w:divBdr>
        </w:div>
        <w:div w:id="1723170316">
          <w:marLeft w:val="0"/>
          <w:marRight w:val="0"/>
          <w:marTop w:val="0"/>
          <w:marBottom w:val="0"/>
          <w:divBdr>
            <w:top w:val="none" w:sz="0" w:space="0" w:color="auto"/>
            <w:left w:val="none" w:sz="0" w:space="0" w:color="auto"/>
            <w:bottom w:val="none" w:sz="0" w:space="0" w:color="auto"/>
            <w:right w:val="none" w:sz="0" w:space="0" w:color="auto"/>
          </w:divBdr>
        </w:div>
        <w:div w:id="939482566">
          <w:marLeft w:val="0"/>
          <w:marRight w:val="0"/>
          <w:marTop w:val="0"/>
          <w:marBottom w:val="0"/>
          <w:divBdr>
            <w:top w:val="none" w:sz="0" w:space="0" w:color="auto"/>
            <w:left w:val="none" w:sz="0" w:space="0" w:color="auto"/>
            <w:bottom w:val="none" w:sz="0" w:space="0" w:color="auto"/>
            <w:right w:val="none" w:sz="0" w:space="0" w:color="auto"/>
          </w:divBdr>
        </w:div>
        <w:div w:id="362756664">
          <w:marLeft w:val="0"/>
          <w:marRight w:val="0"/>
          <w:marTop w:val="0"/>
          <w:marBottom w:val="0"/>
          <w:divBdr>
            <w:top w:val="none" w:sz="0" w:space="0" w:color="auto"/>
            <w:left w:val="none" w:sz="0" w:space="0" w:color="auto"/>
            <w:bottom w:val="none" w:sz="0" w:space="0" w:color="auto"/>
            <w:right w:val="none" w:sz="0" w:space="0" w:color="auto"/>
          </w:divBdr>
        </w:div>
        <w:div w:id="448013492">
          <w:marLeft w:val="0"/>
          <w:marRight w:val="0"/>
          <w:marTop w:val="0"/>
          <w:marBottom w:val="0"/>
          <w:divBdr>
            <w:top w:val="none" w:sz="0" w:space="0" w:color="auto"/>
            <w:left w:val="none" w:sz="0" w:space="0" w:color="auto"/>
            <w:bottom w:val="none" w:sz="0" w:space="0" w:color="auto"/>
            <w:right w:val="none" w:sz="0" w:space="0" w:color="auto"/>
          </w:divBdr>
        </w:div>
        <w:div w:id="568804407">
          <w:marLeft w:val="0"/>
          <w:marRight w:val="0"/>
          <w:marTop w:val="0"/>
          <w:marBottom w:val="0"/>
          <w:divBdr>
            <w:top w:val="none" w:sz="0" w:space="0" w:color="auto"/>
            <w:left w:val="none" w:sz="0" w:space="0" w:color="auto"/>
            <w:bottom w:val="none" w:sz="0" w:space="0" w:color="auto"/>
            <w:right w:val="none" w:sz="0" w:space="0" w:color="auto"/>
          </w:divBdr>
        </w:div>
        <w:div w:id="1789136">
          <w:marLeft w:val="0"/>
          <w:marRight w:val="0"/>
          <w:marTop w:val="0"/>
          <w:marBottom w:val="0"/>
          <w:divBdr>
            <w:top w:val="none" w:sz="0" w:space="0" w:color="auto"/>
            <w:left w:val="none" w:sz="0" w:space="0" w:color="auto"/>
            <w:bottom w:val="none" w:sz="0" w:space="0" w:color="auto"/>
            <w:right w:val="none" w:sz="0" w:space="0" w:color="auto"/>
          </w:divBdr>
        </w:div>
        <w:div w:id="1878855972">
          <w:marLeft w:val="0"/>
          <w:marRight w:val="0"/>
          <w:marTop w:val="0"/>
          <w:marBottom w:val="0"/>
          <w:divBdr>
            <w:top w:val="none" w:sz="0" w:space="0" w:color="auto"/>
            <w:left w:val="none" w:sz="0" w:space="0" w:color="auto"/>
            <w:bottom w:val="none" w:sz="0" w:space="0" w:color="auto"/>
            <w:right w:val="none" w:sz="0" w:space="0" w:color="auto"/>
          </w:divBdr>
        </w:div>
        <w:div w:id="218832384">
          <w:marLeft w:val="0"/>
          <w:marRight w:val="0"/>
          <w:marTop w:val="0"/>
          <w:marBottom w:val="0"/>
          <w:divBdr>
            <w:top w:val="none" w:sz="0" w:space="0" w:color="auto"/>
            <w:left w:val="none" w:sz="0" w:space="0" w:color="auto"/>
            <w:bottom w:val="none" w:sz="0" w:space="0" w:color="auto"/>
            <w:right w:val="none" w:sz="0" w:space="0" w:color="auto"/>
          </w:divBdr>
        </w:div>
        <w:div w:id="2049790267">
          <w:marLeft w:val="0"/>
          <w:marRight w:val="0"/>
          <w:marTop w:val="0"/>
          <w:marBottom w:val="0"/>
          <w:divBdr>
            <w:top w:val="none" w:sz="0" w:space="0" w:color="auto"/>
            <w:left w:val="none" w:sz="0" w:space="0" w:color="auto"/>
            <w:bottom w:val="none" w:sz="0" w:space="0" w:color="auto"/>
            <w:right w:val="none" w:sz="0" w:space="0" w:color="auto"/>
          </w:divBdr>
        </w:div>
        <w:div w:id="1545602917">
          <w:marLeft w:val="0"/>
          <w:marRight w:val="0"/>
          <w:marTop w:val="0"/>
          <w:marBottom w:val="0"/>
          <w:divBdr>
            <w:top w:val="none" w:sz="0" w:space="0" w:color="auto"/>
            <w:left w:val="none" w:sz="0" w:space="0" w:color="auto"/>
            <w:bottom w:val="none" w:sz="0" w:space="0" w:color="auto"/>
            <w:right w:val="none" w:sz="0" w:space="0" w:color="auto"/>
          </w:divBdr>
        </w:div>
        <w:div w:id="961035457">
          <w:marLeft w:val="0"/>
          <w:marRight w:val="0"/>
          <w:marTop w:val="0"/>
          <w:marBottom w:val="0"/>
          <w:divBdr>
            <w:top w:val="none" w:sz="0" w:space="0" w:color="auto"/>
            <w:left w:val="none" w:sz="0" w:space="0" w:color="auto"/>
            <w:bottom w:val="none" w:sz="0" w:space="0" w:color="auto"/>
            <w:right w:val="none" w:sz="0" w:space="0" w:color="auto"/>
          </w:divBdr>
        </w:div>
        <w:div w:id="1587029465">
          <w:marLeft w:val="0"/>
          <w:marRight w:val="0"/>
          <w:marTop w:val="0"/>
          <w:marBottom w:val="0"/>
          <w:divBdr>
            <w:top w:val="none" w:sz="0" w:space="0" w:color="auto"/>
            <w:left w:val="none" w:sz="0" w:space="0" w:color="auto"/>
            <w:bottom w:val="none" w:sz="0" w:space="0" w:color="auto"/>
            <w:right w:val="none" w:sz="0" w:space="0" w:color="auto"/>
          </w:divBdr>
        </w:div>
        <w:div w:id="2121679600">
          <w:marLeft w:val="0"/>
          <w:marRight w:val="0"/>
          <w:marTop w:val="0"/>
          <w:marBottom w:val="0"/>
          <w:divBdr>
            <w:top w:val="none" w:sz="0" w:space="0" w:color="auto"/>
            <w:left w:val="none" w:sz="0" w:space="0" w:color="auto"/>
            <w:bottom w:val="none" w:sz="0" w:space="0" w:color="auto"/>
            <w:right w:val="none" w:sz="0" w:space="0" w:color="auto"/>
          </w:divBdr>
        </w:div>
        <w:div w:id="437871785">
          <w:marLeft w:val="0"/>
          <w:marRight w:val="0"/>
          <w:marTop w:val="0"/>
          <w:marBottom w:val="0"/>
          <w:divBdr>
            <w:top w:val="none" w:sz="0" w:space="0" w:color="auto"/>
            <w:left w:val="none" w:sz="0" w:space="0" w:color="auto"/>
            <w:bottom w:val="none" w:sz="0" w:space="0" w:color="auto"/>
            <w:right w:val="none" w:sz="0" w:space="0" w:color="auto"/>
          </w:divBdr>
        </w:div>
        <w:div w:id="1550997419">
          <w:marLeft w:val="0"/>
          <w:marRight w:val="0"/>
          <w:marTop w:val="0"/>
          <w:marBottom w:val="0"/>
          <w:divBdr>
            <w:top w:val="none" w:sz="0" w:space="0" w:color="auto"/>
            <w:left w:val="none" w:sz="0" w:space="0" w:color="auto"/>
            <w:bottom w:val="none" w:sz="0" w:space="0" w:color="auto"/>
            <w:right w:val="none" w:sz="0" w:space="0" w:color="auto"/>
          </w:divBdr>
        </w:div>
        <w:div w:id="1750998772">
          <w:marLeft w:val="0"/>
          <w:marRight w:val="0"/>
          <w:marTop w:val="0"/>
          <w:marBottom w:val="0"/>
          <w:divBdr>
            <w:top w:val="none" w:sz="0" w:space="0" w:color="auto"/>
            <w:left w:val="none" w:sz="0" w:space="0" w:color="auto"/>
            <w:bottom w:val="none" w:sz="0" w:space="0" w:color="auto"/>
            <w:right w:val="none" w:sz="0" w:space="0" w:color="auto"/>
          </w:divBdr>
        </w:div>
        <w:div w:id="121848352">
          <w:marLeft w:val="0"/>
          <w:marRight w:val="0"/>
          <w:marTop w:val="0"/>
          <w:marBottom w:val="0"/>
          <w:divBdr>
            <w:top w:val="none" w:sz="0" w:space="0" w:color="auto"/>
            <w:left w:val="none" w:sz="0" w:space="0" w:color="auto"/>
            <w:bottom w:val="none" w:sz="0" w:space="0" w:color="auto"/>
            <w:right w:val="none" w:sz="0" w:space="0" w:color="auto"/>
          </w:divBdr>
        </w:div>
        <w:div w:id="1925918782">
          <w:marLeft w:val="0"/>
          <w:marRight w:val="0"/>
          <w:marTop w:val="0"/>
          <w:marBottom w:val="0"/>
          <w:divBdr>
            <w:top w:val="none" w:sz="0" w:space="0" w:color="auto"/>
            <w:left w:val="none" w:sz="0" w:space="0" w:color="auto"/>
            <w:bottom w:val="none" w:sz="0" w:space="0" w:color="auto"/>
            <w:right w:val="none" w:sz="0" w:space="0" w:color="auto"/>
          </w:divBdr>
        </w:div>
        <w:div w:id="1173185288">
          <w:marLeft w:val="0"/>
          <w:marRight w:val="0"/>
          <w:marTop w:val="0"/>
          <w:marBottom w:val="0"/>
          <w:divBdr>
            <w:top w:val="none" w:sz="0" w:space="0" w:color="auto"/>
            <w:left w:val="none" w:sz="0" w:space="0" w:color="auto"/>
            <w:bottom w:val="none" w:sz="0" w:space="0" w:color="auto"/>
            <w:right w:val="none" w:sz="0" w:space="0" w:color="auto"/>
          </w:divBdr>
        </w:div>
        <w:div w:id="1260404334">
          <w:marLeft w:val="0"/>
          <w:marRight w:val="0"/>
          <w:marTop w:val="0"/>
          <w:marBottom w:val="0"/>
          <w:divBdr>
            <w:top w:val="none" w:sz="0" w:space="0" w:color="auto"/>
            <w:left w:val="none" w:sz="0" w:space="0" w:color="auto"/>
            <w:bottom w:val="none" w:sz="0" w:space="0" w:color="auto"/>
            <w:right w:val="none" w:sz="0" w:space="0" w:color="auto"/>
          </w:divBdr>
        </w:div>
        <w:div w:id="745766748">
          <w:marLeft w:val="0"/>
          <w:marRight w:val="0"/>
          <w:marTop w:val="0"/>
          <w:marBottom w:val="0"/>
          <w:divBdr>
            <w:top w:val="none" w:sz="0" w:space="0" w:color="auto"/>
            <w:left w:val="none" w:sz="0" w:space="0" w:color="auto"/>
            <w:bottom w:val="none" w:sz="0" w:space="0" w:color="auto"/>
            <w:right w:val="none" w:sz="0" w:space="0" w:color="auto"/>
          </w:divBdr>
        </w:div>
        <w:div w:id="431559247">
          <w:marLeft w:val="0"/>
          <w:marRight w:val="0"/>
          <w:marTop w:val="0"/>
          <w:marBottom w:val="0"/>
          <w:divBdr>
            <w:top w:val="none" w:sz="0" w:space="0" w:color="auto"/>
            <w:left w:val="none" w:sz="0" w:space="0" w:color="auto"/>
            <w:bottom w:val="none" w:sz="0" w:space="0" w:color="auto"/>
            <w:right w:val="none" w:sz="0" w:space="0" w:color="auto"/>
          </w:divBdr>
        </w:div>
        <w:div w:id="1861309237">
          <w:marLeft w:val="0"/>
          <w:marRight w:val="0"/>
          <w:marTop w:val="0"/>
          <w:marBottom w:val="0"/>
          <w:divBdr>
            <w:top w:val="none" w:sz="0" w:space="0" w:color="auto"/>
            <w:left w:val="none" w:sz="0" w:space="0" w:color="auto"/>
            <w:bottom w:val="none" w:sz="0" w:space="0" w:color="auto"/>
            <w:right w:val="none" w:sz="0" w:space="0" w:color="auto"/>
          </w:divBdr>
        </w:div>
        <w:div w:id="1105031040">
          <w:marLeft w:val="0"/>
          <w:marRight w:val="0"/>
          <w:marTop w:val="0"/>
          <w:marBottom w:val="0"/>
          <w:divBdr>
            <w:top w:val="none" w:sz="0" w:space="0" w:color="auto"/>
            <w:left w:val="none" w:sz="0" w:space="0" w:color="auto"/>
            <w:bottom w:val="none" w:sz="0" w:space="0" w:color="auto"/>
            <w:right w:val="none" w:sz="0" w:space="0" w:color="auto"/>
          </w:divBdr>
        </w:div>
        <w:div w:id="605232275">
          <w:marLeft w:val="0"/>
          <w:marRight w:val="0"/>
          <w:marTop w:val="0"/>
          <w:marBottom w:val="0"/>
          <w:divBdr>
            <w:top w:val="none" w:sz="0" w:space="0" w:color="auto"/>
            <w:left w:val="none" w:sz="0" w:space="0" w:color="auto"/>
            <w:bottom w:val="none" w:sz="0" w:space="0" w:color="auto"/>
            <w:right w:val="none" w:sz="0" w:space="0" w:color="auto"/>
          </w:divBdr>
        </w:div>
        <w:div w:id="1102803946">
          <w:marLeft w:val="0"/>
          <w:marRight w:val="0"/>
          <w:marTop w:val="0"/>
          <w:marBottom w:val="0"/>
          <w:divBdr>
            <w:top w:val="none" w:sz="0" w:space="0" w:color="auto"/>
            <w:left w:val="none" w:sz="0" w:space="0" w:color="auto"/>
            <w:bottom w:val="none" w:sz="0" w:space="0" w:color="auto"/>
            <w:right w:val="none" w:sz="0" w:space="0" w:color="auto"/>
          </w:divBdr>
        </w:div>
        <w:div w:id="2012834705">
          <w:marLeft w:val="0"/>
          <w:marRight w:val="0"/>
          <w:marTop w:val="0"/>
          <w:marBottom w:val="0"/>
          <w:divBdr>
            <w:top w:val="none" w:sz="0" w:space="0" w:color="auto"/>
            <w:left w:val="none" w:sz="0" w:space="0" w:color="auto"/>
            <w:bottom w:val="none" w:sz="0" w:space="0" w:color="auto"/>
            <w:right w:val="none" w:sz="0" w:space="0" w:color="auto"/>
          </w:divBdr>
        </w:div>
        <w:div w:id="1096484898">
          <w:marLeft w:val="0"/>
          <w:marRight w:val="0"/>
          <w:marTop w:val="0"/>
          <w:marBottom w:val="0"/>
          <w:divBdr>
            <w:top w:val="none" w:sz="0" w:space="0" w:color="auto"/>
            <w:left w:val="none" w:sz="0" w:space="0" w:color="auto"/>
            <w:bottom w:val="none" w:sz="0" w:space="0" w:color="auto"/>
            <w:right w:val="none" w:sz="0" w:space="0" w:color="auto"/>
          </w:divBdr>
        </w:div>
        <w:div w:id="424113624">
          <w:marLeft w:val="0"/>
          <w:marRight w:val="0"/>
          <w:marTop w:val="0"/>
          <w:marBottom w:val="0"/>
          <w:divBdr>
            <w:top w:val="none" w:sz="0" w:space="0" w:color="auto"/>
            <w:left w:val="none" w:sz="0" w:space="0" w:color="auto"/>
            <w:bottom w:val="none" w:sz="0" w:space="0" w:color="auto"/>
            <w:right w:val="none" w:sz="0" w:space="0" w:color="auto"/>
          </w:divBdr>
        </w:div>
        <w:div w:id="326128022">
          <w:marLeft w:val="0"/>
          <w:marRight w:val="0"/>
          <w:marTop w:val="0"/>
          <w:marBottom w:val="0"/>
          <w:divBdr>
            <w:top w:val="none" w:sz="0" w:space="0" w:color="auto"/>
            <w:left w:val="none" w:sz="0" w:space="0" w:color="auto"/>
            <w:bottom w:val="none" w:sz="0" w:space="0" w:color="auto"/>
            <w:right w:val="none" w:sz="0" w:space="0" w:color="auto"/>
          </w:divBdr>
        </w:div>
        <w:div w:id="400251439">
          <w:marLeft w:val="0"/>
          <w:marRight w:val="0"/>
          <w:marTop w:val="0"/>
          <w:marBottom w:val="0"/>
          <w:divBdr>
            <w:top w:val="none" w:sz="0" w:space="0" w:color="auto"/>
            <w:left w:val="none" w:sz="0" w:space="0" w:color="auto"/>
            <w:bottom w:val="none" w:sz="0" w:space="0" w:color="auto"/>
            <w:right w:val="none" w:sz="0" w:space="0" w:color="auto"/>
          </w:divBdr>
        </w:div>
        <w:div w:id="1395929703">
          <w:marLeft w:val="0"/>
          <w:marRight w:val="0"/>
          <w:marTop w:val="0"/>
          <w:marBottom w:val="0"/>
          <w:divBdr>
            <w:top w:val="none" w:sz="0" w:space="0" w:color="auto"/>
            <w:left w:val="none" w:sz="0" w:space="0" w:color="auto"/>
            <w:bottom w:val="none" w:sz="0" w:space="0" w:color="auto"/>
            <w:right w:val="none" w:sz="0" w:space="0" w:color="auto"/>
          </w:divBdr>
        </w:div>
        <w:div w:id="594871323">
          <w:marLeft w:val="0"/>
          <w:marRight w:val="0"/>
          <w:marTop w:val="0"/>
          <w:marBottom w:val="0"/>
          <w:divBdr>
            <w:top w:val="none" w:sz="0" w:space="0" w:color="auto"/>
            <w:left w:val="none" w:sz="0" w:space="0" w:color="auto"/>
            <w:bottom w:val="none" w:sz="0" w:space="0" w:color="auto"/>
            <w:right w:val="none" w:sz="0" w:space="0" w:color="auto"/>
          </w:divBdr>
        </w:div>
        <w:div w:id="2004775671">
          <w:marLeft w:val="0"/>
          <w:marRight w:val="0"/>
          <w:marTop w:val="0"/>
          <w:marBottom w:val="0"/>
          <w:divBdr>
            <w:top w:val="none" w:sz="0" w:space="0" w:color="auto"/>
            <w:left w:val="none" w:sz="0" w:space="0" w:color="auto"/>
            <w:bottom w:val="none" w:sz="0" w:space="0" w:color="auto"/>
            <w:right w:val="none" w:sz="0" w:space="0" w:color="auto"/>
          </w:divBdr>
        </w:div>
        <w:div w:id="461773213">
          <w:marLeft w:val="0"/>
          <w:marRight w:val="0"/>
          <w:marTop w:val="0"/>
          <w:marBottom w:val="0"/>
          <w:divBdr>
            <w:top w:val="none" w:sz="0" w:space="0" w:color="auto"/>
            <w:left w:val="none" w:sz="0" w:space="0" w:color="auto"/>
            <w:bottom w:val="none" w:sz="0" w:space="0" w:color="auto"/>
            <w:right w:val="none" w:sz="0" w:space="0" w:color="auto"/>
          </w:divBdr>
        </w:div>
        <w:div w:id="974482610">
          <w:marLeft w:val="0"/>
          <w:marRight w:val="0"/>
          <w:marTop w:val="0"/>
          <w:marBottom w:val="0"/>
          <w:divBdr>
            <w:top w:val="none" w:sz="0" w:space="0" w:color="auto"/>
            <w:left w:val="none" w:sz="0" w:space="0" w:color="auto"/>
            <w:bottom w:val="none" w:sz="0" w:space="0" w:color="auto"/>
            <w:right w:val="none" w:sz="0" w:space="0" w:color="auto"/>
          </w:divBdr>
        </w:div>
        <w:div w:id="531455273">
          <w:marLeft w:val="0"/>
          <w:marRight w:val="0"/>
          <w:marTop w:val="0"/>
          <w:marBottom w:val="0"/>
          <w:divBdr>
            <w:top w:val="none" w:sz="0" w:space="0" w:color="auto"/>
            <w:left w:val="none" w:sz="0" w:space="0" w:color="auto"/>
            <w:bottom w:val="none" w:sz="0" w:space="0" w:color="auto"/>
            <w:right w:val="none" w:sz="0" w:space="0" w:color="auto"/>
          </w:divBdr>
        </w:div>
        <w:div w:id="144784004">
          <w:marLeft w:val="0"/>
          <w:marRight w:val="0"/>
          <w:marTop w:val="0"/>
          <w:marBottom w:val="0"/>
          <w:divBdr>
            <w:top w:val="none" w:sz="0" w:space="0" w:color="auto"/>
            <w:left w:val="none" w:sz="0" w:space="0" w:color="auto"/>
            <w:bottom w:val="none" w:sz="0" w:space="0" w:color="auto"/>
            <w:right w:val="none" w:sz="0" w:space="0" w:color="auto"/>
          </w:divBdr>
        </w:div>
        <w:div w:id="1969235682">
          <w:marLeft w:val="0"/>
          <w:marRight w:val="0"/>
          <w:marTop w:val="0"/>
          <w:marBottom w:val="0"/>
          <w:divBdr>
            <w:top w:val="none" w:sz="0" w:space="0" w:color="auto"/>
            <w:left w:val="none" w:sz="0" w:space="0" w:color="auto"/>
            <w:bottom w:val="none" w:sz="0" w:space="0" w:color="auto"/>
            <w:right w:val="none" w:sz="0" w:space="0" w:color="auto"/>
          </w:divBdr>
        </w:div>
        <w:div w:id="1335650631">
          <w:marLeft w:val="0"/>
          <w:marRight w:val="0"/>
          <w:marTop w:val="0"/>
          <w:marBottom w:val="0"/>
          <w:divBdr>
            <w:top w:val="none" w:sz="0" w:space="0" w:color="auto"/>
            <w:left w:val="none" w:sz="0" w:space="0" w:color="auto"/>
            <w:bottom w:val="none" w:sz="0" w:space="0" w:color="auto"/>
            <w:right w:val="none" w:sz="0" w:space="0" w:color="auto"/>
          </w:divBdr>
        </w:div>
        <w:div w:id="1802842512">
          <w:marLeft w:val="0"/>
          <w:marRight w:val="0"/>
          <w:marTop w:val="0"/>
          <w:marBottom w:val="0"/>
          <w:divBdr>
            <w:top w:val="none" w:sz="0" w:space="0" w:color="auto"/>
            <w:left w:val="none" w:sz="0" w:space="0" w:color="auto"/>
            <w:bottom w:val="none" w:sz="0" w:space="0" w:color="auto"/>
            <w:right w:val="none" w:sz="0" w:space="0" w:color="auto"/>
          </w:divBdr>
        </w:div>
        <w:div w:id="121121750">
          <w:marLeft w:val="0"/>
          <w:marRight w:val="0"/>
          <w:marTop w:val="0"/>
          <w:marBottom w:val="0"/>
          <w:divBdr>
            <w:top w:val="none" w:sz="0" w:space="0" w:color="auto"/>
            <w:left w:val="none" w:sz="0" w:space="0" w:color="auto"/>
            <w:bottom w:val="none" w:sz="0" w:space="0" w:color="auto"/>
            <w:right w:val="none" w:sz="0" w:space="0" w:color="auto"/>
          </w:divBdr>
        </w:div>
        <w:div w:id="1314873943">
          <w:marLeft w:val="0"/>
          <w:marRight w:val="0"/>
          <w:marTop w:val="0"/>
          <w:marBottom w:val="0"/>
          <w:divBdr>
            <w:top w:val="none" w:sz="0" w:space="0" w:color="auto"/>
            <w:left w:val="none" w:sz="0" w:space="0" w:color="auto"/>
            <w:bottom w:val="none" w:sz="0" w:space="0" w:color="auto"/>
            <w:right w:val="none" w:sz="0" w:space="0" w:color="auto"/>
          </w:divBdr>
        </w:div>
        <w:div w:id="1264457293">
          <w:marLeft w:val="0"/>
          <w:marRight w:val="0"/>
          <w:marTop w:val="0"/>
          <w:marBottom w:val="0"/>
          <w:divBdr>
            <w:top w:val="none" w:sz="0" w:space="0" w:color="auto"/>
            <w:left w:val="none" w:sz="0" w:space="0" w:color="auto"/>
            <w:bottom w:val="none" w:sz="0" w:space="0" w:color="auto"/>
            <w:right w:val="none" w:sz="0" w:space="0" w:color="auto"/>
          </w:divBdr>
        </w:div>
        <w:div w:id="272175510">
          <w:marLeft w:val="0"/>
          <w:marRight w:val="0"/>
          <w:marTop w:val="0"/>
          <w:marBottom w:val="0"/>
          <w:divBdr>
            <w:top w:val="none" w:sz="0" w:space="0" w:color="auto"/>
            <w:left w:val="none" w:sz="0" w:space="0" w:color="auto"/>
            <w:bottom w:val="none" w:sz="0" w:space="0" w:color="auto"/>
            <w:right w:val="none" w:sz="0" w:space="0" w:color="auto"/>
          </w:divBdr>
        </w:div>
        <w:div w:id="682828435">
          <w:marLeft w:val="0"/>
          <w:marRight w:val="0"/>
          <w:marTop w:val="0"/>
          <w:marBottom w:val="0"/>
          <w:divBdr>
            <w:top w:val="none" w:sz="0" w:space="0" w:color="auto"/>
            <w:left w:val="none" w:sz="0" w:space="0" w:color="auto"/>
            <w:bottom w:val="none" w:sz="0" w:space="0" w:color="auto"/>
            <w:right w:val="none" w:sz="0" w:space="0" w:color="auto"/>
          </w:divBdr>
        </w:div>
        <w:div w:id="1634867509">
          <w:marLeft w:val="0"/>
          <w:marRight w:val="0"/>
          <w:marTop w:val="0"/>
          <w:marBottom w:val="0"/>
          <w:divBdr>
            <w:top w:val="none" w:sz="0" w:space="0" w:color="auto"/>
            <w:left w:val="none" w:sz="0" w:space="0" w:color="auto"/>
            <w:bottom w:val="none" w:sz="0" w:space="0" w:color="auto"/>
            <w:right w:val="none" w:sz="0" w:space="0" w:color="auto"/>
          </w:divBdr>
        </w:div>
        <w:div w:id="189687907">
          <w:marLeft w:val="0"/>
          <w:marRight w:val="0"/>
          <w:marTop w:val="0"/>
          <w:marBottom w:val="0"/>
          <w:divBdr>
            <w:top w:val="none" w:sz="0" w:space="0" w:color="auto"/>
            <w:left w:val="none" w:sz="0" w:space="0" w:color="auto"/>
            <w:bottom w:val="none" w:sz="0" w:space="0" w:color="auto"/>
            <w:right w:val="none" w:sz="0" w:space="0" w:color="auto"/>
          </w:divBdr>
        </w:div>
        <w:div w:id="1000809203">
          <w:marLeft w:val="0"/>
          <w:marRight w:val="0"/>
          <w:marTop w:val="0"/>
          <w:marBottom w:val="0"/>
          <w:divBdr>
            <w:top w:val="none" w:sz="0" w:space="0" w:color="auto"/>
            <w:left w:val="none" w:sz="0" w:space="0" w:color="auto"/>
            <w:bottom w:val="none" w:sz="0" w:space="0" w:color="auto"/>
            <w:right w:val="none" w:sz="0" w:space="0" w:color="auto"/>
          </w:divBdr>
        </w:div>
        <w:div w:id="1274895469">
          <w:marLeft w:val="0"/>
          <w:marRight w:val="0"/>
          <w:marTop w:val="0"/>
          <w:marBottom w:val="0"/>
          <w:divBdr>
            <w:top w:val="none" w:sz="0" w:space="0" w:color="auto"/>
            <w:left w:val="none" w:sz="0" w:space="0" w:color="auto"/>
            <w:bottom w:val="none" w:sz="0" w:space="0" w:color="auto"/>
            <w:right w:val="none" w:sz="0" w:space="0" w:color="auto"/>
          </w:divBdr>
        </w:div>
        <w:div w:id="1821382161">
          <w:marLeft w:val="0"/>
          <w:marRight w:val="0"/>
          <w:marTop w:val="0"/>
          <w:marBottom w:val="0"/>
          <w:divBdr>
            <w:top w:val="none" w:sz="0" w:space="0" w:color="auto"/>
            <w:left w:val="none" w:sz="0" w:space="0" w:color="auto"/>
            <w:bottom w:val="none" w:sz="0" w:space="0" w:color="auto"/>
            <w:right w:val="none" w:sz="0" w:space="0" w:color="auto"/>
          </w:divBdr>
        </w:div>
        <w:div w:id="133372143">
          <w:marLeft w:val="0"/>
          <w:marRight w:val="0"/>
          <w:marTop w:val="0"/>
          <w:marBottom w:val="0"/>
          <w:divBdr>
            <w:top w:val="none" w:sz="0" w:space="0" w:color="auto"/>
            <w:left w:val="none" w:sz="0" w:space="0" w:color="auto"/>
            <w:bottom w:val="none" w:sz="0" w:space="0" w:color="auto"/>
            <w:right w:val="none" w:sz="0" w:space="0" w:color="auto"/>
          </w:divBdr>
        </w:div>
        <w:div w:id="319117818">
          <w:marLeft w:val="0"/>
          <w:marRight w:val="0"/>
          <w:marTop w:val="0"/>
          <w:marBottom w:val="0"/>
          <w:divBdr>
            <w:top w:val="none" w:sz="0" w:space="0" w:color="auto"/>
            <w:left w:val="none" w:sz="0" w:space="0" w:color="auto"/>
            <w:bottom w:val="none" w:sz="0" w:space="0" w:color="auto"/>
            <w:right w:val="none" w:sz="0" w:space="0" w:color="auto"/>
          </w:divBdr>
        </w:div>
        <w:div w:id="1692338541">
          <w:marLeft w:val="0"/>
          <w:marRight w:val="0"/>
          <w:marTop w:val="0"/>
          <w:marBottom w:val="0"/>
          <w:divBdr>
            <w:top w:val="none" w:sz="0" w:space="0" w:color="auto"/>
            <w:left w:val="none" w:sz="0" w:space="0" w:color="auto"/>
            <w:bottom w:val="none" w:sz="0" w:space="0" w:color="auto"/>
            <w:right w:val="none" w:sz="0" w:space="0" w:color="auto"/>
          </w:divBdr>
        </w:div>
        <w:div w:id="701589532">
          <w:marLeft w:val="0"/>
          <w:marRight w:val="0"/>
          <w:marTop w:val="0"/>
          <w:marBottom w:val="0"/>
          <w:divBdr>
            <w:top w:val="none" w:sz="0" w:space="0" w:color="auto"/>
            <w:left w:val="none" w:sz="0" w:space="0" w:color="auto"/>
            <w:bottom w:val="none" w:sz="0" w:space="0" w:color="auto"/>
            <w:right w:val="none" w:sz="0" w:space="0" w:color="auto"/>
          </w:divBdr>
        </w:div>
        <w:div w:id="296178898">
          <w:marLeft w:val="0"/>
          <w:marRight w:val="0"/>
          <w:marTop w:val="0"/>
          <w:marBottom w:val="0"/>
          <w:divBdr>
            <w:top w:val="none" w:sz="0" w:space="0" w:color="auto"/>
            <w:left w:val="none" w:sz="0" w:space="0" w:color="auto"/>
            <w:bottom w:val="none" w:sz="0" w:space="0" w:color="auto"/>
            <w:right w:val="none" w:sz="0" w:space="0" w:color="auto"/>
          </w:divBdr>
        </w:div>
        <w:div w:id="325979573">
          <w:marLeft w:val="0"/>
          <w:marRight w:val="0"/>
          <w:marTop w:val="0"/>
          <w:marBottom w:val="0"/>
          <w:divBdr>
            <w:top w:val="none" w:sz="0" w:space="0" w:color="auto"/>
            <w:left w:val="none" w:sz="0" w:space="0" w:color="auto"/>
            <w:bottom w:val="none" w:sz="0" w:space="0" w:color="auto"/>
            <w:right w:val="none" w:sz="0" w:space="0" w:color="auto"/>
          </w:divBdr>
        </w:div>
        <w:div w:id="1542591690">
          <w:marLeft w:val="0"/>
          <w:marRight w:val="0"/>
          <w:marTop w:val="0"/>
          <w:marBottom w:val="0"/>
          <w:divBdr>
            <w:top w:val="none" w:sz="0" w:space="0" w:color="auto"/>
            <w:left w:val="none" w:sz="0" w:space="0" w:color="auto"/>
            <w:bottom w:val="none" w:sz="0" w:space="0" w:color="auto"/>
            <w:right w:val="none" w:sz="0" w:space="0" w:color="auto"/>
          </w:divBdr>
        </w:div>
        <w:div w:id="447506197">
          <w:marLeft w:val="0"/>
          <w:marRight w:val="0"/>
          <w:marTop w:val="0"/>
          <w:marBottom w:val="0"/>
          <w:divBdr>
            <w:top w:val="none" w:sz="0" w:space="0" w:color="auto"/>
            <w:left w:val="none" w:sz="0" w:space="0" w:color="auto"/>
            <w:bottom w:val="none" w:sz="0" w:space="0" w:color="auto"/>
            <w:right w:val="none" w:sz="0" w:space="0" w:color="auto"/>
          </w:divBdr>
        </w:div>
        <w:div w:id="890924771">
          <w:marLeft w:val="0"/>
          <w:marRight w:val="0"/>
          <w:marTop w:val="0"/>
          <w:marBottom w:val="0"/>
          <w:divBdr>
            <w:top w:val="none" w:sz="0" w:space="0" w:color="auto"/>
            <w:left w:val="none" w:sz="0" w:space="0" w:color="auto"/>
            <w:bottom w:val="none" w:sz="0" w:space="0" w:color="auto"/>
            <w:right w:val="none" w:sz="0" w:space="0" w:color="auto"/>
          </w:divBdr>
        </w:div>
        <w:div w:id="663431271">
          <w:marLeft w:val="0"/>
          <w:marRight w:val="0"/>
          <w:marTop w:val="0"/>
          <w:marBottom w:val="0"/>
          <w:divBdr>
            <w:top w:val="none" w:sz="0" w:space="0" w:color="auto"/>
            <w:left w:val="none" w:sz="0" w:space="0" w:color="auto"/>
            <w:bottom w:val="none" w:sz="0" w:space="0" w:color="auto"/>
            <w:right w:val="none" w:sz="0" w:space="0" w:color="auto"/>
          </w:divBdr>
        </w:div>
        <w:div w:id="484510178">
          <w:marLeft w:val="0"/>
          <w:marRight w:val="0"/>
          <w:marTop w:val="0"/>
          <w:marBottom w:val="0"/>
          <w:divBdr>
            <w:top w:val="none" w:sz="0" w:space="0" w:color="auto"/>
            <w:left w:val="none" w:sz="0" w:space="0" w:color="auto"/>
            <w:bottom w:val="none" w:sz="0" w:space="0" w:color="auto"/>
            <w:right w:val="none" w:sz="0" w:space="0" w:color="auto"/>
          </w:divBdr>
        </w:div>
        <w:div w:id="535124802">
          <w:marLeft w:val="0"/>
          <w:marRight w:val="0"/>
          <w:marTop w:val="0"/>
          <w:marBottom w:val="0"/>
          <w:divBdr>
            <w:top w:val="none" w:sz="0" w:space="0" w:color="auto"/>
            <w:left w:val="none" w:sz="0" w:space="0" w:color="auto"/>
            <w:bottom w:val="none" w:sz="0" w:space="0" w:color="auto"/>
            <w:right w:val="none" w:sz="0" w:space="0" w:color="auto"/>
          </w:divBdr>
        </w:div>
        <w:div w:id="117795870">
          <w:marLeft w:val="0"/>
          <w:marRight w:val="0"/>
          <w:marTop w:val="0"/>
          <w:marBottom w:val="0"/>
          <w:divBdr>
            <w:top w:val="none" w:sz="0" w:space="0" w:color="auto"/>
            <w:left w:val="none" w:sz="0" w:space="0" w:color="auto"/>
            <w:bottom w:val="none" w:sz="0" w:space="0" w:color="auto"/>
            <w:right w:val="none" w:sz="0" w:space="0" w:color="auto"/>
          </w:divBdr>
        </w:div>
        <w:div w:id="1533495904">
          <w:marLeft w:val="0"/>
          <w:marRight w:val="0"/>
          <w:marTop w:val="0"/>
          <w:marBottom w:val="0"/>
          <w:divBdr>
            <w:top w:val="none" w:sz="0" w:space="0" w:color="auto"/>
            <w:left w:val="none" w:sz="0" w:space="0" w:color="auto"/>
            <w:bottom w:val="none" w:sz="0" w:space="0" w:color="auto"/>
            <w:right w:val="none" w:sz="0" w:space="0" w:color="auto"/>
          </w:divBdr>
        </w:div>
        <w:div w:id="1640646243">
          <w:marLeft w:val="0"/>
          <w:marRight w:val="0"/>
          <w:marTop w:val="0"/>
          <w:marBottom w:val="0"/>
          <w:divBdr>
            <w:top w:val="none" w:sz="0" w:space="0" w:color="auto"/>
            <w:left w:val="none" w:sz="0" w:space="0" w:color="auto"/>
            <w:bottom w:val="none" w:sz="0" w:space="0" w:color="auto"/>
            <w:right w:val="none" w:sz="0" w:space="0" w:color="auto"/>
          </w:divBdr>
        </w:div>
        <w:div w:id="1655597406">
          <w:marLeft w:val="0"/>
          <w:marRight w:val="0"/>
          <w:marTop w:val="0"/>
          <w:marBottom w:val="0"/>
          <w:divBdr>
            <w:top w:val="none" w:sz="0" w:space="0" w:color="auto"/>
            <w:left w:val="none" w:sz="0" w:space="0" w:color="auto"/>
            <w:bottom w:val="none" w:sz="0" w:space="0" w:color="auto"/>
            <w:right w:val="none" w:sz="0" w:space="0" w:color="auto"/>
          </w:divBdr>
        </w:div>
        <w:div w:id="1777406938">
          <w:marLeft w:val="0"/>
          <w:marRight w:val="0"/>
          <w:marTop w:val="0"/>
          <w:marBottom w:val="0"/>
          <w:divBdr>
            <w:top w:val="none" w:sz="0" w:space="0" w:color="auto"/>
            <w:left w:val="none" w:sz="0" w:space="0" w:color="auto"/>
            <w:bottom w:val="none" w:sz="0" w:space="0" w:color="auto"/>
            <w:right w:val="none" w:sz="0" w:space="0" w:color="auto"/>
          </w:divBdr>
        </w:div>
        <w:div w:id="834226456">
          <w:marLeft w:val="0"/>
          <w:marRight w:val="0"/>
          <w:marTop w:val="0"/>
          <w:marBottom w:val="0"/>
          <w:divBdr>
            <w:top w:val="none" w:sz="0" w:space="0" w:color="auto"/>
            <w:left w:val="none" w:sz="0" w:space="0" w:color="auto"/>
            <w:bottom w:val="none" w:sz="0" w:space="0" w:color="auto"/>
            <w:right w:val="none" w:sz="0" w:space="0" w:color="auto"/>
          </w:divBdr>
        </w:div>
        <w:div w:id="762603102">
          <w:marLeft w:val="0"/>
          <w:marRight w:val="0"/>
          <w:marTop w:val="0"/>
          <w:marBottom w:val="0"/>
          <w:divBdr>
            <w:top w:val="none" w:sz="0" w:space="0" w:color="auto"/>
            <w:left w:val="none" w:sz="0" w:space="0" w:color="auto"/>
            <w:bottom w:val="none" w:sz="0" w:space="0" w:color="auto"/>
            <w:right w:val="none" w:sz="0" w:space="0" w:color="auto"/>
          </w:divBdr>
        </w:div>
        <w:div w:id="1522695502">
          <w:marLeft w:val="0"/>
          <w:marRight w:val="0"/>
          <w:marTop w:val="0"/>
          <w:marBottom w:val="0"/>
          <w:divBdr>
            <w:top w:val="none" w:sz="0" w:space="0" w:color="auto"/>
            <w:left w:val="none" w:sz="0" w:space="0" w:color="auto"/>
            <w:bottom w:val="none" w:sz="0" w:space="0" w:color="auto"/>
            <w:right w:val="none" w:sz="0" w:space="0" w:color="auto"/>
          </w:divBdr>
        </w:div>
        <w:div w:id="1362248151">
          <w:marLeft w:val="0"/>
          <w:marRight w:val="0"/>
          <w:marTop w:val="0"/>
          <w:marBottom w:val="0"/>
          <w:divBdr>
            <w:top w:val="none" w:sz="0" w:space="0" w:color="auto"/>
            <w:left w:val="none" w:sz="0" w:space="0" w:color="auto"/>
            <w:bottom w:val="none" w:sz="0" w:space="0" w:color="auto"/>
            <w:right w:val="none" w:sz="0" w:space="0" w:color="auto"/>
          </w:divBdr>
        </w:div>
        <w:div w:id="1778909611">
          <w:marLeft w:val="0"/>
          <w:marRight w:val="0"/>
          <w:marTop w:val="0"/>
          <w:marBottom w:val="0"/>
          <w:divBdr>
            <w:top w:val="none" w:sz="0" w:space="0" w:color="auto"/>
            <w:left w:val="none" w:sz="0" w:space="0" w:color="auto"/>
            <w:bottom w:val="none" w:sz="0" w:space="0" w:color="auto"/>
            <w:right w:val="none" w:sz="0" w:space="0" w:color="auto"/>
          </w:divBdr>
        </w:div>
        <w:div w:id="2142380607">
          <w:marLeft w:val="0"/>
          <w:marRight w:val="0"/>
          <w:marTop w:val="0"/>
          <w:marBottom w:val="0"/>
          <w:divBdr>
            <w:top w:val="none" w:sz="0" w:space="0" w:color="auto"/>
            <w:left w:val="none" w:sz="0" w:space="0" w:color="auto"/>
            <w:bottom w:val="none" w:sz="0" w:space="0" w:color="auto"/>
            <w:right w:val="none" w:sz="0" w:space="0" w:color="auto"/>
          </w:divBdr>
        </w:div>
        <w:div w:id="1437406373">
          <w:marLeft w:val="0"/>
          <w:marRight w:val="0"/>
          <w:marTop w:val="0"/>
          <w:marBottom w:val="0"/>
          <w:divBdr>
            <w:top w:val="none" w:sz="0" w:space="0" w:color="auto"/>
            <w:left w:val="none" w:sz="0" w:space="0" w:color="auto"/>
            <w:bottom w:val="none" w:sz="0" w:space="0" w:color="auto"/>
            <w:right w:val="none" w:sz="0" w:space="0" w:color="auto"/>
          </w:divBdr>
        </w:div>
        <w:div w:id="234710700">
          <w:marLeft w:val="0"/>
          <w:marRight w:val="0"/>
          <w:marTop w:val="0"/>
          <w:marBottom w:val="0"/>
          <w:divBdr>
            <w:top w:val="none" w:sz="0" w:space="0" w:color="auto"/>
            <w:left w:val="none" w:sz="0" w:space="0" w:color="auto"/>
            <w:bottom w:val="none" w:sz="0" w:space="0" w:color="auto"/>
            <w:right w:val="none" w:sz="0" w:space="0" w:color="auto"/>
          </w:divBdr>
        </w:div>
        <w:div w:id="2135057284">
          <w:marLeft w:val="0"/>
          <w:marRight w:val="0"/>
          <w:marTop w:val="0"/>
          <w:marBottom w:val="0"/>
          <w:divBdr>
            <w:top w:val="none" w:sz="0" w:space="0" w:color="auto"/>
            <w:left w:val="none" w:sz="0" w:space="0" w:color="auto"/>
            <w:bottom w:val="none" w:sz="0" w:space="0" w:color="auto"/>
            <w:right w:val="none" w:sz="0" w:space="0" w:color="auto"/>
          </w:divBdr>
        </w:div>
        <w:div w:id="1371808408">
          <w:marLeft w:val="0"/>
          <w:marRight w:val="0"/>
          <w:marTop w:val="0"/>
          <w:marBottom w:val="0"/>
          <w:divBdr>
            <w:top w:val="none" w:sz="0" w:space="0" w:color="auto"/>
            <w:left w:val="none" w:sz="0" w:space="0" w:color="auto"/>
            <w:bottom w:val="none" w:sz="0" w:space="0" w:color="auto"/>
            <w:right w:val="none" w:sz="0" w:space="0" w:color="auto"/>
          </w:divBdr>
        </w:div>
        <w:div w:id="1054423577">
          <w:marLeft w:val="0"/>
          <w:marRight w:val="0"/>
          <w:marTop w:val="0"/>
          <w:marBottom w:val="0"/>
          <w:divBdr>
            <w:top w:val="none" w:sz="0" w:space="0" w:color="auto"/>
            <w:left w:val="none" w:sz="0" w:space="0" w:color="auto"/>
            <w:bottom w:val="none" w:sz="0" w:space="0" w:color="auto"/>
            <w:right w:val="none" w:sz="0" w:space="0" w:color="auto"/>
          </w:divBdr>
        </w:div>
        <w:div w:id="2004892722">
          <w:marLeft w:val="0"/>
          <w:marRight w:val="0"/>
          <w:marTop w:val="0"/>
          <w:marBottom w:val="0"/>
          <w:divBdr>
            <w:top w:val="none" w:sz="0" w:space="0" w:color="auto"/>
            <w:left w:val="none" w:sz="0" w:space="0" w:color="auto"/>
            <w:bottom w:val="none" w:sz="0" w:space="0" w:color="auto"/>
            <w:right w:val="none" w:sz="0" w:space="0" w:color="auto"/>
          </w:divBdr>
        </w:div>
        <w:div w:id="1674257439">
          <w:marLeft w:val="0"/>
          <w:marRight w:val="0"/>
          <w:marTop w:val="0"/>
          <w:marBottom w:val="0"/>
          <w:divBdr>
            <w:top w:val="none" w:sz="0" w:space="0" w:color="auto"/>
            <w:left w:val="none" w:sz="0" w:space="0" w:color="auto"/>
            <w:bottom w:val="none" w:sz="0" w:space="0" w:color="auto"/>
            <w:right w:val="none" w:sz="0" w:space="0" w:color="auto"/>
          </w:divBdr>
        </w:div>
        <w:div w:id="1511603098">
          <w:marLeft w:val="0"/>
          <w:marRight w:val="0"/>
          <w:marTop w:val="0"/>
          <w:marBottom w:val="0"/>
          <w:divBdr>
            <w:top w:val="none" w:sz="0" w:space="0" w:color="auto"/>
            <w:left w:val="none" w:sz="0" w:space="0" w:color="auto"/>
            <w:bottom w:val="none" w:sz="0" w:space="0" w:color="auto"/>
            <w:right w:val="none" w:sz="0" w:space="0" w:color="auto"/>
          </w:divBdr>
        </w:div>
        <w:div w:id="521359275">
          <w:marLeft w:val="0"/>
          <w:marRight w:val="0"/>
          <w:marTop w:val="0"/>
          <w:marBottom w:val="0"/>
          <w:divBdr>
            <w:top w:val="none" w:sz="0" w:space="0" w:color="auto"/>
            <w:left w:val="none" w:sz="0" w:space="0" w:color="auto"/>
            <w:bottom w:val="none" w:sz="0" w:space="0" w:color="auto"/>
            <w:right w:val="none" w:sz="0" w:space="0" w:color="auto"/>
          </w:divBdr>
        </w:div>
        <w:div w:id="1607807026">
          <w:marLeft w:val="0"/>
          <w:marRight w:val="0"/>
          <w:marTop w:val="0"/>
          <w:marBottom w:val="0"/>
          <w:divBdr>
            <w:top w:val="none" w:sz="0" w:space="0" w:color="auto"/>
            <w:left w:val="none" w:sz="0" w:space="0" w:color="auto"/>
            <w:bottom w:val="none" w:sz="0" w:space="0" w:color="auto"/>
            <w:right w:val="none" w:sz="0" w:space="0" w:color="auto"/>
          </w:divBdr>
        </w:div>
        <w:div w:id="313947655">
          <w:marLeft w:val="0"/>
          <w:marRight w:val="0"/>
          <w:marTop w:val="0"/>
          <w:marBottom w:val="0"/>
          <w:divBdr>
            <w:top w:val="none" w:sz="0" w:space="0" w:color="auto"/>
            <w:left w:val="none" w:sz="0" w:space="0" w:color="auto"/>
            <w:bottom w:val="none" w:sz="0" w:space="0" w:color="auto"/>
            <w:right w:val="none" w:sz="0" w:space="0" w:color="auto"/>
          </w:divBdr>
        </w:div>
        <w:div w:id="241645186">
          <w:marLeft w:val="0"/>
          <w:marRight w:val="0"/>
          <w:marTop w:val="0"/>
          <w:marBottom w:val="0"/>
          <w:divBdr>
            <w:top w:val="none" w:sz="0" w:space="0" w:color="auto"/>
            <w:left w:val="none" w:sz="0" w:space="0" w:color="auto"/>
            <w:bottom w:val="none" w:sz="0" w:space="0" w:color="auto"/>
            <w:right w:val="none" w:sz="0" w:space="0" w:color="auto"/>
          </w:divBdr>
        </w:div>
        <w:div w:id="1039285304">
          <w:marLeft w:val="0"/>
          <w:marRight w:val="0"/>
          <w:marTop w:val="0"/>
          <w:marBottom w:val="0"/>
          <w:divBdr>
            <w:top w:val="none" w:sz="0" w:space="0" w:color="auto"/>
            <w:left w:val="none" w:sz="0" w:space="0" w:color="auto"/>
            <w:bottom w:val="none" w:sz="0" w:space="0" w:color="auto"/>
            <w:right w:val="none" w:sz="0" w:space="0" w:color="auto"/>
          </w:divBdr>
        </w:div>
        <w:div w:id="1456949530">
          <w:marLeft w:val="0"/>
          <w:marRight w:val="0"/>
          <w:marTop w:val="0"/>
          <w:marBottom w:val="0"/>
          <w:divBdr>
            <w:top w:val="none" w:sz="0" w:space="0" w:color="auto"/>
            <w:left w:val="none" w:sz="0" w:space="0" w:color="auto"/>
            <w:bottom w:val="none" w:sz="0" w:space="0" w:color="auto"/>
            <w:right w:val="none" w:sz="0" w:space="0" w:color="auto"/>
          </w:divBdr>
        </w:div>
        <w:div w:id="449054501">
          <w:marLeft w:val="0"/>
          <w:marRight w:val="0"/>
          <w:marTop w:val="0"/>
          <w:marBottom w:val="0"/>
          <w:divBdr>
            <w:top w:val="none" w:sz="0" w:space="0" w:color="auto"/>
            <w:left w:val="none" w:sz="0" w:space="0" w:color="auto"/>
            <w:bottom w:val="none" w:sz="0" w:space="0" w:color="auto"/>
            <w:right w:val="none" w:sz="0" w:space="0" w:color="auto"/>
          </w:divBdr>
        </w:div>
      </w:divsChild>
    </w:div>
    <w:div w:id="753161393">
      <w:bodyDiv w:val="1"/>
      <w:marLeft w:val="0"/>
      <w:marRight w:val="0"/>
      <w:marTop w:val="0"/>
      <w:marBottom w:val="0"/>
      <w:divBdr>
        <w:top w:val="none" w:sz="0" w:space="0" w:color="auto"/>
        <w:left w:val="none" w:sz="0" w:space="0" w:color="auto"/>
        <w:bottom w:val="none" w:sz="0" w:space="0" w:color="auto"/>
        <w:right w:val="none" w:sz="0" w:space="0" w:color="auto"/>
      </w:divBdr>
    </w:div>
    <w:div w:id="800153530">
      <w:bodyDiv w:val="1"/>
      <w:marLeft w:val="0"/>
      <w:marRight w:val="0"/>
      <w:marTop w:val="0"/>
      <w:marBottom w:val="0"/>
      <w:divBdr>
        <w:top w:val="none" w:sz="0" w:space="0" w:color="auto"/>
        <w:left w:val="none" w:sz="0" w:space="0" w:color="auto"/>
        <w:bottom w:val="none" w:sz="0" w:space="0" w:color="auto"/>
        <w:right w:val="none" w:sz="0" w:space="0" w:color="auto"/>
      </w:divBdr>
    </w:div>
    <w:div w:id="865410608">
      <w:bodyDiv w:val="1"/>
      <w:marLeft w:val="0"/>
      <w:marRight w:val="0"/>
      <w:marTop w:val="0"/>
      <w:marBottom w:val="0"/>
      <w:divBdr>
        <w:top w:val="none" w:sz="0" w:space="0" w:color="auto"/>
        <w:left w:val="none" w:sz="0" w:space="0" w:color="auto"/>
        <w:bottom w:val="none" w:sz="0" w:space="0" w:color="auto"/>
        <w:right w:val="none" w:sz="0" w:space="0" w:color="auto"/>
      </w:divBdr>
    </w:div>
    <w:div w:id="1120101552">
      <w:bodyDiv w:val="1"/>
      <w:marLeft w:val="0"/>
      <w:marRight w:val="0"/>
      <w:marTop w:val="0"/>
      <w:marBottom w:val="0"/>
      <w:divBdr>
        <w:top w:val="none" w:sz="0" w:space="0" w:color="auto"/>
        <w:left w:val="none" w:sz="0" w:space="0" w:color="auto"/>
        <w:bottom w:val="none" w:sz="0" w:space="0" w:color="auto"/>
        <w:right w:val="none" w:sz="0" w:space="0" w:color="auto"/>
      </w:divBdr>
      <w:divsChild>
        <w:div w:id="634868226">
          <w:marLeft w:val="0"/>
          <w:marRight w:val="0"/>
          <w:marTop w:val="0"/>
          <w:marBottom w:val="0"/>
          <w:divBdr>
            <w:top w:val="none" w:sz="0" w:space="0" w:color="auto"/>
            <w:left w:val="none" w:sz="0" w:space="0" w:color="auto"/>
            <w:bottom w:val="none" w:sz="0" w:space="0" w:color="auto"/>
            <w:right w:val="none" w:sz="0" w:space="0" w:color="auto"/>
          </w:divBdr>
          <w:divsChild>
            <w:div w:id="1518350330">
              <w:marLeft w:val="0"/>
              <w:marRight w:val="0"/>
              <w:marTop w:val="0"/>
              <w:marBottom w:val="0"/>
              <w:divBdr>
                <w:top w:val="none" w:sz="0" w:space="0" w:color="auto"/>
                <w:left w:val="none" w:sz="0" w:space="0" w:color="auto"/>
                <w:bottom w:val="none" w:sz="0" w:space="0" w:color="auto"/>
                <w:right w:val="none" w:sz="0" w:space="0" w:color="auto"/>
              </w:divBdr>
              <w:divsChild>
                <w:div w:id="158742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15061">
      <w:bodyDiv w:val="1"/>
      <w:marLeft w:val="0"/>
      <w:marRight w:val="0"/>
      <w:marTop w:val="0"/>
      <w:marBottom w:val="0"/>
      <w:divBdr>
        <w:top w:val="none" w:sz="0" w:space="0" w:color="auto"/>
        <w:left w:val="none" w:sz="0" w:space="0" w:color="auto"/>
        <w:bottom w:val="none" w:sz="0" w:space="0" w:color="auto"/>
        <w:right w:val="none" w:sz="0" w:space="0" w:color="auto"/>
      </w:divBdr>
      <w:divsChild>
        <w:div w:id="248782711">
          <w:marLeft w:val="0"/>
          <w:marRight w:val="0"/>
          <w:marTop w:val="0"/>
          <w:marBottom w:val="0"/>
          <w:divBdr>
            <w:top w:val="none" w:sz="0" w:space="0" w:color="auto"/>
            <w:left w:val="none" w:sz="0" w:space="0" w:color="auto"/>
            <w:bottom w:val="none" w:sz="0" w:space="0" w:color="auto"/>
            <w:right w:val="none" w:sz="0" w:space="0" w:color="auto"/>
          </w:divBdr>
        </w:div>
        <w:div w:id="817767880">
          <w:marLeft w:val="0"/>
          <w:marRight w:val="0"/>
          <w:marTop w:val="0"/>
          <w:marBottom w:val="0"/>
          <w:divBdr>
            <w:top w:val="none" w:sz="0" w:space="0" w:color="auto"/>
            <w:left w:val="none" w:sz="0" w:space="0" w:color="auto"/>
            <w:bottom w:val="none" w:sz="0" w:space="0" w:color="auto"/>
            <w:right w:val="none" w:sz="0" w:space="0" w:color="auto"/>
          </w:divBdr>
        </w:div>
        <w:div w:id="2141680581">
          <w:marLeft w:val="0"/>
          <w:marRight w:val="0"/>
          <w:marTop w:val="0"/>
          <w:marBottom w:val="0"/>
          <w:divBdr>
            <w:top w:val="none" w:sz="0" w:space="0" w:color="auto"/>
            <w:left w:val="none" w:sz="0" w:space="0" w:color="auto"/>
            <w:bottom w:val="none" w:sz="0" w:space="0" w:color="auto"/>
            <w:right w:val="none" w:sz="0" w:space="0" w:color="auto"/>
          </w:divBdr>
        </w:div>
        <w:div w:id="2098019136">
          <w:marLeft w:val="0"/>
          <w:marRight w:val="0"/>
          <w:marTop w:val="0"/>
          <w:marBottom w:val="0"/>
          <w:divBdr>
            <w:top w:val="none" w:sz="0" w:space="0" w:color="auto"/>
            <w:left w:val="none" w:sz="0" w:space="0" w:color="auto"/>
            <w:bottom w:val="none" w:sz="0" w:space="0" w:color="auto"/>
            <w:right w:val="none" w:sz="0" w:space="0" w:color="auto"/>
          </w:divBdr>
        </w:div>
        <w:div w:id="716978417">
          <w:marLeft w:val="0"/>
          <w:marRight w:val="0"/>
          <w:marTop w:val="0"/>
          <w:marBottom w:val="0"/>
          <w:divBdr>
            <w:top w:val="none" w:sz="0" w:space="0" w:color="auto"/>
            <w:left w:val="none" w:sz="0" w:space="0" w:color="auto"/>
            <w:bottom w:val="none" w:sz="0" w:space="0" w:color="auto"/>
            <w:right w:val="none" w:sz="0" w:space="0" w:color="auto"/>
          </w:divBdr>
        </w:div>
        <w:div w:id="563495027">
          <w:marLeft w:val="0"/>
          <w:marRight w:val="0"/>
          <w:marTop w:val="0"/>
          <w:marBottom w:val="0"/>
          <w:divBdr>
            <w:top w:val="none" w:sz="0" w:space="0" w:color="auto"/>
            <w:left w:val="none" w:sz="0" w:space="0" w:color="auto"/>
            <w:bottom w:val="none" w:sz="0" w:space="0" w:color="auto"/>
            <w:right w:val="none" w:sz="0" w:space="0" w:color="auto"/>
          </w:divBdr>
        </w:div>
        <w:div w:id="331415692">
          <w:marLeft w:val="0"/>
          <w:marRight w:val="0"/>
          <w:marTop w:val="0"/>
          <w:marBottom w:val="0"/>
          <w:divBdr>
            <w:top w:val="none" w:sz="0" w:space="0" w:color="auto"/>
            <w:left w:val="none" w:sz="0" w:space="0" w:color="auto"/>
            <w:bottom w:val="none" w:sz="0" w:space="0" w:color="auto"/>
            <w:right w:val="none" w:sz="0" w:space="0" w:color="auto"/>
          </w:divBdr>
        </w:div>
        <w:div w:id="299459918">
          <w:marLeft w:val="0"/>
          <w:marRight w:val="0"/>
          <w:marTop w:val="0"/>
          <w:marBottom w:val="0"/>
          <w:divBdr>
            <w:top w:val="none" w:sz="0" w:space="0" w:color="auto"/>
            <w:left w:val="none" w:sz="0" w:space="0" w:color="auto"/>
            <w:bottom w:val="none" w:sz="0" w:space="0" w:color="auto"/>
            <w:right w:val="none" w:sz="0" w:space="0" w:color="auto"/>
          </w:divBdr>
        </w:div>
        <w:div w:id="2118482999">
          <w:marLeft w:val="0"/>
          <w:marRight w:val="0"/>
          <w:marTop w:val="0"/>
          <w:marBottom w:val="0"/>
          <w:divBdr>
            <w:top w:val="none" w:sz="0" w:space="0" w:color="auto"/>
            <w:left w:val="none" w:sz="0" w:space="0" w:color="auto"/>
            <w:bottom w:val="none" w:sz="0" w:space="0" w:color="auto"/>
            <w:right w:val="none" w:sz="0" w:space="0" w:color="auto"/>
          </w:divBdr>
        </w:div>
        <w:div w:id="1812093283">
          <w:marLeft w:val="0"/>
          <w:marRight w:val="0"/>
          <w:marTop w:val="0"/>
          <w:marBottom w:val="0"/>
          <w:divBdr>
            <w:top w:val="none" w:sz="0" w:space="0" w:color="auto"/>
            <w:left w:val="none" w:sz="0" w:space="0" w:color="auto"/>
            <w:bottom w:val="none" w:sz="0" w:space="0" w:color="auto"/>
            <w:right w:val="none" w:sz="0" w:space="0" w:color="auto"/>
          </w:divBdr>
        </w:div>
      </w:divsChild>
    </w:div>
    <w:div w:id="1231114589">
      <w:bodyDiv w:val="1"/>
      <w:marLeft w:val="0"/>
      <w:marRight w:val="0"/>
      <w:marTop w:val="0"/>
      <w:marBottom w:val="0"/>
      <w:divBdr>
        <w:top w:val="none" w:sz="0" w:space="0" w:color="auto"/>
        <w:left w:val="none" w:sz="0" w:space="0" w:color="auto"/>
        <w:bottom w:val="none" w:sz="0" w:space="0" w:color="auto"/>
        <w:right w:val="none" w:sz="0" w:space="0" w:color="auto"/>
      </w:divBdr>
    </w:div>
    <w:div w:id="1298753982">
      <w:bodyDiv w:val="1"/>
      <w:marLeft w:val="0"/>
      <w:marRight w:val="0"/>
      <w:marTop w:val="0"/>
      <w:marBottom w:val="0"/>
      <w:divBdr>
        <w:top w:val="none" w:sz="0" w:space="0" w:color="auto"/>
        <w:left w:val="none" w:sz="0" w:space="0" w:color="auto"/>
        <w:bottom w:val="none" w:sz="0" w:space="0" w:color="auto"/>
        <w:right w:val="none" w:sz="0" w:space="0" w:color="auto"/>
      </w:divBdr>
    </w:div>
    <w:div w:id="1430850794">
      <w:bodyDiv w:val="1"/>
      <w:marLeft w:val="0"/>
      <w:marRight w:val="0"/>
      <w:marTop w:val="0"/>
      <w:marBottom w:val="0"/>
      <w:divBdr>
        <w:top w:val="none" w:sz="0" w:space="0" w:color="auto"/>
        <w:left w:val="none" w:sz="0" w:space="0" w:color="auto"/>
        <w:bottom w:val="none" w:sz="0" w:space="0" w:color="auto"/>
        <w:right w:val="none" w:sz="0" w:space="0" w:color="auto"/>
      </w:divBdr>
    </w:div>
    <w:div w:id="1567108022">
      <w:bodyDiv w:val="1"/>
      <w:marLeft w:val="0"/>
      <w:marRight w:val="0"/>
      <w:marTop w:val="0"/>
      <w:marBottom w:val="0"/>
      <w:divBdr>
        <w:top w:val="none" w:sz="0" w:space="0" w:color="auto"/>
        <w:left w:val="none" w:sz="0" w:space="0" w:color="auto"/>
        <w:bottom w:val="none" w:sz="0" w:space="0" w:color="auto"/>
        <w:right w:val="none" w:sz="0" w:space="0" w:color="auto"/>
      </w:divBdr>
    </w:div>
    <w:div w:id="1788816883">
      <w:bodyDiv w:val="1"/>
      <w:marLeft w:val="0"/>
      <w:marRight w:val="0"/>
      <w:marTop w:val="0"/>
      <w:marBottom w:val="0"/>
      <w:divBdr>
        <w:top w:val="none" w:sz="0" w:space="0" w:color="auto"/>
        <w:left w:val="none" w:sz="0" w:space="0" w:color="auto"/>
        <w:bottom w:val="none" w:sz="0" w:space="0" w:color="auto"/>
        <w:right w:val="none" w:sz="0" w:space="0" w:color="auto"/>
      </w:divBdr>
    </w:div>
    <w:div w:id="2056854844">
      <w:bodyDiv w:val="1"/>
      <w:marLeft w:val="0"/>
      <w:marRight w:val="0"/>
      <w:marTop w:val="0"/>
      <w:marBottom w:val="0"/>
      <w:divBdr>
        <w:top w:val="none" w:sz="0" w:space="0" w:color="auto"/>
        <w:left w:val="none" w:sz="0" w:space="0" w:color="auto"/>
        <w:bottom w:val="none" w:sz="0" w:space="0" w:color="auto"/>
        <w:right w:val="none" w:sz="0" w:space="0" w:color="auto"/>
      </w:divBdr>
    </w:div>
    <w:div w:id="2142503858">
      <w:bodyDiv w:val="1"/>
      <w:marLeft w:val="0"/>
      <w:marRight w:val="0"/>
      <w:marTop w:val="0"/>
      <w:marBottom w:val="0"/>
      <w:divBdr>
        <w:top w:val="none" w:sz="0" w:space="0" w:color="auto"/>
        <w:left w:val="none" w:sz="0" w:space="0" w:color="auto"/>
        <w:bottom w:val="none" w:sz="0" w:space="0" w:color="auto"/>
        <w:right w:val="none" w:sz="0" w:space="0" w:color="auto"/>
      </w:divBdr>
      <w:divsChild>
        <w:div w:id="34283379">
          <w:marLeft w:val="0"/>
          <w:marRight w:val="0"/>
          <w:marTop w:val="0"/>
          <w:marBottom w:val="0"/>
          <w:divBdr>
            <w:top w:val="none" w:sz="0" w:space="0" w:color="auto"/>
            <w:left w:val="none" w:sz="0" w:space="0" w:color="auto"/>
            <w:bottom w:val="none" w:sz="0" w:space="0" w:color="auto"/>
            <w:right w:val="none" w:sz="0" w:space="0" w:color="auto"/>
          </w:divBdr>
          <w:divsChild>
            <w:div w:id="245265016">
              <w:marLeft w:val="0"/>
              <w:marRight w:val="0"/>
              <w:marTop w:val="0"/>
              <w:marBottom w:val="0"/>
              <w:divBdr>
                <w:top w:val="none" w:sz="0" w:space="0" w:color="auto"/>
                <w:left w:val="none" w:sz="0" w:space="0" w:color="auto"/>
                <w:bottom w:val="none" w:sz="0" w:space="0" w:color="auto"/>
                <w:right w:val="none" w:sz="0" w:space="0" w:color="auto"/>
              </w:divBdr>
              <w:divsChild>
                <w:div w:id="191798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perdanauniversity.edu.my"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doi.org/10.1007/BF02296192" TargetMode="External"/><Relationship Id="rId4" Type="http://schemas.openxmlformats.org/officeDocument/2006/relationships/settings" Target="settings.xml"/><Relationship Id="rId9" Type="http://schemas.openxmlformats.org/officeDocument/2006/relationships/hyperlink" Target="http://www.R-project.org/"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7625A-D528-D041-85AB-21A369D44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37</Pages>
  <Words>9273</Words>
  <Characters>49612</Characters>
  <Application>Microsoft Office Word</Application>
  <DocSecurity>0</DocSecurity>
  <Lines>1012</Lines>
  <Paragraphs>442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Viren Swami</dc:creator>
  <cp:keywords/>
  <dc:description/>
  <cp:lastModifiedBy>Blanshard, Lisa</cp:lastModifiedBy>
  <cp:revision>9</cp:revision>
  <cp:lastPrinted>2019-03-21T08:25:00Z</cp:lastPrinted>
  <dcterms:created xsi:type="dcterms:W3CDTF">2021-04-14T07:25:00Z</dcterms:created>
  <dcterms:modified xsi:type="dcterms:W3CDTF">2021-05-27T11:01:00Z</dcterms:modified>
</cp:coreProperties>
</file>