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1D90" w14:textId="77777777" w:rsidR="003F00E8" w:rsidRPr="00836096" w:rsidRDefault="003F00E8" w:rsidP="007E126C">
      <w:pPr>
        <w:pStyle w:val="Title"/>
        <w:rPr>
          <w:b w:val="0"/>
          <w:lang w:val="en-US"/>
        </w:rPr>
      </w:pPr>
      <w:r w:rsidRPr="00836096">
        <w:rPr>
          <w:lang w:val="en-US"/>
        </w:rPr>
        <w:t>Audiologist-supported Internet-based Cognitive Behavioral Therapy for Tinnitus in the United States: A Pilot Trial</w:t>
      </w:r>
    </w:p>
    <w:p w14:paraId="3A75BBE2" w14:textId="77777777" w:rsidR="003F00E8" w:rsidRPr="00836096" w:rsidRDefault="003F00E8" w:rsidP="00E745E8">
      <w:pPr>
        <w:spacing w:line="480" w:lineRule="auto"/>
        <w:rPr>
          <w:b/>
          <w:lang w:val="en-US"/>
        </w:rPr>
      </w:pPr>
      <w:proofErr w:type="spellStart"/>
      <w:r w:rsidRPr="00836096">
        <w:rPr>
          <w:b/>
          <w:lang w:val="en-US"/>
        </w:rPr>
        <w:t>Eldré</w:t>
      </w:r>
      <w:proofErr w:type="spellEnd"/>
      <w:r w:rsidRPr="00836096">
        <w:rPr>
          <w:b/>
          <w:lang w:val="en-US"/>
        </w:rPr>
        <w:t xml:space="preserve"> W. Beukes,</w:t>
      </w:r>
      <w:r w:rsidRPr="00836096">
        <w:rPr>
          <w:b/>
          <w:vertAlign w:val="superscript"/>
          <w:lang w:val="en-US"/>
        </w:rPr>
        <w:t>1,2</w:t>
      </w:r>
      <w:r w:rsidRPr="00836096">
        <w:rPr>
          <w:b/>
          <w:lang w:val="en-US"/>
        </w:rPr>
        <w:t xml:space="preserve"> Gerhard Andersson,</w:t>
      </w:r>
      <w:r w:rsidRPr="00836096">
        <w:rPr>
          <w:b/>
          <w:vertAlign w:val="superscript"/>
          <w:lang w:val="en-US"/>
        </w:rPr>
        <w:t xml:space="preserve">3,4 </w:t>
      </w:r>
      <w:r w:rsidRPr="00836096">
        <w:rPr>
          <w:b/>
          <w:lang w:val="en-US"/>
        </w:rPr>
        <w:t>Marc Fagelson,</w:t>
      </w:r>
      <w:r w:rsidRPr="00836096">
        <w:rPr>
          <w:b/>
          <w:vertAlign w:val="superscript"/>
          <w:lang w:val="en-US"/>
        </w:rPr>
        <w:t>5,6</w:t>
      </w:r>
      <w:r w:rsidRPr="00836096">
        <w:rPr>
          <w:b/>
          <w:lang w:val="en-US"/>
        </w:rPr>
        <w:t xml:space="preserve"> &amp; Vinaya Manchaiah</w:t>
      </w:r>
      <w:r w:rsidRPr="00836096">
        <w:rPr>
          <w:b/>
          <w:vertAlign w:val="superscript"/>
          <w:lang w:val="en-US"/>
        </w:rPr>
        <w:t>1,7</w:t>
      </w:r>
    </w:p>
    <w:p w14:paraId="51B5AB23" w14:textId="77777777" w:rsidR="003F00E8" w:rsidRPr="00836096" w:rsidRDefault="003F00E8" w:rsidP="00E745E8">
      <w:pPr>
        <w:spacing w:line="480" w:lineRule="auto"/>
        <w:rPr>
          <w:b/>
          <w:lang w:val="en-US"/>
        </w:rPr>
      </w:pPr>
    </w:p>
    <w:p w14:paraId="41734172" w14:textId="77777777" w:rsidR="003F00E8" w:rsidRPr="00836096" w:rsidRDefault="003F00E8" w:rsidP="00E745E8">
      <w:pPr>
        <w:numPr>
          <w:ilvl w:val="0"/>
          <w:numId w:val="1"/>
        </w:numPr>
        <w:spacing w:line="480" w:lineRule="auto"/>
        <w:ind w:left="714" w:hanging="357"/>
        <w:rPr>
          <w:lang w:val="en-US"/>
        </w:rPr>
      </w:pPr>
      <w:r w:rsidRPr="00836096">
        <w:rPr>
          <w:lang w:val="en-US"/>
        </w:rPr>
        <w:t>Department of Speech and Hearing Sciences, Lamar University, Beaumont, Texas, USA</w:t>
      </w:r>
    </w:p>
    <w:p w14:paraId="7DA2832F" w14:textId="77777777" w:rsidR="003F00E8" w:rsidRPr="00836096" w:rsidRDefault="003F00E8" w:rsidP="00E745E8">
      <w:pPr>
        <w:numPr>
          <w:ilvl w:val="0"/>
          <w:numId w:val="1"/>
        </w:numPr>
        <w:spacing w:line="480" w:lineRule="auto"/>
        <w:ind w:left="714" w:hanging="357"/>
        <w:rPr>
          <w:lang w:val="en-US"/>
        </w:rPr>
      </w:pPr>
      <w:r w:rsidRPr="00836096">
        <w:rPr>
          <w:lang w:val="en-US"/>
        </w:rPr>
        <w:t>Department of Vision and Hearing Sciences, Anglia Ruskin University, Cambridge, UK</w:t>
      </w:r>
    </w:p>
    <w:p w14:paraId="5E8F9AEF" w14:textId="77777777" w:rsidR="003F00E8" w:rsidRPr="00836096" w:rsidRDefault="003F00E8" w:rsidP="00E745E8">
      <w:pPr>
        <w:numPr>
          <w:ilvl w:val="0"/>
          <w:numId w:val="1"/>
        </w:numPr>
        <w:spacing w:line="480" w:lineRule="auto"/>
        <w:ind w:left="714" w:hanging="357"/>
        <w:rPr>
          <w:lang w:val="en-US"/>
        </w:rPr>
      </w:pPr>
      <w:r w:rsidRPr="00836096">
        <w:rPr>
          <w:lang w:val="en-US"/>
        </w:rPr>
        <w:t>Department of Behavioral Sciences and Learning, Linköping University, Linköping, Sweden</w:t>
      </w:r>
    </w:p>
    <w:p w14:paraId="46379C37" w14:textId="77777777" w:rsidR="003F00E8" w:rsidRPr="00836096" w:rsidRDefault="003F00E8" w:rsidP="00E745E8">
      <w:pPr>
        <w:numPr>
          <w:ilvl w:val="0"/>
          <w:numId w:val="1"/>
        </w:numPr>
        <w:spacing w:line="480" w:lineRule="auto"/>
        <w:ind w:left="714" w:hanging="357"/>
        <w:rPr>
          <w:lang w:val="en-US"/>
        </w:rPr>
      </w:pPr>
      <w:r w:rsidRPr="00836096">
        <w:rPr>
          <w:lang w:val="en-US"/>
        </w:rPr>
        <w:t>Department of Clinical Neuroscience, Division of Psychiatry, Karolinska Institute, Stockholm, Sweden</w:t>
      </w:r>
    </w:p>
    <w:p w14:paraId="5E70B834" w14:textId="77777777" w:rsidR="003F00E8" w:rsidRPr="00836096" w:rsidRDefault="003F00E8" w:rsidP="00E745E8">
      <w:pPr>
        <w:numPr>
          <w:ilvl w:val="0"/>
          <w:numId w:val="1"/>
        </w:numPr>
        <w:spacing w:line="480" w:lineRule="auto"/>
        <w:ind w:left="714" w:hanging="357"/>
        <w:rPr>
          <w:lang w:val="en-US"/>
        </w:rPr>
      </w:pPr>
      <w:r w:rsidRPr="00836096">
        <w:rPr>
          <w:lang w:val="en-US"/>
        </w:rPr>
        <w:t xml:space="preserve">Department of Audiology and Speech-Language Pathology, East Tennessee State University, Johnson City, Tennessee, USA </w:t>
      </w:r>
    </w:p>
    <w:p w14:paraId="25579502" w14:textId="77777777" w:rsidR="003F00E8" w:rsidRPr="00836096" w:rsidRDefault="003F00E8" w:rsidP="00E745E8">
      <w:pPr>
        <w:numPr>
          <w:ilvl w:val="0"/>
          <w:numId w:val="1"/>
        </w:numPr>
        <w:spacing w:line="480" w:lineRule="auto"/>
        <w:ind w:left="714" w:hanging="357"/>
        <w:rPr>
          <w:lang w:val="en-US"/>
        </w:rPr>
      </w:pPr>
      <w:r w:rsidRPr="00836096">
        <w:rPr>
          <w:lang w:val="en-US"/>
        </w:rPr>
        <w:t>Audiological Rehabilitation Laboratory, Auditory Vestibular Research Enhancement Award Program, Veterans Affairs Medical Center, Mountain Home, Tennessee, USA</w:t>
      </w:r>
    </w:p>
    <w:p w14:paraId="2BFC39B5" w14:textId="77777777" w:rsidR="003F00E8" w:rsidRPr="00836096" w:rsidRDefault="003F00E8" w:rsidP="00E745E8">
      <w:pPr>
        <w:numPr>
          <w:ilvl w:val="0"/>
          <w:numId w:val="1"/>
        </w:numPr>
        <w:spacing w:line="480" w:lineRule="auto"/>
        <w:ind w:left="714" w:hanging="357"/>
        <w:rPr>
          <w:lang w:val="en-US"/>
        </w:rPr>
      </w:pPr>
      <w:r w:rsidRPr="00836096">
        <w:rPr>
          <w:rFonts w:eastAsiaTheme="minorEastAsia"/>
          <w:lang w:val="en-US"/>
        </w:rPr>
        <w:t>Department of Speech and Hearing, School of Allied Health Sciences, Manipal University, Manipal, Karnataka, India</w:t>
      </w:r>
    </w:p>
    <w:p w14:paraId="063E8F47" w14:textId="77777777" w:rsidR="003F00E8" w:rsidRPr="00836096" w:rsidRDefault="003F00E8" w:rsidP="007E126C">
      <w:pPr>
        <w:pStyle w:val="Heading1"/>
      </w:pPr>
      <w:r w:rsidRPr="00836096">
        <w:t xml:space="preserve">Conflict of Interest </w:t>
      </w:r>
    </w:p>
    <w:p w14:paraId="290B44F3" w14:textId="77777777" w:rsidR="003F00E8" w:rsidRPr="00836096" w:rsidRDefault="003F00E8" w:rsidP="00E745E8">
      <w:pPr>
        <w:spacing w:line="480" w:lineRule="auto"/>
        <w:rPr>
          <w:lang w:val="en-US"/>
        </w:rPr>
      </w:pPr>
      <w:r w:rsidRPr="00836096">
        <w:rPr>
          <w:lang w:val="en-US"/>
        </w:rPr>
        <w:t>There are no relevant conflicts of interest.</w:t>
      </w:r>
    </w:p>
    <w:p w14:paraId="3060F3EC" w14:textId="77777777" w:rsidR="003F00E8" w:rsidRPr="00836096" w:rsidRDefault="003F00E8" w:rsidP="00E745E8">
      <w:pPr>
        <w:spacing w:line="480" w:lineRule="auto"/>
        <w:jc w:val="both"/>
        <w:rPr>
          <w:lang w:val="en-US"/>
        </w:rPr>
      </w:pPr>
    </w:p>
    <w:p w14:paraId="127A6FD1" w14:textId="77777777" w:rsidR="003F00E8" w:rsidRPr="00836096" w:rsidRDefault="003F00E8" w:rsidP="007E126C">
      <w:pPr>
        <w:pStyle w:val="Heading1"/>
      </w:pPr>
      <w:r w:rsidRPr="00836096">
        <w:t xml:space="preserve">Funding </w:t>
      </w:r>
    </w:p>
    <w:p w14:paraId="7E20588C" w14:textId="77777777" w:rsidR="003F00E8" w:rsidRPr="00836096" w:rsidRDefault="003F00E8" w:rsidP="00E745E8">
      <w:pPr>
        <w:spacing w:line="480" w:lineRule="auto"/>
        <w:rPr>
          <w:b/>
          <w:lang w:val="en-US"/>
        </w:rPr>
      </w:pPr>
      <w:r w:rsidRPr="00836096">
        <w:rPr>
          <w:shd w:val="clear" w:color="auto" w:fill="FFFFFF"/>
          <w:lang w:val="en-US"/>
        </w:rPr>
        <w:t>This work is funded by the National Institute on Deafness and Communication Disorders (NIDCD) of the National Institute of Health (NIH) under the award number R21DC017214.</w:t>
      </w:r>
      <w:r w:rsidRPr="00836096">
        <w:rPr>
          <w:b/>
          <w:lang w:val="en-US"/>
        </w:rPr>
        <w:t xml:space="preserve"> </w:t>
      </w:r>
    </w:p>
    <w:p w14:paraId="39F1F8D5" w14:textId="77777777" w:rsidR="003F00E8" w:rsidRPr="00836096" w:rsidRDefault="003F00E8" w:rsidP="00E745E8">
      <w:pPr>
        <w:spacing w:line="480" w:lineRule="auto"/>
        <w:rPr>
          <w:lang w:val="en-US"/>
        </w:rPr>
      </w:pPr>
    </w:p>
    <w:p w14:paraId="12E3D488" w14:textId="77777777" w:rsidR="003F00E8" w:rsidRPr="00836096" w:rsidRDefault="003F00E8" w:rsidP="007E126C">
      <w:pPr>
        <w:pStyle w:val="Heading1"/>
      </w:pPr>
      <w:r w:rsidRPr="00836096">
        <w:lastRenderedPageBreak/>
        <w:t>Address for Correspondence</w:t>
      </w:r>
    </w:p>
    <w:p w14:paraId="495D0E04" w14:textId="77777777" w:rsidR="003F00E8" w:rsidRPr="00836096" w:rsidRDefault="003F00E8" w:rsidP="00E745E8">
      <w:pPr>
        <w:pStyle w:val="xmsonormal"/>
        <w:autoSpaceDE w:val="0"/>
        <w:autoSpaceDN w:val="0"/>
        <w:spacing w:line="480" w:lineRule="auto"/>
        <w:rPr>
          <w:lang w:val="en-US"/>
        </w:rPr>
      </w:pPr>
      <w:proofErr w:type="spellStart"/>
      <w:r w:rsidRPr="00836096">
        <w:rPr>
          <w:lang w:val="en-US"/>
        </w:rPr>
        <w:t>Eldré</w:t>
      </w:r>
      <w:proofErr w:type="spellEnd"/>
      <w:r w:rsidRPr="00836096">
        <w:rPr>
          <w:lang w:val="en-US"/>
        </w:rPr>
        <w:t xml:space="preserve"> Beukes, PhD</w:t>
      </w:r>
    </w:p>
    <w:p w14:paraId="11EF9A87" w14:textId="77777777" w:rsidR="003F00E8" w:rsidRPr="00836096" w:rsidRDefault="003F00E8" w:rsidP="00E745E8">
      <w:pPr>
        <w:pStyle w:val="xmsonormal"/>
        <w:autoSpaceDE w:val="0"/>
        <w:autoSpaceDN w:val="0"/>
        <w:spacing w:line="480" w:lineRule="auto"/>
        <w:rPr>
          <w:lang w:val="en-US"/>
        </w:rPr>
      </w:pPr>
      <w:r w:rsidRPr="00836096">
        <w:rPr>
          <w:lang w:val="en-US"/>
        </w:rPr>
        <w:t xml:space="preserve">Department of Speech and Hearing Sciences, </w:t>
      </w:r>
    </w:p>
    <w:p w14:paraId="3007F62D" w14:textId="77777777" w:rsidR="003F00E8" w:rsidRPr="00836096" w:rsidRDefault="003F00E8" w:rsidP="00E745E8">
      <w:pPr>
        <w:pStyle w:val="xmsonormal"/>
        <w:autoSpaceDE w:val="0"/>
        <w:autoSpaceDN w:val="0"/>
        <w:spacing w:line="480" w:lineRule="auto"/>
        <w:rPr>
          <w:lang w:val="en-US"/>
        </w:rPr>
      </w:pPr>
      <w:r w:rsidRPr="00836096">
        <w:rPr>
          <w:lang w:val="en-US"/>
        </w:rPr>
        <w:t xml:space="preserve">P.O. Box: 10076, Lamar University, </w:t>
      </w:r>
    </w:p>
    <w:p w14:paraId="3C7BDA9D" w14:textId="77777777" w:rsidR="003F00E8" w:rsidRPr="00836096" w:rsidRDefault="003F00E8" w:rsidP="00E745E8">
      <w:pPr>
        <w:pStyle w:val="xmsonormal"/>
        <w:autoSpaceDE w:val="0"/>
        <w:autoSpaceDN w:val="0"/>
        <w:spacing w:line="480" w:lineRule="auto"/>
        <w:rPr>
          <w:lang w:val="en-US"/>
        </w:rPr>
      </w:pPr>
      <w:r w:rsidRPr="00836096">
        <w:rPr>
          <w:lang w:val="en-US"/>
        </w:rPr>
        <w:t>Beaumont, Texas 77710, USA</w:t>
      </w:r>
    </w:p>
    <w:p w14:paraId="767E90B3" w14:textId="77777777" w:rsidR="003F00E8" w:rsidRPr="00836096" w:rsidRDefault="003F00E8" w:rsidP="00E745E8">
      <w:pPr>
        <w:autoSpaceDE w:val="0"/>
        <w:autoSpaceDN w:val="0"/>
        <w:adjustRightInd w:val="0"/>
        <w:spacing w:line="480" w:lineRule="auto"/>
        <w:rPr>
          <w:lang w:val="en-US"/>
        </w:rPr>
      </w:pPr>
      <w:r w:rsidRPr="00836096">
        <w:rPr>
          <w:lang w:val="en-US"/>
        </w:rPr>
        <w:t xml:space="preserve">E-Mail: </w:t>
      </w:r>
      <w:hyperlink r:id="rId11" w:history="1">
        <w:r w:rsidRPr="00836096">
          <w:rPr>
            <w:rStyle w:val="Hyperlink"/>
            <w:color w:val="auto"/>
            <w:lang w:val="en-US"/>
          </w:rPr>
          <w:t>ebeukes@lamar.edu</w:t>
        </w:r>
      </w:hyperlink>
    </w:p>
    <w:p w14:paraId="708210CB" w14:textId="77777777" w:rsidR="003F00E8" w:rsidRPr="00836096" w:rsidRDefault="003F00E8" w:rsidP="00E745E8">
      <w:pPr>
        <w:autoSpaceDE w:val="0"/>
        <w:autoSpaceDN w:val="0"/>
        <w:adjustRightInd w:val="0"/>
        <w:spacing w:line="480" w:lineRule="auto"/>
        <w:rPr>
          <w:rStyle w:val="Hyperlink"/>
          <w:color w:val="auto"/>
          <w:lang w:val="en-US"/>
        </w:rPr>
      </w:pPr>
      <w:r w:rsidRPr="00836096">
        <w:rPr>
          <w:rStyle w:val="Hyperlink"/>
          <w:color w:val="auto"/>
          <w:lang w:val="en-US"/>
        </w:rPr>
        <w:t>Tel: +1 (409) 880 8977</w:t>
      </w:r>
    </w:p>
    <w:p w14:paraId="48CB3FFF" w14:textId="77777777" w:rsidR="003F00E8" w:rsidRPr="00836096" w:rsidRDefault="003F00E8" w:rsidP="00E745E8">
      <w:pPr>
        <w:autoSpaceDE w:val="0"/>
        <w:autoSpaceDN w:val="0"/>
        <w:adjustRightInd w:val="0"/>
        <w:spacing w:line="480" w:lineRule="auto"/>
        <w:rPr>
          <w:rStyle w:val="Hyperlink"/>
          <w:color w:val="auto"/>
          <w:lang w:val="en-US"/>
        </w:rPr>
      </w:pPr>
      <w:r w:rsidRPr="00836096">
        <w:rPr>
          <w:rStyle w:val="Hyperlink"/>
          <w:color w:val="auto"/>
          <w:lang w:val="en-US"/>
        </w:rPr>
        <w:t>Fax: +1 (409) 880 2265</w:t>
      </w:r>
    </w:p>
    <w:p w14:paraId="3862E40B" w14:textId="77777777" w:rsidR="003F00E8" w:rsidRPr="00836096" w:rsidRDefault="003F00E8" w:rsidP="00E745E8">
      <w:pPr>
        <w:autoSpaceDE w:val="0"/>
        <w:autoSpaceDN w:val="0"/>
        <w:adjustRightInd w:val="0"/>
        <w:spacing w:line="480" w:lineRule="auto"/>
        <w:rPr>
          <w:rStyle w:val="Hyperlink"/>
          <w:color w:val="auto"/>
          <w:lang w:val="en-US"/>
        </w:rPr>
      </w:pPr>
    </w:p>
    <w:p w14:paraId="44D33BA2" w14:textId="77777777" w:rsidR="003F00E8" w:rsidRPr="00836096" w:rsidRDefault="003F00E8" w:rsidP="00E745E8">
      <w:pPr>
        <w:spacing w:line="480" w:lineRule="auto"/>
        <w:jc w:val="both"/>
        <w:rPr>
          <w:lang w:val="en-US"/>
        </w:rPr>
      </w:pPr>
    </w:p>
    <w:p w14:paraId="76A3942F" w14:textId="77777777" w:rsidR="003F00E8" w:rsidRPr="00836096" w:rsidRDefault="003F00E8" w:rsidP="007E126C">
      <w:pPr>
        <w:pStyle w:val="Heading1"/>
      </w:pPr>
      <w:r w:rsidRPr="00836096">
        <w:t>Abstract</w:t>
      </w:r>
    </w:p>
    <w:p w14:paraId="7C78C336" w14:textId="57DF1702" w:rsidR="003F00E8" w:rsidRPr="00836096" w:rsidRDefault="003F00E8" w:rsidP="00E745E8">
      <w:pPr>
        <w:spacing w:line="480" w:lineRule="auto"/>
        <w:jc w:val="both"/>
        <w:rPr>
          <w:lang w:val="en-US"/>
        </w:rPr>
      </w:pPr>
      <w:r w:rsidRPr="00836096">
        <w:rPr>
          <w:b/>
          <w:lang w:val="en-US"/>
        </w:rPr>
        <w:t xml:space="preserve">Background: </w:t>
      </w:r>
      <w:r w:rsidR="00241802" w:rsidRPr="00836096">
        <w:rPr>
          <w:lang w:val="en-US"/>
        </w:rPr>
        <w:t xml:space="preserve">Patients often report that </w:t>
      </w:r>
      <w:r w:rsidR="00241802" w:rsidRPr="00836096">
        <w:rPr>
          <w:bCs/>
          <w:lang w:val="en-US"/>
        </w:rPr>
        <w:t>l</w:t>
      </w:r>
      <w:r w:rsidRPr="00836096">
        <w:rPr>
          <w:bCs/>
          <w:lang w:val="en-US"/>
        </w:rPr>
        <w:t xml:space="preserve">iving with a condition such as tinnitus can be debilitating, worrying, and frustrating. Efficient ways to foster management strategies for individuals with tinnitus and promoting tinnitus self-efficacy are needed. </w:t>
      </w:r>
      <w:r w:rsidRPr="00836096">
        <w:rPr>
          <w:lang w:val="en-US"/>
        </w:rPr>
        <w:t xml:space="preserve">Internet-based cognitive behavioral therapy (ICBT) for tinnitus shows promise as an evidence-based intervention in </w:t>
      </w:r>
      <w:proofErr w:type="gramStart"/>
      <w:r w:rsidRPr="00836096">
        <w:rPr>
          <w:lang w:val="en-US"/>
        </w:rPr>
        <w:t>Europe, but</w:t>
      </w:r>
      <w:proofErr w:type="gramEnd"/>
      <w:r w:rsidRPr="00836096">
        <w:rPr>
          <w:lang w:val="en-US"/>
        </w:rPr>
        <w:t xml:space="preserve"> is not available in the United States (US). </w:t>
      </w:r>
      <w:r w:rsidRPr="00836096">
        <w:rPr>
          <w:rFonts w:eastAsiaTheme="minorHAnsi"/>
          <w:lang w:val="en-US"/>
        </w:rPr>
        <w:t xml:space="preserve">The aim of this pilot study was to </w:t>
      </w:r>
      <w:r w:rsidRPr="00836096">
        <w:rPr>
          <w:lang w:val="en-US"/>
        </w:rPr>
        <w:t>evaluate the feasibility of an ICBT intervention for tinnitus in the US.</w:t>
      </w:r>
    </w:p>
    <w:p w14:paraId="3FE5DD70" w14:textId="77777777" w:rsidR="003F00E8" w:rsidRPr="00836096" w:rsidRDefault="003F00E8" w:rsidP="00E745E8">
      <w:pPr>
        <w:spacing w:line="480" w:lineRule="auto"/>
        <w:jc w:val="both"/>
        <w:rPr>
          <w:b/>
          <w:u w:val="single"/>
          <w:lang w:val="en-US"/>
        </w:rPr>
      </w:pPr>
      <w:r w:rsidRPr="00836096">
        <w:rPr>
          <w:b/>
          <w:lang w:val="en-US"/>
        </w:rPr>
        <w:t xml:space="preserve">Method: </w:t>
      </w:r>
      <w:r w:rsidRPr="00836096">
        <w:rPr>
          <w:lang w:val="en-US"/>
        </w:rPr>
        <w:t>This study reports the Phase 1 trial intended to support implementation of a larger randomized clinical trial (RCT) comparing ICBT to a weekly monitoring group.</w:t>
      </w:r>
      <w:r w:rsidRPr="00836096">
        <w:rPr>
          <w:bCs/>
          <w:lang w:val="en-US"/>
        </w:rPr>
        <w:t xml:space="preserve"> As a pilot study, a</w:t>
      </w:r>
      <w:r w:rsidRPr="00836096">
        <w:rPr>
          <w:lang w:val="en-US"/>
        </w:rPr>
        <w:t xml:space="preserve"> single-group pre-</w:t>
      </w:r>
      <w:proofErr w:type="spellStart"/>
      <w:r w:rsidRPr="00836096">
        <w:rPr>
          <w:lang w:val="en-US"/>
        </w:rPr>
        <w:t>post test</w:t>
      </w:r>
      <w:proofErr w:type="spellEnd"/>
      <w:r w:rsidRPr="00836096">
        <w:rPr>
          <w:lang w:val="en-US"/>
        </w:rPr>
        <w:t xml:space="preserve"> design was used to determine outcome potential, recruitment strategy, retention, and adherence rates of ICBT for tinnitus. The primary outcome was a change in tinnitus distress. Secondary outcome measures included measures of anxiety, depression, insomnia, tinnitus cognitions, hearing-related difficulties, and quality of life. </w:t>
      </w:r>
    </w:p>
    <w:p w14:paraId="706CDE09" w14:textId="77777777" w:rsidR="003F00E8" w:rsidRPr="00836096" w:rsidRDefault="003F00E8" w:rsidP="00E745E8">
      <w:pPr>
        <w:spacing w:line="480" w:lineRule="auto"/>
        <w:jc w:val="both"/>
        <w:rPr>
          <w:bCs/>
          <w:lang w:val="en-US"/>
        </w:rPr>
      </w:pPr>
      <w:r w:rsidRPr="00836096">
        <w:rPr>
          <w:b/>
          <w:lang w:val="en-US"/>
        </w:rPr>
        <w:lastRenderedPageBreak/>
        <w:t>Results:</w:t>
      </w:r>
      <w:r w:rsidRPr="00836096">
        <w:rPr>
          <w:bCs/>
          <w:lang w:val="en-US"/>
        </w:rPr>
        <w:t xml:space="preserve"> Of the 42 screened participants, 9 did not meet the inclusion criteria and 6 withdrew. There were 27 participants who completed the intervention, with a mean age of 55.48 (</w:t>
      </w:r>
      <w:r w:rsidRPr="00836096">
        <w:rPr>
          <w:lang w:val="en-US"/>
        </w:rPr>
        <w:t xml:space="preserve">± 9.9) years. </w:t>
      </w:r>
    </w:p>
    <w:p w14:paraId="1B8F02FF" w14:textId="3CBB02AF" w:rsidR="003F00E8" w:rsidRPr="00836096" w:rsidRDefault="003F00E8" w:rsidP="00E745E8">
      <w:pPr>
        <w:spacing w:line="480" w:lineRule="auto"/>
        <w:jc w:val="both"/>
        <w:rPr>
          <w:lang w:val="en-US"/>
        </w:rPr>
      </w:pPr>
      <w:r w:rsidRPr="00836096">
        <w:rPr>
          <w:lang w:val="en-US"/>
        </w:rPr>
        <w:t>Feasibility was established, as a large pre-</w:t>
      </w:r>
      <w:proofErr w:type="spellStart"/>
      <w:r w:rsidRPr="00836096">
        <w:rPr>
          <w:lang w:val="en-US"/>
        </w:rPr>
        <w:t>post test</w:t>
      </w:r>
      <w:proofErr w:type="spellEnd"/>
      <w:r w:rsidRPr="00836096">
        <w:rPr>
          <w:lang w:val="en-US"/>
        </w:rPr>
        <w:t xml:space="preserve"> effect size of </w:t>
      </w:r>
      <w:r w:rsidRPr="00836096">
        <w:rPr>
          <w:i/>
          <w:iCs/>
          <w:lang w:val="en-US"/>
        </w:rPr>
        <w:t>d</w:t>
      </w:r>
      <w:r w:rsidRPr="00836096">
        <w:rPr>
          <w:lang w:val="en-US"/>
        </w:rPr>
        <w:t xml:space="preserve"> = 1.6 was found for tinnitus severity. Large pre-</w:t>
      </w:r>
      <w:proofErr w:type="spellStart"/>
      <w:r w:rsidRPr="00836096">
        <w:rPr>
          <w:lang w:val="en-US"/>
        </w:rPr>
        <w:t>post test</w:t>
      </w:r>
      <w:proofErr w:type="spellEnd"/>
      <w:r w:rsidRPr="00836096">
        <w:rPr>
          <w:lang w:val="en-US"/>
        </w:rPr>
        <w:t xml:space="preserve"> effect sizes were also found for tinnitus cognitions and hearing-related effects and a medium effect was found for insomnia, and quality of life. </w:t>
      </w:r>
      <w:r w:rsidR="008A489B" w:rsidRPr="00836096">
        <w:rPr>
          <w:lang w:val="en-US"/>
        </w:rPr>
        <w:t xml:space="preserve">Treatment adherence varied with a </w:t>
      </w:r>
      <w:r w:rsidRPr="00836096">
        <w:rPr>
          <w:lang w:val="en-US"/>
        </w:rPr>
        <w:t xml:space="preserve">retention </w:t>
      </w:r>
      <w:r w:rsidR="008A489B" w:rsidRPr="00836096">
        <w:rPr>
          <w:lang w:val="en-US"/>
        </w:rPr>
        <w:t>rate of 85</w:t>
      </w:r>
      <w:r w:rsidRPr="00836096">
        <w:rPr>
          <w:lang w:val="en-US"/>
        </w:rPr>
        <w:t xml:space="preserve">% </w:t>
      </w:r>
      <w:r w:rsidR="008A489B" w:rsidRPr="00836096">
        <w:rPr>
          <w:lang w:val="en-US"/>
        </w:rPr>
        <w:t xml:space="preserve">(n = 23) at post-intervention assessment and 67% (n = 18) for the follow-up assessment.  </w:t>
      </w:r>
    </w:p>
    <w:p w14:paraId="5872B0B3" w14:textId="05D56617" w:rsidR="003F00E8" w:rsidRPr="00836096" w:rsidRDefault="003F00E8" w:rsidP="00E745E8">
      <w:pPr>
        <w:spacing w:line="480" w:lineRule="auto"/>
        <w:jc w:val="both"/>
        <w:rPr>
          <w:b/>
          <w:lang w:val="en-US"/>
        </w:rPr>
      </w:pPr>
      <w:r w:rsidRPr="00836096">
        <w:rPr>
          <w:b/>
          <w:lang w:val="en-US"/>
        </w:rPr>
        <w:t xml:space="preserve">Conclusions: </w:t>
      </w:r>
      <w:r w:rsidRPr="00836096">
        <w:rPr>
          <w:lang w:val="en-US"/>
        </w:rPr>
        <w:t xml:space="preserve">This pilot study supported the feasibility of ICBT for tinnitus in the US.  Ways of improving intervention retention and recruitment rates need to be explored in future ICBT studies. Protocol refinements that were identified will be implemented prior to further RCT’s to investigate the efficacy of ICBT for tinnitus in the US. </w:t>
      </w:r>
    </w:p>
    <w:p w14:paraId="42F1A87B" w14:textId="77777777" w:rsidR="003F00E8" w:rsidRPr="00836096" w:rsidRDefault="003F00E8" w:rsidP="00E745E8">
      <w:pPr>
        <w:spacing w:line="480" w:lineRule="auto"/>
        <w:jc w:val="both"/>
        <w:rPr>
          <w:b/>
          <w:lang w:val="en-US"/>
        </w:rPr>
      </w:pPr>
    </w:p>
    <w:p w14:paraId="4BD94E46" w14:textId="77777777" w:rsidR="003F00E8" w:rsidRPr="00836096" w:rsidRDefault="003F00E8" w:rsidP="00E745E8">
      <w:pPr>
        <w:spacing w:line="480" w:lineRule="auto"/>
        <w:jc w:val="both"/>
        <w:rPr>
          <w:lang w:val="en-US"/>
        </w:rPr>
      </w:pPr>
      <w:r w:rsidRPr="00836096">
        <w:rPr>
          <w:b/>
          <w:lang w:val="en-US"/>
        </w:rPr>
        <w:t>Keywords</w:t>
      </w:r>
    </w:p>
    <w:p w14:paraId="6A9CBA3B" w14:textId="2C36A5B6" w:rsidR="003F00E8" w:rsidRPr="00836096" w:rsidRDefault="003F00E8" w:rsidP="00E745E8">
      <w:pPr>
        <w:spacing w:line="480" w:lineRule="auto"/>
        <w:jc w:val="both"/>
        <w:rPr>
          <w:lang w:val="en-US"/>
        </w:rPr>
      </w:pPr>
      <w:r w:rsidRPr="00836096">
        <w:rPr>
          <w:lang w:val="en-US"/>
        </w:rPr>
        <w:t xml:space="preserve">Tinnitus, </w:t>
      </w:r>
      <w:r w:rsidR="00836096">
        <w:rPr>
          <w:lang w:val="en-US"/>
        </w:rPr>
        <w:t xml:space="preserve">Internet </w:t>
      </w:r>
      <w:r w:rsidR="00062160" w:rsidRPr="00836096">
        <w:rPr>
          <w:lang w:val="en-US"/>
        </w:rPr>
        <w:t xml:space="preserve">intervention, cognitive behavioral therapy, </w:t>
      </w:r>
      <w:r w:rsidRPr="00836096">
        <w:rPr>
          <w:lang w:val="en-US"/>
        </w:rPr>
        <w:t xml:space="preserve">Tinnitus treatment, e-Health, </w:t>
      </w:r>
      <w:proofErr w:type="spellStart"/>
      <w:r w:rsidRPr="00836096">
        <w:rPr>
          <w:lang w:val="en-US"/>
        </w:rPr>
        <w:t>Teleaudiology</w:t>
      </w:r>
      <w:proofErr w:type="spellEnd"/>
      <w:r w:rsidRPr="00836096">
        <w:rPr>
          <w:lang w:val="en-US"/>
        </w:rPr>
        <w:t xml:space="preserve">, </w:t>
      </w:r>
      <w:r w:rsidR="00062160" w:rsidRPr="00836096">
        <w:rPr>
          <w:lang w:val="en-US"/>
        </w:rPr>
        <w:t>digital therapeutics</w:t>
      </w:r>
    </w:p>
    <w:p w14:paraId="5BD51822" w14:textId="0F872452" w:rsidR="003F00E8" w:rsidRPr="00836096" w:rsidRDefault="003F00E8" w:rsidP="00E745E8">
      <w:pPr>
        <w:spacing w:line="480" w:lineRule="auto"/>
        <w:rPr>
          <w:lang w:val="en-US"/>
        </w:rPr>
      </w:pPr>
    </w:p>
    <w:p w14:paraId="190BB907" w14:textId="77777777" w:rsidR="003F00E8" w:rsidRPr="00836096" w:rsidRDefault="003F00E8" w:rsidP="007E126C">
      <w:pPr>
        <w:pStyle w:val="Heading1"/>
      </w:pPr>
      <w:r w:rsidRPr="00836096">
        <w:t>Introduction</w:t>
      </w:r>
    </w:p>
    <w:p w14:paraId="71C611DD" w14:textId="5E10D69E" w:rsidR="003F00E8" w:rsidRPr="00836096" w:rsidRDefault="003F00E8" w:rsidP="00E745E8">
      <w:pPr>
        <w:spacing w:line="480" w:lineRule="auto"/>
        <w:rPr>
          <w:lang w:val="en-US"/>
        </w:rPr>
      </w:pPr>
      <w:r w:rsidRPr="00836096">
        <w:rPr>
          <w:lang w:val="en-US"/>
        </w:rPr>
        <w:t>Although some health-related conditions may not be life-threatening, their effects may produce durable life-changing and debilitating experiences for patients. One such symptom is tinnitus, in which individuals hear sounds in their ears or head that do not originate from the environment. Various conditions are associated with developing tinnitus, including ear disorders (</w:t>
      </w:r>
      <w:proofErr w:type="spellStart"/>
      <w:r w:rsidRPr="00836096">
        <w:rPr>
          <w:lang w:val="en-US"/>
        </w:rPr>
        <w:t>Kostev</w:t>
      </w:r>
      <w:proofErr w:type="spellEnd"/>
      <w:r w:rsidRPr="00836096">
        <w:rPr>
          <w:lang w:val="en-US"/>
        </w:rPr>
        <w:t xml:space="preserve"> et al., 2019), exposure to loud noise, presence of a hearing loss and increasing age (Kim et al., 2015).  Tinnitus is highly prevalent, with an estimated 10-15% of the adult population reporting hearing </w:t>
      </w:r>
      <w:r w:rsidRPr="00836096">
        <w:rPr>
          <w:lang w:val="en-US"/>
        </w:rPr>
        <w:lastRenderedPageBreak/>
        <w:t xml:space="preserve">tinnitus (McCormack et al., 2016). Reactions to tinnitus can greatly vary between individuals (Beukes et al., 2020a). Although tinnitus is not bothersome for the majority of individuals, there </w:t>
      </w:r>
      <w:r w:rsidR="002160C2" w:rsidRPr="00836096">
        <w:rPr>
          <w:lang w:val="en-US"/>
        </w:rPr>
        <w:t xml:space="preserve">are </w:t>
      </w:r>
      <w:r w:rsidR="00241802" w:rsidRPr="00836096">
        <w:rPr>
          <w:lang w:val="en-US"/>
        </w:rPr>
        <w:t xml:space="preserve">millions of </w:t>
      </w:r>
      <w:proofErr w:type="gramStart"/>
      <w:r w:rsidR="00241802" w:rsidRPr="00836096">
        <w:rPr>
          <w:lang w:val="en-US"/>
        </w:rPr>
        <w:t>individual</w:t>
      </w:r>
      <w:proofErr w:type="gramEnd"/>
      <w:r w:rsidR="00241802" w:rsidRPr="00836096">
        <w:rPr>
          <w:lang w:val="en-US"/>
        </w:rPr>
        <w:t xml:space="preserve"> who find</w:t>
      </w:r>
      <w:r w:rsidRPr="00836096">
        <w:rPr>
          <w:lang w:val="en-US"/>
        </w:rPr>
        <w:t xml:space="preserve"> it distressing, resulting in activity limitations and participation restrictions</w:t>
      </w:r>
      <w:r w:rsidR="00FE61C6" w:rsidRPr="00836096">
        <w:rPr>
          <w:lang w:val="en-US"/>
        </w:rPr>
        <w:t xml:space="preserve"> </w:t>
      </w:r>
      <w:sdt>
        <w:sdtPr>
          <w:rPr>
            <w:lang w:val="en-US"/>
          </w:rPr>
          <w:id w:val="1478797517"/>
          <w:citation/>
        </w:sdtPr>
        <w:sdtEndPr/>
        <w:sdtContent>
          <w:r w:rsidRPr="00836096">
            <w:rPr>
              <w:lang w:val="en-US"/>
            </w:rPr>
            <w:fldChar w:fldCharType="begin"/>
          </w:r>
          <w:r w:rsidRPr="00836096">
            <w:rPr>
              <w:lang w:val="en-US"/>
            </w:rPr>
            <w:instrText xml:space="preserve">CITATION ManICF \l 2057 </w:instrText>
          </w:r>
          <w:r w:rsidRPr="00836096">
            <w:rPr>
              <w:lang w:val="en-US"/>
            </w:rPr>
            <w:fldChar w:fldCharType="separate"/>
          </w:r>
          <w:r w:rsidRPr="00836096">
            <w:rPr>
              <w:noProof/>
              <w:lang w:val="en-US"/>
            </w:rPr>
            <w:t>(Manchaiah, et al., 2018a)</w:t>
          </w:r>
          <w:r w:rsidRPr="00836096">
            <w:rPr>
              <w:lang w:val="en-US"/>
            </w:rPr>
            <w:fldChar w:fldCharType="end"/>
          </w:r>
        </w:sdtContent>
      </w:sdt>
      <w:r w:rsidRPr="00836096">
        <w:rPr>
          <w:lang w:val="en-US"/>
        </w:rPr>
        <w:t xml:space="preserve">. For those with chronic distressing tinnitus, there are various management strategies that can </w:t>
      </w:r>
      <w:r w:rsidR="00241802" w:rsidRPr="00836096">
        <w:rPr>
          <w:lang w:val="en-US"/>
        </w:rPr>
        <w:t xml:space="preserve">address quality-of-life issues, coping with tinnitus effects, that that foster </w:t>
      </w:r>
      <w:r w:rsidRPr="00836096">
        <w:rPr>
          <w:lang w:val="en-US"/>
        </w:rPr>
        <w:t>individuals</w:t>
      </w:r>
      <w:r w:rsidR="00241802" w:rsidRPr="00836096">
        <w:rPr>
          <w:lang w:val="en-US"/>
        </w:rPr>
        <w:t>’</w:t>
      </w:r>
      <w:r w:rsidRPr="00836096">
        <w:rPr>
          <w:lang w:val="en-US"/>
        </w:rPr>
        <w:t xml:space="preserve"> habituat</w:t>
      </w:r>
      <w:r w:rsidR="00241802" w:rsidRPr="00836096">
        <w:rPr>
          <w:lang w:val="en-US"/>
        </w:rPr>
        <w:t>ion</w:t>
      </w:r>
      <w:r w:rsidRPr="00836096">
        <w:rPr>
          <w:lang w:val="en-US"/>
        </w:rPr>
        <w:t xml:space="preserve"> to the tinnitus sensation</w:t>
      </w:r>
      <w:r w:rsidR="002160C2" w:rsidRPr="00836096">
        <w:rPr>
          <w:lang w:val="en-US"/>
        </w:rPr>
        <w:t xml:space="preserve"> </w:t>
      </w:r>
      <w:r w:rsidR="00241802" w:rsidRPr="00836096">
        <w:rPr>
          <w:lang w:val="en-US"/>
        </w:rPr>
        <w:t>Audiologists often employ strategies</w:t>
      </w:r>
      <w:r w:rsidRPr="00836096">
        <w:rPr>
          <w:lang w:val="en-US"/>
        </w:rPr>
        <w:t xml:space="preserve"> </w:t>
      </w:r>
      <w:r w:rsidR="00241802" w:rsidRPr="00836096">
        <w:rPr>
          <w:lang w:val="en-US"/>
        </w:rPr>
        <w:t xml:space="preserve">that </w:t>
      </w:r>
      <w:r w:rsidRPr="00836096">
        <w:rPr>
          <w:lang w:val="en-US"/>
        </w:rPr>
        <w:t>includ</w:t>
      </w:r>
      <w:r w:rsidR="00241802" w:rsidRPr="00836096">
        <w:rPr>
          <w:lang w:val="en-US"/>
        </w:rPr>
        <w:t>e</w:t>
      </w:r>
      <w:r w:rsidRPr="00836096">
        <w:rPr>
          <w:lang w:val="en-US"/>
        </w:rPr>
        <w:t xml:space="preserve"> directed counselling, sound enrichment</w:t>
      </w:r>
      <w:r w:rsidR="00241802" w:rsidRPr="00836096">
        <w:rPr>
          <w:lang w:val="en-US"/>
        </w:rPr>
        <w:t>,</w:t>
      </w:r>
      <w:r w:rsidRPr="00836096">
        <w:rPr>
          <w:lang w:val="en-US"/>
        </w:rPr>
        <w:t xml:space="preserve"> and </w:t>
      </w:r>
      <w:r w:rsidR="00241802" w:rsidRPr="00836096">
        <w:rPr>
          <w:lang w:val="en-US"/>
        </w:rPr>
        <w:t xml:space="preserve">when indicated by hearing loss, </w:t>
      </w:r>
      <w:r w:rsidRPr="00836096">
        <w:rPr>
          <w:lang w:val="en-US"/>
        </w:rPr>
        <w:t>the fitting of hearing aids</w:t>
      </w:r>
      <w:sdt>
        <w:sdtPr>
          <w:rPr>
            <w:lang w:val="en-US"/>
          </w:rPr>
          <w:id w:val="1865092352"/>
          <w:citation/>
        </w:sdtPr>
        <w:sdtEndPr/>
        <w:sdtContent>
          <w:r w:rsidRPr="00836096">
            <w:rPr>
              <w:lang w:val="en-US"/>
            </w:rPr>
            <w:fldChar w:fldCharType="begin"/>
          </w:r>
          <w:r w:rsidRPr="00836096">
            <w:rPr>
              <w:lang w:val="en-US"/>
            </w:rPr>
            <w:instrText xml:space="preserve"> CITATION Zen171 \l 2057 </w:instrText>
          </w:r>
          <w:r w:rsidRPr="00836096">
            <w:rPr>
              <w:lang w:val="en-US"/>
            </w:rPr>
            <w:fldChar w:fldCharType="separate"/>
          </w:r>
          <w:r w:rsidRPr="00836096">
            <w:rPr>
              <w:noProof/>
              <w:lang w:val="en-US"/>
            </w:rPr>
            <w:t xml:space="preserve"> (Zenner, et al., 2017)</w:t>
          </w:r>
          <w:r w:rsidRPr="00836096">
            <w:rPr>
              <w:lang w:val="en-US"/>
            </w:rPr>
            <w:fldChar w:fldCharType="end"/>
          </w:r>
        </w:sdtContent>
      </w:sdt>
      <w:r w:rsidRPr="00836096">
        <w:rPr>
          <w:lang w:val="en-US"/>
        </w:rPr>
        <w:t xml:space="preserve">. In addition to these strategies, </w:t>
      </w:r>
      <w:r w:rsidR="00241802" w:rsidRPr="00836096">
        <w:rPr>
          <w:lang w:val="en-US"/>
        </w:rPr>
        <w:t>however, the strongest evidence-based</w:t>
      </w:r>
      <w:r w:rsidRPr="00836096">
        <w:rPr>
          <w:lang w:val="en-US"/>
        </w:rPr>
        <w:t xml:space="preserve"> approach found helpful for addressing </w:t>
      </w:r>
      <w:r w:rsidR="00241802" w:rsidRPr="00836096">
        <w:rPr>
          <w:lang w:val="en-US"/>
        </w:rPr>
        <w:t>negative</w:t>
      </w:r>
      <w:r w:rsidRPr="00836096">
        <w:rPr>
          <w:lang w:val="en-US"/>
        </w:rPr>
        <w:t xml:space="preserve"> reactions and behaviors towards tinnitus is a psychological approach known as Cognitive Behavioral Therapy (CBT). Numerous clinical trials and systematic reviews have indicated the efficacy of CBT in tinnitus management (see systematic reviews by Fuller et al., 2020 and Landry et al., 2020). CBT</w:t>
      </w:r>
      <w:r w:rsidRPr="00836096">
        <w:rPr>
          <w:rFonts w:eastAsiaTheme="minorHAnsi"/>
          <w:lang w:val="en-US"/>
        </w:rPr>
        <w:t xml:space="preserve"> is recommended in most practice guidelines including those provided by the American Academy of Otolaryngology-Head and Neck Surgery (AAO-HNS) </w:t>
      </w:r>
      <w:sdt>
        <w:sdtPr>
          <w:rPr>
            <w:rFonts w:eastAsiaTheme="minorHAnsi"/>
            <w:lang w:val="en-US"/>
          </w:rPr>
          <w:id w:val="-194228137"/>
          <w:citation/>
        </w:sdtPr>
        <w:sdtEndPr/>
        <w:sdtContent>
          <w:r w:rsidRPr="00836096">
            <w:rPr>
              <w:rFonts w:eastAsiaTheme="minorHAnsi"/>
              <w:lang w:val="en-US"/>
            </w:rPr>
            <w:fldChar w:fldCharType="begin"/>
          </w:r>
          <w:r w:rsidRPr="00836096">
            <w:rPr>
              <w:rFonts w:eastAsiaTheme="minorHAnsi"/>
              <w:lang w:val="en-US"/>
            </w:rPr>
            <w:instrText>CITATION Tun14 \l 2057  \m Ful17</w:instrText>
          </w:r>
          <w:r w:rsidRPr="00836096">
            <w:rPr>
              <w:rFonts w:eastAsiaTheme="minorHAnsi"/>
              <w:lang w:val="en-US"/>
            </w:rPr>
            <w:fldChar w:fldCharType="separate"/>
          </w:r>
          <w:r w:rsidRPr="00836096">
            <w:rPr>
              <w:rFonts w:eastAsiaTheme="minorHAnsi"/>
              <w:noProof/>
              <w:lang w:val="en-US"/>
            </w:rPr>
            <w:t>(Tunkel, et al., 2014; Fuller, et al., 2017)</w:t>
          </w:r>
          <w:r w:rsidRPr="00836096">
            <w:rPr>
              <w:rFonts w:eastAsiaTheme="minorHAnsi"/>
              <w:lang w:val="en-US"/>
            </w:rPr>
            <w:fldChar w:fldCharType="end"/>
          </w:r>
        </w:sdtContent>
      </w:sdt>
      <w:r w:rsidRPr="00836096">
        <w:rPr>
          <w:rFonts w:eastAsiaTheme="minorHAnsi"/>
          <w:lang w:val="en-US"/>
        </w:rPr>
        <w:t xml:space="preserve">. </w:t>
      </w:r>
      <w:r w:rsidRPr="00836096">
        <w:rPr>
          <w:lang w:val="en-US"/>
        </w:rPr>
        <w:t xml:space="preserve">Despite these recommendations, CBT is seldomly provided to those with tinnitus in the U.S. and the world at large. </w:t>
      </w:r>
      <w:r w:rsidRPr="00836096">
        <w:rPr>
          <w:rFonts w:eastAsiaTheme="minorHAnsi"/>
          <w:lang w:val="en-US"/>
        </w:rPr>
        <w:t xml:space="preserve">For instance, a large-scale epidemiological study (n=75,764) in the U.S. showed that CBT was discussed with only 0.2% of patients, whereas the use of medication, for which supporting evidence was weakest, was discussed with 46% of patients </w:t>
      </w:r>
      <w:sdt>
        <w:sdtPr>
          <w:rPr>
            <w:rFonts w:eastAsiaTheme="minorHAnsi"/>
            <w:lang w:val="en-US"/>
          </w:rPr>
          <w:id w:val="793173346"/>
          <w:citation/>
        </w:sdtPr>
        <w:sdtEndPr/>
        <w:sdtContent>
          <w:r w:rsidRPr="00836096">
            <w:rPr>
              <w:rFonts w:eastAsiaTheme="minorHAnsi"/>
              <w:lang w:val="en-US"/>
            </w:rPr>
            <w:fldChar w:fldCharType="begin"/>
          </w:r>
          <w:r w:rsidRPr="00836096">
            <w:rPr>
              <w:rFonts w:eastAsiaTheme="minorHAnsi"/>
              <w:lang w:val="en-US"/>
            </w:rPr>
            <w:instrText xml:space="preserve"> CITATION Bha161 \l 2057 </w:instrText>
          </w:r>
          <w:r w:rsidRPr="00836096">
            <w:rPr>
              <w:rFonts w:eastAsiaTheme="minorHAnsi"/>
              <w:lang w:val="en-US"/>
            </w:rPr>
            <w:fldChar w:fldCharType="separate"/>
          </w:r>
          <w:r w:rsidRPr="00836096">
            <w:rPr>
              <w:rFonts w:eastAsiaTheme="minorHAnsi"/>
              <w:noProof/>
              <w:lang w:val="en-US"/>
            </w:rPr>
            <w:t>(Bhatt, Lin, &amp; Bhattacharyya, 2016)</w:t>
          </w:r>
          <w:r w:rsidRPr="00836096">
            <w:rPr>
              <w:rFonts w:eastAsiaTheme="minorHAnsi"/>
              <w:lang w:val="en-US"/>
            </w:rPr>
            <w:fldChar w:fldCharType="end"/>
          </w:r>
        </w:sdtContent>
      </w:sdt>
      <w:r w:rsidRPr="00836096">
        <w:rPr>
          <w:rFonts w:eastAsiaTheme="minorHAnsi"/>
          <w:lang w:val="en-US"/>
        </w:rPr>
        <w:t xml:space="preserve">. </w:t>
      </w:r>
      <w:r w:rsidR="00A86699" w:rsidRPr="00836096">
        <w:rPr>
          <w:lang w:val="en-US"/>
        </w:rPr>
        <w:t>Several</w:t>
      </w:r>
      <w:r w:rsidRPr="00836096">
        <w:rPr>
          <w:lang w:val="en-US"/>
        </w:rPr>
        <w:t xml:space="preserve"> </w:t>
      </w:r>
      <w:r w:rsidR="00A86699" w:rsidRPr="00836096">
        <w:rPr>
          <w:lang w:val="en-US"/>
        </w:rPr>
        <w:t>barriers</w:t>
      </w:r>
      <w:r w:rsidRPr="00836096">
        <w:rPr>
          <w:lang w:val="en-US"/>
        </w:rPr>
        <w:t xml:space="preserve"> limit accessible CBT interventions for tinnitus</w:t>
      </w:r>
      <w:r w:rsidR="002160C2" w:rsidRPr="00836096">
        <w:rPr>
          <w:lang w:val="en-US"/>
        </w:rPr>
        <w:t xml:space="preserve">. </w:t>
      </w:r>
      <w:r w:rsidR="00695F0A" w:rsidRPr="00836096">
        <w:rPr>
          <w:lang w:val="en-US"/>
        </w:rPr>
        <w:t xml:space="preserve">These include medicolegal </w:t>
      </w:r>
      <w:proofErr w:type="gramStart"/>
      <w:r w:rsidR="00695F0A" w:rsidRPr="00836096">
        <w:rPr>
          <w:lang w:val="en-US"/>
        </w:rPr>
        <w:t>obstacles,</w:t>
      </w:r>
      <w:proofErr w:type="gramEnd"/>
      <w:r w:rsidR="00695F0A" w:rsidRPr="00836096">
        <w:rPr>
          <w:lang w:val="en-US"/>
        </w:rPr>
        <w:t xml:space="preserve"> such psychologists not being allowed to practice across states. </w:t>
      </w:r>
      <w:r w:rsidR="002160C2" w:rsidRPr="00836096">
        <w:rPr>
          <w:lang w:val="en-US"/>
        </w:rPr>
        <w:t>B</w:t>
      </w:r>
      <w:r w:rsidRPr="00836096">
        <w:rPr>
          <w:lang w:val="en-US"/>
        </w:rPr>
        <w:t>oundaries between disciplines</w:t>
      </w:r>
      <w:r w:rsidR="00A86699" w:rsidRPr="00836096">
        <w:rPr>
          <w:lang w:val="en-US"/>
        </w:rPr>
        <w:t xml:space="preserve"> may reduce the number of clinicians willing to employ strategies for which they are not licensed,</w:t>
      </w:r>
      <w:r w:rsidRPr="00836096">
        <w:rPr>
          <w:lang w:val="en-US"/>
        </w:rPr>
        <w:t xml:space="preserve"> few psychologists </w:t>
      </w:r>
      <w:r w:rsidR="00A86699" w:rsidRPr="00836096">
        <w:rPr>
          <w:lang w:val="en-US"/>
        </w:rPr>
        <w:t xml:space="preserve">routinely provide CBT for patients with bothersome tinnitus, </w:t>
      </w:r>
      <w:r w:rsidRPr="00836096">
        <w:rPr>
          <w:lang w:val="en-US"/>
        </w:rPr>
        <w:t xml:space="preserve">and </w:t>
      </w:r>
      <w:r w:rsidR="00A86699" w:rsidRPr="00836096">
        <w:rPr>
          <w:lang w:val="en-US"/>
        </w:rPr>
        <w:t xml:space="preserve">indeed, </w:t>
      </w:r>
      <w:r w:rsidR="002160C2" w:rsidRPr="00836096">
        <w:rPr>
          <w:lang w:val="en-US"/>
        </w:rPr>
        <w:t>a limited number of</w:t>
      </w:r>
      <w:r w:rsidR="00A86699" w:rsidRPr="00836096">
        <w:rPr>
          <w:lang w:val="en-US"/>
        </w:rPr>
        <w:t xml:space="preserve"> </w:t>
      </w:r>
      <w:r w:rsidRPr="00836096">
        <w:rPr>
          <w:lang w:val="en-US"/>
        </w:rPr>
        <w:t xml:space="preserve">audiologists </w:t>
      </w:r>
      <w:r w:rsidR="00A86699" w:rsidRPr="00836096">
        <w:rPr>
          <w:lang w:val="en-US"/>
        </w:rPr>
        <w:lastRenderedPageBreak/>
        <w:t xml:space="preserve">routinely deliver </w:t>
      </w:r>
      <w:r w:rsidRPr="00836096">
        <w:rPr>
          <w:lang w:val="en-US"/>
        </w:rPr>
        <w:t xml:space="preserve">tinnitus services </w:t>
      </w:r>
      <w:sdt>
        <w:sdtPr>
          <w:rPr>
            <w:rFonts w:eastAsiaTheme="minorHAnsi"/>
            <w:lang w:val="en-US"/>
          </w:rPr>
          <w:id w:val="-852112614"/>
          <w:citation/>
        </w:sdtPr>
        <w:sdtEndPr/>
        <w:sdtContent>
          <w:r w:rsidRPr="00836096">
            <w:rPr>
              <w:rFonts w:eastAsiaTheme="minorHAnsi"/>
              <w:lang w:val="en-US"/>
            </w:rPr>
            <w:fldChar w:fldCharType="begin"/>
          </w:r>
          <w:r w:rsidRPr="00836096">
            <w:rPr>
              <w:rFonts w:eastAsiaTheme="minorHAnsi"/>
              <w:lang w:val="en-US"/>
            </w:rPr>
            <w:instrText xml:space="preserve"> CITATION Pla19 \l 2057 </w:instrText>
          </w:r>
          <w:r w:rsidRPr="00836096">
            <w:rPr>
              <w:rFonts w:eastAsiaTheme="minorHAnsi"/>
              <w:lang w:val="en-US"/>
            </w:rPr>
            <w:fldChar w:fldCharType="separate"/>
          </w:r>
          <w:r w:rsidRPr="00836096">
            <w:rPr>
              <w:rFonts w:eastAsiaTheme="minorHAnsi"/>
              <w:noProof/>
              <w:lang w:val="en-US"/>
            </w:rPr>
            <w:t>(Planey, 2019)</w:t>
          </w:r>
          <w:r w:rsidRPr="00836096">
            <w:rPr>
              <w:rFonts w:eastAsiaTheme="minorHAnsi"/>
              <w:lang w:val="en-US"/>
            </w:rPr>
            <w:fldChar w:fldCharType="end"/>
          </w:r>
        </w:sdtContent>
      </w:sdt>
      <w:r w:rsidR="00A86699" w:rsidRPr="00836096">
        <w:rPr>
          <w:rFonts w:eastAsiaTheme="minorHAnsi"/>
          <w:lang w:val="en-US"/>
        </w:rPr>
        <w:t xml:space="preserve"> despite the great need among the clinical population</w:t>
      </w:r>
      <w:r w:rsidRPr="00836096">
        <w:rPr>
          <w:rFonts w:eastAsiaTheme="minorHAnsi"/>
          <w:lang w:val="en-US"/>
        </w:rPr>
        <w:t xml:space="preserve">. Although audiologist </w:t>
      </w:r>
      <w:proofErr w:type="gramStart"/>
      <w:r w:rsidRPr="00836096">
        <w:rPr>
          <w:rFonts w:eastAsiaTheme="minorHAnsi"/>
          <w:lang w:val="en-US"/>
        </w:rPr>
        <w:t>are</w:t>
      </w:r>
      <w:proofErr w:type="gramEnd"/>
      <w:r w:rsidRPr="00836096">
        <w:rPr>
          <w:rFonts w:eastAsiaTheme="minorHAnsi"/>
          <w:lang w:val="en-US"/>
        </w:rPr>
        <w:t xml:space="preserve"> generally involved in the management of tinnitus, their primary training is not the use of psychological interventions,</w:t>
      </w:r>
      <w:r w:rsidR="00A86699" w:rsidRPr="00836096">
        <w:rPr>
          <w:rFonts w:eastAsiaTheme="minorHAnsi"/>
          <w:lang w:val="en-US"/>
        </w:rPr>
        <w:t xml:space="preserve"> and this lack is expressed</w:t>
      </w:r>
      <w:r w:rsidR="002160C2" w:rsidRPr="00836096">
        <w:rPr>
          <w:rFonts w:eastAsiaTheme="minorHAnsi"/>
          <w:lang w:val="en-US"/>
        </w:rPr>
        <w:t xml:space="preserve"> </w:t>
      </w:r>
      <w:r w:rsidRPr="00836096">
        <w:rPr>
          <w:rFonts w:eastAsiaTheme="minorHAnsi"/>
          <w:lang w:val="en-US"/>
        </w:rPr>
        <w:t xml:space="preserve">in the US and most other countries. Although additional training may be obtained, the required resources are not always available to </w:t>
      </w:r>
      <w:r w:rsidR="00A86699" w:rsidRPr="00836096">
        <w:rPr>
          <w:rFonts w:eastAsiaTheme="minorHAnsi"/>
          <w:lang w:val="en-US"/>
        </w:rPr>
        <w:t>clinical audiologists</w:t>
      </w:r>
      <w:r w:rsidRPr="00836096">
        <w:rPr>
          <w:rFonts w:eastAsiaTheme="minorHAnsi"/>
          <w:lang w:val="en-US"/>
        </w:rPr>
        <w:t xml:space="preserve">. </w:t>
      </w:r>
      <w:r w:rsidR="006822FF" w:rsidRPr="00836096">
        <w:rPr>
          <w:rFonts w:eastAsiaTheme="minorHAnsi"/>
          <w:lang w:val="en-US"/>
        </w:rPr>
        <w:t xml:space="preserve">Nevertheless, audiologists routinely rely upon tenets of CBT in their counseling when fitting hearing aids, offering falls prevention strategies, and when working with families of patients who receive cochlear implants. </w:t>
      </w:r>
      <w:r w:rsidRPr="00836096">
        <w:rPr>
          <w:rFonts w:eastAsiaTheme="minorHAnsi"/>
          <w:lang w:val="en-US"/>
        </w:rPr>
        <w:t xml:space="preserve">Many audiologists focus tinnitus management </w:t>
      </w:r>
      <w:proofErr w:type="gramStart"/>
      <w:r w:rsidRPr="00836096">
        <w:rPr>
          <w:rFonts w:eastAsiaTheme="minorHAnsi"/>
          <w:lang w:val="en-US"/>
        </w:rPr>
        <w:t>around</w:t>
      </w:r>
      <w:proofErr w:type="gramEnd"/>
      <w:r w:rsidRPr="00836096">
        <w:rPr>
          <w:rFonts w:eastAsiaTheme="minorHAnsi"/>
          <w:lang w:val="en-US"/>
        </w:rPr>
        <w:t xml:space="preserve"> sound enrichment and information counselling approaches (Henry et al., 2019)</w:t>
      </w:r>
      <w:r w:rsidR="006822FF" w:rsidRPr="00836096">
        <w:rPr>
          <w:rFonts w:eastAsiaTheme="minorHAnsi"/>
          <w:lang w:val="en-US"/>
        </w:rPr>
        <w:t xml:space="preserve"> despite familiarity with potentially</w:t>
      </w:r>
      <w:r w:rsidR="00237344" w:rsidRPr="00836096">
        <w:rPr>
          <w:rFonts w:eastAsiaTheme="minorHAnsi"/>
          <w:lang w:val="en-US"/>
        </w:rPr>
        <w:t xml:space="preserve"> </w:t>
      </w:r>
      <w:r w:rsidR="006822FF" w:rsidRPr="00836096">
        <w:rPr>
          <w:rFonts w:eastAsiaTheme="minorHAnsi"/>
          <w:lang w:val="en-US"/>
        </w:rPr>
        <w:t>helpful elements of CBT</w:t>
      </w:r>
      <w:r w:rsidRPr="00836096">
        <w:rPr>
          <w:rFonts w:eastAsiaTheme="minorHAnsi"/>
          <w:lang w:val="en-US"/>
        </w:rPr>
        <w:t>.</w:t>
      </w:r>
      <w:r w:rsidR="00695F0A" w:rsidRPr="00836096">
        <w:rPr>
          <w:rFonts w:eastAsiaTheme="minorHAnsi"/>
          <w:lang w:val="en-US"/>
        </w:rPr>
        <w:t xml:space="preserve"> </w:t>
      </w:r>
    </w:p>
    <w:p w14:paraId="56A840B2" w14:textId="77777777" w:rsidR="003F00E8" w:rsidRPr="00836096" w:rsidRDefault="003F00E8" w:rsidP="00E745E8">
      <w:pPr>
        <w:spacing w:line="480" w:lineRule="auto"/>
        <w:rPr>
          <w:lang w:val="en-US"/>
        </w:rPr>
      </w:pPr>
    </w:p>
    <w:p w14:paraId="0FC6DEC8" w14:textId="79484BB4" w:rsidR="003F00E8" w:rsidRPr="00836096" w:rsidRDefault="003F00E8" w:rsidP="00E745E8">
      <w:pPr>
        <w:spacing w:line="480" w:lineRule="auto"/>
        <w:rPr>
          <w:rFonts w:eastAsiaTheme="minorHAnsi"/>
          <w:lang w:val="en-US"/>
        </w:rPr>
      </w:pPr>
      <w:r w:rsidRPr="00836096">
        <w:rPr>
          <w:lang w:val="en-US"/>
        </w:rPr>
        <w:t xml:space="preserve">Due to the efficacy and effectiveness of CBT for tinnitus, there is growing interest among practitioners specializing in the care of patients with bothersome tinnitus to increase access to CBT using creative approaches. One such approach is the development of an Internet-based CBT intervention for tinnitus (ICBT; </w:t>
      </w:r>
      <w:r w:rsidRPr="00836096">
        <w:rPr>
          <w:noProof/>
          <w:lang w:val="en-US"/>
        </w:rPr>
        <w:t>Andersson, Strömgren, Ström, &amp; Lyttkens, 2002)</w:t>
      </w:r>
      <w:r w:rsidRPr="00836096">
        <w:rPr>
          <w:shd w:val="clear" w:color="auto" w:fill="FFFFFF"/>
          <w:lang w:val="en-US"/>
        </w:rPr>
        <w:t xml:space="preserve">. ICBT was used in Europe and its efficacy demonstrated in nine randomized clinical trials (RCTs) indicating a moderate effect size for both tinnitus distress and insomnia and improvements for anxiety, depression, and quality of life </w:t>
      </w:r>
      <w:r w:rsidRPr="00836096">
        <w:rPr>
          <w:noProof/>
          <w:shd w:val="clear" w:color="auto" w:fill="FFFFFF"/>
          <w:lang w:val="en-US"/>
        </w:rPr>
        <w:t>(Beukes, Manchaiah, Allen, Baguley, &amp; Andersson, 2019)</w:t>
      </w:r>
      <w:r w:rsidRPr="00836096">
        <w:rPr>
          <w:shd w:val="clear" w:color="auto" w:fill="FFFFFF"/>
          <w:lang w:val="en-US"/>
        </w:rPr>
        <w:t xml:space="preserve">. Unfortunately, </w:t>
      </w:r>
      <w:r w:rsidRPr="00836096">
        <w:rPr>
          <w:rFonts w:eastAsiaTheme="minorHAnsi"/>
          <w:lang w:val="en-US"/>
        </w:rPr>
        <w:t xml:space="preserve">ICBT for tinnitus is not yet routinely offered in the US. The availability of an additional self-help tinnitus intervention, such as ICBT, could improve the accessibility of tinnitus care. Prior to identifying if ICBT may be a suitable approach for a US population, its feasibility first needs to be established. </w:t>
      </w:r>
      <w:r w:rsidR="00E73677" w:rsidRPr="00836096">
        <w:rPr>
          <w:rFonts w:eastAsiaTheme="minorHAnsi"/>
          <w:lang w:val="en-US"/>
        </w:rPr>
        <w:t xml:space="preserve">Healthcare and medicolegal practices differ in the US to Europe, where psychologists are for instance not allowed to practice </w:t>
      </w:r>
      <w:r w:rsidR="003C388E" w:rsidRPr="00836096">
        <w:rPr>
          <w:rFonts w:eastAsiaTheme="minorHAnsi"/>
          <w:lang w:val="en-US"/>
        </w:rPr>
        <w:t>a</w:t>
      </w:r>
      <w:r w:rsidR="00E73677" w:rsidRPr="00836096">
        <w:rPr>
          <w:rFonts w:eastAsiaTheme="minorHAnsi"/>
          <w:lang w:val="en-US"/>
        </w:rPr>
        <w:t xml:space="preserve">cross states. </w:t>
      </w:r>
      <w:r w:rsidRPr="00836096">
        <w:rPr>
          <w:rFonts w:eastAsiaTheme="minorHAnsi"/>
          <w:lang w:val="en-US"/>
        </w:rPr>
        <w:t xml:space="preserve">Feasibility for a US population cannot be assumed, as ICBT would be an unfamiliar treatment approach. Most </w:t>
      </w:r>
      <w:r w:rsidRPr="00836096">
        <w:rPr>
          <w:rFonts w:eastAsiaTheme="minorHAnsi"/>
          <w:lang w:val="en-US"/>
        </w:rPr>
        <w:lastRenderedPageBreak/>
        <w:t xml:space="preserve">tinnitus therapies provided in the US, such as Tinnitus Retraining Therapy (TRT) </w:t>
      </w:r>
      <w:sdt>
        <w:sdtPr>
          <w:rPr>
            <w:rFonts w:eastAsiaTheme="minorHAnsi"/>
            <w:lang w:val="en-US"/>
          </w:rPr>
          <w:id w:val="-882862063"/>
          <w:citation/>
        </w:sdtPr>
        <w:sdtEndPr/>
        <w:sdtContent>
          <w:r w:rsidRPr="00836096">
            <w:rPr>
              <w:rFonts w:eastAsiaTheme="minorHAnsi"/>
              <w:lang w:val="en-US"/>
            </w:rPr>
            <w:fldChar w:fldCharType="begin"/>
          </w:r>
          <w:r w:rsidRPr="00836096">
            <w:rPr>
              <w:rFonts w:eastAsiaTheme="minorHAnsi"/>
              <w:lang w:val="en-US"/>
            </w:rPr>
            <w:instrText xml:space="preserve"> CITATION Jas00 \l 2057 </w:instrText>
          </w:r>
          <w:r w:rsidRPr="00836096">
            <w:rPr>
              <w:rFonts w:eastAsiaTheme="minorHAnsi"/>
              <w:lang w:val="en-US"/>
            </w:rPr>
            <w:fldChar w:fldCharType="separate"/>
          </w:r>
          <w:r w:rsidRPr="00836096">
            <w:rPr>
              <w:rFonts w:eastAsiaTheme="minorHAnsi"/>
              <w:noProof/>
              <w:lang w:val="en-US"/>
            </w:rPr>
            <w:t>(Jastreboff &amp; Jastreboff, 2000)</w:t>
          </w:r>
          <w:r w:rsidRPr="00836096">
            <w:rPr>
              <w:rFonts w:eastAsiaTheme="minorHAnsi"/>
              <w:lang w:val="en-US"/>
            </w:rPr>
            <w:fldChar w:fldCharType="end"/>
          </w:r>
        </w:sdtContent>
      </w:sdt>
      <w:r w:rsidRPr="00836096">
        <w:rPr>
          <w:rFonts w:eastAsiaTheme="minorHAnsi"/>
          <w:lang w:val="en-US"/>
        </w:rPr>
        <w:t xml:space="preserve"> and Progressive Tinnitus Management </w:t>
      </w:r>
      <w:sdt>
        <w:sdtPr>
          <w:rPr>
            <w:rFonts w:eastAsiaTheme="minorHAnsi"/>
            <w:lang w:val="en-US"/>
          </w:rPr>
          <w:id w:val="116038362"/>
          <w:citation/>
        </w:sdtPr>
        <w:sdtEndPr/>
        <w:sdtContent>
          <w:r w:rsidRPr="00836096">
            <w:rPr>
              <w:rFonts w:eastAsiaTheme="minorHAnsi"/>
              <w:lang w:val="en-US"/>
            </w:rPr>
            <w:fldChar w:fldCharType="begin"/>
          </w:r>
          <w:r w:rsidRPr="00836096">
            <w:rPr>
              <w:rFonts w:eastAsiaTheme="minorHAnsi"/>
              <w:lang w:val="en-US"/>
            </w:rPr>
            <w:instrText xml:space="preserve">CITATION Hen10 \l 2057 </w:instrText>
          </w:r>
          <w:r w:rsidRPr="00836096">
            <w:rPr>
              <w:rFonts w:eastAsiaTheme="minorHAnsi"/>
              <w:lang w:val="en-US"/>
            </w:rPr>
            <w:fldChar w:fldCharType="separate"/>
          </w:r>
          <w:r w:rsidRPr="00836096">
            <w:rPr>
              <w:rFonts w:eastAsiaTheme="minorHAnsi"/>
              <w:noProof/>
              <w:lang w:val="en-US"/>
            </w:rPr>
            <w:t>(Henry, Zaugg, Myers, &amp; Kendall, 2010)</w:t>
          </w:r>
          <w:r w:rsidRPr="00836096">
            <w:rPr>
              <w:rFonts w:eastAsiaTheme="minorHAnsi"/>
              <w:lang w:val="en-US"/>
            </w:rPr>
            <w:fldChar w:fldCharType="end"/>
          </w:r>
        </w:sdtContent>
      </w:sdt>
      <w:r w:rsidRPr="00836096">
        <w:rPr>
          <w:rFonts w:eastAsiaTheme="minorHAnsi"/>
          <w:lang w:val="en-US"/>
        </w:rPr>
        <w:t>, are generally provided in an in-person format</w:t>
      </w:r>
      <w:r w:rsidR="006822FF" w:rsidRPr="00836096">
        <w:rPr>
          <w:rFonts w:eastAsiaTheme="minorHAnsi"/>
          <w:lang w:val="en-US"/>
        </w:rPr>
        <w:t>, although Henry et al (2019</w:t>
      </w:r>
      <w:r w:rsidR="00C35393" w:rsidRPr="00836096">
        <w:rPr>
          <w:rFonts w:eastAsiaTheme="minorHAnsi"/>
          <w:lang w:val="en-US"/>
        </w:rPr>
        <w:t>a</w:t>
      </w:r>
      <w:r w:rsidR="006822FF" w:rsidRPr="00836096">
        <w:rPr>
          <w:rFonts w:eastAsiaTheme="minorHAnsi"/>
          <w:lang w:val="en-US"/>
        </w:rPr>
        <w:t>) recently published a trial delivering PTM via telephone presentation</w:t>
      </w:r>
      <w:r w:rsidRPr="00836096">
        <w:rPr>
          <w:rFonts w:eastAsiaTheme="minorHAnsi"/>
          <w:lang w:val="en-US"/>
        </w:rPr>
        <w:t xml:space="preserve">. Acceptance of an internet-based format is thus not known within the US.  It is also not known </w:t>
      </w:r>
      <w:r w:rsidR="006822FF" w:rsidRPr="00836096">
        <w:rPr>
          <w:rFonts w:eastAsiaTheme="minorHAnsi"/>
          <w:lang w:val="en-US"/>
        </w:rPr>
        <w:t>whether</w:t>
      </w:r>
      <w:r w:rsidRPr="00836096">
        <w:rPr>
          <w:rFonts w:eastAsiaTheme="minorHAnsi"/>
          <w:lang w:val="en-US"/>
        </w:rPr>
        <w:t xml:space="preserve"> those undertaking such an intervention </w:t>
      </w:r>
      <w:r w:rsidR="006822FF" w:rsidRPr="00836096">
        <w:rPr>
          <w:rFonts w:eastAsiaTheme="minorHAnsi"/>
          <w:lang w:val="en-US"/>
        </w:rPr>
        <w:t>would</w:t>
      </w:r>
      <w:r w:rsidRPr="00836096">
        <w:rPr>
          <w:rFonts w:eastAsiaTheme="minorHAnsi"/>
          <w:lang w:val="en-US"/>
        </w:rPr>
        <w:t xml:space="preserve"> engage sufficiently or</w:t>
      </w:r>
      <w:r w:rsidR="006822FF" w:rsidRPr="00836096">
        <w:rPr>
          <w:rFonts w:eastAsiaTheme="minorHAnsi"/>
          <w:lang w:val="en-US"/>
        </w:rPr>
        <w:t xml:space="preserve"> whether they would</w:t>
      </w:r>
      <w:r w:rsidRPr="00836096">
        <w:rPr>
          <w:rFonts w:eastAsiaTheme="minorHAnsi"/>
          <w:lang w:val="en-US"/>
        </w:rPr>
        <w:t xml:space="preserve"> engage </w:t>
      </w:r>
      <w:r w:rsidR="006822FF" w:rsidRPr="00836096">
        <w:rPr>
          <w:rFonts w:eastAsiaTheme="minorHAnsi"/>
          <w:lang w:val="en-US"/>
        </w:rPr>
        <w:t xml:space="preserve">at all </w:t>
      </w:r>
      <w:r w:rsidRPr="00836096">
        <w:rPr>
          <w:rFonts w:eastAsiaTheme="minorHAnsi"/>
          <w:lang w:val="en-US"/>
        </w:rPr>
        <w:t>with a</w:t>
      </w:r>
      <w:r w:rsidR="006822FF" w:rsidRPr="00836096">
        <w:rPr>
          <w:rFonts w:eastAsiaTheme="minorHAnsi"/>
          <w:lang w:val="en-US"/>
        </w:rPr>
        <w:t>ny</w:t>
      </w:r>
      <w:r w:rsidRPr="00836096">
        <w:rPr>
          <w:rFonts w:eastAsiaTheme="minorHAnsi"/>
          <w:lang w:val="en-US"/>
        </w:rPr>
        <w:t xml:space="preserve"> self-help intervention. It is furthermore not known if a psychological approach will be accepted by audiologists, as the emphasis of most audiologic tinnitus management programs is on sound therapy and fitting devices (Henry et al., 2019</w:t>
      </w:r>
      <w:r w:rsidR="00C35393" w:rsidRPr="00836096">
        <w:rPr>
          <w:rFonts w:eastAsiaTheme="minorHAnsi"/>
          <w:lang w:val="en-US"/>
        </w:rPr>
        <w:t>b</w:t>
      </w:r>
      <w:r w:rsidRPr="00836096">
        <w:rPr>
          <w:rFonts w:eastAsiaTheme="minorHAnsi"/>
          <w:lang w:val="en-US"/>
        </w:rPr>
        <w:t xml:space="preserve">; Tyler et al., 2020).  </w:t>
      </w:r>
    </w:p>
    <w:p w14:paraId="5B5D6AA2" w14:textId="77777777" w:rsidR="003F00E8" w:rsidRPr="00836096" w:rsidRDefault="003F00E8" w:rsidP="00E745E8">
      <w:pPr>
        <w:spacing w:line="480" w:lineRule="auto"/>
        <w:rPr>
          <w:rFonts w:eastAsiaTheme="minorHAnsi"/>
          <w:lang w:val="en-US"/>
        </w:rPr>
      </w:pPr>
    </w:p>
    <w:p w14:paraId="29D0A9BC" w14:textId="2E5F6E95" w:rsidR="003F00E8" w:rsidRPr="00836096" w:rsidRDefault="003F00E8" w:rsidP="00E745E8">
      <w:pPr>
        <w:spacing w:line="480" w:lineRule="auto"/>
        <w:rPr>
          <w:rFonts w:eastAsiaTheme="minorHAnsi"/>
          <w:lang w:val="en-US"/>
        </w:rPr>
      </w:pPr>
      <w:r w:rsidRPr="00836096">
        <w:rPr>
          <w:rFonts w:eastAsiaTheme="minorHAnsi"/>
          <w:lang w:val="en-US"/>
        </w:rPr>
        <w:t xml:space="preserve">To identify the feasibility of ICBT in the US, a pilot study was undertaken prior to implementing a larger RCT </w:t>
      </w:r>
      <w:r w:rsidRPr="00836096">
        <w:rPr>
          <w:rFonts w:eastAsiaTheme="minorHAnsi"/>
          <w:noProof/>
          <w:lang w:val="en-US"/>
        </w:rPr>
        <w:t>(Leon, Davis, &amp; Kraemer, 2012)</w:t>
      </w:r>
      <w:r w:rsidRPr="00836096">
        <w:rPr>
          <w:rFonts w:eastAsiaTheme="minorHAnsi"/>
          <w:lang w:val="en-US"/>
        </w:rPr>
        <w:t xml:space="preserve">. </w:t>
      </w:r>
      <w:r w:rsidR="00DD46ED" w:rsidRPr="00836096">
        <w:rPr>
          <w:rFonts w:eastAsiaTheme="minorHAnsi"/>
          <w:lang w:val="en-US"/>
        </w:rPr>
        <w:t xml:space="preserve">In </w:t>
      </w:r>
      <w:proofErr w:type="gramStart"/>
      <w:r w:rsidR="00DD46ED" w:rsidRPr="00836096">
        <w:rPr>
          <w:rFonts w:eastAsiaTheme="minorHAnsi"/>
          <w:lang w:val="en-US"/>
        </w:rPr>
        <w:t>addition</w:t>
      </w:r>
      <w:proofErr w:type="gramEnd"/>
      <w:r w:rsidR="00DD46ED" w:rsidRPr="00836096">
        <w:rPr>
          <w:rFonts w:eastAsiaTheme="minorHAnsi"/>
          <w:lang w:val="en-US"/>
        </w:rPr>
        <w:t xml:space="preserve"> we also evaluated outcomes if ICBT. </w:t>
      </w:r>
      <w:r w:rsidRPr="00836096">
        <w:rPr>
          <w:lang w:val="en-US"/>
        </w:rPr>
        <w:t>The aim of this study was to run a small-scale pilot study to investigate the feasibility of a full scale RCT in the US population. The research questions were:</w:t>
      </w:r>
    </w:p>
    <w:p w14:paraId="450C65D1" w14:textId="77777777" w:rsidR="003F00E8" w:rsidRPr="00836096" w:rsidRDefault="003F00E8" w:rsidP="00E745E8">
      <w:pPr>
        <w:pStyle w:val="ListParagraph"/>
        <w:numPr>
          <w:ilvl w:val="0"/>
          <w:numId w:val="13"/>
        </w:numPr>
        <w:rPr>
          <w:rFonts w:eastAsia="Times New Roman"/>
        </w:rPr>
      </w:pPr>
      <w:r w:rsidRPr="00836096">
        <w:t>Do the outcomes obtained from ICBT for tinnitus indicate that a full-scaled study should be conducted?</w:t>
      </w:r>
    </w:p>
    <w:p w14:paraId="4043241E" w14:textId="5ED7E5B9" w:rsidR="003F00E8" w:rsidRPr="007E126C" w:rsidRDefault="003F00E8" w:rsidP="007E126C">
      <w:pPr>
        <w:pStyle w:val="ListParagraph"/>
        <w:numPr>
          <w:ilvl w:val="0"/>
          <w:numId w:val="13"/>
        </w:numPr>
        <w:rPr>
          <w:rFonts w:eastAsia="Times New Roman"/>
        </w:rPr>
      </w:pPr>
      <w:r w:rsidRPr="00836096">
        <w:t>Is the protocol feasible in a US population in terms of recruitment potential, retention rates, intervention compliance, and engagement?</w:t>
      </w:r>
    </w:p>
    <w:p w14:paraId="1B94C1A7" w14:textId="77777777" w:rsidR="007E126C" w:rsidRPr="007E126C" w:rsidRDefault="007E126C" w:rsidP="007E126C">
      <w:pPr>
        <w:pStyle w:val="ListParagraph"/>
        <w:ind w:left="1440"/>
        <w:rPr>
          <w:rFonts w:eastAsia="Times New Roman"/>
        </w:rPr>
      </w:pPr>
    </w:p>
    <w:p w14:paraId="6ACD6CE3" w14:textId="77777777" w:rsidR="003F00E8" w:rsidRPr="00836096" w:rsidRDefault="003F00E8" w:rsidP="007E126C">
      <w:pPr>
        <w:pStyle w:val="Heading1"/>
      </w:pPr>
      <w:r w:rsidRPr="00836096">
        <w:t>Method</w:t>
      </w:r>
    </w:p>
    <w:p w14:paraId="65D72012" w14:textId="77777777" w:rsidR="003F00E8" w:rsidRPr="00836096" w:rsidRDefault="003F00E8" w:rsidP="007E126C">
      <w:pPr>
        <w:pStyle w:val="Heading2"/>
      </w:pPr>
      <w:r w:rsidRPr="00836096">
        <w:t>Study Design</w:t>
      </w:r>
    </w:p>
    <w:p w14:paraId="08F64A0E" w14:textId="77777777" w:rsidR="003F00E8" w:rsidRPr="00836096" w:rsidRDefault="003F00E8" w:rsidP="00E745E8">
      <w:pPr>
        <w:spacing w:line="480" w:lineRule="auto"/>
        <w:rPr>
          <w:lang w:val="en-US"/>
        </w:rPr>
      </w:pPr>
      <w:r w:rsidRPr="00836096">
        <w:rPr>
          <w:lang w:val="en-US"/>
        </w:rPr>
        <w:t xml:space="preserve">This study provided the Phase 1 trial of a larger RCT. Phase I trials are intended to focus on establishing safety of trial, adverse effects, and information on outcomes by involving small </w:t>
      </w:r>
      <w:r w:rsidRPr="00836096">
        <w:rPr>
          <w:lang w:val="en-US"/>
        </w:rPr>
        <w:lastRenderedPageBreak/>
        <w:t xml:space="preserve">numbers or participants (Mahan, 2014).  A single-group pre-post-test design was used to determine the feasibility of ICBT in the USA and identify any adverse effects. On recommendation from the funding body, this was to be an initial </w:t>
      </w:r>
      <w:proofErr w:type="gramStart"/>
      <w:r w:rsidRPr="00836096">
        <w:rPr>
          <w:lang w:val="en-US"/>
        </w:rPr>
        <w:t>small scale</w:t>
      </w:r>
      <w:proofErr w:type="gramEnd"/>
      <w:r w:rsidRPr="00836096">
        <w:rPr>
          <w:lang w:val="en-US"/>
        </w:rPr>
        <w:t xml:space="preserve"> study (n =30) without a control group to test the protocol prior to allocating resources to a larger scale study (n = 150). Phase I trials are an important initial part of clinical trials designs for complex interventions (Campbell et al. 2000). Ethical approval was obtained from the Institutional Review Board at Lamar University, Beaumont, Texas, USA (IRB-FY17-209). </w:t>
      </w:r>
      <w:r w:rsidRPr="00836096">
        <w:rPr>
          <w:shd w:val="clear" w:color="auto" w:fill="FFFFFF"/>
          <w:lang w:val="en-US"/>
        </w:rPr>
        <w:t>To ensure that best practice was followed, the Transparent Reporting of Evaluations with Nonrandomized Designs checklist</w:t>
      </w:r>
      <w:sdt>
        <w:sdtPr>
          <w:rPr>
            <w:shd w:val="clear" w:color="auto" w:fill="FFFFFF"/>
            <w:lang w:val="en-US"/>
          </w:rPr>
          <w:id w:val="3172454"/>
          <w:citation/>
        </w:sdtPr>
        <w:sdtEndPr/>
        <w:sdtContent>
          <w:r w:rsidRPr="00836096">
            <w:rPr>
              <w:shd w:val="clear" w:color="auto" w:fill="FFFFFF"/>
              <w:lang w:val="en-US"/>
            </w:rPr>
            <w:fldChar w:fldCharType="begin"/>
          </w:r>
          <w:r w:rsidRPr="00836096">
            <w:rPr>
              <w:shd w:val="clear" w:color="auto" w:fill="FFFFFF"/>
              <w:lang w:val="en-US"/>
            </w:rPr>
            <w:instrText xml:space="preserve"> CITATION Des04 \l 2057 </w:instrText>
          </w:r>
          <w:r w:rsidRPr="00836096">
            <w:rPr>
              <w:shd w:val="clear" w:color="auto" w:fill="FFFFFF"/>
              <w:lang w:val="en-US"/>
            </w:rPr>
            <w:fldChar w:fldCharType="separate"/>
          </w:r>
          <w:r w:rsidRPr="00836096">
            <w:rPr>
              <w:noProof/>
              <w:shd w:val="clear" w:color="auto" w:fill="FFFFFF"/>
              <w:lang w:val="en-US"/>
            </w:rPr>
            <w:t xml:space="preserve"> (Des Jarlais, Lyles, Crepaz, &amp; Trend Group, 2004)</w:t>
          </w:r>
          <w:r w:rsidRPr="00836096">
            <w:rPr>
              <w:shd w:val="clear" w:color="auto" w:fill="FFFFFF"/>
              <w:lang w:val="en-US"/>
            </w:rPr>
            <w:fldChar w:fldCharType="end"/>
          </w:r>
        </w:sdtContent>
      </w:sdt>
      <w:r w:rsidRPr="00836096">
        <w:rPr>
          <w:shd w:val="clear" w:color="auto" w:fill="FFFFFF"/>
          <w:lang w:val="en-US"/>
        </w:rPr>
        <w:t xml:space="preserve"> was used to report this trial. </w:t>
      </w:r>
      <w:r w:rsidRPr="00836096">
        <w:rPr>
          <w:lang w:val="en-US"/>
        </w:rPr>
        <w:t>An independent data monitoring committee monitored the running of the trial.</w:t>
      </w:r>
    </w:p>
    <w:p w14:paraId="6B83A3B2" w14:textId="77777777" w:rsidR="003F00E8" w:rsidRPr="00836096" w:rsidRDefault="003F00E8" w:rsidP="007E126C">
      <w:pPr>
        <w:pStyle w:val="Heading2"/>
      </w:pPr>
      <w:r w:rsidRPr="00836096">
        <w:t>Study Population</w:t>
      </w:r>
      <w:r w:rsidRPr="00836096">
        <w:tab/>
      </w:r>
    </w:p>
    <w:p w14:paraId="342BCEBD" w14:textId="77777777" w:rsidR="003F00E8" w:rsidRPr="00836096" w:rsidRDefault="003F00E8" w:rsidP="00E745E8">
      <w:pPr>
        <w:spacing w:line="480" w:lineRule="auto"/>
        <w:rPr>
          <w:lang w:val="en-US"/>
        </w:rPr>
      </w:pPr>
      <w:r w:rsidRPr="00836096">
        <w:rPr>
          <w:lang w:val="en-US"/>
        </w:rPr>
        <w:t xml:space="preserve">To comply with the US government’s health promotion initiative requiring health care be linguistically and culturally accessible </w:t>
      </w:r>
      <w:sdt>
        <w:sdtPr>
          <w:rPr>
            <w:lang w:val="en-US"/>
          </w:rPr>
          <w:id w:val="-1498034709"/>
          <w:citation/>
        </w:sdtPr>
        <w:sdtEndPr/>
        <w:sdtContent>
          <w:r w:rsidRPr="00836096">
            <w:rPr>
              <w:lang w:val="en-US"/>
            </w:rPr>
            <w:fldChar w:fldCharType="begin"/>
          </w:r>
          <w:r w:rsidRPr="00836096">
            <w:rPr>
              <w:lang w:val="en-US"/>
            </w:rPr>
            <w:instrText xml:space="preserve">CITATION peo10 \l 2057 </w:instrText>
          </w:r>
          <w:r w:rsidRPr="00836096">
            <w:rPr>
              <w:lang w:val="en-US"/>
            </w:rPr>
            <w:fldChar w:fldCharType="separate"/>
          </w:r>
          <w:r w:rsidRPr="00836096">
            <w:rPr>
              <w:noProof/>
              <w:lang w:val="en-US"/>
            </w:rPr>
            <w:t>(U.S Department of Health and Human Services, 2010)</w:t>
          </w:r>
          <w:r w:rsidRPr="00836096">
            <w:rPr>
              <w:lang w:val="en-US"/>
            </w:rPr>
            <w:fldChar w:fldCharType="end"/>
          </w:r>
        </w:sdtContent>
      </w:sdt>
      <w:r w:rsidRPr="00836096">
        <w:rPr>
          <w:lang w:val="en-US"/>
        </w:rPr>
        <w:t xml:space="preserve">, all the study materials were made available in both English and Spanish </w:t>
      </w:r>
      <w:r w:rsidRPr="00836096">
        <w:rPr>
          <w:noProof/>
          <w:lang w:val="en-US"/>
        </w:rPr>
        <w:t>(Beukes, et al., 2019; Manchaiah et al., 2020a)</w:t>
      </w:r>
      <w:r w:rsidRPr="00836096">
        <w:rPr>
          <w:lang w:val="en-US"/>
        </w:rPr>
        <w:t>. A range of strategies were used to disseminate information, including social media, flyers, emails, forums, and newsletters, which were distributed to local communities and put up in clinic waiting rooms. Professionals such as audiologists and otolaryngologists serving those with tinnitus in southeast Texas were also notified about the study. Those interested were directed to the study website where they could read more about the study and register interest in partaking in the study. Study eligibility was determined as follows:</w:t>
      </w:r>
    </w:p>
    <w:p w14:paraId="0FA6F1DE" w14:textId="77777777" w:rsidR="003F00E8" w:rsidRPr="00836096" w:rsidRDefault="003F00E8" w:rsidP="00E745E8">
      <w:pPr>
        <w:spacing w:line="480" w:lineRule="auto"/>
        <w:jc w:val="both"/>
        <w:rPr>
          <w:bCs/>
          <w:iCs/>
          <w:lang w:val="en-US"/>
        </w:rPr>
      </w:pPr>
    </w:p>
    <w:p w14:paraId="129996E3" w14:textId="77777777" w:rsidR="003F00E8" w:rsidRPr="00836096" w:rsidRDefault="003F00E8" w:rsidP="00E745E8">
      <w:pPr>
        <w:autoSpaceDE w:val="0"/>
        <w:autoSpaceDN w:val="0"/>
        <w:adjustRightInd w:val="0"/>
        <w:spacing w:line="480" w:lineRule="auto"/>
        <w:jc w:val="both"/>
        <w:rPr>
          <w:i/>
          <w:lang w:val="en-US"/>
        </w:rPr>
      </w:pPr>
      <w:r w:rsidRPr="00836096">
        <w:rPr>
          <w:i/>
          <w:lang w:val="en-US"/>
        </w:rPr>
        <w:t>Inclusion criteria:</w:t>
      </w:r>
    </w:p>
    <w:p w14:paraId="293E2FA6"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t>Adults, aged 18 years and over, living in Texas in the US.</w:t>
      </w:r>
    </w:p>
    <w:p w14:paraId="51B6BB16"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lastRenderedPageBreak/>
        <w:t>The ability to read and type in English or Spanish.</w:t>
      </w:r>
    </w:p>
    <w:p w14:paraId="6A341547"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t xml:space="preserve">Access to a computer, the </w:t>
      </w:r>
      <w:proofErr w:type="gramStart"/>
      <w:r w:rsidRPr="00836096">
        <w:rPr>
          <w:rFonts w:cs="Times New Roman"/>
        </w:rPr>
        <w:t>internet</w:t>
      </w:r>
      <w:proofErr w:type="gramEnd"/>
      <w:r w:rsidRPr="00836096">
        <w:rPr>
          <w:rFonts w:cs="Times New Roman"/>
        </w:rPr>
        <w:t xml:space="preserve"> and the ability to email.  </w:t>
      </w:r>
    </w:p>
    <w:p w14:paraId="6B214046"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t>Experiencing tinnitus for a minimum period of three months.</w:t>
      </w:r>
    </w:p>
    <w:p w14:paraId="75ABA474"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t>A tinnitus severity score of 25 or greater on the TFI indicating the need for an intervention.</w:t>
      </w:r>
    </w:p>
    <w:p w14:paraId="54D0ED0D" w14:textId="77777777" w:rsidR="003F00E8" w:rsidRPr="00836096" w:rsidRDefault="003F00E8" w:rsidP="00E745E8">
      <w:pPr>
        <w:pStyle w:val="ListParagraph"/>
        <w:numPr>
          <w:ilvl w:val="0"/>
          <w:numId w:val="5"/>
        </w:numPr>
        <w:autoSpaceDE w:val="0"/>
        <w:autoSpaceDN w:val="0"/>
        <w:adjustRightInd w:val="0"/>
        <w:jc w:val="both"/>
        <w:rPr>
          <w:rFonts w:cs="Times New Roman"/>
        </w:rPr>
      </w:pPr>
      <w:r w:rsidRPr="00836096">
        <w:rPr>
          <w:rFonts w:cs="Times New Roman"/>
        </w:rPr>
        <w:t>Any configuration of hearing levels (normal or any degree of hearing loss) and any use of hearing devices (using or not using hearing aids)</w:t>
      </w:r>
    </w:p>
    <w:p w14:paraId="6E22EFC0" w14:textId="77777777" w:rsidR="003F00E8" w:rsidRPr="00836096" w:rsidRDefault="003F00E8" w:rsidP="00E745E8">
      <w:pPr>
        <w:autoSpaceDE w:val="0"/>
        <w:autoSpaceDN w:val="0"/>
        <w:adjustRightInd w:val="0"/>
        <w:spacing w:line="480" w:lineRule="auto"/>
        <w:jc w:val="both"/>
        <w:rPr>
          <w:lang w:val="en-US"/>
        </w:rPr>
      </w:pPr>
    </w:p>
    <w:p w14:paraId="4D548565" w14:textId="77777777" w:rsidR="003F00E8" w:rsidRPr="00836096" w:rsidRDefault="003F00E8" w:rsidP="00E745E8">
      <w:pPr>
        <w:autoSpaceDE w:val="0"/>
        <w:autoSpaceDN w:val="0"/>
        <w:adjustRightInd w:val="0"/>
        <w:spacing w:line="480" w:lineRule="auto"/>
        <w:jc w:val="both"/>
        <w:rPr>
          <w:i/>
          <w:lang w:val="en-US"/>
        </w:rPr>
      </w:pPr>
      <w:r w:rsidRPr="00836096">
        <w:rPr>
          <w:i/>
          <w:lang w:val="en-US"/>
        </w:rPr>
        <w:t>Exclusion criteria:</w:t>
      </w:r>
    </w:p>
    <w:p w14:paraId="3E8E5C37" w14:textId="77777777" w:rsidR="003F00E8" w:rsidRPr="00836096" w:rsidRDefault="003F00E8" w:rsidP="00E745E8">
      <w:pPr>
        <w:pStyle w:val="ListParagraph"/>
        <w:numPr>
          <w:ilvl w:val="0"/>
          <w:numId w:val="8"/>
        </w:numPr>
        <w:rPr>
          <w:rFonts w:cs="Times New Roman"/>
        </w:rPr>
      </w:pPr>
      <w:r w:rsidRPr="00836096">
        <w:rPr>
          <w:rFonts w:cs="Times New Roman"/>
        </w:rPr>
        <w:t>Indication of significant depression (</w:t>
      </w:r>
      <w:r w:rsidRPr="00836096">
        <w:rPr>
          <w:rFonts w:cs="Times New Roman"/>
          <w:shd w:val="clear" w:color="auto" w:fill="FFFFFF"/>
        </w:rPr>
        <w:t>≥ 15)</w:t>
      </w:r>
      <w:r w:rsidRPr="00836096">
        <w:rPr>
          <w:rFonts w:cs="Times New Roman"/>
        </w:rPr>
        <w:t xml:space="preserve"> on the Patient Health Questionnaire (PHQ-9). </w:t>
      </w:r>
    </w:p>
    <w:p w14:paraId="767492BA" w14:textId="77777777" w:rsidR="003F00E8" w:rsidRPr="00836096" w:rsidRDefault="003F00E8" w:rsidP="00E745E8">
      <w:pPr>
        <w:pStyle w:val="ListParagraph"/>
        <w:numPr>
          <w:ilvl w:val="0"/>
          <w:numId w:val="8"/>
        </w:numPr>
        <w:rPr>
          <w:rFonts w:cs="Times New Roman"/>
        </w:rPr>
      </w:pPr>
      <w:r w:rsidRPr="00836096">
        <w:rPr>
          <w:rFonts w:cs="Times New Roman"/>
        </w:rPr>
        <w:t xml:space="preserve">Indications of self-harm thoughts or intent, answering affirmingly on Question 10 of the </w:t>
      </w:r>
      <w:r w:rsidRPr="00836096">
        <w:rPr>
          <w:rFonts w:eastAsia="Times New Roman" w:cs="Times New Roman"/>
          <w:shd w:val="clear" w:color="auto" w:fill="FFFFFF"/>
          <w:lang w:eastAsia="en-GB"/>
        </w:rPr>
        <w:t xml:space="preserve">Patient Health Questionnaire </w:t>
      </w:r>
      <w:r w:rsidRPr="00836096">
        <w:rPr>
          <w:rFonts w:eastAsia="Times New Roman" w:cs="Times New Roman"/>
          <w:noProof/>
          <w:shd w:val="clear" w:color="auto" w:fill="FFFFFF"/>
          <w:lang w:eastAsia="en-GB"/>
        </w:rPr>
        <w:t>(PHQ-9; Spitzer, Kroenke, Williams, 1999) completed during the screeing procedure</w:t>
      </w:r>
    </w:p>
    <w:p w14:paraId="712DE739" w14:textId="77777777" w:rsidR="003F00E8" w:rsidRPr="00836096" w:rsidRDefault="003F00E8" w:rsidP="00E745E8">
      <w:pPr>
        <w:pStyle w:val="ListParagraph"/>
        <w:numPr>
          <w:ilvl w:val="0"/>
          <w:numId w:val="8"/>
        </w:numPr>
        <w:rPr>
          <w:rFonts w:cs="Times New Roman"/>
        </w:rPr>
      </w:pPr>
      <w:r w:rsidRPr="00836096">
        <w:rPr>
          <w:rFonts w:cs="Times New Roman"/>
        </w:rPr>
        <w:t xml:space="preserve">Reporting any major medical or psychiatric conditions. </w:t>
      </w:r>
    </w:p>
    <w:p w14:paraId="090C6714" w14:textId="77777777" w:rsidR="003F00E8" w:rsidRPr="00836096" w:rsidRDefault="003F00E8" w:rsidP="00E745E8">
      <w:pPr>
        <w:pStyle w:val="ListParagraph"/>
        <w:numPr>
          <w:ilvl w:val="0"/>
          <w:numId w:val="8"/>
        </w:numPr>
        <w:autoSpaceDE w:val="0"/>
        <w:autoSpaceDN w:val="0"/>
        <w:adjustRightInd w:val="0"/>
        <w:jc w:val="both"/>
        <w:rPr>
          <w:rFonts w:cs="Times New Roman"/>
        </w:rPr>
      </w:pPr>
      <w:r w:rsidRPr="00836096">
        <w:rPr>
          <w:rFonts w:cs="Times New Roman"/>
        </w:rPr>
        <w:t xml:space="preserve">Reporting pulsatile, </w:t>
      </w:r>
      <w:proofErr w:type="gramStart"/>
      <w:r w:rsidRPr="00836096">
        <w:rPr>
          <w:rFonts w:cs="Times New Roman"/>
        </w:rPr>
        <w:t>objective</w:t>
      </w:r>
      <w:proofErr w:type="gramEnd"/>
      <w:r w:rsidRPr="00836096">
        <w:rPr>
          <w:rFonts w:cs="Times New Roman"/>
        </w:rPr>
        <w:t xml:space="preserve"> or unilateral tinnitus, which has not been investigated medically or tinnitus still under medical investigation.</w:t>
      </w:r>
    </w:p>
    <w:p w14:paraId="3BDB1700" w14:textId="77777777" w:rsidR="003F00E8" w:rsidRPr="00836096" w:rsidRDefault="003F00E8" w:rsidP="00E745E8">
      <w:pPr>
        <w:pStyle w:val="ListParagraph"/>
        <w:numPr>
          <w:ilvl w:val="0"/>
          <w:numId w:val="8"/>
        </w:numPr>
        <w:autoSpaceDE w:val="0"/>
        <w:autoSpaceDN w:val="0"/>
        <w:adjustRightInd w:val="0"/>
        <w:jc w:val="both"/>
        <w:rPr>
          <w:rFonts w:cs="Times New Roman"/>
        </w:rPr>
      </w:pPr>
      <w:r w:rsidRPr="00836096">
        <w:rPr>
          <w:rFonts w:cs="Times New Roman"/>
        </w:rPr>
        <w:t>Undergoing any tinnitus therapy concurrent with participation in this study.</w:t>
      </w:r>
    </w:p>
    <w:p w14:paraId="5F0E1F55" w14:textId="77777777" w:rsidR="003F00E8" w:rsidRPr="00836096" w:rsidRDefault="003F00E8" w:rsidP="00E745E8">
      <w:pPr>
        <w:pStyle w:val="Default"/>
        <w:spacing w:line="480" w:lineRule="auto"/>
        <w:jc w:val="both"/>
        <w:rPr>
          <w:rFonts w:ascii="Times New Roman" w:hAnsi="Times New Roman" w:cs="Times New Roman"/>
          <w:bCs/>
          <w:color w:val="auto"/>
          <w:lang w:val="en-US"/>
        </w:rPr>
      </w:pPr>
    </w:p>
    <w:p w14:paraId="3BD4F2E5" w14:textId="77777777" w:rsidR="003F00E8" w:rsidRPr="00836096" w:rsidRDefault="003F00E8" w:rsidP="00E745E8">
      <w:pPr>
        <w:autoSpaceDE w:val="0"/>
        <w:autoSpaceDN w:val="0"/>
        <w:adjustRightInd w:val="0"/>
        <w:spacing w:line="480" w:lineRule="auto"/>
        <w:jc w:val="both"/>
        <w:rPr>
          <w:b/>
          <w:bCs/>
          <w:i/>
          <w:iCs/>
          <w:lang w:val="en-US"/>
        </w:rPr>
      </w:pPr>
      <w:r w:rsidRPr="00836096">
        <w:rPr>
          <w:lang w:val="en-US"/>
        </w:rPr>
        <w:t>Eligibility was determined by an initial assessment as follows:</w:t>
      </w:r>
    </w:p>
    <w:p w14:paraId="73770E0F" w14:textId="77777777" w:rsidR="003F00E8" w:rsidRPr="00836096" w:rsidRDefault="003F00E8" w:rsidP="00E745E8">
      <w:pPr>
        <w:pStyle w:val="ListParagraph"/>
        <w:numPr>
          <w:ilvl w:val="0"/>
          <w:numId w:val="10"/>
        </w:numPr>
        <w:autoSpaceDE w:val="0"/>
        <w:autoSpaceDN w:val="0"/>
        <w:adjustRightInd w:val="0"/>
        <w:jc w:val="both"/>
        <w:rPr>
          <w:rFonts w:cs="Times New Roman"/>
        </w:rPr>
      </w:pPr>
      <w:r w:rsidRPr="00836096">
        <w:rPr>
          <w:rFonts w:cs="Times New Roman"/>
        </w:rPr>
        <w:t>An online screening questionnaire, which included demographic information, health and mental health-related questions, and standardized outcome measures as shown in Table 1.</w:t>
      </w:r>
    </w:p>
    <w:p w14:paraId="3963519B" w14:textId="77777777" w:rsidR="003F00E8" w:rsidRPr="00836096" w:rsidRDefault="003F00E8" w:rsidP="00E745E8">
      <w:pPr>
        <w:pStyle w:val="ListParagraph"/>
        <w:numPr>
          <w:ilvl w:val="0"/>
          <w:numId w:val="10"/>
        </w:numPr>
        <w:autoSpaceDE w:val="0"/>
        <w:autoSpaceDN w:val="0"/>
        <w:adjustRightInd w:val="0"/>
        <w:jc w:val="both"/>
        <w:rPr>
          <w:rFonts w:cs="Times New Roman"/>
        </w:rPr>
      </w:pPr>
      <w:r w:rsidRPr="00836096">
        <w:rPr>
          <w:rFonts w:cs="Times New Roman"/>
        </w:rPr>
        <w:t xml:space="preserve">A telephone interview during which the researcher rechecked </w:t>
      </w:r>
      <w:proofErr w:type="gramStart"/>
      <w:r w:rsidRPr="00836096">
        <w:rPr>
          <w:rFonts w:cs="Times New Roman"/>
        </w:rPr>
        <w:t>eligibility, and</w:t>
      </w:r>
      <w:proofErr w:type="gramEnd"/>
      <w:r w:rsidRPr="00836096">
        <w:rPr>
          <w:rFonts w:cs="Times New Roman"/>
        </w:rPr>
        <w:t xml:space="preserve"> provided the opportunity for potential participants to ask any questions related to the study. The study </w:t>
      </w:r>
      <w:r w:rsidRPr="00836096">
        <w:rPr>
          <w:rFonts w:cs="Times New Roman"/>
        </w:rPr>
        <w:lastRenderedPageBreak/>
        <w:t>procedures were explained, and motivational interviewing was done to encourage participants to commit and engage in the intervention.</w:t>
      </w:r>
    </w:p>
    <w:p w14:paraId="323E8066" w14:textId="77777777" w:rsidR="003F00E8" w:rsidRPr="00836096" w:rsidRDefault="003F00E8" w:rsidP="00E745E8">
      <w:pPr>
        <w:pStyle w:val="ListParagraph"/>
        <w:numPr>
          <w:ilvl w:val="0"/>
          <w:numId w:val="10"/>
        </w:numPr>
        <w:autoSpaceDE w:val="0"/>
        <w:autoSpaceDN w:val="0"/>
        <w:adjustRightInd w:val="0"/>
        <w:jc w:val="both"/>
        <w:rPr>
          <w:rFonts w:cs="Times New Roman"/>
        </w:rPr>
      </w:pPr>
      <w:r w:rsidRPr="00836096">
        <w:rPr>
          <w:rFonts w:cs="Times New Roman"/>
        </w:rPr>
        <w:t>Any participants with a score of 15 or more on the PHQ-9 or indicated self-harm on question 10 received a phone consultation from a clinical psychologist on the research team. This call ensured that they were under care elsewhere or necessary resources and/or referral were provided.</w:t>
      </w:r>
    </w:p>
    <w:p w14:paraId="22D0A1C6" w14:textId="77777777" w:rsidR="003F00E8" w:rsidRPr="00836096" w:rsidRDefault="003F00E8" w:rsidP="00E745E8">
      <w:pPr>
        <w:spacing w:line="480" w:lineRule="auto"/>
        <w:jc w:val="both"/>
        <w:rPr>
          <w:b/>
          <w:shd w:val="clear" w:color="auto" w:fill="FFFFFF"/>
          <w:lang w:val="en-US"/>
        </w:rPr>
      </w:pPr>
    </w:p>
    <w:p w14:paraId="38DADECE" w14:textId="77777777" w:rsidR="003F00E8" w:rsidRPr="00836096" w:rsidRDefault="003F00E8" w:rsidP="007E126C">
      <w:pPr>
        <w:pStyle w:val="Heading2"/>
        <w:rPr>
          <w:shd w:val="clear" w:color="auto" w:fill="FFFFFF"/>
        </w:rPr>
      </w:pPr>
      <w:r w:rsidRPr="00836096">
        <w:rPr>
          <w:shd w:val="clear" w:color="auto" w:fill="FFFFFF"/>
        </w:rPr>
        <w:t>Intervention</w:t>
      </w:r>
    </w:p>
    <w:p w14:paraId="3FA24F51" w14:textId="044B274F" w:rsidR="003F00E8" w:rsidRPr="00836096" w:rsidRDefault="003F00E8" w:rsidP="00E745E8">
      <w:pPr>
        <w:spacing w:line="480" w:lineRule="auto"/>
        <w:rPr>
          <w:lang w:val="en-US"/>
        </w:rPr>
      </w:pPr>
      <w:r w:rsidRPr="00836096">
        <w:rPr>
          <w:lang w:val="en-US"/>
        </w:rPr>
        <w:t xml:space="preserve">The ICBT intervention content was based on a CBT self-help program originally developed in Swedish </w:t>
      </w:r>
      <w:r w:rsidRPr="00836096">
        <w:rPr>
          <w:noProof/>
          <w:lang w:val="en-US"/>
        </w:rPr>
        <w:t>(Andersson &amp; Viktor, 2004)</w:t>
      </w:r>
      <w:r w:rsidRPr="00836096">
        <w:rPr>
          <w:lang w:val="en-US"/>
        </w:rPr>
        <w:t xml:space="preserve"> and</w:t>
      </w:r>
      <w:r w:rsidR="00C35393" w:rsidRPr="00836096">
        <w:rPr>
          <w:lang w:val="en-US"/>
        </w:rPr>
        <w:t xml:space="preserve"> translated into German (Weise et al., </w:t>
      </w:r>
      <w:r w:rsidRPr="00836096">
        <w:rPr>
          <w:rFonts w:eastAsiaTheme="minorHAnsi"/>
          <w:lang w:val="en-US" w:eastAsia="en-US"/>
        </w:rPr>
        <w:t xml:space="preserve">2016) </w:t>
      </w:r>
      <w:r w:rsidRPr="00836096">
        <w:rPr>
          <w:lang w:val="en-US"/>
        </w:rPr>
        <w:t xml:space="preserve">and English </w:t>
      </w:r>
      <w:sdt>
        <w:sdtPr>
          <w:rPr>
            <w:lang w:val="en-US"/>
          </w:rPr>
          <w:id w:val="-1156298865"/>
          <w:citation/>
        </w:sdtPr>
        <w:sdtEndPr/>
        <w:sdtContent>
          <w:r w:rsidRPr="00836096">
            <w:rPr>
              <w:lang w:val="en-US"/>
            </w:rPr>
            <w:fldChar w:fldCharType="begin"/>
          </w:r>
          <w:r w:rsidRPr="00836096">
            <w:rPr>
              <w:lang w:val="en-US"/>
            </w:rPr>
            <w:instrText xml:space="preserve"> CITATION Abb09 \l 2057 </w:instrText>
          </w:r>
          <w:r w:rsidRPr="00836096">
            <w:rPr>
              <w:lang w:val="en-US"/>
            </w:rPr>
            <w:fldChar w:fldCharType="separate"/>
          </w:r>
          <w:r w:rsidRPr="00836096">
            <w:rPr>
              <w:noProof/>
              <w:lang w:val="en-US"/>
            </w:rPr>
            <w:t>(Abbott, et al., 2009)</w:t>
          </w:r>
          <w:r w:rsidRPr="00836096">
            <w:rPr>
              <w:lang w:val="en-US"/>
            </w:rPr>
            <w:fldChar w:fldCharType="end"/>
          </w:r>
        </w:sdtContent>
      </w:sdt>
      <w:r w:rsidRPr="00836096">
        <w:rPr>
          <w:lang w:val="en-US"/>
        </w:rPr>
        <w:t xml:space="preserve">. The intervention was then adapted into an 8-week interactive e-learning version suitable for a UK population </w:t>
      </w:r>
      <w:sdt>
        <w:sdtPr>
          <w:rPr>
            <w:lang w:val="en-US"/>
          </w:rPr>
          <w:id w:val="178474028"/>
          <w:citation/>
        </w:sdtPr>
        <w:sdtEndPr/>
        <w:sdtContent>
          <w:r w:rsidRPr="00836096">
            <w:rPr>
              <w:lang w:val="en-US"/>
            </w:rPr>
            <w:fldChar w:fldCharType="begin"/>
          </w:r>
          <w:r w:rsidRPr="00836096">
            <w:rPr>
              <w:lang w:val="en-US"/>
            </w:rPr>
            <w:instrText xml:space="preserve"> CITATION Beu16 \l 2057 </w:instrText>
          </w:r>
          <w:r w:rsidRPr="00836096">
            <w:rPr>
              <w:lang w:val="en-US"/>
            </w:rPr>
            <w:fldChar w:fldCharType="separate"/>
          </w:r>
          <w:r w:rsidRPr="00836096">
            <w:rPr>
              <w:noProof/>
              <w:lang w:val="en-US"/>
            </w:rPr>
            <w:t>(Beukes, et al., 2016)</w:t>
          </w:r>
          <w:r w:rsidRPr="00836096">
            <w:rPr>
              <w:lang w:val="en-US"/>
            </w:rPr>
            <w:fldChar w:fldCharType="end"/>
          </w:r>
        </w:sdtContent>
      </w:sdt>
      <w:r w:rsidRPr="00836096">
        <w:rPr>
          <w:lang w:val="en-US"/>
        </w:rPr>
        <w:t xml:space="preserve">. For the purposes of this pilot investigation, the program employed additional linguistic and cultural adaptations to ensure suitability for a US population </w:t>
      </w:r>
      <w:r w:rsidRPr="00836096">
        <w:rPr>
          <w:noProof/>
          <w:lang w:val="en-US"/>
        </w:rPr>
        <w:t>(Beukes, et al., 2019)</w:t>
      </w:r>
      <w:r w:rsidRPr="00836096">
        <w:rPr>
          <w:lang w:val="en-US"/>
        </w:rPr>
        <w:t>. These adaptations included ensuring accessibility of the intervention, such as confirming readability at below the recommended 6</w:t>
      </w:r>
      <w:r w:rsidRPr="00836096">
        <w:rPr>
          <w:vertAlign w:val="superscript"/>
          <w:lang w:val="en-US"/>
        </w:rPr>
        <w:t>th</w:t>
      </w:r>
      <w:r w:rsidRPr="00836096">
        <w:rPr>
          <w:lang w:val="en-US"/>
        </w:rPr>
        <w:t xml:space="preserve">-grade level. The ICBT platform was enhanced further with the addition of a module on mindfulness and adding videos for all modules discussing techniques. As reported herein, the ICBT program employed 22 modules with worksheets and quizzes as outlined in </w:t>
      </w:r>
      <w:r w:rsidRPr="00836096">
        <w:rPr>
          <w:noProof/>
          <w:lang w:val="en-US"/>
        </w:rPr>
        <w:t>Beukes et al. (2021a)</w:t>
      </w:r>
      <w:r w:rsidRPr="00836096">
        <w:rPr>
          <w:lang w:val="en-US"/>
        </w:rPr>
        <w:t xml:space="preserve">.  </w:t>
      </w:r>
    </w:p>
    <w:p w14:paraId="50C99F08" w14:textId="77777777" w:rsidR="003F00E8" w:rsidRPr="00836096" w:rsidRDefault="003F00E8" w:rsidP="00E745E8">
      <w:pPr>
        <w:spacing w:line="480" w:lineRule="auto"/>
        <w:rPr>
          <w:lang w:val="en-US"/>
        </w:rPr>
      </w:pPr>
    </w:p>
    <w:p w14:paraId="61E6D01E" w14:textId="77777777" w:rsidR="003F00E8" w:rsidRPr="00836096" w:rsidRDefault="003F00E8" w:rsidP="00E745E8">
      <w:pPr>
        <w:spacing w:line="480" w:lineRule="auto"/>
        <w:jc w:val="both"/>
        <w:rPr>
          <w:lang w:val="en-US"/>
        </w:rPr>
      </w:pPr>
      <w:r w:rsidRPr="00836096">
        <w:rPr>
          <w:lang w:val="en-US"/>
        </w:rPr>
        <w:t xml:space="preserve">The intervention platform was housed in the US to comply with mandated data protection regulations. Prior to this feasibility trial, </w:t>
      </w:r>
      <w:proofErr w:type="gramStart"/>
      <w:r w:rsidRPr="00836096">
        <w:rPr>
          <w:lang w:val="en-US"/>
        </w:rPr>
        <w:t>acceptability</w:t>
      </w:r>
      <w:proofErr w:type="gramEnd"/>
      <w:r w:rsidRPr="00836096">
        <w:rPr>
          <w:lang w:val="en-US"/>
        </w:rPr>
        <w:t xml:space="preserve"> and functionality of this intervention for a </w:t>
      </w:r>
      <w:r w:rsidRPr="00836096">
        <w:rPr>
          <w:lang w:val="en-US"/>
        </w:rPr>
        <w:lastRenderedPageBreak/>
        <w:t xml:space="preserve">US population were ensured; details regarding related features and functionality of the intervention were reported previously </w:t>
      </w:r>
      <w:sdt>
        <w:sdtPr>
          <w:rPr>
            <w:lang w:val="en-US"/>
          </w:rPr>
          <w:id w:val="-1435125688"/>
          <w:citation/>
        </w:sdtPr>
        <w:sdtEndPr/>
        <w:sdtContent>
          <w:r w:rsidRPr="00836096">
            <w:rPr>
              <w:lang w:val="en-US"/>
            </w:rPr>
            <w:fldChar w:fldCharType="begin"/>
          </w:r>
          <w:r w:rsidRPr="00836096">
            <w:rPr>
              <w:lang w:val="en-US"/>
            </w:rPr>
            <w:instrText xml:space="preserve">CITATION Man20 \l 2057 </w:instrText>
          </w:r>
          <w:r w:rsidRPr="00836096">
            <w:rPr>
              <w:lang w:val="en-US"/>
            </w:rPr>
            <w:fldChar w:fldCharType="separate"/>
          </w:r>
          <w:r w:rsidRPr="00836096">
            <w:rPr>
              <w:noProof/>
              <w:lang w:val="en-US"/>
            </w:rPr>
            <w:t>(Manchaiah, et al., 2020a)</w:t>
          </w:r>
          <w:r w:rsidRPr="00836096">
            <w:rPr>
              <w:lang w:val="en-US"/>
            </w:rPr>
            <w:fldChar w:fldCharType="end"/>
          </w:r>
        </w:sdtContent>
      </w:sdt>
      <w:r w:rsidRPr="00836096">
        <w:rPr>
          <w:lang w:val="en-US"/>
        </w:rPr>
        <w:t xml:space="preserve">. </w:t>
      </w:r>
    </w:p>
    <w:p w14:paraId="6ECB0369" w14:textId="77777777" w:rsidR="003F00E8" w:rsidRPr="00836096" w:rsidRDefault="003F00E8" w:rsidP="00E745E8">
      <w:pPr>
        <w:spacing w:line="480" w:lineRule="auto"/>
        <w:rPr>
          <w:b/>
          <w:i/>
          <w:lang w:val="en-US"/>
        </w:rPr>
      </w:pPr>
    </w:p>
    <w:p w14:paraId="7D4EBE4A" w14:textId="77777777" w:rsidR="003F00E8" w:rsidRPr="00836096" w:rsidRDefault="003F00E8" w:rsidP="007E126C">
      <w:pPr>
        <w:pStyle w:val="Heading2"/>
      </w:pPr>
      <w:r w:rsidRPr="00836096">
        <w:t>Audiologist Guidance</w:t>
      </w:r>
    </w:p>
    <w:p w14:paraId="50E7137E" w14:textId="64E52F80" w:rsidR="003F00E8" w:rsidRPr="00836096" w:rsidRDefault="003F00E8" w:rsidP="00E745E8">
      <w:pPr>
        <w:autoSpaceDE w:val="0"/>
        <w:autoSpaceDN w:val="0"/>
        <w:adjustRightInd w:val="0"/>
        <w:spacing w:line="480" w:lineRule="auto"/>
        <w:jc w:val="both"/>
        <w:rPr>
          <w:bCs/>
          <w:lang w:val="en-US"/>
        </w:rPr>
      </w:pPr>
      <w:r w:rsidRPr="00836096">
        <w:rPr>
          <w:bCs/>
          <w:lang w:val="en-US"/>
        </w:rPr>
        <w:t xml:space="preserve">Guidance was provided to support individuals who participated in the intervention. The study design included monitoring progress, monitoring weekly scores, providing feedback on worksheets completed, outlining the content of new modules, and answering questions. Participants who enrolled, but displayed minimal activity on the platform, were contacted using an encrypted 2-way messaging system within the </w:t>
      </w:r>
      <w:proofErr w:type="spellStart"/>
      <w:r w:rsidRPr="00836096">
        <w:rPr>
          <w:bCs/>
          <w:lang w:val="en-US"/>
        </w:rPr>
        <w:t>ePlatform</w:t>
      </w:r>
      <w:proofErr w:type="spellEnd"/>
      <w:r w:rsidRPr="00836096">
        <w:rPr>
          <w:bCs/>
          <w:lang w:val="en-US"/>
        </w:rPr>
        <w:t xml:space="preserve"> to encourage engagement and discuss possible barriers.  Although psychologists have traditionally guided CBT interventions, tinnitus management is generally delivered by Audiologists (Henry et al., 2019</w:t>
      </w:r>
      <w:r w:rsidR="00C35393" w:rsidRPr="00836096">
        <w:rPr>
          <w:bCs/>
          <w:lang w:val="en-US"/>
        </w:rPr>
        <w:t>b</w:t>
      </w:r>
      <w:r w:rsidRPr="00836096">
        <w:rPr>
          <w:bCs/>
          <w:lang w:val="en-US"/>
        </w:rPr>
        <w:t>). To maintain consistency with the standard clinical approach to tinnitus management, an experienced Audiologist provided patient support. This approach was shown to be feasible in previous trials in the UK (Beuke et al., 2018a, b). If required further support was available from a specialist tinnitus audiologist or a licensed CBT therapist.</w:t>
      </w:r>
    </w:p>
    <w:p w14:paraId="4BE3B74B" w14:textId="77777777" w:rsidR="003F00E8" w:rsidRPr="00836096" w:rsidRDefault="003F00E8" w:rsidP="00E745E8">
      <w:pPr>
        <w:autoSpaceDE w:val="0"/>
        <w:autoSpaceDN w:val="0"/>
        <w:adjustRightInd w:val="0"/>
        <w:spacing w:line="480" w:lineRule="auto"/>
        <w:jc w:val="both"/>
        <w:rPr>
          <w:bCs/>
          <w:lang w:val="en-US"/>
        </w:rPr>
      </w:pPr>
    </w:p>
    <w:p w14:paraId="79FB8F03" w14:textId="77777777" w:rsidR="003F00E8" w:rsidRPr="00836096" w:rsidRDefault="003F00E8" w:rsidP="007E126C">
      <w:pPr>
        <w:pStyle w:val="Heading2"/>
      </w:pPr>
      <w:r w:rsidRPr="00836096">
        <w:t>Outcome Measures</w:t>
      </w:r>
    </w:p>
    <w:p w14:paraId="42AA4CF7" w14:textId="77777777" w:rsidR="003F00E8" w:rsidRPr="00836096" w:rsidRDefault="003F00E8" w:rsidP="00E745E8">
      <w:pPr>
        <w:spacing w:line="480" w:lineRule="auto"/>
        <w:rPr>
          <w:b/>
          <w:bCs/>
          <w:i/>
          <w:iCs/>
          <w:lang w:val="en-US"/>
        </w:rPr>
      </w:pPr>
      <w:r w:rsidRPr="00836096">
        <w:rPr>
          <w:b/>
          <w:bCs/>
          <w:i/>
          <w:iCs/>
          <w:lang w:val="en-US"/>
        </w:rPr>
        <w:t>Primary Outcome Measure</w:t>
      </w:r>
    </w:p>
    <w:p w14:paraId="1A5788B5" w14:textId="0B24E9B8" w:rsidR="003F00E8" w:rsidRPr="00836096" w:rsidRDefault="003F00E8" w:rsidP="00E745E8">
      <w:pPr>
        <w:spacing w:line="480" w:lineRule="auto"/>
        <w:rPr>
          <w:lang w:val="en-US"/>
        </w:rPr>
      </w:pPr>
      <w:r w:rsidRPr="00836096">
        <w:rPr>
          <w:lang w:val="en-US"/>
        </w:rPr>
        <w:t xml:space="preserve">Tinnitus severity as measured by the Tinnitus Functional Index (TFI) </w:t>
      </w:r>
      <w:r w:rsidRPr="00836096">
        <w:rPr>
          <w:noProof/>
          <w:lang w:val="en-US"/>
        </w:rPr>
        <w:t>(Meikle et al., 2012)</w:t>
      </w:r>
      <w:r w:rsidRPr="00836096">
        <w:rPr>
          <w:lang w:val="en-US"/>
        </w:rPr>
        <w:t xml:space="preserve"> was selected as the primary measure to determine the outcome of ICBT in a </w:t>
      </w:r>
      <w:r w:rsidR="00DD65D4" w:rsidRPr="00836096">
        <w:rPr>
          <w:lang w:val="en-US"/>
        </w:rPr>
        <w:t xml:space="preserve">pilot </w:t>
      </w:r>
      <w:r w:rsidRPr="00836096">
        <w:rPr>
          <w:lang w:val="en-US"/>
        </w:rPr>
        <w:t>US population. The TFI was selected over other tinnitus questionnaires as it was specifically developed to measure tinnitus severity</w:t>
      </w:r>
      <w:r w:rsidR="00DD65D4" w:rsidRPr="00836096">
        <w:rPr>
          <w:lang w:val="en-US"/>
        </w:rPr>
        <w:t>,</w:t>
      </w:r>
      <w:r w:rsidRPr="00836096">
        <w:rPr>
          <w:lang w:val="en-US"/>
        </w:rPr>
        <w:t xml:space="preserve"> assess responsiveness to treatment</w:t>
      </w:r>
      <w:r w:rsidR="00DD65D4" w:rsidRPr="00836096">
        <w:rPr>
          <w:lang w:val="en-US"/>
        </w:rPr>
        <w:t>,</w:t>
      </w:r>
      <w:r w:rsidRPr="00836096">
        <w:rPr>
          <w:lang w:val="en-US"/>
        </w:rPr>
        <w:t xml:space="preserve"> and for </w:t>
      </w:r>
      <w:r w:rsidR="00DD65D4" w:rsidRPr="00836096">
        <w:rPr>
          <w:lang w:val="en-US"/>
        </w:rPr>
        <w:t xml:space="preserve">the purpose of </w:t>
      </w:r>
      <w:r w:rsidRPr="00836096">
        <w:rPr>
          <w:lang w:val="en-US"/>
        </w:rPr>
        <w:t>compari</w:t>
      </w:r>
      <w:r w:rsidR="00DD65D4" w:rsidRPr="00836096">
        <w:rPr>
          <w:lang w:val="en-US"/>
        </w:rPr>
        <w:t>ng</w:t>
      </w:r>
      <w:r w:rsidR="001109B8" w:rsidRPr="00836096">
        <w:rPr>
          <w:lang w:val="en-US"/>
        </w:rPr>
        <w:t xml:space="preserve"> </w:t>
      </w:r>
      <w:r w:rsidR="00DD65D4" w:rsidRPr="00836096">
        <w:rPr>
          <w:lang w:val="en-US"/>
        </w:rPr>
        <w:t>results</w:t>
      </w:r>
      <w:r w:rsidRPr="00836096">
        <w:rPr>
          <w:lang w:val="en-US"/>
        </w:rPr>
        <w:t xml:space="preserve"> with similar trials in the UK (Beukes et al., 2017). It has been translated into more than 15 </w:t>
      </w:r>
      <w:r w:rsidRPr="00836096">
        <w:rPr>
          <w:lang w:val="en-US"/>
        </w:rPr>
        <w:lastRenderedPageBreak/>
        <w:t xml:space="preserve">languages and been validated for numerous populations including Chinese, Dutch, Swedish and German </w:t>
      </w:r>
      <w:r w:rsidRPr="00836096">
        <w:rPr>
          <w:noProof/>
          <w:lang w:val="en-US"/>
        </w:rPr>
        <w:t>(Henry et al., 2016)</w:t>
      </w:r>
      <w:r w:rsidRPr="00836096">
        <w:rPr>
          <w:lang w:val="en-US"/>
        </w:rPr>
        <w:t xml:space="preserve">. </w:t>
      </w:r>
    </w:p>
    <w:p w14:paraId="2B244D97" w14:textId="77777777" w:rsidR="003F00E8" w:rsidRPr="00836096" w:rsidRDefault="003F00E8" w:rsidP="00E745E8">
      <w:pPr>
        <w:spacing w:line="480" w:lineRule="auto"/>
        <w:rPr>
          <w:lang w:val="en-US"/>
        </w:rPr>
      </w:pPr>
    </w:p>
    <w:p w14:paraId="2AC1586C" w14:textId="77777777" w:rsidR="003F00E8" w:rsidRPr="00836096" w:rsidRDefault="003F00E8" w:rsidP="00E745E8">
      <w:pPr>
        <w:spacing w:line="480" w:lineRule="auto"/>
        <w:rPr>
          <w:b/>
          <w:bCs/>
          <w:i/>
          <w:iCs/>
          <w:lang w:val="en-US"/>
        </w:rPr>
      </w:pPr>
      <w:r w:rsidRPr="00836096">
        <w:rPr>
          <w:b/>
          <w:bCs/>
          <w:i/>
          <w:iCs/>
          <w:lang w:val="en-US"/>
        </w:rPr>
        <w:t>Secondary Outcome Measures</w:t>
      </w:r>
    </w:p>
    <w:p w14:paraId="5669F469" w14:textId="2403B52F" w:rsidR="003F00E8" w:rsidRPr="00836096" w:rsidRDefault="003F00E8" w:rsidP="00E745E8">
      <w:pPr>
        <w:spacing w:line="480" w:lineRule="auto"/>
        <w:rPr>
          <w:lang w:val="en-US"/>
        </w:rPr>
      </w:pPr>
      <w:r w:rsidRPr="00836096">
        <w:rPr>
          <w:lang w:val="en-US"/>
        </w:rPr>
        <w:t>Secondary outcomes included measures of anxiety, depression, insomnia, tinnitus cognitions, hearing-related difficulties, and health-related quality of life, as shown in Table 1.  To reduce the number of questionnaires and questions to be answered, the Tinnitus and Hearing Survey</w:t>
      </w:r>
      <w:r w:rsidR="00DD65D4" w:rsidRPr="00836096">
        <w:rPr>
          <w:lang w:val="en-US"/>
        </w:rPr>
        <w:t>, a 10-item questionnaire</w:t>
      </w:r>
      <w:r w:rsidRPr="00836096">
        <w:rPr>
          <w:noProof/>
          <w:lang w:val="en-US"/>
        </w:rPr>
        <w:t xml:space="preserve"> (THS; Henry, et al., 2015)</w:t>
      </w:r>
      <w:r w:rsidR="00DD65D4" w:rsidRPr="00836096">
        <w:rPr>
          <w:noProof/>
          <w:lang w:val="en-US"/>
        </w:rPr>
        <w:t>,</w:t>
      </w:r>
      <w:r w:rsidRPr="00836096">
        <w:rPr>
          <w:lang w:val="en-US"/>
        </w:rPr>
        <w:t xml:space="preserve"> was used to identify </w:t>
      </w:r>
      <w:r w:rsidR="00DD65D4" w:rsidRPr="00836096">
        <w:rPr>
          <w:lang w:val="en-US"/>
        </w:rPr>
        <w:t xml:space="preserve">participant perceptions of </w:t>
      </w:r>
      <w:r w:rsidRPr="00836096">
        <w:rPr>
          <w:lang w:val="en-US"/>
        </w:rPr>
        <w:t>hearing disability and hyperacusis</w:t>
      </w:r>
      <w:r w:rsidR="00C35393" w:rsidRPr="00836096">
        <w:rPr>
          <w:lang w:val="en-US"/>
        </w:rPr>
        <w:t>.</w:t>
      </w:r>
      <w:r w:rsidRPr="00836096">
        <w:rPr>
          <w:lang w:val="en-US"/>
        </w:rPr>
        <w:t xml:space="preserve"> The section on tinnitus also served as a secondary tinnitus measure. The EQ-5D-5L </w:t>
      </w:r>
      <w:sdt>
        <w:sdtPr>
          <w:rPr>
            <w:lang w:val="en-US"/>
          </w:rPr>
          <w:id w:val="363803737"/>
          <w:citation/>
        </w:sdtPr>
        <w:sdtEndPr/>
        <w:sdtContent>
          <w:r w:rsidRPr="00836096">
            <w:rPr>
              <w:lang w:val="en-US"/>
            </w:rPr>
            <w:fldChar w:fldCharType="begin"/>
          </w:r>
          <w:r w:rsidRPr="00836096">
            <w:rPr>
              <w:lang w:val="en-US"/>
            </w:rPr>
            <w:instrText xml:space="preserve"> CITATION Her11 \l 2057 </w:instrText>
          </w:r>
          <w:r w:rsidRPr="00836096">
            <w:rPr>
              <w:lang w:val="en-US"/>
            </w:rPr>
            <w:fldChar w:fldCharType="separate"/>
          </w:r>
          <w:r w:rsidRPr="00836096">
            <w:rPr>
              <w:noProof/>
              <w:lang w:val="en-US"/>
            </w:rPr>
            <w:t>(Herdman, et al., 2011)</w:t>
          </w:r>
          <w:r w:rsidRPr="00836096">
            <w:rPr>
              <w:lang w:val="en-US"/>
            </w:rPr>
            <w:fldChar w:fldCharType="end"/>
          </w:r>
        </w:sdtContent>
      </w:sdt>
      <w:r w:rsidRPr="00836096">
        <w:rPr>
          <w:lang w:val="en-US"/>
        </w:rPr>
        <w:t xml:space="preserve"> was selected to measure health-related quality of life.  </w:t>
      </w:r>
      <w:r w:rsidRPr="00836096">
        <w:rPr>
          <w:shd w:val="clear" w:color="auto" w:fill="FFFFFF"/>
          <w:lang w:val="en-US"/>
        </w:rPr>
        <w:t xml:space="preserve">All </w:t>
      </w:r>
      <w:r w:rsidR="001109B8" w:rsidRPr="00836096">
        <w:rPr>
          <w:shd w:val="clear" w:color="auto" w:fill="FFFFFF"/>
          <w:lang w:val="en-US"/>
        </w:rPr>
        <w:t>questionnaires</w:t>
      </w:r>
      <w:r w:rsidRPr="00836096">
        <w:rPr>
          <w:shd w:val="clear" w:color="auto" w:fill="FFFFFF"/>
          <w:lang w:val="en-US"/>
        </w:rPr>
        <w:t xml:space="preserve"> were used with the required permissions and agreements were set up for those that are not freely available to use. For Spanish speakers, validated Spanish translated versions were used. When these were unavailable, the investigators d</w:t>
      </w:r>
      <w:r w:rsidR="001109B8" w:rsidRPr="00836096">
        <w:rPr>
          <w:shd w:val="clear" w:color="auto" w:fill="FFFFFF"/>
          <w:lang w:val="en-US"/>
        </w:rPr>
        <w:t>eveloped validated translations</w:t>
      </w:r>
      <w:r w:rsidRPr="00836096">
        <w:rPr>
          <w:lang w:val="en-US"/>
        </w:rPr>
        <w:t xml:space="preserve"> </w:t>
      </w:r>
      <w:sdt>
        <w:sdtPr>
          <w:rPr>
            <w:lang w:val="en-US"/>
          </w:rPr>
          <w:id w:val="1520972459"/>
          <w:citation/>
        </w:sdtPr>
        <w:sdtEndPr/>
        <w:sdtContent>
          <w:r w:rsidRPr="00836096">
            <w:rPr>
              <w:lang w:val="en-US"/>
            </w:rPr>
            <w:fldChar w:fldCharType="begin"/>
          </w:r>
          <w:r w:rsidRPr="00836096">
            <w:rPr>
              <w:lang w:val="en-US"/>
            </w:rPr>
            <w:instrText xml:space="preserve">CITATION Man201 \l 2057 </w:instrText>
          </w:r>
          <w:r w:rsidRPr="00836096">
            <w:rPr>
              <w:lang w:val="en-US"/>
            </w:rPr>
            <w:fldChar w:fldCharType="separate"/>
          </w:r>
          <w:r w:rsidRPr="00836096">
            <w:rPr>
              <w:noProof/>
              <w:lang w:val="en-US"/>
            </w:rPr>
            <w:t>(Manchaiah, et al., 2020b)</w:t>
          </w:r>
          <w:r w:rsidRPr="00836096">
            <w:rPr>
              <w:lang w:val="en-US"/>
            </w:rPr>
            <w:fldChar w:fldCharType="end"/>
          </w:r>
        </w:sdtContent>
      </w:sdt>
      <w:r w:rsidRPr="00836096">
        <w:rPr>
          <w:lang w:val="en-US"/>
        </w:rPr>
        <w:t>.</w:t>
      </w:r>
    </w:p>
    <w:p w14:paraId="39D23D6E" w14:textId="77777777" w:rsidR="003F00E8" w:rsidRPr="00836096" w:rsidRDefault="003F00E8" w:rsidP="00E745E8">
      <w:pPr>
        <w:spacing w:line="480" w:lineRule="auto"/>
        <w:rPr>
          <w:lang w:val="en-US"/>
        </w:rPr>
      </w:pPr>
    </w:p>
    <w:p w14:paraId="518B8445" w14:textId="77777777" w:rsidR="003F00E8" w:rsidRPr="00836096" w:rsidRDefault="003F00E8" w:rsidP="00E745E8">
      <w:pPr>
        <w:spacing w:line="480" w:lineRule="auto"/>
        <w:rPr>
          <w:lang w:val="en-US"/>
        </w:rPr>
      </w:pPr>
      <w:r w:rsidRPr="00836096">
        <w:rPr>
          <w:lang w:val="en-US"/>
        </w:rPr>
        <w:t xml:space="preserve">[Insert Table 1 around here] </w:t>
      </w:r>
    </w:p>
    <w:p w14:paraId="705E26B3" w14:textId="77777777" w:rsidR="003F00E8" w:rsidRPr="00836096" w:rsidRDefault="003F00E8" w:rsidP="00E745E8">
      <w:pPr>
        <w:spacing w:line="480" w:lineRule="auto"/>
        <w:rPr>
          <w:lang w:val="en-US"/>
        </w:rPr>
      </w:pPr>
    </w:p>
    <w:p w14:paraId="66FFA6D9" w14:textId="77777777" w:rsidR="003F00E8" w:rsidRPr="00836096" w:rsidRDefault="003F00E8" w:rsidP="00E745E8">
      <w:pPr>
        <w:spacing w:line="480" w:lineRule="auto"/>
        <w:jc w:val="both"/>
        <w:rPr>
          <w:b/>
          <w:i/>
          <w:iCs/>
          <w:shd w:val="clear" w:color="auto" w:fill="FFFFFF"/>
          <w:lang w:val="en-US"/>
        </w:rPr>
      </w:pPr>
      <w:r w:rsidRPr="00836096">
        <w:rPr>
          <w:b/>
          <w:i/>
          <w:iCs/>
          <w:shd w:val="clear" w:color="auto" w:fill="FFFFFF"/>
          <w:lang w:val="en-US"/>
        </w:rPr>
        <w:t>Weekly Monitoring During the Intervention</w:t>
      </w:r>
    </w:p>
    <w:p w14:paraId="78B0BC8D" w14:textId="77777777" w:rsidR="003F00E8" w:rsidRPr="00836096" w:rsidRDefault="003F00E8" w:rsidP="00E745E8">
      <w:pPr>
        <w:pStyle w:val="Default"/>
        <w:spacing w:line="480" w:lineRule="auto"/>
        <w:jc w:val="both"/>
        <w:rPr>
          <w:rFonts w:ascii="Times New Roman" w:hAnsi="Times New Roman" w:cs="Times New Roman"/>
          <w:color w:val="auto"/>
          <w:lang w:val="en-US"/>
        </w:rPr>
      </w:pPr>
      <w:r w:rsidRPr="00836096">
        <w:rPr>
          <w:rFonts w:ascii="Times New Roman" w:hAnsi="Times New Roman" w:cs="Times New Roman"/>
          <w:color w:val="auto"/>
          <w:lang w:val="en-US"/>
        </w:rPr>
        <w:t xml:space="preserve">Throughout the </w:t>
      </w:r>
      <w:r w:rsidRPr="00836096">
        <w:rPr>
          <w:rFonts w:ascii="Times New Roman" w:hAnsi="Times New Roman" w:cs="Times New Roman"/>
          <w:noProof/>
          <w:color w:val="auto"/>
          <w:lang w:val="en-US"/>
        </w:rPr>
        <w:t>program,</w:t>
      </w:r>
      <w:r w:rsidRPr="00836096">
        <w:rPr>
          <w:rFonts w:ascii="Times New Roman" w:hAnsi="Times New Roman" w:cs="Times New Roman"/>
          <w:color w:val="auto"/>
          <w:lang w:val="en-US"/>
        </w:rPr>
        <w:t xml:space="preserve"> participants were monitored weekly by means of the Tinnitus Handicap Inventory, Screening version (THI-S). The THI-S is a 10-item </w:t>
      </w:r>
      <w:proofErr w:type="gramStart"/>
      <w:r w:rsidRPr="00836096">
        <w:rPr>
          <w:rFonts w:ascii="Times New Roman" w:hAnsi="Times New Roman" w:cs="Times New Roman"/>
          <w:color w:val="auto"/>
          <w:lang w:val="en-US"/>
        </w:rPr>
        <w:t>questionnaire</w:t>
      </w:r>
      <w:proofErr w:type="gramEnd"/>
      <w:r w:rsidRPr="00836096">
        <w:rPr>
          <w:rFonts w:ascii="Times New Roman" w:hAnsi="Times New Roman" w:cs="Times New Roman"/>
          <w:color w:val="auto"/>
          <w:lang w:val="en-US"/>
        </w:rPr>
        <w:t xml:space="preserve"> and scores are comparable (</w:t>
      </w:r>
      <w:r w:rsidRPr="00836096">
        <w:rPr>
          <w:rFonts w:ascii="Times New Roman" w:hAnsi="Times New Roman" w:cs="Times New Roman"/>
          <w:i/>
          <w:iCs/>
          <w:color w:val="auto"/>
          <w:lang w:val="en-US"/>
        </w:rPr>
        <w:t>r</w:t>
      </w:r>
      <w:r w:rsidRPr="00836096">
        <w:rPr>
          <w:rFonts w:ascii="Times New Roman" w:hAnsi="Times New Roman" w:cs="Times New Roman"/>
          <w:color w:val="auto"/>
          <w:lang w:val="en-US"/>
        </w:rPr>
        <w:t xml:space="preserve">=0.9) with the </w:t>
      </w:r>
      <w:r w:rsidRPr="00836096">
        <w:rPr>
          <w:rFonts w:ascii="Times New Roman" w:hAnsi="Times New Roman" w:cs="Times New Roman"/>
          <w:noProof/>
          <w:color w:val="auto"/>
          <w:lang w:val="en-US"/>
        </w:rPr>
        <w:t>full version</w:t>
      </w:r>
      <w:r w:rsidRPr="00836096">
        <w:rPr>
          <w:rFonts w:ascii="Times New Roman" w:hAnsi="Times New Roman" w:cs="Times New Roman"/>
          <w:color w:val="auto"/>
          <w:lang w:val="en-US"/>
        </w:rPr>
        <w:t xml:space="preserve"> of the THI (Newman et al, 2008). The weekly score comparison was used as an indication of adverse events. If scores increased by more than 10 points between two consecutive weeks, this was handed as an adverse effect. Those indicating adverse </w:t>
      </w:r>
      <w:r w:rsidRPr="00836096">
        <w:rPr>
          <w:rFonts w:ascii="Times New Roman" w:hAnsi="Times New Roman" w:cs="Times New Roman"/>
          <w:color w:val="auto"/>
          <w:lang w:val="en-US"/>
        </w:rPr>
        <w:lastRenderedPageBreak/>
        <w:t xml:space="preserve">effects were contacted to address the identified problems. Participants were also monitored by a newly developed Tinnitus Qualities Questionnaire </w:t>
      </w:r>
      <w:r w:rsidRPr="00836096">
        <w:rPr>
          <w:rFonts w:ascii="Times New Roman" w:hAnsi="Times New Roman" w:cs="Times New Roman"/>
          <w:noProof/>
          <w:color w:val="auto"/>
          <w:lang w:val="en-US"/>
        </w:rPr>
        <w:t>(TQQ; Beukes et al., 2021a)</w:t>
      </w:r>
      <w:r w:rsidRPr="00836096">
        <w:rPr>
          <w:rFonts w:ascii="Times New Roman" w:hAnsi="Times New Roman" w:cs="Times New Roman"/>
          <w:color w:val="auto"/>
          <w:lang w:val="en-US"/>
        </w:rPr>
        <w:t>. The TQQ measures psychoacoustic tinnitus qualities such as pitch, loudness, and the number of tones heard.</w:t>
      </w:r>
    </w:p>
    <w:p w14:paraId="2F3E78BE" w14:textId="77777777" w:rsidR="003F00E8" w:rsidRPr="00836096" w:rsidRDefault="003F00E8" w:rsidP="00E745E8">
      <w:pPr>
        <w:pStyle w:val="Default"/>
        <w:spacing w:line="480" w:lineRule="auto"/>
        <w:jc w:val="both"/>
        <w:rPr>
          <w:rFonts w:ascii="Times New Roman" w:hAnsi="Times New Roman" w:cs="Times New Roman"/>
          <w:color w:val="auto"/>
          <w:lang w:val="en-US"/>
        </w:rPr>
      </w:pPr>
    </w:p>
    <w:p w14:paraId="0AAACCE5" w14:textId="77777777" w:rsidR="003F00E8" w:rsidRPr="00836096" w:rsidRDefault="003F00E8" w:rsidP="007E126C">
      <w:pPr>
        <w:pStyle w:val="Heading2"/>
        <w:rPr>
          <w:shd w:val="clear" w:color="auto" w:fill="FFFFFF"/>
        </w:rPr>
      </w:pPr>
      <w:r w:rsidRPr="00836096">
        <w:rPr>
          <w:shd w:val="clear" w:color="auto" w:fill="FFFFFF"/>
        </w:rPr>
        <w:t>Intervention Variables</w:t>
      </w:r>
    </w:p>
    <w:p w14:paraId="558325B0" w14:textId="77777777" w:rsidR="003F00E8" w:rsidRPr="00836096" w:rsidRDefault="003F00E8" w:rsidP="00E745E8">
      <w:pPr>
        <w:autoSpaceDE w:val="0"/>
        <w:autoSpaceDN w:val="0"/>
        <w:adjustRightInd w:val="0"/>
        <w:spacing w:line="480" w:lineRule="auto"/>
        <w:jc w:val="both"/>
        <w:rPr>
          <w:lang w:val="en-US"/>
        </w:rPr>
      </w:pPr>
      <w:r w:rsidRPr="00836096">
        <w:rPr>
          <w:lang w:val="en-US"/>
        </w:rPr>
        <w:t xml:space="preserve">Intervention adherence was assessed by determining retention rates and questionnaire completion rates. Intervention engagement was assessed by the number of logins, the number of modules read, and the number of messages sent during the intervention. Intervention satisfaction was measured by collecting participants’ views regarding the presentation, content, usability, and information in the intervention using a </w:t>
      </w:r>
      <w:proofErr w:type="gramStart"/>
      <w:r w:rsidRPr="00836096">
        <w:rPr>
          <w:lang w:val="en-US"/>
        </w:rPr>
        <w:t>0-5 point</w:t>
      </w:r>
      <w:proofErr w:type="gramEnd"/>
      <w:r w:rsidRPr="00836096">
        <w:rPr>
          <w:lang w:val="en-US"/>
        </w:rPr>
        <w:t xml:space="preserve"> Likert Scale with a maximum score of 75 points. Messages written and free text responses in the outcome questionnaire were used to identify any adverse effects.</w:t>
      </w:r>
    </w:p>
    <w:p w14:paraId="2349A921" w14:textId="77777777" w:rsidR="003F00E8" w:rsidRPr="00836096" w:rsidRDefault="003F00E8" w:rsidP="00E745E8">
      <w:pPr>
        <w:pStyle w:val="Default"/>
        <w:spacing w:line="480" w:lineRule="auto"/>
        <w:jc w:val="both"/>
        <w:rPr>
          <w:rFonts w:ascii="Times New Roman" w:hAnsi="Times New Roman" w:cs="Times New Roman"/>
          <w:color w:val="auto"/>
          <w:lang w:val="en-US"/>
        </w:rPr>
      </w:pPr>
    </w:p>
    <w:p w14:paraId="5BEA28CF" w14:textId="77777777" w:rsidR="003F00E8" w:rsidRPr="00836096" w:rsidRDefault="003F00E8" w:rsidP="007E126C">
      <w:pPr>
        <w:pStyle w:val="Heading2"/>
      </w:pPr>
      <w:r w:rsidRPr="00836096">
        <w:t>Questionnaire Administration</w:t>
      </w:r>
    </w:p>
    <w:p w14:paraId="412C7487" w14:textId="77777777" w:rsidR="003F00E8" w:rsidRPr="00836096" w:rsidRDefault="003F00E8" w:rsidP="00E745E8">
      <w:pPr>
        <w:spacing w:line="480" w:lineRule="auto"/>
        <w:rPr>
          <w:lang w:val="en-US"/>
        </w:rPr>
      </w:pPr>
      <w:r w:rsidRPr="00836096">
        <w:rPr>
          <w:lang w:val="en-US"/>
        </w:rPr>
        <w:t xml:space="preserve">Online questionnaires were used throughout the study. All the measures were completed pre- and post-intervention, and at two-month follow-up. </w:t>
      </w:r>
      <w:r w:rsidRPr="00836096">
        <w:rPr>
          <w:shd w:val="clear" w:color="auto" w:fill="FFFFFF"/>
          <w:lang w:val="en-US"/>
        </w:rPr>
        <w:t>To maximize retention, 3 electronic reminders were sent to participants who had not completed questionnaires, on the 3 consecutive days after the release of the questionnaire. A further reminder was sent out via email and text message. If questionnaires were still not completed participants were telephoned to encourage questionnaire completion. Participants were also phoned after completing the intervention to discuss the progress they had made and share their questionnaire results.</w:t>
      </w:r>
    </w:p>
    <w:p w14:paraId="617F2506" w14:textId="77777777" w:rsidR="003F00E8" w:rsidRPr="00836096" w:rsidRDefault="003F00E8" w:rsidP="00E745E8">
      <w:pPr>
        <w:spacing w:line="480" w:lineRule="auto"/>
        <w:jc w:val="both"/>
        <w:rPr>
          <w:b/>
          <w:bCs/>
          <w:lang w:val="en-US"/>
        </w:rPr>
      </w:pPr>
    </w:p>
    <w:p w14:paraId="65BC4A0B" w14:textId="77777777" w:rsidR="003F00E8" w:rsidRPr="00836096" w:rsidRDefault="003F00E8" w:rsidP="00E745E8">
      <w:pPr>
        <w:spacing w:line="480" w:lineRule="auto"/>
        <w:rPr>
          <w:b/>
          <w:lang w:val="en-US"/>
        </w:rPr>
      </w:pPr>
    </w:p>
    <w:p w14:paraId="0371734C" w14:textId="77777777" w:rsidR="003F00E8" w:rsidRPr="00836096" w:rsidRDefault="003F00E8" w:rsidP="007E126C">
      <w:pPr>
        <w:pStyle w:val="Heading2"/>
      </w:pPr>
      <w:r w:rsidRPr="00836096">
        <w:lastRenderedPageBreak/>
        <w:t>Data Analysis</w:t>
      </w:r>
    </w:p>
    <w:p w14:paraId="3260E248" w14:textId="750AA8F4" w:rsidR="003F00E8" w:rsidRPr="00836096" w:rsidRDefault="003F00E8" w:rsidP="00E745E8">
      <w:pPr>
        <w:spacing w:line="480" w:lineRule="auto"/>
        <w:rPr>
          <w:b/>
          <w:lang w:val="en-US"/>
        </w:rPr>
      </w:pPr>
      <w:r w:rsidRPr="00836096">
        <w:rPr>
          <w:shd w:val="clear" w:color="auto" w:fill="FFFFFF"/>
          <w:lang w:val="en-US"/>
        </w:rPr>
        <w:t>S</w:t>
      </w:r>
      <w:r w:rsidRPr="00836096">
        <w:rPr>
          <w:lang w:val="en-US"/>
        </w:rPr>
        <w:t>tatistical analyses were performed using the Statistical Package for Social Sciences (SPSS) version 26.0. The primary study outcomes of interest were retention, feasibility, and effect size at post-intervention.</w:t>
      </w:r>
      <w:r w:rsidRPr="00836096">
        <w:rPr>
          <w:b/>
          <w:lang w:val="en-US"/>
        </w:rPr>
        <w:t xml:space="preserve"> </w:t>
      </w:r>
      <w:r w:rsidRPr="00836096">
        <w:rPr>
          <w:lang w:val="en-US"/>
        </w:rPr>
        <w:t xml:space="preserve">For all analyses, the goal of this pilot was to estimate the pre-post-test effect size for all primary and secondary outcomes; </w:t>
      </w:r>
      <w:proofErr w:type="gramStart"/>
      <w:r w:rsidRPr="00836096">
        <w:rPr>
          <w:lang w:val="en-US"/>
        </w:rPr>
        <w:t>however</w:t>
      </w:r>
      <w:proofErr w:type="gramEnd"/>
      <w:r w:rsidRPr="00836096">
        <w:rPr>
          <w:lang w:val="en-US"/>
        </w:rPr>
        <w:t xml:space="preserve"> 2-sided </w:t>
      </w:r>
      <w:r w:rsidRPr="00836096">
        <w:rPr>
          <w:i/>
          <w:iCs/>
          <w:lang w:val="en-US"/>
        </w:rPr>
        <w:t>p</w:t>
      </w:r>
      <w:r w:rsidRPr="00836096">
        <w:rPr>
          <w:lang w:val="en-US"/>
        </w:rPr>
        <w:t>-values using alpha = 0.05 were also reported.</w:t>
      </w:r>
      <w:r w:rsidRPr="00836096">
        <w:rPr>
          <w:shd w:val="clear" w:color="auto" w:fill="FFFFFF"/>
          <w:lang w:val="en-US"/>
        </w:rPr>
        <w:t xml:space="preserve"> For some outcome measures more </w:t>
      </w:r>
      <w:proofErr w:type="spellStart"/>
      <w:r w:rsidRPr="00836096">
        <w:rPr>
          <w:shd w:val="clear" w:color="auto" w:fill="FFFFFF"/>
          <w:lang w:val="en-US"/>
        </w:rPr>
        <w:t>then</w:t>
      </w:r>
      <w:proofErr w:type="spellEnd"/>
      <w:r w:rsidRPr="00836096">
        <w:rPr>
          <w:shd w:val="clear" w:color="auto" w:fill="FFFFFF"/>
          <w:lang w:val="en-US"/>
        </w:rPr>
        <w:t xml:space="preserve"> 15% of</w:t>
      </w:r>
      <w:r w:rsidR="00F756FA" w:rsidRPr="00836096">
        <w:rPr>
          <w:shd w:val="clear" w:color="auto" w:fill="FFFFFF"/>
          <w:lang w:val="en-US"/>
        </w:rPr>
        <w:t xml:space="preserve"> data were</w:t>
      </w:r>
      <w:r w:rsidRPr="00836096">
        <w:rPr>
          <w:shd w:val="clear" w:color="auto" w:fill="FFFFFF"/>
          <w:lang w:val="en-US"/>
        </w:rPr>
        <w:t xml:space="preserve"> missing</w:t>
      </w:r>
      <w:r w:rsidR="00F756FA" w:rsidRPr="00836096">
        <w:rPr>
          <w:shd w:val="clear" w:color="auto" w:fill="FFFFFF"/>
          <w:lang w:val="en-US"/>
        </w:rPr>
        <w:t>.</w:t>
      </w:r>
      <w:r w:rsidRPr="00836096">
        <w:rPr>
          <w:shd w:val="clear" w:color="auto" w:fill="FFFFFF"/>
          <w:lang w:val="en-US"/>
        </w:rPr>
        <w:t xml:space="preserve"> To account for missing data from participants not completing the post-intervention or follow-up intervention analysis an imputation analysis was undertaken. </w:t>
      </w:r>
      <w:r w:rsidRPr="00836096">
        <w:rPr>
          <w:lang w:val="en-US"/>
        </w:rPr>
        <w:t xml:space="preserve">Missing data were handled through multiple imputation using the </w:t>
      </w:r>
      <w:r w:rsidRPr="00836096">
        <w:rPr>
          <w:rStyle w:val="Emphasis"/>
          <w:bCs/>
          <w:shd w:val="clear" w:color="auto" w:fill="FFFFFF"/>
          <w:lang w:val="en-US"/>
        </w:rPr>
        <w:t>Markov Chain Monte Carlo</w:t>
      </w:r>
      <w:r w:rsidRPr="00836096">
        <w:rPr>
          <w:lang w:val="en-US"/>
        </w:rPr>
        <w:t xml:space="preserve"> approach.</w:t>
      </w:r>
      <w:r w:rsidRPr="00836096">
        <w:rPr>
          <w:b/>
          <w:lang w:val="en-US"/>
        </w:rPr>
        <w:t xml:space="preserve"> </w:t>
      </w:r>
      <w:r w:rsidRPr="00836096">
        <w:rPr>
          <w:lang w:val="en-US"/>
        </w:rPr>
        <w:t>In addition, a completers analysis was also performed by analy</w:t>
      </w:r>
      <w:r w:rsidR="007E59EE" w:rsidRPr="00836096">
        <w:rPr>
          <w:lang w:val="en-US"/>
        </w:rPr>
        <w:t>z</w:t>
      </w:r>
      <w:r w:rsidRPr="00836096">
        <w:rPr>
          <w:lang w:val="en-US"/>
        </w:rPr>
        <w:t xml:space="preserve">ing only the completed questionnaire data without imputing missing data. </w:t>
      </w:r>
      <w:r w:rsidRPr="00836096">
        <w:rPr>
          <w:shd w:val="clear" w:color="auto" w:fill="FFFFFF"/>
          <w:lang w:val="en-US"/>
        </w:rPr>
        <w:t xml:space="preserve">The data that support the findings of this study are openly available in </w:t>
      </w:r>
      <w:proofErr w:type="spellStart"/>
      <w:proofErr w:type="gramStart"/>
      <w:r w:rsidRPr="00836096">
        <w:rPr>
          <w:shd w:val="clear" w:color="auto" w:fill="FFFFFF"/>
          <w:lang w:val="en-US"/>
        </w:rPr>
        <w:t>Figshare</w:t>
      </w:r>
      <w:proofErr w:type="spellEnd"/>
      <w:r w:rsidRPr="00836096">
        <w:rPr>
          <w:shd w:val="clear" w:color="auto" w:fill="FFFFFF"/>
          <w:lang w:val="en-US"/>
        </w:rPr>
        <w:t xml:space="preserve"> </w:t>
      </w:r>
      <w:r w:rsidR="00527827" w:rsidRPr="00836096">
        <w:rPr>
          <w:lang w:val="en-US"/>
        </w:rPr>
        <w:t>.</w:t>
      </w:r>
      <w:proofErr w:type="gramEnd"/>
    </w:p>
    <w:p w14:paraId="49D5BC6C" w14:textId="77777777" w:rsidR="003F00E8" w:rsidRPr="00836096" w:rsidRDefault="003F00E8" w:rsidP="00E745E8">
      <w:pPr>
        <w:spacing w:line="480" w:lineRule="auto"/>
        <w:jc w:val="both"/>
        <w:rPr>
          <w:lang w:val="en-US"/>
        </w:rPr>
      </w:pPr>
    </w:p>
    <w:p w14:paraId="27AA5407" w14:textId="77777777" w:rsidR="003F00E8" w:rsidRPr="00836096" w:rsidRDefault="003F00E8" w:rsidP="00E745E8">
      <w:pPr>
        <w:spacing w:line="480" w:lineRule="auto"/>
        <w:jc w:val="both"/>
        <w:rPr>
          <w:b/>
          <w:bCs/>
          <w:i/>
          <w:iCs/>
          <w:lang w:val="en-US"/>
        </w:rPr>
      </w:pPr>
      <w:r w:rsidRPr="00836096">
        <w:rPr>
          <w:b/>
          <w:bCs/>
          <w:i/>
          <w:iCs/>
          <w:lang w:val="en-US"/>
        </w:rPr>
        <w:t>Effect Sizes and Statistical Modelling</w:t>
      </w:r>
    </w:p>
    <w:p w14:paraId="4C664D62" w14:textId="77777777" w:rsidR="003F00E8" w:rsidRPr="00836096" w:rsidRDefault="003F00E8" w:rsidP="00E745E8">
      <w:pPr>
        <w:spacing w:line="480" w:lineRule="auto"/>
        <w:rPr>
          <w:lang w:val="en-US"/>
        </w:rPr>
      </w:pPr>
      <w:r w:rsidRPr="00836096">
        <w:rPr>
          <w:lang w:val="en-US"/>
        </w:rPr>
        <w:t xml:space="preserve">Effect sizes (Cohen’s </w:t>
      </w:r>
      <w:r w:rsidRPr="00836096">
        <w:rPr>
          <w:i/>
          <w:iCs/>
          <w:lang w:val="en-US"/>
        </w:rPr>
        <w:t>d</w:t>
      </w:r>
      <w:r w:rsidRPr="00836096">
        <w:rPr>
          <w:lang w:val="en-US"/>
        </w:rPr>
        <w:t xml:space="preserve">) at post-intervention were calculated by dividing the differences in pre- and post-intervention means by the pooled standard deviations. The reliable change index (RCI) </w:t>
      </w:r>
      <w:sdt>
        <w:sdtPr>
          <w:rPr>
            <w:lang w:val="en-US"/>
          </w:rPr>
          <w:id w:val="1057827428"/>
          <w:citation/>
        </w:sdtPr>
        <w:sdtEndPr/>
        <w:sdtContent>
          <w:r w:rsidRPr="00836096">
            <w:rPr>
              <w:lang w:val="en-US"/>
            </w:rPr>
            <w:fldChar w:fldCharType="begin"/>
          </w:r>
          <w:r w:rsidRPr="00836096">
            <w:rPr>
              <w:lang w:val="en-US"/>
            </w:rPr>
            <w:instrText xml:space="preserve"> CITATION Jac911 \l 2057 </w:instrText>
          </w:r>
          <w:r w:rsidRPr="00836096">
            <w:rPr>
              <w:lang w:val="en-US"/>
            </w:rPr>
            <w:fldChar w:fldCharType="separate"/>
          </w:r>
          <w:r w:rsidRPr="00836096">
            <w:rPr>
              <w:noProof/>
              <w:lang w:val="en-US"/>
            </w:rPr>
            <w:t>(Jacobson &amp; Truax, 1991)</w:t>
          </w:r>
          <w:r w:rsidRPr="00836096">
            <w:rPr>
              <w:lang w:val="en-US"/>
            </w:rPr>
            <w:fldChar w:fldCharType="end"/>
          </w:r>
        </w:sdtContent>
      </w:sdt>
      <w:r w:rsidRPr="00836096">
        <w:rPr>
          <w:lang w:val="en-US"/>
        </w:rPr>
        <w:t xml:space="preserve"> was used as a means of calculating clinical significance for the TFI as the primary outcome. This was calculated using the mean pre-post test score difference, the pretreatment standard deviation, and a test-retest reliability coefficient of 0.78, and as reported in the validation study (Meikle et al, 2012). Finally, linear mixed models with random intercept for patient was used to account for repeated measures and incorporate all available data points in the analysis. The models were used to determine the effect of the pre-intervention scores on follow-up scores.  The linear mixed model induces a </w:t>
      </w:r>
      <w:r w:rsidRPr="00836096">
        <w:rPr>
          <w:bCs/>
          <w:lang w:val="en-US"/>
        </w:rPr>
        <w:t xml:space="preserve">compound symmetry covariance structure. </w:t>
      </w:r>
      <w:r w:rsidRPr="00836096">
        <w:rPr>
          <w:bCs/>
          <w:lang w:val="en-US"/>
        </w:rPr>
        <w:lastRenderedPageBreak/>
        <w:t>Bonferroni-corrected pairwise post hoc tests were applied to determine which timepoints were significantly different, for each variable</w:t>
      </w:r>
      <w:r w:rsidRPr="00836096">
        <w:rPr>
          <w:shd w:val="clear" w:color="auto" w:fill="FFFFFF"/>
          <w:lang w:val="en-US"/>
        </w:rPr>
        <w:t>.</w:t>
      </w:r>
      <w:r w:rsidRPr="00836096">
        <w:rPr>
          <w:lang w:val="en-US"/>
        </w:rPr>
        <w:t xml:space="preserve"> </w:t>
      </w:r>
    </w:p>
    <w:p w14:paraId="0BB39553" w14:textId="77777777" w:rsidR="003F00E8" w:rsidRPr="00836096" w:rsidRDefault="003F00E8" w:rsidP="00E745E8">
      <w:pPr>
        <w:spacing w:line="480" w:lineRule="auto"/>
        <w:jc w:val="both"/>
        <w:rPr>
          <w:lang w:val="en-US"/>
        </w:rPr>
      </w:pPr>
    </w:p>
    <w:p w14:paraId="03745A23" w14:textId="77777777" w:rsidR="003F00E8" w:rsidRPr="00836096" w:rsidRDefault="003F00E8" w:rsidP="00E745E8">
      <w:pPr>
        <w:spacing w:line="480" w:lineRule="auto"/>
        <w:jc w:val="both"/>
        <w:rPr>
          <w:b/>
          <w:bCs/>
          <w:i/>
          <w:iCs/>
          <w:lang w:val="en-US"/>
        </w:rPr>
      </w:pPr>
      <w:r w:rsidRPr="00836096">
        <w:rPr>
          <w:b/>
          <w:bCs/>
          <w:i/>
          <w:iCs/>
          <w:lang w:val="en-US"/>
        </w:rPr>
        <w:t xml:space="preserve">Sample Characteristics </w:t>
      </w:r>
    </w:p>
    <w:p w14:paraId="5CD902E7" w14:textId="7495712B" w:rsidR="003F00E8" w:rsidRDefault="003F00E8" w:rsidP="007E126C">
      <w:pPr>
        <w:spacing w:line="480" w:lineRule="auto"/>
        <w:jc w:val="both"/>
        <w:rPr>
          <w:lang w:val="en-US"/>
        </w:rPr>
      </w:pPr>
      <w:r w:rsidRPr="00836096">
        <w:rPr>
          <w:lang w:val="en-US"/>
        </w:rPr>
        <w:t xml:space="preserve">Descriptive statistics including gender, age, tinnitus duration, hearing aid use, and professionals consulted, were used to describe the sample.  The mean and standard deviation were reported for each outcome measure at each time point. Descriptive statistics were also used to describe intervention adherence and engagement including the number of logins and modules read. </w:t>
      </w:r>
    </w:p>
    <w:p w14:paraId="24237130" w14:textId="77777777" w:rsidR="007E126C" w:rsidRPr="007E126C" w:rsidRDefault="007E126C" w:rsidP="007E126C">
      <w:pPr>
        <w:spacing w:line="480" w:lineRule="auto"/>
        <w:jc w:val="both"/>
        <w:rPr>
          <w:lang w:val="en-US"/>
        </w:rPr>
      </w:pPr>
    </w:p>
    <w:p w14:paraId="0C5144F1" w14:textId="77777777" w:rsidR="003F00E8" w:rsidRPr="00836096" w:rsidRDefault="003F00E8" w:rsidP="007E126C">
      <w:pPr>
        <w:pStyle w:val="Heading1"/>
      </w:pPr>
      <w:r w:rsidRPr="00836096">
        <w:t>Results</w:t>
      </w:r>
    </w:p>
    <w:p w14:paraId="24CE900B" w14:textId="77777777" w:rsidR="003F00E8" w:rsidRPr="00836096" w:rsidRDefault="003F00E8" w:rsidP="007E126C">
      <w:pPr>
        <w:pStyle w:val="Heading2"/>
      </w:pPr>
      <w:r w:rsidRPr="00836096">
        <w:t>Participant Characteristics</w:t>
      </w:r>
    </w:p>
    <w:p w14:paraId="2378BC35" w14:textId="77777777" w:rsidR="003F00E8" w:rsidRPr="00836096" w:rsidRDefault="003F00E8" w:rsidP="00E745E8">
      <w:pPr>
        <w:spacing w:line="480" w:lineRule="auto"/>
        <w:jc w:val="both"/>
        <w:rPr>
          <w:lang w:val="en-US"/>
        </w:rPr>
      </w:pPr>
      <w:r w:rsidRPr="00836096">
        <w:rPr>
          <w:bCs/>
          <w:lang w:val="en-US"/>
        </w:rPr>
        <w:t>Of the 42 screened participants, 9 did not meet the inclusion criteria and 6 withdrew (Figure 1). The demographic profile of the remaining 27 participants completing the intervention is shown in Table 2</w:t>
      </w:r>
      <w:r w:rsidRPr="00836096">
        <w:rPr>
          <w:lang w:val="en-US"/>
        </w:rPr>
        <w:t xml:space="preserve">. All participants selected to do the intervention in English, despite ethnicity type.  </w:t>
      </w:r>
    </w:p>
    <w:p w14:paraId="69D8F84C" w14:textId="77777777" w:rsidR="003F00E8" w:rsidRPr="00836096" w:rsidRDefault="003F00E8" w:rsidP="00E745E8">
      <w:pPr>
        <w:spacing w:line="480" w:lineRule="auto"/>
        <w:jc w:val="both"/>
        <w:rPr>
          <w:lang w:val="en-US"/>
        </w:rPr>
      </w:pPr>
    </w:p>
    <w:p w14:paraId="43BA5A8B" w14:textId="77777777" w:rsidR="003F00E8" w:rsidRPr="00836096" w:rsidRDefault="003F00E8" w:rsidP="00E745E8">
      <w:pPr>
        <w:spacing w:line="480" w:lineRule="auto"/>
        <w:rPr>
          <w:lang w:val="en-US"/>
        </w:rPr>
      </w:pPr>
      <w:r w:rsidRPr="00836096">
        <w:rPr>
          <w:lang w:val="en-US"/>
        </w:rPr>
        <w:t xml:space="preserve">[Insert Figure 1 around here] </w:t>
      </w:r>
    </w:p>
    <w:p w14:paraId="5F3065A7" w14:textId="77777777" w:rsidR="003F00E8" w:rsidRPr="00836096" w:rsidRDefault="003F00E8" w:rsidP="00E745E8">
      <w:pPr>
        <w:spacing w:line="480" w:lineRule="auto"/>
        <w:jc w:val="both"/>
        <w:rPr>
          <w:lang w:val="en-US"/>
        </w:rPr>
      </w:pPr>
    </w:p>
    <w:p w14:paraId="5EB8ABBB" w14:textId="77777777" w:rsidR="003F00E8" w:rsidRPr="00836096" w:rsidRDefault="003F00E8" w:rsidP="00E745E8">
      <w:pPr>
        <w:spacing w:line="480" w:lineRule="auto"/>
        <w:rPr>
          <w:lang w:val="en-US"/>
        </w:rPr>
      </w:pPr>
      <w:r w:rsidRPr="00836096">
        <w:rPr>
          <w:lang w:val="en-US"/>
        </w:rPr>
        <w:t xml:space="preserve">[Insert Table 2 around here] </w:t>
      </w:r>
    </w:p>
    <w:p w14:paraId="6DA10CA2" w14:textId="77777777" w:rsidR="003F00E8" w:rsidRPr="00836096" w:rsidRDefault="003F00E8" w:rsidP="00E745E8">
      <w:pPr>
        <w:spacing w:line="480" w:lineRule="auto"/>
        <w:jc w:val="both"/>
        <w:rPr>
          <w:lang w:val="en-US"/>
        </w:rPr>
      </w:pPr>
    </w:p>
    <w:p w14:paraId="566E8BAD" w14:textId="77777777" w:rsidR="003F00E8" w:rsidRPr="00836096" w:rsidRDefault="003F00E8" w:rsidP="00E745E8">
      <w:pPr>
        <w:spacing w:line="480" w:lineRule="auto"/>
        <w:rPr>
          <w:lang w:val="en-US"/>
        </w:rPr>
      </w:pPr>
      <w:r w:rsidRPr="00836096">
        <w:rPr>
          <w:lang w:val="en-US"/>
        </w:rPr>
        <w:t xml:space="preserve">[Insert Table 3 around here] </w:t>
      </w:r>
    </w:p>
    <w:p w14:paraId="69F14A2E" w14:textId="77777777" w:rsidR="003F00E8" w:rsidRPr="00836096" w:rsidRDefault="003F00E8" w:rsidP="00E745E8">
      <w:pPr>
        <w:spacing w:line="480" w:lineRule="auto"/>
        <w:jc w:val="both"/>
        <w:rPr>
          <w:lang w:val="en-US"/>
        </w:rPr>
        <w:sectPr w:rsidR="003F00E8" w:rsidRPr="00836096" w:rsidSect="00DD46ED">
          <w:headerReference w:type="even" r:id="rId12"/>
          <w:headerReference w:type="default" r:id="rId13"/>
          <w:footerReference w:type="default" r:id="rId14"/>
          <w:type w:val="continuous"/>
          <w:pgSz w:w="12240" w:h="15840" w:code="1"/>
          <w:pgMar w:top="1440" w:right="1440" w:bottom="1440" w:left="1440" w:header="720" w:footer="720" w:gutter="0"/>
          <w:lnNumType w:countBy="1" w:restart="continuous"/>
          <w:cols w:space="720"/>
          <w:docGrid w:linePitch="360"/>
        </w:sectPr>
      </w:pPr>
    </w:p>
    <w:p w14:paraId="68B7BAD9" w14:textId="77777777" w:rsidR="003F00E8" w:rsidRPr="00836096" w:rsidRDefault="003F00E8" w:rsidP="007E126C">
      <w:pPr>
        <w:pStyle w:val="Heading2"/>
      </w:pPr>
      <w:r w:rsidRPr="00836096">
        <w:lastRenderedPageBreak/>
        <w:t>Primary Outcome Result</w:t>
      </w:r>
    </w:p>
    <w:p w14:paraId="6B880580" w14:textId="77777777" w:rsidR="003F00E8" w:rsidRPr="00836096" w:rsidRDefault="003F00E8" w:rsidP="00E745E8">
      <w:pPr>
        <w:spacing w:line="480" w:lineRule="auto"/>
        <w:jc w:val="both"/>
        <w:rPr>
          <w:lang w:val="en-US"/>
        </w:rPr>
      </w:pPr>
      <w:r w:rsidRPr="00836096">
        <w:rPr>
          <w:lang w:val="en-US"/>
        </w:rPr>
        <w:t xml:space="preserve">A significant, large effect size was observed for the change in tinnitus severity post-intervention (see Table 3). This change was maintained at 2-month follow-up as shown in Figure 2. The reliable change index indicated a pre-post score difference of 19.51 on the TFI would be a clinically significant change. This was obtained by 22/27 participants (81%) using imputation analysis and 16/23 (70%) of the participants using completers analysis. </w:t>
      </w:r>
    </w:p>
    <w:p w14:paraId="5C47E434" w14:textId="77777777" w:rsidR="003F00E8" w:rsidRPr="00836096" w:rsidRDefault="003F00E8" w:rsidP="00E745E8">
      <w:pPr>
        <w:spacing w:line="480" w:lineRule="auto"/>
        <w:rPr>
          <w:b/>
          <w:bCs/>
          <w:lang w:val="en-US"/>
        </w:rPr>
      </w:pPr>
    </w:p>
    <w:p w14:paraId="4D0A7D86" w14:textId="77777777" w:rsidR="003F00E8" w:rsidRPr="00836096" w:rsidRDefault="003F00E8" w:rsidP="00E745E8">
      <w:pPr>
        <w:spacing w:line="480" w:lineRule="auto"/>
        <w:rPr>
          <w:lang w:val="en-US"/>
        </w:rPr>
      </w:pPr>
      <w:r w:rsidRPr="00836096">
        <w:rPr>
          <w:lang w:val="en-US"/>
        </w:rPr>
        <w:t xml:space="preserve">[Insert Figure 2 around here] </w:t>
      </w:r>
    </w:p>
    <w:p w14:paraId="267E6755" w14:textId="77777777" w:rsidR="003F00E8" w:rsidRPr="00836096" w:rsidRDefault="003F00E8" w:rsidP="00E745E8">
      <w:pPr>
        <w:spacing w:line="480" w:lineRule="auto"/>
        <w:rPr>
          <w:b/>
          <w:bCs/>
          <w:lang w:val="en-US"/>
        </w:rPr>
      </w:pPr>
    </w:p>
    <w:p w14:paraId="5A4EDFB3" w14:textId="77777777" w:rsidR="003F00E8" w:rsidRPr="00836096" w:rsidRDefault="003F00E8" w:rsidP="007E126C">
      <w:pPr>
        <w:pStyle w:val="Heading2"/>
      </w:pPr>
      <w:r w:rsidRPr="00836096">
        <w:t>Secondary Outcome Results</w:t>
      </w:r>
    </w:p>
    <w:p w14:paraId="1EE8BC3B" w14:textId="369A4B68" w:rsidR="003F00E8" w:rsidRPr="00836096" w:rsidRDefault="003F00E8" w:rsidP="00E745E8">
      <w:pPr>
        <w:spacing w:line="480" w:lineRule="auto"/>
        <w:rPr>
          <w:lang w:val="en-US"/>
        </w:rPr>
      </w:pPr>
      <w:r w:rsidRPr="00836096">
        <w:rPr>
          <w:lang w:val="en-US"/>
        </w:rPr>
        <w:t xml:space="preserve">A large effect was found for tinnitus cognitions </w:t>
      </w:r>
      <w:r w:rsidR="00C35393" w:rsidRPr="00836096">
        <w:rPr>
          <w:lang w:val="en-US"/>
        </w:rPr>
        <w:t>and medium effect for insomnia,</w:t>
      </w:r>
      <w:r w:rsidRPr="00836096">
        <w:rPr>
          <w:lang w:val="en-US"/>
        </w:rPr>
        <w:t xml:space="preserve"> hearing disability, and hyperacusis (see Table 3).</w:t>
      </w:r>
    </w:p>
    <w:p w14:paraId="6189F3FB" w14:textId="77777777" w:rsidR="003F00E8" w:rsidRPr="00836096" w:rsidRDefault="003F00E8" w:rsidP="00E745E8">
      <w:pPr>
        <w:spacing w:line="480" w:lineRule="auto"/>
        <w:rPr>
          <w:lang w:val="en-US"/>
        </w:rPr>
      </w:pPr>
    </w:p>
    <w:p w14:paraId="0461C824" w14:textId="29D69C31" w:rsidR="003F00E8" w:rsidRPr="00836096" w:rsidRDefault="003F00E8" w:rsidP="00E745E8">
      <w:pPr>
        <w:spacing w:line="480" w:lineRule="auto"/>
        <w:jc w:val="both"/>
        <w:rPr>
          <w:shd w:val="clear" w:color="auto" w:fill="FFFFFF"/>
          <w:lang w:val="en-US"/>
        </w:rPr>
      </w:pPr>
      <w:r w:rsidRPr="00836096">
        <w:rPr>
          <w:lang w:val="en-US"/>
        </w:rPr>
        <w:t>Due to excluding participants who presented with significant levels of depression, the pre-treatment scores, pre-intervention scores for depression and anxiety were below the level of clinical significance. Post-treatment improvements were not found for depression and were only found for anxiety using the imputation analysis protocol, but not for the completers</w:t>
      </w:r>
      <w:r w:rsidR="00F756FA" w:rsidRPr="00836096">
        <w:rPr>
          <w:lang w:val="en-US"/>
        </w:rPr>
        <w:t>’</w:t>
      </w:r>
      <w:r w:rsidRPr="00836096">
        <w:rPr>
          <w:lang w:val="en-US"/>
        </w:rPr>
        <w:t xml:space="preserve"> analysis. </w:t>
      </w:r>
      <w:r w:rsidRPr="00836096">
        <w:rPr>
          <w:shd w:val="clear" w:color="auto" w:fill="FFFFFF"/>
          <w:lang w:val="en-US"/>
        </w:rPr>
        <w:t xml:space="preserve">A significant effect for overall global quality of life score was found only for the imputation analysis but not for the </w:t>
      </w:r>
      <w:proofErr w:type="gramStart"/>
      <w:r w:rsidRPr="00836096">
        <w:rPr>
          <w:shd w:val="clear" w:color="auto" w:fill="FFFFFF"/>
          <w:lang w:val="en-US"/>
        </w:rPr>
        <w:t>quality of life</w:t>
      </w:r>
      <w:proofErr w:type="gramEnd"/>
      <w:r w:rsidRPr="00836096">
        <w:rPr>
          <w:shd w:val="clear" w:color="auto" w:fill="FFFFFF"/>
          <w:lang w:val="en-US"/>
        </w:rPr>
        <w:t xml:space="preserve"> visual analogue scale.  </w:t>
      </w:r>
    </w:p>
    <w:p w14:paraId="3647CC65" w14:textId="77777777" w:rsidR="003F00E8" w:rsidRPr="00836096" w:rsidRDefault="003F00E8" w:rsidP="00E745E8">
      <w:pPr>
        <w:spacing w:line="480" w:lineRule="auto"/>
        <w:jc w:val="both"/>
        <w:rPr>
          <w:shd w:val="clear" w:color="auto" w:fill="FFFFFF"/>
          <w:lang w:val="en-US"/>
        </w:rPr>
      </w:pPr>
    </w:p>
    <w:p w14:paraId="7B7904D2" w14:textId="77777777" w:rsidR="003F00E8" w:rsidRPr="00836096" w:rsidRDefault="003F00E8" w:rsidP="007E126C">
      <w:pPr>
        <w:pStyle w:val="Heading2"/>
      </w:pPr>
      <w:r w:rsidRPr="00836096">
        <w:t>Weekly Monitoring</w:t>
      </w:r>
    </w:p>
    <w:p w14:paraId="6CBAED17" w14:textId="743A29D7" w:rsidR="003F00E8" w:rsidRPr="00836096" w:rsidRDefault="003F00E8" w:rsidP="00E745E8">
      <w:pPr>
        <w:spacing w:line="480" w:lineRule="auto"/>
        <w:rPr>
          <w:lang w:val="en-US"/>
        </w:rPr>
      </w:pPr>
      <w:r w:rsidRPr="00836096">
        <w:rPr>
          <w:lang w:val="en-US"/>
        </w:rPr>
        <w:t>Overall</w:t>
      </w:r>
      <w:r w:rsidR="00301D6D" w:rsidRPr="00836096">
        <w:rPr>
          <w:lang w:val="en-US"/>
        </w:rPr>
        <w:t>,</w:t>
      </w:r>
      <w:r w:rsidRPr="00836096">
        <w:rPr>
          <w:lang w:val="en-US"/>
        </w:rPr>
        <w:t xml:space="preserve"> there was a reduction in tinnitus severity (for the THI-S, </w:t>
      </w:r>
      <w:proofErr w:type="gramStart"/>
      <w:r w:rsidRPr="00836096">
        <w:rPr>
          <w:i/>
          <w:iCs/>
          <w:lang w:val="en-US"/>
        </w:rPr>
        <w:t>F</w:t>
      </w:r>
      <w:r w:rsidRPr="00836096">
        <w:rPr>
          <w:lang w:val="en-US"/>
        </w:rPr>
        <w:t>(</w:t>
      </w:r>
      <w:proofErr w:type="gramEnd"/>
      <w:r w:rsidRPr="00836096">
        <w:rPr>
          <w:lang w:val="en-US"/>
        </w:rPr>
        <w:t xml:space="preserve">7,175) = 2.92, </w:t>
      </w:r>
      <w:r w:rsidRPr="00836096">
        <w:rPr>
          <w:i/>
          <w:iCs/>
          <w:lang w:val="en-US"/>
        </w:rPr>
        <w:t xml:space="preserve">p </w:t>
      </w:r>
      <w:r w:rsidRPr="00836096">
        <w:rPr>
          <w:lang w:val="en-US"/>
        </w:rPr>
        <w:t xml:space="preserve">= .02*) and tinnitus qualities  (TQQ, </w:t>
      </w:r>
      <w:r w:rsidRPr="00836096">
        <w:rPr>
          <w:i/>
          <w:iCs/>
          <w:lang w:val="en-US"/>
        </w:rPr>
        <w:t>F</w:t>
      </w:r>
      <w:r w:rsidRPr="00836096">
        <w:rPr>
          <w:lang w:val="en-US"/>
        </w:rPr>
        <w:t xml:space="preserve">(7,175) = 3.45, </w:t>
      </w:r>
      <w:r w:rsidRPr="00836096">
        <w:rPr>
          <w:i/>
          <w:iCs/>
          <w:lang w:val="en-US"/>
        </w:rPr>
        <w:t xml:space="preserve">p </w:t>
      </w:r>
      <w:r w:rsidRPr="00836096">
        <w:rPr>
          <w:lang w:val="en-US"/>
        </w:rPr>
        <w:t xml:space="preserve">= .002*) over the 8 week intervention period using a linear mixed model, as seen in Figure 3.  Pairwise comparison of the THI-S scores in week 1 to subsequent weeks of the intervention displayed significant differences between </w:t>
      </w:r>
      <w:r w:rsidRPr="00836096">
        <w:rPr>
          <w:lang w:val="en-US"/>
        </w:rPr>
        <w:lastRenderedPageBreak/>
        <w:t>weeks 1 and weeks 3 to 8 (</w:t>
      </w:r>
      <w:r w:rsidRPr="00836096">
        <w:rPr>
          <w:i/>
          <w:iCs/>
          <w:lang w:val="en-US"/>
        </w:rPr>
        <w:t>p</w:t>
      </w:r>
      <w:r w:rsidRPr="00836096">
        <w:rPr>
          <w:lang w:val="en-US"/>
        </w:rPr>
        <w:t xml:space="preserve"> &lt; .01). When comparing the TQQ scores in week 1 with subsequent weeks of the intervention, there were significant differences between weeks 1 and weeks 4 to 8 (All </w:t>
      </w:r>
      <w:proofErr w:type="gramStart"/>
      <w:r w:rsidRPr="00836096">
        <w:rPr>
          <w:i/>
          <w:iCs/>
          <w:lang w:val="en-US"/>
        </w:rPr>
        <w:t xml:space="preserve">p’s </w:t>
      </w:r>
      <w:r w:rsidRPr="00836096">
        <w:rPr>
          <w:lang w:val="en-US"/>
        </w:rPr>
        <w:t xml:space="preserve"> &lt;</w:t>
      </w:r>
      <w:proofErr w:type="gramEnd"/>
      <w:r w:rsidRPr="00836096">
        <w:rPr>
          <w:lang w:val="en-US"/>
        </w:rPr>
        <w:t xml:space="preserve"> .01).</w:t>
      </w:r>
    </w:p>
    <w:p w14:paraId="76640B66" w14:textId="77777777" w:rsidR="00301D6D" w:rsidRPr="00836096" w:rsidRDefault="00301D6D" w:rsidP="00E745E8">
      <w:pPr>
        <w:spacing w:line="480" w:lineRule="auto"/>
        <w:rPr>
          <w:lang w:val="en-US"/>
        </w:rPr>
      </w:pPr>
    </w:p>
    <w:p w14:paraId="5A266E7C" w14:textId="77777777" w:rsidR="003F00E8" w:rsidRPr="00836096" w:rsidRDefault="003F00E8" w:rsidP="00E745E8">
      <w:pPr>
        <w:spacing w:line="480" w:lineRule="auto"/>
        <w:rPr>
          <w:lang w:val="en-US"/>
        </w:rPr>
      </w:pPr>
      <w:r w:rsidRPr="00836096">
        <w:rPr>
          <w:lang w:val="en-US"/>
        </w:rPr>
        <w:t xml:space="preserve">[Insert Figure 3 around here] </w:t>
      </w:r>
    </w:p>
    <w:p w14:paraId="0F6970E1" w14:textId="77777777" w:rsidR="003F00E8" w:rsidRPr="00836096" w:rsidRDefault="003F00E8" w:rsidP="00E745E8">
      <w:pPr>
        <w:spacing w:line="480" w:lineRule="auto"/>
        <w:rPr>
          <w:bCs/>
          <w:lang w:val="en-US"/>
        </w:rPr>
      </w:pPr>
    </w:p>
    <w:p w14:paraId="5B1C1571" w14:textId="77777777" w:rsidR="003F00E8" w:rsidRPr="00836096" w:rsidRDefault="003F00E8" w:rsidP="007E126C">
      <w:pPr>
        <w:pStyle w:val="Heading2"/>
      </w:pPr>
      <w:r w:rsidRPr="00836096">
        <w:t>Retention, Adherence and Engagement</w:t>
      </w:r>
    </w:p>
    <w:p w14:paraId="5F6F889C" w14:textId="4F51F3BC" w:rsidR="003F00E8" w:rsidRPr="00836096" w:rsidRDefault="003F00E8" w:rsidP="00E745E8">
      <w:pPr>
        <w:spacing w:line="480" w:lineRule="auto"/>
        <w:jc w:val="both"/>
        <w:rPr>
          <w:lang w:val="en-US"/>
        </w:rPr>
      </w:pPr>
      <w:r w:rsidRPr="00836096">
        <w:rPr>
          <w:lang w:val="en-US"/>
        </w:rPr>
        <w:t>The completion rate for the post-intervention was 85% and for the follow-up outcome measures 67%. Participant engagement with the intervention wa</w:t>
      </w:r>
      <w:r w:rsidR="00062160" w:rsidRPr="00836096">
        <w:rPr>
          <w:lang w:val="en-US"/>
        </w:rPr>
        <w:t>s highly variable. During the 8-</w:t>
      </w:r>
      <w:r w:rsidRPr="00836096">
        <w:rPr>
          <w:lang w:val="en-US"/>
        </w:rPr>
        <w:t>week intervention, the average number of logins was 20</w:t>
      </w:r>
      <w:r w:rsidR="00062160" w:rsidRPr="00836096">
        <w:rPr>
          <w:lang w:val="en-US"/>
        </w:rPr>
        <w:t xml:space="preserve"> (SD: </w:t>
      </w:r>
      <w:r w:rsidRPr="00836096">
        <w:rPr>
          <w:lang w:val="en-US"/>
        </w:rPr>
        <w:t>17</w:t>
      </w:r>
      <w:r w:rsidR="00062160" w:rsidRPr="00836096">
        <w:rPr>
          <w:lang w:val="en-US"/>
        </w:rPr>
        <w:t>)</w:t>
      </w:r>
      <w:r w:rsidRPr="00836096">
        <w:rPr>
          <w:lang w:val="en-US"/>
        </w:rPr>
        <w:t>. An average of 12</w:t>
      </w:r>
      <w:r w:rsidR="00062160" w:rsidRPr="00836096">
        <w:rPr>
          <w:lang w:val="en-US"/>
        </w:rPr>
        <w:t xml:space="preserve"> (SD: </w:t>
      </w:r>
      <w:r w:rsidRPr="00836096">
        <w:rPr>
          <w:lang w:val="en-US"/>
        </w:rPr>
        <w:t>8</w:t>
      </w:r>
      <w:r w:rsidR="00062160" w:rsidRPr="00836096">
        <w:rPr>
          <w:lang w:val="en-US"/>
        </w:rPr>
        <w:t>)</w:t>
      </w:r>
      <w:r w:rsidRPr="00836096">
        <w:rPr>
          <w:lang w:val="en-US"/>
        </w:rPr>
        <w:t xml:space="preserve"> modules were read by participants. </w:t>
      </w:r>
      <w:proofErr w:type="gramStart"/>
      <w:r w:rsidRPr="00836096">
        <w:rPr>
          <w:lang w:val="en-US"/>
        </w:rPr>
        <w:t>During the course of</w:t>
      </w:r>
      <w:proofErr w:type="gramEnd"/>
      <w:r w:rsidRPr="00836096">
        <w:rPr>
          <w:lang w:val="en-US"/>
        </w:rPr>
        <w:t xml:space="preserve"> the intervention, participants sent an average of 5 </w:t>
      </w:r>
      <w:r w:rsidR="00062160" w:rsidRPr="00836096">
        <w:rPr>
          <w:lang w:val="en-US"/>
        </w:rPr>
        <w:t>(SD: 5)</w:t>
      </w:r>
      <w:r w:rsidRPr="00836096">
        <w:rPr>
          <w:lang w:val="en-US"/>
        </w:rPr>
        <w:t xml:space="preserve"> messages</w:t>
      </w:r>
      <w:r w:rsidR="00062160" w:rsidRPr="00836096">
        <w:rPr>
          <w:lang w:val="en-US"/>
        </w:rPr>
        <w:t xml:space="preserve"> during the course of the </w:t>
      </w:r>
      <w:proofErr w:type="spellStart"/>
      <w:r w:rsidR="00062160" w:rsidRPr="00836096">
        <w:rPr>
          <w:lang w:val="en-US"/>
        </w:rPr>
        <w:t>intervetion</w:t>
      </w:r>
      <w:proofErr w:type="spellEnd"/>
      <w:r w:rsidRPr="00836096">
        <w:rPr>
          <w:lang w:val="en-US"/>
        </w:rPr>
        <w:t xml:space="preserve"> and received an average of 17 messages from the audiologist.</w:t>
      </w:r>
    </w:p>
    <w:p w14:paraId="54D8AC7A" w14:textId="77777777" w:rsidR="003F00E8" w:rsidRPr="00836096" w:rsidRDefault="003F00E8" w:rsidP="00E745E8">
      <w:pPr>
        <w:spacing w:line="480" w:lineRule="auto"/>
        <w:jc w:val="both"/>
        <w:rPr>
          <w:lang w:val="en-US"/>
        </w:rPr>
      </w:pPr>
    </w:p>
    <w:p w14:paraId="175D9C10" w14:textId="77777777" w:rsidR="003F00E8" w:rsidRPr="00836096" w:rsidRDefault="003F00E8" w:rsidP="00E745E8">
      <w:pPr>
        <w:spacing w:line="480" w:lineRule="auto"/>
        <w:jc w:val="both"/>
        <w:rPr>
          <w:lang w:val="en-US"/>
        </w:rPr>
      </w:pPr>
      <w:r w:rsidRPr="00836096">
        <w:rPr>
          <w:lang w:val="en-US"/>
        </w:rPr>
        <w:t xml:space="preserve">All the participants completed at least the first modules’ worksheets. For the initial modules, worksheets were generally completed by 16/27 (59%) and for the last modules by 10/27 (37%). Engagement thus decreased </w:t>
      </w:r>
      <w:proofErr w:type="gramStart"/>
      <w:r w:rsidRPr="00836096">
        <w:rPr>
          <w:lang w:val="en-US"/>
        </w:rPr>
        <w:t>during the course of</w:t>
      </w:r>
      <w:proofErr w:type="gramEnd"/>
      <w:r w:rsidRPr="00836096">
        <w:rPr>
          <w:lang w:val="en-US"/>
        </w:rPr>
        <w:t xml:space="preserve"> the intervention. </w:t>
      </w:r>
    </w:p>
    <w:p w14:paraId="7D38E02F" w14:textId="77777777" w:rsidR="003F00E8" w:rsidRPr="00836096" w:rsidRDefault="003F00E8" w:rsidP="00E745E8">
      <w:pPr>
        <w:spacing w:line="480" w:lineRule="auto"/>
        <w:rPr>
          <w:bCs/>
          <w:lang w:val="en-US"/>
        </w:rPr>
      </w:pPr>
    </w:p>
    <w:p w14:paraId="09FD6B21" w14:textId="77777777" w:rsidR="003F00E8" w:rsidRPr="00836096" w:rsidRDefault="003F00E8" w:rsidP="007E126C">
      <w:pPr>
        <w:pStyle w:val="Heading2"/>
      </w:pPr>
      <w:r w:rsidRPr="00836096">
        <w:t>Intervention Satisfaction</w:t>
      </w:r>
    </w:p>
    <w:p w14:paraId="5A0394CC" w14:textId="77777777" w:rsidR="003F00E8" w:rsidRPr="00836096" w:rsidRDefault="003F00E8" w:rsidP="00E745E8">
      <w:pPr>
        <w:spacing w:line="480" w:lineRule="auto"/>
        <w:rPr>
          <w:bCs/>
          <w:lang w:val="en-US"/>
        </w:rPr>
      </w:pPr>
      <w:r w:rsidRPr="00836096">
        <w:rPr>
          <w:bCs/>
          <w:lang w:val="en-US"/>
        </w:rPr>
        <w:t>An average score of 50/75 (67%) was obtained for the post-intervention satisfaction questionnaire with most questions scoring an average of 3 to 3.5 out of 5 for questions such as suitability of the information, ease of navigation, and benefit of the topics.  When answering the open-ended question, participants explained that some of the video captioning was difficult to read and that there were too many worksheets. They felt that more time was needed for the intervention with one participant saying, “</w:t>
      </w:r>
      <w:r w:rsidRPr="00836096">
        <w:rPr>
          <w:bCs/>
          <w:i/>
          <w:iCs/>
          <w:lang w:val="en-US"/>
        </w:rPr>
        <w:t xml:space="preserve">I feel the time frame for the study </w:t>
      </w:r>
      <w:r w:rsidRPr="00836096">
        <w:rPr>
          <w:bCs/>
          <w:i/>
          <w:iCs/>
          <w:lang w:val="en-US"/>
        </w:rPr>
        <w:lastRenderedPageBreak/>
        <w:t>should be longer because the content is excellent but to master the techniques takes longer than the time given</w:t>
      </w:r>
      <w:r w:rsidRPr="00836096">
        <w:rPr>
          <w:bCs/>
          <w:lang w:val="en-US"/>
        </w:rPr>
        <w:t>.”</w:t>
      </w:r>
    </w:p>
    <w:p w14:paraId="56703EB5" w14:textId="77777777" w:rsidR="003F00E8" w:rsidRPr="00836096" w:rsidRDefault="003F00E8" w:rsidP="00E745E8">
      <w:pPr>
        <w:spacing w:line="480" w:lineRule="auto"/>
        <w:rPr>
          <w:bCs/>
          <w:lang w:val="en-US"/>
        </w:rPr>
      </w:pPr>
    </w:p>
    <w:p w14:paraId="2B229579" w14:textId="0F06E7E6" w:rsidR="003F00E8" w:rsidRPr="00836096" w:rsidRDefault="003F00E8" w:rsidP="00E745E8">
      <w:pPr>
        <w:spacing w:line="480" w:lineRule="auto"/>
        <w:rPr>
          <w:bCs/>
          <w:lang w:val="en-US"/>
        </w:rPr>
      </w:pPr>
      <w:r w:rsidRPr="00836096">
        <w:rPr>
          <w:bCs/>
          <w:lang w:val="en-US"/>
        </w:rPr>
        <w:t xml:space="preserve">Participants also mentioned beneficial aspects of the platform, including the range of techniques provided: </w:t>
      </w:r>
      <w:r w:rsidRPr="00836096">
        <w:rPr>
          <w:bCs/>
          <w:i/>
          <w:iCs/>
          <w:lang w:val="en-US"/>
        </w:rPr>
        <w:t>“</w:t>
      </w:r>
      <w:r w:rsidRPr="00836096">
        <w:rPr>
          <w:i/>
          <w:iCs/>
          <w:lang w:val="en-US"/>
        </w:rPr>
        <w:t>It was helpful learning about a number of techniques to help me cope. If one was difficult it didn't work for me</w:t>
      </w:r>
      <w:r w:rsidR="00301D6D" w:rsidRPr="00836096">
        <w:rPr>
          <w:i/>
          <w:iCs/>
          <w:lang w:val="en-US"/>
        </w:rPr>
        <w:t>,</w:t>
      </w:r>
      <w:r w:rsidRPr="00836096">
        <w:rPr>
          <w:i/>
          <w:iCs/>
          <w:lang w:val="en-US"/>
        </w:rPr>
        <w:t xml:space="preserve"> I could try something else” </w:t>
      </w:r>
      <w:r w:rsidRPr="00836096">
        <w:rPr>
          <w:lang w:val="en-US"/>
        </w:rPr>
        <w:t>and that it helped them accept the tinnitus: “</w:t>
      </w:r>
      <w:r w:rsidRPr="00836096">
        <w:rPr>
          <w:i/>
          <w:iCs/>
          <w:lang w:val="en-US"/>
        </w:rPr>
        <w:t xml:space="preserve">The most positive aspect of this intervention is that I've ACCEPTED my tinnitus. It isn’t a negative and I don’t dwell on it. I can comfortably own </w:t>
      </w:r>
      <w:proofErr w:type="gramStart"/>
      <w:r w:rsidRPr="00836096">
        <w:rPr>
          <w:i/>
          <w:iCs/>
          <w:lang w:val="en-US"/>
        </w:rPr>
        <w:t>it, and</w:t>
      </w:r>
      <w:proofErr w:type="gramEnd"/>
      <w:r w:rsidRPr="00836096">
        <w:rPr>
          <w:i/>
          <w:iCs/>
          <w:lang w:val="en-US"/>
        </w:rPr>
        <w:t xml:space="preserve"> talk about it with friends. I no longer do I feel that my tinnitus is invasive.” </w:t>
      </w:r>
      <w:r w:rsidRPr="00836096">
        <w:rPr>
          <w:lang w:val="en-US"/>
        </w:rPr>
        <w:t>They mentioned finding the materials helpful for example:</w:t>
      </w:r>
      <w:r w:rsidRPr="00836096">
        <w:rPr>
          <w:i/>
          <w:iCs/>
          <w:lang w:val="en-US"/>
        </w:rPr>
        <w:t xml:space="preserve"> “The materials were informative, interesting, well-presented, and easy to consume. There were very clear instructions and tips for practicing the different techniques. I really liked the videos. Examples cited within the text helped me to expand the ways I could apply concepts and techniques to other parts of my life. The writing was factual yet engaging, and easy to apply to my own situation.” </w:t>
      </w:r>
      <w:r w:rsidRPr="00836096">
        <w:rPr>
          <w:lang w:val="en-US"/>
        </w:rPr>
        <w:t>The guidance was furthermore beneficial as explained:</w:t>
      </w:r>
      <w:r w:rsidRPr="00836096">
        <w:rPr>
          <w:i/>
          <w:iCs/>
          <w:lang w:val="en-US"/>
        </w:rPr>
        <w:t xml:space="preserve"> “It was great to have a contact at any time with the audiologist when needed. The support was understanding, very positive and helpful throughout. It was a great experience.”</w:t>
      </w:r>
    </w:p>
    <w:p w14:paraId="68CD1620" w14:textId="77777777" w:rsidR="003F00E8" w:rsidRPr="00836096" w:rsidRDefault="003F00E8" w:rsidP="00E745E8">
      <w:pPr>
        <w:spacing w:line="480" w:lineRule="auto"/>
        <w:rPr>
          <w:bCs/>
          <w:lang w:val="en-US"/>
        </w:rPr>
      </w:pPr>
    </w:p>
    <w:p w14:paraId="1ED6BB4B" w14:textId="77777777" w:rsidR="003F00E8" w:rsidRPr="00836096" w:rsidRDefault="003F00E8" w:rsidP="007E126C">
      <w:pPr>
        <w:pStyle w:val="Heading1"/>
      </w:pPr>
      <w:r w:rsidRPr="00836096">
        <w:t>Discussion</w:t>
      </w:r>
    </w:p>
    <w:p w14:paraId="2EDBF4C7" w14:textId="77777777" w:rsidR="003F00E8" w:rsidRPr="00836096" w:rsidRDefault="003F00E8" w:rsidP="00E745E8">
      <w:pPr>
        <w:spacing w:line="480" w:lineRule="auto"/>
        <w:rPr>
          <w:lang w:val="en-US"/>
        </w:rPr>
      </w:pPr>
      <w:r w:rsidRPr="00836096">
        <w:rPr>
          <w:lang w:val="en-US"/>
        </w:rPr>
        <w:t xml:space="preserve">The primary objective of this pilot study was to investigate the feasibility of a full scale RCT regarding ICBT for tinnitus in the US. A pilot study is an essential pre-requisite before larger-scale RCT’s are undertaken </w:t>
      </w:r>
      <w:sdt>
        <w:sdtPr>
          <w:rPr>
            <w:lang w:val="en-US"/>
          </w:rPr>
          <w:id w:val="-1692978016"/>
          <w:citation/>
        </w:sdtPr>
        <w:sdtEndPr/>
        <w:sdtContent>
          <w:r w:rsidRPr="00836096">
            <w:rPr>
              <w:lang w:val="en-US"/>
            </w:rPr>
            <w:fldChar w:fldCharType="begin"/>
          </w:r>
          <w:r w:rsidRPr="00836096">
            <w:rPr>
              <w:lang w:val="en-US"/>
            </w:rPr>
            <w:instrText xml:space="preserve"> CITATION Leo \l 2057 </w:instrText>
          </w:r>
          <w:r w:rsidRPr="00836096">
            <w:rPr>
              <w:lang w:val="en-US"/>
            </w:rPr>
            <w:fldChar w:fldCharType="separate"/>
          </w:r>
          <w:r w:rsidRPr="00836096">
            <w:rPr>
              <w:noProof/>
              <w:lang w:val="en-US"/>
            </w:rPr>
            <w:t>(Leon, Davis, &amp; Kraemer, 2012)</w:t>
          </w:r>
          <w:r w:rsidRPr="00836096">
            <w:rPr>
              <w:lang w:val="en-US"/>
            </w:rPr>
            <w:fldChar w:fldCharType="end"/>
          </w:r>
        </w:sdtContent>
      </w:sdt>
      <w:r w:rsidRPr="00836096">
        <w:rPr>
          <w:lang w:val="en-US"/>
        </w:rPr>
        <w:t xml:space="preserve">. </w:t>
      </w:r>
    </w:p>
    <w:p w14:paraId="474A498A" w14:textId="77777777" w:rsidR="003F00E8" w:rsidRPr="00836096" w:rsidRDefault="003F00E8" w:rsidP="00E745E8">
      <w:pPr>
        <w:spacing w:line="480" w:lineRule="auto"/>
        <w:rPr>
          <w:lang w:val="en-US"/>
        </w:rPr>
      </w:pPr>
    </w:p>
    <w:p w14:paraId="07F40568" w14:textId="7E296C7C" w:rsidR="003F00E8" w:rsidRPr="00836096" w:rsidRDefault="003F00E8" w:rsidP="00E745E8">
      <w:pPr>
        <w:spacing w:line="480" w:lineRule="auto"/>
        <w:rPr>
          <w:lang w:val="en-US"/>
        </w:rPr>
      </w:pPr>
      <w:r w:rsidRPr="00836096">
        <w:rPr>
          <w:lang w:val="en-US"/>
        </w:rPr>
        <w:t xml:space="preserve">The ICBT intervention reduced tinnitus severity significantly when assessed post-intervention and the improvements were maintained at 2 months follow-up. For the current </w:t>
      </w:r>
      <w:r w:rsidRPr="00836096">
        <w:rPr>
          <w:lang w:val="en-US"/>
        </w:rPr>
        <w:lastRenderedPageBreak/>
        <w:t xml:space="preserve">sample, 70% of participants indicated clinically significant changes at post-intervention. Although this outcome may </w:t>
      </w:r>
      <w:r w:rsidR="008E56FF" w:rsidRPr="00836096">
        <w:rPr>
          <w:lang w:val="en-US"/>
        </w:rPr>
        <w:t xml:space="preserve">reflect primarily the positive effects of patients receiving tinnitus care, versus no care, the lack of homogeneity in the findings suggests that </w:t>
      </w:r>
      <w:r w:rsidR="00DD65D4" w:rsidRPr="00836096">
        <w:rPr>
          <w:lang w:val="en-US"/>
        </w:rPr>
        <w:t>the notion of providing care, on its own, cannot explain the results.</w:t>
      </w:r>
      <w:r w:rsidR="00062160" w:rsidRPr="00836096">
        <w:rPr>
          <w:lang w:val="en-US"/>
        </w:rPr>
        <w:t xml:space="preserve"> T</w:t>
      </w:r>
      <w:r w:rsidR="00DD65D4" w:rsidRPr="00836096">
        <w:rPr>
          <w:lang w:val="en-US"/>
        </w:rPr>
        <w:t>he current</w:t>
      </w:r>
      <w:r w:rsidRPr="00836096">
        <w:rPr>
          <w:lang w:val="en-US"/>
        </w:rPr>
        <w:t xml:space="preserve"> results are encouraging and justify further RCTs. Indeed, the findings of this study are in accord with those of the ICBT feasibility trial in the UK (Beukes et al., 2017). </w:t>
      </w:r>
    </w:p>
    <w:p w14:paraId="37802B31" w14:textId="77777777" w:rsidR="003F00E8" w:rsidRPr="00836096" w:rsidRDefault="003F00E8" w:rsidP="00E745E8">
      <w:pPr>
        <w:spacing w:line="480" w:lineRule="auto"/>
        <w:rPr>
          <w:lang w:val="en-US"/>
        </w:rPr>
      </w:pPr>
    </w:p>
    <w:p w14:paraId="4B05CA6C" w14:textId="72A12321" w:rsidR="003F00E8" w:rsidRPr="00836096" w:rsidRDefault="003F00E8" w:rsidP="00E745E8">
      <w:pPr>
        <w:spacing w:line="480" w:lineRule="auto"/>
        <w:rPr>
          <w:lang w:val="en-US"/>
        </w:rPr>
      </w:pPr>
      <w:r w:rsidRPr="00836096">
        <w:rPr>
          <w:lang w:val="en-US"/>
        </w:rPr>
        <w:t>Tinnitus is often accompanied by various comorbidities, particularly co-occurring mental health conditions. To assess intervention effects on these comorbidities</w:t>
      </w:r>
      <w:r w:rsidR="00301D6D" w:rsidRPr="00836096">
        <w:rPr>
          <w:lang w:val="en-US"/>
        </w:rPr>
        <w:t>,</w:t>
      </w:r>
      <w:r w:rsidRPr="00836096">
        <w:rPr>
          <w:lang w:val="en-US"/>
        </w:rPr>
        <w:t xml:space="preserve"> outcome measures for anxiety, depression, insomnia, hearing-related difficulties, tinnitus cognitions, and health-related quality of life were included. The intervention provided a large effect size related to tinnitus cognitions indicating fewer negative cognitions were associated with tinnitus after completing the intervention. This outcome measure has not been used in previous ICBT trials but was recommended to use for tinnitus therapeutic research</w:t>
      </w:r>
      <w:sdt>
        <w:sdtPr>
          <w:rPr>
            <w:lang w:val="en-US"/>
          </w:rPr>
          <w:id w:val="-1218592603"/>
          <w:citation/>
        </w:sdtPr>
        <w:sdtEndPr/>
        <w:sdtContent>
          <w:r w:rsidRPr="00836096">
            <w:rPr>
              <w:lang w:val="en-US"/>
            </w:rPr>
            <w:fldChar w:fldCharType="begin"/>
          </w:r>
          <w:r w:rsidRPr="00836096">
            <w:rPr>
              <w:lang w:val="en-US"/>
            </w:rPr>
            <w:instrText xml:space="preserve"> CITATION Han17 \l 2057 </w:instrText>
          </w:r>
          <w:r w:rsidRPr="00836096">
            <w:rPr>
              <w:lang w:val="en-US"/>
            </w:rPr>
            <w:fldChar w:fldCharType="separate"/>
          </w:r>
          <w:r w:rsidRPr="00836096">
            <w:rPr>
              <w:noProof/>
              <w:lang w:val="en-US"/>
            </w:rPr>
            <w:t xml:space="preserve"> (Handscomb, Hall, Shorter, &amp; Hoare, 2017)</w:t>
          </w:r>
          <w:r w:rsidRPr="00836096">
            <w:rPr>
              <w:lang w:val="en-US"/>
            </w:rPr>
            <w:fldChar w:fldCharType="end"/>
          </w:r>
        </w:sdtContent>
      </w:sdt>
      <w:r w:rsidRPr="00836096">
        <w:rPr>
          <w:lang w:val="en-US"/>
        </w:rPr>
        <w:t>. As negative thinking appears to be associated with more problematic tinnitus, intervention reducing such thought patterns are important (</w:t>
      </w:r>
      <w:proofErr w:type="spellStart"/>
      <w:r w:rsidRPr="00836096">
        <w:rPr>
          <w:lang w:val="en-US"/>
        </w:rPr>
        <w:t>Handscomb</w:t>
      </w:r>
      <w:proofErr w:type="spellEnd"/>
      <w:r w:rsidRPr="00836096">
        <w:rPr>
          <w:lang w:val="en-US"/>
        </w:rPr>
        <w:t xml:space="preserve"> et al., 2017). Further RCTs are needed to monitor whet</w:t>
      </w:r>
      <w:r w:rsidR="001109B8" w:rsidRPr="00836096">
        <w:rPr>
          <w:lang w:val="en-US"/>
        </w:rPr>
        <w:t>her and to what degree the ICBT</w:t>
      </w:r>
      <w:r w:rsidRPr="00836096">
        <w:rPr>
          <w:lang w:val="en-US"/>
        </w:rPr>
        <w:t xml:space="preserve"> intervention reduces negative tinnitus cognitions.</w:t>
      </w:r>
    </w:p>
    <w:p w14:paraId="38335FFC" w14:textId="77777777" w:rsidR="003F00E8" w:rsidRPr="00836096" w:rsidRDefault="003F00E8" w:rsidP="00E745E8">
      <w:pPr>
        <w:spacing w:line="480" w:lineRule="auto"/>
        <w:rPr>
          <w:lang w:val="en-US"/>
        </w:rPr>
      </w:pPr>
    </w:p>
    <w:p w14:paraId="25F61CB7" w14:textId="623FBA58" w:rsidR="003F00E8" w:rsidRPr="00836096" w:rsidRDefault="003F00E8" w:rsidP="00E745E8">
      <w:pPr>
        <w:spacing w:line="480" w:lineRule="auto"/>
        <w:rPr>
          <w:lang w:val="en-US"/>
        </w:rPr>
      </w:pPr>
      <w:r w:rsidRPr="00836096">
        <w:rPr>
          <w:lang w:val="en-US"/>
        </w:rPr>
        <w:t>A medium effec</w:t>
      </w:r>
      <w:r w:rsidR="001109B8" w:rsidRPr="00836096">
        <w:rPr>
          <w:lang w:val="en-US"/>
        </w:rPr>
        <w:t xml:space="preserve">t size was found for insomnia, </w:t>
      </w:r>
      <w:r w:rsidRPr="00836096">
        <w:rPr>
          <w:lang w:val="en-US"/>
        </w:rPr>
        <w:t>hearing disability, and hyperacusis. This result was encouraging; although significant improvements have been found for insomnia</w:t>
      </w:r>
      <w:r w:rsidR="00301D6D" w:rsidRPr="00836096">
        <w:rPr>
          <w:lang w:val="en-US"/>
        </w:rPr>
        <w:t>,</w:t>
      </w:r>
      <w:r w:rsidRPr="00836096">
        <w:rPr>
          <w:lang w:val="en-US"/>
        </w:rPr>
        <w:t xml:space="preserve"> they have not always been found for hearing disability and hyperacusis in previous trials (e.g.</w:t>
      </w:r>
      <w:r w:rsidR="00301D6D" w:rsidRPr="00836096">
        <w:rPr>
          <w:lang w:val="en-US"/>
        </w:rPr>
        <w:t>,</w:t>
      </w:r>
      <w:r w:rsidRPr="00836096">
        <w:rPr>
          <w:lang w:val="en-US"/>
        </w:rPr>
        <w:t xml:space="preserve"> Beukes et al., 2018</w:t>
      </w:r>
      <w:proofErr w:type="gramStart"/>
      <w:r w:rsidRPr="00836096">
        <w:rPr>
          <w:lang w:val="en-US"/>
        </w:rPr>
        <w:t>a,b</w:t>
      </w:r>
      <w:proofErr w:type="gramEnd"/>
      <w:r w:rsidRPr="00836096">
        <w:rPr>
          <w:lang w:val="en-US"/>
        </w:rPr>
        <w:t xml:space="preserve">). Although the intervention improved some comorbid </w:t>
      </w:r>
      <w:r w:rsidR="001109B8" w:rsidRPr="00836096">
        <w:rPr>
          <w:lang w:val="en-US"/>
        </w:rPr>
        <w:t>conditions,</w:t>
      </w:r>
      <w:r w:rsidRPr="00836096">
        <w:rPr>
          <w:lang w:val="en-US"/>
        </w:rPr>
        <w:t xml:space="preserve"> effects were not significant for anxiety and depression. The exclusion of individuals with severe mental health conditions likely reduced the opportunity to observe an intervention </w:t>
      </w:r>
      <w:r w:rsidRPr="00836096">
        <w:rPr>
          <w:lang w:val="en-US"/>
        </w:rPr>
        <w:lastRenderedPageBreak/>
        <w:t>effect, however such affected individuals may form an important participant group in subsequent trials.</w:t>
      </w:r>
    </w:p>
    <w:p w14:paraId="6DB86DF9" w14:textId="77777777" w:rsidR="003F00E8" w:rsidRPr="00836096" w:rsidRDefault="003F00E8" w:rsidP="00E745E8">
      <w:pPr>
        <w:spacing w:line="480" w:lineRule="auto"/>
        <w:rPr>
          <w:lang w:val="en-US"/>
        </w:rPr>
      </w:pPr>
    </w:p>
    <w:p w14:paraId="575FCCF6" w14:textId="77777777" w:rsidR="003F00E8" w:rsidRPr="00836096" w:rsidRDefault="003F00E8" w:rsidP="00E745E8">
      <w:pPr>
        <w:spacing w:line="480" w:lineRule="auto"/>
        <w:rPr>
          <w:lang w:val="en-US"/>
        </w:rPr>
      </w:pPr>
      <w:r w:rsidRPr="00836096">
        <w:rPr>
          <w:lang w:val="en-US"/>
        </w:rPr>
        <w:t xml:space="preserve">The intervention was offered through an </w:t>
      </w:r>
      <w:proofErr w:type="gramStart"/>
      <w:r w:rsidRPr="00836096">
        <w:rPr>
          <w:lang w:val="en-US"/>
        </w:rPr>
        <w:t>8 week</w:t>
      </w:r>
      <w:proofErr w:type="gramEnd"/>
      <w:r w:rsidRPr="00836096">
        <w:rPr>
          <w:lang w:val="en-US"/>
        </w:rPr>
        <w:t xml:space="preserve"> period and from the weekly measures, it appeared as though a </w:t>
      </w:r>
      <w:r w:rsidRPr="00836096">
        <w:rPr>
          <w:noProof/>
          <w:lang w:val="en-US"/>
        </w:rPr>
        <w:t>four-week</w:t>
      </w:r>
      <w:r w:rsidRPr="00836096">
        <w:rPr>
          <w:lang w:val="en-US"/>
        </w:rPr>
        <w:t xml:space="preserve"> time frame of intervention was sufficient to produce a positive effect, as we previously have reported (Beukes et al, 2018a). These results indicated the feasibility of ICBT in the US as a suitable intervention. Further RCTs would more conclusively determine the efficacy of this intervention.</w:t>
      </w:r>
    </w:p>
    <w:p w14:paraId="1146DB9A" w14:textId="77777777" w:rsidR="003F00E8" w:rsidRPr="00836096" w:rsidRDefault="003F00E8" w:rsidP="00E745E8">
      <w:pPr>
        <w:spacing w:line="480" w:lineRule="auto"/>
        <w:rPr>
          <w:lang w:val="en-US"/>
        </w:rPr>
      </w:pPr>
    </w:p>
    <w:p w14:paraId="66635B70" w14:textId="77777777" w:rsidR="003F00E8" w:rsidRPr="00836096" w:rsidRDefault="003F00E8" w:rsidP="00E745E8">
      <w:pPr>
        <w:spacing w:line="480" w:lineRule="auto"/>
        <w:rPr>
          <w:lang w:val="en-US"/>
        </w:rPr>
      </w:pPr>
      <w:r w:rsidRPr="00836096">
        <w:rPr>
          <w:lang w:val="en-US"/>
        </w:rPr>
        <w:t xml:space="preserve">The protocol feasibility for ICBT delivered to a US population was investigated during this pilot study. Participant analysis indicated that although different ethnic groups were recruited, no participants selected to do the intervention in Spanish. They explained that they preferred health-related materials to be in English as they perceived translated versions as less accurate. Further work on effective recruitment strategies to attract Spanish speakers will be needed. Recruitment through word of mouth, building rapport and trust, and personalizing the benefits of participation were suggested to support recruitment of Hispanic and Latino research participants (Sha et al., 2017).  Recognizing cultural differences and building trust within Hispanic communities prior to recruitment should be emphasized to support larger trials </w:t>
      </w:r>
      <w:sdt>
        <w:sdtPr>
          <w:rPr>
            <w:lang w:val="en-US"/>
          </w:rPr>
          <w:id w:val="291173024"/>
          <w:citation/>
        </w:sdtPr>
        <w:sdtEndPr/>
        <w:sdtContent>
          <w:r w:rsidRPr="00836096">
            <w:rPr>
              <w:lang w:val="en-US"/>
            </w:rPr>
            <w:fldChar w:fldCharType="begin"/>
          </w:r>
          <w:r w:rsidRPr="00836096">
            <w:rPr>
              <w:lang w:val="en-US"/>
            </w:rPr>
            <w:instrText xml:space="preserve"> CITATION Lev03 \l 2057 </w:instrText>
          </w:r>
          <w:r w:rsidRPr="00836096">
            <w:rPr>
              <w:lang w:val="en-US"/>
            </w:rPr>
            <w:fldChar w:fldCharType="separate"/>
          </w:r>
          <w:r w:rsidRPr="00836096">
            <w:rPr>
              <w:noProof/>
              <w:lang w:val="en-US"/>
            </w:rPr>
            <w:t>(Levkoff &amp; Sanchez, 2003)</w:t>
          </w:r>
          <w:r w:rsidRPr="00836096">
            <w:rPr>
              <w:lang w:val="en-US"/>
            </w:rPr>
            <w:fldChar w:fldCharType="end"/>
          </w:r>
        </w:sdtContent>
      </w:sdt>
      <w:r w:rsidRPr="00836096">
        <w:rPr>
          <w:lang w:val="en-US"/>
        </w:rPr>
        <w:t>.</w:t>
      </w:r>
    </w:p>
    <w:p w14:paraId="0CB7D63F" w14:textId="77777777" w:rsidR="003F00E8" w:rsidRPr="00836096" w:rsidRDefault="003F00E8" w:rsidP="00E745E8">
      <w:pPr>
        <w:spacing w:line="480" w:lineRule="auto"/>
        <w:rPr>
          <w:lang w:val="en-US"/>
        </w:rPr>
      </w:pPr>
    </w:p>
    <w:p w14:paraId="03A2DA59" w14:textId="069E98D7" w:rsidR="003F00E8" w:rsidRPr="00836096" w:rsidRDefault="003F00E8" w:rsidP="00E745E8">
      <w:pPr>
        <w:spacing w:line="480" w:lineRule="auto"/>
        <w:rPr>
          <w:lang w:val="en-US"/>
        </w:rPr>
      </w:pPr>
      <w:r w:rsidRPr="00836096">
        <w:rPr>
          <w:lang w:val="en-US"/>
        </w:rPr>
        <w:t>The overall retention rate of 82% was consistent with that of the previous ICBT for tinnitus studies with rates between 57-95% (Beukes et al.., 2019).  These rates were particularly high for earlier stud</w:t>
      </w:r>
      <w:r w:rsidR="001109B8" w:rsidRPr="00836096">
        <w:rPr>
          <w:lang w:val="en-US"/>
        </w:rPr>
        <w:t>ies (e.g.</w:t>
      </w:r>
      <w:r w:rsidR="00301D6D" w:rsidRPr="00836096">
        <w:rPr>
          <w:lang w:val="en-US"/>
        </w:rPr>
        <w:t>,</w:t>
      </w:r>
      <w:r w:rsidR="001109B8" w:rsidRPr="00836096">
        <w:rPr>
          <w:lang w:val="en-US"/>
        </w:rPr>
        <w:t xml:space="preserve"> Abbott et al., 2009; </w:t>
      </w:r>
      <w:r w:rsidRPr="00836096">
        <w:rPr>
          <w:lang w:val="en-US"/>
        </w:rPr>
        <w:t xml:space="preserve">Andersson et al., 2002) and have increased with improvements made in later studies. Those who withdrew in the present study indicated the decision was due to time constraints. One person’s withdrawal was attributed to the </w:t>
      </w:r>
      <w:r w:rsidRPr="00836096">
        <w:rPr>
          <w:lang w:val="en-US"/>
        </w:rPr>
        <w:lastRenderedPageBreak/>
        <w:t xml:space="preserve">assessment burden of the intervention. Subsequent trials should further highlight the time demands and provide motivational interviewing at the screening stage to encourage intervention engagement and compliance. Completion for the follow-up questionnaire was only 67%, despite numerous reminders. Although more needs to be done to improve these retention rates, the present rates indicate the </w:t>
      </w:r>
      <w:r w:rsidRPr="00836096">
        <w:rPr>
          <w:noProof/>
          <w:lang w:val="en-US"/>
        </w:rPr>
        <w:t>feasibility</w:t>
      </w:r>
      <w:r w:rsidRPr="00836096">
        <w:rPr>
          <w:lang w:val="en-US"/>
        </w:rPr>
        <w:t xml:space="preserve"> of ICBT within the US, and an effectiveness trial is warranted. Understanding factors contributing to retention in intervention studies is important and undertaking a process evaluation may be helpful to identify strategies to enhance participation (Beukes et al., 2018c).</w:t>
      </w:r>
    </w:p>
    <w:p w14:paraId="199F494C" w14:textId="77777777" w:rsidR="003F00E8" w:rsidRPr="00836096" w:rsidRDefault="003F00E8" w:rsidP="00E745E8">
      <w:pPr>
        <w:spacing w:line="480" w:lineRule="auto"/>
        <w:rPr>
          <w:lang w:val="en-US"/>
        </w:rPr>
      </w:pPr>
    </w:p>
    <w:p w14:paraId="0ECBAE99" w14:textId="6947E884" w:rsidR="003F00E8" w:rsidRPr="00836096" w:rsidRDefault="003F00E8" w:rsidP="00E745E8">
      <w:pPr>
        <w:spacing w:line="480" w:lineRule="auto"/>
        <w:rPr>
          <w:lang w:val="en-US"/>
        </w:rPr>
      </w:pPr>
      <w:r w:rsidRPr="00836096">
        <w:rPr>
          <w:lang w:val="en-US"/>
        </w:rPr>
        <w:t xml:space="preserve">Intervention engagement was variable. Despite regular therapeutic encouragement, some participants found it difficult to consistently engage with the intervention. Barriers to engagement included time constraints, </w:t>
      </w:r>
      <w:proofErr w:type="gramStart"/>
      <w:r w:rsidRPr="00836096">
        <w:rPr>
          <w:lang w:val="en-US"/>
        </w:rPr>
        <w:t>family</w:t>
      </w:r>
      <w:proofErr w:type="gramEnd"/>
      <w:r w:rsidRPr="00836096">
        <w:rPr>
          <w:lang w:val="en-US"/>
        </w:rPr>
        <w:t xml:space="preserve"> and work pressures. An unexpected additional barrier was identified:  some participants had previously completed tinnitus retraining therapy, and as part of that protocol, the patients were encouraged to use sound enrichment for at least 8 hours a day. Recall that </w:t>
      </w:r>
      <w:proofErr w:type="gramStart"/>
      <w:r w:rsidRPr="00836096">
        <w:rPr>
          <w:lang w:val="en-US"/>
        </w:rPr>
        <w:t>during the course of</w:t>
      </w:r>
      <w:proofErr w:type="gramEnd"/>
      <w:r w:rsidRPr="00836096">
        <w:rPr>
          <w:lang w:val="en-US"/>
        </w:rPr>
        <w:t xml:space="preserve"> the ICBT intervention, participants were asked to not only rely on sound enrichment but also try the other strategies. This approach was very difficult for some participants, who were in the habit of using sound enrichment exclusively, for many years in some cases. Further trials should consider this possible barrier and offer additional instructions for those patients who indicate at intake adherence to a </w:t>
      </w:r>
      <w:proofErr w:type="gramStart"/>
      <w:r w:rsidRPr="00836096">
        <w:rPr>
          <w:lang w:val="en-US"/>
        </w:rPr>
        <w:t>previously-recommended</w:t>
      </w:r>
      <w:proofErr w:type="gramEnd"/>
      <w:r w:rsidRPr="00836096">
        <w:rPr>
          <w:lang w:val="en-US"/>
        </w:rPr>
        <w:t xml:space="preserve"> sound therapy regimen. As ICBT is largely a self-help therapeutic approach, it is not going to suit all individuals with tinnitus. For some, progress</w:t>
      </w:r>
      <w:r w:rsidR="008E56FF" w:rsidRPr="00836096">
        <w:rPr>
          <w:lang w:val="en-US"/>
        </w:rPr>
        <w:t xml:space="preserve"> may be</w:t>
      </w:r>
      <w:r w:rsidRPr="00836096">
        <w:rPr>
          <w:lang w:val="en-US"/>
        </w:rPr>
        <w:t xml:space="preserve"> more </w:t>
      </w:r>
      <w:r w:rsidR="008E56FF" w:rsidRPr="00836096">
        <w:rPr>
          <w:lang w:val="en-US"/>
        </w:rPr>
        <w:t xml:space="preserve">reasonable </w:t>
      </w:r>
      <w:r w:rsidRPr="00836096">
        <w:rPr>
          <w:lang w:val="en-US"/>
        </w:rPr>
        <w:t xml:space="preserve">if </w:t>
      </w:r>
      <w:r w:rsidR="008E56FF" w:rsidRPr="00836096">
        <w:rPr>
          <w:lang w:val="en-US"/>
        </w:rPr>
        <w:t>patients</w:t>
      </w:r>
      <w:r w:rsidRPr="00836096">
        <w:rPr>
          <w:lang w:val="en-US"/>
        </w:rPr>
        <w:t xml:space="preserve"> receive clinical sessions from a professional, either individually or in a group context. Individuals not progressing or engaging should be directed to other forms of care. ICBT may also not be the most appropriate treatment for those with other serious health conditions which may make it difficult to work on an </w:t>
      </w:r>
      <w:r w:rsidRPr="00836096">
        <w:rPr>
          <w:lang w:val="en-US"/>
        </w:rPr>
        <w:lastRenderedPageBreak/>
        <w:t xml:space="preserve">intervention independently. Although ICBT has the potential to reach more individuals, it will not suit everyone, and a range of approaches should be available to these people. </w:t>
      </w:r>
    </w:p>
    <w:p w14:paraId="36F5C9B9" w14:textId="77777777" w:rsidR="003F00E8" w:rsidRPr="00836096" w:rsidRDefault="003F00E8" w:rsidP="00E745E8">
      <w:pPr>
        <w:spacing w:line="480" w:lineRule="auto"/>
        <w:rPr>
          <w:lang w:val="en-US"/>
        </w:rPr>
      </w:pPr>
    </w:p>
    <w:p w14:paraId="0E488325" w14:textId="1D37CBDA" w:rsidR="003F00E8" w:rsidRPr="00836096" w:rsidRDefault="003F00E8" w:rsidP="00062160">
      <w:pPr>
        <w:pStyle w:val="Default"/>
        <w:spacing w:line="480" w:lineRule="auto"/>
        <w:rPr>
          <w:rFonts w:ascii="Times New Roman" w:hAnsi="Times New Roman" w:cs="Times New Roman"/>
          <w:color w:val="auto"/>
          <w:lang w:val="en-US"/>
        </w:rPr>
      </w:pPr>
      <w:r w:rsidRPr="00836096">
        <w:rPr>
          <w:rFonts w:ascii="Times New Roman" w:hAnsi="Times New Roman" w:cs="Times New Roman"/>
          <w:color w:val="auto"/>
          <w:lang w:val="en-US"/>
        </w:rPr>
        <w:t xml:space="preserve">Due to the evidence </w:t>
      </w:r>
      <w:r w:rsidR="008E56FF" w:rsidRPr="00836096">
        <w:rPr>
          <w:rFonts w:ascii="Times New Roman" w:hAnsi="Times New Roman" w:cs="Times New Roman"/>
          <w:color w:val="auto"/>
          <w:lang w:val="en-US"/>
        </w:rPr>
        <w:t>supporting</w:t>
      </w:r>
      <w:r w:rsidRPr="00836096">
        <w:rPr>
          <w:rFonts w:ascii="Times New Roman" w:hAnsi="Times New Roman" w:cs="Times New Roman"/>
          <w:color w:val="auto"/>
          <w:lang w:val="en-US"/>
        </w:rPr>
        <w:t xml:space="preserve"> the use of both ICBT and CBT for tinnitus (Fuller et al., 2020; Landry et al., 2020), further ways of delivering these interventions should be sought. Although formulation driven CBT for specific psychological difficulties or conditions should always be provided by a CBT licensed psychologist, guided CBT self-help interventions may be assisted by other professionals</w:t>
      </w:r>
      <w:r w:rsidR="00DD65D4" w:rsidRPr="00836096">
        <w:rPr>
          <w:rFonts w:ascii="Times New Roman" w:hAnsi="Times New Roman" w:cs="Times New Roman"/>
          <w:color w:val="auto"/>
          <w:lang w:val="en-US"/>
        </w:rPr>
        <w:t xml:space="preserve">, and indeed, tenets of CBT are routinely practiced by audiologists </w:t>
      </w:r>
      <w:proofErr w:type="gramStart"/>
      <w:r w:rsidR="00DD65D4" w:rsidRPr="00836096">
        <w:rPr>
          <w:rFonts w:ascii="Times New Roman" w:hAnsi="Times New Roman" w:cs="Times New Roman"/>
          <w:color w:val="auto"/>
          <w:lang w:val="en-US"/>
        </w:rPr>
        <w:t>with regard to</w:t>
      </w:r>
      <w:proofErr w:type="gramEnd"/>
      <w:r w:rsidR="00DD65D4" w:rsidRPr="00836096">
        <w:rPr>
          <w:rFonts w:ascii="Times New Roman" w:hAnsi="Times New Roman" w:cs="Times New Roman"/>
          <w:color w:val="auto"/>
          <w:lang w:val="en-US"/>
        </w:rPr>
        <w:t xml:space="preserve"> audiologic</w:t>
      </w:r>
      <w:r w:rsidR="00E8633A" w:rsidRPr="00836096">
        <w:rPr>
          <w:rFonts w:ascii="Times New Roman" w:hAnsi="Times New Roman" w:cs="Times New Roman"/>
          <w:color w:val="auto"/>
          <w:lang w:val="en-US"/>
        </w:rPr>
        <w:t>al</w:t>
      </w:r>
      <w:r w:rsidR="00DD65D4" w:rsidRPr="00836096">
        <w:rPr>
          <w:rFonts w:ascii="Times New Roman" w:hAnsi="Times New Roman" w:cs="Times New Roman"/>
          <w:color w:val="auto"/>
          <w:lang w:val="en-US"/>
        </w:rPr>
        <w:t xml:space="preserve"> rehabilitation and falls prevention</w:t>
      </w:r>
      <w:r w:rsidRPr="00836096">
        <w:rPr>
          <w:rFonts w:ascii="Times New Roman" w:hAnsi="Times New Roman" w:cs="Times New Roman"/>
          <w:color w:val="auto"/>
          <w:lang w:val="en-US"/>
        </w:rPr>
        <w:t>. Previous studies for other health conditions have indicated that the level of qualification and experience of the professional providing guidance does not appear to affect treatment efficacy (Baumeister et al., 2014). Outcomes have, for instance, been comparable using a psychologist versus a technical assistant for depression (</w:t>
      </w:r>
      <w:proofErr w:type="spellStart"/>
      <w:r w:rsidRPr="00836096">
        <w:rPr>
          <w:rFonts w:ascii="Times New Roman" w:hAnsi="Times New Roman" w:cs="Times New Roman"/>
          <w:color w:val="auto"/>
          <w:lang w:val="en-US"/>
        </w:rPr>
        <w:t>Titov</w:t>
      </w:r>
      <w:proofErr w:type="spellEnd"/>
      <w:r w:rsidRPr="00836096">
        <w:rPr>
          <w:rFonts w:ascii="Times New Roman" w:hAnsi="Times New Roman" w:cs="Times New Roman"/>
          <w:color w:val="auto"/>
          <w:lang w:val="en-US"/>
        </w:rPr>
        <w:t xml:space="preserve"> et al., 2010), social phobia </w:t>
      </w:r>
    </w:p>
    <w:p w14:paraId="0EDBDA1E" w14:textId="7B480EC8" w:rsidR="003F00E8" w:rsidRPr="00836096" w:rsidRDefault="003F00E8" w:rsidP="00E745E8">
      <w:pPr>
        <w:autoSpaceDE w:val="0"/>
        <w:autoSpaceDN w:val="0"/>
        <w:adjustRightInd w:val="0"/>
        <w:spacing w:line="480" w:lineRule="auto"/>
        <w:rPr>
          <w:rFonts w:eastAsiaTheme="minorHAnsi"/>
          <w:lang w:val="en-US" w:eastAsia="en-US"/>
        </w:rPr>
      </w:pPr>
      <w:r w:rsidRPr="00836096">
        <w:rPr>
          <w:rFonts w:eastAsiaTheme="minorHAnsi"/>
          <w:lang w:val="en-US" w:eastAsia="en-US"/>
        </w:rPr>
        <w:t>(</w:t>
      </w:r>
      <w:proofErr w:type="spellStart"/>
      <w:r w:rsidRPr="00836096">
        <w:rPr>
          <w:rFonts w:eastAsiaTheme="minorHAnsi"/>
          <w:lang w:val="en-US" w:eastAsia="en-US"/>
        </w:rPr>
        <w:t>Titov</w:t>
      </w:r>
      <w:proofErr w:type="spellEnd"/>
      <w:r w:rsidRPr="00836096">
        <w:rPr>
          <w:rFonts w:eastAsiaTheme="minorHAnsi"/>
          <w:lang w:val="en-US" w:eastAsia="en-US"/>
        </w:rPr>
        <w:t xml:space="preserve"> et al., 2009) and anxiety (Robinson et al., 2010). Likewise</w:t>
      </w:r>
      <w:r w:rsidR="00301D6D" w:rsidRPr="00836096">
        <w:rPr>
          <w:rFonts w:eastAsiaTheme="minorHAnsi"/>
          <w:lang w:val="en-US" w:eastAsia="en-US"/>
        </w:rPr>
        <w:t>,</w:t>
      </w:r>
      <w:r w:rsidRPr="00836096">
        <w:rPr>
          <w:rFonts w:eastAsiaTheme="minorHAnsi"/>
          <w:lang w:val="en-US" w:eastAsia="en-US"/>
        </w:rPr>
        <w:t xml:space="preserve"> no significant difference in outcomes was found when comparing guidance by a psychologist versus a student psychologist for social anxiety (Andersson, </w:t>
      </w:r>
      <w:proofErr w:type="spellStart"/>
      <w:r w:rsidRPr="00836096">
        <w:rPr>
          <w:rFonts w:eastAsiaTheme="minorHAnsi"/>
          <w:lang w:val="en-US" w:eastAsia="en-US"/>
        </w:rPr>
        <w:t>Carlbring</w:t>
      </w:r>
      <w:proofErr w:type="spellEnd"/>
      <w:r w:rsidRPr="00836096">
        <w:rPr>
          <w:rFonts w:eastAsiaTheme="minorHAnsi"/>
          <w:lang w:val="en-US" w:eastAsia="en-US"/>
        </w:rPr>
        <w:t xml:space="preserve"> &amp; </w:t>
      </w:r>
      <w:proofErr w:type="spellStart"/>
      <w:r w:rsidRPr="00836096">
        <w:rPr>
          <w:rFonts w:eastAsiaTheme="minorHAnsi"/>
          <w:lang w:val="en-US" w:eastAsia="en-US"/>
        </w:rPr>
        <w:t>Furmark</w:t>
      </w:r>
      <w:proofErr w:type="spellEnd"/>
      <w:r w:rsidRPr="00836096">
        <w:rPr>
          <w:rFonts w:eastAsiaTheme="minorHAnsi"/>
          <w:lang w:val="en-US" w:eastAsia="en-US"/>
        </w:rPr>
        <w:t>, 2012). Similarly, no difference was found when comparing guidance between psychologists with and without specialist training for anxiety (Johnston</w:t>
      </w:r>
      <w:r w:rsidR="00062160" w:rsidRPr="00836096">
        <w:rPr>
          <w:rFonts w:eastAsiaTheme="minorHAnsi"/>
          <w:lang w:val="en-US" w:eastAsia="en-US"/>
        </w:rPr>
        <w:t xml:space="preserve"> et al.,</w:t>
      </w:r>
      <w:r w:rsidRPr="00836096">
        <w:rPr>
          <w:rFonts w:eastAsiaTheme="minorHAnsi"/>
          <w:lang w:val="en-US" w:eastAsia="en-US"/>
        </w:rPr>
        <w:t xml:space="preserve"> 2011). </w:t>
      </w:r>
      <w:r w:rsidRPr="00836096">
        <w:rPr>
          <w:lang w:val="en-US"/>
        </w:rPr>
        <w:t>Outcomes have, for instance, been comparable using a psychologist versus a technical assistant for depression (</w:t>
      </w:r>
      <w:proofErr w:type="spellStart"/>
      <w:r w:rsidRPr="00836096">
        <w:rPr>
          <w:lang w:val="en-US"/>
        </w:rPr>
        <w:t>Titov</w:t>
      </w:r>
      <w:proofErr w:type="spellEnd"/>
      <w:r w:rsidRPr="00836096">
        <w:rPr>
          <w:lang w:val="en-US"/>
        </w:rPr>
        <w:t xml:space="preserve"> et al., 2010), social phobia. </w:t>
      </w:r>
      <w:r w:rsidRPr="00836096">
        <w:rPr>
          <w:rFonts w:eastAsiaTheme="minorHAnsi"/>
          <w:lang w:val="en-US" w:eastAsia="en-US"/>
        </w:rPr>
        <w:t>Favorable outcomes were obtained using an audiologist instead of a psychologist for ICBT for tinnitus in the UK population (e.g.</w:t>
      </w:r>
      <w:r w:rsidR="00301D6D" w:rsidRPr="00836096">
        <w:rPr>
          <w:rFonts w:eastAsiaTheme="minorHAnsi"/>
          <w:lang w:val="en-US" w:eastAsia="en-US"/>
        </w:rPr>
        <w:t>,</w:t>
      </w:r>
      <w:r w:rsidRPr="00836096">
        <w:rPr>
          <w:rFonts w:eastAsiaTheme="minorHAnsi"/>
          <w:lang w:val="en-US" w:eastAsia="en-US"/>
        </w:rPr>
        <w:t xml:space="preserve"> Beukes et al., 2018</w:t>
      </w:r>
      <w:proofErr w:type="gramStart"/>
      <w:r w:rsidRPr="00836096">
        <w:rPr>
          <w:rFonts w:eastAsiaTheme="minorHAnsi"/>
          <w:lang w:val="en-US" w:eastAsia="en-US"/>
        </w:rPr>
        <w:t>a,b</w:t>
      </w:r>
      <w:proofErr w:type="gramEnd"/>
      <w:r w:rsidRPr="00836096">
        <w:rPr>
          <w:rFonts w:eastAsiaTheme="minorHAnsi"/>
          <w:lang w:val="en-US" w:eastAsia="en-US"/>
        </w:rPr>
        <w:t>, 2019).</w:t>
      </w:r>
      <w:r w:rsidRPr="00836096">
        <w:rPr>
          <w:lang w:val="en-US"/>
        </w:rPr>
        <w:t xml:space="preserve"> Equipping audiologists to deliver or guide psychological interventions such as CBT should be prioritized during audiology training programs and continued professional development opportunities. The importance of available remotely accessible tinnitus interventions </w:t>
      </w:r>
      <w:proofErr w:type="gramStart"/>
      <w:r w:rsidRPr="00836096">
        <w:rPr>
          <w:lang w:val="en-US"/>
        </w:rPr>
        <w:t>have</w:t>
      </w:r>
      <w:proofErr w:type="gramEnd"/>
      <w:r w:rsidRPr="00836096">
        <w:rPr>
          <w:lang w:val="en-US"/>
        </w:rPr>
        <w:t xml:space="preserve"> </w:t>
      </w:r>
      <w:r w:rsidRPr="00836096">
        <w:rPr>
          <w:lang w:val="en-US"/>
        </w:rPr>
        <w:lastRenderedPageBreak/>
        <w:t xml:space="preserve">been highlighted during the tinnitus pandemic, and ways of delivering these should be sought (Beukes et al., 2020c, 2021b). </w:t>
      </w:r>
    </w:p>
    <w:p w14:paraId="234B62CE" w14:textId="77777777" w:rsidR="003F00E8" w:rsidRPr="00836096" w:rsidRDefault="003F00E8" w:rsidP="00E745E8">
      <w:pPr>
        <w:spacing w:line="480" w:lineRule="auto"/>
        <w:rPr>
          <w:lang w:val="en-US"/>
        </w:rPr>
      </w:pPr>
    </w:p>
    <w:p w14:paraId="6CFA8C8B" w14:textId="452B09B8" w:rsidR="003F00E8" w:rsidRDefault="003F00E8" w:rsidP="007E126C">
      <w:pPr>
        <w:spacing w:line="480" w:lineRule="auto"/>
        <w:rPr>
          <w:lang w:val="en-US"/>
        </w:rPr>
      </w:pPr>
      <w:r w:rsidRPr="00836096">
        <w:rPr>
          <w:lang w:val="en-US"/>
        </w:rPr>
        <w:t>Overall intervention satisfaction was lower than that reported for ICBT when presented in the UK (Beukes et al., 2018c,</w:t>
      </w:r>
      <w:r w:rsidR="001109B8" w:rsidRPr="00836096">
        <w:rPr>
          <w:lang w:val="en-US"/>
        </w:rPr>
        <w:t xml:space="preserve"> </w:t>
      </w:r>
      <w:r w:rsidRPr="00836096">
        <w:rPr>
          <w:lang w:val="en-US"/>
        </w:rPr>
        <w:t xml:space="preserve">d). This was surprising as great efforts were made to ensure that the intervention was culturally and linguistically suitable for this population </w:t>
      </w:r>
      <w:r w:rsidRPr="00836096">
        <w:rPr>
          <w:noProof/>
          <w:lang w:val="en-US"/>
        </w:rPr>
        <w:t>(Beukes, et al., 2020b; Manchaiah et al., 2020a)</w:t>
      </w:r>
      <w:r w:rsidRPr="00836096">
        <w:rPr>
          <w:lang w:val="en-US"/>
        </w:rPr>
        <w:t xml:space="preserve">. Suggestions made by participants in the free text should be implemented to see if satisfaction can be improved. Public involvement in planning and implementing subsequent research phases should consider the factors important to participants </w:t>
      </w:r>
      <w:sdt>
        <w:sdtPr>
          <w:rPr>
            <w:lang w:val="en-US"/>
          </w:rPr>
          <w:id w:val="810672075"/>
          <w:citation/>
        </w:sdtPr>
        <w:sdtEndPr/>
        <w:sdtContent>
          <w:r w:rsidRPr="00836096">
            <w:rPr>
              <w:lang w:val="en-US"/>
            </w:rPr>
            <w:fldChar w:fldCharType="begin"/>
          </w:r>
          <w:r w:rsidRPr="00836096">
            <w:rPr>
              <w:lang w:val="en-US"/>
            </w:rPr>
            <w:instrText xml:space="preserve"> CITATION Sta19 \l 2057 </w:instrText>
          </w:r>
          <w:r w:rsidRPr="00836096">
            <w:rPr>
              <w:lang w:val="en-US"/>
            </w:rPr>
            <w:fldChar w:fldCharType="separate"/>
          </w:r>
          <w:r w:rsidRPr="00836096">
            <w:rPr>
              <w:noProof/>
              <w:lang w:val="en-US"/>
            </w:rPr>
            <w:t>(Staniszewska, et al., 2019)</w:t>
          </w:r>
          <w:r w:rsidRPr="00836096">
            <w:rPr>
              <w:lang w:val="en-US"/>
            </w:rPr>
            <w:fldChar w:fldCharType="end"/>
          </w:r>
        </w:sdtContent>
      </w:sdt>
      <w:r w:rsidRPr="00836096">
        <w:rPr>
          <w:lang w:val="en-US"/>
        </w:rPr>
        <w:t xml:space="preserve">. Numerous other CBT interventions for tinnitus have been developed (e.g., </w:t>
      </w:r>
      <w:proofErr w:type="spellStart"/>
      <w:r w:rsidRPr="00836096">
        <w:rPr>
          <w:lang w:val="en-US"/>
        </w:rPr>
        <w:t>Aazh</w:t>
      </w:r>
      <w:proofErr w:type="spellEnd"/>
      <w:r w:rsidRPr="00836096">
        <w:rPr>
          <w:lang w:val="en-US"/>
        </w:rPr>
        <w:t xml:space="preserve">, 2020; </w:t>
      </w:r>
      <w:r w:rsidRPr="00836096">
        <w:rPr>
          <w:shd w:val="clear" w:color="auto" w:fill="FFFFFF"/>
          <w:lang w:val="en-US"/>
        </w:rPr>
        <w:t>Schmidt et al., 2018)</w:t>
      </w:r>
      <w:r w:rsidRPr="00836096">
        <w:rPr>
          <w:lang w:val="en-US"/>
        </w:rPr>
        <w:t xml:space="preserve"> and increasing evidence for their effects are shown in reducing tinnitus distress and associated problems such as insomnia (e.g.</w:t>
      </w:r>
      <w:r w:rsidR="00301D6D" w:rsidRPr="00836096">
        <w:rPr>
          <w:lang w:val="en-US"/>
        </w:rPr>
        <w:t>,</w:t>
      </w:r>
      <w:r w:rsidRPr="00836096">
        <w:rPr>
          <w:lang w:val="en-US"/>
        </w:rPr>
        <w:t xml:space="preserve"> Curtis et al., 2020).  Evaluating the components of each to ensure the most suitable intervention is delivered should be investigated with the goal of improving patient outcomes.</w:t>
      </w:r>
    </w:p>
    <w:p w14:paraId="1F20B5A8" w14:textId="77777777" w:rsidR="007E126C" w:rsidRPr="007E126C" w:rsidRDefault="007E126C" w:rsidP="007E126C">
      <w:pPr>
        <w:spacing w:line="480" w:lineRule="auto"/>
        <w:rPr>
          <w:lang w:val="en-US"/>
        </w:rPr>
      </w:pPr>
    </w:p>
    <w:p w14:paraId="62EE9D37" w14:textId="77777777" w:rsidR="003F00E8" w:rsidRPr="00836096" w:rsidRDefault="003F00E8" w:rsidP="007E126C">
      <w:pPr>
        <w:pStyle w:val="Heading2"/>
      </w:pPr>
      <w:r w:rsidRPr="00836096">
        <w:t xml:space="preserve">Limitations </w:t>
      </w:r>
    </w:p>
    <w:p w14:paraId="77123665" w14:textId="77777777" w:rsidR="003F00E8" w:rsidRPr="00836096" w:rsidRDefault="003F00E8" w:rsidP="00E745E8">
      <w:pPr>
        <w:spacing w:line="480" w:lineRule="auto"/>
        <w:rPr>
          <w:lang w:val="en-US" w:eastAsia="en-US"/>
        </w:rPr>
      </w:pPr>
      <w:r w:rsidRPr="00836096">
        <w:rPr>
          <w:lang w:val="en-US" w:eastAsia="en-US"/>
        </w:rPr>
        <w:t>The results of this study need to be considered in the context of this study. This study represents a pilot investigation to identify the feasibility of ICBT in the US, and the results were not intended to evaluate the efficacy of ICBT as no control group was included and only a small sample was studied. The placebo effect may be present which could elevate findings and need to be considered during result interpretation. Although the results were maintained at 2 months post-intervention, further studies are required to assess whether they are maintained long term. These results could be further explored in a RCT.</w:t>
      </w:r>
    </w:p>
    <w:p w14:paraId="10BDC4B8" w14:textId="77777777" w:rsidR="003F00E8" w:rsidRPr="00836096" w:rsidRDefault="003F00E8" w:rsidP="00E745E8">
      <w:pPr>
        <w:spacing w:line="480" w:lineRule="auto"/>
        <w:rPr>
          <w:lang w:val="en-US" w:eastAsia="en-US"/>
        </w:rPr>
      </w:pPr>
    </w:p>
    <w:p w14:paraId="5B307C6B" w14:textId="77777777" w:rsidR="003F00E8" w:rsidRPr="00836096" w:rsidRDefault="003F00E8" w:rsidP="007E126C">
      <w:pPr>
        <w:pStyle w:val="Heading1"/>
      </w:pPr>
      <w:r w:rsidRPr="00836096">
        <w:t xml:space="preserve">Conclusions </w:t>
      </w:r>
    </w:p>
    <w:p w14:paraId="6E21E9D6" w14:textId="2ED86A31" w:rsidR="003F00E8" w:rsidRPr="00836096" w:rsidRDefault="003F00E8" w:rsidP="00E745E8">
      <w:pPr>
        <w:spacing w:line="480" w:lineRule="auto"/>
        <w:rPr>
          <w:lang w:val="en-US" w:eastAsia="en-US"/>
        </w:rPr>
      </w:pPr>
      <w:r w:rsidRPr="00836096">
        <w:rPr>
          <w:lang w:val="en-US"/>
        </w:rPr>
        <w:lastRenderedPageBreak/>
        <w:t xml:space="preserve">Tinnitus is a prevalent condition that can be very debilitating. Ways of increasing access to standardized evidence-based interventions for tinnitus are required. Together with the urgent need to improve access to evidence-based tinnitus interventions, the COVID-19 pandemic has highlighted the need for evidence-based </w:t>
      </w:r>
      <w:proofErr w:type="spellStart"/>
      <w:r w:rsidRPr="00836096">
        <w:rPr>
          <w:lang w:val="en-US"/>
        </w:rPr>
        <w:t>teleaudiology</w:t>
      </w:r>
      <w:proofErr w:type="spellEnd"/>
      <w:r w:rsidRPr="00836096">
        <w:rPr>
          <w:lang w:val="en-US"/>
        </w:rPr>
        <w:t xml:space="preserve"> approaches to overcome limited in-person contact. </w:t>
      </w:r>
      <w:r w:rsidR="00E73677" w:rsidRPr="00836096">
        <w:rPr>
          <w:lang w:val="en-US"/>
        </w:rPr>
        <w:t xml:space="preserve">Due to the importance of such remote intervention tools being highlighted during the COVID-19 pandemic, some barriers to implementing internet-interventions may be addressed. </w:t>
      </w:r>
      <w:r w:rsidRPr="00836096">
        <w:rPr>
          <w:lang w:val="en-US"/>
        </w:rPr>
        <w:t xml:space="preserve"> ICBT has the potential to reduce the debilitating effects of </w:t>
      </w:r>
      <w:proofErr w:type="gramStart"/>
      <w:r w:rsidRPr="00836096">
        <w:rPr>
          <w:lang w:val="en-US"/>
        </w:rPr>
        <w:t>tinnitus, but</w:t>
      </w:r>
      <w:proofErr w:type="gramEnd"/>
      <w:r w:rsidRPr="00836096">
        <w:rPr>
          <w:lang w:val="en-US"/>
        </w:rPr>
        <w:t xml:space="preserve"> is not available in the US. An ICBT intervention was adapted linguistically and culturally for a US population, but its efficacy in an RCT remains unknown. This pilot study </w:t>
      </w:r>
      <w:r w:rsidRPr="00836096">
        <w:rPr>
          <w:lang w:val="en-US" w:eastAsia="en-US"/>
        </w:rPr>
        <w:t>has indicated the feasibility of ICBT for tinnitus in the US. The results have been encouraging and further RCTs should be undertaken</w:t>
      </w:r>
      <w:r w:rsidR="001A5CB8" w:rsidRPr="00836096">
        <w:rPr>
          <w:lang w:val="en-US" w:eastAsia="en-US"/>
        </w:rPr>
        <w:t xml:space="preserve"> </w:t>
      </w:r>
      <w:r w:rsidR="001109B8" w:rsidRPr="00836096">
        <w:rPr>
          <w:lang w:val="en-US" w:eastAsia="en-US"/>
        </w:rPr>
        <w:t>(Beukes et al., submitted)</w:t>
      </w:r>
      <w:r w:rsidRPr="00836096">
        <w:rPr>
          <w:lang w:val="en-US" w:eastAsia="en-US"/>
        </w:rPr>
        <w:t xml:space="preserve">. </w:t>
      </w:r>
    </w:p>
    <w:p w14:paraId="11A03C86" w14:textId="77777777" w:rsidR="00301D6D" w:rsidRPr="00836096" w:rsidRDefault="00301D6D" w:rsidP="00E745E8">
      <w:pPr>
        <w:spacing w:line="480" w:lineRule="auto"/>
        <w:rPr>
          <w:lang w:val="en-US"/>
        </w:rPr>
      </w:pPr>
    </w:p>
    <w:p w14:paraId="1ED4A046" w14:textId="77777777" w:rsidR="00B84125" w:rsidRPr="00836096" w:rsidRDefault="00B84125" w:rsidP="007E126C">
      <w:pPr>
        <w:pStyle w:val="Heading1"/>
      </w:pPr>
      <w:r w:rsidRPr="00836096">
        <w:t xml:space="preserve">References </w:t>
      </w:r>
    </w:p>
    <w:p w14:paraId="5E157159" w14:textId="77777777" w:rsidR="00B84125" w:rsidRPr="00836096" w:rsidRDefault="00B84125" w:rsidP="00E745E8">
      <w:pPr>
        <w:spacing w:line="480" w:lineRule="auto"/>
        <w:rPr>
          <w:shd w:val="clear" w:color="auto" w:fill="FFFFFF"/>
          <w:lang w:val="en-US"/>
        </w:rPr>
      </w:pPr>
      <w:proofErr w:type="spellStart"/>
      <w:r w:rsidRPr="00836096">
        <w:rPr>
          <w:shd w:val="clear" w:color="auto" w:fill="FFFFFF"/>
          <w:lang w:val="en-US"/>
        </w:rPr>
        <w:t>Aazh</w:t>
      </w:r>
      <w:proofErr w:type="spellEnd"/>
      <w:r w:rsidRPr="00836096">
        <w:rPr>
          <w:shd w:val="clear" w:color="auto" w:fill="FFFFFF"/>
          <w:lang w:val="en-US"/>
        </w:rPr>
        <w:t>, H. (2020). Free Internet-based Cognitive Behavioral Therapy (</w:t>
      </w:r>
      <w:proofErr w:type="spellStart"/>
      <w:r w:rsidRPr="00836096">
        <w:rPr>
          <w:shd w:val="clear" w:color="auto" w:fill="FFFFFF"/>
          <w:lang w:val="en-US"/>
        </w:rPr>
        <w:t>iCBT</w:t>
      </w:r>
      <w:proofErr w:type="spellEnd"/>
      <w:r w:rsidRPr="00836096">
        <w:rPr>
          <w:shd w:val="clear" w:color="auto" w:fill="FFFFFF"/>
          <w:lang w:val="en-US"/>
        </w:rPr>
        <w:t xml:space="preserve">) for </w:t>
      </w:r>
    </w:p>
    <w:p w14:paraId="77AA4DF4" w14:textId="77777777" w:rsidR="00B84125" w:rsidRPr="00836096" w:rsidRDefault="00B84125" w:rsidP="00E745E8">
      <w:pPr>
        <w:spacing w:line="480" w:lineRule="auto"/>
        <w:ind w:firstLine="720"/>
        <w:rPr>
          <w:lang w:val="en-US"/>
        </w:rPr>
      </w:pPr>
      <w:r w:rsidRPr="00836096">
        <w:rPr>
          <w:shd w:val="clear" w:color="auto" w:fill="FFFFFF"/>
          <w:lang w:val="en-US"/>
        </w:rPr>
        <w:t>Tinnitus. </w:t>
      </w:r>
      <w:r w:rsidRPr="00836096">
        <w:rPr>
          <w:i/>
          <w:iCs/>
          <w:shd w:val="clear" w:color="auto" w:fill="FFFFFF"/>
          <w:lang w:val="en-US"/>
        </w:rPr>
        <w:t>Hearing Review</w:t>
      </w:r>
      <w:r w:rsidRPr="00836096">
        <w:rPr>
          <w:shd w:val="clear" w:color="auto" w:fill="FFFFFF"/>
          <w:lang w:val="en-US"/>
        </w:rPr>
        <w:t>, 1-6.</w:t>
      </w:r>
    </w:p>
    <w:p w14:paraId="5B7D75B0" w14:textId="77777777" w:rsidR="00B84125" w:rsidRPr="00836096" w:rsidRDefault="00B84125" w:rsidP="00E745E8">
      <w:pPr>
        <w:pStyle w:val="Bibliography"/>
        <w:ind w:left="720" w:hanging="720"/>
        <w:rPr>
          <w:rFonts w:cs="Times New Roman"/>
          <w:szCs w:val="24"/>
        </w:rPr>
      </w:pPr>
      <w:r w:rsidRPr="00836096">
        <w:rPr>
          <w:rFonts w:cs="Times New Roman"/>
          <w:b/>
          <w:szCs w:val="24"/>
        </w:rPr>
        <w:fldChar w:fldCharType="begin"/>
      </w:r>
      <w:r w:rsidRPr="00836096">
        <w:rPr>
          <w:rFonts w:cs="Times New Roman"/>
          <w:b/>
          <w:szCs w:val="24"/>
        </w:rPr>
        <w:instrText xml:space="preserve"> BIBLIOGRAPHY  \l 2057 </w:instrText>
      </w:r>
      <w:r w:rsidRPr="00836096">
        <w:rPr>
          <w:rFonts w:cs="Times New Roman"/>
          <w:b/>
          <w:szCs w:val="24"/>
        </w:rPr>
        <w:fldChar w:fldCharType="separate"/>
      </w:r>
      <w:r w:rsidRPr="00836096">
        <w:rPr>
          <w:rFonts w:cs="Times New Roman"/>
          <w:noProof/>
          <w:szCs w:val="24"/>
        </w:rPr>
        <w:t xml:space="preserve">Abbott, J. M., Kaldo, V., Klein, B., Austin, D., Hamilton, C., Piterman, L., &amp; Andersson, G. (2009). A cluster randomised controlled trial of an Internet-based intervention program for tinnitus distress in an industrial setting. </w:t>
      </w:r>
      <w:r w:rsidRPr="00836096">
        <w:rPr>
          <w:rFonts w:cs="Times New Roman"/>
          <w:i/>
          <w:iCs/>
          <w:noProof/>
          <w:szCs w:val="24"/>
        </w:rPr>
        <w:t>Cognitive Behaviour Therapy, 38</w:t>
      </w:r>
      <w:r w:rsidRPr="00836096">
        <w:rPr>
          <w:rFonts w:cs="Times New Roman"/>
          <w:noProof/>
          <w:szCs w:val="24"/>
        </w:rPr>
        <w:t>(3), 162-173. http://doi:</w:t>
      </w:r>
      <w:r w:rsidRPr="00836096">
        <w:rPr>
          <w:rFonts w:cs="Times New Roman"/>
          <w:szCs w:val="24"/>
        </w:rPr>
        <w:t>10.1080/16506070902763174</w:t>
      </w:r>
    </w:p>
    <w:p w14:paraId="0A5ABAA0" w14:textId="176CDCE2" w:rsidR="00B84125" w:rsidRPr="00836096" w:rsidRDefault="00B84125" w:rsidP="00DB2CE7">
      <w:pPr>
        <w:autoSpaceDE w:val="0"/>
        <w:autoSpaceDN w:val="0"/>
        <w:adjustRightInd w:val="0"/>
        <w:spacing w:line="480" w:lineRule="auto"/>
        <w:rPr>
          <w:lang w:val="en-US"/>
        </w:rPr>
      </w:pPr>
      <w:r w:rsidRPr="00836096">
        <w:rPr>
          <w:rFonts w:eastAsiaTheme="minorHAnsi"/>
          <w:lang w:val="en-US" w:eastAsia="en-US"/>
        </w:rPr>
        <w:t xml:space="preserve">Andersson, G., Carlbring, P., Furmark, T., on behalf of the S.O.F.I.E. Research Group. (2012). </w:t>
      </w:r>
      <w:r w:rsidR="00817EF7" w:rsidRPr="00836096">
        <w:rPr>
          <w:rFonts w:eastAsiaTheme="minorHAnsi"/>
          <w:lang w:val="en-US" w:eastAsia="en-US"/>
        </w:rPr>
        <w:t xml:space="preserve"> </w:t>
      </w:r>
      <w:r w:rsidRPr="00836096">
        <w:rPr>
          <w:rFonts w:eastAsiaTheme="minorHAnsi"/>
          <w:lang w:val="en-US" w:eastAsia="en-US"/>
        </w:rPr>
        <w:t xml:space="preserve">Therapist experience and knowledge acquisition in internet-delivered CBT for social anxiety disorder: A randomized controlled trial. </w:t>
      </w:r>
      <w:r w:rsidRPr="00836096">
        <w:rPr>
          <w:rFonts w:eastAsiaTheme="minorHAnsi"/>
          <w:i/>
          <w:iCs/>
          <w:lang w:val="en-US" w:eastAsia="en-US"/>
        </w:rPr>
        <w:t>PloS One, 7</w:t>
      </w:r>
      <w:r w:rsidRPr="00836096">
        <w:rPr>
          <w:rFonts w:eastAsiaTheme="minorHAnsi"/>
          <w:lang w:val="en-US" w:eastAsia="en-US"/>
        </w:rPr>
        <w:t xml:space="preserve">(5), e37411. </w:t>
      </w:r>
      <w:r w:rsidR="00817EF7" w:rsidRPr="00836096">
        <w:rPr>
          <w:noProof/>
        </w:rPr>
        <w:t>http://</w:t>
      </w:r>
      <w:r w:rsidRPr="00836096">
        <w:rPr>
          <w:rFonts w:eastAsiaTheme="minorHAnsi"/>
          <w:lang w:val="en-US" w:eastAsia="en-US"/>
        </w:rPr>
        <w:t>doi: 10.1371/journal.pone.0037411</w:t>
      </w:r>
    </w:p>
    <w:p w14:paraId="55B63A34"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Andersson, G., &amp; Kaldo, V. (2004). Internet‐based cognitive behavioral therapy for tinnitus. </w:t>
      </w:r>
      <w:r w:rsidRPr="00836096">
        <w:rPr>
          <w:rFonts w:cs="Times New Roman"/>
          <w:i/>
          <w:iCs/>
          <w:noProof/>
          <w:szCs w:val="24"/>
        </w:rPr>
        <w:t>Journal of Clinical Psychology, 60</w:t>
      </w:r>
      <w:r w:rsidRPr="00836096">
        <w:rPr>
          <w:rFonts w:cs="Times New Roman"/>
          <w:noProof/>
          <w:szCs w:val="24"/>
        </w:rPr>
        <w:t>(2), 171-178.</w:t>
      </w:r>
      <w:r w:rsidRPr="00836096">
        <w:rPr>
          <w:rFonts w:eastAsia="Times New Roman" w:cs="Times New Roman"/>
          <w:szCs w:val="24"/>
          <w:lang w:eastAsia="en-GB"/>
        </w:rPr>
        <w:t xml:space="preserve"> </w:t>
      </w:r>
      <w:r w:rsidRPr="00836096">
        <w:rPr>
          <w:rFonts w:cs="Times New Roman"/>
          <w:szCs w:val="24"/>
        </w:rPr>
        <w:t>https://doi.org/10.1002/jclp.10243</w:t>
      </w:r>
    </w:p>
    <w:p w14:paraId="4AE3D1EE" w14:textId="12C9460C" w:rsidR="00B84125" w:rsidRPr="00836096" w:rsidRDefault="00B84125" w:rsidP="00E745E8">
      <w:pPr>
        <w:pStyle w:val="Bibliography"/>
        <w:ind w:left="720" w:hanging="720"/>
        <w:rPr>
          <w:rFonts w:cs="Times New Roman"/>
          <w:noProof/>
          <w:szCs w:val="24"/>
        </w:rPr>
      </w:pPr>
      <w:r w:rsidRPr="00836096">
        <w:rPr>
          <w:rFonts w:cs="Times New Roman"/>
          <w:noProof/>
          <w:szCs w:val="24"/>
        </w:rPr>
        <w:lastRenderedPageBreak/>
        <w:t xml:space="preserve">Andersson, G., Strömgren, T., Ström, L., &amp; Lyttkens, L. (2002). Randomized controlled trial of Internet-based cognitive behavior therapy for distress associated with tinnitus. </w:t>
      </w:r>
      <w:r w:rsidRPr="00836096">
        <w:rPr>
          <w:rFonts w:cs="Times New Roman"/>
          <w:i/>
          <w:iCs/>
          <w:noProof/>
          <w:szCs w:val="24"/>
        </w:rPr>
        <w:t>Psychosomatic Medicine, 64</w:t>
      </w:r>
      <w:r w:rsidRPr="00836096">
        <w:rPr>
          <w:rFonts w:cs="Times New Roman"/>
          <w:noProof/>
          <w:szCs w:val="24"/>
        </w:rPr>
        <w:t>(5), 810-816. http://doi:10.1097/01.psy.0000031577.42041.f8</w:t>
      </w:r>
    </w:p>
    <w:p w14:paraId="3C56B581" w14:textId="77777777" w:rsidR="000A24A9" w:rsidRPr="00836096" w:rsidRDefault="003314AB" w:rsidP="00E745E8">
      <w:pPr>
        <w:spacing w:line="480" w:lineRule="auto"/>
        <w:rPr>
          <w:shd w:val="clear" w:color="auto" w:fill="FFFFFF"/>
          <w:lang w:val="en-US"/>
        </w:rPr>
      </w:pPr>
      <w:r w:rsidRPr="00836096">
        <w:rPr>
          <w:shd w:val="clear" w:color="auto" w:fill="FFFFFF"/>
          <w:lang w:val="en-US"/>
        </w:rPr>
        <w:t xml:space="preserve">Baumeister, H., Reichler, L., Munzinger, M., &amp; Lin, J. (2014). The impact of guidance on </w:t>
      </w:r>
    </w:p>
    <w:p w14:paraId="4E90F421" w14:textId="3475B156" w:rsidR="003314AB" w:rsidRPr="00836096" w:rsidRDefault="003314AB" w:rsidP="00062160">
      <w:pPr>
        <w:spacing w:line="480" w:lineRule="auto"/>
        <w:ind w:left="720"/>
        <w:rPr>
          <w:lang w:val="en-US"/>
        </w:rPr>
      </w:pPr>
      <w:r w:rsidRPr="00836096">
        <w:rPr>
          <w:shd w:val="clear" w:color="auto" w:fill="FFFFFF"/>
          <w:lang w:val="en-US"/>
        </w:rPr>
        <w:t>Internet-based mental health interventions—A systematic review. </w:t>
      </w:r>
      <w:r w:rsidRPr="00836096">
        <w:rPr>
          <w:i/>
          <w:iCs/>
          <w:shd w:val="clear" w:color="auto" w:fill="FFFFFF"/>
          <w:lang w:val="en-US"/>
        </w:rPr>
        <w:t>internet Interventions</w:t>
      </w:r>
      <w:r w:rsidRPr="00836096">
        <w:rPr>
          <w:shd w:val="clear" w:color="auto" w:fill="FFFFFF"/>
          <w:lang w:val="en-US"/>
        </w:rPr>
        <w:t>, </w:t>
      </w:r>
      <w:r w:rsidRPr="00836096">
        <w:rPr>
          <w:i/>
          <w:iCs/>
          <w:shd w:val="clear" w:color="auto" w:fill="FFFFFF"/>
          <w:lang w:val="en-US"/>
        </w:rPr>
        <w:t>1</w:t>
      </w:r>
      <w:r w:rsidRPr="00836096">
        <w:rPr>
          <w:shd w:val="clear" w:color="auto" w:fill="FFFFFF"/>
          <w:lang w:val="en-US"/>
        </w:rPr>
        <w:t>(4), 205-215.</w:t>
      </w:r>
      <w:r w:rsidRPr="00836096">
        <w:rPr>
          <w:lang w:val="en-US"/>
        </w:rPr>
        <w:t xml:space="preserve"> </w:t>
      </w:r>
      <w:hyperlink r:id="rId15" w:tgtFrame="_blank" w:tooltip="Persistent link using digital object identifier" w:history="1">
        <w:r w:rsidRPr="00836096">
          <w:rPr>
            <w:u w:val="single"/>
            <w:lang w:val="en-US"/>
          </w:rPr>
          <w:t>https://doi.org/10.1016/j.invent.2014.08.003</w:t>
        </w:r>
      </w:hyperlink>
    </w:p>
    <w:p w14:paraId="20F966AA"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Barrera, M., Castro, F. G., Strycker, L. A., &amp; Toobert, D. J. (2013). Cultural adaptations of behavioral health interventions: A progress report. </w:t>
      </w:r>
      <w:r w:rsidRPr="00836096">
        <w:rPr>
          <w:rFonts w:cs="Times New Roman"/>
          <w:i/>
          <w:iCs/>
          <w:noProof/>
          <w:szCs w:val="24"/>
        </w:rPr>
        <w:t>Journal of Consulting and Clinical Psychology, 81</w:t>
      </w:r>
      <w:r w:rsidRPr="00836096">
        <w:rPr>
          <w:rFonts w:cs="Times New Roman"/>
          <w:noProof/>
          <w:szCs w:val="24"/>
        </w:rPr>
        <w:t>(2), 196-205. http://doi:10.1037/a0027085</w:t>
      </w:r>
    </w:p>
    <w:p w14:paraId="1AE43B03"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Bastien, C. H., Vallières, A., &amp; Morin, C. M. (2001). Validation of the Insomnia Severity Index as an outcome measure for insomnia research. </w:t>
      </w:r>
      <w:r w:rsidRPr="00836096">
        <w:rPr>
          <w:rFonts w:cs="Times New Roman"/>
          <w:i/>
          <w:iCs/>
          <w:noProof/>
          <w:szCs w:val="24"/>
        </w:rPr>
        <w:t>Sleep Medicine, 2</w:t>
      </w:r>
      <w:r w:rsidRPr="00836096">
        <w:rPr>
          <w:rFonts w:cs="Times New Roman"/>
          <w:noProof/>
          <w:szCs w:val="24"/>
        </w:rPr>
        <w:t>(4), 297-307. http://doi: 10.1016/s1389-9457(00)00065-4</w:t>
      </w:r>
    </w:p>
    <w:p w14:paraId="7A1B4892" w14:textId="77777777" w:rsidR="00B84125" w:rsidRPr="00836096" w:rsidRDefault="00B84125" w:rsidP="00E745E8">
      <w:pPr>
        <w:spacing w:line="480" w:lineRule="auto"/>
        <w:rPr>
          <w:lang w:val="en-US" w:eastAsia="en-US"/>
        </w:rPr>
      </w:pPr>
      <w:r w:rsidRPr="00836096">
        <w:rPr>
          <w:lang w:val="en-US" w:eastAsia="en-US"/>
        </w:rPr>
        <w:t xml:space="preserve">Beukes, E. W., Vlaescu, G., Manchaiah, V., Baguley, D. M., Allen, P. M., Kaldo, V., &amp; </w:t>
      </w:r>
      <w:r w:rsidRPr="00836096">
        <w:rPr>
          <w:lang w:val="en-US" w:eastAsia="en-US"/>
        </w:rPr>
        <w:tab/>
        <w:t xml:space="preserve">Andersson, G. (2016). Development and technical functionality of an Internet-based </w:t>
      </w:r>
      <w:r w:rsidRPr="00836096">
        <w:rPr>
          <w:lang w:val="en-US" w:eastAsia="en-US"/>
        </w:rPr>
        <w:tab/>
        <w:t xml:space="preserve">intervention for tinnitus in the UK. </w:t>
      </w:r>
      <w:r w:rsidRPr="00836096">
        <w:rPr>
          <w:i/>
          <w:iCs/>
          <w:lang w:val="en-US" w:eastAsia="en-US"/>
        </w:rPr>
        <w:t>Internet Interventions, 6</w:t>
      </w:r>
      <w:r w:rsidRPr="00836096">
        <w:rPr>
          <w:lang w:val="en-US" w:eastAsia="en-US"/>
        </w:rPr>
        <w:t xml:space="preserve">, 6-15. </w:t>
      </w:r>
      <w:r w:rsidRPr="00836096">
        <w:rPr>
          <w:lang w:val="en-US" w:eastAsia="en-US"/>
        </w:rPr>
        <w:tab/>
      </w:r>
      <w:r w:rsidRPr="00836096">
        <w:rPr>
          <w:noProof/>
          <w:lang w:val="en-US"/>
        </w:rPr>
        <w:t>http://</w:t>
      </w:r>
      <w:r w:rsidRPr="00836096">
        <w:rPr>
          <w:lang w:val="en-US" w:eastAsia="en-US"/>
        </w:rPr>
        <w:t>doi:10.1016/j.invent.2016.08.002</w:t>
      </w:r>
    </w:p>
    <w:p w14:paraId="03BC12D6"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Beukes, E. W., Allen, P. M., Manchaiah, V., Baguley, D. M., &amp; Andersson, G. (2017). Internet-based intervention for tinnitus: Outcome of a single-group open trial. </w:t>
      </w:r>
      <w:r w:rsidRPr="00836096">
        <w:rPr>
          <w:rFonts w:cs="Times New Roman"/>
          <w:i/>
          <w:iCs/>
          <w:noProof/>
          <w:szCs w:val="24"/>
        </w:rPr>
        <w:t>American Academy of Audiology, 12</w:t>
      </w:r>
      <w:r w:rsidRPr="00836096">
        <w:rPr>
          <w:rFonts w:cs="Times New Roman"/>
          <w:noProof/>
          <w:szCs w:val="24"/>
        </w:rPr>
        <w:t>(4), 340-351. http://doi:10.3766/jaaa.16055</w:t>
      </w:r>
    </w:p>
    <w:p w14:paraId="612B50B7"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Beukes, E. W., Baguley, D. M., Allen, P. M., Manchaiah, V., &amp; Andersson, G. (2018a).  Audiologist-guided Internet-based cognitive behavior therapy for adults with tinnitus in the United Kingdom: A randomized controlled trial. </w:t>
      </w:r>
      <w:r w:rsidRPr="00836096">
        <w:rPr>
          <w:rFonts w:cs="Times New Roman"/>
          <w:i/>
          <w:iCs/>
          <w:noProof/>
          <w:szCs w:val="24"/>
        </w:rPr>
        <w:t>Ear and Hearing, 39</w:t>
      </w:r>
      <w:r w:rsidRPr="00836096">
        <w:rPr>
          <w:rFonts w:cs="Times New Roman"/>
          <w:noProof/>
          <w:szCs w:val="24"/>
        </w:rPr>
        <w:t>(3), 423-433. http://doi:10.1097/AUD.0000000000000505</w:t>
      </w:r>
    </w:p>
    <w:p w14:paraId="55C4666E"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lastRenderedPageBreak/>
        <w:t xml:space="preserve">Beukes, E. W., Andersson, G., Allen, P. M., Manchaiah, V., &amp; Baguley, D. M. (2018b). Effectiveness of guided Internet-based cognitive behavioral therapy vs face-to-face clinical care for treatment of tinnitus: A randomized clinical trial. </w:t>
      </w:r>
      <w:r w:rsidRPr="00836096">
        <w:rPr>
          <w:rFonts w:cs="Times New Roman"/>
          <w:i/>
          <w:iCs/>
          <w:noProof/>
          <w:szCs w:val="24"/>
        </w:rPr>
        <w:t>JAMA Otolaryngology–Head &amp; Neck Surgery, 144</w:t>
      </w:r>
      <w:r w:rsidRPr="00836096">
        <w:rPr>
          <w:rFonts w:cs="Times New Roman"/>
          <w:noProof/>
          <w:szCs w:val="24"/>
        </w:rPr>
        <w:t>(12), 1126-1133. http://doi:10.1001/jamaoto.2018.2238</w:t>
      </w:r>
    </w:p>
    <w:p w14:paraId="6A9A5DA7"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Beukes, E. W., Manchaiah, V., Baguley, D. M., Allen, P. M., &amp; Andersson, G. (2018c). Process evaluation of Internet-based cognitive behavioural therapy for adults with tinnitus in the context of a randomised control trial. </w:t>
      </w:r>
      <w:r w:rsidRPr="00836096">
        <w:rPr>
          <w:rFonts w:cs="Times New Roman"/>
          <w:i/>
          <w:iCs/>
          <w:noProof/>
          <w:szCs w:val="24"/>
        </w:rPr>
        <w:t>International Journal of Audiology, 57</w:t>
      </w:r>
      <w:r w:rsidRPr="00836096">
        <w:rPr>
          <w:rFonts w:cs="Times New Roman"/>
          <w:noProof/>
          <w:szCs w:val="24"/>
        </w:rPr>
        <w:t>(2), 98-109. http://doi:10.1080/14992027.2017.1384858</w:t>
      </w:r>
    </w:p>
    <w:p w14:paraId="3F07CBC0" w14:textId="77777777" w:rsidR="00B84125" w:rsidRPr="00836096" w:rsidRDefault="00B84125" w:rsidP="00E745E8">
      <w:pPr>
        <w:spacing w:line="480" w:lineRule="auto"/>
        <w:rPr>
          <w:shd w:val="clear" w:color="auto" w:fill="FFFFFF"/>
          <w:lang w:val="en-US"/>
        </w:rPr>
      </w:pPr>
      <w:r w:rsidRPr="00836096">
        <w:rPr>
          <w:shd w:val="clear" w:color="auto" w:fill="FFFFFF"/>
          <w:lang w:val="en-US"/>
        </w:rPr>
        <w:t xml:space="preserve">Beukes, E. W., Manchaiah, V., Davies, A., Allen, P. M., Baguley, D. M., &amp; Andersson, G. </w:t>
      </w:r>
    </w:p>
    <w:p w14:paraId="292056CC" w14:textId="77777777" w:rsidR="00B84125" w:rsidRPr="00836096" w:rsidRDefault="00B84125" w:rsidP="00E745E8">
      <w:pPr>
        <w:spacing w:line="480" w:lineRule="auto"/>
        <w:ind w:firstLine="720"/>
        <w:rPr>
          <w:shd w:val="clear" w:color="auto" w:fill="FFFFFF"/>
          <w:lang w:val="en-US"/>
        </w:rPr>
      </w:pPr>
      <w:r w:rsidRPr="00836096">
        <w:rPr>
          <w:shd w:val="clear" w:color="auto" w:fill="FFFFFF"/>
          <w:lang w:val="en-US"/>
        </w:rPr>
        <w:t xml:space="preserve">(2018d). Participants' experiences of an Internet-based cognitive behavioural therapy </w:t>
      </w:r>
    </w:p>
    <w:p w14:paraId="58AEA5FA" w14:textId="77777777" w:rsidR="00B84125" w:rsidRPr="00836096" w:rsidRDefault="00B84125" w:rsidP="00E745E8">
      <w:pPr>
        <w:spacing w:line="480" w:lineRule="auto"/>
        <w:ind w:firstLine="720"/>
        <w:rPr>
          <w:shd w:val="clear" w:color="auto" w:fill="FFFFFF"/>
          <w:lang w:val="en-US"/>
        </w:rPr>
      </w:pPr>
      <w:r w:rsidRPr="00836096">
        <w:rPr>
          <w:shd w:val="clear" w:color="auto" w:fill="FFFFFF"/>
          <w:lang w:val="en-US"/>
        </w:rPr>
        <w:t>intervention for tinnitus. </w:t>
      </w:r>
      <w:r w:rsidRPr="00836096">
        <w:rPr>
          <w:i/>
          <w:iCs/>
          <w:shd w:val="clear" w:color="auto" w:fill="FFFFFF"/>
          <w:lang w:val="en-US"/>
        </w:rPr>
        <w:t>International journal of audiology</w:t>
      </w:r>
      <w:r w:rsidRPr="00836096">
        <w:rPr>
          <w:shd w:val="clear" w:color="auto" w:fill="FFFFFF"/>
          <w:lang w:val="en-US"/>
        </w:rPr>
        <w:t>, </w:t>
      </w:r>
      <w:r w:rsidRPr="00836096">
        <w:rPr>
          <w:i/>
          <w:iCs/>
          <w:shd w:val="clear" w:color="auto" w:fill="FFFFFF"/>
          <w:lang w:val="en-US"/>
        </w:rPr>
        <w:t>57</w:t>
      </w:r>
      <w:r w:rsidRPr="00836096">
        <w:rPr>
          <w:shd w:val="clear" w:color="auto" w:fill="FFFFFF"/>
          <w:lang w:val="en-US"/>
        </w:rPr>
        <w:t xml:space="preserve">(12), 947–954. </w:t>
      </w:r>
    </w:p>
    <w:p w14:paraId="3F2247CE" w14:textId="77777777" w:rsidR="00B84125" w:rsidRPr="00836096" w:rsidRDefault="00B84125" w:rsidP="00E745E8">
      <w:pPr>
        <w:spacing w:line="480" w:lineRule="auto"/>
        <w:ind w:firstLine="720"/>
        <w:rPr>
          <w:lang w:val="en-US"/>
        </w:rPr>
      </w:pPr>
      <w:r w:rsidRPr="00836096">
        <w:rPr>
          <w:shd w:val="clear" w:color="auto" w:fill="FFFFFF"/>
          <w:lang w:val="en-US"/>
        </w:rPr>
        <w:t>https://doi.org/10.1080/14992027.2018.1514538</w:t>
      </w:r>
    </w:p>
    <w:p w14:paraId="21297777"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 Beukes, E. W., Manchaiah, V., Allen, P. M., Baguley, D. M., &amp; Andersson, G. (2019). Internet-based interventions for adults with hearing loss, tinnitus, and vestibular disorders: A systematic review and meta-analysis. </w:t>
      </w:r>
      <w:r w:rsidRPr="00836096">
        <w:rPr>
          <w:rFonts w:cs="Times New Roman"/>
          <w:i/>
          <w:iCs/>
          <w:noProof/>
          <w:szCs w:val="24"/>
        </w:rPr>
        <w:t>Trends in Hearing, 23</w:t>
      </w:r>
      <w:r w:rsidRPr="00836096">
        <w:rPr>
          <w:rFonts w:cs="Times New Roman"/>
          <w:noProof/>
          <w:szCs w:val="24"/>
        </w:rPr>
        <w:t xml:space="preserve">, http://doi: 10.1177/2331216519851749. </w:t>
      </w:r>
    </w:p>
    <w:p w14:paraId="65340325" w14:textId="77777777" w:rsidR="00062160" w:rsidRPr="00836096" w:rsidRDefault="00B84125" w:rsidP="00E745E8">
      <w:pPr>
        <w:spacing w:line="480" w:lineRule="auto"/>
        <w:rPr>
          <w:shd w:val="clear" w:color="auto" w:fill="FFFFFF"/>
          <w:lang w:val="en-US"/>
        </w:rPr>
      </w:pPr>
      <w:r w:rsidRPr="00836096">
        <w:rPr>
          <w:shd w:val="clear" w:color="auto" w:fill="FFFFFF"/>
          <w:lang w:val="en-US"/>
        </w:rPr>
        <w:t xml:space="preserve">Beukes, E. W., Manchaiah, V., Allen, P. M., Andersson, G., &amp; Baguley, D. (2020a). </w:t>
      </w:r>
    </w:p>
    <w:p w14:paraId="6DE13C86" w14:textId="7323757F" w:rsidR="00B84125" w:rsidRPr="00836096" w:rsidRDefault="00B84125" w:rsidP="00062160">
      <w:pPr>
        <w:spacing w:line="480" w:lineRule="auto"/>
        <w:ind w:left="720"/>
        <w:rPr>
          <w:shd w:val="clear" w:color="auto" w:fill="FFFFFF"/>
          <w:lang w:val="en-US"/>
        </w:rPr>
      </w:pPr>
      <w:r w:rsidRPr="00836096">
        <w:rPr>
          <w:shd w:val="clear" w:color="auto" w:fill="FFFFFF"/>
          <w:lang w:val="en-US"/>
        </w:rPr>
        <w:t>Exploring tinnitus heterogeneity. </w:t>
      </w:r>
      <w:r w:rsidRPr="00836096">
        <w:rPr>
          <w:i/>
          <w:iCs/>
          <w:shd w:val="clear" w:color="auto" w:fill="FFFFFF"/>
          <w:lang w:val="en-US"/>
        </w:rPr>
        <w:t>Progress in Brain Research</w:t>
      </w:r>
      <w:r w:rsidRPr="00836096">
        <w:rPr>
          <w:shd w:val="clear" w:color="auto" w:fill="FFFFFF"/>
          <w:lang w:val="en-US"/>
        </w:rPr>
        <w:t>.</w:t>
      </w:r>
      <w:r w:rsidR="00062160" w:rsidRPr="00836096">
        <w:rPr>
          <w:lang w:val="en-US"/>
        </w:rPr>
        <w:t xml:space="preserve"> </w:t>
      </w:r>
      <w:r w:rsidRPr="00836096">
        <w:rPr>
          <w:lang w:val="en-US"/>
        </w:rPr>
        <w:t>https://doi.org/10.1016/bs.pbr.2020.05.022</w:t>
      </w:r>
    </w:p>
    <w:p w14:paraId="74DBE4ED" w14:textId="0E5F4C99" w:rsidR="00B84125" w:rsidRPr="00836096" w:rsidRDefault="00B84125" w:rsidP="00E745E8">
      <w:pPr>
        <w:spacing w:line="480" w:lineRule="auto"/>
        <w:rPr>
          <w:lang w:val="en-US" w:eastAsia="en-US"/>
        </w:rPr>
      </w:pPr>
      <w:r w:rsidRPr="00836096">
        <w:rPr>
          <w:lang w:val="en-US" w:eastAsia="en-US"/>
        </w:rPr>
        <w:t>Beukes, E. W., Fagelson, M., Aronson, E. P., Munoz, M. F., Andersson, G., &amp; Manchai</w:t>
      </w:r>
      <w:r w:rsidR="001109B8" w:rsidRPr="00836096">
        <w:rPr>
          <w:lang w:val="en-US" w:eastAsia="en-US"/>
        </w:rPr>
        <w:t>a</w:t>
      </w:r>
      <w:r w:rsidRPr="00836096">
        <w:rPr>
          <w:lang w:val="en-US" w:eastAsia="en-US"/>
        </w:rPr>
        <w:t xml:space="preserve">h, V. </w:t>
      </w:r>
      <w:r w:rsidRPr="00836096">
        <w:rPr>
          <w:lang w:val="en-US" w:eastAsia="en-US"/>
        </w:rPr>
        <w:tab/>
        <w:t xml:space="preserve">(2020b). Readability following cultural and linguistic adaptation of an Internet-based </w:t>
      </w:r>
      <w:r w:rsidRPr="00836096">
        <w:rPr>
          <w:lang w:val="en-US" w:eastAsia="en-US"/>
        </w:rPr>
        <w:tab/>
        <w:t xml:space="preserve">intervention for tinnitus for use in the United States. </w:t>
      </w:r>
      <w:r w:rsidRPr="00836096">
        <w:rPr>
          <w:i/>
          <w:iCs/>
          <w:lang w:val="en-US" w:eastAsia="en-US"/>
        </w:rPr>
        <w:t>American Journal of Audiology</w:t>
      </w:r>
      <w:r w:rsidRPr="00836096">
        <w:rPr>
          <w:lang w:val="en-US" w:eastAsia="en-US"/>
        </w:rPr>
        <w:t xml:space="preserve">, </w:t>
      </w:r>
      <w:r w:rsidRPr="00836096">
        <w:rPr>
          <w:lang w:val="en-US" w:eastAsia="en-US"/>
        </w:rPr>
        <w:tab/>
      </w:r>
      <w:r w:rsidRPr="00836096">
        <w:rPr>
          <w:i/>
          <w:iCs/>
          <w:lang w:val="en-US" w:eastAsia="en-US"/>
        </w:rPr>
        <w:t>29</w:t>
      </w:r>
      <w:r w:rsidRPr="00836096">
        <w:rPr>
          <w:lang w:val="en-US" w:eastAsia="en-US"/>
        </w:rPr>
        <w:t>(2), 97-109. https://doi.org/10.1044/2019_AJA-19-00014.</w:t>
      </w:r>
    </w:p>
    <w:p w14:paraId="32EA48DE" w14:textId="77777777" w:rsidR="00B84125" w:rsidRPr="00836096" w:rsidRDefault="00B84125" w:rsidP="00E745E8">
      <w:pPr>
        <w:spacing w:line="480" w:lineRule="auto"/>
        <w:rPr>
          <w:shd w:val="clear" w:color="auto" w:fill="FFFFFF"/>
          <w:lang w:val="en-US"/>
        </w:rPr>
      </w:pPr>
      <w:r w:rsidRPr="00836096">
        <w:rPr>
          <w:shd w:val="clear" w:color="auto" w:fill="FFFFFF"/>
          <w:lang w:val="en-US"/>
        </w:rPr>
        <w:t xml:space="preserve">Beukes, E. W., Baguley, D. M., Jacquemin, L., Lourenco, M., Allen, P. M., Onozuka, J., </w:t>
      </w:r>
    </w:p>
    <w:p w14:paraId="60FA2E5C" w14:textId="77777777" w:rsidR="00B84125" w:rsidRPr="00836096" w:rsidRDefault="00B84125" w:rsidP="00E745E8">
      <w:pPr>
        <w:spacing w:line="480" w:lineRule="auto"/>
        <w:ind w:left="720"/>
        <w:rPr>
          <w:lang w:val="en-US"/>
        </w:rPr>
      </w:pPr>
      <w:r w:rsidRPr="00836096">
        <w:rPr>
          <w:shd w:val="clear" w:color="auto" w:fill="FFFFFF"/>
          <w:lang w:val="en-US"/>
        </w:rPr>
        <w:lastRenderedPageBreak/>
        <w:t>Stockdale, D., Kaldo, V., Andersson, G., &amp; Manchaiah, V. (2020c). Changes in Tinnitus Experiences During the COVID-19 Pandemic. </w:t>
      </w:r>
      <w:r w:rsidRPr="00836096">
        <w:rPr>
          <w:i/>
          <w:iCs/>
          <w:shd w:val="clear" w:color="auto" w:fill="FFFFFF"/>
          <w:lang w:val="en-US"/>
        </w:rPr>
        <w:t>Frontiers in public health</w:t>
      </w:r>
      <w:r w:rsidRPr="00836096">
        <w:rPr>
          <w:shd w:val="clear" w:color="auto" w:fill="FFFFFF"/>
          <w:lang w:val="en-US"/>
        </w:rPr>
        <w:t>, </w:t>
      </w:r>
      <w:r w:rsidRPr="00836096">
        <w:rPr>
          <w:i/>
          <w:iCs/>
          <w:shd w:val="clear" w:color="auto" w:fill="FFFFFF"/>
          <w:lang w:val="en-US"/>
        </w:rPr>
        <w:t>8</w:t>
      </w:r>
      <w:r w:rsidRPr="00836096">
        <w:rPr>
          <w:shd w:val="clear" w:color="auto" w:fill="FFFFFF"/>
          <w:lang w:val="en-US"/>
        </w:rPr>
        <w:t>, 592878. https://doi.org/10.3389/fpubh.2020.592878</w:t>
      </w:r>
    </w:p>
    <w:p w14:paraId="56757A16" w14:textId="77777777" w:rsidR="00062160" w:rsidRPr="00836096" w:rsidRDefault="00B84125" w:rsidP="00E745E8">
      <w:pPr>
        <w:spacing w:line="480" w:lineRule="auto"/>
        <w:rPr>
          <w:i/>
          <w:iCs/>
          <w:lang w:val="en-US" w:eastAsia="en-US"/>
        </w:rPr>
      </w:pPr>
      <w:r w:rsidRPr="00836096">
        <w:rPr>
          <w:lang w:val="en-US" w:eastAsia="en-US"/>
        </w:rPr>
        <w:t xml:space="preserve">Beukes, E., Andersson, G., Manchaiah, V., &amp; Kaldo, V. (2021a). </w:t>
      </w:r>
      <w:r w:rsidRPr="00836096">
        <w:rPr>
          <w:i/>
          <w:iCs/>
          <w:lang w:val="en-US" w:eastAsia="en-US"/>
        </w:rPr>
        <w:t xml:space="preserve">Cognitive behavioral </w:t>
      </w:r>
    </w:p>
    <w:p w14:paraId="78D164B9" w14:textId="22004901" w:rsidR="00B84125" w:rsidRPr="00836096" w:rsidRDefault="00062160" w:rsidP="00062160">
      <w:pPr>
        <w:spacing w:line="480" w:lineRule="auto"/>
        <w:ind w:firstLine="720"/>
        <w:rPr>
          <w:lang w:val="en-US" w:eastAsia="en-US"/>
        </w:rPr>
      </w:pPr>
      <w:r w:rsidRPr="00836096">
        <w:rPr>
          <w:i/>
          <w:iCs/>
          <w:lang w:val="en-US" w:eastAsia="en-US"/>
        </w:rPr>
        <w:t xml:space="preserve">therapy </w:t>
      </w:r>
      <w:r w:rsidR="00B84125" w:rsidRPr="00836096">
        <w:rPr>
          <w:i/>
          <w:iCs/>
          <w:lang w:val="en-US" w:eastAsia="en-US"/>
        </w:rPr>
        <w:t>for tinnitus.</w:t>
      </w:r>
      <w:r w:rsidR="00B84125" w:rsidRPr="00836096">
        <w:rPr>
          <w:lang w:val="en-US" w:eastAsia="en-US"/>
        </w:rPr>
        <w:t xml:space="preserve"> San Diego, USA: Plural Publishing Inc.</w:t>
      </w:r>
    </w:p>
    <w:p w14:paraId="17428741" w14:textId="77777777" w:rsidR="00062160" w:rsidRPr="00836096" w:rsidRDefault="00B84125" w:rsidP="001109B8">
      <w:pPr>
        <w:spacing w:line="480" w:lineRule="auto"/>
        <w:rPr>
          <w:shd w:val="clear" w:color="auto" w:fill="FFFFFF"/>
          <w:lang w:val="en-US"/>
        </w:rPr>
      </w:pPr>
      <w:r w:rsidRPr="00836096">
        <w:rPr>
          <w:shd w:val="clear" w:color="auto" w:fill="FFFFFF"/>
          <w:lang w:val="en-US"/>
        </w:rPr>
        <w:t xml:space="preserve">Beukes, E.W., Onozuka, J., Brazell, T., Manchaiah, V. (2021b). Coping with tinnitus during </w:t>
      </w:r>
    </w:p>
    <w:p w14:paraId="112C62D4" w14:textId="66C5670D" w:rsidR="00B84125" w:rsidRPr="00836096" w:rsidRDefault="00B84125" w:rsidP="001109B8">
      <w:pPr>
        <w:spacing w:line="480" w:lineRule="auto"/>
        <w:ind w:firstLine="720"/>
        <w:rPr>
          <w:shd w:val="clear" w:color="auto" w:fill="FFFFFF"/>
          <w:lang w:val="en-US"/>
        </w:rPr>
      </w:pPr>
      <w:r w:rsidRPr="00836096">
        <w:rPr>
          <w:shd w:val="clear" w:color="auto" w:fill="FFFFFF"/>
          <w:lang w:val="en-US"/>
        </w:rPr>
        <w:t>the COVID-19 pandemic.</w:t>
      </w:r>
      <w:r w:rsidR="00062160" w:rsidRPr="00836096">
        <w:rPr>
          <w:shd w:val="clear" w:color="auto" w:fill="FFFFFF"/>
          <w:lang w:val="en-US"/>
        </w:rPr>
        <w:t xml:space="preserve"> </w:t>
      </w:r>
      <w:r w:rsidRPr="00836096">
        <w:rPr>
          <w:shd w:val="clear" w:color="auto" w:fill="FFFFFF"/>
          <w:lang w:val="en-US"/>
        </w:rPr>
        <w:t>American Journal of Audiology. In press</w:t>
      </w:r>
    </w:p>
    <w:p w14:paraId="7469E4FE" w14:textId="77777777" w:rsidR="007732CD" w:rsidRPr="00836096" w:rsidRDefault="007732CD" w:rsidP="007732CD">
      <w:pPr>
        <w:shd w:val="clear" w:color="auto" w:fill="FFFFFF"/>
        <w:spacing w:line="480" w:lineRule="auto"/>
      </w:pPr>
      <w:r w:rsidRPr="00836096">
        <w:t>Beukes, E.W., Andersson, G., Fagelson, M.A., &amp; Manchaiah, V. Internet-based audiologist-</w:t>
      </w:r>
    </w:p>
    <w:p w14:paraId="71D69FC5" w14:textId="77777777" w:rsidR="007732CD" w:rsidRPr="00836096" w:rsidRDefault="007732CD" w:rsidP="007732CD">
      <w:pPr>
        <w:shd w:val="clear" w:color="auto" w:fill="FFFFFF"/>
        <w:spacing w:line="480" w:lineRule="auto"/>
        <w:ind w:firstLine="720"/>
      </w:pPr>
      <w:r w:rsidRPr="00836096">
        <w:t xml:space="preserve">guided Internet-based cognitive behavioral therapy for tinnitus in the United States: A </w:t>
      </w:r>
    </w:p>
    <w:p w14:paraId="5190070F" w14:textId="3081779D" w:rsidR="007732CD" w:rsidRPr="00836096" w:rsidRDefault="007732CD" w:rsidP="007732CD">
      <w:pPr>
        <w:shd w:val="clear" w:color="auto" w:fill="FFFFFF"/>
        <w:spacing w:line="480" w:lineRule="auto"/>
        <w:ind w:firstLine="720"/>
      </w:pPr>
      <w:r w:rsidRPr="00836096">
        <w:t xml:space="preserve">randomized controlled trial. </w:t>
      </w:r>
      <w:r w:rsidRPr="00836096">
        <w:rPr>
          <w:i/>
          <w:iCs/>
        </w:rPr>
        <w:t xml:space="preserve">JMIR Preprints. </w:t>
      </w:r>
      <w:hyperlink r:id="rId16" w:history="1">
        <w:r w:rsidRPr="00836096">
          <w:rPr>
            <w:rStyle w:val="Hyperlink"/>
            <w:color w:val="auto"/>
          </w:rPr>
          <w:t>https://preprints.jmir.org/preprint/27584</w:t>
        </w:r>
      </w:hyperlink>
    </w:p>
    <w:p w14:paraId="6ED820CD" w14:textId="0B1B3498" w:rsidR="00B84125" w:rsidRPr="00836096" w:rsidRDefault="00B84125" w:rsidP="001109B8">
      <w:pPr>
        <w:pStyle w:val="Bibliography"/>
        <w:ind w:left="720" w:hanging="720"/>
        <w:rPr>
          <w:rFonts w:cs="Times New Roman"/>
          <w:noProof/>
          <w:szCs w:val="24"/>
        </w:rPr>
      </w:pPr>
      <w:r w:rsidRPr="00836096">
        <w:rPr>
          <w:rFonts w:cs="Times New Roman"/>
          <w:noProof/>
          <w:szCs w:val="24"/>
        </w:rPr>
        <w:t xml:space="preserve">Bhatt, J. M., Lin, H. W., &amp; Bhattacharya, N. (2016). Prevalence, severity, exposures, and treatment patterns of tinnitus in the United States. </w:t>
      </w:r>
      <w:r w:rsidRPr="00836096">
        <w:rPr>
          <w:rFonts w:cs="Times New Roman"/>
          <w:i/>
          <w:iCs/>
          <w:noProof/>
          <w:szCs w:val="24"/>
        </w:rPr>
        <w:t xml:space="preserve">JAMA Otolaryngology Head and Neck Surgery, </w:t>
      </w:r>
      <w:r w:rsidRPr="00836096">
        <w:rPr>
          <w:rFonts w:cs="Times New Roman"/>
          <w:noProof/>
          <w:szCs w:val="24"/>
        </w:rPr>
        <w:t>142(10), 959-965. http://doi:10.1001/jamaoto.2016.1700</w:t>
      </w:r>
    </w:p>
    <w:p w14:paraId="0031BB78" w14:textId="77777777" w:rsidR="00062160" w:rsidRPr="00836096" w:rsidRDefault="00B84125" w:rsidP="00E745E8">
      <w:pPr>
        <w:spacing w:line="480" w:lineRule="auto"/>
        <w:rPr>
          <w:shd w:val="clear" w:color="auto" w:fill="FFFFFF"/>
          <w:lang w:val="en-US"/>
        </w:rPr>
      </w:pPr>
      <w:r w:rsidRPr="00836096">
        <w:rPr>
          <w:shd w:val="clear" w:color="auto" w:fill="FFFFFF"/>
          <w:lang w:val="en-US"/>
        </w:rPr>
        <w:t xml:space="preserve">Campbell, M., Fitzpatrick, R., Haines, A., Kinmonth, A. L., Sandercock, P., Spiegelhalter, </w:t>
      </w:r>
    </w:p>
    <w:p w14:paraId="1A957AA2" w14:textId="77777777" w:rsidR="00062160" w:rsidRPr="00836096" w:rsidRDefault="00B84125" w:rsidP="00062160">
      <w:pPr>
        <w:spacing w:line="480" w:lineRule="auto"/>
        <w:ind w:firstLine="720"/>
        <w:rPr>
          <w:shd w:val="clear" w:color="auto" w:fill="FFFFFF"/>
          <w:lang w:val="en-US"/>
        </w:rPr>
      </w:pPr>
      <w:r w:rsidRPr="00836096">
        <w:rPr>
          <w:shd w:val="clear" w:color="auto" w:fill="FFFFFF"/>
          <w:lang w:val="en-US"/>
        </w:rPr>
        <w:t xml:space="preserve">D., &amp; Tyrer, P. (2000). Framework for design and evaluation of complex </w:t>
      </w:r>
    </w:p>
    <w:p w14:paraId="7FDED143" w14:textId="77777777" w:rsidR="00062160" w:rsidRPr="00836096" w:rsidRDefault="00B84125" w:rsidP="00062160">
      <w:pPr>
        <w:spacing w:line="480" w:lineRule="auto"/>
        <w:ind w:firstLine="720"/>
        <w:rPr>
          <w:shd w:val="clear" w:color="auto" w:fill="FFFFFF"/>
          <w:lang w:val="en-US"/>
        </w:rPr>
      </w:pPr>
      <w:r w:rsidRPr="00836096">
        <w:rPr>
          <w:shd w:val="clear" w:color="auto" w:fill="FFFFFF"/>
          <w:lang w:val="en-US"/>
        </w:rPr>
        <w:t>interventions to improve health. </w:t>
      </w:r>
      <w:r w:rsidRPr="00836096">
        <w:rPr>
          <w:i/>
          <w:iCs/>
          <w:shd w:val="clear" w:color="auto" w:fill="FFFFFF"/>
          <w:lang w:val="en-US"/>
        </w:rPr>
        <w:t>Bmj</w:t>
      </w:r>
      <w:r w:rsidRPr="00836096">
        <w:rPr>
          <w:shd w:val="clear" w:color="auto" w:fill="FFFFFF"/>
          <w:lang w:val="en-US"/>
        </w:rPr>
        <w:t>, </w:t>
      </w:r>
      <w:r w:rsidRPr="00836096">
        <w:rPr>
          <w:i/>
          <w:iCs/>
          <w:shd w:val="clear" w:color="auto" w:fill="FFFFFF"/>
          <w:lang w:val="en-US"/>
        </w:rPr>
        <w:t>321</w:t>
      </w:r>
      <w:r w:rsidRPr="00836096">
        <w:rPr>
          <w:shd w:val="clear" w:color="auto" w:fill="FFFFFF"/>
          <w:lang w:val="en-US"/>
        </w:rPr>
        <w:t xml:space="preserve">(7262), 694-696. </w:t>
      </w:r>
    </w:p>
    <w:p w14:paraId="4D3612E1" w14:textId="1579E1F9" w:rsidR="00B84125" w:rsidRPr="00836096" w:rsidRDefault="00B84125" w:rsidP="00062160">
      <w:pPr>
        <w:spacing w:line="480" w:lineRule="auto"/>
        <w:ind w:firstLine="720"/>
        <w:rPr>
          <w:shd w:val="clear" w:color="auto" w:fill="FFFFFF"/>
          <w:lang w:val="en-US"/>
        </w:rPr>
      </w:pPr>
      <w:r w:rsidRPr="00836096">
        <w:rPr>
          <w:bdr w:val="none" w:sz="0" w:space="0" w:color="auto" w:frame="1"/>
          <w:shd w:val="clear" w:color="auto" w:fill="FFFFFF"/>
          <w:lang w:val="en-US"/>
        </w:rPr>
        <w:t>https://doi.org/10.1136/bmj.321.7262.694</w:t>
      </w:r>
    </w:p>
    <w:p w14:paraId="2E7F20C0"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Carman, K. L., Dardess, P., Maurer, M., Shoshanna, S., Adams, K., Bechtel, C., &amp; Sweeney, J. (2013). Patient and family engagement: A framework for understanding the elements and developing interventions and policies. </w:t>
      </w:r>
      <w:r w:rsidRPr="00836096">
        <w:rPr>
          <w:rFonts w:cs="Times New Roman"/>
          <w:i/>
          <w:iCs/>
          <w:noProof/>
          <w:szCs w:val="24"/>
        </w:rPr>
        <w:t>Health Affairs, 32</w:t>
      </w:r>
      <w:r w:rsidRPr="00836096">
        <w:rPr>
          <w:rFonts w:cs="Times New Roman"/>
          <w:noProof/>
          <w:szCs w:val="24"/>
        </w:rPr>
        <w:t>(2), 223-231. http://doi:10.1377/hlthaff.2012.1133</w:t>
      </w:r>
    </w:p>
    <w:p w14:paraId="5F640288"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Cohen, J. (1992). A power primer. </w:t>
      </w:r>
      <w:r w:rsidRPr="00836096">
        <w:rPr>
          <w:rFonts w:cs="Times New Roman"/>
          <w:i/>
          <w:iCs/>
          <w:noProof/>
          <w:szCs w:val="24"/>
        </w:rPr>
        <w:t>Psychological Bulletin, 112</w:t>
      </w:r>
      <w:r w:rsidRPr="00836096">
        <w:rPr>
          <w:rFonts w:cs="Times New Roman"/>
          <w:noProof/>
          <w:szCs w:val="24"/>
        </w:rPr>
        <w:t>(1), 155-159.</w:t>
      </w:r>
      <w:r w:rsidRPr="00836096">
        <w:rPr>
          <w:rFonts w:eastAsia="Times New Roman" w:cs="Times New Roman"/>
          <w:szCs w:val="24"/>
          <w:shd w:val="clear" w:color="auto" w:fill="FFFFFF"/>
          <w:lang w:eastAsia="en-GB"/>
        </w:rPr>
        <w:t xml:space="preserve"> </w:t>
      </w:r>
      <w:r w:rsidRPr="00836096">
        <w:rPr>
          <w:rFonts w:cs="Times New Roman"/>
          <w:noProof/>
          <w:szCs w:val="24"/>
        </w:rPr>
        <w:t>http://doi:10.1037//0033-2909.112.1.155.</w:t>
      </w:r>
    </w:p>
    <w:p w14:paraId="22BE609B" w14:textId="77777777" w:rsidR="00062160" w:rsidRPr="00836096" w:rsidRDefault="00B84125" w:rsidP="00E745E8">
      <w:pPr>
        <w:spacing w:line="480" w:lineRule="auto"/>
        <w:rPr>
          <w:shd w:val="clear" w:color="auto" w:fill="FFFFFF"/>
          <w:lang w:val="en-US"/>
        </w:rPr>
      </w:pPr>
      <w:r w:rsidRPr="00836096">
        <w:rPr>
          <w:shd w:val="clear" w:color="auto" w:fill="FFFFFF"/>
          <w:lang w:val="en-US"/>
        </w:rPr>
        <w:t xml:space="preserve">Curtis, F., Laparidou, D., Bridle, C., Law, G. R., Durrant, S., Rodriguez, A., ... &amp; </w:t>
      </w:r>
    </w:p>
    <w:p w14:paraId="572BA89D" w14:textId="0A7501A7" w:rsidR="00B84125" w:rsidRPr="00836096" w:rsidRDefault="00B84125" w:rsidP="00062160">
      <w:pPr>
        <w:spacing w:line="480" w:lineRule="auto"/>
        <w:ind w:left="720"/>
        <w:rPr>
          <w:shd w:val="clear" w:color="auto" w:fill="FFFFFF"/>
          <w:lang w:val="en-US"/>
        </w:rPr>
      </w:pPr>
      <w:r w:rsidRPr="00836096">
        <w:rPr>
          <w:shd w:val="clear" w:color="auto" w:fill="FFFFFF"/>
          <w:lang w:val="en-US"/>
        </w:rPr>
        <w:lastRenderedPageBreak/>
        <w:t>Siriwardena, A. N. (2020). Effects of Cognitive Behavioural Therapy on insomnia in adults with tinnitus: systematic review and meta-analysis of randomised controlled trials. </w:t>
      </w:r>
      <w:r w:rsidRPr="00836096">
        <w:rPr>
          <w:i/>
          <w:iCs/>
          <w:shd w:val="clear" w:color="auto" w:fill="FFFFFF"/>
          <w:lang w:val="en-US"/>
        </w:rPr>
        <w:t>Sleep Medicine Reviews</w:t>
      </w:r>
      <w:r w:rsidRPr="00836096">
        <w:rPr>
          <w:shd w:val="clear" w:color="auto" w:fill="FFFFFF"/>
          <w:lang w:val="en-US"/>
        </w:rPr>
        <w:t>, 101405.</w:t>
      </w:r>
      <w:r w:rsidRPr="00836096">
        <w:rPr>
          <w:lang w:val="en-US"/>
        </w:rPr>
        <w:t xml:space="preserve"> https://doi.org/10.1016/j.smrv.2020.101405</w:t>
      </w:r>
    </w:p>
    <w:p w14:paraId="0C281623"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Des Jarlais, D. C., Lyles, C., Crepaz, N., &amp; TREND Group. (2004). Improving the reporting quality of nonrandomized evaluations of behavioral and public health interventions: The TREND statement. </w:t>
      </w:r>
      <w:r w:rsidRPr="00836096">
        <w:rPr>
          <w:rFonts w:cs="Times New Roman"/>
          <w:i/>
          <w:iCs/>
          <w:noProof/>
          <w:szCs w:val="24"/>
        </w:rPr>
        <w:t>American Journal of Public Health, 94</w:t>
      </w:r>
      <w:r w:rsidRPr="00836096">
        <w:rPr>
          <w:rFonts w:cs="Times New Roman"/>
          <w:noProof/>
          <w:szCs w:val="24"/>
        </w:rPr>
        <w:t>(3), 361-366. http://doi:10.2105/ajph.94.3.361</w:t>
      </w:r>
    </w:p>
    <w:p w14:paraId="4542A993"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Fuller, T., Cima, R., Langguth, B., Mazurek, B., Vlaeyen, J., &amp; Hoare, D. (2020). Cognitive behavioural therapy for tinnitus. </w:t>
      </w:r>
      <w:r w:rsidRPr="00836096">
        <w:rPr>
          <w:rFonts w:cs="Times New Roman"/>
          <w:i/>
          <w:iCs/>
          <w:noProof/>
          <w:szCs w:val="24"/>
        </w:rPr>
        <w:t>Cochrane Database of Systematic Reviews</w:t>
      </w:r>
      <w:r w:rsidRPr="00836096">
        <w:rPr>
          <w:rFonts w:cs="Times New Roman"/>
          <w:noProof/>
          <w:szCs w:val="24"/>
        </w:rPr>
        <w:t>.</w:t>
      </w:r>
      <w:r w:rsidRPr="00836096">
        <w:rPr>
          <w:rFonts w:eastAsia="Times New Roman" w:cs="Times New Roman"/>
          <w:szCs w:val="24"/>
          <w:shd w:val="clear" w:color="auto" w:fill="FFFFFF"/>
          <w:lang w:eastAsia="en-GB"/>
        </w:rPr>
        <w:t xml:space="preserve"> </w:t>
      </w:r>
      <w:r w:rsidRPr="00836096">
        <w:rPr>
          <w:rFonts w:cs="Times New Roman"/>
          <w:noProof/>
          <w:szCs w:val="24"/>
        </w:rPr>
        <w:t>http://doi:10.1002/14651858.CD012614.pub2.</w:t>
      </w:r>
    </w:p>
    <w:p w14:paraId="29703BC1"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Fuller, T., Haider, H., Kikidis, D., Lapira, A., Mazurek, B., Norena, A., Rabau, S., Lardinois, R., Cederroth, C. R., Edvall, N. K.,Brueggemann, P. G., Rosing, S. N., Kapandais, A., Lungaard, D., Hoare, D. J., &amp; Cima, R. F. F. (2017). Different teams, same conclusions? A systematic review of existing clinical guidelines for the assessment and treatment of tinnitus in adults. </w:t>
      </w:r>
      <w:r w:rsidRPr="00836096">
        <w:rPr>
          <w:rFonts w:cs="Times New Roman"/>
          <w:i/>
          <w:iCs/>
          <w:noProof/>
          <w:szCs w:val="24"/>
        </w:rPr>
        <w:t>Frontiers in Psychology, 8</w:t>
      </w:r>
      <w:r w:rsidRPr="00836096">
        <w:rPr>
          <w:rFonts w:cs="Times New Roman"/>
          <w:noProof/>
          <w:szCs w:val="24"/>
        </w:rPr>
        <w:t>, 206.  </w:t>
      </w:r>
      <w:r w:rsidRPr="00836096">
        <w:rPr>
          <w:rFonts w:cs="Times New Roman"/>
          <w:szCs w:val="24"/>
        </w:rPr>
        <w:t>https://doi.org/10.3389/fpsyg.2017.00206</w:t>
      </w:r>
    </w:p>
    <w:p w14:paraId="07B92EAE"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Hall, D., Láinez, M., Newman, C., Sanchez, T., Egler, M., Tennigkeit, F., Koch, M., &amp; Langguth, B. (2011). Treatment options for subjective tinnitus: Self reports from a sample of general practitioners and ENT physicians within Europe and the USA. </w:t>
      </w:r>
      <w:r w:rsidRPr="00836096">
        <w:rPr>
          <w:rFonts w:cs="Times New Roman"/>
          <w:i/>
          <w:iCs/>
          <w:noProof/>
          <w:szCs w:val="24"/>
        </w:rPr>
        <w:t>BMC Health Services Research, 11</w:t>
      </w:r>
      <w:r w:rsidRPr="00836096">
        <w:rPr>
          <w:rFonts w:cs="Times New Roman"/>
          <w:noProof/>
          <w:szCs w:val="24"/>
        </w:rPr>
        <w:t>(302), https://doi.org/10.1186/1472-6963-11-302.</w:t>
      </w:r>
    </w:p>
    <w:p w14:paraId="53AB95B8"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Handscomb, L., Hall, D., Shorter, G., &amp; Hoare, D. (2017). Positive and negative thinking in tinnitus: Factor sructure of the Tinnitus Cognitions Questionnaire. </w:t>
      </w:r>
      <w:r w:rsidRPr="00836096">
        <w:rPr>
          <w:rFonts w:cs="Times New Roman"/>
          <w:i/>
          <w:iCs/>
          <w:noProof/>
          <w:szCs w:val="24"/>
        </w:rPr>
        <w:t>Ear and Hearing, 38</w:t>
      </w:r>
      <w:r w:rsidRPr="00836096">
        <w:rPr>
          <w:rFonts w:cs="Times New Roman"/>
          <w:noProof/>
          <w:szCs w:val="24"/>
        </w:rPr>
        <w:t>(1), 126-132. http://doi: </w:t>
      </w:r>
      <w:r w:rsidRPr="00836096">
        <w:rPr>
          <w:rFonts w:cs="Times New Roman"/>
          <w:szCs w:val="24"/>
        </w:rPr>
        <w:t>10.1097/AUD.0000000000000365</w:t>
      </w:r>
    </w:p>
    <w:p w14:paraId="789B9E63" w14:textId="36296CC2"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Hawthorne, K., Robles, Y., Canning-John, R., &amp; Edwards, A. G. (2010). Culturally appropriate health education for Type 2 diabetes in ethnic minority groups: A </w:t>
      </w:r>
      <w:r w:rsidRPr="00836096">
        <w:rPr>
          <w:rFonts w:cs="Times New Roman"/>
          <w:noProof/>
          <w:szCs w:val="24"/>
        </w:rPr>
        <w:lastRenderedPageBreak/>
        <w:t xml:space="preserve">systematic and narrative review of randomized controlled trials. </w:t>
      </w:r>
      <w:r w:rsidRPr="00836096">
        <w:rPr>
          <w:rFonts w:cs="Times New Roman"/>
          <w:i/>
          <w:iCs/>
          <w:noProof/>
          <w:szCs w:val="24"/>
        </w:rPr>
        <w:t>Diabetic Medicine, 27</w:t>
      </w:r>
      <w:r w:rsidRPr="00836096">
        <w:rPr>
          <w:rFonts w:cs="Times New Roman"/>
          <w:noProof/>
          <w:szCs w:val="24"/>
        </w:rPr>
        <w:t>(6), 613-623. http://doi:10.1111/j.1464-5491.2010.02954.x</w:t>
      </w:r>
    </w:p>
    <w:p w14:paraId="6E3E3068" w14:textId="7789ADCF" w:rsidR="0015029F" w:rsidRPr="00836096" w:rsidRDefault="0015029F" w:rsidP="00E745E8">
      <w:pPr>
        <w:pStyle w:val="Bibliography"/>
        <w:ind w:left="720" w:hanging="720"/>
        <w:rPr>
          <w:rFonts w:cs="Times New Roman"/>
          <w:noProof/>
          <w:szCs w:val="24"/>
        </w:rPr>
      </w:pPr>
      <w:r w:rsidRPr="00836096">
        <w:rPr>
          <w:rFonts w:cs="Times New Roman"/>
          <w:noProof/>
          <w:szCs w:val="24"/>
        </w:rPr>
        <w:t xml:space="preserve">Henry, J. A., Griest, S., Zaugg, T. L., Thielman, E., Kaelin, C., Galvez, G., &amp; Carlson, K. F. (2015). Tinnitus and Hearing Survey: A screening tool to differentiate bothersome tinnitus from hearing difficulties. </w:t>
      </w:r>
      <w:r w:rsidRPr="00836096">
        <w:rPr>
          <w:rFonts w:cs="Times New Roman"/>
          <w:i/>
          <w:iCs/>
          <w:noProof/>
          <w:szCs w:val="24"/>
        </w:rPr>
        <w:t>American Journal of Audiology, 24</w:t>
      </w:r>
      <w:r w:rsidRPr="00836096">
        <w:rPr>
          <w:rFonts w:cs="Times New Roman"/>
          <w:noProof/>
          <w:szCs w:val="24"/>
        </w:rPr>
        <w:t>(1), 66-77. http://doi:</w:t>
      </w:r>
      <w:r w:rsidRPr="00836096">
        <w:rPr>
          <w:rFonts w:cs="Times New Roman"/>
          <w:szCs w:val="24"/>
        </w:rPr>
        <w:t>10.1044/2014_AJA-14-0042</w:t>
      </w:r>
    </w:p>
    <w:p w14:paraId="12A1751C" w14:textId="6B6B4A2D"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Henry, J., Griest, S., Thielman, E., McMillan, G., Kaelin, C., &amp; Carlson, K., F. (2016). Tinnitus functional index: development, validation, outcomes research, and clinical application. </w:t>
      </w:r>
      <w:r w:rsidRPr="00836096">
        <w:rPr>
          <w:rFonts w:cs="Times New Roman"/>
          <w:i/>
          <w:iCs/>
          <w:noProof/>
          <w:szCs w:val="24"/>
        </w:rPr>
        <w:t>Hearing Research, 334</w:t>
      </w:r>
      <w:r w:rsidRPr="00836096">
        <w:rPr>
          <w:rFonts w:cs="Times New Roman"/>
          <w:noProof/>
          <w:szCs w:val="24"/>
        </w:rPr>
        <w:t>, 58-64.</w:t>
      </w:r>
      <w:r w:rsidRPr="00836096">
        <w:rPr>
          <w:rFonts w:eastAsia="Times New Roman" w:cs="Times New Roman"/>
          <w:szCs w:val="24"/>
          <w:shd w:val="clear" w:color="auto" w:fill="FFFFFF"/>
          <w:lang w:eastAsia="en-GB"/>
        </w:rPr>
        <w:t xml:space="preserve"> </w:t>
      </w:r>
      <w:r w:rsidRPr="00836096">
        <w:rPr>
          <w:rFonts w:cs="Times New Roman"/>
          <w:noProof/>
          <w:szCs w:val="24"/>
        </w:rPr>
        <w:t>http://doi:10.1016/j.heares.2015.06.004</w:t>
      </w:r>
    </w:p>
    <w:p w14:paraId="488CFD58" w14:textId="77777777" w:rsidR="00C35393" w:rsidRPr="00836096" w:rsidRDefault="00C35393" w:rsidP="00062160">
      <w:pPr>
        <w:spacing w:line="480" w:lineRule="auto"/>
        <w:rPr>
          <w:shd w:val="clear" w:color="auto" w:fill="FFFFFF"/>
        </w:rPr>
      </w:pPr>
      <w:r w:rsidRPr="00836096">
        <w:rPr>
          <w:shd w:val="clear" w:color="auto" w:fill="FFFFFF"/>
        </w:rPr>
        <w:t xml:space="preserve">Henry, J. A., Thielman, E. J., Zaugg, T. L., Kaelin, C., McMillan, G. P., Schmidt, C. J., </w:t>
      </w:r>
    </w:p>
    <w:p w14:paraId="7E71ECE0" w14:textId="77777777" w:rsidR="00C35393" w:rsidRPr="00836096" w:rsidRDefault="00C35393" w:rsidP="00062160">
      <w:pPr>
        <w:spacing w:line="480" w:lineRule="auto"/>
        <w:ind w:firstLine="720"/>
        <w:rPr>
          <w:shd w:val="clear" w:color="auto" w:fill="FFFFFF"/>
        </w:rPr>
      </w:pPr>
      <w:r w:rsidRPr="00836096">
        <w:rPr>
          <w:shd w:val="clear" w:color="auto" w:fill="FFFFFF"/>
        </w:rPr>
        <w:t xml:space="preserve">Myers, P. J., &amp; Carlson, K. F. (2019). Telephone-Based Progressive Tinnitus </w:t>
      </w:r>
    </w:p>
    <w:p w14:paraId="0E0994A4" w14:textId="7EA75749" w:rsidR="00C35393" w:rsidRPr="00836096" w:rsidRDefault="00C35393" w:rsidP="00062160">
      <w:pPr>
        <w:spacing w:line="480" w:lineRule="auto"/>
        <w:ind w:left="720"/>
        <w:rPr>
          <w:shd w:val="clear" w:color="auto" w:fill="FFFFFF"/>
        </w:rPr>
      </w:pPr>
      <w:r w:rsidRPr="00836096">
        <w:rPr>
          <w:shd w:val="clear" w:color="auto" w:fill="FFFFFF"/>
        </w:rPr>
        <w:t>Management for Persons With and Without Traumatic Brain Injury: A Randomized Controlled Trial. </w:t>
      </w:r>
      <w:r w:rsidR="00062160" w:rsidRPr="00836096">
        <w:rPr>
          <w:i/>
          <w:iCs/>
          <w:shd w:val="clear" w:color="auto" w:fill="FFFFFF"/>
        </w:rPr>
        <w:t>Ear and H</w:t>
      </w:r>
      <w:r w:rsidRPr="00836096">
        <w:rPr>
          <w:i/>
          <w:iCs/>
          <w:shd w:val="clear" w:color="auto" w:fill="FFFFFF"/>
        </w:rPr>
        <w:t>earing</w:t>
      </w:r>
      <w:r w:rsidRPr="00836096">
        <w:rPr>
          <w:shd w:val="clear" w:color="auto" w:fill="FFFFFF"/>
        </w:rPr>
        <w:t>, </w:t>
      </w:r>
      <w:r w:rsidRPr="00836096">
        <w:rPr>
          <w:i/>
          <w:iCs/>
          <w:shd w:val="clear" w:color="auto" w:fill="FFFFFF"/>
        </w:rPr>
        <w:t>40</w:t>
      </w:r>
      <w:r w:rsidRPr="00836096">
        <w:rPr>
          <w:shd w:val="clear" w:color="auto" w:fill="FFFFFF"/>
        </w:rPr>
        <w:t>(2), 227–242. https://doi.org/10.1097/AUD.0000000000000609</w:t>
      </w:r>
    </w:p>
    <w:p w14:paraId="17B5BB93" w14:textId="77777777" w:rsidR="00C35393" w:rsidRPr="00836096" w:rsidRDefault="00C35393" w:rsidP="00C35393">
      <w:pPr>
        <w:ind w:left="720"/>
        <w:rPr>
          <w:lang w:val="en-US" w:eastAsia="en-US"/>
        </w:rPr>
      </w:pPr>
    </w:p>
    <w:p w14:paraId="11BD3C5C"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Henry, J., Piskosz, M., Norena, A., &amp; Fournier, P. (2019). Audiologists and tinnitus. </w:t>
      </w:r>
      <w:r w:rsidRPr="00836096">
        <w:rPr>
          <w:rFonts w:cs="Times New Roman"/>
          <w:i/>
          <w:iCs/>
          <w:noProof/>
          <w:szCs w:val="24"/>
        </w:rPr>
        <w:t>American Journal of Audiology, 28</w:t>
      </w:r>
      <w:r w:rsidRPr="00836096">
        <w:rPr>
          <w:rFonts w:cs="Times New Roman"/>
          <w:noProof/>
          <w:szCs w:val="24"/>
        </w:rPr>
        <w:t>(4), 1059-1064.</w:t>
      </w:r>
      <w:r w:rsidRPr="00836096">
        <w:rPr>
          <w:rFonts w:eastAsia="Times New Roman" w:cs="Times New Roman"/>
          <w:szCs w:val="24"/>
          <w:lang w:eastAsia="en-GB"/>
        </w:rPr>
        <w:t xml:space="preserve"> </w:t>
      </w:r>
      <w:r w:rsidRPr="00836096">
        <w:rPr>
          <w:rFonts w:cs="Times New Roman"/>
          <w:szCs w:val="24"/>
        </w:rPr>
        <w:t>https://doi.org/10.1044/2019_AJA-19-0070</w:t>
      </w:r>
    </w:p>
    <w:p w14:paraId="23C14826"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Henry, J., Zaugg, T., Myers, P., &amp; Kendall, C. (2010). </w:t>
      </w:r>
      <w:r w:rsidRPr="00836096">
        <w:rPr>
          <w:rFonts w:cs="Times New Roman"/>
          <w:i/>
          <w:iCs/>
          <w:noProof/>
          <w:szCs w:val="24"/>
        </w:rPr>
        <w:t>Progressive tinnitus management: Clinical handbook for audiologists.</w:t>
      </w:r>
      <w:r w:rsidRPr="00836096">
        <w:rPr>
          <w:rFonts w:cs="Times New Roman"/>
          <w:noProof/>
          <w:szCs w:val="24"/>
        </w:rPr>
        <w:t xml:space="preserve"> Long Beach, CA: VA Employee Education System.</w:t>
      </w:r>
    </w:p>
    <w:p w14:paraId="48F9B285"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Herdman, M., Gudex, C., Lloyd, A., Janssen, M., Kind, P., Parkin, D., Bonsel, G., &amp; Badia, X. (2011). Development and preliminary testing of the new five-level version of EQ-5D (EQ-5D-5L). </w:t>
      </w:r>
      <w:r w:rsidRPr="00836096">
        <w:rPr>
          <w:rFonts w:cs="Times New Roman"/>
          <w:i/>
          <w:iCs/>
          <w:noProof/>
          <w:szCs w:val="24"/>
        </w:rPr>
        <w:t>Quality of Life REsearch, 22</w:t>
      </w:r>
      <w:r w:rsidRPr="00836096">
        <w:rPr>
          <w:rFonts w:cs="Times New Roman"/>
          <w:noProof/>
          <w:szCs w:val="24"/>
        </w:rPr>
        <w:t>(7), 1727-1736. http://doi:</w:t>
      </w:r>
      <w:r w:rsidRPr="00836096">
        <w:rPr>
          <w:rFonts w:cs="Times New Roman"/>
          <w:szCs w:val="24"/>
        </w:rPr>
        <w:t>10.1007/s11136-011-9903-x</w:t>
      </w:r>
    </w:p>
    <w:p w14:paraId="072ABCE0"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lastRenderedPageBreak/>
        <w:t xml:space="preserve">Jacobson, N. S., &amp; Truax, P. (1991). Clinical significance: A statistical approach to defining meaningful change in psychotherapy research. </w:t>
      </w:r>
      <w:r w:rsidRPr="00836096">
        <w:rPr>
          <w:rFonts w:cs="Times New Roman"/>
          <w:i/>
          <w:iCs/>
          <w:noProof/>
          <w:szCs w:val="24"/>
        </w:rPr>
        <w:t>Journal of Consulting and Clinical Psychology, 59</w:t>
      </w:r>
      <w:r w:rsidRPr="00836096">
        <w:rPr>
          <w:rFonts w:cs="Times New Roman"/>
          <w:noProof/>
          <w:szCs w:val="24"/>
        </w:rPr>
        <w:t>(1), 12-19.</w:t>
      </w:r>
      <w:r w:rsidRPr="00836096">
        <w:rPr>
          <w:rFonts w:eastAsia="Times New Roman" w:cs="Times New Roman"/>
          <w:szCs w:val="24"/>
          <w:shd w:val="clear" w:color="auto" w:fill="FFFFFF"/>
          <w:lang w:eastAsia="en-GB"/>
        </w:rPr>
        <w:t xml:space="preserve"> </w:t>
      </w:r>
      <w:r w:rsidRPr="00836096">
        <w:rPr>
          <w:rFonts w:cs="Times New Roman"/>
          <w:noProof/>
          <w:szCs w:val="24"/>
        </w:rPr>
        <w:t>http://doi:10.1037//0022-006x.59.1.12</w:t>
      </w:r>
    </w:p>
    <w:p w14:paraId="0D9C852A"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Jasper, J., Weise, C., Conrad, I., Andersson, G., Hiller, W., &amp; Kleinstäuber, M. (2014). Internet-based guided self-help versus group cognitive behavioral therapy for chronic tinnitus: A randomized controlled trial. </w:t>
      </w:r>
      <w:r w:rsidRPr="00836096">
        <w:rPr>
          <w:rFonts w:cs="Times New Roman"/>
          <w:i/>
          <w:iCs/>
          <w:noProof/>
          <w:szCs w:val="24"/>
        </w:rPr>
        <w:t>Psychotherapy and Psychosomatics</w:t>
      </w:r>
      <w:r w:rsidRPr="00836096">
        <w:rPr>
          <w:rFonts w:cs="Times New Roman"/>
          <w:noProof/>
          <w:szCs w:val="24"/>
        </w:rPr>
        <w:t>, 83(4), 234-246.</w:t>
      </w:r>
      <w:r w:rsidRPr="00836096">
        <w:rPr>
          <w:rFonts w:eastAsia="Times New Roman" w:cs="Times New Roman"/>
          <w:szCs w:val="24"/>
          <w:shd w:val="clear" w:color="auto" w:fill="FFFFFF"/>
          <w:lang w:eastAsia="en-GB"/>
        </w:rPr>
        <w:t xml:space="preserve"> </w:t>
      </w:r>
      <w:r w:rsidRPr="00836096">
        <w:rPr>
          <w:rFonts w:cs="Times New Roman"/>
          <w:noProof/>
          <w:szCs w:val="24"/>
        </w:rPr>
        <w:t>http://doi: 10.1159/000360705</w:t>
      </w:r>
    </w:p>
    <w:p w14:paraId="48AD610B"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Jastreboff, P. J., &amp; Jastreboff, M. M. (2000). Tinnitus Retraining Therapy (TRT) as a method for treatment of tinnitus and hyperacusis patients. </w:t>
      </w:r>
      <w:r w:rsidRPr="00836096">
        <w:rPr>
          <w:rFonts w:cs="Times New Roman"/>
          <w:i/>
          <w:iCs/>
          <w:noProof/>
          <w:szCs w:val="24"/>
        </w:rPr>
        <w:t>Journal of the American Academy of Audiology, 11</w:t>
      </w:r>
      <w:r w:rsidRPr="00836096">
        <w:rPr>
          <w:rFonts w:cs="Times New Roman"/>
          <w:noProof/>
          <w:szCs w:val="24"/>
        </w:rPr>
        <w:t>(3), 162-177.</w:t>
      </w:r>
    </w:p>
    <w:p w14:paraId="3E70B318" w14:textId="77777777" w:rsidR="00B84125" w:rsidRPr="00836096" w:rsidRDefault="00B84125" w:rsidP="00E745E8">
      <w:pPr>
        <w:spacing w:line="480" w:lineRule="auto"/>
        <w:rPr>
          <w:lang w:val="en-US"/>
        </w:rPr>
      </w:pPr>
      <w:r w:rsidRPr="00836096">
        <w:rPr>
          <w:lang w:val="en-US"/>
        </w:rPr>
        <w:t xml:space="preserve">Johnston, L., Titov, N., Andrews, G., Spence, J., &amp; Dear, B. F. (2011). A RCT of a </w:t>
      </w:r>
    </w:p>
    <w:p w14:paraId="0493803B" w14:textId="77777777" w:rsidR="00B84125" w:rsidRPr="00836096" w:rsidRDefault="00B84125" w:rsidP="00E745E8">
      <w:pPr>
        <w:spacing w:line="480" w:lineRule="auto"/>
        <w:ind w:left="720"/>
        <w:rPr>
          <w:lang w:val="en-US"/>
        </w:rPr>
      </w:pPr>
      <w:r w:rsidRPr="00836096">
        <w:rPr>
          <w:lang w:val="en-US"/>
        </w:rPr>
        <w:t xml:space="preserve">transdiagnostic internet-delivered treatment for three anxiety disorders: Examination of support roles and disorder-specific outcomes. </w:t>
      </w:r>
      <w:r w:rsidRPr="00836096">
        <w:rPr>
          <w:i/>
          <w:iCs/>
          <w:lang w:val="en-US"/>
        </w:rPr>
        <w:t>PLoS One, 6</w:t>
      </w:r>
      <w:r w:rsidRPr="00836096">
        <w:rPr>
          <w:lang w:val="en-US"/>
        </w:rPr>
        <w:t>(11), e28079. doi: 10.1371/journal.pone.0028079</w:t>
      </w:r>
    </w:p>
    <w:p w14:paraId="61EDF548" w14:textId="1115CD8B" w:rsidR="00B84125" w:rsidRPr="00836096" w:rsidRDefault="00B84125" w:rsidP="00E745E8">
      <w:pPr>
        <w:spacing w:line="480" w:lineRule="auto"/>
        <w:rPr>
          <w:shd w:val="clear" w:color="auto" w:fill="FFFFFF"/>
          <w:lang w:val="en-US"/>
        </w:rPr>
      </w:pPr>
      <w:r w:rsidRPr="00836096">
        <w:rPr>
          <w:shd w:val="clear" w:color="auto" w:fill="FFFFFF"/>
          <w:lang w:val="en-US"/>
        </w:rPr>
        <w:t>Kim, H. J., Lee, H. J., An, S. Y., Sim, S., Park, B., Kim, S. W., Lee, J. S., Hong, S. K., &amp; Choi, H. G. (2015). Analysis of the prevalence and associated risk factors of tinnitus in adults. </w:t>
      </w:r>
      <w:r w:rsidRPr="00836096">
        <w:rPr>
          <w:i/>
          <w:iCs/>
          <w:shd w:val="clear" w:color="auto" w:fill="FFFFFF"/>
          <w:lang w:val="en-US"/>
        </w:rPr>
        <w:t>PloS one</w:t>
      </w:r>
      <w:r w:rsidRPr="00836096">
        <w:rPr>
          <w:shd w:val="clear" w:color="auto" w:fill="FFFFFF"/>
          <w:lang w:val="en-US"/>
        </w:rPr>
        <w:t>, </w:t>
      </w:r>
      <w:r w:rsidRPr="00836096">
        <w:rPr>
          <w:i/>
          <w:iCs/>
          <w:shd w:val="clear" w:color="auto" w:fill="FFFFFF"/>
          <w:lang w:val="en-US"/>
        </w:rPr>
        <w:t>10</w:t>
      </w:r>
      <w:r w:rsidRPr="00836096">
        <w:rPr>
          <w:shd w:val="clear" w:color="auto" w:fill="FFFFFF"/>
          <w:lang w:val="en-US"/>
        </w:rPr>
        <w:t>(5), e0127578. https://doi.org/10.1371/journal.pone.012757</w:t>
      </w:r>
    </w:p>
    <w:p w14:paraId="495DCED4" w14:textId="77777777" w:rsidR="00B84125" w:rsidRPr="00836096" w:rsidRDefault="00B84125" w:rsidP="00E745E8">
      <w:pPr>
        <w:spacing w:line="480" w:lineRule="auto"/>
        <w:rPr>
          <w:shd w:val="clear" w:color="auto" w:fill="FFFFFF"/>
          <w:lang w:val="en-US"/>
        </w:rPr>
      </w:pPr>
      <w:r w:rsidRPr="00836096">
        <w:rPr>
          <w:shd w:val="clear" w:color="auto" w:fill="FFFFFF"/>
          <w:lang w:val="en-US"/>
        </w:rPr>
        <w:t xml:space="preserve">Kostev, K., Alymova, S., Kössl, M., &amp; Jacob, L. (2019). Risk Factors for Tinnitus in 37,692 </w:t>
      </w:r>
    </w:p>
    <w:p w14:paraId="2ED47A07" w14:textId="77777777" w:rsidR="00B84125" w:rsidRPr="00836096" w:rsidRDefault="00B84125" w:rsidP="00E745E8">
      <w:pPr>
        <w:spacing w:line="480" w:lineRule="auto"/>
        <w:ind w:left="720"/>
        <w:rPr>
          <w:lang w:val="en-US" w:eastAsia="en-US"/>
        </w:rPr>
      </w:pPr>
      <w:r w:rsidRPr="00836096">
        <w:rPr>
          <w:shd w:val="clear" w:color="auto" w:fill="FFFFFF"/>
          <w:lang w:val="en-US"/>
        </w:rPr>
        <w:t>Patients Followed in General Practices in Germany. </w:t>
      </w:r>
      <w:r w:rsidRPr="00836096">
        <w:rPr>
          <w:i/>
          <w:iCs/>
          <w:shd w:val="clear" w:color="auto" w:fill="FFFFFF"/>
          <w:lang w:val="en-US"/>
        </w:rPr>
        <w:t>Otology &amp; neurotology : official publication of the American Otological Society, American Neurotology Society [and] European Academy of Otology and Neurotology</w:t>
      </w:r>
      <w:r w:rsidRPr="00836096">
        <w:rPr>
          <w:shd w:val="clear" w:color="auto" w:fill="FFFFFF"/>
          <w:lang w:val="en-US"/>
        </w:rPr>
        <w:t>, </w:t>
      </w:r>
      <w:r w:rsidRPr="00836096">
        <w:rPr>
          <w:i/>
          <w:iCs/>
          <w:shd w:val="clear" w:color="auto" w:fill="FFFFFF"/>
          <w:lang w:val="en-US"/>
        </w:rPr>
        <w:t>40</w:t>
      </w:r>
      <w:r w:rsidRPr="00836096">
        <w:rPr>
          <w:shd w:val="clear" w:color="auto" w:fill="FFFFFF"/>
          <w:lang w:val="en-US"/>
        </w:rPr>
        <w:t>(4), 436–440. https://doi.org/10.1097/MAO.0000000000002161</w:t>
      </w:r>
    </w:p>
    <w:p w14:paraId="285A1E4F" w14:textId="77777777" w:rsidR="00B84125" w:rsidRPr="00836096" w:rsidRDefault="00B84125" w:rsidP="00E745E8">
      <w:pPr>
        <w:spacing w:line="480" w:lineRule="auto"/>
        <w:rPr>
          <w:shd w:val="clear" w:color="auto" w:fill="FFFFFF"/>
          <w:lang w:val="en-US"/>
        </w:rPr>
      </w:pPr>
      <w:r w:rsidRPr="00836096">
        <w:rPr>
          <w:shd w:val="clear" w:color="auto" w:fill="FFFFFF"/>
          <w:lang w:val="en-US"/>
        </w:rPr>
        <w:t xml:space="preserve">Landry, E. C., Sandoval, X. C. R., Simeone, C. N., Tidball, G., Lea, J., &amp; Westerberg, B. D. </w:t>
      </w:r>
    </w:p>
    <w:p w14:paraId="24498648" w14:textId="77777777" w:rsidR="00B84125" w:rsidRPr="00836096" w:rsidRDefault="00B84125" w:rsidP="00E745E8">
      <w:pPr>
        <w:spacing w:line="480" w:lineRule="auto"/>
        <w:ind w:firstLine="720"/>
        <w:rPr>
          <w:shd w:val="clear" w:color="auto" w:fill="FFFFFF"/>
          <w:lang w:val="en-US"/>
        </w:rPr>
      </w:pPr>
      <w:r w:rsidRPr="00836096">
        <w:rPr>
          <w:shd w:val="clear" w:color="auto" w:fill="FFFFFF"/>
          <w:lang w:val="en-US"/>
        </w:rPr>
        <w:t xml:space="preserve">(2020). Systematic review and network meta-analysis of cognitive and/or behavioral </w:t>
      </w:r>
    </w:p>
    <w:p w14:paraId="33B139DF" w14:textId="77777777" w:rsidR="00B84125" w:rsidRPr="00836096" w:rsidRDefault="00B84125" w:rsidP="00E745E8">
      <w:pPr>
        <w:spacing w:line="480" w:lineRule="auto"/>
        <w:ind w:left="720"/>
        <w:rPr>
          <w:lang w:val="en-US"/>
        </w:rPr>
      </w:pPr>
      <w:r w:rsidRPr="00836096">
        <w:rPr>
          <w:shd w:val="clear" w:color="auto" w:fill="FFFFFF"/>
          <w:lang w:val="en-US"/>
        </w:rPr>
        <w:lastRenderedPageBreak/>
        <w:t>therapies (CBT) for tinnitus. </w:t>
      </w:r>
      <w:r w:rsidRPr="00836096">
        <w:rPr>
          <w:i/>
          <w:iCs/>
          <w:shd w:val="clear" w:color="auto" w:fill="FFFFFF"/>
          <w:lang w:val="en-US"/>
        </w:rPr>
        <w:t>Otology &amp; Neurotology</w:t>
      </w:r>
      <w:r w:rsidRPr="00836096">
        <w:rPr>
          <w:shd w:val="clear" w:color="auto" w:fill="FFFFFF"/>
          <w:lang w:val="en-US"/>
        </w:rPr>
        <w:t>, </w:t>
      </w:r>
      <w:r w:rsidRPr="00836096">
        <w:rPr>
          <w:i/>
          <w:iCs/>
          <w:shd w:val="clear" w:color="auto" w:fill="FFFFFF"/>
          <w:lang w:val="en-US"/>
        </w:rPr>
        <w:t>41</w:t>
      </w:r>
      <w:r w:rsidRPr="00836096">
        <w:rPr>
          <w:shd w:val="clear" w:color="auto" w:fill="FFFFFF"/>
          <w:lang w:val="en-US"/>
        </w:rPr>
        <w:t>(2), 153-166. http://doi: 10.1097/MAO.0000000000002472</w:t>
      </w:r>
    </w:p>
    <w:p w14:paraId="4947004B"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Leon, A. C., Davis, L. L., &amp; Kraemer, H. C. (2012). The role and interpretation of pilot studies in clinical research. </w:t>
      </w:r>
      <w:r w:rsidRPr="00836096">
        <w:rPr>
          <w:rFonts w:cs="Times New Roman"/>
          <w:i/>
          <w:iCs/>
          <w:noProof/>
          <w:szCs w:val="24"/>
        </w:rPr>
        <w:t>Journal of Psychiatric Research, 45</w:t>
      </w:r>
      <w:r w:rsidRPr="00836096">
        <w:rPr>
          <w:rFonts w:cs="Times New Roman"/>
          <w:noProof/>
          <w:szCs w:val="24"/>
        </w:rPr>
        <w:t>(5), 626-629.</w:t>
      </w:r>
      <w:r w:rsidRPr="00836096">
        <w:rPr>
          <w:rFonts w:eastAsia="Times New Roman" w:cs="Times New Roman"/>
          <w:szCs w:val="24"/>
          <w:shd w:val="clear" w:color="auto" w:fill="FFFFFF"/>
          <w:lang w:eastAsia="en-GB"/>
        </w:rPr>
        <w:t xml:space="preserve"> </w:t>
      </w:r>
      <w:r w:rsidRPr="00836096">
        <w:rPr>
          <w:rFonts w:cs="Times New Roman"/>
          <w:noProof/>
          <w:szCs w:val="24"/>
        </w:rPr>
        <w:t>http://doi:10.1016/j.jpsychires.2010.10.008</w:t>
      </w:r>
    </w:p>
    <w:p w14:paraId="43E32C4A"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Levkoff, S., &amp; Sanchez, H. (2003). Lessons learned about minority recruitment and retention from the centers on minority aging and health promotion. </w:t>
      </w:r>
      <w:r w:rsidRPr="00836096">
        <w:rPr>
          <w:rFonts w:cs="Times New Roman"/>
          <w:i/>
          <w:iCs/>
          <w:noProof/>
          <w:szCs w:val="24"/>
        </w:rPr>
        <w:t>The Gerontologist, 43</w:t>
      </w:r>
      <w:r w:rsidRPr="00836096">
        <w:rPr>
          <w:rFonts w:cs="Times New Roman"/>
          <w:noProof/>
          <w:szCs w:val="24"/>
        </w:rPr>
        <w:t>(1), 18-26.</w:t>
      </w:r>
      <w:r w:rsidRPr="00836096">
        <w:rPr>
          <w:rFonts w:eastAsia="Times New Roman" w:cs="Times New Roman"/>
          <w:szCs w:val="24"/>
          <w:shd w:val="clear" w:color="auto" w:fill="FFFFFF"/>
          <w:lang w:eastAsia="en-GB"/>
        </w:rPr>
        <w:t xml:space="preserve"> </w:t>
      </w:r>
      <w:r w:rsidRPr="00836096">
        <w:rPr>
          <w:rFonts w:cs="Times New Roman"/>
          <w:noProof/>
          <w:szCs w:val="24"/>
        </w:rPr>
        <w:t>http://doi:10.1093/geront/43.1.18</w:t>
      </w:r>
    </w:p>
    <w:p w14:paraId="4824886A" w14:textId="77777777" w:rsidR="00B84125" w:rsidRPr="00836096" w:rsidRDefault="00B84125" w:rsidP="00E745E8">
      <w:pPr>
        <w:spacing w:line="480" w:lineRule="auto"/>
        <w:rPr>
          <w:shd w:val="clear" w:color="auto" w:fill="FFFFFF"/>
          <w:lang w:val="en-US"/>
        </w:rPr>
      </w:pPr>
      <w:r w:rsidRPr="00836096">
        <w:rPr>
          <w:shd w:val="clear" w:color="auto" w:fill="FFFFFF"/>
          <w:lang w:val="en-US"/>
        </w:rPr>
        <w:t>Mahan, V. L. (2014). Clinical trial phases. </w:t>
      </w:r>
      <w:r w:rsidRPr="00836096">
        <w:rPr>
          <w:i/>
          <w:iCs/>
          <w:shd w:val="clear" w:color="auto" w:fill="FFFFFF"/>
          <w:lang w:val="en-US"/>
        </w:rPr>
        <w:t>International Journal of Clinical Medicine</w:t>
      </w:r>
      <w:r w:rsidRPr="00836096">
        <w:rPr>
          <w:shd w:val="clear" w:color="auto" w:fill="FFFFFF"/>
          <w:lang w:val="en-US"/>
        </w:rPr>
        <w:t>, </w:t>
      </w:r>
      <w:r w:rsidRPr="00836096">
        <w:rPr>
          <w:i/>
          <w:iCs/>
          <w:shd w:val="clear" w:color="auto" w:fill="FFFFFF"/>
          <w:lang w:val="en-US"/>
        </w:rPr>
        <w:t>5</w:t>
      </w:r>
      <w:r w:rsidRPr="00836096">
        <w:rPr>
          <w:shd w:val="clear" w:color="auto" w:fill="FFFFFF"/>
          <w:lang w:val="en-US"/>
        </w:rPr>
        <w:t xml:space="preserve">(21), </w:t>
      </w:r>
    </w:p>
    <w:p w14:paraId="3C921716" w14:textId="77777777" w:rsidR="00B84125" w:rsidRPr="00836096" w:rsidRDefault="00B84125" w:rsidP="00E745E8">
      <w:pPr>
        <w:spacing w:line="480" w:lineRule="auto"/>
        <w:ind w:firstLine="720"/>
        <w:rPr>
          <w:lang w:val="en-US" w:eastAsia="en-US"/>
        </w:rPr>
      </w:pPr>
      <w:r w:rsidRPr="00836096">
        <w:rPr>
          <w:shd w:val="clear" w:color="auto" w:fill="FFFFFF"/>
          <w:lang w:val="en-US"/>
        </w:rPr>
        <w:t xml:space="preserve">1374. </w:t>
      </w:r>
      <w:r w:rsidRPr="00836096">
        <w:rPr>
          <w:noProof/>
          <w:lang w:val="en-US"/>
        </w:rPr>
        <w:t>http://</w:t>
      </w:r>
      <w:r w:rsidRPr="00836096">
        <w:rPr>
          <w:shd w:val="clear" w:color="auto" w:fill="FFFFFF"/>
          <w:lang w:val="en-US"/>
        </w:rPr>
        <w:t>doi:</w:t>
      </w:r>
      <w:r w:rsidRPr="00836096">
        <w:rPr>
          <w:lang w:val="en-US"/>
        </w:rPr>
        <w:t>10.4236/ijcm.2014.521175</w:t>
      </w:r>
    </w:p>
    <w:p w14:paraId="4B8C72E5"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Manchaiah, V., Beukes, E., Granberg, S., Durisala, N., Baguley, D., Allen, P., &amp; Andersson, G. (2018a). Problems and life effects experienced by tinnitus research study volunteers: An exploratory study using the ICF classification. </w:t>
      </w:r>
      <w:r w:rsidRPr="00836096">
        <w:rPr>
          <w:rFonts w:cs="Times New Roman"/>
          <w:i/>
          <w:iCs/>
          <w:noProof/>
          <w:szCs w:val="24"/>
        </w:rPr>
        <w:t>Journal of the American Academy of Audiology</w:t>
      </w:r>
      <w:r w:rsidRPr="00836096">
        <w:rPr>
          <w:rFonts w:cs="Times New Roman"/>
          <w:noProof/>
          <w:szCs w:val="24"/>
        </w:rPr>
        <w:t>, 29(10), 936-947. http://doi:10.3766/jaaa.17094</w:t>
      </w:r>
    </w:p>
    <w:p w14:paraId="0222B4F7"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Manchaiah, V., Vlaescu, G., Varadaraj, S., Aronson, E. P., Fagelson, M., Munoz, M. F., Andersson, G., &amp; Beukes, E. W. (2020a). Features, functionality, and acceptability of Internet-based cognitive behavioral therapy for tinnitus in the United States. </w:t>
      </w:r>
      <w:r w:rsidRPr="00836096">
        <w:rPr>
          <w:rFonts w:cs="Times New Roman"/>
          <w:i/>
          <w:iCs/>
          <w:noProof/>
          <w:szCs w:val="24"/>
        </w:rPr>
        <w:t>American Journal of Audiology</w:t>
      </w:r>
      <w:r w:rsidRPr="00836096">
        <w:rPr>
          <w:rFonts w:cs="Times New Roman"/>
          <w:noProof/>
          <w:szCs w:val="24"/>
        </w:rPr>
        <w:t>, 1-15.</w:t>
      </w:r>
    </w:p>
    <w:p w14:paraId="0885099A" w14:textId="39271FF2" w:rsidR="00B84125" w:rsidRPr="00836096" w:rsidRDefault="00B84125" w:rsidP="00E745E8">
      <w:pPr>
        <w:pStyle w:val="Bibliography"/>
        <w:ind w:left="720" w:hanging="720"/>
        <w:rPr>
          <w:rFonts w:cs="Times New Roman"/>
          <w:szCs w:val="24"/>
        </w:rPr>
      </w:pPr>
      <w:r w:rsidRPr="00836096">
        <w:rPr>
          <w:rFonts w:cs="Times New Roman"/>
          <w:noProof/>
          <w:szCs w:val="24"/>
        </w:rPr>
        <w:t xml:space="preserve">Manchaiah, V., Muñoz, M. F., Hatfield, E., Fagelson, M. A., Parks Aronson, E., Andersson, G., &amp; Beukes, E. (2020b). Translation and adaptation of three English tinnitus patient-reported outcome measures to Spanish. </w:t>
      </w:r>
      <w:r w:rsidRPr="00836096">
        <w:rPr>
          <w:rFonts w:cs="Times New Roman"/>
          <w:i/>
          <w:iCs/>
          <w:noProof/>
          <w:szCs w:val="24"/>
        </w:rPr>
        <w:t>International Journal of Audiology</w:t>
      </w:r>
      <w:r w:rsidRPr="00836096">
        <w:rPr>
          <w:rFonts w:cs="Times New Roman"/>
          <w:noProof/>
          <w:szCs w:val="24"/>
        </w:rPr>
        <w:t>, 59(7), 1-6.</w:t>
      </w:r>
      <w:r w:rsidRPr="00836096">
        <w:rPr>
          <w:rFonts w:eastAsia="Times New Roman" w:cs="Times New Roman"/>
          <w:szCs w:val="24"/>
          <w:shd w:val="clear" w:color="auto" w:fill="FFFFFF"/>
          <w:lang w:eastAsia="en-GB"/>
        </w:rPr>
        <w:t xml:space="preserve"> </w:t>
      </w:r>
      <w:r w:rsidRPr="00836096">
        <w:rPr>
          <w:rFonts w:cs="Times New Roman"/>
          <w:noProof/>
          <w:szCs w:val="24"/>
        </w:rPr>
        <w:t>http://doi:</w:t>
      </w:r>
      <w:r w:rsidRPr="00836096">
        <w:rPr>
          <w:rFonts w:cs="Times New Roman"/>
          <w:szCs w:val="24"/>
        </w:rPr>
        <w:t>10.1080/14992027.2020.1717006</w:t>
      </w:r>
    </w:p>
    <w:p w14:paraId="2B1A39A5" w14:textId="41747F25" w:rsidR="000A24A9" w:rsidRPr="00836096" w:rsidRDefault="00AF5FD9" w:rsidP="00062160">
      <w:pPr>
        <w:spacing w:line="480" w:lineRule="auto"/>
        <w:rPr>
          <w:shd w:val="clear" w:color="auto" w:fill="FFFFFF"/>
          <w:lang w:val="en-US"/>
        </w:rPr>
      </w:pPr>
      <w:r w:rsidRPr="00836096">
        <w:rPr>
          <w:shd w:val="clear" w:color="auto" w:fill="FFFFFF"/>
          <w:lang w:val="en-US"/>
        </w:rPr>
        <w:t>McCormack, A., Edmondson-Jones, M., Somerset, S., &amp; Hall, D. (2016). A systematic review of the reporting of tinnitus prevalence and severity. </w:t>
      </w:r>
      <w:r w:rsidRPr="00836096">
        <w:rPr>
          <w:i/>
          <w:iCs/>
          <w:shd w:val="clear" w:color="auto" w:fill="FFFFFF"/>
          <w:lang w:val="en-US"/>
        </w:rPr>
        <w:t>Hearing research</w:t>
      </w:r>
      <w:r w:rsidRPr="00836096">
        <w:rPr>
          <w:shd w:val="clear" w:color="auto" w:fill="FFFFFF"/>
          <w:lang w:val="en-US"/>
        </w:rPr>
        <w:t>, </w:t>
      </w:r>
      <w:r w:rsidRPr="00836096">
        <w:rPr>
          <w:i/>
          <w:iCs/>
          <w:shd w:val="clear" w:color="auto" w:fill="FFFFFF"/>
          <w:lang w:val="en-US"/>
        </w:rPr>
        <w:t>337</w:t>
      </w:r>
      <w:r w:rsidRPr="00836096">
        <w:rPr>
          <w:shd w:val="clear" w:color="auto" w:fill="FFFFFF"/>
          <w:lang w:val="en-US"/>
        </w:rPr>
        <w:t xml:space="preserve">, 70–79. </w:t>
      </w:r>
    </w:p>
    <w:p w14:paraId="2D015750" w14:textId="1DE84F70" w:rsidR="00AF5FD9" w:rsidRPr="00836096" w:rsidRDefault="00AF5FD9" w:rsidP="00062160">
      <w:pPr>
        <w:spacing w:line="480" w:lineRule="auto"/>
        <w:ind w:firstLine="720"/>
        <w:rPr>
          <w:lang w:val="en-US"/>
        </w:rPr>
      </w:pPr>
      <w:r w:rsidRPr="00836096">
        <w:rPr>
          <w:shd w:val="clear" w:color="auto" w:fill="FFFFFF"/>
          <w:lang w:val="en-US"/>
        </w:rPr>
        <w:t>https://doi.org/10.1016/j.heares.2016.05.009</w:t>
      </w:r>
    </w:p>
    <w:p w14:paraId="1E11FFBB" w14:textId="77777777" w:rsidR="00062160" w:rsidRPr="00836096" w:rsidRDefault="00B84125" w:rsidP="00E745E8">
      <w:pPr>
        <w:spacing w:line="480" w:lineRule="auto"/>
        <w:rPr>
          <w:lang w:val="en-US" w:eastAsia="en-US"/>
        </w:rPr>
      </w:pPr>
      <w:r w:rsidRPr="00836096">
        <w:rPr>
          <w:lang w:val="en-US"/>
        </w:rPr>
        <w:lastRenderedPageBreak/>
        <w:t>Meikle</w:t>
      </w:r>
      <w:r w:rsidRPr="00836096">
        <w:rPr>
          <w:lang w:val="en-US" w:eastAsia="en-US"/>
        </w:rPr>
        <w:t xml:space="preserve">, M. B., Henry, J. A., Griest, S. E., Stewart, B. J., Abrams, H. B., McArdle, R., Myers, </w:t>
      </w:r>
    </w:p>
    <w:p w14:paraId="76D2D610" w14:textId="77777777" w:rsidR="00062160" w:rsidRPr="00836096" w:rsidRDefault="00B84125" w:rsidP="00062160">
      <w:pPr>
        <w:spacing w:line="480" w:lineRule="auto"/>
        <w:ind w:firstLine="720"/>
        <w:rPr>
          <w:lang w:val="en-US" w:eastAsia="en-US"/>
        </w:rPr>
      </w:pPr>
      <w:r w:rsidRPr="00836096">
        <w:rPr>
          <w:lang w:val="en-US" w:eastAsia="en-US"/>
        </w:rPr>
        <w:t xml:space="preserve">P. </w:t>
      </w:r>
      <w:r w:rsidRPr="00836096">
        <w:rPr>
          <w:lang w:val="en-US" w:eastAsia="en-US"/>
        </w:rPr>
        <w:tab/>
        <w:t xml:space="preserve">J., Newman, C. W., Sandridge, S., Turk, D. C., Folmer, R. L., Frederick, E. J., </w:t>
      </w:r>
    </w:p>
    <w:p w14:paraId="6EE56DCF" w14:textId="77777777" w:rsidR="00062160" w:rsidRPr="00836096" w:rsidRDefault="00B84125" w:rsidP="00062160">
      <w:pPr>
        <w:spacing w:line="480" w:lineRule="auto"/>
        <w:ind w:firstLine="720"/>
        <w:rPr>
          <w:lang w:val="en-US" w:eastAsia="en-US"/>
        </w:rPr>
      </w:pPr>
      <w:r w:rsidRPr="00836096">
        <w:rPr>
          <w:lang w:val="en-US" w:eastAsia="en-US"/>
        </w:rPr>
        <w:t xml:space="preserve">House, J. </w:t>
      </w:r>
      <w:r w:rsidRPr="00836096">
        <w:rPr>
          <w:lang w:val="en-US" w:eastAsia="en-US"/>
        </w:rPr>
        <w:tab/>
        <w:t xml:space="preserve">W., Jacobson, G. P., Kinney, S. E., Martin, W. H., Nagler, S. M., Reich, G. E., </w:t>
      </w:r>
      <w:r w:rsidRPr="00836096">
        <w:rPr>
          <w:lang w:val="en-US" w:eastAsia="en-US"/>
        </w:rPr>
        <w:tab/>
        <w:t xml:space="preserve">Searchfield, G., . . . Vernon, J. A. (2012). The tinnitus functional index: </w:t>
      </w:r>
    </w:p>
    <w:p w14:paraId="66BE4C76" w14:textId="4136D064" w:rsidR="00B84125" w:rsidRPr="00836096" w:rsidRDefault="00B84125" w:rsidP="00062160">
      <w:pPr>
        <w:spacing w:line="480" w:lineRule="auto"/>
        <w:ind w:left="720"/>
        <w:rPr>
          <w:lang w:val="en-US" w:eastAsia="en-US"/>
        </w:rPr>
      </w:pPr>
      <w:r w:rsidRPr="00836096">
        <w:rPr>
          <w:lang w:val="en-US" w:eastAsia="en-US"/>
        </w:rPr>
        <w:t xml:space="preserve">development of a </w:t>
      </w:r>
      <w:r w:rsidRPr="00836096">
        <w:rPr>
          <w:lang w:val="en-US" w:eastAsia="en-US"/>
        </w:rPr>
        <w:tab/>
        <w:t xml:space="preserve">new clinical measure for chronic, intrusive tinnitus. </w:t>
      </w:r>
      <w:r w:rsidRPr="00836096">
        <w:rPr>
          <w:i/>
          <w:iCs/>
          <w:lang w:val="en-US" w:eastAsia="en-US"/>
        </w:rPr>
        <w:t>Ear and Hearing, 33</w:t>
      </w:r>
      <w:r w:rsidRPr="00836096">
        <w:rPr>
          <w:lang w:val="en-US" w:eastAsia="en-US"/>
        </w:rPr>
        <w:t>, 153-176</w:t>
      </w:r>
      <w:r w:rsidRPr="00836096">
        <w:rPr>
          <w:shd w:val="clear" w:color="auto" w:fill="FFFFFF"/>
          <w:lang w:val="en-US"/>
        </w:rPr>
        <w:t xml:space="preserve"> </w:t>
      </w:r>
      <w:r w:rsidRPr="00836096">
        <w:rPr>
          <w:shd w:val="clear" w:color="auto" w:fill="FFFFFF"/>
          <w:lang w:val="en-US"/>
        </w:rPr>
        <w:tab/>
      </w:r>
      <w:r w:rsidRPr="00836096">
        <w:rPr>
          <w:noProof/>
          <w:lang w:val="en-US"/>
        </w:rPr>
        <w:t>http://</w:t>
      </w:r>
      <w:r w:rsidRPr="00836096">
        <w:rPr>
          <w:lang w:val="en-US" w:eastAsia="en-US"/>
        </w:rPr>
        <w:t>doi:10.1097/AUD.0b013e31822f67c0</w:t>
      </w:r>
    </w:p>
    <w:p w14:paraId="6BDDC3B4"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Newman, C., Sandridge, S., &amp; Bolek, L. (2008). Development and psychometric adequacy of the screening version of the tinnitus handicap inventory. </w:t>
      </w:r>
      <w:r w:rsidRPr="00836096">
        <w:rPr>
          <w:rFonts w:cs="Times New Roman"/>
          <w:i/>
          <w:iCs/>
          <w:noProof/>
          <w:szCs w:val="24"/>
        </w:rPr>
        <w:t>Otology &amp; Neurotology, 29</w:t>
      </w:r>
      <w:r w:rsidRPr="00836096">
        <w:rPr>
          <w:rFonts w:cs="Times New Roman"/>
          <w:noProof/>
          <w:szCs w:val="24"/>
        </w:rPr>
        <w:t>(3), 276-281. http://doi:10.1097/MAO.0b013e31816569c4.</w:t>
      </w:r>
    </w:p>
    <w:p w14:paraId="3166A442"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Planey, A. M. (2019). Audiologist availability and supply in the United States: A multi-scale spatial and political economic analysis. </w:t>
      </w:r>
      <w:r w:rsidRPr="00836096">
        <w:rPr>
          <w:rFonts w:cs="Times New Roman"/>
          <w:i/>
          <w:iCs/>
          <w:noProof/>
          <w:szCs w:val="24"/>
        </w:rPr>
        <w:t>Social Science &amp; Medicine, 222</w:t>
      </w:r>
      <w:r w:rsidRPr="00836096">
        <w:rPr>
          <w:rFonts w:cs="Times New Roman"/>
          <w:noProof/>
          <w:szCs w:val="24"/>
        </w:rPr>
        <w:t>(2), 216-224. http://doi:10.1016/j.socscimed.2019.01.015</w:t>
      </w:r>
    </w:p>
    <w:p w14:paraId="49B8406F"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Pretto, A., &amp; Harrison, M. (2011). Family-centred approaches.</w:t>
      </w:r>
      <w:r w:rsidRPr="00836096">
        <w:rPr>
          <w:rFonts w:cs="Times New Roman"/>
          <w:i/>
          <w:iCs/>
          <w:noProof/>
          <w:szCs w:val="24"/>
        </w:rPr>
        <w:t xml:space="preserve"> </w:t>
      </w:r>
      <w:r w:rsidRPr="00836096">
        <w:rPr>
          <w:rFonts w:cs="Times New Roman"/>
          <w:noProof/>
          <w:szCs w:val="24"/>
        </w:rPr>
        <w:t xml:space="preserve">In R.Seewald &amp; A.M Tharpe (Eds). </w:t>
      </w:r>
      <w:r w:rsidRPr="00836096">
        <w:rPr>
          <w:rFonts w:cs="Times New Roman"/>
          <w:i/>
          <w:iCs/>
          <w:noProof/>
          <w:szCs w:val="24"/>
        </w:rPr>
        <w:t xml:space="preserve">Comprehensive hand-book of pediatric audiology. </w:t>
      </w:r>
      <w:r w:rsidRPr="00836096">
        <w:rPr>
          <w:rFonts w:cs="Times New Roman"/>
          <w:noProof/>
          <w:szCs w:val="24"/>
        </w:rPr>
        <w:t>(pp. 753-765). San Diego, CA: Plural Publishing.</w:t>
      </w:r>
    </w:p>
    <w:p w14:paraId="41B4675A" w14:textId="77777777" w:rsidR="000A24A9" w:rsidRPr="00836096" w:rsidRDefault="00B84125" w:rsidP="00E745E8">
      <w:pPr>
        <w:spacing w:line="480" w:lineRule="auto"/>
        <w:rPr>
          <w:lang w:val="en-US"/>
        </w:rPr>
      </w:pPr>
      <w:r w:rsidRPr="00836096">
        <w:rPr>
          <w:lang w:val="en-US"/>
        </w:rPr>
        <w:t xml:space="preserve">Robinson, E., Titov, N., Andrews, G., McIntyre, K., Schwencke, G., &amp; Solley, K. (2010). </w:t>
      </w:r>
    </w:p>
    <w:p w14:paraId="09768D34" w14:textId="28222A10" w:rsidR="00B84125" w:rsidRPr="00836096" w:rsidRDefault="00B84125" w:rsidP="00E745E8">
      <w:pPr>
        <w:spacing w:line="480" w:lineRule="auto"/>
        <w:ind w:left="720"/>
        <w:rPr>
          <w:lang w:val="en-US"/>
        </w:rPr>
      </w:pPr>
      <w:r w:rsidRPr="00836096">
        <w:rPr>
          <w:lang w:val="en-US"/>
        </w:rPr>
        <w:t xml:space="preserve">Internet treatment for generalized anxiety disorder: A randomized controlled trial comparing clinician vs. technician assistance. </w:t>
      </w:r>
      <w:r w:rsidRPr="00836096">
        <w:rPr>
          <w:i/>
          <w:iCs/>
          <w:lang w:val="en-US"/>
        </w:rPr>
        <w:t>PloS One, 5</w:t>
      </w:r>
      <w:r w:rsidRPr="00836096">
        <w:rPr>
          <w:lang w:val="en-US"/>
        </w:rPr>
        <w:t>(6), e10942.</w:t>
      </w:r>
    </w:p>
    <w:p w14:paraId="659ECAB7" w14:textId="77777777" w:rsidR="00062160" w:rsidRPr="00836096" w:rsidRDefault="00B84125" w:rsidP="00E745E8">
      <w:pPr>
        <w:spacing w:line="480" w:lineRule="auto"/>
        <w:rPr>
          <w:shd w:val="clear" w:color="auto" w:fill="FFFFFF"/>
          <w:lang w:val="en-US"/>
        </w:rPr>
      </w:pPr>
      <w:r w:rsidRPr="00836096">
        <w:rPr>
          <w:shd w:val="clear" w:color="auto" w:fill="FFFFFF"/>
          <w:lang w:val="en-US"/>
        </w:rPr>
        <w:t>Schmidt</w:t>
      </w:r>
      <w:r w:rsidR="00AF5FD9" w:rsidRPr="00836096">
        <w:rPr>
          <w:shd w:val="clear" w:color="auto" w:fill="FFFFFF"/>
          <w:lang w:val="en-US"/>
        </w:rPr>
        <w:t>,</w:t>
      </w:r>
      <w:r w:rsidRPr="00836096">
        <w:rPr>
          <w:shd w:val="clear" w:color="auto" w:fill="FFFFFF"/>
          <w:lang w:val="en-US"/>
        </w:rPr>
        <w:t xml:space="preserve"> C</w:t>
      </w:r>
      <w:r w:rsidR="00AF5FD9" w:rsidRPr="00836096">
        <w:rPr>
          <w:shd w:val="clear" w:color="auto" w:fill="FFFFFF"/>
          <w:lang w:val="en-US"/>
        </w:rPr>
        <w:t>.</w:t>
      </w:r>
      <w:r w:rsidRPr="00836096">
        <w:rPr>
          <w:shd w:val="clear" w:color="auto" w:fill="FFFFFF"/>
          <w:lang w:val="en-US"/>
        </w:rPr>
        <w:t>J</w:t>
      </w:r>
      <w:r w:rsidR="00AF5FD9" w:rsidRPr="00836096">
        <w:rPr>
          <w:shd w:val="clear" w:color="auto" w:fill="FFFFFF"/>
          <w:lang w:val="en-US"/>
        </w:rPr>
        <w:t>.</w:t>
      </w:r>
      <w:r w:rsidRPr="00836096">
        <w:rPr>
          <w:shd w:val="clear" w:color="auto" w:fill="FFFFFF"/>
          <w:lang w:val="en-US"/>
        </w:rPr>
        <w:t>, Kerns</w:t>
      </w:r>
      <w:r w:rsidR="00AF5FD9" w:rsidRPr="00836096">
        <w:rPr>
          <w:shd w:val="clear" w:color="auto" w:fill="FFFFFF"/>
          <w:lang w:val="en-US"/>
        </w:rPr>
        <w:t>,</w:t>
      </w:r>
      <w:r w:rsidRPr="00836096">
        <w:rPr>
          <w:shd w:val="clear" w:color="auto" w:fill="FFFFFF"/>
          <w:lang w:val="en-US"/>
        </w:rPr>
        <w:t xml:space="preserve"> R</w:t>
      </w:r>
      <w:r w:rsidR="00AF5FD9" w:rsidRPr="00836096">
        <w:rPr>
          <w:shd w:val="clear" w:color="auto" w:fill="FFFFFF"/>
          <w:lang w:val="en-US"/>
        </w:rPr>
        <w:t>.</w:t>
      </w:r>
      <w:r w:rsidRPr="00836096">
        <w:rPr>
          <w:shd w:val="clear" w:color="auto" w:fill="FFFFFF"/>
          <w:lang w:val="en-US"/>
        </w:rPr>
        <w:t>D</w:t>
      </w:r>
      <w:r w:rsidR="00AF5FD9" w:rsidRPr="00836096">
        <w:rPr>
          <w:shd w:val="clear" w:color="auto" w:fill="FFFFFF"/>
          <w:lang w:val="en-US"/>
        </w:rPr>
        <w:t>.</w:t>
      </w:r>
      <w:r w:rsidRPr="00836096">
        <w:rPr>
          <w:shd w:val="clear" w:color="auto" w:fill="FFFFFF"/>
          <w:lang w:val="en-US"/>
        </w:rPr>
        <w:t>, Finkel</w:t>
      </w:r>
      <w:r w:rsidR="00AF5FD9" w:rsidRPr="00836096">
        <w:rPr>
          <w:shd w:val="clear" w:color="auto" w:fill="FFFFFF"/>
          <w:lang w:val="en-US"/>
        </w:rPr>
        <w:t>,</w:t>
      </w:r>
      <w:r w:rsidRPr="00836096">
        <w:rPr>
          <w:shd w:val="clear" w:color="auto" w:fill="FFFFFF"/>
          <w:lang w:val="en-US"/>
        </w:rPr>
        <w:t xml:space="preserve"> S</w:t>
      </w:r>
      <w:r w:rsidR="00AF5FD9" w:rsidRPr="00836096">
        <w:rPr>
          <w:shd w:val="clear" w:color="auto" w:fill="FFFFFF"/>
          <w:lang w:val="en-US"/>
        </w:rPr>
        <w:t>.</w:t>
      </w:r>
      <w:r w:rsidRPr="00836096">
        <w:rPr>
          <w:shd w:val="clear" w:color="auto" w:fill="FFFFFF"/>
          <w:lang w:val="en-US"/>
        </w:rPr>
        <w:t>, Michaelides</w:t>
      </w:r>
      <w:r w:rsidR="00AF5FD9" w:rsidRPr="00836096">
        <w:rPr>
          <w:shd w:val="clear" w:color="auto" w:fill="FFFFFF"/>
          <w:lang w:val="en-US"/>
        </w:rPr>
        <w:t>,</w:t>
      </w:r>
      <w:r w:rsidRPr="00836096">
        <w:rPr>
          <w:shd w:val="clear" w:color="auto" w:fill="FFFFFF"/>
          <w:lang w:val="en-US"/>
        </w:rPr>
        <w:t xml:space="preserve"> E</w:t>
      </w:r>
      <w:r w:rsidR="00AF5FD9" w:rsidRPr="00836096">
        <w:rPr>
          <w:shd w:val="clear" w:color="auto" w:fill="FFFFFF"/>
          <w:lang w:val="en-US"/>
        </w:rPr>
        <w:t>.</w:t>
      </w:r>
      <w:r w:rsidRPr="00836096">
        <w:rPr>
          <w:shd w:val="clear" w:color="auto" w:fill="FFFFFF"/>
          <w:lang w:val="en-US"/>
        </w:rPr>
        <w:t>, Henry</w:t>
      </w:r>
      <w:r w:rsidR="00AF5FD9" w:rsidRPr="00836096">
        <w:rPr>
          <w:shd w:val="clear" w:color="auto" w:fill="FFFFFF"/>
          <w:lang w:val="en-US"/>
        </w:rPr>
        <w:t>,</w:t>
      </w:r>
      <w:r w:rsidRPr="00836096">
        <w:rPr>
          <w:shd w:val="clear" w:color="auto" w:fill="FFFFFF"/>
          <w:lang w:val="en-US"/>
        </w:rPr>
        <w:t xml:space="preserve"> J</w:t>
      </w:r>
      <w:r w:rsidR="00AF5FD9" w:rsidRPr="00836096">
        <w:rPr>
          <w:shd w:val="clear" w:color="auto" w:fill="FFFFFF"/>
          <w:lang w:val="en-US"/>
        </w:rPr>
        <w:t>.</w:t>
      </w:r>
      <w:r w:rsidRPr="00836096">
        <w:rPr>
          <w:shd w:val="clear" w:color="auto" w:fill="FFFFFF"/>
          <w:lang w:val="en-US"/>
        </w:rPr>
        <w:t>A.</w:t>
      </w:r>
      <w:r w:rsidR="00AF5FD9" w:rsidRPr="00836096">
        <w:rPr>
          <w:shd w:val="clear" w:color="auto" w:fill="FFFFFF"/>
          <w:lang w:val="en-US"/>
        </w:rPr>
        <w:t xml:space="preserve"> (2018).</w:t>
      </w:r>
      <w:r w:rsidRPr="00836096">
        <w:rPr>
          <w:shd w:val="clear" w:color="auto" w:fill="FFFFFF"/>
          <w:lang w:val="en-US"/>
        </w:rPr>
        <w:t xml:space="preserve"> Cognitive </w:t>
      </w:r>
    </w:p>
    <w:p w14:paraId="04C0C663" w14:textId="77777777" w:rsidR="00062160" w:rsidRPr="00836096" w:rsidRDefault="00B84125" w:rsidP="00062160">
      <w:pPr>
        <w:spacing w:line="480" w:lineRule="auto"/>
        <w:ind w:firstLine="720"/>
        <w:rPr>
          <w:shd w:val="clear" w:color="auto" w:fill="FFFFFF"/>
          <w:lang w:val="en-US"/>
        </w:rPr>
      </w:pPr>
      <w:r w:rsidRPr="00836096">
        <w:rPr>
          <w:shd w:val="clear" w:color="auto" w:fill="FFFFFF"/>
          <w:lang w:val="en-US"/>
        </w:rPr>
        <w:t xml:space="preserve">Behavioral Therapy for Veterans With Tinnitus. </w:t>
      </w:r>
      <w:r w:rsidRPr="00836096">
        <w:rPr>
          <w:i/>
          <w:iCs/>
          <w:shd w:val="clear" w:color="auto" w:fill="FFFFFF"/>
          <w:lang w:val="en-US"/>
        </w:rPr>
        <w:t>Fed Pract</w:t>
      </w:r>
      <w:r w:rsidR="00AF5FD9" w:rsidRPr="00836096">
        <w:rPr>
          <w:shd w:val="clear" w:color="auto" w:fill="FFFFFF"/>
          <w:lang w:val="en-US"/>
        </w:rPr>
        <w:t xml:space="preserve">, </w:t>
      </w:r>
      <w:r w:rsidRPr="00836096">
        <w:rPr>
          <w:shd w:val="clear" w:color="auto" w:fill="FFFFFF"/>
          <w:lang w:val="en-US"/>
        </w:rPr>
        <w:t xml:space="preserve">35(8):36-46. PMID: </w:t>
      </w:r>
    </w:p>
    <w:p w14:paraId="2413B1D3" w14:textId="5E97E889" w:rsidR="00B84125" w:rsidRPr="00836096" w:rsidRDefault="00B84125" w:rsidP="00062160">
      <w:pPr>
        <w:spacing w:line="480" w:lineRule="auto"/>
        <w:ind w:left="720"/>
        <w:rPr>
          <w:shd w:val="clear" w:color="auto" w:fill="FFFFFF"/>
          <w:lang w:val="en-US"/>
        </w:rPr>
      </w:pPr>
      <w:r w:rsidRPr="00836096">
        <w:rPr>
          <w:shd w:val="clear" w:color="auto" w:fill="FFFFFF"/>
          <w:lang w:val="en-US"/>
        </w:rPr>
        <w:t>30766380; PMCID: PMC6263445.</w:t>
      </w:r>
    </w:p>
    <w:p w14:paraId="7634DE36"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Sha, M., McAvinchey, G., Quiroz, R., &amp; Moncada, J. (2017). Successful techniques to recruit Hispanic and Latino research participants. </w:t>
      </w:r>
      <w:r w:rsidRPr="00836096">
        <w:rPr>
          <w:rFonts w:cs="Times New Roman"/>
          <w:i/>
          <w:iCs/>
          <w:noProof/>
          <w:szCs w:val="24"/>
        </w:rPr>
        <w:t>Survey Practice, 10</w:t>
      </w:r>
      <w:r w:rsidRPr="00836096">
        <w:rPr>
          <w:rFonts w:cs="Times New Roman"/>
          <w:noProof/>
          <w:szCs w:val="24"/>
        </w:rPr>
        <w:t>(3), 2778.</w:t>
      </w:r>
      <w:r w:rsidRPr="00836096">
        <w:rPr>
          <w:rFonts w:eastAsia="Times New Roman" w:cs="Times New Roman"/>
          <w:szCs w:val="24"/>
          <w:lang w:eastAsia="en-GB"/>
        </w:rPr>
        <w:t xml:space="preserve"> </w:t>
      </w:r>
      <w:r w:rsidRPr="00836096">
        <w:rPr>
          <w:rFonts w:cs="Times New Roman"/>
          <w:szCs w:val="24"/>
        </w:rPr>
        <w:t>https://doi.org/10.29115/SP-2017-0014</w:t>
      </w:r>
    </w:p>
    <w:p w14:paraId="12EC601F" w14:textId="77777777" w:rsidR="00B84125" w:rsidRPr="00836096" w:rsidRDefault="00B84125" w:rsidP="00E745E8">
      <w:pPr>
        <w:pStyle w:val="Bibliography"/>
        <w:rPr>
          <w:rFonts w:cs="Times New Roman"/>
          <w:noProof/>
          <w:szCs w:val="24"/>
        </w:rPr>
      </w:pPr>
      <w:r w:rsidRPr="00836096">
        <w:rPr>
          <w:rFonts w:cs="Times New Roman"/>
          <w:noProof/>
          <w:szCs w:val="24"/>
        </w:rPr>
        <w:lastRenderedPageBreak/>
        <w:t xml:space="preserve">Spitzer, R. L., Kroenke, K., &amp; Williams, J. B. (1999). Validation and utility of a self-report </w:t>
      </w:r>
      <w:r w:rsidRPr="00836096">
        <w:rPr>
          <w:rFonts w:cs="Times New Roman"/>
          <w:noProof/>
          <w:szCs w:val="24"/>
        </w:rPr>
        <w:tab/>
        <w:t xml:space="preserve">version of PRIME-MD: the PHQ primary care study. </w:t>
      </w:r>
      <w:r w:rsidRPr="00836096">
        <w:rPr>
          <w:rFonts w:cs="Times New Roman"/>
          <w:i/>
          <w:iCs/>
          <w:noProof/>
          <w:szCs w:val="24"/>
        </w:rPr>
        <w:t>JAMA, 282</w:t>
      </w:r>
      <w:r w:rsidRPr="00836096">
        <w:rPr>
          <w:rFonts w:cs="Times New Roman"/>
          <w:noProof/>
          <w:szCs w:val="24"/>
        </w:rPr>
        <w:t xml:space="preserve">(18), 1737-1744. </w:t>
      </w:r>
      <w:r w:rsidRPr="00836096">
        <w:rPr>
          <w:rFonts w:cs="Times New Roman"/>
          <w:noProof/>
          <w:szCs w:val="24"/>
        </w:rPr>
        <w:tab/>
        <w:t>http://doi:10.1001/jama.282.18.1737</w:t>
      </w:r>
    </w:p>
    <w:p w14:paraId="11303033"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Spitzer, R. L., Kroenke, K., Williams, J. B. W., &amp; Löwe, B. (2006). A brief measure for assessing generalized anxiety disorder: The GAD-7. </w:t>
      </w:r>
      <w:r w:rsidRPr="00836096">
        <w:rPr>
          <w:rFonts w:cs="Times New Roman"/>
          <w:i/>
          <w:iCs/>
          <w:noProof/>
          <w:szCs w:val="24"/>
        </w:rPr>
        <w:t>Archives of Internal Medicine, 166</w:t>
      </w:r>
      <w:r w:rsidRPr="00836096">
        <w:rPr>
          <w:rFonts w:cs="Times New Roman"/>
          <w:noProof/>
          <w:szCs w:val="24"/>
        </w:rPr>
        <w:t>(10), 1092-1097.</w:t>
      </w:r>
      <w:r w:rsidRPr="00836096">
        <w:rPr>
          <w:rFonts w:eastAsia="Times New Roman" w:cs="Times New Roman"/>
          <w:szCs w:val="24"/>
          <w:shd w:val="clear" w:color="auto" w:fill="FFFFFF"/>
          <w:lang w:eastAsia="en-GB"/>
        </w:rPr>
        <w:t xml:space="preserve"> </w:t>
      </w:r>
      <w:r w:rsidRPr="00836096">
        <w:rPr>
          <w:rFonts w:cs="Times New Roman"/>
          <w:noProof/>
          <w:szCs w:val="24"/>
        </w:rPr>
        <w:t>http://doi: 10.1001/archinte.166.10.1092.</w:t>
      </w:r>
    </w:p>
    <w:p w14:paraId="00B5CB14"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Staniszewska, S., Brett, J., Simera, I., Seers, K., Mockford, C., Goodlad, S., . . . Entwistle, A. (2019). GRIPP2 reporting checklists: Tools to improve reporting of patient and public involvement in research. </w:t>
      </w:r>
      <w:r w:rsidRPr="00836096">
        <w:rPr>
          <w:rFonts w:cs="Times New Roman"/>
          <w:i/>
          <w:iCs/>
          <w:noProof/>
          <w:szCs w:val="24"/>
        </w:rPr>
        <w:t>Research involvement and engagement., 3</w:t>
      </w:r>
      <w:r w:rsidRPr="00836096">
        <w:rPr>
          <w:rFonts w:cs="Times New Roman"/>
          <w:noProof/>
          <w:szCs w:val="24"/>
        </w:rPr>
        <w:t xml:space="preserve">(1), 13. https://pubmed.ncbi.nlm.nih.gov/28768629/  </w:t>
      </w:r>
    </w:p>
    <w:p w14:paraId="263A4CAF" w14:textId="77777777" w:rsidR="00062160" w:rsidRPr="00836096" w:rsidRDefault="00B84125" w:rsidP="00062160">
      <w:pPr>
        <w:autoSpaceDE w:val="0"/>
        <w:autoSpaceDN w:val="0"/>
        <w:adjustRightInd w:val="0"/>
        <w:spacing w:line="480" w:lineRule="auto"/>
        <w:rPr>
          <w:rFonts w:eastAsiaTheme="minorHAnsi"/>
          <w:lang w:val="en-US" w:eastAsia="en-US"/>
        </w:rPr>
      </w:pPr>
      <w:r w:rsidRPr="00836096">
        <w:rPr>
          <w:rFonts w:eastAsiaTheme="minorHAnsi"/>
          <w:lang w:val="en-US" w:eastAsia="en-US"/>
        </w:rPr>
        <w:t xml:space="preserve">Titov, N., Andrews, G., Davies, M., McIntyre, K., Robinson, E., &amp; Solley, K. (2010). </w:t>
      </w:r>
    </w:p>
    <w:p w14:paraId="54CDF9CD" w14:textId="77777777" w:rsidR="00062160" w:rsidRPr="00836096" w:rsidRDefault="00B84125" w:rsidP="00062160">
      <w:pPr>
        <w:autoSpaceDE w:val="0"/>
        <w:autoSpaceDN w:val="0"/>
        <w:adjustRightInd w:val="0"/>
        <w:spacing w:line="480" w:lineRule="auto"/>
        <w:ind w:firstLine="720"/>
        <w:rPr>
          <w:rFonts w:eastAsiaTheme="minorHAnsi"/>
          <w:lang w:val="en-US" w:eastAsia="en-US"/>
        </w:rPr>
      </w:pPr>
      <w:r w:rsidRPr="00836096">
        <w:rPr>
          <w:rFonts w:eastAsiaTheme="minorHAnsi"/>
          <w:lang w:val="en-US" w:eastAsia="en-US"/>
        </w:rPr>
        <w:t xml:space="preserve">Internet treatment for depression: A randomized controlled trial comparing clinician </w:t>
      </w:r>
    </w:p>
    <w:p w14:paraId="003D482E" w14:textId="0DCA0338" w:rsidR="00B84125" w:rsidRPr="00836096" w:rsidRDefault="00B84125" w:rsidP="00062160">
      <w:pPr>
        <w:autoSpaceDE w:val="0"/>
        <w:autoSpaceDN w:val="0"/>
        <w:adjustRightInd w:val="0"/>
        <w:spacing w:line="480" w:lineRule="auto"/>
        <w:ind w:firstLine="720"/>
        <w:rPr>
          <w:rFonts w:eastAsiaTheme="minorHAnsi"/>
          <w:lang w:val="en-US" w:eastAsia="en-US"/>
        </w:rPr>
      </w:pPr>
      <w:r w:rsidRPr="00836096">
        <w:rPr>
          <w:rFonts w:eastAsiaTheme="minorHAnsi"/>
          <w:lang w:val="en-US" w:eastAsia="en-US"/>
        </w:rPr>
        <w:t xml:space="preserve">vs. technician assistance. </w:t>
      </w:r>
      <w:r w:rsidRPr="00836096">
        <w:rPr>
          <w:rFonts w:eastAsiaTheme="minorHAnsi"/>
          <w:i/>
          <w:iCs/>
          <w:lang w:val="en-US" w:eastAsia="en-US"/>
        </w:rPr>
        <w:t>PloS One, 5</w:t>
      </w:r>
      <w:r w:rsidRPr="00836096">
        <w:rPr>
          <w:rFonts w:eastAsiaTheme="minorHAnsi"/>
          <w:lang w:val="en-US" w:eastAsia="en-US"/>
        </w:rPr>
        <w:t xml:space="preserve">(6), e10939. </w:t>
      </w:r>
    </w:p>
    <w:p w14:paraId="0575BB4D" w14:textId="617BBA0F" w:rsidR="000A24A9" w:rsidRPr="00836096" w:rsidRDefault="00B84125" w:rsidP="00E745E8">
      <w:pPr>
        <w:spacing w:line="480" w:lineRule="auto"/>
        <w:rPr>
          <w:rFonts w:eastAsiaTheme="minorHAnsi"/>
          <w:lang w:val="en-US" w:eastAsia="en-US"/>
        </w:rPr>
      </w:pPr>
      <w:r w:rsidRPr="00836096">
        <w:rPr>
          <w:rFonts w:eastAsiaTheme="minorHAnsi"/>
          <w:lang w:val="en-US" w:eastAsia="en-US"/>
        </w:rPr>
        <w:t xml:space="preserve">Titov, N., Andrews, G., Schwencke, G., Solley, K., Johnston, L., &amp; Robinson, E. (2009). An </w:t>
      </w:r>
    </w:p>
    <w:p w14:paraId="4A06CF66" w14:textId="19BD125A" w:rsidR="00B84125" w:rsidRPr="00836096" w:rsidRDefault="00B84125" w:rsidP="00E745E8">
      <w:pPr>
        <w:spacing w:line="480" w:lineRule="auto"/>
        <w:ind w:left="720"/>
        <w:rPr>
          <w:lang w:val="en-US"/>
        </w:rPr>
      </w:pPr>
      <w:r w:rsidRPr="00836096">
        <w:rPr>
          <w:rFonts w:eastAsiaTheme="minorHAnsi"/>
          <w:lang w:val="en-US" w:eastAsia="en-US"/>
        </w:rPr>
        <w:t xml:space="preserve">RCT comparing effect of two types of support on severity of symptoms for people completing internet-based cognitive behaviour therapy for social phobia. </w:t>
      </w:r>
      <w:r w:rsidRPr="00836096">
        <w:rPr>
          <w:rFonts w:eastAsiaTheme="minorHAnsi"/>
          <w:i/>
          <w:iCs/>
          <w:lang w:val="en-US" w:eastAsia="en-US"/>
        </w:rPr>
        <w:t>Australian and New Zealand Journal of Psychiatry, 43</w:t>
      </w:r>
      <w:r w:rsidRPr="00836096">
        <w:rPr>
          <w:rFonts w:eastAsiaTheme="minorHAnsi"/>
          <w:lang w:val="en-US" w:eastAsia="en-US"/>
        </w:rPr>
        <w:t>(10), 920-926.</w:t>
      </w:r>
    </w:p>
    <w:p w14:paraId="024F48DD"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Tunkel, D., Bauer, C., Sun, G., Rosenfeld, R., Chandrasekhar, S., Cunningham Jr, E., Archer, S. A., Blakley, B. W., Carter, J. M., Granieri, E. C., Henry, J. A., Hollingsworth, D., Khan, F. A., Mitchell, S., Monfared, A., Newman, C. W., Omole, F. S., Phillips, C. D., Robinson, S. K., . . . Whamond, E. J. (2014). Clinical practice guideline: Tinnitus. </w:t>
      </w:r>
      <w:r w:rsidRPr="00836096">
        <w:rPr>
          <w:rFonts w:cs="Times New Roman"/>
          <w:i/>
          <w:iCs/>
          <w:noProof/>
          <w:szCs w:val="24"/>
        </w:rPr>
        <w:t>Otolaryngology–Head and Neck Surgery, 151</w:t>
      </w:r>
      <w:r w:rsidRPr="00836096">
        <w:rPr>
          <w:rFonts w:cs="Times New Roman"/>
          <w:noProof/>
          <w:szCs w:val="24"/>
        </w:rPr>
        <w:t>(2_Suppl), S1-S40. http://doi:10.1177/0194599814545325</w:t>
      </w:r>
    </w:p>
    <w:p w14:paraId="36AAE8C1"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lastRenderedPageBreak/>
        <w:t xml:space="preserve">Tyler, R., Perreau, A., Powers, T., Watts, A., Owen, R., Ji, H., &amp; Mancini, P. (2020). Tinnitus sound therapy trial shows effectiveness for those with tinnitus. </w:t>
      </w:r>
      <w:r w:rsidRPr="00836096">
        <w:rPr>
          <w:rFonts w:cs="Times New Roman"/>
          <w:i/>
          <w:iCs/>
          <w:noProof/>
          <w:szCs w:val="24"/>
        </w:rPr>
        <w:t>Journal of the American Academy of Audiology, 31</w:t>
      </w:r>
      <w:r w:rsidRPr="00836096">
        <w:rPr>
          <w:rFonts w:cs="Times New Roman"/>
          <w:noProof/>
          <w:szCs w:val="24"/>
        </w:rPr>
        <w:t>(1), 6-16.</w:t>
      </w:r>
    </w:p>
    <w:p w14:paraId="67AE7B23" w14:textId="77777777" w:rsidR="00062160" w:rsidRPr="00836096" w:rsidRDefault="00B84125" w:rsidP="00E745E8">
      <w:pPr>
        <w:pStyle w:val="Bibliography"/>
        <w:rPr>
          <w:rFonts w:cs="Times New Roman"/>
          <w:noProof/>
          <w:szCs w:val="24"/>
        </w:rPr>
      </w:pPr>
      <w:r w:rsidRPr="00836096">
        <w:rPr>
          <w:rFonts w:cs="Times New Roman"/>
          <w:noProof/>
          <w:szCs w:val="24"/>
        </w:rPr>
        <w:t xml:space="preserve">U.S Department of Health and Human Services. (2010). </w:t>
      </w:r>
      <w:r w:rsidRPr="00836096">
        <w:rPr>
          <w:rFonts w:cs="Times New Roman"/>
          <w:i/>
          <w:iCs/>
          <w:noProof/>
          <w:szCs w:val="24"/>
        </w:rPr>
        <w:t>Healthy People.</w:t>
      </w:r>
      <w:r w:rsidRPr="00836096">
        <w:rPr>
          <w:rFonts w:cs="Times New Roman"/>
          <w:noProof/>
          <w:szCs w:val="24"/>
        </w:rPr>
        <w:t xml:space="preserve"> Washington, DC: </w:t>
      </w:r>
    </w:p>
    <w:p w14:paraId="1124CEAE" w14:textId="1C2DB7FC" w:rsidR="00B84125" w:rsidRPr="00836096" w:rsidRDefault="00B84125" w:rsidP="00062160">
      <w:pPr>
        <w:pStyle w:val="Bibliography"/>
        <w:ind w:firstLine="720"/>
        <w:rPr>
          <w:rFonts w:cs="Times New Roman"/>
          <w:noProof/>
          <w:szCs w:val="24"/>
        </w:rPr>
      </w:pPr>
      <w:r w:rsidRPr="00836096">
        <w:rPr>
          <w:rFonts w:cs="Times New Roman"/>
          <w:noProof/>
          <w:szCs w:val="24"/>
        </w:rPr>
        <w:t xml:space="preserve">U.S. </w:t>
      </w:r>
      <w:r w:rsidRPr="00836096">
        <w:rPr>
          <w:rFonts w:cs="Times New Roman"/>
          <w:noProof/>
          <w:szCs w:val="24"/>
        </w:rPr>
        <w:tab/>
        <w:t>Government Printing Office. Retrieved from:</w:t>
      </w:r>
      <w:r w:rsidR="00062160" w:rsidRPr="00836096">
        <w:rPr>
          <w:rFonts w:cs="Times New Roman"/>
          <w:noProof/>
          <w:szCs w:val="24"/>
        </w:rPr>
        <w:tab/>
      </w:r>
      <w:r w:rsidRPr="00836096">
        <w:rPr>
          <w:rFonts w:cs="Times New Roman"/>
          <w:noProof/>
          <w:szCs w:val="24"/>
        </w:rPr>
        <w:t xml:space="preserve">https://www.cdc.gov/nchs/healthy_people/hp2010.htm  </w:t>
      </w:r>
    </w:p>
    <w:p w14:paraId="1640C379" w14:textId="77777777" w:rsidR="00E745E8" w:rsidRPr="00836096" w:rsidRDefault="0015029F" w:rsidP="00E745E8">
      <w:pPr>
        <w:spacing w:line="480" w:lineRule="auto"/>
        <w:rPr>
          <w:shd w:val="clear" w:color="auto" w:fill="FFFFFF"/>
          <w:lang w:val="en-US"/>
        </w:rPr>
      </w:pPr>
      <w:r w:rsidRPr="00836096">
        <w:rPr>
          <w:shd w:val="clear" w:color="auto" w:fill="FFFFFF"/>
          <w:lang w:val="en-US"/>
        </w:rPr>
        <w:t xml:space="preserve">Weise, C., Kleinstäuber, M., &amp; Andersson, G. (2016). Internet-Delivered Cognitive-Behavior </w:t>
      </w:r>
    </w:p>
    <w:p w14:paraId="498C4876" w14:textId="7C48BF5B" w:rsidR="0015029F" w:rsidRPr="00836096" w:rsidRDefault="0015029F" w:rsidP="00062160">
      <w:pPr>
        <w:spacing w:line="480" w:lineRule="auto"/>
        <w:ind w:left="720"/>
        <w:rPr>
          <w:lang w:val="en-US"/>
        </w:rPr>
      </w:pPr>
      <w:r w:rsidRPr="00836096">
        <w:rPr>
          <w:shd w:val="clear" w:color="auto" w:fill="FFFFFF"/>
          <w:lang w:val="en-US"/>
        </w:rPr>
        <w:t>Therapy for Tinnitus: A Randomized Controlled Trial. </w:t>
      </w:r>
      <w:r w:rsidRPr="00836096">
        <w:rPr>
          <w:i/>
          <w:iCs/>
          <w:shd w:val="clear" w:color="auto" w:fill="FFFFFF"/>
          <w:lang w:val="en-US"/>
        </w:rPr>
        <w:t>Psychosomatic medicine</w:t>
      </w:r>
      <w:r w:rsidRPr="00836096">
        <w:rPr>
          <w:shd w:val="clear" w:color="auto" w:fill="FFFFFF"/>
          <w:lang w:val="en-US"/>
        </w:rPr>
        <w:t>, </w:t>
      </w:r>
      <w:r w:rsidRPr="00836096">
        <w:rPr>
          <w:i/>
          <w:iCs/>
          <w:shd w:val="clear" w:color="auto" w:fill="FFFFFF"/>
          <w:lang w:val="en-US"/>
        </w:rPr>
        <w:t>78</w:t>
      </w:r>
      <w:r w:rsidRPr="00836096">
        <w:rPr>
          <w:shd w:val="clear" w:color="auto" w:fill="FFFFFF"/>
          <w:lang w:val="en-US"/>
        </w:rPr>
        <w:t>(4), 501–510. https://doi.org/10.1097/PSY.0000000000000310</w:t>
      </w:r>
    </w:p>
    <w:p w14:paraId="633EBF82"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Wilson, P., &amp; Henry, J. (1998). Tinnitus Cognitions Questionnaire: Development and psychometric properties of a measure of dysfunctional cognitions sssociated with tinnitus. </w:t>
      </w:r>
      <w:r w:rsidRPr="00836096">
        <w:rPr>
          <w:rFonts w:cs="Times New Roman"/>
          <w:i/>
          <w:iCs/>
          <w:noProof/>
          <w:szCs w:val="24"/>
        </w:rPr>
        <w:t>International Tinnitus Journal, 4</w:t>
      </w:r>
      <w:r w:rsidRPr="00836096">
        <w:rPr>
          <w:rFonts w:cs="Times New Roman"/>
          <w:noProof/>
          <w:szCs w:val="24"/>
        </w:rPr>
        <w:t>(1), 23-30.</w:t>
      </w:r>
    </w:p>
    <w:p w14:paraId="039C0B60" w14:textId="77777777" w:rsidR="00B84125" w:rsidRPr="00836096" w:rsidRDefault="00B84125" w:rsidP="00E745E8">
      <w:pPr>
        <w:pStyle w:val="Bibliography"/>
        <w:ind w:left="720" w:hanging="720"/>
        <w:rPr>
          <w:rFonts w:cs="Times New Roman"/>
          <w:noProof/>
          <w:szCs w:val="24"/>
        </w:rPr>
      </w:pPr>
      <w:r w:rsidRPr="00836096">
        <w:rPr>
          <w:rFonts w:cs="Times New Roman"/>
          <w:noProof/>
          <w:szCs w:val="24"/>
        </w:rPr>
        <w:t xml:space="preserve">Zenner, H.P., Delb, W., Kröner-Herwig, B., Jäger, B., Peroz, I., Hesse, G., Mazurek, B., Goebel, G., Gerloff, C., Trollmann, R., Biesinger, E., Seidler, H., &amp; Langguth, B. (2017). A multidisciplinary systematic review of the treatment for chronic idiopathic tinnitus. </w:t>
      </w:r>
      <w:r w:rsidRPr="00836096">
        <w:rPr>
          <w:rFonts w:cs="Times New Roman"/>
          <w:i/>
          <w:iCs/>
          <w:noProof/>
          <w:szCs w:val="24"/>
        </w:rPr>
        <w:t>European Archive of Otorhinolaryngology, 274</w:t>
      </w:r>
      <w:r w:rsidRPr="00836096">
        <w:rPr>
          <w:rFonts w:cs="Times New Roman"/>
          <w:noProof/>
          <w:szCs w:val="24"/>
        </w:rPr>
        <w:t>, 2079-2091.</w:t>
      </w:r>
      <w:r w:rsidRPr="00836096">
        <w:rPr>
          <w:rFonts w:eastAsia="Times New Roman" w:cs="Times New Roman"/>
          <w:szCs w:val="24"/>
          <w:shd w:val="clear" w:color="auto" w:fill="FFFFFF"/>
          <w:lang w:eastAsia="en-GB"/>
        </w:rPr>
        <w:t xml:space="preserve"> </w:t>
      </w:r>
      <w:r w:rsidRPr="00836096">
        <w:rPr>
          <w:rFonts w:cs="Times New Roman"/>
          <w:noProof/>
          <w:szCs w:val="24"/>
        </w:rPr>
        <w:t>http://doi:10.1007/s00405-016-4401-y</w:t>
      </w:r>
    </w:p>
    <w:p w14:paraId="6B59129F" w14:textId="77777777" w:rsidR="003F00E8" w:rsidRPr="00836096" w:rsidRDefault="00B84125" w:rsidP="00E745E8">
      <w:pPr>
        <w:spacing w:line="480" w:lineRule="auto"/>
        <w:rPr>
          <w:b/>
          <w:lang w:val="en-US"/>
        </w:rPr>
      </w:pPr>
      <w:r w:rsidRPr="00836096">
        <w:rPr>
          <w:b/>
          <w:lang w:val="en-US"/>
        </w:rPr>
        <w:fldChar w:fldCharType="end"/>
      </w:r>
    </w:p>
    <w:p w14:paraId="5DCDBA24" w14:textId="2B86BEF9" w:rsidR="003F00E8" w:rsidRPr="00836096" w:rsidRDefault="003F00E8" w:rsidP="00E745E8">
      <w:pPr>
        <w:spacing w:line="480" w:lineRule="auto"/>
        <w:rPr>
          <w:b/>
          <w:sz w:val="28"/>
          <w:szCs w:val="28"/>
        </w:rPr>
      </w:pPr>
      <w:r w:rsidRPr="00836096">
        <w:rPr>
          <w:b/>
          <w:sz w:val="28"/>
          <w:szCs w:val="28"/>
        </w:rPr>
        <w:t xml:space="preserve"> Acknowledgments</w:t>
      </w:r>
    </w:p>
    <w:p w14:paraId="20205E3D" w14:textId="22BBD82E" w:rsidR="000249F6" w:rsidRPr="007E126C" w:rsidRDefault="003F00E8" w:rsidP="00E745E8">
      <w:pPr>
        <w:spacing w:line="480" w:lineRule="auto"/>
        <w:sectPr w:rsidR="000249F6" w:rsidRPr="007E126C" w:rsidSect="00DD46ED">
          <w:type w:val="continuous"/>
          <w:pgSz w:w="11900" w:h="16840"/>
          <w:pgMar w:top="1440" w:right="1440" w:bottom="1440" w:left="1440" w:header="708" w:footer="708" w:gutter="0"/>
          <w:lnNumType w:countBy="1" w:restart="continuous"/>
          <w:cols w:space="708"/>
          <w:docGrid w:linePitch="360"/>
        </w:sectPr>
      </w:pPr>
      <w:r w:rsidRPr="00836096">
        <w:t xml:space="preserve">We would like to thank webmasters George </w:t>
      </w:r>
      <w:proofErr w:type="spellStart"/>
      <w:r w:rsidRPr="00836096">
        <w:t>Vlaescu</w:t>
      </w:r>
      <w:proofErr w:type="spellEnd"/>
      <w:r w:rsidRPr="00836096">
        <w:t xml:space="preserve"> and Shrinivas </w:t>
      </w:r>
      <w:proofErr w:type="spellStart"/>
      <w:r w:rsidRPr="00836096">
        <w:t>Varadaraj</w:t>
      </w:r>
      <w:proofErr w:type="spellEnd"/>
      <w:r w:rsidRPr="00836096">
        <w:t xml:space="preserve"> for help installing the intervention platform and for technical assistance provided. Our thanks are extended to all the participants who partook in this study and to the organizations that helped with recruitment. We also thank Prof Stacia DeSantis for statistical assistance.</w:t>
      </w:r>
    </w:p>
    <w:p w14:paraId="584ADB5C" w14:textId="0DFA2F1B" w:rsidR="003F00E8" w:rsidRPr="00836096" w:rsidRDefault="003F00E8" w:rsidP="007E126C">
      <w:pPr>
        <w:pStyle w:val="Heading1"/>
      </w:pPr>
      <w:r w:rsidRPr="00836096">
        <w:lastRenderedPageBreak/>
        <w:t>List of Tables</w:t>
      </w:r>
    </w:p>
    <w:p w14:paraId="3AEBBCCD" w14:textId="77777777" w:rsidR="000249F6" w:rsidRPr="00836096" w:rsidRDefault="003F00E8" w:rsidP="00E745E8">
      <w:pPr>
        <w:tabs>
          <w:tab w:val="left" w:pos="6480"/>
        </w:tabs>
        <w:spacing w:line="480" w:lineRule="auto"/>
        <w:rPr>
          <w:lang w:val="en"/>
        </w:rPr>
      </w:pPr>
      <w:r w:rsidRPr="00836096">
        <w:rPr>
          <w:b/>
        </w:rPr>
        <w:t>Table 1:</w:t>
      </w:r>
      <w:r w:rsidRPr="00836096">
        <w:rPr>
          <w:lang w:val="en"/>
        </w:rPr>
        <w:t xml:space="preserve"> Study outcome measures used pre-intervention, post-intervention and at 2-months follow-up</w:t>
      </w:r>
    </w:p>
    <w:p w14:paraId="4E650862" w14:textId="77777777" w:rsidR="006424A6" w:rsidRPr="00836096" w:rsidRDefault="006424A6" w:rsidP="006424A6">
      <w:pPr>
        <w:autoSpaceDE w:val="0"/>
        <w:autoSpaceDN w:val="0"/>
        <w:adjustRightInd w:val="0"/>
        <w:spacing w:line="480" w:lineRule="auto"/>
        <w:contextualSpacing/>
        <w:jc w:val="both"/>
        <w:rPr>
          <w:lang w:val="en"/>
        </w:rPr>
      </w:pPr>
      <w:r w:rsidRPr="00836096">
        <w:rPr>
          <w:lang w:val="en"/>
        </w:rPr>
        <w:t xml:space="preserve">Table 1. Study outcome measures used pre-intervention, post-intervention and at 2-months follow-up </w:t>
      </w:r>
    </w:p>
    <w:tbl>
      <w:tblPr>
        <w:tblStyle w:val="TableGrid"/>
        <w:tblW w:w="14176" w:type="dxa"/>
        <w:tblInd w:w="-147" w:type="dxa"/>
        <w:tblLayout w:type="fixed"/>
        <w:tblLook w:val="04A0" w:firstRow="1" w:lastRow="0" w:firstColumn="1" w:lastColumn="0" w:noHBand="0" w:noVBand="1"/>
      </w:tblPr>
      <w:tblGrid>
        <w:gridCol w:w="5671"/>
        <w:gridCol w:w="2126"/>
        <w:gridCol w:w="1134"/>
        <w:gridCol w:w="3685"/>
        <w:gridCol w:w="1560"/>
      </w:tblGrid>
      <w:tr w:rsidR="00836096" w:rsidRPr="00836096" w14:paraId="3354FC51" w14:textId="77777777" w:rsidTr="006072E6">
        <w:tc>
          <w:tcPr>
            <w:tcW w:w="5671" w:type="dxa"/>
            <w:shd w:val="clear" w:color="auto" w:fill="FFFFFF" w:themeFill="background1"/>
            <w:hideMark/>
          </w:tcPr>
          <w:p w14:paraId="14FF74E4" w14:textId="77777777" w:rsidR="006424A6" w:rsidRPr="00836096" w:rsidRDefault="006424A6" w:rsidP="006072E6">
            <w:pPr>
              <w:pStyle w:val="Default"/>
              <w:spacing w:line="480" w:lineRule="auto"/>
              <w:jc w:val="both"/>
              <w:rPr>
                <w:rFonts w:ascii="Times New Roman" w:hAnsi="Times New Roman" w:cs="Times New Roman"/>
                <w:b/>
                <w:color w:val="auto"/>
              </w:rPr>
            </w:pPr>
            <w:r w:rsidRPr="00836096">
              <w:rPr>
                <w:rFonts w:ascii="Times New Roman" w:hAnsi="Times New Roman" w:cs="Times New Roman"/>
                <w:b/>
                <w:color w:val="auto"/>
              </w:rPr>
              <w:t xml:space="preserve">Outcome Measures </w:t>
            </w:r>
          </w:p>
        </w:tc>
        <w:tc>
          <w:tcPr>
            <w:tcW w:w="2126" w:type="dxa"/>
            <w:shd w:val="clear" w:color="auto" w:fill="FFFFFF" w:themeFill="background1"/>
          </w:tcPr>
          <w:p w14:paraId="273407C7" w14:textId="77777777" w:rsidR="006424A6" w:rsidRPr="00836096" w:rsidRDefault="006424A6" w:rsidP="006072E6">
            <w:pPr>
              <w:pStyle w:val="Default"/>
              <w:spacing w:line="480" w:lineRule="auto"/>
              <w:jc w:val="both"/>
              <w:rPr>
                <w:rFonts w:ascii="Times New Roman" w:hAnsi="Times New Roman" w:cs="Times New Roman"/>
                <w:b/>
                <w:color w:val="auto"/>
              </w:rPr>
            </w:pPr>
            <w:r w:rsidRPr="00836096">
              <w:rPr>
                <w:rFonts w:ascii="Times New Roman" w:hAnsi="Times New Roman" w:cs="Times New Roman"/>
                <w:b/>
                <w:color w:val="auto"/>
              </w:rPr>
              <w:t>Internal consistency</w:t>
            </w:r>
          </w:p>
        </w:tc>
        <w:tc>
          <w:tcPr>
            <w:tcW w:w="1134" w:type="dxa"/>
            <w:shd w:val="clear" w:color="auto" w:fill="FFFFFF" w:themeFill="background1"/>
          </w:tcPr>
          <w:p w14:paraId="121B1292" w14:textId="77777777" w:rsidR="006424A6" w:rsidRPr="00836096" w:rsidRDefault="006424A6" w:rsidP="006072E6">
            <w:pPr>
              <w:pStyle w:val="Default"/>
              <w:spacing w:line="480" w:lineRule="auto"/>
              <w:jc w:val="both"/>
              <w:rPr>
                <w:rFonts w:ascii="Times New Roman" w:hAnsi="Times New Roman" w:cs="Times New Roman"/>
                <w:b/>
                <w:color w:val="auto"/>
              </w:rPr>
            </w:pPr>
            <w:r w:rsidRPr="00836096">
              <w:rPr>
                <w:rFonts w:ascii="Times New Roman" w:hAnsi="Times New Roman" w:cs="Times New Roman"/>
                <w:b/>
                <w:color w:val="auto"/>
              </w:rPr>
              <w:t>Range of scores</w:t>
            </w:r>
          </w:p>
        </w:tc>
        <w:tc>
          <w:tcPr>
            <w:tcW w:w="3685" w:type="dxa"/>
            <w:shd w:val="clear" w:color="auto" w:fill="FFFFFF" w:themeFill="background1"/>
          </w:tcPr>
          <w:p w14:paraId="33A42423" w14:textId="77777777" w:rsidR="006424A6" w:rsidRPr="00836096" w:rsidRDefault="006424A6" w:rsidP="006072E6">
            <w:pPr>
              <w:pStyle w:val="Default"/>
              <w:spacing w:line="480" w:lineRule="auto"/>
              <w:jc w:val="both"/>
              <w:rPr>
                <w:rFonts w:ascii="Times New Roman" w:hAnsi="Times New Roman" w:cs="Times New Roman"/>
                <w:b/>
                <w:color w:val="auto"/>
              </w:rPr>
            </w:pPr>
            <w:r w:rsidRPr="00836096">
              <w:rPr>
                <w:rFonts w:ascii="Times New Roman" w:hAnsi="Times New Roman" w:cs="Times New Roman"/>
                <w:b/>
                <w:color w:val="auto"/>
              </w:rPr>
              <w:t>Levels of significance</w:t>
            </w:r>
          </w:p>
        </w:tc>
        <w:tc>
          <w:tcPr>
            <w:tcW w:w="1560" w:type="dxa"/>
            <w:shd w:val="clear" w:color="auto" w:fill="FFFFFF" w:themeFill="background1"/>
          </w:tcPr>
          <w:p w14:paraId="3B0B15ED" w14:textId="77777777" w:rsidR="006424A6" w:rsidRPr="00836096" w:rsidRDefault="006424A6" w:rsidP="006072E6">
            <w:pPr>
              <w:pStyle w:val="Default"/>
              <w:spacing w:line="480" w:lineRule="auto"/>
              <w:jc w:val="both"/>
              <w:rPr>
                <w:rFonts w:ascii="Times New Roman" w:hAnsi="Times New Roman" w:cs="Times New Roman"/>
                <w:b/>
                <w:color w:val="auto"/>
              </w:rPr>
            </w:pPr>
            <w:r w:rsidRPr="00836096">
              <w:rPr>
                <w:rFonts w:ascii="Times New Roman" w:hAnsi="Times New Roman" w:cs="Times New Roman"/>
                <w:b/>
                <w:color w:val="auto"/>
              </w:rPr>
              <w:t>Assessment timeframe</w:t>
            </w:r>
          </w:p>
        </w:tc>
      </w:tr>
      <w:tr w:rsidR="00836096" w:rsidRPr="00836096" w14:paraId="4A562E70" w14:textId="77777777" w:rsidTr="006072E6">
        <w:tc>
          <w:tcPr>
            <w:tcW w:w="5671" w:type="dxa"/>
            <w:shd w:val="clear" w:color="auto" w:fill="FFFFFF" w:themeFill="background1"/>
            <w:hideMark/>
          </w:tcPr>
          <w:p w14:paraId="5E607362"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lang w:val="en"/>
              </w:rPr>
              <w:t xml:space="preserve">Tinnitus Functional Index (TFI; </w:t>
            </w:r>
            <w:r w:rsidRPr="00836096">
              <w:rPr>
                <w:rFonts w:ascii="Times New Roman" w:hAnsi="Times New Roman" w:cs="Times New Roman"/>
                <w:color w:val="auto"/>
              </w:rPr>
              <w:t>Meikle et al, 2012)</w:t>
            </w:r>
            <w:r w:rsidRPr="00836096">
              <w:rPr>
                <w:rFonts w:ascii="Times New Roman" w:hAnsi="Times New Roman" w:cs="Times New Roman"/>
                <w:color w:val="auto"/>
                <w:vertAlign w:val="superscript"/>
                <w:lang w:val="en"/>
              </w:rPr>
              <w:t xml:space="preserve"> </w:t>
            </w:r>
          </w:p>
        </w:tc>
        <w:tc>
          <w:tcPr>
            <w:tcW w:w="2126" w:type="dxa"/>
            <w:shd w:val="clear" w:color="auto" w:fill="FFFFFF" w:themeFill="background1"/>
          </w:tcPr>
          <w:p w14:paraId="35376D24"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.8</w:t>
            </w:r>
          </w:p>
        </w:tc>
        <w:tc>
          <w:tcPr>
            <w:tcW w:w="1134" w:type="dxa"/>
            <w:shd w:val="clear" w:color="auto" w:fill="FFFFFF" w:themeFill="background1"/>
          </w:tcPr>
          <w:p w14:paraId="2A62BF31" w14:textId="77777777" w:rsidR="006424A6" w:rsidRPr="00836096" w:rsidRDefault="006424A6" w:rsidP="006072E6">
            <w:pPr>
              <w:spacing w:line="480" w:lineRule="auto"/>
              <w:jc w:val="both"/>
            </w:pPr>
            <w:r w:rsidRPr="00836096">
              <w:t>0-100</w:t>
            </w:r>
          </w:p>
        </w:tc>
        <w:tc>
          <w:tcPr>
            <w:tcW w:w="3685" w:type="dxa"/>
            <w:shd w:val="clear" w:color="auto" w:fill="FFFFFF" w:themeFill="background1"/>
          </w:tcPr>
          <w:p w14:paraId="294D8EB9" w14:textId="77777777" w:rsidR="006424A6" w:rsidRPr="00836096" w:rsidRDefault="006424A6" w:rsidP="006072E6">
            <w:pPr>
              <w:spacing w:line="480" w:lineRule="auto"/>
              <w:jc w:val="both"/>
            </w:pPr>
            <w:r w:rsidRPr="00836096">
              <w:t xml:space="preserve">&gt;25= mild </w:t>
            </w:r>
          </w:p>
          <w:p w14:paraId="1F691378" w14:textId="77777777" w:rsidR="006424A6" w:rsidRPr="00836096" w:rsidRDefault="006424A6" w:rsidP="006072E6">
            <w:pPr>
              <w:spacing w:line="480" w:lineRule="auto"/>
              <w:jc w:val="both"/>
            </w:pPr>
            <w:r w:rsidRPr="00836096">
              <w:t>26-50= significant</w:t>
            </w:r>
          </w:p>
          <w:p w14:paraId="1D1CA848"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eastAsia="Times New Roman" w:hAnsi="Times New Roman" w:cs="Times New Roman"/>
                <w:color w:val="auto"/>
                <w:lang w:eastAsia="en-GB"/>
              </w:rPr>
              <w:t xml:space="preserve"> 50+ =severe</w:t>
            </w:r>
          </w:p>
        </w:tc>
        <w:tc>
          <w:tcPr>
            <w:tcW w:w="1560" w:type="dxa"/>
            <w:shd w:val="clear" w:color="auto" w:fill="FFFFFF" w:themeFill="background1"/>
          </w:tcPr>
          <w:p w14:paraId="6F7082C8" w14:textId="77777777" w:rsidR="006424A6" w:rsidRPr="00836096" w:rsidRDefault="006424A6" w:rsidP="006072E6">
            <w:pPr>
              <w:spacing w:line="480" w:lineRule="auto"/>
              <w:jc w:val="both"/>
            </w:pPr>
            <w:r w:rsidRPr="00836096">
              <w:t xml:space="preserve">Pre, </w:t>
            </w:r>
            <w:proofErr w:type="gramStart"/>
            <w:r w:rsidRPr="00836096">
              <w:t>post</w:t>
            </w:r>
            <w:proofErr w:type="gramEnd"/>
            <w:r w:rsidRPr="00836096">
              <w:t xml:space="preserve"> and follow-up</w:t>
            </w:r>
          </w:p>
        </w:tc>
      </w:tr>
      <w:tr w:rsidR="00836096" w:rsidRPr="00836096" w14:paraId="3533AA0D" w14:textId="77777777" w:rsidTr="006072E6">
        <w:tc>
          <w:tcPr>
            <w:tcW w:w="5671" w:type="dxa"/>
            <w:shd w:val="clear" w:color="auto" w:fill="FFFFFF" w:themeFill="background1"/>
          </w:tcPr>
          <w:p w14:paraId="67405B39" w14:textId="77777777" w:rsidR="006424A6" w:rsidRPr="00836096" w:rsidRDefault="006424A6" w:rsidP="006072E6">
            <w:pPr>
              <w:pStyle w:val="Default"/>
              <w:spacing w:line="480" w:lineRule="auto"/>
              <w:jc w:val="both"/>
              <w:rPr>
                <w:rFonts w:ascii="Times New Roman" w:eastAsia="Times New Roman" w:hAnsi="Times New Roman" w:cs="Times New Roman"/>
                <w:color w:val="auto"/>
                <w:shd w:val="clear" w:color="auto" w:fill="FFFFFF"/>
                <w:lang w:eastAsia="en-GB"/>
              </w:rPr>
            </w:pPr>
            <w:r w:rsidRPr="00836096">
              <w:rPr>
                <w:rFonts w:ascii="Times New Roman" w:eastAsia="Times New Roman" w:hAnsi="Times New Roman" w:cs="Times New Roman"/>
                <w:color w:val="auto"/>
                <w:shd w:val="clear" w:color="auto" w:fill="FFFFFF"/>
                <w:lang w:eastAsia="en-GB"/>
              </w:rPr>
              <w:t xml:space="preserve">Generalized Anxiety Disorder </w:t>
            </w:r>
            <w:r w:rsidRPr="00836096">
              <w:rPr>
                <w:rFonts w:ascii="Times New Roman" w:eastAsia="Times New Roman" w:hAnsi="Times New Roman" w:cs="Times New Roman"/>
                <w:noProof/>
                <w:color w:val="auto"/>
                <w:shd w:val="clear" w:color="auto" w:fill="FFFFFF"/>
                <w:lang w:eastAsia="en-GB"/>
              </w:rPr>
              <w:t>(GAD-7, Spitzer, Kroenke, Williams, et al., 2006)</w:t>
            </w:r>
          </w:p>
        </w:tc>
        <w:tc>
          <w:tcPr>
            <w:tcW w:w="2126" w:type="dxa"/>
            <w:shd w:val="clear" w:color="auto" w:fill="FFFFFF" w:themeFill="background1"/>
          </w:tcPr>
          <w:p w14:paraId="2AF88010"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.89</w:t>
            </w:r>
          </w:p>
        </w:tc>
        <w:tc>
          <w:tcPr>
            <w:tcW w:w="1134" w:type="dxa"/>
            <w:shd w:val="clear" w:color="auto" w:fill="FFFFFF" w:themeFill="background1"/>
          </w:tcPr>
          <w:p w14:paraId="1A559DF0"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0-21</w:t>
            </w:r>
          </w:p>
        </w:tc>
        <w:tc>
          <w:tcPr>
            <w:tcW w:w="3685" w:type="dxa"/>
            <w:shd w:val="clear" w:color="auto" w:fill="FFFFFF" w:themeFill="background1"/>
          </w:tcPr>
          <w:p w14:paraId="6198B589" w14:textId="77777777" w:rsidR="006424A6" w:rsidRPr="00836096" w:rsidRDefault="006424A6" w:rsidP="006072E6">
            <w:pPr>
              <w:spacing w:line="480" w:lineRule="auto"/>
              <w:jc w:val="both"/>
            </w:pPr>
            <w:r w:rsidRPr="00836096">
              <w:t>0-4= minimal anxiety</w:t>
            </w:r>
          </w:p>
          <w:p w14:paraId="3A792F32" w14:textId="77777777" w:rsidR="006424A6" w:rsidRPr="00836096" w:rsidRDefault="006424A6" w:rsidP="006072E6">
            <w:pPr>
              <w:spacing w:line="480" w:lineRule="auto"/>
              <w:jc w:val="both"/>
            </w:pPr>
            <w:r w:rsidRPr="00836096">
              <w:t>5-9= mild anxiety</w:t>
            </w:r>
          </w:p>
          <w:p w14:paraId="5614769E" w14:textId="77777777" w:rsidR="006424A6" w:rsidRPr="00836096" w:rsidRDefault="006424A6" w:rsidP="006072E6">
            <w:pPr>
              <w:spacing w:line="480" w:lineRule="auto"/>
              <w:jc w:val="both"/>
            </w:pPr>
            <w:r w:rsidRPr="00836096">
              <w:t>10-14= moderate anxiety</w:t>
            </w:r>
          </w:p>
          <w:p w14:paraId="6A1762FD"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eastAsia="Times New Roman" w:hAnsi="Times New Roman" w:cs="Times New Roman"/>
                <w:color w:val="auto"/>
                <w:lang w:eastAsia="en-GB"/>
              </w:rPr>
              <w:t>15-21= severe anxiety</w:t>
            </w:r>
          </w:p>
        </w:tc>
        <w:tc>
          <w:tcPr>
            <w:tcW w:w="1560" w:type="dxa"/>
            <w:shd w:val="clear" w:color="auto" w:fill="FFFFFF" w:themeFill="background1"/>
          </w:tcPr>
          <w:p w14:paraId="1E3D6AB7" w14:textId="77777777" w:rsidR="006424A6" w:rsidRPr="00836096" w:rsidRDefault="006424A6" w:rsidP="006072E6">
            <w:pPr>
              <w:spacing w:line="480" w:lineRule="auto"/>
              <w:jc w:val="both"/>
            </w:pPr>
            <w:r w:rsidRPr="00836096">
              <w:t xml:space="preserve">Pre, </w:t>
            </w:r>
            <w:proofErr w:type="gramStart"/>
            <w:r w:rsidRPr="00836096">
              <w:t>post</w:t>
            </w:r>
            <w:proofErr w:type="gramEnd"/>
            <w:r w:rsidRPr="00836096">
              <w:t xml:space="preserve"> and follow-up</w:t>
            </w:r>
          </w:p>
        </w:tc>
      </w:tr>
      <w:tr w:rsidR="00836096" w:rsidRPr="00836096" w14:paraId="6B7F24A6" w14:textId="77777777" w:rsidTr="006072E6">
        <w:tc>
          <w:tcPr>
            <w:tcW w:w="5671" w:type="dxa"/>
            <w:shd w:val="clear" w:color="auto" w:fill="FFFFFF" w:themeFill="background1"/>
          </w:tcPr>
          <w:p w14:paraId="1A0F77B6"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eastAsia="Times New Roman" w:hAnsi="Times New Roman" w:cs="Times New Roman"/>
                <w:color w:val="auto"/>
                <w:shd w:val="clear" w:color="auto" w:fill="FFFFFF"/>
                <w:lang w:eastAsia="en-GB"/>
              </w:rPr>
              <w:t xml:space="preserve">Patient Health Questionnaire </w:t>
            </w:r>
            <w:r w:rsidRPr="00836096">
              <w:rPr>
                <w:rFonts w:ascii="Times New Roman" w:eastAsia="Times New Roman" w:hAnsi="Times New Roman" w:cs="Times New Roman"/>
                <w:noProof/>
                <w:color w:val="auto"/>
                <w:shd w:val="clear" w:color="auto" w:fill="FFFFFF"/>
                <w:lang w:eastAsia="en-GB"/>
              </w:rPr>
              <w:t>(PHQ-9; Spitzer, Kroenke, Williams, 1999)</w:t>
            </w:r>
          </w:p>
        </w:tc>
        <w:tc>
          <w:tcPr>
            <w:tcW w:w="2126" w:type="dxa"/>
            <w:shd w:val="clear" w:color="auto" w:fill="FFFFFF" w:themeFill="background1"/>
          </w:tcPr>
          <w:p w14:paraId="5E70436D"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.83</w:t>
            </w:r>
          </w:p>
        </w:tc>
        <w:tc>
          <w:tcPr>
            <w:tcW w:w="1134" w:type="dxa"/>
            <w:shd w:val="clear" w:color="auto" w:fill="FFFFFF" w:themeFill="background1"/>
          </w:tcPr>
          <w:p w14:paraId="13D7A349"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0-27</w:t>
            </w:r>
          </w:p>
        </w:tc>
        <w:tc>
          <w:tcPr>
            <w:tcW w:w="3685" w:type="dxa"/>
            <w:shd w:val="clear" w:color="auto" w:fill="FFFFFF" w:themeFill="background1"/>
          </w:tcPr>
          <w:p w14:paraId="529FF691" w14:textId="77777777" w:rsidR="006424A6" w:rsidRPr="00836096" w:rsidRDefault="006424A6" w:rsidP="006072E6">
            <w:pPr>
              <w:spacing w:line="480" w:lineRule="auto"/>
              <w:jc w:val="both"/>
            </w:pPr>
            <w:r w:rsidRPr="00836096">
              <w:t>5-9=mild depression</w:t>
            </w:r>
          </w:p>
          <w:p w14:paraId="5DC30AB7" w14:textId="77777777" w:rsidR="006424A6" w:rsidRPr="00836096" w:rsidRDefault="006424A6" w:rsidP="006072E6">
            <w:pPr>
              <w:spacing w:line="480" w:lineRule="auto"/>
              <w:jc w:val="both"/>
            </w:pPr>
            <w:r w:rsidRPr="00836096">
              <w:t>10-14=moderate</w:t>
            </w:r>
          </w:p>
          <w:p w14:paraId="1E7EF9DB" w14:textId="77777777" w:rsidR="006424A6" w:rsidRPr="00836096" w:rsidRDefault="006424A6" w:rsidP="006072E6">
            <w:pPr>
              <w:spacing w:line="480" w:lineRule="auto"/>
              <w:jc w:val="both"/>
            </w:pPr>
            <w:r w:rsidRPr="00836096">
              <w:t>15-19=moderately severe</w:t>
            </w:r>
          </w:p>
          <w:p w14:paraId="08440534" w14:textId="77777777" w:rsidR="006424A6" w:rsidRPr="00836096" w:rsidRDefault="006424A6" w:rsidP="006072E6">
            <w:pPr>
              <w:spacing w:line="480" w:lineRule="auto"/>
              <w:jc w:val="both"/>
            </w:pPr>
            <w:r w:rsidRPr="00836096">
              <w:t>20-18= severe depression</w:t>
            </w:r>
          </w:p>
        </w:tc>
        <w:tc>
          <w:tcPr>
            <w:tcW w:w="1560" w:type="dxa"/>
            <w:shd w:val="clear" w:color="auto" w:fill="FFFFFF" w:themeFill="background1"/>
          </w:tcPr>
          <w:p w14:paraId="348849AC" w14:textId="77777777" w:rsidR="006424A6" w:rsidRPr="00836096" w:rsidRDefault="006424A6" w:rsidP="006072E6">
            <w:pPr>
              <w:spacing w:line="480" w:lineRule="auto"/>
              <w:jc w:val="both"/>
            </w:pPr>
            <w:r w:rsidRPr="00836096">
              <w:t xml:space="preserve">Pre, </w:t>
            </w:r>
            <w:proofErr w:type="gramStart"/>
            <w:r w:rsidRPr="00836096">
              <w:t>post</w:t>
            </w:r>
            <w:proofErr w:type="gramEnd"/>
            <w:r w:rsidRPr="00836096">
              <w:t xml:space="preserve"> and follow-up</w:t>
            </w:r>
          </w:p>
        </w:tc>
      </w:tr>
      <w:tr w:rsidR="00836096" w:rsidRPr="00836096" w14:paraId="41822F53" w14:textId="77777777" w:rsidTr="006072E6">
        <w:tc>
          <w:tcPr>
            <w:tcW w:w="5671" w:type="dxa"/>
            <w:shd w:val="clear" w:color="auto" w:fill="FFFFFF" w:themeFill="background1"/>
          </w:tcPr>
          <w:p w14:paraId="07ADD3FE"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lastRenderedPageBreak/>
              <w:t>Insomnia Severity Index</w:t>
            </w:r>
          </w:p>
          <w:p w14:paraId="32AA691A"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noProof/>
                <w:color w:val="auto"/>
              </w:rPr>
              <w:t>(ISI; Bastien, Vallières, &amp; Morin, 2001)</w:t>
            </w:r>
          </w:p>
        </w:tc>
        <w:tc>
          <w:tcPr>
            <w:tcW w:w="2126" w:type="dxa"/>
            <w:shd w:val="clear" w:color="auto" w:fill="FFFFFF" w:themeFill="background1"/>
          </w:tcPr>
          <w:p w14:paraId="4E8EDC44"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.74</w:t>
            </w:r>
          </w:p>
        </w:tc>
        <w:tc>
          <w:tcPr>
            <w:tcW w:w="1134" w:type="dxa"/>
            <w:shd w:val="clear" w:color="auto" w:fill="FFFFFF" w:themeFill="background1"/>
          </w:tcPr>
          <w:p w14:paraId="59A50407"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0-28</w:t>
            </w:r>
          </w:p>
        </w:tc>
        <w:tc>
          <w:tcPr>
            <w:tcW w:w="3685" w:type="dxa"/>
            <w:shd w:val="clear" w:color="auto" w:fill="FFFFFF" w:themeFill="background1"/>
          </w:tcPr>
          <w:tbl>
            <w:tblPr>
              <w:tblW w:w="4113" w:type="dxa"/>
              <w:tblLayout w:type="fixed"/>
              <w:tblLook w:val="04A0" w:firstRow="1" w:lastRow="0" w:firstColumn="1" w:lastColumn="0" w:noHBand="0" w:noVBand="1"/>
            </w:tblPr>
            <w:tblGrid>
              <w:gridCol w:w="4113"/>
            </w:tblGrid>
            <w:tr w:rsidR="00836096" w:rsidRPr="00836096" w14:paraId="34963355" w14:textId="77777777" w:rsidTr="006072E6">
              <w:trPr>
                <w:trHeight w:val="315"/>
              </w:trPr>
              <w:tc>
                <w:tcPr>
                  <w:tcW w:w="4113" w:type="dxa"/>
                  <w:tcBorders>
                    <w:top w:val="nil"/>
                    <w:left w:val="nil"/>
                    <w:bottom w:val="nil"/>
                    <w:right w:val="nil"/>
                  </w:tcBorders>
                  <w:shd w:val="clear" w:color="auto" w:fill="auto"/>
                  <w:noWrap/>
                  <w:vAlign w:val="bottom"/>
                  <w:hideMark/>
                </w:tcPr>
                <w:p w14:paraId="2A986CE4" w14:textId="77777777" w:rsidR="006424A6" w:rsidRPr="00836096" w:rsidRDefault="006424A6" w:rsidP="006072E6">
                  <w:pPr>
                    <w:spacing w:line="480" w:lineRule="auto"/>
                    <w:jc w:val="both"/>
                  </w:pPr>
                  <w:r w:rsidRPr="00836096">
                    <w:t xml:space="preserve">0–7 = Not clinically significant </w:t>
                  </w:r>
                </w:p>
              </w:tc>
            </w:tr>
            <w:tr w:rsidR="00836096" w:rsidRPr="00836096" w14:paraId="772AF198" w14:textId="77777777" w:rsidTr="006072E6">
              <w:trPr>
                <w:trHeight w:val="315"/>
              </w:trPr>
              <w:tc>
                <w:tcPr>
                  <w:tcW w:w="4113" w:type="dxa"/>
                  <w:tcBorders>
                    <w:top w:val="nil"/>
                    <w:left w:val="nil"/>
                    <w:bottom w:val="nil"/>
                    <w:right w:val="nil"/>
                  </w:tcBorders>
                  <w:shd w:val="clear" w:color="auto" w:fill="auto"/>
                  <w:noWrap/>
                  <w:vAlign w:val="bottom"/>
                  <w:hideMark/>
                </w:tcPr>
                <w:p w14:paraId="013C08D1" w14:textId="77777777" w:rsidR="006424A6" w:rsidRPr="00836096" w:rsidRDefault="006424A6" w:rsidP="006072E6">
                  <w:pPr>
                    <w:spacing w:line="480" w:lineRule="auto"/>
                    <w:jc w:val="both"/>
                  </w:pPr>
                  <w:r w:rsidRPr="00836096">
                    <w:t>8–14 = Subthreshold insomnia</w:t>
                  </w:r>
                </w:p>
              </w:tc>
            </w:tr>
            <w:tr w:rsidR="00836096" w:rsidRPr="00836096" w14:paraId="6DCD8E0C" w14:textId="77777777" w:rsidTr="006072E6">
              <w:trPr>
                <w:trHeight w:val="315"/>
              </w:trPr>
              <w:tc>
                <w:tcPr>
                  <w:tcW w:w="4113" w:type="dxa"/>
                  <w:tcBorders>
                    <w:top w:val="nil"/>
                    <w:left w:val="nil"/>
                    <w:bottom w:val="nil"/>
                    <w:right w:val="nil"/>
                  </w:tcBorders>
                  <w:shd w:val="clear" w:color="auto" w:fill="auto"/>
                  <w:noWrap/>
                  <w:vAlign w:val="bottom"/>
                  <w:hideMark/>
                </w:tcPr>
                <w:p w14:paraId="458352D9" w14:textId="77777777" w:rsidR="006424A6" w:rsidRPr="00836096" w:rsidRDefault="006424A6" w:rsidP="006072E6">
                  <w:pPr>
                    <w:spacing w:line="480" w:lineRule="auto"/>
                    <w:jc w:val="both"/>
                  </w:pPr>
                  <w:r w:rsidRPr="00836096">
                    <w:t>15–21 = Clinical insomnia</w:t>
                  </w:r>
                </w:p>
                <w:p w14:paraId="5A0E3329" w14:textId="77777777" w:rsidR="006424A6" w:rsidRPr="00836096" w:rsidRDefault="006424A6" w:rsidP="006072E6">
                  <w:pPr>
                    <w:spacing w:line="480" w:lineRule="auto"/>
                    <w:jc w:val="both"/>
                  </w:pPr>
                  <w:r w:rsidRPr="00836096">
                    <w:t xml:space="preserve"> (moderate severity)</w:t>
                  </w:r>
                </w:p>
              </w:tc>
            </w:tr>
            <w:tr w:rsidR="00836096" w:rsidRPr="00836096" w14:paraId="03B95EA8" w14:textId="77777777" w:rsidTr="006072E6">
              <w:trPr>
                <w:trHeight w:val="315"/>
              </w:trPr>
              <w:tc>
                <w:tcPr>
                  <w:tcW w:w="4113" w:type="dxa"/>
                  <w:tcBorders>
                    <w:top w:val="nil"/>
                    <w:left w:val="nil"/>
                    <w:bottom w:val="nil"/>
                    <w:right w:val="nil"/>
                  </w:tcBorders>
                  <w:shd w:val="clear" w:color="auto" w:fill="auto"/>
                  <w:noWrap/>
                  <w:vAlign w:val="bottom"/>
                  <w:hideMark/>
                </w:tcPr>
                <w:p w14:paraId="01CF609E" w14:textId="77777777" w:rsidR="006424A6" w:rsidRPr="00836096" w:rsidRDefault="006424A6" w:rsidP="006072E6">
                  <w:pPr>
                    <w:spacing w:line="480" w:lineRule="auto"/>
                    <w:jc w:val="both"/>
                  </w:pPr>
                  <w:r w:rsidRPr="00836096">
                    <w:t xml:space="preserve">22–28 = Clinical insomnia </w:t>
                  </w:r>
                </w:p>
                <w:p w14:paraId="0BBA436D" w14:textId="77777777" w:rsidR="006424A6" w:rsidRPr="00836096" w:rsidRDefault="006424A6" w:rsidP="006072E6">
                  <w:pPr>
                    <w:spacing w:line="480" w:lineRule="auto"/>
                    <w:jc w:val="both"/>
                  </w:pPr>
                  <w:r w:rsidRPr="00836096">
                    <w:t>(severe degree)</w:t>
                  </w:r>
                </w:p>
              </w:tc>
            </w:tr>
          </w:tbl>
          <w:p w14:paraId="79710406" w14:textId="77777777" w:rsidR="006424A6" w:rsidRPr="00836096" w:rsidRDefault="006424A6" w:rsidP="006072E6">
            <w:pPr>
              <w:pStyle w:val="Default"/>
              <w:spacing w:line="480" w:lineRule="auto"/>
              <w:jc w:val="both"/>
              <w:rPr>
                <w:rFonts w:ascii="Times New Roman" w:hAnsi="Times New Roman" w:cs="Times New Roman"/>
                <w:color w:val="auto"/>
              </w:rPr>
            </w:pPr>
          </w:p>
        </w:tc>
        <w:tc>
          <w:tcPr>
            <w:tcW w:w="1560" w:type="dxa"/>
            <w:shd w:val="clear" w:color="auto" w:fill="FFFFFF" w:themeFill="background1"/>
          </w:tcPr>
          <w:p w14:paraId="7FB4432E" w14:textId="77777777" w:rsidR="006424A6" w:rsidRPr="00836096" w:rsidRDefault="006424A6" w:rsidP="006072E6">
            <w:pPr>
              <w:spacing w:line="480" w:lineRule="auto"/>
              <w:jc w:val="both"/>
            </w:pPr>
            <w:r w:rsidRPr="00836096">
              <w:t xml:space="preserve">Pre, </w:t>
            </w:r>
            <w:proofErr w:type="gramStart"/>
            <w:r w:rsidRPr="00836096">
              <w:t>post</w:t>
            </w:r>
            <w:proofErr w:type="gramEnd"/>
            <w:r w:rsidRPr="00836096">
              <w:t xml:space="preserve"> and follow-up</w:t>
            </w:r>
          </w:p>
        </w:tc>
      </w:tr>
      <w:tr w:rsidR="00836096" w:rsidRPr="00836096" w14:paraId="7D932B0D" w14:textId="77777777" w:rsidTr="006072E6">
        <w:tc>
          <w:tcPr>
            <w:tcW w:w="5671" w:type="dxa"/>
            <w:shd w:val="clear" w:color="auto" w:fill="FFFFFF" w:themeFill="background1"/>
          </w:tcPr>
          <w:p w14:paraId="3A5E677B"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 xml:space="preserve">Tinnitus Cognitions Questionnaire </w:t>
            </w:r>
            <w:r w:rsidRPr="00836096">
              <w:rPr>
                <w:rFonts w:ascii="Times New Roman" w:hAnsi="Times New Roman" w:cs="Times New Roman"/>
                <w:noProof/>
                <w:color w:val="auto"/>
              </w:rPr>
              <w:t>(TCQ; Wilson &amp; Henry, 1998)</w:t>
            </w:r>
          </w:p>
        </w:tc>
        <w:tc>
          <w:tcPr>
            <w:tcW w:w="2126" w:type="dxa"/>
            <w:shd w:val="clear" w:color="auto" w:fill="FFFFFF" w:themeFill="background1"/>
          </w:tcPr>
          <w:p w14:paraId="52B4BBD7"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.91</w:t>
            </w:r>
          </w:p>
        </w:tc>
        <w:tc>
          <w:tcPr>
            <w:tcW w:w="1134" w:type="dxa"/>
            <w:shd w:val="clear" w:color="auto" w:fill="FFFFFF" w:themeFill="background1"/>
          </w:tcPr>
          <w:p w14:paraId="7A96FEFE"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0-104</w:t>
            </w:r>
          </w:p>
        </w:tc>
        <w:tc>
          <w:tcPr>
            <w:tcW w:w="3685" w:type="dxa"/>
            <w:shd w:val="clear" w:color="auto" w:fill="FFFFFF" w:themeFill="background1"/>
          </w:tcPr>
          <w:p w14:paraId="0DC158F4"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Higher scores indicate a greater tendency to engage in negative cognitions in response to tinnitus</w:t>
            </w:r>
          </w:p>
        </w:tc>
        <w:tc>
          <w:tcPr>
            <w:tcW w:w="1560" w:type="dxa"/>
            <w:shd w:val="clear" w:color="auto" w:fill="FFFFFF" w:themeFill="background1"/>
          </w:tcPr>
          <w:p w14:paraId="4D7E33B9" w14:textId="77777777" w:rsidR="006424A6" w:rsidRPr="00836096" w:rsidRDefault="006424A6" w:rsidP="006072E6">
            <w:pPr>
              <w:pStyle w:val="Default"/>
              <w:spacing w:line="480" w:lineRule="auto"/>
              <w:jc w:val="both"/>
              <w:rPr>
                <w:rFonts w:ascii="Times New Roman" w:eastAsia="Times New Roman" w:hAnsi="Times New Roman" w:cs="Times New Roman"/>
                <w:color w:val="auto"/>
                <w:lang w:eastAsia="en-GB"/>
              </w:rPr>
            </w:pPr>
            <w:bookmarkStart w:id="0" w:name="OLE_LINK2"/>
            <w:r w:rsidRPr="00836096">
              <w:rPr>
                <w:rFonts w:ascii="Times New Roman" w:eastAsia="Times New Roman" w:hAnsi="Times New Roman" w:cs="Times New Roman"/>
                <w:color w:val="auto"/>
                <w:lang w:eastAsia="en-GB"/>
              </w:rPr>
              <w:t xml:space="preserve">Pre, </w:t>
            </w:r>
            <w:proofErr w:type="gramStart"/>
            <w:r w:rsidRPr="00836096">
              <w:rPr>
                <w:rFonts w:ascii="Times New Roman" w:eastAsia="Times New Roman" w:hAnsi="Times New Roman" w:cs="Times New Roman"/>
                <w:color w:val="auto"/>
                <w:lang w:eastAsia="en-GB"/>
              </w:rPr>
              <w:t>post</w:t>
            </w:r>
            <w:proofErr w:type="gramEnd"/>
            <w:r w:rsidRPr="00836096">
              <w:rPr>
                <w:rFonts w:ascii="Times New Roman" w:eastAsia="Times New Roman" w:hAnsi="Times New Roman" w:cs="Times New Roman"/>
                <w:color w:val="auto"/>
                <w:lang w:eastAsia="en-GB"/>
              </w:rPr>
              <w:t xml:space="preserve"> and follow-up</w:t>
            </w:r>
            <w:bookmarkEnd w:id="0"/>
          </w:p>
        </w:tc>
      </w:tr>
      <w:tr w:rsidR="00836096" w:rsidRPr="00836096" w14:paraId="55579CD7" w14:textId="77777777" w:rsidTr="006072E6">
        <w:tc>
          <w:tcPr>
            <w:tcW w:w="5671" w:type="dxa"/>
            <w:shd w:val="clear" w:color="auto" w:fill="FFFFFF" w:themeFill="background1"/>
          </w:tcPr>
          <w:p w14:paraId="11E792AD" w14:textId="77777777" w:rsidR="006424A6" w:rsidRPr="00836096" w:rsidRDefault="006424A6" w:rsidP="006072E6">
            <w:pPr>
              <w:pStyle w:val="Default"/>
              <w:spacing w:line="480" w:lineRule="auto"/>
              <w:jc w:val="both"/>
              <w:rPr>
                <w:rFonts w:ascii="Times New Roman" w:hAnsi="Times New Roman" w:cs="Times New Roman"/>
                <w:color w:val="auto"/>
                <w:lang w:val="sv-SE"/>
              </w:rPr>
            </w:pPr>
            <w:r w:rsidRPr="00836096">
              <w:rPr>
                <w:rFonts w:ascii="Times New Roman" w:hAnsi="Times New Roman" w:cs="Times New Roman"/>
                <w:color w:val="auto"/>
                <w:lang w:val="sv-SE"/>
              </w:rPr>
              <w:t xml:space="preserve">EQ-5D-5L </w:t>
            </w:r>
            <w:sdt>
              <w:sdtPr>
                <w:rPr>
                  <w:rFonts w:ascii="Times New Roman" w:hAnsi="Times New Roman" w:cs="Times New Roman"/>
                  <w:color w:val="auto"/>
                </w:rPr>
                <w:id w:val="-159081439"/>
                <w:citation/>
              </w:sdtPr>
              <w:sdtEndPr/>
              <w:sdtContent>
                <w:r w:rsidRPr="00836096">
                  <w:rPr>
                    <w:rFonts w:ascii="Times New Roman" w:hAnsi="Times New Roman" w:cs="Times New Roman"/>
                    <w:color w:val="auto"/>
                  </w:rPr>
                  <w:fldChar w:fldCharType="begin"/>
                </w:r>
                <w:r w:rsidRPr="00836096">
                  <w:rPr>
                    <w:rFonts w:ascii="Times New Roman" w:hAnsi="Times New Roman" w:cs="Times New Roman"/>
                    <w:color w:val="auto"/>
                    <w:lang w:val="sv-SE"/>
                  </w:rPr>
                  <w:instrText xml:space="preserve"> CITATION Her11 \l 2057 </w:instrText>
                </w:r>
                <w:r w:rsidRPr="00836096">
                  <w:rPr>
                    <w:rFonts w:ascii="Times New Roman" w:hAnsi="Times New Roman" w:cs="Times New Roman"/>
                    <w:color w:val="auto"/>
                  </w:rPr>
                  <w:fldChar w:fldCharType="separate"/>
                </w:r>
                <w:r w:rsidRPr="00836096">
                  <w:rPr>
                    <w:rFonts w:ascii="Times New Roman" w:hAnsi="Times New Roman" w:cs="Times New Roman"/>
                    <w:noProof/>
                    <w:color w:val="auto"/>
                    <w:lang w:val="sv-SE"/>
                  </w:rPr>
                  <w:t>(Herdman, et al., 2011)</w:t>
                </w:r>
                <w:r w:rsidRPr="00836096">
                  <w:rPr>
                    <w:rFonts w:ascii="Times New Roman" w:hAnsi="Times New Roman" w:cs="Times New Roman"/>
                    <w:color w:val="auto"/>
                  </w:rPr>
                  <w:fldChar w:fldCharType="end"/>
                </w:r>
              </w:sdtContent>
            </w:sdt>
          </w:p>
        </w:tc>
        <w:tc>
          <w:tcPr>
            <w:tcW w:w="2126" w:type="dxa"/>
            <w:shd w:val="clear" w:color="auto" w:fill="FFFFFF" w:themeFill="background1"/>
          </w:tcPr>
          <w:p w14:paraId="7BF2C18C"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.7-.85</w:t>
            </w:r>
          </w:p>
        </w:tc>
        <w:tc>
          <w:tcPr>
            <w:tcW w:w="1134" w:type="dxa"/>
            <w:shd w:val="clear" w:color="auto" w:fill="FFFFFF" w:themeFill="background1"/>
          </w:tcPr>
          <w:p w14:paraId="2AF81BBC"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0-15</w:t>
            </w:r>
          </w:p>
          <w:p w14:paraId="0B4CC927" w14:textId="77777777" w:rsidR="006424A6" w:rsidRPr="00836096" w:rsidRDefault="006424A6" w:rsidP="006072E6">
            <w:pPr>
              <w:pStyle w:val="Default"/>
              <w:spacing w:line="480" w:lineRule="auto"/>
              <w:jc w:val="both"/>
              <w:rPr>
                <w:rFonts w:ascii="Times New Roman" w:hAnsi="Times New Roman" w:cs="Times New Roman"/>
                <w:color w:val="auto"/>
              </w:rPr>
            </w:pPr>
          </w:p>
        </w:tc>
        <w:tc>
          <w:tcPr>
            <w:tcW w:w="3685" w:type="dxa"/>
            <w:shd w:val="clear" w:color="auto" w:fill="auto"/>
          </w:tcPr>
          <w:p w14:paraId="1BCD8615" w14:textId="77777777" w:rsidR="006424A6" w:rsidRPr="00836096" w:rsidRDefault="006424A6" w:rsidP="006072E6">
            <w:pPr>
              <w:spacing w:line="480" w:lineRule="auto"/>
            </w:pPr>
            <w:r w:rsidRPr="00836096">
              <w:t>Measures 5 dimensions: mobility, self-care, usual activities, pain/discomfort, and anxiety/ depression</w:t>
            </w:r>
          </w:p>
        </w:tc>
        <w:tc>
          <w:tcPr>
            <w:tcW w:w="1560" w:type="dxa"/>
            <w:shd w:val="clear" w:color="auto" w:fill="FFFFFF" w:themeFill="background1"/>
          </w:tcPr>
          <w:p w14:paraId="369D8DD9" w14:textId="77777777" w:rsidR="006424A6" w:rsidRPr="00836096" w:rsidRDefault="006424A6" w:rsidP="006072E6">
            <w:pPr>
              <w:pStyle w:val="Default"/>
              <w:spacing w:line="480" w:lineRule="auto"/>
              <w:jc w:val="both"/>
              <w:rPr>
                <w:rFonts w:ascii="Times New Roman" w:eastAsia="Times New Roman" w:hAnsi="Times New Roman" w:cs="Times New Roman"/>
                <w:color w:val="auto"/>
                <w:lang w:eastAsia="en-GB"/>
              </w:rPr>
            </w:pPr>
            <w:r w:rsidRPr="00836096">
              <w:rPr>
                <w:rFonts w:ascii="Times New Roman" w:eastAsia="Times New Roman" w:hAnsi="Times New Roman" w:cs="Times New Roman"/>
                <w:color w:val="auto"/>
                <w:lang w:eastAsia="en-GB"/>
              </w:rPr>
              <w:t xml:space="preserve">Pre, </w:t>
            </w:r>
            <w:proofErr w:type="gramStart"/>
            <w:r w:rsidRPr="00836096">
              <w:rPr>
                <w:rFonts w:ascii="Times New Roman" w:eastAsia="Times New Roman" w:hAnsi="Times New Roman" w:cs="Times New Roman"/>
                <w:color w:val="auto"/>
                <w:lang w:eastAsia="en-GB"/>
              </w:rPr>
              <w:t>post</w:t>
            </w:r>
            <w:proofErr w:type="gramEnd"/>
            <w:r w:rsidRPr="00836096">
              <w:rPr>
                <w:rFonts w:ascii="Times New Roman" w:eastAsia="Times New Roman" w:hAnsi="Times New Roman" w:cs="Times New Roman"/>
                <w:color w:val="auto"/>
                <w:lang w:eastAsia="en-GB"/>
              </w:rPr>
              <w:t xml:space="preserve"> and follow-up</w:t>
            </w:r>
          </w:p>
        </w:tc>
      </w:tr>
      <w:tr w:rsidR="00836096" w:rsidRPr="00836096" w14:paraId="359062B3" w14:textId="77777777" w:rsidTr="006072E6">
        <w:tc>
          <w:tcPr>
            <w:tcW w:w="5671" w:type="dxa"/>
            <w:shd w:val="clear" w:color="auto" w:fill="FFFFFF" w:themeFill="background1"/>
          </w:tcPr>
          <w:p w14:paraId="1D28CA3C"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 xml:space="preserve">EQ-5D-5L Visual Analogue Scale (VAS) </w:t>
            </w:r>
            <w:sdt>
              <w:sdtPr>
                <w:rPr>
                  <w:rFonts w:ascii="Times New Roman" w:hAnsi="Times New Roman" w:cs="Times New Roman"/>
                  <w:color w:val="auto"/>
                </w:rPr>
                <w:id w:val="163285756"/>
                <w:citation/>
              </w:sdtPr>
              <w:sdtEndPr/>
              <w:sdtContent>
                <w:r w:rsidRPr="00836096">
                  <w:rPr>
                    <w:rFonts w:ascii="Times New Roman" w:hAnsi="Times New Roman" w:cs="Times New Roman"/>
                    <w:color w:val="auto"/>
                  </w:rPr>
                  <w:fldChar w:fldCharType="begin"/>
                </w:r>
                <w:r w:rsidRPr="00836096">
                  <w:rPr>
                    <w:rFonts w:ascii="Times New Roman" w:hAnsi="Times New Roman" w:cs="Times New Roman"/>
                    <w:color w:val="auto"/>
                  </w:rPr>
                  <w:instrText xml:space="preserve"> CITATION Her11 \l 2057 </w:instrText>
                </w:r>
                <w:r w:rsidRPr="00836096">
                  <w:rPr>
                    <w:rFonts w:ascii="Times New Roman" w:hAnsi="Times New Roman" w:cs="Times New Roman"/>
                    <w:color w:val="auto"/>
                  </w:rPr>
                  <w:fldChar w:fldCharType="separate"/>
                </w:r>
                <w:r w:rsidRPr="00836096">
                  <w:rPr>
                    <w:rFonts w:ascii="Times New Roman" w:hAnsi="Times New Roman" w:cs="Times New Roman"/>
                    <w:noProof/>
                    <w:color w:val="auto"/>
                  </w:rPr>
                  <w:t>(Herdman, et al., 2011)</w:t>
                </w:r>
                <w:r w:rsidRPr="00836096">
                  <w:rPr>
                    <w:rFonts w:ascii="Times New Roman" w:hAnsi="Times New Roman" w:cs="Times New Roman"/>
                    <w:color w:val="auto"/>
                  </w:rPr>
                  <w:fldChar w:fldCharType="end"/>
                </w:r>
              </w:sdtContent>
            </w:sdt>
          </w:p>
        </w:tc>
        <w:tc>
          <w:tcPr>
            <w:tcW w:w="2126" w:type="dxa"/>
            <w:shd w:val="clear" w:color="auto" w:fill="FFFFFF" w:themeFill="background1"/>
          </w:tcPr>
          <w:p w14:paraId="40E32960"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.7-.85</w:t>
            </w:r>
          </w:p>
        </w:tc>
        <w:tc>
          <w:tcPr>
            <w:tcW w:w="1134" w:type="dxa"/>
            <w:shd w:val="clear" w:color="auto" w:fill="FFFFFF" w:themeFill="background1"/>
          </w:tcPr>
          <w:p w14:paraId="65B72FF3"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0-100</w:t>
            </w:r>
          </w:p>
        </w:tc>
        <w:tc>
          <w:tcPr>
            <w:tcW w:w="3685" w:type="dxa"/>
            <w:shd w:val="clear" w:color="auto" w:fill="FFFFFF" w:themeFill="background1"/>
          </w:tcPr>
          <w:p w14:paraId="3FB76295"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VAS for overall health. Higher scores indicated improved health</w:t>
            </w:r>
          </w:p>
        </w:tc>
        <w:tc>
          <w:tcPr>
            <w:tcW w:w="1560" w:type="dxa"/>
            <w:shd w:val="clear" w:color="auto" w:fill="FFFFFF" w:themeFill="background1"/>
          </w:tcPr>
          <w:p w14:paraId="794DB7C8" w14:textId="77777777" w:rsidR="006424A6" w:rsidRPr="00836096" w:rsidRDefault="006424A6" w:rsidP="006072E6">
            <w:pPr>
              <w:pStyle w:val="Default"/>
              <w:spacing w:line="480" w:lineRule="auto"/>
              <w:jc w:val="both"/>
              <w:rPr>
                <w:rFonts w:ascii="Times New Roman" w:eastAsia="Times New Roman" w:hAnsi="Times New Roman" w:cs="Times New Roman"/>
                <w:color w:val="auto"/>
                <w:lang w:eastAsia="en-GB"/>
              </w:rPr>
            </w:pPr>
            <w:r w:rsidRPr="00836096">
              <w:rPr>
                <w:rFonts w:ascii="Times New Roman" w:eastAsia="Times New Roman" w:hAnsi="Times New Roman" w:cs="Times New Roman"/>
                <w:color w:val="auto"/>
                <w:lang w:eastAsia="en-GB"/>
              </w:rPr>
              <w:t xml:space="preserve">Pre, </w:t>
            </w:r>
            <w:proofErr w:type="gramStart"/>
            <w:r w:rsidRPr="00836096">
              <w:rPr>
                <w:rFonts w:ascii="Times New Roman" w:eastAsia="Times New Roman" w:hAnsi="Times New Roman" w:cs="Times New Roman"/>
                <w:color w:val="auto"/>
                <w:lang w:eastAsia="en-GB"/>
              </w:rPr>
              <w:t>post</w:t>
            </w:r>
            <w:proofErr w:type="gramEnd"/>
            <w:r w:rsidRPr="00836096">
              <w:rPr>
                <w:rFonts w:ascii="Times New Roman" w:eastAsia="Times New Roman" w:hAnsi="Times New Roman" w:cs="Times New Roman"/>
                <w:color w:val="auto"/>
                <w:lang w:eastAsia="en-GB"/>
              </w:rPr>
              <w:t xml:space="preserve"> and follow-up</w:t>
            </w:r>
          </w:p>
        </w:tc>
      </w:tr>
      <w:tr w:rsidR="00836096" w:rsidRPr="00836096" w14:paraId="377CE5E4" w14:textId="77777777" w:rsidTr="006072E6">
        <w:tc>
          <w:tcPr>
            <w:tcW w:w="5671" w:type="dxa"/>
            <w:shd w:val="clear" w:color="auto" w:fill="FFFFFF" w:themeFill="background1"/>
          </w:tcPr>
          <w:p w14:paraId="7F274E5B"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 xml:space="preserve">Tinnitus and Hearing Survey </w:t>
            </w:r>
            <w:r w:rsidRPr="00836096">
              <w:rPr>
                <w:rFonts w:ascii="Times New Roman" w:hAnsi="Times New Roman" w:cs="Times New Roman"/>
                <w:noProof/>
                <w:color w:val="auto"/>
              </w:rPr>
              <w:t>(THS; Henry, et al., 2015)</w:t>
            </w:r>
          </w:p>
        </w:tc>
        <w:tc>
          <w:tcPr>
            <w:tcW w:w="2126" w:type="dxa"/>
            <w:shd w:val="clear" w:color="auto" w:fill="FFFFFF" w:themeFill="background1"/>
          </w:tcPr>
          <w:p w14:paraId="21F5F764"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.86-.94</w:t>
            </w:r>
          </w:p>
        </w:tc>
        <w:tc>
          <w:tcPr>
            <w:tcW w:w="1134" w:type="dxa"/>
            <w:shd w:val="clear" w:color="auto" w:fill="FFFFFF" w:themeFill="background1"/>
          </w:tcPr>
          <w:p w14:paraId="74207464" w14:textId="77777777" w:rsidR="006424A6" w:rsidRPr="00836096" w:rsidRDefault="006424A6" w:rsidP="006072E6">
            <w:pPr>
              <w:pStyle w:val="Default"/>
              <w:spacing w:line="480" w:lineRule="auto"/>
              <w:jc w:val="both"/>
              <w:rPr>
                <w:rFonts w:ascii="Times New Roman" w:hAnsi="Times New Roman" w:cs="Times New Roman"/>
                <w:color w:val="auto"/>
              </w:rPr>
            </w:pPr>
          </w:p>
        </w:tc>
        <w:tc>
          <w:tcPr>
            <w:tcW w:w="3685" w:type="dxa"/>
            <w:shd w:val="clear" w:color="auto" w:fill="FFFFFF" w:themeFill="background1"/>
          </w:tcPr>
          <w:p w14:paraId="1C1E21F5"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Subscale for Tinnitus: 0-16</w:t>
            </w:r>
          </w:p>
          <w:p w14:paraId="4B0970C5"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Hearing: 0-16 Sound tolerance: 0-8</w:t>
            </w:r>
          </w:p>
        </w:tc>
        <w:tc>
          <w:tcPr>
            <w:tcW w:w="1560" w:type="dxa"/>
            <w:shd w:val="clear" w:color="auto" w:fill="FFFFFF" w:themeFill="background1"/>
          </w:tcPr>
          <w:p w14:paraId="44381B52"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eastAsia="Times New Roman" w:hAnsi="Times New Roman" w:cs="Times New Roman"/>
                <w:color w:val="auto"/>
                <w:lang w:eastAsia="en-GB"/>
              </w:rPr>
              <w:t xml:space="preserve">Pre, </w:t>
            </w:r>
            <w:proofErr w:type="gramStart"/>
            <w:r w:rsidRPr="00836096">
              <w:rPr>
                <w:rFonts w:ascii="Times New Roman" w:eastAsia="Times New Roman" w:hAnsi="Times New Roman" w:cs="Times New Roman"/>
                <w:color w:val="auto"/>
                <w:lang w:eastAsia="en-GB"/>
              </w:rPr>
              <w:t>post</w:t>
            </w:r>
            <w:proofErr w:type="gramEnd"/>
            <w:r w:rsidRPr="00836096">
              <w:rPr>
                <w:rFonts w:ascii="Times New Roman" w:eastAsia="Times New Roman" w:hAnsi="Times New Roman" w:cs="Times New Roman"/>
                <w:color w:val="auto"/>
                <w:lang w:eastAsia="en-GB"/>
              </w:rPr>
              <w:t xml:space="preserve"> and follow-up</w:t>
            </w:r>
          </w:p>
        </w:tc>
      </w:tr>
      <w:tr w:rsidR="00836096" w:rsidRPr="00836096" w14:paraId="5F317E46" w14:textId="77777777" w:rsidTr="006072E6">
        <w:trPr>
          <w:trHeight w:val="279"/>
        </w:trPr>
        <w:tc>
          <w:tcPr>
            <w:tcW w:w="12616" w:type="dxa"/>
            <w:gridSpan w:val="4"/>
            <w:shd w:val="clear" w:color="auto" w:fill="FFFFFF" w:themeFill="background1"/>
          </w:tcPr>
          <w:p w14:paraId="4D8C3225" w14:textId="77777777" w:rsidR="006424A6" w:rsidRPr="00836096" w:rsidRDefault="006424A6" w:rsidP="006072E6">
            <w:pPr>
              <w:tabs>
                <w:tab w:val="left" w:pos="1035"/>
              </w:tabs>
              <w:spacing w:line="480" w:lineRule="auto"/>
              <w:jc w:val="both"/>
            </w:pPr>
            <w:r w:rsidRPr="00836096">
              <w:rPr>
                <w:b/>
                <w:bCs/>
                <w:shd w:val="clear" w:color="auto" w:fill="FFFFFF"/>
              </w:rPr>
              <w:t>Weekly monitoring</w:t>
            </w:r>
          </w:p>
        </w:tc>
        <w:tc>
          <w:tcPr>
            <w:tcW w:w="1560" w:type="dxa"/>
            <w:shd w:val="clear" w:color="auto" w:fill="FFFFFF" w:themeFill="background1"/>
          </w:tcPr>
          <w:p w14:paraId="166C98E0" w14:textId="77777777" w:rsidR="006424A6" w:rsidRPr="00836096" w:rsidRDefault="006424A6" w:rsidP="006072E6">
            <w:pPr>
              <w:tabs>
                <w:tab w:val="left" w:pos="1035"/>
              </w:tabs>
              <w:spacing w:line="480" w:lineRule="auto"/>
              <w:jc w:val="both"/>
              <w:rPr>
                <w:b/>
                <w:bCs/>
                <w:shd w:val="clear" w:color="auto" w:fill="FFFFFF"/>
              </w:rPr>
            </w:pPr>
          </w:p>
        </w:tc>
      </w:tr>
      <w:tr w:rsidR="00836096" w:rsidRPr="00836096" w14:paraId="57B086D4" w14:textId="77777777" w:rsidTr="006072E6">
        <w:trPr>
          <w:trHeight w:val="279"/>
        </w:trPr>
        <w:tc>
          <w:tcPr>
            <w:tcW w:w="5671" w:type="dxa"/>
            <w:shd w:val="clear" w:color="auto" w:fill="FFFFFF" w:themeFill="background1"/>
          </w:tcPr>
          <w:p w14:paraId="08C6266A" w14:textId="77777777" w:rsidR="006424A6" w:rsidRPr="00836096" w:rsidRDefault="006424A6" w:rsidP="006072E6">
            <w:pPr>
              <w:pStyle w:val="Default"/>
              <w:spacing w:line="480" w:lineRule="auto"/>
              <w:jc w:val="both"/>
              <w:rPr>
                <w:rFonts w:ascii="Times New Roman" w:eastAsia="Times New Roman" w:hAnsi="Times New Roman" w:cs="Times New Roman"/>
                <w:color w:val="auto"/>
                <w:shd w:val="clear" w:color="auto" w:fill="FFFFFF"/>
                <w:lang w:eastAsia="en-GB"/>
              </w:rPr>
            </w:pPr>
            <w:r w:rsidRPr="00836096">
              <w:rPr>
                <w:rFonts w:ascii="Times New Roman" w:hAnsi="Times New Roman" w:cs="Times New Roman"/>
                <w:color w:val="auto"/>
                <w:lang w:val="en"/>
              </w:rPr>
              <w:lastRenderedPageBreak/>
              <w:t xml:space="preserve">Tinnitus Handicap Inventory-Screening (THI-S) </w:t>
            </w:r>
            <w:sdt>
              <w:sdtPr>
                <w:rPr>
                  <w:rFonts w:ascii="Times New Roman" w:hAnsi="Times New Roman" w:cs="Times New Roman"/>
                  <w:color w:val="auto"/>
                  <w:lang w:val="en"/>
                </w:rPr>
                <w:id w:val="-476922324"/>
                <w:citation/>
              </w:sdtPr>
              <w:sdtEndPr/>
              <w:sdtContent>
                <w:r w:rsidRPr="00836096">
                  <w:rPr>
                    <w:rFonts w:ascii="Times New Roman" w:hAnsi="Times New Roman" w:cs="Times New Roman"/>
                    <w:color w:val="auto"/>
                    <w:lang w:val="en"/>
                  </w:rPr>
                  <w:fldChar w:fldCharType="begin"/>
                </w:r>
                <w:r w:rsidRPr="00836096">
                  <w:rPr>
                    <w:rFonts w:ascii="Times New Roman" w:hAnsi="Times New Roman" w:cs="Times New Roman"/>
                    <w:color w:val="auto"/>
                  </w:rPr>
                  <w:instrText xml:space="preserve"> CITATION New08 \l 2057 </w:instrText>
                </w:r>
                <w:r w:rsidRPr="00836096">
                  <w:rPr>
                    <w:rFonts w:ascii="Times New Roman" w:hAnsi="Times New Roman" w:cs="Times New Roman"/>
                    <w:color w:val="auto"/>
                    <w:lang w:val="en"/>
                  </w:rPr>
                  <w:fldChar w:fldCharType="separate"/>
                </w:r>
                <w:r w:rsidRPr="00836096">
                  <w:rPr>
                    <w:rFonts w:ascii="Times New Roman" w:hAnsi="Times New Roman" w:cs="Times New Roman"/>
                    <w:noProof/>
                    <w:color w:val="auto"/>
                  </w:rPr>
                  <w:t>(Newman, Sandridge, &amp; Bolek, 2008)</w:t>
                </w:r>
                <w:r w:rsidRPr="00836096">
                  <w:rPr>
                    <w:rFonts w:ascii="Times New Roman" w:hAnsi="Times New Roman" w:cs="Times New Roman"/>
                    <w:color w:val="auto"/>
                    <w:lang w:val="en"/>
                  </w:rPr>
                  <w:fldChar w:fldCharType="end"/>
                </w:r>
              </w:sdtContent>
            </w:sdt>
            <w:r w:rsidRPr="00836096">
              <w:rPr>
                <w:rFonts w:ascii="Times New Roman" w:hAnsi="Times New Roman" w:cs="Times New Roman"/>
                <w:color w:val="auto"/>
                <w:lang w:val="en"/>
              </w:rPr>
              <w:t xml:space="preserve">  </w:t>
            </w:r>
          </w:p>
        </w:tc>
        <w:tc>
          <w:tcPr>
            <w:tcW w:w="2126" w:type="dxa"/>
            <w:shd w:val="clear" w:color="auto" w:fill="FFFFFF" w:themeFill="background1"/>
          </w:tcPr>
          <w:p w14:paraId="34BC61F6"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.93</w:t>
            </w:r>
          </w:p>
        </w:tc>
        <w:tc>
          <w:tcPr>
            <w:tcW w:w="1134" w:type="dxa"/>
            <w:shd w:val="clear" w:color="auto" w:fill="FFFFFF" w:themeFill="background1"/>
          </w:tcPr>
          <w:p w14:paraId="3A06EFB6" w14:textId="77777777" w:rsidR="006424A6" w:rsidRPr="00836096" w:rsidRDefault="006424A6" w:rsidP="006072E6">
            <w:pPr>
              <w:spacing w:line="480" w:lineRule="auto"/>
              <w:jc w:val="both"/>
            </w:pPr>
            <w:r w:rsidRPr="00836096">
              <w:t>0-40</w:t>
            </w:r>
          </w:p>
        </w:tc>
        <w:tc>
          <w:tcPr>
            <w:tcW w:w="3685" w:type="dxa"/>
            <w:shd w:val="clear" w:color="auto" w:fill="FFFFFF" w:themeFill="background1"/>
          </w:tcPr>
          <w:p w14:paraId="3726EEB0" w14:textId="77777777" w:rsidR="006424A6" w:rsidRPr="00836096" w:rsidRDefault="006424A6" w:rsidP="006072E6">
            <w:pPr>
              <w:spacing w:line="480" w:lineRule="auto"/>
              <w:jc w:val="both"/>
            </w:pPr>
            <w:r w:rsidRPr="00836096">
              <w:t xml:space="preserve">&gt;6 tinnitus handicap </w:t>
            </w:r>
          </w:p>
          <w:p w14:paraId="6B9F9A0C" w14:textId="77777777" w:rsidR="006424A6" w:rsidRPr="00836096" w:rsidRDefault="006424A6" w:rsidP="006072E6">
            <w:pPr>
              <w:tabs>
                <w:tab w:val="left" w:pos="1035"/>
              </w:tabs>
              <w:spacing w:line="480" w:lineRule="auto"/>
              <w:jc w:val="both"/>
            </w:pPr>
          </w:p>
        </w:tc>
        <w:tc>
          <w:tcPr>
            <w:tcW w:w="1560" w:type="dxa"/>
            <w:shd w:val="clear" w:color="auto" w:fill="FFFFFF" w:themeFill="background1"/>
          </w:tcPr>
          <w:p w14:paraId="64E59C78" w14:textId="77777777" w:rsidR="006424A6" w:rsidRPr="00836096" w:rsidRDefault="006424A6" w:rsidP="006072E6">
            <w:pPr>
              <w:spacing w:line="480" w:lineRule="auto"/>
              <w:jc w:val="both"/>
            </w:pPr>
            <w:r w:rsidRPr="00836096">
              <w:t>Weekly while undertaking the 8-week intervention</w:t>
            </w:r>
          </w:p>
        </w:tc>
      </w:tr>
      <w:tr w:rsidR="00836096" w:rsidRPr="00836096" w14:paraId="1E44AEFA" w14:textId="77777777" w:rsidTr="006072E6">
        <w:trPr>
          <w:trHeight w:val="279"/>
        </w:trPr>
        <w:tc>
          <w:tcPr>
            <w:tcW w:w="5671" w:type="dxa"/>
            <w:shd w:val="clear" w:color="auto" w:fill="FFFFFF" w:themeFill="background1"/>
          </w:tcPr>
          <w:p w14:paraId="2A3147B0" w14:textId="77777777" w:rsidR="006424A6" w:rsidRPr="00836096" w:rsidRDefault="006424A6" w:rsidP="006072E6">
            <w:pPr>
              <w:pStyle w:val="Default"/>
              <w:spacing w:line="480" w:lineRule="auto"/>
              <w:jc w:val="both"/>
              <w:rPr>
                <w:rFonts w:ascii="Times New Roman" w:eastAsia="Times New Roman" w:hAnsi="Times New Roman" w:cs="Times New Roman"/>
                <w:color w:val="auto"/>
                <w:shd w:val="clear" w:color="auto" w:fill="FFFFFF"/>
                <w:lang w:eastAsia="en-GB"/>
              </w:rPr>
            </w:pPr>
            <w:r w:rsidRPr="00836096">
              <w:rPr>
                <w:rFonts w:ascii="Times New Roman" w:eastAsia="Times New Roman" w:hAnsi="Times New Roman" w:cs="Times New Roman"/>
                <w:color w:val="auto"/>
                <w:shd w:val="clear" w:color="auto" w:fill="FFFFFF"/>
                <w:lang w:eastAsia="en-GB"/>
              </w:rPr>
              <w:t>Tinnitus Qualities Questionnaire</w:t>
            </w:r>
          </w:p>
          <w:p w14:paraId="3F97E827" w14:textId="77777777" w:rsidR="006424A6" w:rsidRPr="00836096" w:rsidRDefault="006424A6" w:rsidP="006072E6">
            <w:pPr>
              <w:pStyle w:val="Default"/>
              <w:spacing w:line="480" w:lineRule="auto"/>
              <w:jc w:val="both"/>
              <w:rPr>
                <w:rFonts w:ascii="Times New Roman" w:eastAsia="Times New Roman" w:hAnsi="Times New Roman" w:cs="Times New Roman"/>
                <w:color w:val="auto"/>
                <w:shd w:val="clear" w:color="auto" w:fill="FFFFFF"/>
                <w:lang w:eastAsia="en-GB"/>
              </w:rPr>
            </w:pPr>
            <w:r w:rsidRPr="00836096">
              <w:rPr>
                <w:rFonts w:ascii="Times New Roman" w:eastAsia="Times New Roman" w:hAnsi="Times New Roman" w:cs="Times New Roman"/>
                <w:noProof/>
                <w:color w:val="auto"/>
                <w:shd w:val="clear" w:color="auto" w:fill="FFFFFF"/>
                <w:lang w:eastAsia="en-GB"/>
              </w:rPr>
              <w:t>(TQQ; Beukes, Andersson, Manchaiah, &amp; Kaldo, 2021)</w:t>
            </w:r>
          </w:p>
        </w:tc>
        <w:tc>
          <w:tcPr>
            <w:tcW w:w="2126" w:type="dxa"/>
            <w:shd w:val="clear" w:color="auto" w:fill="FFFFFF" w:themeFill="background1"/>
          </w:tcPr>
          <w:p w14:paraId="41B2095E"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Not assessed</w:t>
            </w:r>
          </w:p>
        </w:tc>
        <w:tc>
          <w:tcPr>
            <w:tcW w:w="1134" w:type="dxa"/>
            <w:shd w:val="clear" w:color="auto" w:fill="FFFFFF" w:themeFill="background1"/>
          </w:tcPr>
          <w:p w14:paraId="661E35E2" w14:textId="77777777" w:rsidR="006424A6" w:rsidRPr="00836096" w:rsidRDefault="006424A6" w:rsidP="006072E6">
            <w:pPr>
              <w:spacing w:line="480" w:lineRule="auto"/>
              <w:jc w:val="both"/>
            </w:pPr>
            <w:r w:rsidRPr="00836096">
              <w:t>0-100</w:t>
            </w:r>
          </w:p>
        </w:tc>
        <w:tc>
          <w:tcPr>
            <w:tcW w:w="3685" w:type="dxa"/>
            <w:shd w:val="clear" w:color="auto" w:fill="FFFFFF" w:themeFill="background1"/>
          </w:tcPr>
          <w:p w14:paraId="30061E08" w14:textId="77777777" w:rsidR="006424A6" w:rsidRPr="00836096" w:rsidRDefault="006424A6" w:rsidP="006072E6">
            <w:pPr>
              <w:tabs>
                <w:tab w:val="left" w:pos="1035"/>
              </w:tabs>
              <w:spacing w:line="480" w:lineRule="auto"/>
              <w:jc w:val="both"/>
            </w:pPr>
            <w:r w:rsidRPr="00836096">
              <w:t>Designed to determine whether tinnitus qualities such as loudness, pitch, the number of tones heard and so forth improves while undertaking an intervention. Higher scores indicate more bothersome aspects of tinnitus are present.</w:t>
            </w:r>
          </w:p>
        </w:tc>
        <w:tc>
          <w:tcPr>
            <w:tcW w:w="1560" w:type="dxa"/>
            <w:shd w:val="clear" w:color="auto" w:fill="FFFFFF" w:themeFill="background1"/>
          </w:tcPr>
          <w:p w14:paraId="75BAE734" w14:textId="77777777" w:rsidR="006424A6" w:rsidRPr="00836096" w:rsidRDefault="006424A6" w:rsidP="006072E6">
            <w:pPr>
              <w:tabs>
                <w:tab w:val="left" w:pos="1035"/>
              </w:tabs>
              <w:spacing w:line="480" w:lineRule="auto"/>
              <w:jc w:val="both"/>
            </w:pPr>
            <w:r w:rsidRPr="00836096">
              <w:t>Weekly while undertaking the 8-week intervention</w:t>
            </w:r>
          </w:p>
        </w:tc>
      </w:tr>
      <w:tr w:rsidR="00836096" w:rsidRPr="00836096" w14:paraId="12F359AF" w14:textId="77777777" w:rsidTr="006072E6">
        <w:trPr>
          <w:trHeight w:val="279"/>
        </w:trPr>
        <w:tc>
          <w:tcPr>
            <w:tcW w:w="5671" w:type="dxa"/>
            <w:shd w:val="clear" w:color="auto" w:fill="FFFFFF" w:themeFill="background1"/>
          </w:tcPr>
          <w:p w14:paraId="4BF974AD" w14:textId="77777777" w:rsidR="006424A6" w:rsidRPr="00836096" w:rsidRDefault="006424A6" w:rsidP="006072E6">
            <w:pPr>
              <w:pStyle w:val="Default"/>
              <w:spacing w:line="480" w:lineRule="auto"/>
              <w:jc w:val="both"/>
              <w:rPr>
                <w:rFonts w:ascii="Times New Roman" w:eastAsia="Times New Roman" w:hAnsi="Times New Roman" w:cs="Times New Roman"/>
                <w:b/>
                <w:bCs/>
                <w:color w:val="auto"/>
                <w:shd w:val="clear" w:color="auto" w:fill="FFFFFF"/>
                <w:lang w:eastAsia="en-GB"/>
              </w:rPr>
            </w:pPr>
            <w:r w:rsidRPr="00836096">
              <w:rPr>
                <w:rFonts w:ascii="Times New Roman" w:eastAsia="Times New Roman" w:hAnsi="Times New Roman" w:cs="Times New Roman"/>
                <w:b/>
                <w:bCs/>
                <w:color w:val="auto"/>
                <w:shd w:val="clear" w:color="auto" w:fill="FFFFFF"/>
                <w:lang w:eastAsia="en-GB"/>
              </w:rPr>
              <w:t>Intervention satisfaction</w:t>
            </w:r>
          </w:p>
          <w:p w14:paraId="3BFDF21B" w14:textId="77777777" w:rsidR="006424A6" w:rsidRPr="00836096" w:rsidRDefault="007E126C" w:rsidP="006072E6">
            <w:pPr>
              <w:pStyle w:val="Default"/>
              <w:spacing w:line="480" w:lineRule="auto"/>
              <w:jc w:val="both"/>
              <w:rPr>
                <w:rFonts w:ascii="Times New Roman" w:eastAsia="Times New Roman" w:hAnsi="Times New Roman" w:cs="Times New Roman"/>
                <w:b/>
                <w:bCs/>
                <w:color w:val="auto"/>
                <w:shd w:val="clear" w:color="auto" w:fill="FFFFFF"/>
                <w:lang w:eastAsia="en-GB"/>
              </w:rPr>
            </w:pPr>
            <w:sdt>
              <w:sdtPr>
                <w:rPr>
                  <w:rFonts w:ascii="Times New Roman" w:hAnsi="Times New Roman" w:cs="Times New Roman"/>
                  <w:b/>
                  <w:bCs/>
                  <w:color w:val="auto"/>
                  <w:shd w:val="clear" w:color="auto" w:fill="FFFFFF"/>
                </w:rPr>
                <w:id w:val="1915197227"/>
                <w:citation/>
              </w:sdtPr>
              <w:sdtEndPr/>
              <w:sdtContent>
                <w:r w:rsidR="006424A6" w:rsidRPr="00836096">
                  <w:rPr>
                    <w:rFonts w:ascii="Times New Roman" w:hAnsi="Times New Roman" w:cs="Times New Roman"/>
                    <w:b/>
                    <w:bCs/>
                    <w:color w:val="auto"/>
                    <w:shd w:val="clear" w:color="auto" w:fill="FFFFFF"/>
                  </w:rPr>
                  <w:fldChar w:fldCharType="begin"/>
                </w:r>
                <w:r w:rsidR="006424A6" w:rsidRPr="00836096">
                  <w:rPr>
                    <w:rFonts w:ascii="Times New Roman" w:hAnsi="Times New Roman" w:cs="Times New Roman"/>
                    <w:b/>
                    <w:bCs/>
                    <w:color w:val="auto"/>
                    <w:shd w:val="clear" w:color="auto" w:fill="FFFFFF"/>
                  </w:rPr>
                  <w:instrText xml:space="preserve"> CITATION Beu16 \l 2057 </w:instrText>
                </w:r>
                <w:r w:rsidR="006424A6" w:rsidRPr="00836096">
                  <w:rPr>
                    <w:rFonts w:ascii="Times New Roman" w:hAnsi="Times New Roman" w:cs="Times New Roman"/>
                    <w:b/>
                    <w:bCs/>
                    <w:color w:val="auto"/>
                    <w:shd w:val="clear" w:color="auto" w:fill="FFFFFF"/>
                  </w:rPr>
                  <w:fldChar w:fldCharType="separate"/>
                </w:r>
                <w:r w:rsidR="006424A6" w:rsidRPr="00836096">
                  <w:rPr>
                    <w:rFonts w:ascii="Times New Roman" w:hAnsi="Times New Roman" w:cs="Times New Roman"/>
                    <w:noProof/>
                    <w:color w:val="auto"/>
                    <w:shd w:val="clear" w:color="auto" w:fill="FFFFFF"/>
                  </w:rPr>
                  <w:t>(Beukes, et al., 2016)</w:t>
                </w:r>
                <w:r w:rsidR="006424A6" w:rsidRPr="00836096">
                  <w:rPr>
                    <w:rFonts w:ascii="Times New Roman" w:hAnsi="Times New Roman" w:cs="Times New Roman"/>
                    <w:b/>
                    <w:bCs/>
                    <w:color w:val="auto"/>
                    <w:shd w:val="clear" w:color="auto" w:fill="FFFFFF"/>
                  </w:rPr>
                  <w:fldChar w:fldCharType="end"/>
                </w:r>
              </w:sdtContent>
            </w:sdt>
          </w:p>
        </w:tc>
        <w:tc>
          <w:tcPr>
            <w:tcW w:w="2126" w:type="dxa"/>
            <w:shd w:val="clear" w:color="auto" w:fill="FFFFFF" w:themeFill="background1"/>
          </w:tcPr>
          <w:p w14:paraId="183DC6CF" w14:textId="77777777" w:rsidR="006424A6" w:rsidRPr="00836096" w:rsidRDefault="006424A6" w:rsidP="006072E6">
            <w:pPr>
              <w:pStyle w:val="Default"/>
              <w:spacing w:line="480" w:lineRule="auto"/>
              <w:jc w:val="both"/>
              <w:rPr>
                <w:rFonts w:ascii="Times New Roman" w:hAnsi="Times New Roman" w:cs="Times New Roman"/>
                <w:color w:val="auto"/>
              </w:rPr>
            </w:pPr>
            <w:r w:rsidRPr="00836096">
              <w:rPr>
                <w:rFonts w:ascii="Times New Roman" w:hAnsi="Times New Roman" w:cs="Times New Roman"/>
                <w:color w:val="auto"/>
              </w:rPr>
              <w:t>Not assessed</w:t>
            </w:r>
          </w:p>
        </w:tc>
        <w:tc>
          <w:tcPr>
            <w:tcW w:w="1134" w:type="dxa"/>
            <w:shd w:val="clear" w:color="auto" w:fill="FFFFFF" w:themeFill="background1"/>
          </w:tcPr>
          <w:p w14:paraId="1500B43D" w14:textId="77777777" w:rsidR="006424A6" w:rsidRPr="00836096" w:rsidRDefault="006424A6" w:rsidP="006072E6">
            <w:pPr>
              <w:spacing w:line="480" w:lineRule="auto"/>
              <w:jc w:val="both"/>
            </w:pPr>
            <w:r w:rsidRPr="00836096">
              <w:t>0-75</w:t>
            </w:r>
          </w:p>
        </w:tc>
        <w:tc>
          <w:tcPr>
            <w:tcW w:w="3685" w:type="dxa"/>
            <w:shd w:val="clear" w:color="auto" w:fill="FFFFFF" w:themeFill="background1"/>
          </w:tcPr>
          <w:p w14:paraId="570F551C" w14:textId="77777777" w:rsidR="006424A6" w:rsidRPr="00836096" w:rsidRDefault="006424A6" w:rsidP="006072E6">
            <w:pPr>
              <w:tabs>
                <w:tab w:val="left" w:pos="1035"/>
              </w:tabs>
              <w:spacing w:line="480" w:lineRule="auto"/>
              <w:jc w:val="both"/>
            </w:pPr>
            <w:r w:rsidRPr="00836096">
              <w:t>Higher scores indicate more intervention satisfaction</w:t>
            </w:r>
          </w:p>
        </w:tc>
        <w:tc>
          <w:tcPr>
            <w:tcW w:w="1560" w:type="dxa"/>
            <w:shd w:val="clear" w:color="auto" w:fill="FFFFFF" w:themeFill="background1"/>
          </w:tcPr>
          <w:p w14:paraId="024101EC" w14:textId="77777777" w:rsidR="006424A6" w:rsidRPr="00836096" w:rsidRDefault="006424A6" w:rsidP="006072E6">
            <w:pPr>
              <w:tabs>
                <w:tab w:val="left" w:pos="1035"/>
              </w:tabs>
              <w:spacing w:line="480" w:lineRule="auto"/>
              <w:jc w:val="both"/>
            </w:pPr>
            <w:r w:rsidRPr="00836096">
              <w:t>Post-intervention</w:t>
            </w:r>
          </w:p>
        </w:tc>
      </w:tr>
    </w:tbl>
    <w:p w14:paraId="1CC442BB" w14:textId="77777777" w:rsidR="006424A6" w:rsidRPr="00836096" w:rsidRDefault="006424A6" w:rsidP="006424A6"/>
    <w:p w14:paraId="0B4932EA" w14:textId="77777777" w:rsidR="000249F6" w:rsidRPr="00836096" w:rsidRDefault="000249F6" w:rsidP="00E745E8">
      <w:pPr>
        <w:tabs>
          <w:tab w:val="left" w:pos="6480"/>
        </w:tabs>
        <w:spacing w:line="480" w:lineRule="auto"/>
        <w:rPr>
          <w:lang w:val="en"/>
        </w:rPr>
      </w:pPr>
    </w:p>
    <w:p w14:paraId="4ACE4C69" w14:textId="36BA125C" w:rsidR="003F00E8" w:rsidRPr="00836096" w:rsidRDefault="007E126C" w:rsidP="00E745E8">
      <w:pPr>
        <w:tabs>
          <w:tab w:val="left" w:pos="6480"/>
        </w:tabs>
        <w:spacing w:line="480" w:lineRule="auto"/>
      </w:pPr>
      <w:r w:rsidRPr="00836096">
        <w:object w:dxaOrig="13960" w:dyaOrig="8900" w14:anchorId="6EB3BC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able 1" style="width:698.25pt;height:444.75pt;mso-width-percent:0;mso-height-percent:0;mso-width-percent:0;mso-height-percent:0" o:ole="">
            <v:imagedata r:id="rId17" o:title=""/>
          </v:shape>
          <o:OLEObject Type="Embed" ProgID="Word.Document.12" ShapeID="_x0000_i1025" DrawAspect="Content" ObjectID="_1683449491" r:id="rId18">
            <o:FieldCodes>\s</o:FieldCodes>
          </o:OLEObject>
        </w:object>
      </w:r>
      <w:r w:rsidR="003F00E8" w:rsidRPr="00836096">
        <w:tab/>
      </w:r>
    </w:p>
    <w:p w14:paraId="67564457" w14:textId="1DF65974" w:rsidR="003F00E8" w:rsidRPr="00836096" w:rsidRDefault="003F00E8" w:rsidP="00E745E8">
      <w:pPr>
        <w:spacing w:line="480" w:lineRule="auto"/>
        <w:rPr>
          <w:bCs/>
        </w:rPr>
      </w:pPr>
      <w:r w:rsidRPr="00836096">
        <w:rPr>
          <w:b/>
        </w:rPr>
        <w:t xml:space="preserve">Table 2: </w:t>
      </w:r>
      <w:r w:rsidRPr="00836096">
        <w:rPr>
          <w:bCs/>
        </w:rPr>
        <w:t>Demographic characteristics of the participants</w:t>
      </w:r>
    </w:p>
    <w:p w14:paraId="0ED289F1" w14:textId="39768789" w:rsidR="00BF772E" w:rsidRPr="00836096" w:rsidRDefault="00BF772E" w:rsidP="00E745E8">
      <w:pPr>
        <w:spacing w:line="480" w:lineRule="auto"/>
        <w:rPr>
          <w:bCs/>
        </w:rPr>
      </w:pPr>
    </w:p>
    <w:p w14:paraId="419A4822" w14:textId="77777777" w:rsidR="00BF772E" w:rsidRPr="00836096" w:rsidRDefault="00BF772E" w:rsidP="00BF772E">
      <w:pPr>
        <w:spacing w:line="480" w:lineRule="auto"/>
        <w:jc w:val="both"/>
        <w:rPr>
          <w:b/>
        </w:rPr>
      </w:pPr>
    </w:p>
    <w:p w14:paraId="56CE04FC" w14:textId="77777777" w:rsidR="00BF772E" w:rsidRPr="00836096" w:rsidRDefault="00BF772E" w:rsidP="00BF772E">
      <w:pPr>
        <w:spacing w:line="480" w:lineRule="auto"/>
        <w:jc w:val="both"/>
        <w:rPr>
          <w:b/>
        </w:rPr>
      </w:pPr>
      <w:r w:rsidRPr="00836096">
        <w:rPr>
          <w:b/>
        </w:rPr>
        <w:t>Table 2: Demographic characteristics of the participants (n =27)</w:t>
      </w:r>
    </w:p>
    <w:tbl>
      <w:tblPr>
        <w:tblStyle w:val="TableGrid"/>
        <w:tblW w:w="0" w:type="auto"/>
        <w:tblBorders>
          <w:insideV w:val="none" w:sz="0" w:space="0" w:color="auto"/>
        </w:tblBorders>
        <w:tblLook w:val="04A0" w:firstRow="1" w:lastRow="0" w:firstColumn="1" w:lastColumn="0" w:noHBand="0" w:noVBand="1"/>
      </w:tblPr>
      <w:tblGrid>
        <w:gridCol w:w="4390"/>
        <w:gridCol w:w="4536"/>
      </w:tblGrid>
      <w:tr w:rsidR="00836096" w:rsidRPr="00836096" w14:paraId="0DF35248" w14:textId="77777777" w:rsidTr="006072E6">
        <w:tc>
          <w:tcPr>
            <w:tcW w:w="4390" w:type="dxa"/>
            <w:shd w:val="clear" w:color="auto" w:fill="FFFFFF" w:themeFill="background1"/>
          </w:tcPr>
          <w:p w14:paraId="38A22013" w14:textId="77777777" w:rsidR="00BF772E" w:rsidRPr="00836096" w:rsidRDefault="00BF772E" w:rsidP="006072E6">
            <w:pPr>
              <w:spacing w:line="480" w:lineRule="auto"/>
              <w:jc w:val="both"/>
              <w:rPr>
                <w:b/>
              </w:rPr>
            </w:pPr>
            <w:r w:rsidRPr="00836096">
              <w:rPr>
                <w:b/>
              </w:rPr>
              <w:t>DEMOGRAPHICAL INFORMATION</w:t>
            </w:r>
          </w:p>
        </w:tc>
        <w:tc>
          <w:tcPr>
            <w:tcW w:w="4536" w:type="dxa"/>
            <w:shd w:val="clear" w:color="auto" w:fill="FFFFFF" w:themeFill="background1"/>
          </w:tcPr>
          <w:p w14:paraId="3EB53B4A" w14:textId="77777777" w:rsidR="00BF772E" w:rsidRPr="00836096" w:rsidRDefault="00BF772E" w:rsidP="006072E6">
            <w:pPr>
              <w:spacing w:line="480" w:lineRule="auto"/>
              <w:jc w:val="both"/>
              <w:rPr>
                <w:b/>
              </w:rPr>
            </w:pPr>
            <w:r w:rsidRPr="00836096">
              <w:rPr>
                <w:b/>
              </w:rPr>
              <w:t>Mean (SD) or number (%)</w:t>
            </w:r>
          </w:p>
          <w:p w14:paraId="49B05D2D" w14:textId="77777777" w:rsidR="00BF772E" w:rsidRPr="00836096" w:rsidRDefault="00BF772E" w:rsidP="006072E6">
            <w:pPr>
              <w:spacing w:line="480" w:lineRule="auto"/>
              <w:jc w:val="both"/>
            </w:pPr>
          </w:p>
        </w:tc>
      </w:tr>
      <w:tr w:rsidR="00836096" w:rsidRPr="00836096" w14:paraId="07198C75" w14:textId="77777777" w:rsidTr="006072E6">
        <w:tc>
          <w:tcPr>
            <w:tcW w:w="4390" w:type="dxa"/>
            <w:shd w:val="clear" w:color="auto" w:fill="FFFFFF" w:themeFill="background1"/>
          </w:tcPr>
          <w:p w14:paraId="4AA839D8" w14:textId="77777777" w:rsidR="00BF772E" w:rsidRPr="00836096" w:rsidRDefault="00BF772E" w:rsidP="006072E6">
            <w:pPr>
              <w:spacing w:line="480" w:lineRule="auto"/>
              <w:jc w:val="both"/>
              <w:rPr>
                <w:b/>
              </w:rPr>
            </w:pPr>
            <w:r w:rsidRPr="00836096">
              <w:rPr>
                <w:b/>
              </w:rPr>
              <w:t>Gender</w:t>
            </w:r>
          </w:p>
        </w:tc>
        <w:tc>
          <w:tcPr>
            <w:tcW w:w="4536" w:type="dxa"/>
            <w:shd w:val="clear" w:color="auto" w:fill="FFFFFF" w:themeFill="background1"/>
          </w:tcPr>
          <w:p w14:paraId="32BFFB52" w14:textId="77777777" w:rsidR="00BF772E" w:rsidRPr="00836096" w:rsidRDefault="00BF772E" w:rsidP="006072E6">
            <w:pPr>
              <w:spacing w:line="480" w:lineRule="auto"/>
              <w:jc w:val="both"/>
            </w:pPr>
            <w:r w:rsidRPr="00836096">
              <w:t xml:space="preserve">18 (67%) </w:t>
            </w:r>
            <w:proofErr w:type="gramStart"/>
            <w:r w:rsidRPr="00836096">
              <w:t>female</w:t>
            </w:r>
            <w:proofErr w:type="gramEnd"/>
          </w:p>
          <w:p w14:paraId="0A194931" w14:textId="77777777" w:rsidR="00BF772E" w:rsidRPr="00836096" w:rsidRDefault="00BF772E" w:rsidP="006072E6">
            <w:pPr>
              <w:spacing w:line="480" w:lineRule="auto"/>
              <w:jc w:val="both"/>
            </w:pPr>
            <w:r w:rsidRPr="00836096">
              <w:t xml:space="preserve">9 (33%) </w:t>
            </w:r>
            <w:proofErr w:type="gramStart"/>
            <w:r w:rsidRPr="00836096">
              <w:t>male</w:t>
            </w:r>
            <w:proofErr w:type="gramEnd"/>
          </w:p>
        </w:tc>
      </w:tr>
      <w:tr w:rsidR="00836096" w:rsidRPr="00836096" w14:paraId="379A8196" w14:textId="77777777" w:rsidTr="006072E6">
        <w:tc>
          <w:tcPr>
            <w:tcW w:w="4390" w:type="dxa"/>
            <w:shd w:val="clear" w:color="auto" w:fill="FFFFFF" w:themeFill="background1"/>
          </w:tcPr>
          <w:p w14:paraId="7A2E2C0F" w14:textId="77777777" w:rsidR="00BF772E" w:rsidRPr="00836096" w:rsidRDefault="00BF772E" w:rsidP="006072E6">
            <w:pPr>
              <w:spacing w:line="480" w:lineRule="auto"/>
              <w:jc w:val="both"/>
              <w:rPr>
                <w:b/>
              </w:rPr>
            </w:pPr>
            <w:r w:rsidRPr="00836096">
              <w:rPr>
                <w:b/>
              </w:rPr>
              <w:t xml:space="preserve">Average age </w:t>
            </w:r>
          </w:p>
        </w:tc>
        <w:tc>
          <w:tcPr>
            <w:tcW w:w="4536" w:type="dxa"/>
            <w:shd w:val="clear" w:color="auto" w:fill="FFFFFF" w:themeFill="background1"/>
          </w:tcPr>
          <w:p w14:paraId="585D2732" w14:textId="77777777" w:rsidR="00BF772E" w:rsidRPr="00836096" w:rsidRDefault="00BF772E" w:rsidP="006072E6">
            <w:pPr>
              <w:spacing w:line="480" w:lineRule="auto"/>
              <w:jc w:val="both"/>
            </w:pPr>
            <w:r w:rsidRPr="00836096">
              <w:t xml:space="preserve">55.48 ± 9.9 years </w:t>
            </w:r>
          </w:p>
          <w:p w14:paraId="08B58ACD" w14:textId="77777777" w:rsidR="00BF772E" w:rsidRPr="00836096" w:rsidRDefault="00BF772E" w:rsidP="006072E6">
            <w:pPr>
              <w:spacing w:line="480" w:lineRule="auto"/>
              <w:jc w:val="both"/>
            </w:pPr>
            <w:r w:rsidRPr="00836096">
              <w:t>Range 34-71 years</w:t>
            </w:r>
          </w:p>
        </w:tc>
      </w:tr>
      <w:tr w:rsidR="00836096" w:rsidRPr="00836096" w14:paraId="6E3127E3" w14:textId="77777777" w:rsidTr="006072E6">
        <w:tc>
          <w:tcPr>
            <w:tcW w:w="4390" w:type="dxa"/>
            <w:shd w:val="clear" w:color="auto" w:fill="FFFFFF" w:themeFill="background1"/>
          </w:tcPr>
          <w:p w14:paraId="3D6A2A4A" w14:textId="77777777" w:rsidR="00BF772E" w:rsidRPr="00836096" w:rsidRDefault="00BF772E" w:rsidP="006072E6">
            <w:pPr>
              <w:spacing w:line="480" w:lineRule="auto"/>
              <w:jc w:val="both"/>
              <w:rPr>
                <w:b/>
              </w:rPr>
            </w:pPr>
            <w:r w:rsidRPr="00836096">
              <w:rPr>
                <w:b/>
              </w:rPr>
              <w:t>Tinnitus duration</w:t>
            </w:r>
          </w:p>
        </w:tc>
        <w:tc>
          <w:tcPr>
            <w:tcW w:w="4536" w:type="dxa"/>
            <w:shd w:val="clear" w:color="auto" w:fill="FFFFFF" w:themeFill="background1"/>
          </w:tcPr>
          <w:p w14:paraId="2CE527B5" w14:textId="77777777" w:rsidR="00BF772E" w:rsidRPr="00836096" w:rsidRDefault="00BF772E" w:rsidP="006072E6">
            <w:pPr>
              <w:spacing w:line="480" w:lineRule="auto"/>
              <w:jc w:val="both"/>
            </w:pPr>
            <w:r w:rsidRPr="00836096">
              <w:t>11.75±13.36 years</w:t>
            </w:r>
          </w:p>
        </w:tc>
      </w:tr>
      <w:tr w:rsidR="00836096" w:rsidRPr="00836096" w14:paraId="7B610EAD" w14:textId="77777777" w:rsidTr="006072E6">
        <w:tc>
          <w:tcPr>
            <w:tcW w:w="4390" w:type="dxa"/>
            <w:shd w:val="clear" w:color="auto" w:fill="FFFFFF" w:themeFill="background1"/>
          </w:tcPr>
          <w:p w14:paraId="6ED42733" w14:textId="77777777" w:rsidR="00BF772E" w:rsidRPr="00836096" w:rsidRDefault="00BF772E" w:rsidP="006072E6">
            <w:pPr>
              <w:spacing w:line="480" w:lineRule="auto"/>
              <w:jc w:val="both"/>
              <w:rPr>
                <w:b/>
              </w:rPr>
            </w:pPr>
            <w:r w:rsidRPr="00836096">
              <w:rPr>
                <w:b/>
              </w:rPr>
              <w:t>Ethnicity</w:t>
            </w:r>
          </w:p>
        </w:tc>
        <w:tc>
          <w:tcPr>
            <w:tcW w:w="4536" w:type="dxa"/>
            <w:shd w:val="clear" w:color="auto" w:fill="FFFFFF" w:themeFill="background1"/>
          </w:tcPr>
          <w:p w14:paraId="5BF0B38E" w14:textId="77777777" w:rsidR="00BF772E" w:rsidRPr="00836096" w:rsidRDefault="00BF772E" w:rsidP="006072E6">
            <w:pPr>
              <w:spacing w:line="480" w:lineRule="auto"/>
              <w:jc w:val="both"/>
            </w:pPr>
            <w:r w:rsidRPr="00836096">
              <w:t>Hispanic or Latino: 2 (7%)</w:t>
            </w:r>
          </w:p>
          <w:p w14:paraId="3C253B4F" w14:textId="77777777" w:rsidR="00BF772E" w:rsidRPr="00836096" w:rsidRDefault="00BF772E" w:rsidP="006072E6">
            <w:pPr>
              <w:spacing w:line="480" w:lineRule="auto"/>
              <w:jc w:val="both"/>
            </w:pPr>
            <w:proofErr w:type="gramStart"/>
            <w:r w:rsidRPr="00836096">
              <w:t>Not-Hispanic</w:t>
            </w:r>
            <w:proofErr w:type="gramEnd"/>
            <w:r w:rsidRPr="00836096">
              <w:t xml:space="preserve"> or Latino 25 (93%)</w:t>
            </w:r>
          </w:p>
        </w:tc>
      </w:tr>
      <w:tr w:rsidR="00836096" w:rsidRPr="00836096" w14:paraId="2F78B43B" w14:textId="77777777" w:rsidTr="006072E6">
        <w:tc>
          <w:tcPr>
            <w:tcW w:w="4390" w:type="dxa"/>
            <w:shd w:val="clear" w:color="auto" w:fill="FFFFFF" w:themeFill="background1"/>
          </w:tcPr>
          <w:p w14:paraId="557CFFE7" w14:textId="77777777" w:rsidR="00BF772E" w:rsidRPr="00836096" w:rsidRDefault="00BF772E" w:rsidP="006072E6">
            <w:pPr>
              <w:spacing w:line="480" w:lineRule="auto"/>
              <w:jc w:val="both"/>
              <w:rPr>
                <w:b/>
              </w:rPr>
            </w:pPr>
            <w:r w:rsidRPr="00836096">
              <w:rPr>
                <w:b/>
              </w:rPr>
              <w:t>Race</w:t>
            </w:r>
          </w:p>
        </w:tc>
        <w:tc>
          <w:tcPr>
            <w:tcW w:w="4536" w:type="dxa"/>
            <w:shd w:val="clear" w:color="auto" w:fill="FFFFFF" w:themeFill="background1"/>
          </w:tcPr>
          <w:p w14:paraId="377220E7" w14:textId="77777777" w:rsidR="00BF772E" w:rsidRPr="00836096" w:rsidRDefault="00BF772E" w:rsidP="006072E6">
            <w:pPr>
              <w:spacing w:line="480" w:lineRule="auto"/>
              <w:jc w:val="both"/>
            </w:pPr>
            <w:r w:rsidRPr="00836096">
              <w:t>White 26 (96%)</w:t>
            </w:r>
          </w:p>
          <w:p w14:paraId="30650B8C" w14:textId="77777777" w:rsidR="00BF772E" w:rsidRPr="00836096" w:rsidRDefault="00BF772E" w:rsidP="006072E6">
            <w:pPr>
              <w:spacing w:line="480" w:lineRule="auto"/>
              <w:jc w:val="both"/>
            </w:pPr>
            <w:r w:rsidRPr="00836096">
              <w:rPr>
                <w:bCs/>
              </w:rPr>
              <w:t>More than one race 1 (4%)</w:t>
            </w:r>
          </w:p>
        </w:tc>
      </w:tr>
      <w:tr w:rsidR="00836096" w:rsidRPr="00836096" w14:paraId="0978ECEA" w14:textId="77777777" w:rsidTr="006072E6">
        <w:tc>
          <w:tcPr>
            <w:tcW w:w="4390" w:type="dxa"/>
            <w:shd w:val="clear" w:color="auto" w:fill="FFFFFF" w:themeFill="background1"/>
          </w:tcPr>
          <w:p w14:paraId="44A70204" w14:textId="77777777" w:rsidR="00BF772E" w:rsidRPr="00836096" w:rsidRDefault="00BF772E" w:rsidP="006072E6">
            <w:pPr>
              <w:spacing w:line="480" w:lineRule="auto"/>
              <w:jc w:val="both"/>
              <w:rPr>
                <w:b/>
              </w:rPr>
            </w:pPr>
            <w:r w:rsidRPr="00836096">
              <w:rPr>
                <w:b/>
              </w:rPr>
              <w:t>All Professionals seen for tinnitus:</w:t>
            </w:r>
          </w:p>
          <w:p w14:paraId="56053156" w14:textId="77777777" w:rsidR="00BF772E" w:rsidRPr="00836096" w:rsidRDefault="00BF772E" w:rsidP="006072E6">
            <w:pPr>
              <w:spacing w:line="480" w:lineRule="auto"/>
              <w:jc w:val="both"/>
              <w:rPr>
                <w:b/>
              </w:rPr>
            </w:pPr>
            <w:r w:rsidRPr="00836096">
              <w:rPr>
                <w:b/>
              </w:rPr>
              <w:lastRenderedPageBreak/>
              <w:t>Note: for some individuals more than one professional was seen</w:t>
            </w:r>
          </w:p>
        </w:tc>
        <w:tc>
          <w:tcPr>
            <w:tcW w:w="4536" w:type="dxa"/>
            <w:shd w:val="clear" w:color="auto" w:fill="FFFFFF" w:themeFill="background1"/>
          </w:tcPr>
          <w:p w14:paraId="2042A0F0" w14:textId="77777777" w:rsidR="00BF772E" w:rsidRPr="00836096" w:rsidRDefault="00BF772E" w:rsidP="006072E6">
            <w:pPr>
              <w:spacing w:line="480" w:lineRule="auto"/>
              <w:jc w:val="both"/>
            </w:pPr>
            <w:r w:rsidRPr="00836096">
              <w:lastRenderedPageBreak/>
              <w:t>Primary Care Physician 19 (70%)</w:t>
            </w:r>
          </w:p>
          <w:p w14:paraId="3724D1DB" w14:textId="77777777" w:rsidR="00BF772E" w:rsidRPr="00836096" w:rsidRDefault="00BF772E" w:rsidP="006072E6">
            <w:pPr>
              <w:spacing w:line="480" w:lineRule="auto"/>
              <w:jc w:val="both"/>
            </w:pPr>
            <w:r w:rsidRPr="00836096">
              <w:lastRenderedPageBreak/>
              <w:t>ENT Physician:   23 (85%)</w:t>
            </w:r>
          </w:p>
          <w:p w14:paraId="1A93A104" w14:textId="77777777" w:rsidR="00BF772E" w:rsidRPr="00836096" w:rsidRDefault="00BF772E" w:rsidP="006072E6">
            <w:pPr>
              <w:spacing w:line="480" w:lineRule="auto"/>
              <w:jc w:val="both"/>
            </w:pPr>
            <w:r w:rsidRPr="00836096">
              <w:t>Audiologist:          24 (89%)</w:t>
            </w:r>
          </w:p>
          <w:p w14:paraId="2C94E3DB" w14:textId="77777777" w:rsidR="00BF772E" w:rsidRPr="00836096" w:rsidRDefault="00BF772E" w:rsidP="006072E6">
            <w:pPr>
              <w:spacing w:line="480" w:lineRule="auto"/>
              <w:jc w:val="both"/>
            </w:pPr>
            <w:r w:rsidRPr="00836096">
              <w:t>Neurologist:    3 (11%)</w:t>
            </w:r>
          </w:p>
          <w:p w14:paraId="66F61462" w14:textId="77777777" w:rsidR="00BF772E" w:rsidRPr="00836096" w:rsidRDefault="00BF772E" w:rsidP="006072E6">
            <w:pPr>
              <w:spacing w:line="480" w:lineRule="auto"/>
              <w:jc w:val="both"/>
            </w:pPr>
            <w:r w:rsidRPr="00836096">
              <w:t>None:         2 (7%)</w:t>
            </w:r>
          </w:p>
        </w:tc>
      </w:tr>
      <w:tr w:rsidR="00836096" w:rsidRPr="00836096" w14:paraId="7897795A" w14:textId="77777777" w:rsidTr="006072E6">
        <w:tc>
          <w:tcPr>
            <w:tcW w:w="4390" w:type="dxa"/>
            <w:shd w:val="clear" w:color="auto" w:fill="FFFFFF" w:themeFill="background1"/>
          </w:tcPr>
          <w:p w14:paraId="7F258367" w14:textId="77777777" w:rsidR="00BF772E" w:rsidRPr="00836096" w:rsidRDefault="00BF772E" w:rsidP="006072E6">
            <w:pPr>
              <w:spacing w:line="480" w:lineRule="auto"/>
              <w:jc w:val="both"/>
              <w:rPr>
                <w:b/>
              </w:rPr>
            </w:pPr>
            <w:r w:rsidRPr="00836096">
              <w:rPr>
                <w:b/>
              </w:rPr>
              <w:lastRenderedPageBreak/>
              <w:t>Hearing aid use</w:t>
            </w:r>
          </w:p>
        </w:tc>
        <w:tc>
          <w:tcPr>
            <w:tcW w:w="4536" w:type="dxa"/>
            <w:shd w:val="clear" w:color="auto" w:fill="FFFFFF" w:themeFill="background1"/>
          </w:tcPr>
          <w:p w14:paraId="5D2F01AC" w14:textId="77777777" w:rsidR="00BF772E" w:rsidRPr="00836096" w:rsidRDefault="00BF772E" w:rsidP="006072E6">
            <w:pPr>
              <w:spacing w:line="480" w:lineRule="auto"/>
              <w:jc w:val="both"/>
            </w:pPr>
            <w:r w:rsidRPr="00836096">
              <w:t>Bilateral:  7 (26%)</w:t>
            </w:r>
          </w:p>
          <w:p w14:paraId="6F601C0B" w14:textId="77777777" w:rsidR="00BF772E" w:rsidRPr="00836096" w:rsidRDefault="00BF772E" w:rsidP="006072E6">
            <w:pPr>
              <w:spacing w:line="480" w:lineRule="auto"/>
              <w:jc w:val="both"/>
            </w:pPr>
            <w:r w:rsidRPr="00836096">
              <w:t>Unilateral 3 (11%)</w:t>
            </w:r>
          </w:p>
          <w:p w14:paraId="5520B5CD" w14:textId="77777777" w:rsidR="00BF772E" w:rsidRPr="00836096" w:rsidRDefault="00BF772E" w:rsidP="006072E6">
            <w:pPr>
              <w:spacing w:line="480" w:lineRule="auto"/>
              <w:jc w:val="both"/>
            </w:pPr>
            <w:r w:rsidRPr="00836096">
              <w:t>Hearing aids help mask the tinnitus:  4 (40%)</w:t>
            </w:r>
          </w:p>
          <w:p w14:paraId="62EB5136" w14:textId="77777777" w:rsidR="00BF772E" w:rsidRPr="00836096" w:rsidRDefault="00BF772E" w:rsidP="006072E6">
            <w:pPr>
              <w:spacing w:line="480" w:lineRule="auto"/>
              <w:jc w:val="both"/>
            </w:pPr>
            <w:r w:rsidRPr="00836096">
              <w:t>Hearing aids don’t mask the tinnitus: 6 (60%)</w:t>
            </w:r>
          </w:p>
        </w:tc>
      </w:tr>
      <w:tr w:rsidR="00836096" w:rsidRPr="00836096" w14:paraId="5EDDA07D" w14:textId="77777777" w:rsidTr="006072E6">
        <w:trPr>
          <w:trHeight w:val="194"/>
        </w:trPr>
        <w:tc>
          <w:tcPr>
            <w:tcW w:w="4390" w:type="dxa"/>
            <w:shd w:val="clear" w:color="auto" w:fill="FFFFFF" w:themeFill="background1"/>
          </w:tcPr>
          <w:p w14:paraId="661771BF" w14:textId="77777777" w:rsidR="00BF772E" w:rsidRPr="00836096" w:rsidRDefault="00BF772E" w:rsidP="006072E6">
            <w:pPr>
              <w:spacing w:line="480" w:lineRule="auto"/>
              <w:jc w:val="both"/>
              <w:rPr>
                <w:b/>
              </w:rPr>
            </w:pPr>
            <w:r w:rsidRPr="00836096">
              <w:rPr>
                <w:b/>
              </w:rPr>
              <w:t>Highest educational level</w:t>
            </w:r>
          </w:p>
        </w:tc>
        <w:tc>
          <w:tcPr>
            <w:tcW w:w="4536" w:type="dxa"/>
            <w:shd w:val="clear" w:color="auto" w:fill="FFFFFF" w:themeFill="background1"/>
          </w:tcPr>
          <w:p w14:paraId="2C739690" w14:textId="77777777" w:rsidR="00BF772E" w:rsidRPr="00836096" w:rsidRDefault="00BF772E" w:rsidP="006072E6">
            <w:pPr>
              <w:spacing w:line="480" w:lineRule="auto"/>
              <w:jc w:val="both"/>
            </w:pPr>
            <w:r w:rsidRPr="00836096">
              <w:t>School: 7 (22%)</w:t>
            </w:r>
          </w:p>
          <w:p w14:paraId="6963D48C" w14:textId="77777777" w:rsidR="00BF772E" w:rsidRPr="00836096" w:rsidRDefault="00BF772E" w:rsidP="006072E6">
            <w:pPr>
              <w:spacing w:line="480" w:lineRule="auto"/>
              <w:jc w:val="both"/>
            </w:pPr>
            <w:r w:rsidRPr="00836096">
              <w:t>College/ vocational training: 10 (31%)</w:t>
            </w:r>
          </w:p>
          <w:p w14:paraId="35DDEE94" w14:textId="77777777" w:rsidR="00BF772E" w:rsidRPr="00836096" w:rsidRDefault="00BF772E" w:rsidP="006072E6">
            <w:pPr>
              <w:spacing w:line="480" w:lineRule="auto"/>
              <w:jc w:val="both"/>
            </w:pPr>
            <w:r w:rsidRPr="00836096">
              <w:t>Undergraduate degree 13 (41%)</w:t>
            </w:r>
          </w:p>
          <w:p w14:paraId="1E1676F0" w14:textId="77777777" w:rsidR="00BF772E" w:rsidRPr="00836096" w:rsidRDefault="00BF772E" w:rsidP="006072E6">
            <w:pPr>
              <w:spacing w:line="480" w:lineRule="auto"/>
              <w:jc w:val="both"/>
            </w:pPr>
            <w:r w:rsidRPr="00836096">
              <w:t>Postgraduate degree: 2 (6%)</w:t>
            </w:r>
          </w:p>
        </w:tc>
      </w:tr>
      <w:tr w:rsidR="00836096" w:rsidRPr="00836096" w14:paraId="4B3BAEB3" w14:textId="77777777" w:rsidTr="006072E6">
        <w:trPr>
          <w:trHeight w:val="194"/>
        </w:trPr>
        <w:tc>
          <w:tcPr>
            <w:tcW w:w="4390" w:type="dxa"/>
            <w:shd w:val="clear" w:color="auto" w:fill="FFFFFF" w:themeFill="background1"/>
          </w:tcPr>
          <w:p w14:paraId="7762CA4D" w14:textId="77777777" w:rsidR="00BF772E" w:rsidRPr="00836096" w:rsidRDefault="00BF772E" w:rsidP="006072E6">
            <w:pPr>
              <w:spacing w:line="480" w:lineRule="auto"/>
              <w:jc w:val="both"/>
              <w:rPr>
                <w:b/>
              </w:rPr>
            </w:pPr>
            <w:r w:rsidRPr="00836096">
              <w:rPr>
                <w:b/>
              </w:rPr>
              <w:t>Employment</w:t>
            </w:r>
          </w:p>
        </w:tc>
        <w:tc>
          <w:tcPr>
            <w:tcW w:w="4536" w:type="dxa"/>
            <w:shd w:val="clear" w:color="auto" w:fill="FFFFFF" w:themeFill="background1"/>
          </w:tcPr>
          <w:p w14:paraId="23F7E595" w14:textId="77777777" w:rsidR="00BF772E" w:rsidRPr="00836096" w:rsidRDefault="00BF772E" w:rsidP="006072E6">
            <w:pPr>
              <w:spacing w:line="480" w:lineRule="auto"/>
              <w:jc w:val="both"/>
            </w:pPr>
            <w:r w:rsidRPr="00836096">
              <w:t>Skilled or professional 21 (78%)</w:t>
            </w:r>
          </w:p>
          <w:p w14:paraId="782F5779" w14:textId="77777777" w:rsidR="00BF772E" w:rsidRPr="00836096" w:rsidRDefault="00BF772E" w:rsidP="006072E6">
            <w:pPr>
              <w:spacing w:line="480" w:lineRule="auto"/>
              <w:jc w:val="both"/>
            </w:pPr>
            <w:r w:rsidRPr="00836096">
              <w:t xml:space="preserve">Retired 6 (22%) </w:t>
            </w:r>
          </w:p>
        </w:tc>
      </w:tr>
    </w:tbl>
    <w:p w14:paraId="4BA9D8AD" w14:textId="77777777" w:rsidR="00BF772E" w:rsidRPr="00836096" w:rsidRDefault="00BF772E" w:rsidP="00BF772E">
      <w:pPr>
        <w:autoSpaceDE w:val="0"/>
        <w:autoSpaceDN w:val="0"/>
        <w:adjustRightInd w:val="0"/>
        <w:spacing w:line="480" w:lineRule="auto"/>
        <w:jc w:val="both"/>
      </w:pPr>
    </w:p>
    <w:p w14:paraId="4DEA41E8" w14:textId="77777777" w:rsidR="00BF772E" w:rsidRPr="00836096" w:rsidRDefault="00BF772E" w:rsidP="00BF772E"/>
    <w:p w14:paraId="133A58D5" w14:textId="77777777" w:rsidR="00BF772E" w:rsidRPr="00836096" w:rsidRDefault="00BF772E" w:rsidP="00E745E8">
      <w:pPr>
        <w:spacing w:line="480" w:lineRule="auto"/>
        <w:rPr>
          <w:bCs/>
        </w:rPr>
      </w:pPr>
    </w:p>
    <w:p w14:paraId="7388A288" w14:textId="77777777" w:rsidR="003F00E8" w:rsidRPr="00836096" w:rsidRDefault="003F00E8" w:rsidP="00E745E8">
      <w:pPr>
        <w:spacing w:line="480" w:lineRule="auto"/>
        <w:rPr>
          <w:b/>
        </w:rPr>
      </w:pPr>
      <w:r w:rsidRPr="00836096">
        <w:rPr>
          <w:b/>
        </w:rPr>
        <w:t>Table 3:</w:t>
      </w:r>
      <w:r w:rsidRPr="00836096">
        <w:rPr>
          <w:bCs/>
        </w:rPr>
        <w:t xml:space="preserve"> Pre, post, and follow-up intervention comparisons for the various outcome measures</w:t>
      </w:r>
    </w:p>
    <w:p w14:paraId="719D5751" w14:textId="77777777" w:rsidR="000E5A1A" w:rsidRPr="00836096" w:rsidRDefault="000E5A1A" w:rsidP="000E5A1A">
      <w:pPr>
        <w:spacing w:line="480" w:lineRule="auto"/>
        <w:jc w:val="both"/>
        <w:rPr>
          <w:b/>
        </w:rPr>
      </w:pPr>
      <w:r w:rsidRPr="00836096">
        <w:rPr>
          <w:b/>
        </w:rPr>
        <w:lastRenderedPageBreak/>
        <w:t xml:space="preserve">Table 3: Pre, post, and follow-up intervention comparisons for the various outcome measures. Results from both the completers and imputation analysis are provided for comparison.  </w:t>
      </w:r>
    </w:p>
    <w:p w14:paraId="3C2BA574" w14:textId="77777777" w:rsidR="000E5A1A" w:rsidRPr="00836096" w:rsidRDefault="000E5A1A" w:rsidP="000E5A1A">
      <w:pPr>
        <w:spacing w:line="480" w:lineRule="auto"/>
        <w:jc w:val="both"/>
        <w:rPr>
          <w:b/>
        </w:rPr>
      </w:pPr>
      <w:r w:rsidRPr="00836096">
        <w:t xml:space="preserve">Note: Multiple imputation using the </w:t>
      </w:r>
      <w:r w:rsidRPr="00836096">
        <w:rPr>
          <w:rStyle w:val="Emphasis"/>
          <w:bCs/>
          <w:shd w:val="clear" w:color="auto" w:fill="FFFFFF"/>
        </w:rPr>
        <w:t>Markov Chain Monte Carlo</w:t>
      </w:r>
      <w:r w:rsidRPr="00836096">
        <w:t xml:space="preserve"> approach was used for imputation analysis.</w:t>
      </w:r>
      <w:r w:rsidRPr="00836096">
        <w:rPr>
          <w:b/>
        </w:rPr>
        <w:t xml:space="preserve"> </w:t>
      </w:r>
      <w:r w:rsidRPr="00836096">
        <w:rPr>
          <w:bCs/>
        </w:rPr>
        <w:t>A decrease in scores indicates improvement for all outcomes except for the EQ-5D overall score, where an increase in scores indicates an improvement.</w:t>
      </w:r>
    </w:p>
    <w:tbl>
      <w:tblPr>
        <w:tblStyle w:val="TableGrid"/>
        <w:tblW w:w="13948" w:type="dxa"/>
        <w:tblLook w:val="04A0" w:firstRow="1" w:lastRow="0" w:firstColumn="1" w:lastColumn="0" w:noHBand="0" w:noVBand="1"/>
      </w:tblPr>
      <w:tblGrid>
        <w:gridCol w:w="1163"/>
        <w:gridCol w:w="1496"/>
        <w:gridCol w:w="1323"/>
        <w:gridCol w:w="1496"/>
        <w:gridCol w:w="990"/>
        <w:gridCol w:w="1310"/>
        <w:gridCol w:w="1636"/>
        <w:gridCol w:w="1540"/>
        <w:gridCol w:w="1497"/>
        <w:gridCol w:w="1497"/>
      </w:tblGrid>
      <w:tr w:rsidR="00836096" w:rsidRPr="00836096" w14:paraId="0F12E74D" w14:textId="77777777" w:rsidTr="006072E6">
        <w:trPr>
          <w:trHeight w:val="960"/>
        </w:trPr>
        <w:tc>
          <w:tcPr>
            <w:tcW w:w="1163" w:type="dxa"/>
            <w:shd w:val="clear" w:color="auto" w:fill="FFFFFF" w:themeFill="background1"/>
          </w:tcPr>
          <w:p w14:paraId="717723B0" w14:textId="77777777" w:rsidR="000E5A1A" w:rsidRPr="00836096" w:rsidRDefault="000E5A1A" w:rsidP="006072E6">
            <w:pPr>
              <w:spacing w:line="480" w:lineRule="auto"/>
              <w:jc w:val="both"/>
              <w:rPr>
                <w:b/>
              </w:rPr>
            </w:pPr>
            <w:r w:rsidRPr="00836096">
              <w:rPr>
                <w:b/>
              </w:rPr>
              <w:t>Outcome measure</w:t>
            </w:r>
          </w:p>
        </w:tc>
        <w:tc>
          <w:tcPr>
            <w:tcW w:w="1496" w:type="dxa"/>
            <w:shd w:val="clear" w:color="auto" w:fill="FFFFFF" w:themeFill="background1"/>
            <w:noWrap/>
          </w:tcPr>
          <w:p w14:paraId="02A0FAE5" w14:textId="77777777" w:rsidR="000E5A1A" w:rsidRPr="00836096" w:rsidRDefault="000E5A1A" w:rsidP="006072E6">
            <w:pPr>
              <w:spacing w:line="480" w:lineRule="auto"/>
              <w:jc w:val="both"/>
              <w:rPr>
                <w:b/>
              </w:rPr>
            </w:pPr>
            <w:r w:rsidRPr="00836096">
              <w:rPr>
                <w:b/>
              </w:rPr>
              <w:t>Pre-Intervention Mean (SD) [range]</w:t>
            </w:r>
          </w:p>
        </w:tc>
        <w:tc>
          <w:tcPr>
            <w:tcW w:w="1323" w:type="dxa"/>
            <w:shd w:val="clear" w:color="auto" w:fill="FFFFFF" w:themeFill="background1"/>
          </w:tcPr>
          <w:p w14:paraId="74C5E2A7" w14:textId="77777777" w:rsidR="000E5A1A" w:rsidRPr="00836096" w:rsidRDefault="000E5A1A" w:rsidP="006072E6">
            <w:pPr>
              <w:spacing w:line="480" w:lineRule="auto"/>
              <w:jc w:val="both"/>
              <w:rPr>
                <w:b/>
              </w:rPr>
            </w:pPr>
            <w:r w:rsidRPr="00836096">
              <w:rPr>
                <w:b/>
              </w:rPr>
              <w:t>Analysis protocol</w:t>
            </w:r>
          </w:p>
        </w:tc>
        <w:tc>
          <w:tcPr>
            <w:tcW w:w="1496" w:type="dxa"/>
            <w:shd w:val="clear" w:color="auto" w:fill="FFFFFF" w:themeFill="background1"/>
            <w:noWrap/>
          </w:tcPr>
          <w:p w14:paraId="66951B1A" w14:textId="77777777" w:rsidR="000E5A1A" w:rsidRPr="00836096" w:rsidRDefault="000E5A1A" w:rsidP="006072E6">
            <w:pPr>
              <w:spacing w:line="480" w:lineRule="auto"/>
              <w:jc w:val="both"/>
              <w:rPr>
                <w:b/>
              </w:rPr>
            </w:pPr>
            <w:r w:rsidRPr="00836096">
              <w:rPr>
                <w:b/>
              </w:rPr>
              <w:t>Post-Intervention Mean (SD)</w:t>
            </w:r>
          </w:p>
        </w:tc>
        <w:tc>
          <w:tcPr>
            <w:tcW w:w="990" w:type="dxa"/>
            <w:shd w:val="clear" w:color="auto" w:fill="FFFFFF" w:themeFill="background1"/>
          </w:tcPr>
          <w:p w14:paraId="013D9DB9" w14:textId="77777777" w:rsidR="000E5A1A" w:rsidRPr="00836096" w:rsidRDefault="000E5A1A" w:rsidP="006072E6">
            <w:pPr>
              <w:spacing w:line="480" w:lineRule="auto"/>
              <w:jc w:val="both"/>
              <w:rPr>
                <w:b/>
              </w:rPr>
            </w:pPr>
            <w:r w:rsidRPr="00836096">
              <w:rPr>
                <w:b/>
              </w:rPr>
              <w:t>Follow-up</w:t>
            </w:r>
          </w:p>
        </w:tc>
        <w:tc>
          <w:tcPr>
            <w:tcW w:w="1310" w:type="dxa"/>
            <w:shd w:val="clear" w:color="auto" w:fill="FFFFFF" w:themeFill="background1"/>
          </w:tcPr>
          <w:p w14:paraId="33D87D8D" w14:textId="77777777" w:rsidR="000E5A1A" w:rsidRPr="00836096" w:rsidRDefault="000E5A1A" w:rsidP="006072E6">
            <w:pPr>
              <w:spacing w:line="480" w:lineRule="auto"/>
              <w:jc w:val="both"/>
              <w:rPr>
                <w:b/>
              </w:rPr>
            </w:pPr>
            <w:r w:rsidRPr="00836096">
              <w:rPr>
                <w:b/>
              </w:rPr>
              <w:t xml:space="preserve">Effect size, Cohen’s </w:t>
            </w:r>
            <w:r w:rsidRPr="00836096">
              <w:rPr>
                <w:b/>
                <w:i/>
              </w:rPr>
              <w:t>d</w:t>
            </w:r>
            <w:r w:rsidRPr="00836096">
              <w:rPr>
                <w:b/>
              </w:rPr>
              <w:t xml:space="preserve"> (95% confidence intervals for T0-T1</w:t>
            </w:r>
          </w:p>
        </w:tc>
        <w:tc>
          <w:tcPr>
            <w:tcW w:w="1636" w:type="dxa"/>
            <w:shd w:val="clear" w:color="auto" w:fill="FFFFFF" w:themeFill="background1"/>
            <w:noWrap/>
          </w:tcPr>
          <w:p w14:paraId="13555EAC" w14:textId="77777777" w:rsidR="000E5A1A" w:rsidRPr="00836096" w:rsidRDefault="000E5A1A" w:rsidP="006072E6">
            <w:pPr>
              <w:spacing w:line="480" w:lineRule="auto"/>
              <w:jc w:val="both"/>
              <w:rPr>
                <w:b/>
              </w:rPr>
            </w:pPr>
            <w:r w:rsidRPr="00836096">
              <w:rPr>
                <w:b/>
              </w:rPr>
              <w:t>Linear Mixed Model, Type III test of fixed effects (using all available data)</w:t>
            </w:r>
          </w:p>
        </w:tc>
        <w:tc>
          <w:tcPr>
            <w:tcW w:w="1540" w:type="dxa"/>
            <w:shd w:val="clear" w:color="auto" w:fill="FFFFFF" w:themeFill="background1"/>
          </w:tcPr>
          <w:p w14:paraId="4D1DA04C" w14:textId="77777777" w:rsidR="000E5A1A" w:rsidRPr="00836096" w:rsidRDefault="000E5A1A" w:rsidP="006072E6">
            <w:pPr>
              <w:spacing w:line="480" w:lineRule="auto"/>
              <w:rPr>
                <w:b/>
                <w:i/>
              </w:rPr>
            </w:pPr>
            <w:r w:rsidRPr="00836096">
              <w:rPr>
                <w:b/>
                <w:i/>
              </w:rPr>
              <w:t>T0-T1 Pairwise comparison:</w:t>
            </w:r>
          </w:p>
          <w:p w14:paraId="049B6176" w14:textId="77777777" w:rsidR="000E5A1A" w:rsidRPr="00836096" w:rsidRDefault="000E5A1A" w:rsidP="006072E6">
            <w:pPr>
              <w:spacing w:line="480" w:lineRule="auto"/>
              <w:rPr>
                <w:b/>
                <w:i/>
              </w:rPr>
            </w:pPr>
            <w:r w:rsidRPr="00836096">
              <w:rPr>
                <w:b/>
                <w:i/>
              </w:rPr>
              <w:t>M</w:t>
            </w:r>
            <w:r w:rsidRPr="00836096">
              <w:rPr>
                <w:b/>
              </w:rPr>
              <w:t>ean difference, (SE) (significant *)</w:t>
            </w:r>
          </w:p>
          <w:p w14:paraId="57F69F91" w14:textId="77777777" w:rsidR="000E5A1A" w:rsidRPr="00836096" w:rsidRDefault="000E5A1A" w:rsidP="006072E6">
            <w:pPr>
              <w:spacing w:line="480" w:lineRule="auto"/>
              <w:rPr>
                <w:b/>
                <w:i/>
              </w:rPr>
            </w:pPr>
          </w:p>
        </w:tc>
        <w:tc>
          <w:tcPr>
            <w:tcW w:w="1497" w:type="dxa"/>
            <w:shd w:val="clear" w:color="auto" w:fill="FFFFFF" w:themeFill="background1"/>
          </w:tcPr>
          <w:p w14:paraId="2B546441" w14:textId="77777777" w:rsidR="000E5A1A" w:rsidRPr="00836096" w:rsidRDefault="000E5A1A" w:rsidP="006072E6">
            <w:pPr>
              <w:spacing w:line="480" w:lineRule="auto"/>
              <w:rPr>
                <w:b/>
                <w:bCs/>
                <w:sz w:val="20"/>
                <w:szCs w:val="20"/>
                <w:shd w:val="clear" w:color="auto" w:fill="FFFCF0"/>
              </w:rPr>
            </w:pPr>
            <w:r w:rsidRPr="00836096">
              <w:rPr>
                <w:b/>
                <w:i/>
              </w:rPr>
              <w:t>T0-T2</w:t>
            </w:r>
          </w:p>
          <w:p w14:paraId="5F96DEA3" w14:textId="77777777" w:rsidR="000E5A1A" w:rsidRPr="00836096" w:rsidRDefault="000E5A1A" w:rsidP="006072E6">
            <w:pPr>
              <w:spacing w:line="480" w:lineRule="auto"/>
              <w:rPr>
                <w:b/>
                <w:i/>
              </w:rPr>
            </w:pPr>
            <w:r w:rsidRPr="00836096">
              <w:rPr>
                <w:b/>
                <w:i/>
              </w:rPr>
              <w:t>Pairwise comparison:</w:t>
            </w:r>
          </w:p>
          <w:p w14:paraId="39E808EE" w14:textId="77777777" w:rsidR="000E5A1A" w:rsidRPr="00836096" w:rsidRDefault="000E5A1A" w:rsidP="006072E6">
            <w:pPr>
              <w:spacing w:line="480" w:lineRule="auto"/>
              <w:rPr>
                <w:b/>
                <w:i/>
              </w:rPr>
            </w:pPr>
            <w:r w:rsidRPr="00836096">
              <w:rPr>
                <w:b/>
                <w:i/>
              </w:rPr>
              <w:t>M</w:t>
            </w:r>
            <w:r w:rsidRPr="00836096">
              <w:rPr>
                <w:b/>
              </w:rPr>
              <w:t>ean difference, (SE) (significant *)</w:t>
            </w:r>
          </w:p>
          <w:p w14:paraId="15AB53A7" w14:textId="77777777" w:rsidR="000E5A1A" w:rsidRPr="00836096" w:rsidRDefault="000E5A1A" w:rsidP="006072E6">
            <w:pPr>
              <w:spacing w:line="480" w:lineRule="auto"/>
              <w:rPr>
                <w:b/>
                <w:bCs/>
                <w:sz w:val="20"/>
                <w:szCs w:val="20"/>
                <w:shd w:val="clear" w:color="auto" w:fill="FFFCF0"/>
              </w:rPr>
            </w:pPr>
          </w:p>
          <w:p w14:paraId="68B4E231" w14:textId="77777777" w:rsidR="000E5A1A" w:rsidRPr="00836096" w:rsidRDefault="000E5A1A" w:rsidP="006072E6">
            <w:pPr>
              <w:spacing w:line="480" w:lineRule="auto"/>
              <w:rPr>
                <w:b/>
                <w:bCs/>
                <w:sz w:val="20"/>
                <w:szCs w:val="20"/>
                <w:shd w:val="clear" w:color="auto" w:fill="FFFCF0"/>
              </w:rPr>
            </w:pPr>
          </w:p>
          <w:p w14:paraId="7E56584D" w14:textId="77777777" w:rsidR="000E5A1A" w:rsidRPr="00836096" w:rsidRDefault="000E5A1A" w:rsidP="006072E6">
            <w:pPr>
              <w:spacing w:line="480" w:lineRule="auto"/>
              <w:rPr>
                <w:b/>
                <w:bCs/>
                <w:sz w:val="20"/>
                <w:szCs w:val="20"/>
                <w:shd w:val="clear" w:color="auto" w:fill="FFFCF0"/>
              </w:rPr>
            </w:pPr>
          </w:p>
        </w:tc>
        <w:tc>
          <w:tcPr>
            <w:tcW w:w="1497" w:type="dxa"/>
            <w:shd w:val="clear" w:color="auto" w:fill="FFFFFF" w:themeFill="background1"/>
          </w:tcPr>
          <w:p w14:paraId="51866E65" w14:textId="77777777" w:rsidR="000E5A1A" w:rsidRPr="00836096" w:rsidRDefault="000E5A1A" w:rsidP="006072E6">
            <w:pPr>
              <w:spacing w:line="480" w:lineRule="auto"/>
              <w:rPr>
                <w:b/>
                <w:i/>
              </w:rPr>
            </w:pPr>
            <w:r w:rsidRPr="00836096">
              <w:rPr>
                <w:b/>
                <w:i/>
              </w:rPr>
              <w:t>T1-T2</w:t>
            </w:r>
          </w:p>
          <w:p w14:paraId="2D45EC3D" w14:textId="77777777" w:rsidR="000E5A1A" w:rsidRPr="00836096" w:rsidRDefault="000E5A1A" w:rsidP="006072E6">
            <w:pPr>
              <w:spacing w:line="480" w:lineRule="auto"/>
              <w:rPr>
                <w:b/>
                <w:i/>
              </w:rPr>
            </w:pPr>
            <w:r w:rsidRPr="00836096">
              <w:rPr>
                <w:b/>
                <w:i/>
              </w:rPr>
              <w:t>Pairwise comparison:</w:t>
            </w:r>
          </w:p>
          <w:p w14:paraId="6E84A7F0" w14:textId="77777777" w:rsidR="000E5A1A" w:rsidRPr="00836096" w:rsidRDefault="000E5A1A" w:rsidP="006072E6">
            <w:pPr>
              <w:spacing w:line="480" w:lineRule="auto"/>
              <w:rPr>
                <w:b/>
                <w:i/>
              </w:rPr>
            </w:pPr>
            <w:r w:rsidRPr="00836096">
              <w:rPr>
                <w:b/>
                <w:i/>
              </w:rPr>
              <w:t>M</w:t>
            </w:r>
            <w:r w:rsidRPr="00836096">
              <w:rPr>
                <w:b/>
              </w:rPr>
              <w:t>ean difference, (SE) (significant *)</w:t>
            </w:r>
          </w:p>
          <w:p w14:paraId="722BA2D6" w14:textId="77777777" w:rsidR="000E5A1A" w:rsidRPr="00836096" w:rsidRDefault="000E5A1A" w:rsidP="006072E6">
            <w:pPr>
              <w:spacing w:line="480" w:lineRule="auto"/>
              <w:rPr>
                <w:b/>
                <w:bCs/>
                <w:sz w:val="20"/>
                <w:szCs w:val="20"/>
                <w:shd w:val="clear" w:color="auto" w:fill="FFFCF0"/>
              </w:rPr>
            </w:pPr>
          </w:p>
        </w:tc>
      </w:tr>
      <w:tr w:rsidR="00836096" w:rsidRPr="00836096" w14:paraId="2DE1A0AB" w14:textId="77777777" w:rsidTr="006072E6">
        <w:trPr>
          <w:trHeight w:val="2208"/>
        </w:trPr>
        <w:tc>
          <w:tcPr>
            <w:tcW w:w="1163" w:type="dxa"/>
            <w:vMerge w:val="restart"/>
            <w:shd w:val="clear" w:color="auto" w:fill="FFFFFF" w:themeFill="background1"/>
          </w:tcPr>
          <w:p w14:paraId="63403CAD" w14:textId="77777777" w:rsidR="000E5A1A" w:rsidRPr="00836096" w:rsidRDefault="000E5A1A" w:rsidP="006072E6">
            <w:pPr>
              <w:spacing w:line="480" w:lineRule="auto"/>
              <w:jc w:val="both"/>
              <w:rPr>
                <w:b/>
                <w:bCs/>
              </w:rPr>
            </w:pPr>
            <w:r w:rsidRPr="00836096">
              <w:rPr>
                <w:b/>
                <w:bCs/>
              </w:rPr>
              <w:lastRenderedPageBreak/>
              <w:t>TFI</w:t>
            </w:r>
          </w:p>
        </w:tc>
        <w:tc>
          <w:tcPr>
            <w:tcW w:w="1496" w:type="dxa"/>
            <w:vMerge w:val="restart"/>
            <w:shd w:val="clear" w:color="auto" w:fill="FFFFFF" w:themeFill="background1"/>
            <w:noWrap/>
            <w:hideMark/>
          </w:tcPr>
          <w:p w14:paraId="3264B288" w14:textId="77777777" w:rsidR="000E5A1A" w:rsidRPr="00836096" w:rsidRDefault="000E5A1A" w:rsidP="006072E6">
            <w:pPr>
              <w:spacing w:line="480" w:lineRule="auto"/>
              <w:jc w:val="both"/>
            </w:pPr>
          </w:p>
          <w:p w14:paraId="5C21E4A5" w14:textId="77777777" w:rsidR="000E5A1A" w:rsidRPr="00836096" w:rsidRDefault="000E5A1A" w:rsidP="006072E6">
            <w:pPr>
              <w:spacing w:line="480" w:lineRule="auto"/>
              <w:jc w:val="both"/>
            </w:pPr>
            <w:r w:rsidRPr="00836096">
              <w:t>58.4 (15.01)</w:t>
            </w:r>
          </w:p>
          <w:p w14:paraId="1B4D7499" w14:textId="77777777" w:rsidR="000E5A1A" w:rsidRPr="00836096" w:rsidRDefault="000E5A1A" w:rsidP="006072E6">
            <w:pPr>
              <w:spacing w:line="480" w:lineRule="auto"/>
              <w:jc w:val="both"/>
            </w:pPr>
            <w:r w:rsidRPr="00836096">
              <w:t>[24-90]</w:t>
            </w:r>
          </w:p>
          <w:p w14:paraId="057EBF38" w14:textId="77777777" w:rsidR="000E5A1A" w:rsidRPr="00836096" w:rsidRDefault="000E5A1A" w:rsidP="006072E6">
            <w:pPr>
              <w:spacing w:line="480" w:lineRule="auto"/>
              <w:jc w:val="both"/>
            </w:pPr>
          </w:p>
        </w:tc>
        <w:tc>
          <w:tcPr>
            <w:tcW w:w="1323" w:type="dxa"/>
            <w:shd w:val="clear" w:color="auto" w:fill="FFFFFF" w:themeFill="background1"/>
          </w:tcPr>
          <w:p w14:paraId="6A7A6C35"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p w14:paraId="7596152D" w14:textId="77777777" w:rsidR="000E5A1A" w:rsidRPr="00836096" w:rsidRDefault="000E5A1A" w:rsidP="006072E6">
            <w:pPr>
              <w:spacing w:line="480" w:lineRule="auto"/>
              <w:jc w:val="both"/>
            </w:pPr>
          </w:p>
        </w:tc>
        <w:tc>
          <w:tcPr>
            <w:tcW w:w="1496" w:type="dxa"/>
            <w:shd w:val="clear" w:color="auto" w:fill="FFFFFF" w:themeFill="background1"/>
            <w:noWrap/>
            <w:hideMark/>
          </w:tcPr>
          <w:p w14:paraId="19B75D14" w14:textId="77777777" w:rsidR="000E5A1A" w:rsidRPr="00836096" w:rsidRDefault="000E5A1A" w:rsidP="006072E6">
            <w:pPr>
              <w:spacing w:line="480" w:lineRule="auto"/>
              <w:jc w:val="both"/>
            </w:pPr>
          </w:p>
          <w:p w14:paraId="2A7A9A50" w14:textId="77777777" w:rsidR="000E5A1A" w:rsidRPr="00836096" w:rsidRDefault="000E5A1A" w:rsidP="006072E6">
            <w:pPr>
              <w:spacing w:line="480" w:lineRule="auto"/>
              <w:jc w:val="both"/>
            </w:pPr>
            <w:r w:rsidRPr="00836096">
              <w:t>29.98 (20.99)</w:t>
            </w:r>
          </w:p>
          <w:p w14:paraId="3C7EC4EE" w14:textId="77777777" w:rsidR="000E5A1A" w:rsidRPr="00836096" w:rsidRDefault="000E5A1A" w:rsidP="006072E6">
            <w:pPr>
              <w:spacing w:line="480" w:lineRule="auto"/>
              <w:jc w:val="both"/>
            </w:pPr>
            <w:r w:rsidRPr="00836096">
              <w:t>[2-86]</w:t>
            </w:r>
          </w:p>
        </w:tc>
        <w:tc>
          <w:tcPr>
            <w:tcW w:w="990" w:type="dxa"/>
            <w:shd w:val="clear" w:color="auto" w:fill="FFFFFF" w:themeFill="background1"/>
          </w:tcPr>
          <w:p w14:paraId="6655BE71" w14:textId="77777777" w:rsidR="000E5A1A" w:rsidRPr="00836096" w:rsidRDefault="000E5A1A" w:rsidP="006072E6">
            <w:pPr>
              <w:spacing w:line="480" w:lineRule="auto"/>
              <w:jc w:val="both"/>
            </w:pPr>
          </w:p>
          <w:p w14:paraId="0277E90B" w14:textId="77777777" w:rsidR="000E5A1A" w:rsidRPr="00836096" w:rsidRDefault="000E5A1A" w:rsidP="006072E6">
            <w:pPr>
              <w:spacing w:line="480" w:lineRule="auto"/>
              <w:jc w:val="both"/>
            </w:pPr>
            <w:r w:rsidRPr="00836096">
              <w:t>29.53 (21.55) [3-84]</w:t>
            </w:r>
          </w:p>
        </w:tc>
        <w:tc>
          <w:tcPr>
            <w:tcW w:w="1310" w:type="dxa"/>
            <w:shd w:val="clear" w:color="auto" w:fill="FFFFFF" w:themeFill="background1"/>
            <w:hideMark/>
          </w:tcPr>
          <w:p w14:paraId="4D34055D" w14:textId="77777777" w:rsidR="000E5A1A" w:rsidRPr="00836096" w:rsidRDefault="000E5A1A" w:rsidP="006072E6">
            <w:pPr>
              <w:spacing w:line="480" w:lineRule="auto"/>
              <w:jc w:val="both"/>
            </w:pPr>
            <w:r w:rsidRPr="00836096">
              <w:t>1.60 (0.91-2.23)</w:t>
            </w:r>
          </w:p>
        </w:tc>
        <w:tc>
          <w:tcPr>
            <w:tcW w:w="1636" w:type="dxa"/>
            <w:vMerge w:val="restart"/>
            <w:shd w:val="clear" w:color="auto" w:fill="FFFFFF" w:themeFill="background1"/>
            <w:noWrap/>
            <w:hideMark/>
          </w:tcPr>
          <w:p w14:paraId="5FBEADBB" w14:textId="77777777" w:rsidR="000E5A1A" w:rsidRPr="00836096" w:rsidRDefault="000E5A1A" w:rsidP="006072E6">
            <w:pPr>
              <w:spacing w:line="480" w:lineRule="auto"/>
            </w:pPr>
            <w:r w:rsidRPr="00836096">
              <w:rPr>
                <w:i/>
                <w:iCs/>
              </w:rPr>
              <w:t>F</w:t>
            </w:r>
            <w:r w:rsidRPr="00836096">
              <w:t xml:space="preserve"> (2,43) = 34.42, </w:t>
            </w:r>
            <w:r w:rsidRPr="00836096">
              <w:rPr>
                <w:i/>
                <w:iCs/>
              </w:rPr>
              <w:t xml:space="preserve">p </w:t>
            </w:r>
            <w:r w:rsidRPr="00836096">
              <w:t>= .001*</w:t>
            </w:r>
          </w:p>
        </w:tc>
        <w:tc>
          <w:tcPr>
            <w:tcW w:w="1540" w:type="dxa"/>
            <w:vMerge w:val="restart"/>
            <w:shd w:val="clear" w:color="auto" w:fill="FFFFFF" w:themeFill="background1"/>
          </w:tcPr>
          <w:p w14:paraId="311BD3D3" w14:textId="77777777" w:rsidR="000E5A1A" w:rsidRPr="00836096" w:rsidRDefault="000E5A1A" w:rsidP="006072E6">
            <w:pPr>
              <w:spacing w:line="480" w:lineRule="auto"/>
              <w:rPr>
                <w:rStyle w:val="Emphasis"/>
              </w:rPr>
            </w:pPr>
            <w:r w:rsidRPr="00836096">
              <w:rPr>
                <w:rStyle w:val="Emphasis"/>
              </w:rPr>
              <w:t>28.04 (SE: 3.94); p = .001*</w:t>
            </w:r>
          </w:p>
        </w:tc>
        <w:tc>
          <w:tcPr>
            <w:tcW w:w="1497" w:type="dxa"/>
            <w:vMerge w:val="restart"/>
            <w:shd w:val="clear" w:color="auto" w:fill="FFFFFF" w:themeFill="background1"/>
          </w:tcPr>
          <w:p w14:paraId="139A06EB" w14:textId="77777777" w:rsidR="000E5A1A" w:rsidRPr="00836096" w:rsidRDefault="000E5A1A" w:rsidP="006072E6">
            <w:pPr>
              <w:spacing w:line="480" w:lineRule="auto"/>
              <w:rPr>
                <w:rStyle w:val="Emphasis"/>
                <w:sz w:val="20"/>
                <w:szCs w:val="20"/>
                <w:shd w:val="clear" w:color="auto" w:fill="FFFCF0"/>
              </w:rPr>
            </w:pPr>
            <w:r w:rsidRPr="00836096">
              <w:t>29.48 (SE: 4.30),</w:t>
            </w:r>
            <w:r w:rsidRPr="00836096">
              <w:rPr>
                <w:rStyle w:val="Emphasis"/>
              </w:rPr>
              <w:t xml:space="preserve"> p = .001*</w:t>
            </w:r>
          </w:p>
        </w:tc>
        <w:tc>
          <w:tcPr>
            <w:tcW w:w="1497" w:type="dxa"/>
            <w:vMerge w:val="restart"/>
            <w:shd w:val="clear" w:color="auto" w:fill="FFFFFF" w:themeFill="background1"/>
          </w:tcPr>
          <w:p w14:paraId="170820DE" w14:textId="77777777" w:rsidR="000E5A1A" w:rsidRPr="00836096" w:rsidRDefault="000E5A1A" w:rsidP="006072E6">
            <w:pPr>
              <w:spacing w:line="480" w:lineRule="auto"/>
              <w:rPr>
                <w:rStyle w:val="Emphasis"/>
                <w:sz w:val="20"/>
                <w:szCs w:val="20"/>
                <w:shd w:val="clear" w:color="auto" w:fill="FFFCF0"/>
              </w:rPr>
            </w:pPr>
            <w:r w:rsidRPr="00836096">
              <w:t xml:space="preserve">1.44 (SE: 4.46), </w:t>
            </w:r>
            <w:r w:rsidRPr="00836096">
              <w:rPr>
                <w:rStyle w:val="Emphasis"/>
              </w:rPr>
              <w:t>p = 1.00</w:t>
            </w:r>
          </w:p>
        </w:tc>
      </w:tr>
      <w:tr w:rsidR="00836096" w:rsidRPr="00836096" w14:paraId="26C8E625" w14:textId="77777777" w:rsidTr="006072E6">
        <w:trPr>
          <w:trHeight w:val="787"/>
        </w:trPr>
        <w:tc>
          <w:tcPr>
            <w:tcW w:w="1163" w:type="dxa"/>
            <w:vMerge/>
            <w:shd w:val="clear" w:color="auto" w:fill="FFFFFF" w:themeFill="background1"/>
          </w:tcPr>
          <w:p w14:paraId="43DD868E" w14:textId="77777777" w:rsidR="000E5A1A" w:rsidRPr="00836096" w:rsidRDefault="000E5A1A" w:rsidP="006072E6">
            <w:pPr>
              <w:spacing w:line="480" w:lineRule="auto"/>
              <w:jc w:val="both"/>
            </w:pPr>
          </w:p>
        </w:tc>
        <w:tc>
          <w:tcPr>
            <w:tcW w:w="1496" w:type="dxa"/>
            <w:vMerge/>
            <w:shd w:val="clear" w:color="auto" w:fill="FFFFFF" w:themeFill="background1"/>
            <w:noWrap/>
          </w:tcPr>
          <w:p w14:paraId="247FC589" w14:textId="77777777" w:rsidR="000E5A1A" w:rsidRPr="00836096" w:rsidRDefault="000E5A1A" w:rsidP="006072E6">
            <w:pPr>
              <w:spacing w:line="480" w:lineRule="auto"/>
              <w:jc w:val="both"/>
            </w:pPr>
          </w:p>
        </w:tc>
        <w:tc>
          <w:tcPr>
            <w:tcW w:w="1323" w:type="dxa"/>
            <w:shd w:val="clear" w:color="auto" w:fill="FFFFFF" w:themeFill="background1"/>
          </w:tcPr>
          <w:p w14:paraId="54C9EB57" w14:textId="77777777" w:rsidR="000E5A1A" w:rsidRPr="00836096" w:rsidRDefault="000E5A1A" w:rsidP="006072E6">
            <w:pPr>
              <w:spacing w:line="480" w:lineRule="auto"/>
              <w:jc w:val="both"/>
            </w:pPr>
            <w:r w:rsidRPr="00836096">
              <w:rPr>
                <w:bCs/>
              </w:rPr>
              <w:t>Imputation analysis</w:t>
            </w:r>
          </w:p>
        </w:tc>
        <w:tc>
          <w:tcPr>
            <w:tcW w:w="1496" w:type="dxa"/>
            <w:shd w:val="clear" w:color="auto" w:fill="FFFFFF" w:themeFill="background1"/>
            <w:noWrap/>
          </w:tcPr>
          <w:p w14:paraId="615648E3" w14:textId="77777777" w:rsidR="000E5A1A" w:rsidRPr="00836096" w:rsidRDefault="000E5A1A" w:rsidP="006072E6">
            <w:pPr>
              <w:spacing w:line="480" w:lineRule="auto"/>
              <w:jc w:val="both"/>
            </w:pPr>
            <w:r w:rsidRPr="00836096">
              <w:t>29.55 (19.36) [2-86]</w:t>
            </w:r>
          </w:p>
        </w:tc>
        <w:tc>
          <w:tcPr>
            <w:tcW w:w="990" w:type="dxa"/>
            <w:shd w:val="clear" w:color="auto" w:fill="FFFFFF" w:themeFill="background1"/>
          </w:tcPr>
          <w:p w14:paraId="463715F7" w14:textId="77777777" w:rsidR="000E5A1A" w:rsidRPr="00836096" w:rsidRDefault="000E5A1A" w:rsidP="006072E6">
            <w:pPr>
              <w:spacing w:line="480" w:lineRule="auto"/>
              <w:jc w:val="both"/>
            </w:pPr>
            <w:r w:rsidRPr="00836096">
              <w:t>29.71 (17.49)</w:t>
            </w:r>
          </w:p>
        </w:tc>
        <w:tc>
          <w:tcPr>
            <w:tcW w:w="1310" w:type="dxa"/>
            <w:shd w:val="clear" w:color="auto" w:fill="FFFFFF" w:themeFill="background1"/>
          </w:tcPr>
          <w:p w14:paraId="4A5274FA" w14:textId="77777777" w:rsidR="000E5A1A" w:rsidRPr="00836096" w:rsidRDefault="000E5A1A" w:rsidP="006072E6">
            <w:pPr>
              <w:spacing w:line="480" w:lineRule="auto"/>
              <w:jc w:val="both"/>
            </w:pPr>
            <w:r w:rsidRPr="00836096">
              <w:t>1.76 (1.11-2.36)</w:t>
            </w:r>
          </w:p>
        </w:tc>
        <w:tc>
          <w:tcPr>
            <w:tcW w:w="1636" w:type="dxa"/>
            <w:vMerge/>
            <w:shd w:val="clear" w:color="auto" w:fill="FFFFFF" w:themeFill="background1"/>
            <w:noWrap/>
          </w:tcPr>
          <w:p w14:paraId="585E8943"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3DC4C581"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40D9AA7F"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796EB2A9" w14:textId="77777777" w:rsidR="000E5A1A" w:rsidRPr="00836096" w:rsidRDefault="000E5A1A" w:rsidP="006072E6">
            <w:pPr>
              <w:spacing w:line="480" w:lineRule="auto"/>
              <w:jc w:val="both"/>
              <w:rPr>
                <w:i/>
              </w:rPr>
            </w:pPr>
          </w:p>
        </w:tc>
      </w:tr>
      <w:tr w:rsidR="00836096" w:rsidRPr="00836096" w14:paraId="3AF5E1DF" w14:textId="77777777" w:rsidTr="006072E6">
        <w:trPr>
          <w:trHeight w:val="1053"/>
        </w:trPr>
        <w:tc>
          <w:tcPr>
            <w:tcW w:w="1163" w:type="dxa"/>
            <w:vMerge w:val="restart"/>
            <w:shd w:val="clear" w:color="auto" w:fill="FFFFFF" w:themeFill="background1"/>
          </w:tcPr>
          <w:p w14:paraId="0431F0E3" w14:textId="77777777" w:rsidR="000E5A1A" w:rsidRPr="00836096" w:rsidRDefault="000E5A1A" w:rsidP="006072E6">
            <w:pPr>
              <w:spacing w:line="480" w:lineRule="auto"/>
              <w:jc w:val="both"/>
              <w:rPr>
                <w:b/>
                <w:bCs/>
              </w:rPr>
            </w:pPr>
            <w:r w:rsidRPr="00836096">
              <w:rPr>
                <w:b/>
                <w:bCs/>
              </w:rPr>
              <w:t>GAD-7</w:t>
            </w:r>
          </w:p>
        </w:tc>
        <w:tc>
          <w:tcPr>
            <w:tcW w:w="1496" w:type="dxa"/>
            <w:vMerge w:val="restart"/>
            <w:shd w:val="clear" w:color="auto" w:fill="FFFFFF" w:themeFill="background1"/>
            <w:noWrap/>
          </w:tcPr>
          <w:p w14:paraId="0AF2E6F8" w14:textId="77777777" w:rsidR="000E5A1A" w:rsidRPr="00836096" w:rsidRDefault="000E5A1A" w:rsidP="006072E6">
            <w:pPr>
              <w:spacing w:line="480" w:lineRule="auto"/>
              <w:jc w:val="both"/>
            </w:pPr>
            <w:r w:rsidRPr="00836096">
              <w:t>7.15 (4.68) [1-17]</w:t>
            </w:r>
          </w:p>
          <w:p w14:paraId="23937BE8" w14:textId="77777777" w:rsidR="000E5A1A" w:rsidRPr="00836096" w:rsidRDefault="000E5A1A" w:rsidP="006072E6">
            <w:pPr>
              <w:spacing w:line="480" w:lineRule="auto"/>
              <w:jc w:val="both"/>
            </w:pPr>
          </w:p>
        </w:tc>
        <w:tc>
          <w:tcPr>
            <w:tcW w:w="1323" w:type="dxa"/>
            <w:shd w:val="clear" w:color="auto" w:fill="FFFFFF" w:themeFill="background1"/>
          </w:tcPr>
          <w:p w14:paraId="6C053584"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1EE2F8AC" w14:textId="77777777" w:rsidR="000E5A1A" w:rsidRPr="00836096" w:rsidRDefault="000E5A1A" w:rsidP="006072E6">
            <w:pPr>
              <w:spacing w:line="480" w:lineRule="auto"/>
              <w:jc w:val="both"/>
            </w:pPr>
            <w:r w:rsidRPr="00836096">
              <w:t>4.57 (4.02) [0-14]</w:t>
            </w:r>
          </w:p>
          <w:p w14:paraId="046AB1BC" w14:textId="77777777" w:rsidR="000E5A1A" w:rsidRPr="00836096" w:rsidRDefault="000E5A1A" w:rsidP="006072E6">
            <w:pPr>
              <w:spacing w:line="480" w:lineRule="auto"/>
              <w:jc w:val="both"/>
            </w:pPr>
          </w:p>
        </w:tc>
        <w:tc>
          <w:tcPr>
            <w:tcW w:w="990" w:type="dxa"/>
            <w:shd w:val="clear" w:color="auto" w:fill="FFFFFF" w:themeFill="background1"/>
          </w:tcPr>
          <w:p w14:paraId="0C312535" w14:textId="77777777" w:rsidR="000E5A1A" w:rsidRPr="00836096" w:rsidRDefault="000E5A1A" w:rsidP="006072E6">
            <w:pPr>
              <w:spacing w:line="480" w:lineRule="auto"/>
              <w:jc w:val="both"/>
            </w:pPr>
            <w:r w:rsidRPr="00836096">
              <w:t>4.35 (2.42) [0-9]</w:t>
            </w:r>
          </w:p>
        </w:tc>
        <w:tc>
          <w:tcPr>
            <w:tcW w:w="1310" w:type="dxa"/>
            <w:shd w:val="clear" w:color="auto" w:fill="FFFFFF" w:themeFill="background1"/>
          </w:tcPr>
          <w:p w14:paraId="546D26AA" w14:textId="77777777" w:rsidR="000E5A1A" w:rsidRPr="00836096" w:rsidRDefault="000E5A1A" w:rsidP="006072E6">
            <w:pPr>
              <w:spacing w:line="480" w:lineRule="auto"/>
              <w:jc w:val="both"/>
            </w:pPr>
            <w:r w:rsidRPr="00836096">
              <w:t>0.58 (-0.02 to 1.16)</w:t>
            </w:r>
          </w:p>
        </w:tc>
        <w:tc>
          <w:tcPr>
            <w:tcW w:w="1636" w:type="dxa"/>
            <w:vMerge w:val="restart"/>
            <w:shd w:val="clear" w:color="auto" w:fill="FFFFFF" w:themeFill="background1"/>
            <w:noWrap/>
          </w:tcPr>
          <w:p w14:paraId="7A711B60" w14:textId="77777777" w:rsidR="000E5A1A" w:rsidRPr="00836096" w:rsidRDefault="000E5A1A" w:rsidP="006072E6">
            <w:pPr>
              <w:spacing w:line="480" w:lineRule="auto"/>
              <w:jc w:val="both"/>
            </w:pPr>
            <w:r w:rsidRPr="00836096">
              <w:rPr>
                <w:i/>
                <w:iCs/>
              </w:rPr>
              <w:t>F</w:t>
            </w:r>
            <w:r w:rsidRPr="00836096">
              <w:t xml:space="preserve"> (2,39) = 7.07, </w:t>
            </w:r>
            <w:r w:rsidRPr="00836096">
              <w:rPr>
                <w:i/>
                <w:iCs/>
              </w:rPr>
              <w:t xml:space="preserve">p </w:t>
            </w:r>
            <w:r w:rsidRPr="00836096">
              <w:t>= .002*</w:t>
            </w:r>
          </w:p>
        </w:tc>
        <w:tc>
          <w:tcPr>
            <w:tcW w:w="1540" w:type="dxa"/>
            <w:vMerge w:val="restart"/>
            <w:shd w:val="clear" w:color="auto" w:fill="FFFFFF" w:themeFill="background1"/>
          </w:tcPr>
          <w:p w14:paraId="603426FC" w14:textId="77777777" w:rsidR="000E5A1A" w:rsidRPr="00836096" w:rsidRDefault="000E5A1A" w:rsidP="006072E6">
            <w:pPr>
              <w:spacing w:line="480" w:lineRule="auto"/>
              <w:jc w:val="both"/>
              <w:rPr>
                <w:i/>
              </w:rPr>
            </w:pPr>
            <w:r w:rsidRPr="00836096">
              <w:t xml:space="preserve">2.74 (SE: .82), </w:t>
            </w:r>
            <w:r w:rsidRPr="00836096">
              <w:rPr>
                <w:i/>
                <w:iCs/>
              </w:rPr>
              <w:t>p</w:t>
            </w:r>
            <w:r w:rsidRPr="00836096">
              <w:t xml:space="preserve"> = .005*</w:t>
            </w:r>
          </w:p>
        </w:tc>
        <w:tc>
          <w:tcPr>
            <w:tcW w:w="1497" w:type="dxa"/>
            <w:vMerge w:val="restart"/>
            <w:shd w:val="clear" w:color="auto" w:fill="FFFFFF" w:themeFill="background1"/>
          </w:tcPr>
          <w:p w14:paraId="4BC88E27" w14:textId="77777777" w:rsidR="000E5A1A" w:rsidRPr="00836096" w:rsidRDefault="000E5A1A" w:rsidP="006072E6">
            <w:pPr>
              <w:spacing w:line="480" w:lineRule="auto"/>
              <w:jc w:val="both"/>
              <w:rPr>
                <w:i/>
              </w:rPr>
            </w:pPr>
            <w:r w:rsidRPr="00836096">
              <w:t xml:space="preserve">2.68 (SE: .91), </w:t>
            </w:r>
            <w:r w:rsidRPr="00836096">
              <w:rPr>
                <w:i/>
                <w:iCs/>
              </w:rPr>
              <w:t>p</w:t>
            </w:r>
            <w:r w:rsidRPr="00836096">
              <w:t xml:space="preserve"> = .01*</w:t>
            </w:r>
          </w:p>
        </w:tc>
        <w:tc>
          <w:tcPr>
            <w:tcW w:w="1497" w:type="dxa"/>
            <w:vMerge w:val="restart"/>
            <w:shd w:val="clear" w:color="auto" w:fill="FFFFFF" w:themeFill="background1"/>
          </w:tcPr>
          <w:p w14:paraId="68024AA1" w14:textId="77777777" w:rsidR="000E5A1A" w:rsidRPr="00836096" w:rsidRDefault="000E5A1A" w:rsidP="006072E6">
            <w:pPr>
              <w:spacing w:line="480" w:lineRule="auto"/>
              <w:jc w:val="both"/>
              <w:rPr>
                <w:i/>
              </w:rPr>
            </w:pPr>
            <w:r w:rsidRPr="00836096">
              <w:t xml:space="preserve">-.07 (SE: .93), </w:t>
            </w:r>
            <w:r w:rsidRPr="00836096">
              <w:rPr>
                <w:i/>
                <w:iCs/>
              </w:rPr>
              <w:t>p</w:t>
            </w:r>
            <w:r w:rsidRPr="00836096">
              <w:t xml:space="preserve"> = 1.00</w:t>
            </w:r>
          </w:p>
        </w:tc>
      </w:tr>
      <w:tr w:rsidR="00836096" w:rsidRPr="00836096" w14:paraId="690CA8F8" w14:textId="77777777" w:rsidTr="006072E6">
        <w:trPr>
          <w:trHeight w:val="750"/>
        </w:trPr>
        <w:tc>
          <w:tcPr>
            <w:tcW w:w="1163" w:type="dxa"/>
            <w:vMerge/>
            <w:shd w:val="clear" w:color="auto" w:fill="FFFFFF" w:themeFill="background1"/>
          </w:tcPr>
          <w:p w14:paraId="05E70A9F" w14:textId="77777777" w:rsidR="000E5A1A" w:rsidRPr="00836096" w:rsidRDefault="000E5A1A" w:rsidP="006072E6">
            <w:pPr>
              <w:spacing w:line="480" w:lineRule="auto"/>
              <w:jc w:val="both"/>
            </w:pPr>
          </w:p>
        </w:tc>
        <w:tc>
          <w:tcPr>
            <w:tcW w:w="1496" w:type="dxa"/>
            <w:vMerge/>
            <w:shd w:val="clear" w:color="auto" w:fill="FFFFFF" w:themeFill="background1"/>
            <w:noWrap/>
          </w:tcPr>
          <w:p w14:paraId="0B8F2ABD" w14:textId="77777777" w:rsidR="000E5A1A" w:rsidRPr="00836096" w:rsidRDefault="000E5A1A" w:rsidP="006072E6">
            <w:pPr>
              <w:spacing w:line="480" w:lineRule="auto"/>
              <w:jc w:val="both"/>
            </w:pPr>
          </w:p>
        </w:tc>
        <w:tc>
          <w:tcPr>
            <w:tcW w:w="1323" w:type="dxa"/>
            <w:shd w:val="clear" w:color="auto" w:fill="FFFFFF" w:themeFill="background1"/>
          </w:tcPr>
          <w:p w14:paraId="0E675840"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2DB13C95" w14:textId="77777777" w:rsidR="000E5A1A" w:rsidRPr="00836096" w:rsidRDefault="000E5A1A" w:rsidP="006072E6">
            <w:pPr>
              <w:spacing w:line="480" w:lineRule="auto"/>
              <w:jc w:val="both"/>
            </w:pPr>
            <w:r w:rsidRPr="00836096">
              <w:t>4.69 (3.75) [0-14]</w:t>
            </w:r>
          </w:p>
        </w:tc>
        <w:tc>
          <w:tcPr>
            <w:tcW w:w="990" w:type="dxa"/>
            <w:shd w:val="clear" w:color="auto" w:fill="FFFFFF" w:themeFill="background1"/>
          </w:tcPr>
          <w:p w14:paraId="036DF5DA" w14:textId="77777777" w:rsidR="000E5A1A" w:rsidRPr="00836096" w:rsidRDefault="000E5A1A" w:rsidP="006072E6">
            <w:pPr>
              <w:spacing w:line="480" w:lineRule="auto"/>
              <w:jc w:val="both"/>
            </w:pPr>
            <w:r w:rsidRPr="00836096">
              <w:t>4.91 (2.43) [0-9]</w:t>
            </w:r>
          </w:p>
        </w:tc>
        <w:tc>
          <w:tcPr>
            <w:tcW w:w="1310" w:type="dxa"/>
            <w:shd w:val="clear" w:color="auto" w:fill="FFFFFF" w:themeFill="background1"/>
          </w:tcPr>
          <w:p w14:paraId="2C7D57E1" w14:textId="77777777" w:rsidR="000E5A1A" w:rsidRPr="00836096" w:rsidRDefault="000E5A1A" w:rsidP="006072E6">
            <w:pPr>
              <w:spacing w:line="480" w:lineRule="auto"/>
              <w:jc w:val="both"/>
            </w:pPr>
            <w:r w:rsidRPr="00836096">
              <w:t>0.58 (0.03 to 1.12)</w:t>
            </w:r>
          </w:p>
        </w:tc>
        <w:tc>
          <w:tcPr>
            <w:tcW w:w="1636" w:type="dxa"/>
            <w:vMerge/>
            <w:shd w:val="clear" w:color="auto" w:fill="FFFFFF" w:themeFill="background1"/>
            <w:noWrap/>
          </w:tcPr>
          <w:p w14:paraId="5FA1289B"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449FA24B"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3B21E4DF"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1E561FBF" w14:textId="77777777" w:rsidR="000E5A1A" w:rsidRPr="00836096" w:rsidRDefault="000E5A1A" w:rsidP="006072E6">
            <w:pPr>
              <w:spacing w:line="480" w:lineRule="auto"/>
              <w:jc w:val="both"/>
              <w:rPr>
                <w:i/>
              </w:rPr>
            </w:pPr>
          </w:p>
        </w:tc>
      </w:tr>
      <w:tr w:rsidR="00836096" w:rsidRPr="00836096" w14:paraId="63659953" w14:textId="77777777" w:rsidTr="006072E6">
        <w:trPr>
          <w:trHeight w:val="944"/>
        </w:trPr>
        <w:tc>
          <w:tcPr>
            <w:tcW w:w="1163" w:type="dxa"/>
            <w:vMerge w:val="restart"/>
            <w:shd w:val="clear" w:color="auto" w:fill="FFFFFF" w:themeFill="background1"/>
          </w:tcPr>
          <w:p w14:paraId="25BB0FFB" w14:textId="77777777" w:rsidR="000E5A1A" w:rsidRPr="00836096" w:rsidRDefault="000E5A1A" w:rsidP="006072E6">
            <w:pPr>
              <w:spacing w:line="480" w:lineRule="auto"/>
              <w:jc w:val="both"/>
              <w:rPr>
                <w:b/>
                <w:bCs/>
              </w:rPr>
            </w:pPr>
            <w:r w:rsidRPr="00836096">
              <w:rPr>
                <w:b/>
                <w:bCs/>
              </w:rPr>
              <w:t>PHQ-9</w:t>
            </w:r>
          </w:p>
        </w:tc>
        <w:tc>
          <w:tcPr>
            <w:tcW w:w="1496" w:type="dxa"/>
            <w:vMerge w:val="restart"/>
            <w:shd w:val="clear" w:color="auto" w:fill="FFFFFF" w:themeFill="background1"/>
            <w:noWrap/>
          </w:tcPr>
          <w:p w14:paraId="1460DA84" w14:textId="77777777" w:rsidR="000E5A1A" w:rsidRPr="00836096" w:rsidRDefault="000E5A1A" w:rsidP="006072E6">
            <w:pPr>
              <w:spacing w:line="480" w:lineRule="auto"/>
              <w:jc w:val="both"/>
            </w:pPr>
            <w:r w:rsidRPr="00836096">
              <w:t>6.00 (3.17) [0-12]</w:t>
            </w:r>
          </w:p>
          <w:p w14:paraId="62ABB49F" w14:textId="77777777" w:rsidR="000E5A1A" w:rsidRPr="00836096" w:rsidRDefault="000E5A1A" w:rsidP="006072E6">
            <w:pPr>
              <w:spacing w:line="480" w:lineRule="auto"/>
              <w:jc w:val="both"/>
            </w:pPr>
          </w:p>
        </w:tc>
        <w:tc>
          <w:tcPr>
            <w:tcW w:w="1323" w:type="dxa"/>
            <w:shd w:val="clear" w:color="auto" w:fill="FFFFFF" w:themeFill="background1"/>
          </w:tcPr>
          <w:p w14:paraId="703D1A37"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7323A3BE" w14:textId="77777777" w:rsidR="000E5A1A" w:rsidRPr="00836096" w:rsidRDefault="000E5A1A" w:rsidP="006072E6">
            <w:pPr>
              <w:spacing w:line="480" w:lineRule="auto"/>
              <w:jc w:val="both"/>
            </w:pPr>
            <w:r w:rsidRPr="00836096">
              <w:t>4.91 (3.94) [0-14]</w:t>
            </w:r>
          </w:p>
          <w:p w14:paraId="394DA24A" w14:textId="77777777" w:rsidR="000E5A1A" w:rsidRPr="00836096" w:rsidRDefault="000E5A1A" w:rsidP="006072E6">
            <w:pPr>
              <w:spacing w:line="480" w:lineRule="auto"/>
              <w:jc w:val="both"/>
            </w:pPr>
          </w:p>
        </w:tc>
        <w:tc>
          <w:tcPr>
            <w:tcW w:w="990" w:type="dxa"/>
            <w:shd w:val="clear" w:color="auto" w:fill="FFFFFF" w:themeFill="background1"/>
          </w:tcPr>
          <w:p w14:paraId="7257CADE" w14:textId="77777777" w:rsidR="000E5A1A" w:rsidRPr="00836096" w:rsidRDefault="000E5A1A" w:rsidP="006072E6">
            <w:pPr>
              <w:spacing w:line="480" w:lineRule="auto"/>
              <w:jc w:val="both"/>
            </w:pPr>
            <w:r w:rsidRPr="00836096">
              <w:t>4.71 (2.78) [1-9]</w:t>
            </w:r>
          </w:p>
          <w:p w14:paraId="2D0EAC9F" w14:textId="77777777" w:rsidR="000E5A1A" w:rsidRPr="00836096" w:rsidRDefault="000E5A1A" w:rsidP="006072E6">
            <w:pPr>
              <w:spacing w:line="480" w:lineRule="auto"/>
              <w:jc w:val="both"/>
            </w:pPr>
          </w:p>
        </w:tc>
        <w:tc>
          <w:tcPr>
            <w:tcW w:w="1310" w:type="dxa"/>
            <w:shd w:val="clear" w:color="auto" w:fill="FFFFFF" w:themeFill="background1"/>
          </w:tcPr>
          <w:p w14:paraId="270120E9" w14:textId="77777777" w:rsidR="000E5A1A" w:rsidRPr="00836096" w:rsidRDefault="000E5A1A" w:rsidP="006072E6">
            <w:pPr>
              <w:spacing w:line="480" w:lineRule="auto"/>
              <w:jc w:val="both"/>
            </w:pPr>
            <w:r w:rsidRPr="00836096">
              <w:t>0.30 (-0.28 to 0.89)</w:t>
            </w:r>
          </w:p>
        </w:tc>
        <w:tc>
          <w:tcPr>
            <w:tcW w:w="1636" w:type="dxa"/>
            <w:vMerge w:val="restart"/>
            <w:shd w:val="clear" w:color="auto" w:fill="FFFFFF" w:themeFill="background1"/>
            <w:noWrap/>
          </w:tcPr>
          <w:p w14:paraId="7158599E" w14:textId="77777777" w:rsidR="000E5A1A" w:rsidRPr="00836096" w:rsidRDefault="000E5A1A" w:rsidP="006072E6">
            <w:pPr>
              <w:spacing w:line="480" w:lineRule="auto"/>
              <w:jc w:val="both"/>
            </w:pPr>
            <w:r w:rsidRPr="00836096">
              <w:rPr>
                <w:i/>
                <w:iCs/>
              </w:rPr>
              <w:t>F</w:t>
            </w:r>
            <w:r w:rsidRPr="00836096">
              <w:t xml:space="preserve"> (2,39) = 1.99, </w:t>
            </w:r>
            <w:r w:rsidRPr="00836096">
              <w:rPr>
                <w:i/>
                <w:iCs/>
              </w:rPr>
              <w:t xml:space="preserve">p </w:t>
            </w:r>
            <w:r w:rsidRPr="00836096">
              <w:t>= .15</w:t>
            </w:r>
          </w:p>
          <w:p w14:paraId="6572ED78" w14:textId="77777777" w:rsidR="000E5A1A" w:rsidRPr="00836096" w:rsidRDefault="000E5A1A" w:rsidP="006072E6">
            <w:pPr>
              <w:spacing w:line="480" w:lineRule="auto"/>
              <w:jc w:val="both"/>
            </w:pPr>
          </w:p>
        </w:tc>
        <w:tc>
          <w:tcPr>
            <w:tcW w:w="1540" w:type="dxa"/>
            <w:vMerge w:val="restart"/>
            <w:shd w:val="clear" w:color="auto" w:fill="FFFFFF" w:themeFill="background1"/>
          </w:tcPr>
          <w:p w14:paraId="050D042A" w14:textId="77777777" w:rsidR="000E5A1A" w:rsidRPr="00836096" w:rsidRDefault="000E5A1A" w:rsidP="006072E6">
            <w:pPr>
              <w:spacing w:line="480" w:lineRule="auto"/>
              <w:jc w:val="both"/>
              <w:rPr>
                <w:i/>
              </w:rPr>
            </w:pPr>
            <w:r w:rsidRPr="00836096">
              <w:rPr>
                <w:i/>
              </w:rPr>
              <w:t>N/A</w:t>
            </w:r>
          </w:p>
          <w:p w14:paraId="5F65847D" w14:textId="77777777" w:rsidR="000E5A1A" w:rsidRPr="00836096" w:rsidRDefault="000E5A1A" w:rsidP="006072E6">
            <w:pPr>
              <w:spacing w:line="480" w:lineRule="auto"/>
              <w:jc w:val="both"/>
              <w:rPr>
                <w:i/>
              </w:rPr>
            </w:pPr>
            <w:r w:rsidRPr="00836096">
              <w:rPr>
                <w:i/>
              </w:rPr>
              <w:t>N/A</w:t>
            </w:r>
          </w:p>
        </w:tc>
        <w:tc>
          <w:tcPr>
            <w:tcW w:w="1497" w:type="dxa"/>
            <w:vMerge w:val="restart"/>
            <w:shd w:val="clear" w:color="auto" w:fill="FFFFFF" w:themeFill="background1"/>
          </w:tcPr>
          <w:p w14:paraId="5498A951" w14:textId="77777777" w:rsidR="000E5A1A" w:rsidRPr="00836096" w:rsidRDefault="000E5A1A" w:rsidP="006072E6">
            <w:pPr>
              <w:spacing w:line="480" w:lineRule="auto"/>
              <w:jc w:val="both"/>
              <w:rPr>
                <w:i/>
              </w:rPr>
            </w:pPr>
          </w:p>
        </w:tc>
        <w:tc>
          <w:tcPr>
            <w:tcW w:w="1497" w:type="dxa"/>
            <w:vMerge w:val="restart"/>
            <w:shd w:val="clear" w:color="auto" w:fill="FFFFFF" w:themeFill="background1"/>
          </w:tcPr>
          <w:p w14:paraId="7FA47691" w14:textId="77777777" w:rsidR="000E5A1A" w:rsidRPr="00836096" w:rsidRDefault="000E5A1A" w:rsidP="006072E6">
            <w:pPr>
              <w:spacing w:line="480" w:lineRule="auto"/>
              <w:jc w:val="both"/>
              <w:rPr>
                <w:i/>
              </w:rPr>
            </w:pPr>
          </w:p>
        </w:tc>
      </w:tr>
      <w:tr w:rsidR="00836096" w:rsidRPr="00836096" w14:paraId="30A78284" w14:textId="77777777" w:rsidTr="006072E6">
        <w:trPr>
          <w:trHeight w:val="847"/>
        </w:trPr>
        <w:tc>
          <w:tcPr>
            <w:tcW w:w="1163" w:type="dxa"/>
            <w:vMerge/>
            <w:shd w:val="clear" w:color="auto" w:fill="FFFFFF" w:themeFill="background1"/>
          </w:tcPr>
          <w:p w14:paraId="4BB800B5" w14:textId="77777777" w:rsidR="000E5A1A" w:rsidRPr="00836096" w:rsidRDefault="000E5A1A" w:rsidP="006072E6">
            <w:pPr>
              <w:spacing w:line="480" w:lineRule="auto"/>
              <w:jc w:val="both"/>
              <w:rPr>
                <w:b/>
                <w:bCs/>
              </w:rPr>
            </w:pPr>
          </w:p>
        </w:tc>
        <w:tc>
          <w:tcPr>
            <w:tcW w:w="1496" w:type="dxa"/>
            <w:vMerge/>
            <w:shd w:val="clear" w:color="auto" w:fill="FFFFFF" w:themeFill="background1"/>
            <w:noWrap/>
          </w:tcPr>
          <w:p w14:paraId="6D000DBF" w14:textId="77777777" w:rsidR="000E5A1A" w:rsidRPr="00836096" w:rsidRDefault="000E5A1A" w:rsidP="006072E6">
            <w:pPr>
              <w:spacing w:line="480" w:lineRule="auto"/>
              <w:jc w:val="both"/>
            </w:pPr>
          </w:p>
        </w:tc>
        <w:tc>
          <w:tcPr>
            <w:tcW w:w="1323" w:type="dxa"/>
            <w:shd w:val="clear" w:color="auto" w:fill="FFFFFF" w:themeFill="background1"/>
          </w:tcPr>
          <w:p w14:paraId="361C4B1A"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767A01E1" w14:textId="77777777" w:rsidR="000E5A1A" w:rsidRPr="00836096" w:rsidRDefault="000E5A1A" w:rsidP="006072E6">
            <w:pPr>
              <w:spacing w:line="480" w:lineRule="auto"/>
              <w:jc w:val="both"/>
            </w:pPr>
            <w:r w:rsidRPr="00836096">
              <w:t>4.76 (3.71) [0-14]</w:t>
            </w:r>
          </w:p>
        </w:tc>
        <w:tc>
          <w:tcPr>
            <w:tcW w:w="990" w:type="dxa"/>
            <w:shd w:val="clear" w:color="auto" w:fill="FFFFFF" w:themeFill="background1"/>
          </w:tcPr>
          <w:p w14:paraId="41A701FC" w14:textId="77777777" w:rsidR="000E5A1A" w:rsidRPr="00836096" w:rsidRDefault="000E5A1A" w:rsidP="006072E6">
            <w:pPr>
              <w:spacing w:line="480" w:lineRule="auto"/>
              <w:jc w:val="both"/>
            </w:pPr>
            <w:r w:rsidRPr="00836096">
              <w:t>4.52 (2.51) [1-9]</w:t>
            </w:r>
          </w:p>
        </w:tc>
        <w:tc>
          <w:tcPr>
            <w:tcW w:w="1310" w:type="dxa"/>
            <w:shd w:val="clear" w:color="auto" w:fill="FFFFFF" w:themeFill="background1"/>
          </w:tcPr>
          <w:p w14:paraId="3F03F418" w14:textId="77777777" w:rsidR="000E5A1A" w:rsidRPr="00836096" w:rsidRDefault="000E5A1A" w:rsidP="006072E6">
            <w:pPr>
              <w:spacing w:line="480" w:lineRule="auto"/>
              <w:jc w:val="both"/>
            </w:pPr>
            <w:r w:rsidRPr="00836096">
              <w:t>0.36 (-0.18 to 0.89)</w:t>
            </w:r>
          </w:p>
        </w:tc>
        <w:tc>
          <w:tcPr>
            <w:tcW w:w="1636" w:type="dxa"/>
            <w:vMerge/>
            <w:shd w:val="clear" w:color="auto" w:fill="FFFFFF" w:themeFill="background1"/>
            <w:noWrap/>
          </w:tcPr>
          <w:p w14:paraId="15B80481"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4F917CCA"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1B6D2681"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456AE387" w14:textId="77777777" w:rsidR="000E5A1A" w:rsidRPr="00836096" w:rsidRDefault="000E5A1A" w:rsidP="006072E6">
            <w:pPr>
              <w:spacing w:line="480" w:lineRule="auto"/>
              <w:jc w:val="both"/>
              <w:rPr>
                <w:i/>
              </w:rPr>
            </w:pPr>
          </w:p>
        </w:tc>
      </w:tr>
      <w:tr w:rsidR="00836096" w:rsidRPr="00836096" w14:paraId="6699FC06" w14:textId="77777777" w:rsidTr="006072E6">
        <w:trPr>
          <w:trHeight w:val="980"/>
        </w:trPr>
        <w:tc>
          <w:tcPr>
            <w:tcW w:w="1163" w:type="dxa"/>
            <w:vMerge w:val="restart"/>
            <w:shd w:val="clear" w:color="auto" w:fill="FFFFFF" w:themeFill="background1"/>
          </w:tcPr>
          <w:p w14:paraId="2546DEF1" w14:textId="77777777" w:rsidR="000E5A1A" w:rsidRPr="00836096" w:rsidRDefault="000E5A1A" w:rsidP="006072E6">
            <w:pPr>
              <w:spacing w:line="480" w:lineRule="auto"/>
              <w:jc w:val="both"/>
              <w:rPr>
                <w:b/>
                <w:bCs/>
              </w:rPr>
            </w:pPr>
            <w:r w:rsidRPr="00836096">
              <w:rPr>
                <w:b/>
                <w:bCs/>
              </w:rPr>
              <w:t>ISI</w:t>
            </w:r>
          </w:p>
        </w:tc>
        <w:tc>
          <w:tcPr>
            <w:tcW w:w="1496" w:type="dxa"/>
            <w:vMerge w:val="restart"/>
            <w:shd w:val="clear" w:color="auto" w:fill="FFFFFF" w:themeFill="background1"/>
            <w:noWrap/>
          </w:tcPr>
          <w:p w14:paraId="2AE386FD" w14:textId="77777777" w:rsidR="000E5A1A" w:rsidRPr="00836096" w:rsidRDefault="000E5A1A" w:rsidP="006072E6">
            <w:pPr>
              <w:spacing w:line="480" w:lineRule="auto"/>
              <w:jc w:val="both"/>
            </w:pPr>
            <w:r w:rsidRPr="00836096">
              <w:t>12.67 (6.50) [2-27]</w:t>
            </w:r>
          </w:p>
          <w:p w14:paraId="75BE5DAA" w14:textId="77777777" w:rsidR="000E5A1A" w:rsidRPr="00836096" w:rsidRDefault="000E5A1A" w:rsidP="006072E6">
            <w:pPr>
              <w:spacing w:line="480" w:lineRule="auto"/>
              <w:jc w:val="both"/>
            </w:pPr>
          </w:p>
        </w:tc>
        <w:tc>
          <w:tcPr>
            <w:tcW w:w="1323" w:type="dxa"/>
            <w:shd w:val="clear" w:color="auto" w:fill="FFFFFF" w:themeFill="background1"/>
          </w:tcPr>
          <w:p w14:paraId="231C4715"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0EDFC214" w14:textId="77777777" w:rsidR="000E5A1A" w:rsidRPr="00836096" w:rsidRDefault="000E5A1A" w:rsidP="006072E6">
            <w:pPr>
              <w:spacing w:line="480" w:lineRule="auto"/>
              <w:jc w:val="both"/>
            </w:pPr>
            <w:r w:rsidRPr="00836096">
              <w:t>8.85 (6.02) [0-20]</w:t>
            </w:r>
          </w:p>
          <w:p w14:paraId="39253DC0" w14:textId="77777777" w:rsidR="000E5A1A" w:rsidRPr="00836096" w:rsidRDefault="000E5A1A" w:rsidP="006072E6">
            <w:pPr>
              <w:spacing w:line="480" w:lineRule="auto"/>
              <w:jc w:val="both"/>
            </w:pPr>
            <w:r w:rsidRPr="00836096">
              <w:t>7.04 (4.81)</w:t>
            </w:r>
          </w:p>
        </w:tc>
        <w:tc>
          <w:tcPr>
            <w:tcW w:w="990" w:type="dxa"/>
            <w:shd w:val="clear" w:color="auto" w:fill="FFFFFF" w:themeFill="background1"/>
          </w:tcPr>
          <w:p w14:paraId="64BEC956" w14:textId="77777777" w:rsidR="000E5A1A" w:rsidRPr="00836096" w:rsidRDefault="000E5A1A" w:rsidP="006072E6">
            <w:pPr>
              <w:spacing w:line="480" w:lineRule="auto"/>
              <w:jc w:val="both"/>
            </w:pPr>
            <w:r w:rsidRPr="00836096">
              <w:t>11.53 (6.43) [1-23]</w:t>
            </w:r>
          </w:p>
          <w:p w14:paraId="063ED93D" w14:textId="77777777" w:rsidR="000E5A1A" w:rsidRPr="00836096" w:rsidRDefault="000E5A1A" w:rsidP="006072E6">
            <w:pPr>
              <w:spacing w:line="480" w:lineRule="auto"/>
              <w:jc w:val="both"/>
            </w:pPr>
          </w:p>
        </w:tc>
        <w:tc>
          <w:tcPr>
            <w:tcW w:w="1310" w:type="dxa"/>
            <w:shd w:val="clear" w:color="auto" w:fill="FFFFFF" w:themeFill="background1"/>
          </w:tcPr>
          <w:p w14:paraId="3420A957" w14:textId="77777777" w:rsidR="000E5A1A" w:rsidRPr="00836096" w:rsidRDefault="000E5A1A" w:rsidP="006072E6">
            <w:pPr>
              <w:spacing w:line="480" w:lineRule="auto"/>
              <w:jc w:val="both"/>
            </w:pPr>
            <w:r w:rsidRPr="00836096">
              <w:t>0.61 (0.01 to 1.19)</w:t>
            </w:r>
          </w:p>
        </w:tc>
        <w:tc>
          <w:tcPr>
            <w:tcW w:w="1636" w:type="dxa"/>
            <w:vMerge w:val="restart"/>
            <w:shd w:val="clear" w:color="auto" w:fill="FFFFFF" w:themeFill="background1"/>
            <w:noWrap/>
          </w:tcPr>
          <w:p w14:paraId="640D4093" w14:textId="77777777" w:rsidR="000E5A1A" w:rsidRPr="00836096" w:rsidRDefault="000E5A1A" w:rsidP="006072E6">
            <w:pPr>
              <w:spacing w:line="480" w:lineRule="auto"/>
              <w:jc w:val="both"/>
              <w:rPr>
                <w:i/>
              </w:rPr>
            </w:pPr>
            <w:r w:rsidRPr="00836096">
              <w:rPr>
                <w:i/>
                <w:iCs/>
              </w:rPr>
              <w:t>F</w:t>
            </w:r>
            <w:r w:rsidRPr="00836096">
              <w:t xml:space="preserve"> (2,35) = 7.90, </w:t>
            </w:r>
            <w:r w:rsidRPr="00836096">
              <w:rPr>
                <w:i/>
                <w:iCs/>
              </w:rPr>
              <w:t xml:space="preserve">p </w:t>
            </w:r>
            <w:r w:rsidRPr="00836096">
              <w:t>= .001*</w:t>
            </w:r>
          </w:p>
        </w:tc>
        <w:tc>
          <w:tcPr>
            <w:tcW w:w="1540" w:type="dxa"/>
            <w:vMerge w:val="restart"/>
            <w:shd w:val="clear" w:color="auto" w:fill="FFFFFF" w:themeFill="background1"/>
          </w:tcPr>
          <w:p w14:paraId="6B733CAA" w14:textId="77777777" w:rsidR="000E5A1A" w:rsidRPr="00836096" w:rsidRDefault="000E5A1A" w:rsidP="006072E6">
            <w:pPr>
              <w:spacing w:line="480" w:lineRule="auto"/>
              <w:jc w:val="both"/>
              <w:rPr>
                <w:i/>
              </w:rPr>
            </w:pPr>
            <w:r w:rsidRPr="00836096">
              <w:t>4.32 (SE: 1.09)</w:t>
            </w:r>
            <w:r w:rsidRPr="00836096">
              <w:rPr>
                <w:rStyle w:val="Emphasis"/>
              </w:rPr>
              <w:t xml:space="preserve">, </w:t>
            </w:r>
            <w:proofErr w:type="gramStart"/>
            <w:r w:rsidRPr="00836096">
              <w:rPr>
                <w:i/>
                <w:iCs/>
              </w:rPr>
              <w:t>p</w:t>
            </w:r>
            <w:r w:rsidRPr="00836096">
              <w:t xml:space="preserve">  =</w:t>
            </w:r>
            <w:proofErr w:type="gramEnd"/>
            <w:r w:rsidRPr="00836096">
              <w:t xml:space="preserve"> .001*</w:t>
            </w:r>
          </w:p>
        </w:tc>
        <w:tc>
          <w:tcPr>
            <w:tcW w:w="1497" w:type="dxa"/>
            <w:vMerge w:val="restart"/>
            <w:shd w:val="clear" w:color="auto" w:fill="FFFFFF" w:themeFill="background1"/>
          </w:tcPr>
          <w:p w14:paraId="3EEB29DD" w14:textId="77777777" w:rsidR="000E5A1A" w:rsidRPr="00836096" w:rsidRDefault="000E5A1A" w:rsidP="006072E6">
            <w:pPr>
              <w:spacing w:line="480" w:lineRule="auto"/>
              <w:jc w:val="both"/>
              <w:rPr>
                <w:i/>
              </w:rPr>
            </w:pPr>
            <w:r w:rsidRPr="00836096">
              <w:t xml:space="preserve">2.43 (SE: 1.16), </w:t>
            </w:r>
            <w:r w:rsidRPr="00836096">
              <w:rPr>
                <w:i/>
                <w:iCs/>
              </w:rPr>
              <w:t>p</w:t>
            </w:r>
            <w:r w:rsidRPr="00836096">
              <w:t xml:space="preserve"> = .13</w:t>
            </w:r>
          </w:p>
        </w:tc>
        <w:tc>
          <w:tcPr>
            <w:tcW w:w="1497" w:type="dxa"/>
            <w:vMerge w:val="restart"/>
            <w:shd w:val="clear" w:color="auto" w:fill="FFFFFF" w:themeFill="background1"/>
          </w:tcPr>
          <w:p w14:paraId="5EB1D089" w14:textId="77777777" w:rsidR="000E5A1A" w:rsidRPr="00836096" w:rsidRDefault="000E5A1A" w:rsidP="006072E6">
            <w:pPr>
              <w:spacing w:line="480" w:lineRule="auto"/>
              <w:jc w:val="both"/>
              <w:rPr>
                <w:i/>
              </w:rPr>
            </w:pPr>
            <w:r w:rsidRPr="00836096">
              <w:t xml:space="preserve">-1.90 (SE: 1.20), </w:t>
            </w:r>
            <w:r w:rsidRPr="00836096">
              <w:rPr>
                <w:i/>
                <w:iCs/>
              </w:rPr>
              <w:t>p</w:t>
            </w:r>
            <w:r w:rsidRPr="00836096">
              <w:t xml:space="preserve"> = .37</w:t>
            </w:r>
          </w:p>
        </w:tc>
      </w:tr>
      <w:tr w:rsidR="00836096" w:rsidRPr="00836096" w14:paraId="37A78A05" w14:textId="77777777" w:rsidTr="006072E6">
        <w:trPr>
          <w:trHeight w:val="808"/>
        </w:trPr>
        <w:tc>
          <w:tcPr>
            <w:tcW w:w="1163" w:type="dxa"/>
            <w:vMerge/>
            <w:shd w:val="clear" w:color="auto" w:fill="FFFFFF" w:themeFill="background1"/>
          </w:tcPr>
          <w:p w14:paraId="3C664D5E" w14:textId="77777777" w:rsidR="000E5A1A" w:rsidRPr="00836096" w:rsidRDefault="000E5A1A" w:rsidP="006072E6">
            <w:pPr>
              <w:spacing w:line="480" w:lineRule="auto"/>
              <w:jc w:val="both"/>
              <w:rPr>
                <w:b/>
                <w:bCs/>
              </w:rPr>
            </w:pPr>
          </w:p>
        </w:tc>
        <w:tc>
          <w:tcPr>
            <w:tcW w:w="1496" w:type="dxa"/>
            <w:vMerge/>
            <w:shd w:val="clear" w:color="auto" w:fill="FFFFFF" w:themeFill="background1"/>
            <w:noWrap/>
          </w:tcPr>
          <w:p w14:paraId="3BB2EB29" w14:textId="77777777" w:rsidR="000E5A1A" w:rsidRPr="00836096" w:rsidRDefault="000E5A1A" w:rsidP="006072E6">
            <w:pPr>
              <w:spacing w:line="480" w:lineRule="auto"/>
              <w:jc w:val="both"/>
            </w:pPr>
          </w:p>
        </w:tc>
        <w:tc>
          <w:tcPr>
            <w:tcW w:w="1323" w:type="dxa"/>
            <w:shd w:val="clear" w:color="auto" w:fill="FFFFFF" w:themeFill="background1"/>
          </w:tcPr>
          <w:p w14:paraId="59F45FD5"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0F0D435A" w14:textId="77777777" w:rsidR="000E5A1A" w:rsidRPr="00836096" w:rsidRDefault="000E5A1A" w:rsidP="006072E6">
            <w:pPr>
              <w:spacing w:line="480" w:lineRule="auto"/>
              <w:jc w:val="both"/>
            </w:pPr>
            <w:r w:rsidRPr="00836096">
              <w:t>8.74 (5.35) [0-20]</w:t>
            </w:r>
          </w:p>
        </w:tc>
        <w:tc>
          <w:tcPr>
            <w:tcW w:w="990" w:type="dxa"/>
            <w:shd w:val="clear" w:color="auto" w:fill="FFFFFF" w:themeFill="background1"/>
          </w:tcPr>
          <w:p w14:paraId="0ADD866D" w14:textId="77777777" w:rsidR="000E5A1A" w:rsidRPr="00836096" w:rsidRDefault="000E5A1A" w:rsidP="006072E6">
            <w:pPr>
              <w:spacing w:line="480" w:lineRule="auto"/>
              <w:jc w:val="both"/>
            </w:pPr>
            <w:r w:rsidRPr="00836096">
              <w:t>10.69 (5.27) [1-23]</w:t>
            </w:r>
          </w:p>
        </w:tc>
        <w:tc>
          <w:tcPr>
            <w:tcW w:w="1310" w:type="dxa"/>
            <w:shd w:val="clear" w:color="auto" w:fill="FFFFFF" w:themeFill="background1"/>
          </w:tcPr>
          <w:p w14:paraId="6F7AB5F2" w14:textId="77777777" w:rsidR="000E5A1A" w:rsidRPr="00836096" w:rsidRDefault="000E5A1A" w:rsidP="006072E6">
            <w:pPr>
              <w:spacing w:line="480" w:lineRule="auto"/>
              <w:jc w:val="both"/>
            </w:pPr>
            <w:r w:rsidRPr="00836096">
              <w:t>0.66 (0.10 to 1.20)</w:t>
            </w:r>
          </w:p>
        </w:tc>
        <w:tc>
          <w:tcPr>
            <w:tcW w:w="1636" w:type="dxa"/>
            <w:vMerge/>
            <w:shd w:val="clear" w:color="auto" w:fill="FFFFFF" w:themeFill="background1"/>
            <w:noWrap/>
          </w:tcPr>
          <w:p w14:paraId="51A30783"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76641D81"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79CCD3CC"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41E635B7" w14:textId="77777777" w:rsidR="000E5A1A" w:rsidRPr="00836096" w:rsidRDefault="000E5A1A" w:rsidP="006072E6">
            <w:pPr>
              <w:spacing w:line="480" w:lineRule="auto"/>
              <w:jc w:val="both"/>
              <w:rPr>
                <w:i/>
              </w:rPr>
            </w:pPr>
          </w:p>
        </w:tc>
      </w:tr>
      <w:tr w:rsidR="00836096" w:rsidRPr="00836096" w14:paraId="4946792D" w14:textId="77777777" w:rsidTr="006072E6">
        <w:trPr>
          <w:trHeight w:val="968"/>
        </w:trPr>
        <w:tc>
          <w:tcPr>
            <w:tcW w:w="1163" w:type="dxa"/>
            <w:vMerge w:val="restart"/>
            <w:shd w:val="clear" w:color="auto" w:fill="FFFFFF" w:themeFill="background1"/>
          </w:tcPr>
          <w:p w14:paraId="3166A1CE" w14:textId="77777777" w:rsidR="000E5A1A" w:rsidRPr="00836096" w:rsidRDefault="000E5A1A" w:rsidP="006072E6">
            <w:pPr>
              <w:spacing w:line="480" w:lineRule="auto"/>
              <w:jc w:val="both"/>
              <w:rPr>
                <w:b/>
                <w:bCs/>
              </w:rPr>
            </w:pPr>
            <w:r w:rsidRPr="00836096">
              <w:rPr>
                <w:b/>
                <w:bCs/>
              </w:rPr>
              <w:t>EQ-5D-5L</w:t>
            </w:r>
          </w:p>
        </w:tc>
        <w:tc>
          <w:tcPr>
            <w:tcW w:w="1496" w:type="dxa"/>
            <w:vMerge w:val="restart"/>
            <w:shd w:val="clear" w:color="auto" w:fill="FFFFFF" w:themeFill="background1"/>
            <w:noWrap/>
          </w:tcPr>
          <w:p w14:paraId="495A3A52" w14:textId="77777777" w:rsidR="000E5A1A" w:rsidRPr="00836096" w:rsidRDefault="000E5A1A" w:rsidP="006072E6">
            <w:pPr>
              <w:spacing w:line="480" w:lineRule="auto"/>
              <w:jc w:val="both"/>
            </w:pPr>
            <w:r w:rsidRPr="00836096">
              <w:t>7.33 (1.94) [5-15]</w:t>
            </w:r>
          </w:p>
          <w:p w14:paraId="257C3781" w14:textId="77777777" w:rsidR="000E5A1A" w:rsidRPr="00836096" w:rsidRDefault="000E5A1A" w:rsidP="006072E6">
            <w:pPr>
              <w:spacing w:line="480" w:lineRule="auto"/>
              <w:jc w:val="both"/>
            </w:pPr>
          </w:p>
        </w:tc>
        <w:tc>
          <w:tcPr>
            <w:tcW w:w="1323" w:type="dxa"/>
            <w:shd w:val="clear" w:color="auto" w:fill="FFFFFF" w:themeFill="background1"/>
          </w:tcPr>
          <w:p w14:paraId="296A0FEE"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64F1DC8C" w14:textId="77777777" w:rsidR="000E5A1A" w:rsidRPr="00836096" w:rsidRDefault="000E5A1A" w:rsidP="006072E6">
            <w:pPr>
              <w:spacing w:line="480" w:lineRule="auto"/>
              <w:jc w:val="both"/>
            </w:pPr>
            <w:r w:rsidRPr="00836096">
              <w:t>6.40 (1.19) [5-9]</w:t>
            </w:r>
          </w:p>
          <w:p w14:paraId="2DA6E4D1" w14:textId="77777777" w:rsidR="000E5A1A" w:rsidRPr="00836096" w:rsidRDefault="000E5A1A" w:rsidP="006072E6">
            <w:pPr>
              <w:spacing w:line="480" w:lineRule="auto"/>
              <w:jc w:val="both"/>
            </w:pPr>
          </w:p>
        </w:tc>
        <w:tc>
          <w:tcPr>
            <w:tcW w:w="990" w:type="dxa"/>
            <w:shd w:val="clear" w:color="auto" w:fill="FFFFFF" w:themeFill="background1"/>
          </w:tcPr>
          <w:p w14:paraId="76A4E65C" w14:textId="77777777" w:rsidR="000E5A1A" w:rsidRPr="00836096" w:rsidRDefault="000E5A1A" w:rsidP="006072E6">
            <w:pPr>
              <w:spacing w:line="480" w:lineRule="auto"/>
              <w:jc w:val="both"/>
            </w:pPr>
            <w:r w:rsidRPr="00836096">
              <w:t>6.53 (1.18) [5-9]</w:t>
            </w:r>
          </w:p>
        </w:tc>
        <w:tc>
          <w:tcPr>
            <w:tcW w:w="1310" w:type="dxa"/>
            <w:shd w:val="clear" w:color="auto" w:fill="FFFFFF" w:themeFill="background1"/>
          </w:tcPr>
          <w:p w14:paraId="2F265FB8" w14:textId="77777777" w:rsidR="000E5A1A" w:rsidRPr="00836096" w:rsidRDefault="000E5A1A" w:rsidP="006072E6">
            <w:pPr>
              <w:spacing w:line="480" w:lineRule="auto"/>
              <w:jc w:val="both"/>
            </w:pPr>
            <w:r w:rsidRPr="00836096">
              <w:t>0.56 (-0.04 to 1.14)</w:t>
            </w:r>
          </w:p>
        </w:tc>
        <w:tc>
          <w:tcPr>
            <w:tcW w:w="1636" w:type="dxa"/>
            <w:vMerge w:val="restart"/>
            <w:shd w:val="clear" w:color="auto" w:fill="FFFFFF" w:themeFill="background1"/>
            <w:noWrap/>
          </w:tcPr>
          <w:p w14:paraId="6E32D8E7" w14:textId="77777777" w:rsidR="000E5A1A" w:rsidRPr="00836096" w:rsidRDefault="000E5A1A" w:rsidP="006072E6">
            <w:pPr>
              <w:spacing w:line="480" w:lineRule="auto"/>
              <w:jc w:val="both"/>
            </w:pPr>
            <w:r w:rsidRPr="00836096">
              <w:rPr>
                <w:i/>
                <w:iCs/>
              </w:rPr>
              <w:t>F</w:t>
            </w:r>
            <w:r w:rsidRPr="00836096">
              <w:t xml:space="preserve"> (2,32) = 6.73, </w:t>
            </w:r>
            <w:r w:rsidRPr="00836096">
              <w:rPr>
                <w:i/>
                <w:iCs/>
              </w:rPr>
              <w:t xml:space="preserve">p </w:t>
            </w:r>
            <w:r w:rsidRPr="00836096">
              <w:t>= .004*</w:t>
            </w:r>
          </w:p>
        </w:tc>
        <w:tc>
          <w:tcPr>
            <w:tcW w:w="1540" w:type="dxa"/>
            <w:vMerge w:val="restart"/>
            <w:shd w:val="clear" w:color="auto" w:fill="FFFFFF" w:themeFill="background1"/>
          </w:tcPr>
          <w:p w14:paraId="2FB80590" w14:textId="77777777" w:rsidR="000E5A1A" w:rsidRPr="00836096" w:rsidRDefault="000E5A1A" w:rsidP="006072E6">
            <w:pPr>
              <w:spacing w:line="480" w:lineRule="auto"/>
              <w:jc w:val="both"/>
              <w:rPr>
                <w:i/>
              </w:rPr>
            </w:pPr>
            <w:r w:rsidRPr="00836096">
              <w:t xml:space="preserve">.90 (SE: .26), </w:t>
            </w:r>
            <w:r w:rsidRPr="00836096">
              <w:rPr>
                <w:i/>
                <w:iCs/>
              </w:rPr>
              <w:t>p</w:t>
            </w:r>
            <w:r w:rsidRPr="00836096">
              <w:t xml:space="preserve"> = .005*</w:t>
            </w:r>
          </w:p>
        </w:tc>
        <w:tc>
          <w:tcPr>
            <w:tcW w:w="1497" w:type="dxa"/>
            <w:vMerge w:val="restart"/>
            <w:shd w:val="clear" w:color="auto" w:fill="FFFFFF" w:themeFill="background1"/>
          </w:tcPr>
          <w:p w14:paraId="41BA31AA" w14:textId="77777777" w:rsidR="000E5A1A" w:rsidRPr="00836096" w:rsidRDefault="000E5A1A" w:rsidP="006072E6">
            <w:pPr>
              <w:spacing w:line="480" w:lineRule="auto"/>
              <w:jc w:val="both"/>
              <w:rPr>
                <w:i/>
              </w:rPr>
            </w:pPr>
            <w:r w:rsidRPr="00836096">
              <w:t xml:space="preserve">.77 (SE: .28), </w:t>
            </w:r>
            <w:r w:rsidRPr="00836096">
              <w:rPr>
                <w:i/>
                <w:iCs/>
              </w:rPr>
              <w:t>p</w:t>
            </w:r>
            <w:r w:rsidRPr="00836096">
              <w:t xml:space="preserve"> = .03*</w:t>
            </w:r>
          </w:p>
        </w:tc>
        <w:tc>
          <w:tcPr>
            <w:tcW w:w="1497" w:type="dxa"/>
            <w:vMerge w:val="restart"/>
            <w:shd w:val="clear" w:color="auto" w:fill="FFFFFF" w:themeFill="background1"/>
          </w:tcPr>
          <w:p w14:paraId="1F10241F" w14:textId="77777777" w:rsidR="000E5A1A" w:rsidRPr="00836096" w:rsidRDefault="000E5A1A" w:rsidP="006072E6">
            <w:pPr>
              <w:spacing w:line="480" w:lineRule="auto"/>
              <w:jc w:val="both"/>
              <w:rPr>
                <w:i/>
              </w:rPr>
            </w:pPr>
            <w:r w:rsidRPr="00836096">
              <w:t xml:space="preserve">-.13 (SE: .30), </w:t>
            </w:r>
            <w:r w:rsidRPr="00836096">
              <w:rPr>
                <w:i/>
                <w:iCs/>
              </w:rPr>
              <w:t>p</w:t>
            </w:r>
            <w:r w:rsidRPr="00836096">
              <w:t xml:space="preserve"> = 1.00</w:t>
            </w:r>
          </w:p>
        </w:tc>
      </w:tr>
      <w:tr w:rsidR="00836096" w:rsidRPr="00836096" w14:paraId="11A35C7C" w14:textId="77777777" w:rsidTr="006072E6">
        <w:trPr>
          <w:trHeight w:val="835"/>
        </w:trPr>
        <w:tc>
          <w:tcPr>
            <w:tcW w:w="1163" w:type="dxa"/>
            <w:vMerge/>
            <w:shd w:val="clear" w:color="auto" w:fill="FFFFFF" w:themeFill="background1"/>
          </w:tcPr>
          <w:p w14:paraId="2FA38ADD" w14:textId="77777777" w:rsidR="000E5A1A" w:rsidRPr="00836096" w:rsidRDefault="000E5A1A" w:rsidP="006072E6">
            <w:pPr>
              <w:spacing w:line="480" w:lineRule="auto"/>
              <w:jc w:val="both"/>
            </w:pPr>
          </w:p>
        </w:tc>
        <w:tc>
          <w:tcPr>
            <w:tcW w:w="1496" w:type="dxa"/>
            <w:vMerge/>
            <w:shd w:val="clear" w:color="auto" w:fill="FFFFFF" w:themeFill="background1"/>
            <w:noWrap/>
          </w:tcPr>
          <w:p w14:paraId="3013201F" w14:textId="77777777" w:rsidR="000E5A1A" w:rsidRPr="00836096" w:rsidRDefault="000E5A1A" w:rsidP="006072E6">
            <w:pPr>
              <w:spacing w:line="480" w:lineRule="auto"/>
              <w:jc w:val="both"/>
            </w:pPr>
          </w:p>
        </w:tc>
        <w:tc>
          <w:tcPr>
            <w:tcW w:w="1323" w:type="dxa"/>
            <w:shd w:val="clear" w:color="auto" w:fill="FFFFFF" w:themeFill="background1"/>
          </w:tcPr>
          <w:p w14:paraId="68C404F3"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42FEC741" w14:textId="77777777" w:rsidR="000E5A1A" w:rsidRPr="00836096" w:rsidRDefault="000E5A1A" w:rsidP="006072E6">
            <w:pPr>
              <w:spacing w:line="480" w:lineRule="auto"/>
              <w:jc w:val="both"/>
            </w:pPr>
            <w:r w:rsidRPr="00836096">
              <w:t>6.57 (1.15) [5-9]</w:t>
            </w:r>
          </w:p>
        </w:tc>
        <w:tc>
          <w:tcPr>
            <w:tcW w:w="990" w:type="dxa"/>
            <w:shd w:val="clear" w:color="auto" w:fill="FFFFFF" w:themeFill="background1"/>
          </w:tcPr>
          <w:p w14:paraId="432ECE72" w14:textId="77777777" w:rsidR="000E5A1A" w:rsidRPr="00836096" w:rsidRDefault="000E5A1A" w:rsidP="006072E6">
            <w:pPr>
              <w:spacing w:line="480" w:lineRule="auto"/>
              <w:jc w:val="both"/>
            </w:pPr>
            <w:r w:rsidRPr="00836096">
              <w:t>6.42 (1.01) [5-9]</w:t>
            </w:r>
          </w:p>
        </w:tc>
        <w:tc>
          <w:tcPr>
            <w:tcW w:w="1310" w:type="dxa"/>
            <w:shd w:val="clear" w:color="auto" w:fill="FFFFFF" w:themeFill="background1"/>
          </w:tcPr>
          <w:p w14:paraId="75B2D057" w14:textId="77777777" w:rsidR="000E5A1A" w:rsidRPr="00836096" w:rsidRDefault="000E5A1A" w:rsidP="006072E6">
            <w:pPr>
              <w:spacing w:line="480" w:lineRule="auto"/>
              <w:jc w:val="both"/>
            </w:pPr>
            <w:r w:rsidRPr="00836096">
              <w:t>0.46 (-0.13 to 1.04)</w:t>
            </w:r>
          </w:p>
        </w:tc>
        <w:tc>
          <w:tcPr>
            <w:tcW w:w="1636" w:type="dxa"/>
            <w:vMerge/>
            <w:shd w:val="clear" w:color="auto" w:fill="FFFFFF" w:themeFill="background1"/>
            <w:noWrap/>
          </w:tcPr>
          <w:p w14:paraId="67EF8D25"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6C06A1E0"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557CFB9F"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36CDD64F" w14:textId="77777777" w:rsidR="000E5A1A" w:rsidRPr="00836096" w:rsidRDefault="000E5A1A" w:rsidP="006072E6">
            <w:pPr>
              <w:spacing w:line="480" w:lineRule="auto"/>
              <w:jc w:val="both"/>
              <w:rPr>
                <w:i/>
              </w:rPr>
            </w:pPr>
          </w:p>
        </w:tc>
      </w:tr>
      <w:tr w:rsidR="00836096" w:rsidRPr="00836096" w14:paraId="7C7AA25E" w14:textId="77777777" w:rsidTr="006072E6">
        <w:trPr>
          <w:trHeight w:val="2295"/>
        </w:trPr>
        <w:tc>
          <w:tcPr>
            <w:tcW w:w="1163" w:type="dxa"/>
            <w:vMerge w:val="restart"/>
            <w:shd w:val="clear" w:color="auto" w:fill="FFFFFF" w:themeFill="background1"/>
          </w:tcPr>
          <w:p w14:paraId="431FB4F9" w14:textId="77777777" w:rsidR="000E5A1A" w:rsidRPr="00836096" w:rsidRDefault="000E5A1A" w:rsidP="006072E6">
            <w:pPr>
              <w:spacing w:line="480" w:lineRule="auto"/>
              <w:jc w:val="both"/>
              <w:rPr>
                <w:b/>
                <w:bCs/>
              </w:rPr>
            </w:pPr>
            <w:r w:rsidRPr="00836096">
              <w:rPr>
                <w:b/>
                <w:bCs/>
              </w:rPr>
              <w:lastRenderedPageBreak/>
              <w:t>EQ-5D-5L VAS</w:t>
            </w:r>
          </w:p>
        </w:tc>
        <w:tc>
          <w:tcPr>
            <w:tcW w:w="1496" w:type="dxa"/>
            <w:vMerge w:val="restart"/>
            <w:shd w:val="clear" w:color="auto" w:fill="FFFFFF" w:themeFill="background1"/>
            <w:noWrap/>
          </w:tcPr>
          <w:p w14:paraId="326E8994" w14:textId="77777777" w:rsidR="000E5A1A" w:rsidRPr="00836096" w:rsidRDefault="000E5A1A" w:rsidP="006072E6">
            <w:pPr>
              <w:spacing w:line="480" w:lineRule="auto"/>
              <w:jc w:val="both"/>
            </w:pPr>
            <w:r w:rsidRPr="00836096">
              <w:t>73.85 (16.03)</w:t>
            </w:r>
          </w:p>
          <w:p w14:paraId="55A0B36E" w14:textId="77777777" w:rsidR="000E5A1A" w:rsidRPr="00836096" w:rsidRDefault="000E5A1A" w:rsidP="006072E6">
            <w:pPr>
              <w:spacing w:line="480" w:lineRule="auto"/>
              <w:jc w:val="both"/>
            </w:pPr>
            <w:r w:rsidRPr="00836096">
              <w:t>[9-90]</w:t>
            </w:r>
          </w:p>
          <w:p w14:paraId="11105370" w14:textId="77777777" w:rsidR="000E5A1A" w:rsidRPr="00836096" w:rsidRDefault="000E5A1A" w:rsidP="006072E6">
            <w:pPr>
              <w:tabs>
                <w:tab w:val="left" w:pos="1170"/>
              </w:tabs>
              <w:spacing w:line="480" w:lineRule="auto"/>
              <w:jc w:val="both"/>
            </w:pPr>
            <w:r w:rsidRPr="00836096">
              <w:tab/>
            </w:r>
          </w:p>
        </w:tc>
        <w:tc>
          <w:tcPr>
            <w:tcW w:w="1323" w:type="dxa"/>
            <w:shd w:val="clear" w:color="auto" w:fill="FFFFFF" w:themeFill="background1"/>
          </w:tcPr>
          <w:p w14:paraId="3A5DA650"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35C20E80" w14:textId="77777777" w:rsidR="000E5A1A" w:rsidRPr="00836096" w:rsidRDefault="000E5A1A" w:rsidP="006072E6">
            <w:pPr>
              <w:spacing w:line="480" w:lineRule="auto"/>
              <w:jc w:val="both"/>
            </w:pPr>
            <w:r w:rsidRPr="00836096">
              <w:t>81.60 (7.50) [70-90]</w:t>
            </w:r>
          </w:p>
        </w:tc>
        <w:tc>
          <w:tcPr>
            <w:tcW w:w="990" w:type="dxa"/>
            <w:shd w:val="clear" w:color="auto" w:fill="FFFFFF" w:themeFill="background1"/>
          </w:tcPr>
          <w:p w14:paraId="70B30A41" w14:textId="77777777" w:rsidR="000E5A1A" w:rsidRPr="00836096" w:rsidRDefault="000E5A1A" w:rsidP="006072E6">
            <w:pPr>
              <w:spacing w:line="480" w:lineRule="auto"/>
              <w:jc w:val="both"/>
            </w:pPr>
            <w:r w:rsidRPr="00836096">
              <w:t>80.94 (10.35) [50-90]</w:t>
            </w:r>
          </w:p>
          <w:p w14:paraId="1F9D63F0" w14:textId="77777777" w:rsidR="000E5A1A" w:rsidRPr="00836096" w:rsidRDefault="000E5A1A" w:rsidP="006072E6">
            <w:pPr>
              <w:spacing w:line="480" w:lineRule="auto"/>
              <w:jc w:val="both"/>
            </w:pPr>
          </w:p>
        </w:tc>
        <w:tc>
          <w:tcPr>
            <w:tcW w:w="1310" w:type="dxa"/>
            <w:shd w:val="clear" w:color="auto" w:fill="FFFFFF" w:themeFill="background1"/>
          </w:tcPr>
          <w:p w14:paraId="740FBFA2" w14:textId="77777777" w:rsidR="000E5A1A" w:rsidRPr="00836096" w:rsidRDefault="000E5A1A" w:rsidP="006072E6">
            <w:pPr>
              <w:spacing w:line="480" w:lineRule="auto"/>
              <w:jc w:val="both"/>
            </w:pPr>
            <w:r w:rsidRPr="00836096">
              <w:t>0.59 (-0.01 to 1.17)</w:t>
            </w:r>
          </w:p>
        </w:tc>
        <w:tc>
          <w:tcPr>
            <w:tcW w:w="1636" w:type="dxa"/>
            <w:vMerge w:val="restart"/>
            <w:shd w:val="clear" w:color="auto" w:fill="FFFFFF" w:themeFill="background1"/>
            <w:noWrap/>
          </w:tcPr>
          <w:p w14:paraId="1B3794B4" w14:textId="77777777" w:rsidR="000E5A1A" w:rsidRPr="00836096" w:rsidRDefault="000E5A1A" w:rsidP="006072E6">
            <w:pPr>
              <w:spacing w:line="480" w:lineRule="auto"/>
              <w:jc w:val="both"/>
            </w:pPr>
            <w:r w:rsidRPr="00836096">
              <w:rPr>
                <w:i/>
                <w:iCs/>
              </w:rPr>
              <w:t>F</w:t>
            </w:r>
            <w:r w:rsidRPr="00836096">
              <w:t xml:space="preserve"> (2, 18) = 2.63, </w:t>
            </w:r>
            <w:r w:rsidRPr="00836096">
              <w:rPr>
                <w:i/>
                <w:iCs/>
              </w:rPr>
              <w:t xml:space="preserve">p </w:t>
            </w:r>
            <w:r w:rsidRPr="00836096">
              <w:t>= .10</w:t>
            </w:r>
          </w:p>
        </w:tc>
        <w:tc>
          <w:tcPr>
            <w:tcW w:w="1540" w:type="dxa"/>
            <w:vMerge w:val="restart"/>
            <w:shd w:val="clear" w:color="auto" w:fill="FFFFFF" w:themeFill="background1"/>
          </w:tcPr>
          <w:p w14:paraId="3E5071C4" w14:textId="77777777" w:rsidR="000E5A1A" w:rsidRPr="00836096" w:rsidRDefault="000E5A1A" w:rsidP="006072E6">
            <w:pPr>
              <w:spacing w:line="480" w:lineRule="auto"/>
              <w:jc w:val="both"/>
              <w:rPr>
                <w:i/>
              </w:rPr>
            </w:pPr>
            <w:r w:rsidRPr="00836096">
              <w:rPr>
                <w:i/>
              </w:rPr>
              <w:t>N/A</w:t>
            </w:r>
          </w:p>
        </w:tc>
        <w:tc>
          <w:tcPr>
            <w:tcW w:w="1497" w:type="dxa"/>
            <w:vMerge w:val="restart"/>
            <w:shd w:val="clear" w:color="auto" w:fill="FFFFFF" w:themeFill="background1"/>
          </w:tcPr>
          <w:p w14:paraId="2F2944C5" w14:textId="77777777" w:rsidR="000E5A1A" w:rsidRPr="00836096" w:rsidRDefault="000E5A1A" w:rsidP="006072E6">
            <w:pPr>
              <w:spacing w:line="480" w:lineRule="auto"/>
              <w:jc w:val="both"/>
              <w:rPr>
                <w:i/>
              </w:rPr>
            </w:pPr>
          </w:p>
        </w:tc>
        <w:tc>
          <w:tcPr>
            <w:tcW w:w="1497" w:type="dxa"/>
            <w:vMerge w:val="restart"/>
            <w:shd w:val="clear" w:color="auto" w:fill="FFFFFF" w:themeFill="background1"/>
          </w:tcPr>
          <w:p w14:paraId="5D4007DD" w14:textId="77777777" w:rsidR="000E5A1A" w:rsidRPr="00836096" w:rsidRDefault="000E5A1A" w:rsidP="006072E6">
            <w:pPr>
              <w:spacing w:line="480" w:lineRule="auto"/>
              <w:jc w:val="both"/>
              <w:rPr>
                <w:i/>
              </w:rPr>
            </w:pPr>
          </w:p>
        </w:tc>
      </w:tr>
      <w:tr w:rsidR="00836096" w:rsidRPr="00836096" w14:paraId="35FB6CAF" w14:textId="77777777" w:rsidTr="006072E6">
        <w:trPr>
          <w:trHeight w:val="569"/>
        </w:trPr>
        <w:tc>
          <w:tcPr>
            <w:tcW w:w="1163" w:type="dxa"/>
            <w:vMerge/>
            <w:shd w:val="clear" w:color="auto" w:fill="FFFFFF" w:themeFill="background1"/>
          </w:tcPr>
          <w:p w14:paraId="07B3DE5F" w14:textId="77777777" w:rsidR="000E5A1A" w:rsidRPr="00836096" w:rsidRDefault="000E5A1A" w:rsidP="006072E6">
            <w:pPr>
              <w:spacing w:line="480" w:lineRule="auto"/>
              <w:jc w:val="both"/>
            </w:pPr>
          </w:p>
        </w:tc>
        <w:tc>
          <w:tcPr>
            <w:tcW w:w="1496" w:type="dxa"/>
            <w:vMerge/>
            <w:shd w:val="clear" w:color="auto" w:fill="FFFFFF" w:themeFill="background1"/>
            <w:noWrap/>
          </w:tcPr>
          <w:p w14:paraId="1A669D7C" w14:textId="77777777" w:rsidR="000E5A1A" w:rsidRPr="00836096" w:rsidRDefault="000E5A1A" w:rsidP="006072E6">
            <w:pPr>
              <w:spacing w:line="480" w:lineRule="auto"/>
              <w:jc w:val="both"/>
            </w:pPr>
          </w:p>
        </w:tc>
        <w:tc>
          <w:tcPr>
            <w:tcW w:w="1323" w:type="dxa"/>
            <w:shd w:val="clear" w:color="auto" w:fill="FFFFFF" w:themeFill="background1"/>
          </w:tcPr>
          <w:p w14:paraId="6DB44FA6"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39607696" w14:textId="77777777" w:rsidR="000E5A1A" w:rsidRPr="00836096" w:rsidRDefault="000E5A1A" w:rsidP="006072E6">
            <w:pPr>
              <w:spacing w:line="480" w:lineRule="auto"/>
              <w:jc w:val="both"/>
            </w:pPr>
            <w:r w:rsidRPr="00836096">
              <w:t>80.71 (6.96) [70-90]</w:t>
            </w:r>
          </w:p>
        </w:tc>
        <w:tc>
          <w:tcPr>
            <w:tcW w:w="990" w:type="dxa"/>
            <w:shd w:val="clear" w:color="auto" w:fill="FFFFFF" w:themeFill="background1"/>
          </w:tcPr>
          <w:p w14:paraId="44B225E5" w14:textId="77777777" w:rsidR="000E5A1A" w:rsidRPr="00836096" w:rsidRDefault="000E5A1A" w:rsidP="006072E6">
            <w:pPr>
              <w:spacing w:line="480" w:lineRule="auto"/>
              <w:jc w:val="both"/>
            </w:pPr>
            <w:r w:rsidRPr="00836096">
              <w:t>81.01 (8.42) [50-90]</w:t>
            </w:r>
          </w:p>
          <w:p w14:paraId="01648E06" w14:textId="77777777" w:rsidR="000E5A1A" w:rsidRPr="00836096" w:rsidRDefault="000E5A1A" w:rsidP="006072E6">
            <w:pPr>
              <w:spacing w:line="480" w:lineRule="auto"/>
              <w:jc w:val="both"/>
            </w:pPr>
          </w:p>
          <w:p w14:paraId="09A928C4" w14:textId="77777777" w:rsidR="000E5A1A" w:rsidRPr="00836096" w:rsidRDefault="000E5A1A" w:rsidP="006072E6">
            <w:pPr>
              <w:spacing w:line="480" w:lineRule="auto"/>
              <w:jc w:val="both"/>
            </w:pPr>
          </w:p>
        </w:tc>
        <w:tc>
          <w:tcPr>
            <w:tcW w:w="1310" w:type="dxa"/>
            <w:shd w:val="clear" w:color="auto" w:fill="FFFFFF" w:themeFill="background1"/>
          </w:tcPr>
          <w:p w14:paraId="398D9D9A" w14:textId="77777777" w:rsidR="000E5A1A" w:rsidRPr="00836096" w:rsidRDefault="000E5A1A" w:rsidP="006072E6">
            <w:pPr>
              <w:spacing w:line="480" w:lineRule="auto"/>
              <w:jc w:val="both"/>
            </w:pPr>
            <w:r w:rsidRPr="00836096">
              <w:t>0.56 (0.00 to 1.09)</w:t>
            </w:r>
          </w:p>
        </w:tc>
        <w:tc>
          <w:tcPr>
            <w:tcW w:w="1636" w:type="dxa"/>
            <w:vMerge/>
            <w:shd w:val="clear" w:color="auto" w:fill="FFFFFF" w:themeFill="background1"/>
            <w:noWrap/>
          </w:tcPr>
          <w:p w14:paraId="08E3FD58"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2D7AD36A"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5C0D570F"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06D1B438" w14:textId="77777777" w:rsidR="000E5A1A" w:rsidRPr="00836096" w:rsidRDefault="000E5A1A" w:rsidP="006072E6">
            <w:pPr>
              <w:spacing w:line="480" w:lineRule="auto"/>
              <w:jc w:val="both"/>
              <w:rPr>
                <w:i/>
              </w:rPr>
            </w:pPr>
          </w:p>
        </w:tc>
      </w:tr>
      <w:tr w:rsidR="00836096" w:rsidRPr="00836096" w14:paraId="54FB4675" w14:textId="77777777" w:rsidTr="006072E6">
        <w:trPr>
          <w:trHeight w:val="1017"/>
        </w:trPr>
        <w:tc>
          <w:tcPr>
            <w:tcW w:w="1163" w:type="dxa"/>
            <w:vMerge w:val="restart"/>
            <w:shd w:val="clear" w:color="auto" w:fill="FFFFFF" w:themeFill="background1"/>
          </w:tcPr>
          <w:p w14:paraId="09855317" w14:textId="77777777" w:rsidR="000E5A1A" w:rsidRPr="00836096" w:rsidRDefault="000E5A1A" w:rsidP="006072E6">
            <w:pPr>
              <w:spacing w:line="480" w:lineRule="auto"/>
              <w:jc w:val="both"/>
              <w:rPr>
                <w:b/>
              </w:rPr>
            </w:pPr>
            <w:r w:rsidRPr="00836096">
              <w:rPr>
                <w:b/>
              </w:rPr>
              <w:t>THS: Tinnitus</w:t>
            </w:r>
          </w:p>
          <w:p w14:paraId="5AD140D7" w14:textId="77777777" w:rsidR="000E5A1A" w:rsidRPr="00836096" w:rsidRDefault="000E5A1A" w:rsidP="006072E6">
            <w:pPr>
              <w:spacing w:line="480" w:lineRule="auto"/>
              <w:jc w:val="both"/>
            </w:pPr>
          </w:p>
        </w:tc>
        <w:tc>
          <w:tcPr>
            <w:tcW w:w="1496" w:type="dxa"/>
            <w:vMerge w:val="restart"/>
            <w:shd w:val="clear" w:color="auto" w:fill="FFFFFF" w:themeFill="background1"/>
            <w:noWrap/>
          </w:tcPr>
          <w:p w14:paraId="28B16DBF" w14:textId="77777777" w:rsidR="000E5A1A" w:rsidRPr="00836096" w:rsidRDefault="000E5A1A" w:rsidP="006072E6">
            <w:pPr>
              <w:spacing w:line="480" w:lineRule="auto"/>
              <w:jc w:val="both"/>
            </w:pPr>
            <w:r w:rsidRPr="00836096">
              <w:t>7.15 (4.13 [1-6]</w:t>
            </w:r>
          </w:p>
        </w:tc>
        <w:tc>
          <w:tcPr>
            <w:tcW w:w="1323" w:type="dxa"/>
            <w:shd w:val="clear" w:color="auto" w:fill="FFFFFF" w:themeFill="background1"/>
          </w:tcPr>
          <w:p w14:paraId="39CBF29B"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60270351" w14:textId="77777777" w:rsidR="000E5A1A" w:rsidRPr="00836096" w:rsidRDefault="000E5A1A" w:rsidP="006072E6">
            <w:pPr>
              <w:spacing w:line="480" w:lineRule="auto"/>
              <w:jc w:val="both"/>
            </w:pPr>
            <w:r w:rsidRPr="00836096">
              <w:t>3.70 (4.47) [0-14]</w:t>
            </w:r>
          </w:p>
        </w:tc>
        <w:tc>
          <w:tcPr>
            <w:tcW w:w="990" w:type="dxa"/>
            <w:shd w:val="clear" w:color="auto" w:fill="FFFFFF" w:themeFill="background1"/>
          </w:tcPr>
          <w:p w14:paraId="53B7208D" w14:textId="77777777" w:rsidR="000E5A1A" w:rsidRPr="00836096" w:rsidRDefault="000E5A1A" w:rsidP="006072E6">
            <w:pPr>
              <w:spacing w:line="480" w:lineRule="auto"/>
              <w:jc w:val="both"/>
            </w:pPr>
            <w:r w:rsidRPr="00836096">
              <w:t>3.69 (4.27) [0-16]</w:t>
            </w:r>
          </w:p>
        </w:tc>
        <w:tc>
          <w:tcPr>
            <w:tcW w:w="1310" w:type="dxa"/>
            <w:shd w:val="clear" w:color="auto" w:fill="FFFFFF" w:themeFill="background1"/>
            <w:hideMark/>
          </w:tcPr>
          <w:p w14:paraId="3368B12B" w14:textId="77777777" w:rsidR="000E5A1A" w:rsidRPr="00836096" w:rsidRDefault="000E5A1A" w:rsidP="006072E6">
            <w:pPr>
              <w:spacing w:line="480" w:lineRule="auto"/>
              <w:jc w:val="both"/>
            </w:pPr>
            <w:r w:rsidRPr="00836096">
              <w:t>0.81 (0.19 to 1.39)</w:t>
            </w:r>
          </w:p>
        </w:tc>
        <w:tc>
          <w:tcPr>
            <w:tcW w:w="1636" w:type="dxa"/>
            <w:vMerge w:val="restart"/>
            <w:shd w:val="clear" w:color="auto" w:fill="FFFFFF" w:themeFill="background1"/>
            <w:noWrap/>
            <w:hideMark/>
          </w:tcPr>
          <w:p w14:paraId="52618055" w14:textId="77777777" w:rsidR="000E5A1A" w:rsidRPr="00836096" w:rsidRDefault="000E5A1A" w:rsidP="006072E6">
            <w:pPr>
              <w:spacing w:line="480" w:lineRule="auto"/>
              <w:jc w:val="both"/>
              <w:rPr>
                <w:i/>
              </w:rPr>
            </w:pPr>
            <w:r w:rsidRPr="00836096">
              <w:rPr>
                <w:i/>
                <w:iCs/>
              </w:rPr>
              <w:t>F</w:t>
            </w:r>
            <w:r w:rsidRPr="00836096">
              <w:t xml:space="preserve"> (2,36) = 15.17, </w:t>
            </w:r>
            <w:r w:rsidRPr="00836096">
              <w:rPr>
                <w:i/>
                <w:iCs/>
              </w:rPr>
              <w:t xml:space="preserve">p </w:t>
            </w:r>
            <w:r w:rsidRPr="00836096">
              <w:t>= .001*</w:t>
            </w:r>
          </w:p>
        </w:tc>
        <w:tc>
          <w:tcPr>
            <w:tcW w:w="1540" w:type="dxa"/>
            <w:vMerge w:val="restart"/>
            <w:shd w:val="clear" w:color="auto" w:fill="FFFFFF" w:themeFill="background1"/>
          </w:tcPr>
          <w:p w14:paraId="01852230" w14:textId="77777777" w:rsidR="000E5A1A" w:rsidRPr="00836096" w:rsidRDefault="000E5A1A" w:rsidP="006072E6">
            <w:pPr>
              <w:spacing w:line="480" w:lineRule="auto"/>
              <w:jc w:val="both"/>
              <w:rPr>
                <w:i/>
              </w:rPr>
            </w:pPr>
            <w:r w:rsidRPr="00836096">
              <w:t xml:space="preserve">3.31 (SE: 0.68), </w:t>
            </w:r>
            <w:r w:rsidRPr="00836096">
              <w:rPr>
                <w:i/>
                <w:iCs/>
              </w:rPr>
              <w:t>p</w:t>
            </w:r>
            <w:r w:rsidRPr="00836096">
              <w:t xml:space="preserve"> = .001*</w:t>
            </w:r>
          </w:p>
          <w:p w14:paraId="6B7D2EBA" w14:textId="77777777" w:rsidR="000E5A1A" w:rsidRPr="00836096" w:rsidRDefault="000E5A1A" w:rsidP="006072E6">
            <w:pPr>
              <w:spacing w:line="480" w:lineRule="auto"/>
              <w:jc w:val="both"/>
              <w:rPr>
                <w:i/>
              </w:rPr>
            </w:pPr>
          </w:p>
        </w:tc>
        <w:tc>
          <w:tcPr>
            <w:tcW w:w="1497" w:type="dxa"/>
            <w:vMerge w:val="restart"/>
            <w:shd w:val="clear" w:color="auto" w:fill="FFFFFF" w:themeFill="background1"/>
          </w:tcPr>
          <w:p w14:paraId="3C76849E" w14:textId="77777777" w:rsidR="000E5A1A" w:rsidRPr="00836096" w:rsidRDefault="000E5A1A" w:rsidP="006072E6">
            <w:pPr>
              <w:spacing w:line="480" w:lineRule="auto"/>
              <w:jc w:val="both"/>
              <w:rPr>
                <w:i/>
              </w:rPr>
            </w:pPr>
            <w:r w:rsidRPr="00836096">
              <w:t xml:space="preserve">3.28 (SE: .74), </w:t>
            </w:r>
            <w:r w:rsidRPr="00836096">
              <w:rPr>
                <w:i/>
                <w:iCs/>
              </w:rPr>
              <w:t>p</w:t>
            </w:r>
            <w:r w:rsidRPr="00836096">
              <w:t xml:space="preserve"> = .001*</w:t>
            </w:r>
          </w:p>
        </w:tc>
        <w:tc>
          <w:tcPr>
            <w:tcW w:w="1497" w:type="dxa"/>
            <w:vMerge w:val="restart"/>
            <w:shd w:val="clear" w:color="auto" w:fill="FFFFFF" w:themeFill="background1"/>
          </w:tcPr>
          <w:p w14:paraId="29CA67C2" w14:textId="77777777" w:rsidR="000E5A1A" w:rsidRPr="00836096" w:rsidRDefault="000E5A1A" w:rsidP="006072E6">
            <w:pPr>
              <w:spacing w:line="480" w:lineRule="auto"/>
              <w:jc w:val="both"/>
              <w:rPr>
                <w:i/>
              </w:rPr>
            </w:pPr>
            <w:r w:rsidRPr="00836096">
              <w:t xml:space="preserve">-.03 (SE: 0.77), </w:t>
            </w:r>
            <w:r w:rsidRPr="00836096">
              <w:rPr>
                <w:i/>
                <w:iCs/>
              </w:rPr>
              <w:t>p</w:t>
            </w:r>
            <w:r w:rsidRPr="00836096">
              <w:t xml:space="preserve"> = 1.0</w:t>
            </w:r>
          </w:p>
        </w:tc>
      </w:tr>
      <w:tr w:rsidR="00836096" w:rsidRPr="00836096" w14:paraId="7345DF7B" w14:textId="77777777" w:rsidTr="006072E6">
        <w:trPr>
          <w:trHeight w:val="472"/>
        </w:trPr>
        <w:tc>
          <w:tcPr>
            <w:tcW w:w="1163" w:type="dxa"/>
            <w:vMerge/>
            <w:shd w:val="clear" w:color="auto" w:fill="FFFFFF" w:themeFill="background1"/>
          </w:tcPr>
          <w:p w14:paraId="46CACD32" w14:textId="77777777" w:rsidR="000E5A1A" w:rsidRPr="00836096" w:rsidRDefault="000E5A1A" w:rsidP="006072E6">
            <w:pPr>
              <w:spacing w:line="480" w:lineRule="auto"/>
              <w:jc w:val="both"/>
            </w:pPr>
          </w:p>
        </w:tc>
        <w:tc>
          <w:tcPr>
            <w:tcW w:w="1496" w:type="dxa"/>
            <w:vMerge/>
            <w:shd w:val="clear" w:color="auto" w:fill="FFFFFF" w:themeFill="background1"/>
            <w:noWrap/>
          </w:tcPr>
          <w:p w14:paraId="6D2ED712" w14:textId="77777777" w:rsidR="000E5A1A" w:rsidRPr="00836096" w:rsidRDefault="000E5A1A" w:rsidP="006072E6">
            <w:pPr>
              <w:spacing w:line="480" w:lineRule="auto"/>
              <w:jc w:val="both"/>
            </w:pPr>
          </w:p>
        </w:tc>
        <w:tc>
          <w:tcPr>
            <w:tcW w:w="1323" w:type="dxa"/>
            <w:shd w:val="clear" w:color="auto" w:fill="FFFFFF" w:themeFill="background1"/>
          </w:tcPr>
          <w:p w14:paraId="38FDBA8F"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78EAE4E0" w14:textId="77777777" w:rsidR="000E5A1A" w:rsidRPr="00836096" w:rsidRDefault="000E5A1A" w:rsidP="006072E6">
            <w:pPr>
              <w:spacing w:line="480" w:lineRule="auto"/>
              <w:jc w:val="both"/>
            </w:pPr>
            <w:r w:rsidRPr="00836096">
              <w:t>3.87 (3.91) [0-14]</w:t>
            </w:r>
          </w:p>
        </w:tc>
        <w:tc>
          <w:tcPr>
            <w:tcW w:w="990" w:type="dxa"/>
            <w:shd w:val="clear" w:color="auto" w:fill="FFFFFF" w:themeFill="background1"/>
          </w:tcPr>
          <w:p w14:paraId="665B58EA" w14:textId="77777777" w:rsidR="000E5A1A" w:rsidRPr="00836096" w:rsidRDefault="000E5A1A" w:rsidP="006072E6">
            <w:pPr>
              <w:spacing w:line="480" w:lineRule="auto"/>
              <w:jc w:val="both"/>
            </w:pPr>
            <w:r w:rsidRPr="00836096">
              <w:t>3.61 (3.54) [0-16]</w:t>
            </w:r>
          </w:p>
        </w:tc>
        <w:tc>
          <w:tcPr>
            <w:tcW w:w="1310" w:type="dxa"/>
            <w:shd w:val="clear" w:color="auto" w:fill="FFFFFF" w:themeFill="background1"/>
          </w:tcPr>
          <w:p w14:paraId="596EE671" w14:textId="77777777" w:rsidR="000E5A1A" w:rsidRPr="00836096" w:rsidRDefault="000E5A1A" w:rsidP="006072E6">
            <w:pPr>
              <w:spacing w:line="480" w:lineRule="auto"/>
              <w:jc w:val="both"/>
            </w:pPr>
            <w:r w:rsidRPr="00836096">
              <w:t>0.82 (0.25 to 1.36)</w:t>
            </w:r>
          </w:p>
        </w:tc>
        <w:tc>
          <w:tcPr>
            <w:tcW w:w="1636" w:type="dxa"/>
            <w:vMerge/>
            <w:shd w:val="clear" w:color="auto" w:fill="FFFFFF" w:themeFill="background1"/>
            <w:noWrap/>
          </w:tcPr>
          <w:p w14:paraId="0E8B6A4D"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1579B902"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79BB3B91"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1EE93292" w14:textId="77777777" w:rsidR="000E5A1A" w:rsidRPr="00836096" w:rsidRDefault="000E5A1A" w:rsidP="006072E6">
            <w:pPr>
              <w:spacing w:line="480" w:lineRule="auto"/>
              <w:jc w:val="both"/>
              <w:rPr>
                <w:i/>
              </w:rPr>
            </w:pPr>
          </w:p>
        </w:tc>
      </w:tr>
      <w:tr w:rsidR="00836096" w:rsidRPr="00836096" w14:paraId="7221B86F" w14:textId="77777777" w:rsidTr="006072E6">
        <w:trPr>
          <w:trHeight w:val="1656"/>
        </w:trPr>
        <w:tc>
          <w:tcPr>
            <w:tcW w:w="1163" w:type="dxa"/>
            <w:vMerge w:val="restart"/>
            <w:shd w:val="clear" w:color="auto" w:fill="FFFFFF" w:themeFill="background1"/>
          </w:tcPr>
          <w:p w14:paraId="5A9B66B8" w14:textId="77777777" w:rsidR="000E5A1A" w:rsidRPr="00836096" w:rsidRDefault="000E5A1A" w:rsidP="006072E6">
            <w:pPr>
              <w:spacing w:line="480" w:lineRule="auto"/>
              <w:jc w:val="both"/>
              <w:rPr>
                <w:b/>
              </w:rPr>
            </w:pPr>
            <w:r w:rsidRPr="00836096">
              <w:rPr>
                <w:b/>
              </w:rPr>
              <w:lastRenderedPageBreak/>
              <w:t>THS: Hearing</w:t>
            </w:r>
          </w:p>
          <w:p w14:paraId="16C0968F" w14:textId="77777777" w:rsidR="000E5A1A" w:rsidRPr="00836096" w:rsidRDefault="000E5A1A" w:rsidP="006072E6">
            <w:pPr>
              <w:spacing w:line="480" w:lineRule="auto"/>
              <w:jc w:val="both"/>
            </w:pPr>
          </w:p>
        </w:tc>
        <w:tc>
          <w:tcPr>
            <w:tcW w:w="1496" w:type="dxa"/>
            <w:vMerge w:val="restart"/>
            <w:shd w:val="clear" w:color="auto" w:fill="FFFFFF" w:themeFill="background1"/>
            <w:noWrap/>
          </w:tcPr>
          <w:p w14:paraId="755CAD22" w14:textId="77777777" w:rsidR="000E5A1A" w:rsidRPr="00836096" w:rsidRDefault="000E5A1A" w:rsidP="006072E6">
            <w:pPr>
              <w:spacing w:line="480" w:lineRule="auto"/>
              <w:jc w:val="both"/>
            </w:pPr>
            <w:r w:rsidRPr="00836096">
              <w:t>7.04 (4.33) [0-16]</w:t>
            </w:r>
          </w:p>
          <w:p w14:paraId="7F6AF299" w14:textId="77777777" w:rsidR="000E5A1A" w:rsidRPr="00836096" w:rsidRDefault="000E5A1A" w:rsidP="006072E6">
            <w:pPr>
              <w:spacing w:line="480" w:lineRule="auto"/>
              <w:jc w:val="both"/>
            </w:pPr>
          </w:p>
        </w:tc>
        <w:tc>
          <w:tcPr>
            <w:tcW w:w="1323" w:type="dxa"/>
            <w:shd w:val="clear" w:color="auto" w:fill="FFFFFF" w:themeFill="background1"/>
          </w:tcPr>
          <w:p w14:paraId="44E9E486"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5BF0B5C8" w14:textId="77777777" w:rsidR="000E5A1A" w:rsidRPr="00836096" w:rsidRDefault="000E5A1A" w:rsidP="006072E6">
            <w:pPr>
              <w:spacing w:line="480" w:lineRule="auto"/>
              <w:jc w:val="both"/>
            </w:pPr>
            <w:r w:rsidRPr="00836096">
              <w:t>4.05 (3.65) [0-12]</w:t>
            </w:r>
          </w:p>
        </w:tc>
        <w:tc>
          <w:tcPr>
            <w:tcW w:w="990" w:type="dxa"/>
            <w:shd w:val="clear" w:color="auto" w:fill="FFFFFF" w:themeFill="background1"/>
          </w:tcPr>
          <w:p w14:paraId="3C7A8FF9" w14:textId="77777777" w:rsidR="000E5A1A" w:rsidRPr="00836096" w:rsidRDefault="000E5A1A" w:rsidP="006072E6">
            <w:pPr>
              <w:spacing w:line="480" w:lineRule="auto"/>
              <w:jc w:val="both"/>
            </w:pPr>
            <w:r w:rsidRPr="00836096">
              <w:t>3.69 (3.30) [0-12]</w:t>
            </w:r>
          </w:p>
        </w:tc>
        <w:tc>
          <w:tcPr>
            <w:tcW w:w="1310" w:type="dxa"/>
            <w:shd w:val="clear" w:color="auto" w:fill="FFFFFF" w:themeFill="background1"/>
          </w:tcPr>
          <w:p w14:paraId="44F226E3" w14:textId="77777777" w:rsidR="000E5A1A" w:rsidRPr="00836096" w:rsidRDefault="000E5A1A" w:rsidP="006072E6">
            <w:pPr>
              <w:spacing w:line="480" w:lineRule="auto"/>
              <w:jc w:val="both"/>
            </w:pPr>
            <w:r w:rsidRPr="00836096">
              <w:t>0.74 (0.13 to 1.32)</w:t>
            </w:r>
          </w:p>
        </w:tc>
        <w:tc>
          <w:tcPr>
            <w:tcW w:w="1636" w:type="dxa"/>
            <w:vMerge w:val="restart"/>
            <w:shd w:val="clear" w:color="auto" w:fill="FFFFFF" w:themeFill="background1"/>
            <w:noWrap/>
          </w:tcPr>
          <w:p w14:paraId="18CAADBB" w14:textId="77777777" w:rsidR="000E5A1A" w:rsidRPr="00836096" w:rsidRDefault="000E5A1A" w:rsidP="006072E6">
            <w:pPr>
              <w:spacing w:line="480" w:lineRule="auto"/>
              <w:jc w:val="both"/>
              <w:rPr>
                <w:i/>
              </w:rPr>
            </w:pPr>
            <w:r w:rsidRPr="00836096">
              <w:rPr>
                <w:i/>
                <w:iCs/>
              </w:rPr>
              <w:t>F</w:t>
            </w:r>
            <w:r w:rsidRPr="00836096">
              <w:t xml:space="preserve"> (2,36) = 10.39, </w:t>
            </w:r>
            <w:r w:rsidRPr="00836096">
              <w:rPr>
                <w:i/>
                <w:iCs/>
              </w:rPr>
              <w:t xml:space="preserve">p </w:t>
            </w:r>
            <w:r w:rsidRPr="00836096">
              <w:t>= .001*</w:t>
            </w:r>
          </w:p>
        </w:tc>
        <w:tc>
          <w:tcPr>
            <w:tcW w:w="1540" w:type="dxa"/>
            <w:vMerge w:val="restart"/>
            <w:shd w:val="clear" w:color="auto" w:fill="FFFFFF" w:themeFill="background1"/>
          </w:tcPr>
          <w:p w14:paraId="32779B8D" w14:textId="77777777" w:rsidR="000E5A1A" w:rsidRPr="00836096" w:rsidRDefault="000E5A1A" w:rsidP="006072E6">
            <w:pPr>
              <w:spacing w:line="480" w:lineRule="auto"/>
              <w:jc w:val="both"/>
              <w:rPr>
                <w:i/>
              </w:rPr>
            </w:pPr>
            <w:r w:rsidRPr="00836096">
              <w:t xml:space="preserve">2.9 (SE: 0.76), </w:t>
            </w:r>
            <w:r w:rsidRPr="00836096">
              <w:rPr>
                <w:i/>
                <w:iCs/>
              </w:rPr>
              <w:t>p</w:t>
            </w:r>
            <w:r w:rsidRPr="00836096">
              <w:t xml:space="preserve"> = .002*</w:t>
            </w:r>
          </w:p>
        </w:tc>
        <w:tc>
          <w:tcPr>
            <w:tcW w:w="1497" w:type="dxa"/>
            <w:vMerge w:val="restart"/>
            <w:shd w:val="clear" w:color="auto" w:fill="FFFFFF" w:themeFill="background1"/>
          </w:tcPr>
          <w:p w14:paraId="3197480A" w14:textId="77777777" w:rsidR="000E5A1A" w:rsidRPr="00836096" w:rsidRDefault="000E5A1A" w:rsidP="006072E6">
            <w:pPr>
              <w:spacing w:line="480" w:lineRule="auto"/>
              <w:jc w:val="both"/>
              <w:rPr>
                <w:i/>
              </w:rPr>
            </w:pPr>
            <w:r w:rsidRPr="00836096">
              <w:t xml:space="preserve">3.2 (SE: 0.82), </w:t>
            </w:r>
            <w:r w:rsidRPr="00836096">
              <w:rPr>
                <w:i/>
                <w:iCs/>
              </w:rPr>
              <w:t>p</w:t>
            </w:r>
            <w:r w:rsidRPr="00836096">
              <w:t xml:space="preserve"> = .001*</w:t>
            </w:r>
          </w:p>
        </w:tc>
        <w:tc>
          <w:tcPr>
            <w:tcW w:w="1497" w:type="dxa"/>
            <w:vMerge w:val="restart"/>
            <w:shd w:val="clear" w:color="auto" w:fill="FFFFFF" w:themeFill="background1"/>
          </w:tcPr>
          <w:p w14:paraId="13B37CFB" w14:textId="77777777" w:rsidR="000E5A1A" w:rsidRPr="00836096" w:rsidRDefault="000E5A1A" w:rsidP="006072E6">
            <w:pPr>
              <w:spacing w:line="480" w:lineRule="auto"/>
              <w:jc w:val="both"/>
              <w:rPr>
                <w:i/>
              </w:rPr>
            </w:pPr>
            <w:r w:rsidRPr="00836096">
              <w:t xml:space="preserve">.36 (SE: 0.85), </w:t>
            </w:r>
            <w:r w:rsidRPr="00836096">
              <w:rPr>
                <w:i/>
                <w:iCs/>
              </w:rPr>
              <w:t>p</w:t>
            </w:r>
            <w:r w:rsidRPr="00836096">
              <w:t xml:space="preserve"> = 1.0</w:t>
            </w:r>
          </w:p>
          <w:p w14:paraId="67CE5863" w14:textId="77777777" w:rsidR="000E5A1A" w:rsidRPr="00836096" w:rsidRDefault="000E5A1A" w:rsidP="006072E6">
            <w:pPr>
              <w:spacing w:line="480" w:lineRule="auto"/>
              <w:jc w:val="both"/>
              <w:rPr>
                <w:i/>
              </w:rPr>
            </w:pPr>
          </w:p>
        </w:tc>
      </w:tr>
      <w:tr w:rsidR="00836096" w:rsidRPr="00836096" w14:paraId="2CAF82A2" w14:textId="77777777" w:rsidTr="006072E6">
        <w:trPr>
          <w:trHeight w:val="545"/>
        </w:trPr>
        <w:tc>
          <w:tcPr>
            <w:tcW w:w="1163" w:type="dxa"/>
            <w:vMerge/>
            <w:shd w:val="clear" w:color="auto" w:fill="FFFFFF" w:themeFill="background1"/>
          </w:tcPr>
          <w:p w14:paraId="12AD7ECD" w14:textId="77777777" w:rsidR="000E5A1A" w:rsidRPr="00836096" w:rsidRDefault="000E5A1A" w:rsidP="006072E6">
            <w:pPr>
              <w:spacing w:line="480" w:lineRule="auto"/>
              <w:jc w:val="both"/>
            </w:pPr>
          </w:p>
        </w:tc>
        <w:tc>
          <w:tcPr>
            <w:tcW w:w="1496" w:type="dxa"/>
            <w:vMerge/>
            <w:shd w:val="clear" w:color="auto" w:fill="FFFFFF" w:themeFill="background1"/>
            <w:noWrap/>
          </w:tcPr>
          <w:p w14:paraId="24E63758" w14:textId="77777777" w:rsidR="000E5A1A" w:rsidRPr="00836096" w:rsidRDefault="000E5A1A" w:rsidP="006072E6">
            <w:pPr>
              <w:spacing w:line="480" w:lineRule="auto"/>
              <w:jc w:val="both"/>
            </w:pPr>
          </w:p>
        </w:tc>
        <w:tc>
          <w:tcPr>
            <w:tcW w:w="1323" w:type="dxa"/>
            <w:shd w:val="clear" w:color="auto" w:fill="FFFFFF" w:themeFill="background1"/>
          </w:tcPr>
          <w:p w14:paraId="2EE5FFA4"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488CF3CB" w14:textId="77777777" w:rsidR="000E5A1A" w:rsidRPr="00836096" w:rsidRDefault="000E5A1A" w:rsidP="006072E6">
            <w:pPr>
              <w:spacing w:line="480" w:lineRule="auto"/>
              <w:jc w:val="both"/>
            </w:pPr>
            <w:r w:rsidRPr="00836096">
              <w:t>4.32 (3.2) [0-12]</w:t>
            </w:r>
          </w:p>
        </w:tc>
        <w:tc>
          <w:tcPr>
            <w:tcW w:w="990" w:type="dxa"/>
            <w:shd w:val="clear" w:color="auto" w:fill="FFFFFF" w:themeFill="background1"/>
          </w:tcPr>
          <w:p w14:paraId="62719BF2" w14:textId="77777777" w:rsidR="000E5A1A" w:rsidRPr="00836096" w:rsidRDefault="000E5A1A" w:rsidP="006072E6">
            <w:pPr>
              <w:spacing w:line="480" w:lineRule="auto"/>
              <w:jc w:val="both"/>
            </w:pPr>
            <w:r w:rsidRPr="00836096">
              <w:t>3.41 (2.86) [0-12]</w:t>
            </w:r>
          </w:p>
        </w:tc>
        <w:tc>
          <w:tcPr>
            <w:tcW w:w="1310" w:type="dxa"/>
            <w:shd w:val="clear" w:color="auto" w:fill="FFFFFF" w:themeFill="background1"/>
          </w:tcPr>
          <w:p w14:paraId="3B786DA7" w14:textId="77777777" w:rsidR="000E5A1A" w:rsidRPr="00836096" w:rsidRDefault="000E5A1A" w:rsidP="006072E6">
            <w:pPr>
              <w:spacing w:line="480" w:lineRule="auto"/>
              <w:jc w:val="both"/>
            </w:pPr>
            <w:r w:rsidRPr="00836096">
              <w:t>0.71 (0.15 to 1.25)</w:t>
            </w:r>
          </w:p>
        </w:tc>
        <w:tc>
          <w:tcPr>
            <w:tcW w:w="1636" w:type="dxa"/>
            <w:vMerge/>
            <w:shd w:val="clear" w:color="auto" w:fill="FFFFFF" w:themeFill="background1"/>
            <w:noWrap/>
          </w:tcPr>
          <w:p w14:paraId="1613783C"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03F8641A"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6B24E5CD"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0190D7B2" w14:textId="77777777" w:rsidR="000E5A1A" w:rsidRPr="00836096" w:rsidRDefault="000E5A1A" w:rsidP="006072E6">
            <w:pPr>
              <w:spacing w:line="480" w:lineRule="auto"/>
              <w:jc w:val="both"/>
              <w:rPr>
                <w:i/>
              </w:rPr>
            </w:pPr>
          </w:p>
        </w:tc>
      </w:tr>
      <w:tr w:rsidR="00836096" w:rsidRPr="00836096" w14:paraId="6B9D95AE" w14:textId="77777777" w:rsidTr="006072E6">
        <w:trPr>
          <w:trHeight w:val="932"/>
        </w:trPr>
        <w:tc>
          <w:tcPr>
            <w:tcW w:w="1163" w:type="dxa"/>
            <w:vMerge w:val="restart"/>
            <w:shd w:val="clear" w:color="auto" w:fill="FFFFFF" w:themeFill="background1"/>
          </w:tcPr>
          <w:p w14:paraId="643358D1" w14:textId="77777777" w:rsidR="000E5A1A" w:rsidRPr="00836096" w:rsidRDefault="000E5A1A" w:rsidP="006072E6">
            <w:pPr>
              <w:spacing w:line="480" w:lineRule="auto"/>
              <w:jc w:val="both"/>
              <w:rPr>
                <w:b/>
              </w:rPr>
            </w:pPr>
            <w:r w:rsidRPr="00836096">
              <w:rPr>
                <w:b/>
              </w:rPr>
              <w:t>THS: Sound tolerance</w:t>
            </w:r>
          </w:p>
          <w:p w14:paraId="20E338B6" w14:textId="77777777" w:rsidR="000E5A1A" w:rsidRPr="00836096" w:rsidRDefault="000E5A1A" w:rsidP="006072E6">
            <w:pPr>
              <w:spacing w:line="480" w:lineRule="auto"/>
              <w:jc w:val="both"/>
            </w:pPr>
          </w:p>
        </w:tc>
        <w:tc>
          <w:tcPr>
            <w:tcW w:w="1496" w:type="dxa"/>
            <w:vMerge w:val="restart"/>
            <w:shd w:val="clear" w:color="auto" w:fill="FFFFFF" w:themeFill="background1"/>
            <w:noWrap/>
          </w:tcPr>
          <w:p w14:paraId="480353C4" w14:textId="77777777" w:rsidR="000E5A1A" w:rsidRPr="00836096" w:rsidRDefault="000E5A1A" w:rsidP="006072E6">
            <w:pPr>
              <w:spacing w:line="480" w:lineRule="auto"/>
              <w:jc w:val="both"/>
            </w:pPr>
            <w:r w:rsidRPr="00836096">
              <w:t>1.33 (1.24) [0-4]</w:t>
            </w:r>
          </w:p>
        </w:tc>
        <w:tc>
          <w:tcPr>
            <w:tcW w:w="1323" w:type="dxa"/>
            <w:shd w:val="clear" w:color="auto" w:fill="FFFFFF" w:themeFill="background1"/>
          </w:tcPr>
          <w:p w14:paraId="42B16224"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2A0ED40C" w14:textId="77777777" w:rsidR="000E5A1A" w:rsidRPr="00836096" w:rsidRDefault="000E5A1A" w:rsidP="006072E6">
            <w:pPr>
              <w:spacing w:line="480" w:lineRule="auto"/>
              <w:jc w:val="both"/>
            </w:pPr>
            <w:r w:rsidRPr="00836096">
              <w:t>0.60 (0.82) [0-3]</w:t>
            </w:r>
          </w:p>
        </w:tc>
        <w:tc>
          <w:tcPr>
            <w:tcW w:w="990" w:type="dxa"/>
            <w:shd w:val="clear" w:color="auto" w:fill="FFFFFF" w:themeFill="background1"/>
          </w:tcPr>
          <w:p w14:paraId="15E9A974" w14:textId="77777777" w:rsidR="000E5A1A" w:rsidRPr="00836096" w:rsidRDefault="000E5A1A" w:rsidP="006072E6">
            <w:pPr>
              <w:spacing w:line="480" w:lineRule="auto"/>
              <w:jc w:val="both"/>
            </w:pPr>
            <w:r w:rsidRPr="00836096">
              <w:t>0.81 (0.98) [0-3]</w:t>
            </w:r>
          </w:p>
        </w:tc>
        <w:tc>
          <w:tcPr>
            <w:tcW w:w="1310" w:type="dxa"/>
            <w:shd w:val="clear" w:color="auto" w:fill="FFFFFF" w:themeFill="background1"/>
          </w:tcPr>
          <w:p w14:paraId="4016797E" w14:textId="77777777" w:rsidR="000E5A1A" w:rsidRPr="00836096" w:rsidRDefault="000E5A1A" w:rsidP="006072E6">
            <w:pPr>
              <w:spacing w:line="480" w:lineRule="auto"/>
              <w:jc w:val="both"/>
            </w:pPr>
            <w:r w:rsidRPr="00836096">
              <w:t>0.67 (0.07 to 1.26)</w:t>
            </w:r>
          </w:p>
        </w:tc>
        <w:tc>
          <w:tcPr>
            <w:tcW w:w="1636" w:type="dxa"/>
            <w:vMerge w:val="restart"/>
            <w:shd w:val="clear" w:color="auto" w:fill="FFFFFF" w:themeFill="background1"/>
            <w:noWrap/>
          </w:tcPr>
          <w:p w14:paraId="393FB303" w14:textId="77777777" w:rsidR="000E5A1A" w:rsidRPr="00836096" w:rsidRDefault="000E5A1A" w:rsidP="006072E6">
            <w:pPr>
              <w:spacing w:line="480" w:lineRule="auto"/>
              <w:jc w:val="both"/>
              <w:rPr>
                <w:i/>
              </w:rPr>
            </w:pPr>
            <w:r w:rsidRPr="00836096">
              <w:rPr>
                <w:i/>
                <w:iCs/>
              </w:rPr>
              <w:t>F</w:t>
            </w:r>
            <w:r w:rsidRPr="00836096">
              <w:t xml:space="preserve"> (2,36) = 7.23, </w:t>
            </w:r>
            <w:r w:rsidRPr="00836096">
              <w:rPr>
                <w:i/>
                <w:iCs/>
              </w:rPr>
              <w:t xml:space="preserve">p </w:t>
            </w:r>
            <w:r w:rsidRPr="00836096">
              <w:t>= .002*</w:t>
            </w:r>
          </w:p>
        </w:tc>
        <w:tc>
          <w:tcPr>
            <w:tcW w:w="1540" w:type="dxa"/>
            <w:vMerge w:val="restart"/>
            <w:shd w:val="clear" w:color="auto" w:fill="FFFFFF" w:themeFill="background1"/>
          </w:tcPr>
          <w:p w14:paraId="5BC34491" w14:textId="77777777" w:rsidR="000E5A1A" w:rsidRPr="00836096" w:rsidRDefault="000E5A1A" w:rsidP="006072E6">
            <w:pPr>
              <w:spacing w:line="480" w:lineRule="auto"/>
              <w:jc w:val="both"/>
              <w:rPr>
                <w:i/>
              </w:rPr>
            </w:pPr>
            <w:r w:rsidRPr="00836096">
              <w:t xml:space="preserve">.76 (SE: .21), </w:t>
            </w:r>
            <w:r w:rsidRPr="00836096">
              <w:rPr>
                <w:i/>
                <w:iCs/>
              </w:rPr>
              <w:t>p</w:t>
            </w:r>
            <w:r w:rsidRPr="00836096">
              <w:t xml:space="preserve"> = .002*</w:t>
            </w:r>
          </w:p>
        </w:tc>
        <w:tc>
          <w:tcPr>
            <w:tcW w:w="1497" w:type="dxa"/>
            <w:vMerge w:val="restart"/>
            <w:shd w:val="clear" w:color="auto" w:fill="FFFFFF" w:themeFill="background1"/>
          </w:tcPr>
          <w:p w14:paraId="6D2A5DA4" w14:textId="77777777" w:rsidR="000E5A1A" w:rsidRPr="00836096" w:rsidRDefault="000E5A1A" w:rsidP="006072E6">
            <w:pPr>
              <w:spacing w:line="480" w:lineRule="auto"/>
              <w:jc w:val="both"/>
              <w:rPr>
                <w:i/>
              </w:rPr>
            </w:pPr>
            <w:r w:rsidRPr="00836096">
              <w:t xml:space="preserve">.48 (SE: .23), </w:t>
            </w:r>
            <w:r w:rsidRPr="00836096">
              <w:rPr>
                <w:i/>
                <w:iCs/>
              </w:rPr>
              <w:t>p</w:t>
            </w:r>
            <w:r w:rsidRPr="00836096">
              <w:t xml:space="preserve"> = .11</w:t>
            </w:r>
          </w:p>
        </w:tc>
        <w:tc>
          <w:tcPr>
            <w:tcW w:w="1497" w:type="dxa"/>
            <w:vMerge w:val="restart"/>
            <w:shd w:val="clear" w:color="auto" w:fill="FFFFFF" w:themeFill="background1"/>
          </w:tcPr>
          <w:p w14:paraId="0D575D29" w14:textId="77777777" w:rsidR="000E5A1A" w:rsidRPr="00836096" w:rsidRDefault="000E5A1A" w:rsidP="006072E6">
            <w:pPr>
              <w:spacing w:line="480" w:lineRule="auto"/>
              <w:jc w:val="both"/>
              <w:rPr>
                <w:i/>
              </w:rPr>
            </w:pPr>
            <w:r w:rsidRPr="00836096">
              <w:t xml:space="preserve">-.29 (SE: .23), </w:t>
            </w:r>
            <w:r w:rsidRPr="00836096">
              <w:rPr>
                <w:i/>
                <w:iCs/>
              </w:rPr>
              <w:t>p</w:t>
            </w:r>
            <w:r w:rsidRPr="00836096">
              <w:t xml:space="preserve"> = .66</w:t>
            </w:r>
          </w:p>
        </w:tc>
      </w:tr>
      <w:tr w:rsidR="00836096" w:rsidRPr="00836096" w14:paraId="2B8925E9" w14:textId="77777777" w:rsidTr="006072E6">
        <w:trPr>
          <w:trHeight w:val="557"/>
        </w:trPr>
        <w:tc>
          <w:tcPr>
            <w:tcW w:w="1163" w:type="dxa"/>
            <w:vMerge/>
            <w:shd w:val="clear" w:color="auto" w:fill="FFFFFF" w:themeFill="background1"/>
          </w:tcPr>
          <w:p w14:paraId="17841F5C" w14:textId="77777777" w:rsidR="000E5A1A" w:rsidRPr="00836096" w:rsidRDefault="000E5A1A" w:rsidP="006072E6">
            <w:pPr>
              <w:spacing w:line="480" w:lineRule="auto"/>
              <w:jc w:val="both"/>
            </w:pPr>
          </w:p>
        </w:tc>
        <w:tc>
          <w:tcPr>
            <w:tcW w:w="1496" w:type="dxa"/>
            <w:vMerge/>
            <w:shd w:val="clear" w:color="auto" w:fill="FFFFFF" w:themeFill="background1"/>
            <w:noWrap/>
          </w:tcPr>
          <w:p w14:paraId="42B3DCAC" w14:textId="77777777" w:rsidR="000E5A1A" w:rsidRPr="00836096" w:rsidRDefault="000E5A1A" w:rsidP="006072E6">
            <w:pPr>
              <w:spacing w:line="480" w:lineRule="auto"/>
              <w:jc w:val="both"/>
            </w:pPr>
          </w:p>
        </w:tc>
        <w:tc>
          <w:tcPr>
            <w:tcW w:w="1323" w:type="dxa"/>
            <w:shd w:val="clear" w:color="auto" w:fill="FFFFFF" w:themeFill="background1"/>
          </w:tcPr>
          <w:p w14:paraId="09257A92"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7DDBDC79" w14:textId="77777777" w:rsidR="000E5A1A" w:rsidRPr="00836096" w:rsidRDefault="000E5A1A" w:rsidP="006072E6">
            <w:pPr>
              <w:spacing w:line="480" w:lineRule="auto"/>
              <w:jc w:val="both"/>
            </w:pPr>
            <w:r w:rsidRPr="00836096">
              <w:t>0.61 (0.76) [0-3]</w:t>
            </w:r>
          </w:p>
        </w:tc>
        <w:tc>
          <w:tcPr>
            <w:tcW w:w="990" w:type="dxa"/>
            <w:shd w:val="clear" w:color="auto" w:fill="FFFFFF" w:themeFill="background1"/>
          </w:tcPr>
          <w:p w14:paraId="76A5F8F4" w14:textId="77777777" w:rsidR="000E5A1A" w:rsidRPr="00836096" w:rsidRDefault="000E5A1A" w:rsidP="006072E6">
            <w:pPr>
              <w:spacing w:line="480" w:lineRule="auto"/>
              <w:jc w:val="both"/>
            </w:pPr>
            <w:r w:rsidRPr="00836096">
              <w:t>0.84 (0.89) [0-3]</w:t>
            </w:r>
          </w:p>
        </w:tc>
        <w:tc>
          <w:tcPr>
            <w:tcW w:w="1310" w:type="dxa"/>
            <w:shd w:val="clear" w:color="auto" w:fill="FFFFFF" w:themeFill="background1"/>
          </w:tcPr>
          <w:p w14:paraId="584C912A" w14:textId="77777777" w:rsidR="000E5A1A" w:rsidRPr="00836096" w:rsidRDefault="000E5A1A" w:rsidP="006072E6">
            <w:pPr>
              <w:spacing w:line="480" w:lineRule="auto"/>
              <w:jc w:val="both"/>
            </w:pPr>
            <w:r w:rsidRPr="00836096">
              <w:t>0.70 (0.14 to 1.24)</w:t>
            </w:r>
          </w:p>
        </w:tc>
        <w:tc>
          <w:tcPr>
            <w:tcW w:w="1636" w:type="dxa"/>
            <w:vMerge/>
            <w:shd w:val="clear" w:color="auto" w:fill="FFFFFF" w:themeFill="background1"/>
            <w:noWrap/>
          </w:tcPr>
          <w:p w14:paraId="0C69E116"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54ECC0E3"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19B0B1A3"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2A9B86A5" w14:textId="77777777" w:rsidR="000E5A1A" w:rsidRPr="00836096" w:rsidRDefault="000E5A1A" w:rsidP="006072E6">
            <w:pPr>
              <w:spacing w:line="480" w:lineRule="auto"/>
              <w:jc w:val="both"/>
              <w:rPr>
                <w:i/>
              </w:rPr>
            </w:pPr>
          </w:p>
        </w:tc>
      </w:tr>
      <w:tr w:rsidR="00836096" w:rsidRPr="00836096" w14:paraId="76CA620C" w14:textId="77777777" w:rsidTr="006072E6">
        <w:trPr>
          <w:trHeight w:val="1065"/>
        </w:trPr>
        <w:tc>
          <w:tcPr>
            <w:tcW w:w="1163" w:type="dxa"/>
            <w:vMerge w:val="restart"/>
            <w:shd w:val="clear" w:color="auto" w:fill="FFFFFF" w:themeFill="background1"/>
          </w:tcPr>
          <w:p w14:paraId="47801770" w14:textId="77777777" w:rsidR="000E5A1A" w:rsidRPr="00836096" w:rsidRDefault="000E5A1A" w:rsidP="006072E6">
            <w:pPr>
              <w:spacing w:line="480" w:lineRule="auto"/>
              <w:jc w:val="both"/>
              <w:rPr>
                <w:b/>
              </w:rPr>
            </w:pPr>
            <w:r w:rsidRPr="00836096">
              <w:rPr>
                <w:b/>
              </w:rPr>
              <w:t>TCQ</w:t>
            </w:r>
          </w:p>
          <w:p w14:paraId="180FFB95" w14:textId="77777777" w:rsidR="000E5A1A" w:rsidRPr="00836096" w:rsidRDefault="000E5A1A" w:rsidP="006072E6">
            <w:pPr>
              <w:spacing w:line="480" w:lineRule="auto"/>
              <w:jc w:val="both"/>
            </w:pPr>
          </w:p>
        </w:tc>
        <w:tc>
          <w:tcPr>
            <w:tcW w:w="1496" w:type="dxa"/>
            <w:vMerge w:val="restart"/>
            <w:shd w:val="clear" w:color="auto" w:fill="FFFFFF" w:themeFill="background1"/>
            <w:noWrap/>
          </w:tcPr>
          <w:p w14:paraId="38333914" w14:textId="77777777" w:rsidR="000E5A1A" w:rsidRPr="00836096" w:rsidRDefault="000E5A1A" w:rsidP="006072E6">
            <w:pPr>
              <w:spacing w:line="480" w:lineRule="auto"/>
              <w:jc w:val="both"/>
            </w:pPr>
            <w:r w:rsidRPr="00836096">
              <w:t>41.7 (11.37) [22-62]</w:t>
            </w:r>
          </w:p>
        </w:tc>
        <w:tc>
          <w:tcPr>
            <w:tcW w:w="1323" w:type="dxa"/>
            <w:shd w:val="clear" w:color="auto" w:fill="FFFFFF" w:themeFill="background1"/>
          </w:tcPr>
          <w:p w14:paraId="202185B7" w14:textId="77777777" w:rsidR="000E5A1A" w:rsidRPr="00836096" w:rsidRDefault="000E5A1A" w:rsidP="006072E6">
            <w:pPr>
              <w:spacing w:line="480" w:lineRule="auto"/>
              <w:jc w:val="both"/>
            </w:pPr>
            <w:proofErr w:type="gramStart"/>
            <w:r w:rsidRPr="00836096">
              <w:rPr>
                <w:bCs/>
              </w:rPr>
              <w:t>Completers</w:t>
            </w:r>
            <w:proofErr w:type="gramEnd"/>
            <w:r w:rsidRPr="00836096">
              <w:rPr>
                <w:bCs/>
              </w:rPr>
              <w:t xml:space="preserve"> analysis</w:t>
            </w:r>
          </w:p>
        </w:tc>
        <w:tc>
          <w:tcPr>
            <w:tcW w:w="1496" w:type="dxa"/>
            <w:shd w:val="clear" w:color="auto" w:fill="FFFFFF" w:themeFill="background1"/>
            <w:noWrap/>
          </w:tcPr>
          <w:p w14:paraId="411381F7" w14:textId="77777777" w:rsidR="000E5A1A" w:rsidRPr="00836096" w:rsidRDefault="000E5A1A" w:rsidP="006072E6">
            <w:pPr>
              <w:spacing w:line="480" w:lineRule="auto"/>
              <w:jc w:val="both"/>
            </w:pPr>
            <w:r w:rsidRPr="00836096">
              <w:t>29.65 (13.94) [11-57]</w:t>
            </w:r>
          </w:p>
        </w:tc>
        <w:tc>
          <w:tcPr>
            <w:tcW w:w="990" w:type="dxa"/>
            <w:shd w:val="clear" w:color="auto" w:fill="FFFFFF" w:themeFill="background1"/>
          </w:tcPr>
          <w:p w14:paraId="246DBB52" w14:textId="77777777" w:rsidR="000E5A1A" w:rsidRPr="00836096" w:rsidRDefault="000E5A1A" w:rsidP="006072E6">
            <w:pPr>
              <w:spacing w:line="480" w:lineRule="auto"/>
              <w:jc w:val="both"/>
            </w:pPr>
            <w:r w:rsidRPr="00836096">
              <w:t>29.19 (13.11) [7-48]</w:t>
            </w:r>
          </w:p>
        </w:tc>
        <w:tc>
          <w:tcPr>
            <w:tcW w:w="1310" w:type="dxa"/>
            <w:shd w:val="clear" w:color="auto" w:fill="FFFFFF" w:themeFill="background1"/>
          </w:tcPr>
          <w:p w14:paraId="20B8036B" w14:textId="77777777" w:rsidR="000E5A1A" w:rsidRPr="00836096" w:rsidRDefault="000E5A1A" w:rsidP="006072E6">
            <w:pPr>
              <w:spacing w:line="480" w:lineRule="auto"/>
              <w:jc w:val="both"/>
            </w:pPr>
            <w:r w:rsidRPr="00836096">
              <w:t>1.76 (1.06 to 2.41)</w:t>
            </w:r>
          </w:p>
        </w:tc>
        <w:tc>
          <w:tcPr>
            <w:tcW w:w="1636" w:type="dxa"/>
            <w:vMerge w:val="restart"/>
            <w:shd w:val="clear" w:color="auto" w:fill="FFFFFF" w:themeFill="background1"/>
            <w:noWrap/>
          </w:tcPr>
          <w:p w14:paraId="4E67F66A" w14:textId="77777777" w:rsidR="000E5A1A" w:rsidRPr="00836096" w:rsidRDefault="000E5A1A" w:rsidP="006072E6">
            <w:pPr>
              <w:spacing w:line="480" w:lineRule="auto"/>
              <w:jc w:val="both"/>
              <w:rPr>
                <w:i/>
              </w:rPr>
            </w:pPr>
            <w:r w:rsidRPr="00836096">
              <w:rPr>
                <w:i/>
                <w:iCs/>
              </w:rPr>
              <w:t>F</w:t>
            </w:r>
            <w:r w:rsidRPr="00836096">
              <w:t xml:space="preserve"> (2,37) = 13.87, </w:t>
            </w:r>
            <w:r w:rsidRPr="00836096">
              <w:rPr>
                <w:i/>
                <w:iCs/>
              </w:rPr>
              <w:t xml:space="preserve">p </w:t>
            </w:r>
            <w:r w:rsidRPr="00836096">
              <w:t>= .001*</w:t>
            </w:r>
          </w:p>
        </w:tc>
        <w:tc>
          <w:tcPr>
            <w:tcW w:w="1540" w:type="dxa"/>
            <w:vMerge w:val="restart"/>
            <w:shd w:val="clear" w:color="auto" w:fill="FFFFFF" w:themeFill="background1"/>
          </w:tcPr>
          <w:p w14:paraId="0565127C" w14:textId="77777777" w:rsidR="000E5A1A" w:rsidRPr="00836096" w:rsidRDefault="000E5A1A" w:rsidP="006072E6">
            <w:pPr>
              <w:spacing w:line="480" w:lineRule="auto"/>
              <w:jc w:val="both"/>
              <w:rPr>
                <w:i/>
              </w:rPr>
            </w:pPr>
            <w:r w:rsidRPr="00836096">
              <w:t xml:space="preserve">12.00 (SE: 2.63), </w:t>
            </w:r>
            <w:r w:rsidRPr="00836096">
              <w:rPr>
                <w:i/>
                <w:iCs/>
              </w:rPr>
              <w:t>p</w:t>
            </w:r>
            <w:r w:rsidRPr="00836096">
              <w:t xml:space="preserve"> = .001*</w:t>
            </w:r>
          </w:p>
        </w:tc>
        <w:tc>
          <w:tcPr>
            <w:tcW w:w="1497" w:type="dxa"/>
            <w:vMerge w:val="restart"/>
            <w:shd w:val="clear" w:color="auto" w:fill="FFFFFF" w:themeFill="background1"/>
          </w:tcPr>
          <w:p w14:paraId="1182C796" w14:textId="77777777" w:rsidR="000E5A1A" w:rsidRPr="00836096" w:rsidRDefault="000E5A1A" w:rsidP="006072E6">
            <w:pPr>
              <w:spacing w:line="480" w:lineRule="auto"/>
              <w:jc w:val="both"/>
              <w:rPr>
                <w:i/>
              </w:rPr>
            </w:pPr>
            <w:r w:rsidRPr="00836096">
              <w:t xml:space="preserve">12.27 (SE: 2.86), </w:t>
            </w:r>
            <w:r w:rsidRPr="00836096">
              <w:rPr>
                <w:i/>
                <w:iCs/>
              </w:rPr>
              <w:t>p</w:t>
            </w:r>
            <w:r w:rsidRPr="00836096">
              <w:t xml:space="preserve"> = .001*</w:t>
            </w:r>
          </w:p>
        </w:tc>
        <w:tc>
          <w:tcPr>
            <w:tcW w:w="1497" w:type="dxa"/>
            <w:vMerge w:val="restart"/>
            <w:shd w:val="clear" w:color="auto" w:fill="FFFFFF" w:themeFill="background1"/>
          </w:tcPr>
          <w:p w14:paraId="612F833B" w14:textId="77777777" w:rsidR="000E5A1A" w:rsidRPr="00836096" w:rsidRDefault="000E5A1A" w:rsidP="006072E6">
            <w:pPr>
              <w:spacing w:line="480" w:lineRule="auto"/>
              <w:jc w:val="both"/>
              <w:rPr>
                <w:i/>
              </w:rPr>
            </w:pPr>
            <w:r w:rsidRPr="00836096">
              <w:t xml:space="preserve">-.27 (SE: 2.97), </w:t>
            </w:r>
            <w:r w:rsidRPr="00836096">
              <w:rPr>
                <w:i/>
                <w:iCs/>
              </w:rPr>
              <w:t>p</w:t>
            </w:r>
            <w:r w:rsidRPr="00836096">
              <w:t xml:space="preserve"> = 1.0</w:t>
            </w:r>
          </w:p>
        </w:tc>
      </w:tr>
      <w:tr w:rsidR="00836096" w:rsidRPr="00836096" w14:paraId="19495278" w14:textId="77777777" w:rsidTr="006072E6">
        <w:trPr>
          <w:trHeight w:val="424"/>
        </w:trPr>
        <w:tc>
          <w:tcPr>
            <w:tcW w:w="1163" w:type="dxa"/>
            <w:vMerge/>
            <w:shd w:val="clear" w:color="auto" w:fill="FFFFFF" w:themeFill="background1"/>
          </w:tcPr>
          <w:p w14:paraId="4D204A9D" w14:textId="77777777" w:rsidR="000E5A1A" w:rsidRPr="00836096" w:rsidRDefault="000E5A1A" w:rsidP="006072E6">
            <w:pPr>
              <w:spacing w:line="480" w:lineRule="auto"/>
              <w:jc w:val="both"/>
            </w:pPr>
          </w:p>
        </w:tc>
        <w:tc>
          <w:tcPr>
            <w:tcW w:w="1496" w:type="dxa"/>
            <w:vMerge/>
            <w:shd w:val="clear" w:color="auto" w:fill="FFFFFF" w:themeFill="background1"/>
            <w:noWrap/>
          </w:tcPr>
          <w:p w14:paraId="6ADB445F" w14:textId="77777777" w:rsidR="000E5A1A" w:rsidRPr="00836096" w:rsidRDefault="000E5A1A" w:rsidP="006072E6">
            <w:pPr>
              <w:spacing w:line="480" w:lineRule="auto"/>
              <w:jc w:val="both"/>
            </w:pPr>
          </w:p>
        </w:tc>
        <w:tc>
          <w:tcPr>
            <w:tcW w:w="1323" w:type="dxa"/>
            <w:shd w:val="clear" w:color="auto" w:fill="FFFFFF" w:themeFill="background1"/>
          </w:tcPr>
          <w:p w14:paraId="78DADA75" w14:textId="77777777" w:rsidR="000E5A1A" w:rsidRPr="00836096" w:rsidRDefault="000E5A1A" w:rsidP="006072E6">
            <w:pPr>
              <w:spacing w:line="480" w:lineRule="auto"/>
              <w:jc w:val="both"/>
            </w:pPr>
            <w:r w:rsidRPr="00836096">
              <w:t>Imputation analysis</w:t>
            </w:r>
          </w:p>
        </w:tc>
        <w:tc>
          <w:tcPr>
            <w:tcW w:w="1496" w:type="dxa"/>
            <w:shd w:val="clear" w:color="auto" w:fill="FFFFFF" w:themeFill="background1"/>
            <w:noWrap/>
          </w:tcPr>
          <w:p w14:paraId="7EFBB4B5" w14:textId="77777777" w:rsidR="000E5A1A" w:rsidRPr="00836096" w:rsidRDefault="000E5A1A" w:rsidP="006072E6">
            <w:pPr>
              <w:spacing w:line="480" w:lineRule="auto"/>
              <w:jc w:val="both"/>
            </w:pPr>
            <w:r w:rsidRPr="00836096">
              <w:t>29.47 (12.02) [11-57]</w:t>
            </w:r>
          </w:p>
        </w:tc>
        <w:tc>
          <w:tcPr>
            <w:tcW w:w="990" w:type="dxa"/>
            <w:shd w:val="clear" w:color="auto" w:fill="FFFFFF" w:themeFill="background1"/>
          </w:tcPr>
          <w:p w14:paraId="19508DD9" w14:textId="77777777" w:rsidR="000E5A1A" w:rsidRPr="00836096" w:rsidRDefault="000E5A1A" w:rsidP="006072E6">
            <w:pPr>
              <w:spacing w:line="480" w:lineRule="auto"/>
              <w:jc w:val="both"/>
            </w:pPr>
            <w:r w:rsidRPr="00836096">
              <w:t>30.01 (10.37) [7-48)</w:t>
            </w:r>
          </w:p>
        </w:tc>
        <w:tc>
          <w:tcPr>
            <w:tcW w:w="1310" w:type="dxa"/>
            <w:shd w:val="clear" w:color="auto" w:fill="FFFFFF" w:themeFill="background1"/>
          </w:tcPr>
          <w:p w14:paraId="425E8EAE" w14:textId="77777777" w:rsidR="000E5A1A" w:rsidRPr="00836096" w:rsidRDefault="000E5A1A" w:rsidP="006072E6">
            <w:pPr>
              <w:spacing w:line="480" w:lineRule="auto"/>
              <w:jc w:val="both"/>
            </w:pPr>
            <w:r w:rsidRPr="00836096">
              <w:t>1.05 (0.46 to 1.60)</w:t>
            </w:r>
          </w:p>
        </w:tc>
        <w:tc>
          <w:tcPr>
            <w:tcW w:w="1636" w:type="dxa"/>
            <w:vMerge/>
            <w:shd w:val="clear" w:color="auto" w:fill="FFFFFF" w:themeFill="background1"/>
            <w:noWrap/>
          </w:tcPr>
          <w:p w14:paraId="409482AD" w14:textId="77777777" w:rsidR="000E5A1A" w:rsidRPr="00836096" w:rsidRDefault="000E5A1A" w:rsidP="006072E6">
            <w:pPr>
              <w:spacing w:line="480" w:lineRule="auto"/>
              <w:jc w:val="both"/>
              <w:rPr>
                <w:i/>
              </w:rPr>
            </w:pPr>
          </w:p>
        </w:tc>
        <w:tc>
          <w:tcPr>
            <w:tcW w:w="1540" w:type="dxa"/>
            <w:vMerge/>
            <w:shd w:val="clear" w:color="auto" w:fill="FFFFFF" w:themeFill="background1"/>
          </w:tcPr>
          <w:p w14:paraId="1C65FC0B"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0F82F9A1" w14:textId="77777777" w:rsidR="000E5A1A" w:rsidRPr="00836096" w:rsidRDefault="000E5A1A" w:rsidP="006072E6">
            <w:pPr>
              <w:spacing w:line="480" w:lineRule="auto"/>
              <w:jc w:val="both"/>
              <w:rPr>
                <w:i/>
              </w:rPr>
            </w:pPr>
          </w:p>
        </w:tc>
        <w:tc>
          <w:tcPr>
            <w:tcW w:w="1497" w:type="dxa"/>
            <w:vMerge/>
            <w:shd w:val="clear" w:color="auto" w:fill="FFFFFF" w:themeFill="background1"/>
          </w:tcPr>
          <w:p w14:paraId="2EAF61D7" w14:textId="77777777" w:rsidR="000E5A1A" w:rsidRPr="00836096" w:rsidRDefault="000E5A1A" w:rsidP="006072E6">
            <w:pPr>
              <w:spacing w:line="480" w:lineRule="auto"/>
              <w:jc w:val="both"/>
              <w:rPr>
                <w:i/>
              </w:rPr>
            </w:pPr>
          </w:p>
        </w:tc>
      </w:tr>
    </w:tbl>
    <w:p w14:paraId="2CED8582" w14:textId="77777777" w:rsidR="000E5A1A" w:rsidRPr="00836096" w:rsidRDefault="000E5A1A" w:rsidP="000E5A1A">
      <w:pPr>
        <w:spacing w:line="480" w:lineRule="auto"/>
        <w:jc w:val="both"/>
        <w:sectPr w:rsidR="000E5A1A" w:rsidRPr="00836096" w:rsidSect="00912B85">
          <w:pgSz w:w="15840" w:h="12240" w:orient="landscape" w:code="1"/>
          <w:pgMar w:top="1440" w:right="1440" w:bottom="1440" w:left="1440" w:header="720" w:footer="720" w:gutter="0"/>
          <w:cols w:space="720"/>
          <w:docGrid w:linePitch="360"/>
        </w:sectPr>
      </w:pPr>
      <w:r w:rsidRPr="00836096">
        <w:t xml:space="preserve">Acronyms: TFI: Tinnitus Functional Index; ISI= Insomnia Severity Index; GAD-7= Generalized Anxiety Disorder-7; PHQ-9= Patient Health Questionnarie-9; EQ-5D; VAS= </w:t>
      </w:r>
      <w:proofErr w:type="spellStart"/>
      <w:r w:rsidRPr="00836096">
        <w:t>EuroQulity</w:t>
      </w:r>
      <w:proofErr w:type="spellEnd"/>
      <w:r w:rsidRPr="00836096">
        <w:t xml:space="preserve"> of life measure, VAS= Visual analogue Scale; THS= Tinnitus Hearing Screener; TCQ= Tinnitus Cognitions Questionnaire. *Significance at </w:t>
      </w:r>
      <w:r w:rsidRPr="00836096">
        <w:rPr>
          <w:i/>
          <w:iCs/>
        </w:rPr>
        <w:t>p</w:t>
      </w:r>
      <w:r w:rsidRPr="00836096">
        <w:t xml:space="preserve"> &lt; 0.05</w:t>
      </w:r>
    </w:p>
    <w:p w14:paraId="2F27A3BF" w14:textId="77777777" w:rsidR="000E5A1A" w:rsidRPr="00836096" w:rsidRDefault="000E5A1A" w:rsidP="000E5A1A"/>
    <w:p w14:paraId="5BD02EF2" w14:textId="77777777" w:rsidR="003F00E8" w:rsidRPr="00836096" w:rsidRDefault="003F00E8" w:rsidP="00E745E8">
      <w:pPr>
        <w:spacing w:line="480" w:lineRule="auto"/>
      </w:pPr>
    </w:p>
    <w:p w14:paraId="0565C106" w14:textId="3284BFF5" w:rsidR="00E26F89" w:rsidRPr="00836096" w:rsidRDefault="003F00E8" w:rsidP="007E126C">
      <w:pPr>
        <w:pStyle w:val="Heading1"/>
      </w:pPr>
      <w:r w:rsidRPr="00836096">
        <w:t>List of Figures</w:t>
      </w:r>
    </w:p>
    <w:p w14:paraId="0027C23B" w14:textId="22141579" w:rsidR="00E26F89" w:rsidRPr="00836096" w:rsidRDefault="00E26F89" w:rsidP="00E745E8">
      <w:pPr>
        <w:spacing w:line="480" w:lineRule="auto"/>
        <w:rPr>
          <w:b/>
          <w:bCs/>
        </w:rPr>
      </w:pPr>
      <w:r w:rsidRPr="00836096">
        <w:rPr>
          <w:b/>
          <w:bCs/>
          <w:noProof/>
        </w:rPr>
        <w:drawing>
          <wp:inline distT="0" distB="0" distL="0" distR="0" wp14:anchorId="778897B3" wp14:editId="54B46F2E">
            <wp:extent cx="5720006" cy="3246490"/>
            <wp:effectExtent l="0" t="0" r="0" b="5080"/>
            <wp:docPr id="6" name="Picture 6"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3423" cy="3265456"/>
                    </a:xfrm>
                    <a:prstGeom prst="rect">
                      <a:avLst/>
                    </a:prstGeom>
                  </pic:spPr>
                </pic:pic>
              </a:graphicData>
            </a:graphic>
          </wp:inline>
        </w:drawing>
      </w:r>
    </w:p>
    <w:p w14:paraId="61435E93" w14:textId="6A1DED1B" w:rsidR="003F00E8" w:rsidRPr="00836096" w:rsidRDefault="003F00E8" w:rsidP="00E745E8">
      <w:pPr>
        <w:spacing w:line="480" w:lineRule="auto"/>
      </w:pPr>
      <w:r w:rsidRPr="00836096">
        <w:rPr>
          <w:b/>
          <w:bCs/>
        </w:rPr>
        <w:t xml:space="preserve">Figure 1: </w:t>
      </w:r>
      <w:r w:rsidRPr="00836096">
        <w:t>Study profile</w:t>
      </w:r>
    </w:p>
    <w:p w14:paraId="75CB05AC" w14:textId="3DA01DBE" w:rsidR="00EF22EE" w:rsidRPr="00836096" w:rsidRDefault="00EF22EE" w:rsidP="00E745E8">
      <w:pPr>
        <w:spacing w:line="480" w:lineRule="auto"/>
      </w:pPr>
      <w:r w:rsidRPr="00836096">
        <w:rPr>
          <w:noProof/>
        </w:rPr>
        <w:lastRenderedPageBreak/>
        <w:drawing>
          <wp:inline distT="0" distB="0" distL="0" distR="0" wp14:anchorId="42A1D305" wp14:editId="2461D74C">
            <wp:extent cx="5392958" cy="3013712"/>
            <wp:effectExtent l="0" t="0" r="508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pic:nvPicPr>
                  <pic:blipFill>
                    <a:blip r:embed="rId20">
                      <a:extLst>
                        <a:ext uri="{28A0092B-C50C-407E-A947-70E740481C1C}">
                          <a14:useLocalDpi xmlns:a14="http://schemas.microsoft.com/office/drawing/2010/main" val="0"/>
                        </a:ext>
                      </a:extLst>
                    </a:blip>
                    <a:stretch>
                      <a:fillRect/>
                    </a:stretch>
                  </pic:blipFill>
                  <pic:spPr>
                    <a:xfrm>
                      <a:off x="0" y="0"/>
                      <a:ext cx="5419406" cy="3028492"/>
                    </a:xfrm>
                    <a:prstGeom prst="rect">
                      <a:avLst/>
                    </a:prstGeom>
                  </pic:spPr>
                </pic:pic>
              </a:graphicData>
            </a:graphic>
          </wp:inline>
        </w:drawing>
      </w:r>
    </w:p>
    <w:p w14:paraId="70902728" w14:textId="7D3713E2" w:rsidR="003F00E8" w:rsidRPr="00836096" w:rsidRDefault="003F00E8" w:rsidP="00E745E8">
      <w:pPr>
        <w:spacing w:line="480" w:lineRule="auto"/>
        <w:rPr>
          <w:lang w:val="fi-FI"/>
        </w:rPr>
      </w:pPr>
      <w:r w:rsidRPr="00836096">
        <w:rPr>
          <w:b/>
          <w:bCs/>
        </w:rPr>
        <w:t>Figure 2:</w:t>
      </w:r>
      <w:r w:rsidRPr="00836096">
        <w:t xml:space="preserve"> </w:t>
      </w:r>
      <w:r w:rsidRPr="00836096">
        <w:rPr>
          <w:lang w:val="fi-FI"/>
        </w:rPr>
        <w:t>Change in tinnitus distress over time as measured by the Tinnitus Functional Index at Baseline, after the intervention and at 1-year post-intervention.</w:t>
      </w:r>
    </w:p>
    <w:p w14:paraId="4502CD65" w14:textId="6F0879FF" w:rsidR="00E26F89" w:rsidRPr="00836096" w:rsidRDefault="00E26F89" w:rsidP="00E745E8">
      <w:pPr>
        <w:spacing w:line="480" w:lineRule="auto"/>
        <w:rPr>
          <w:lang w:val="fi-FI"/>
        </w:rPr>
      </w:pPr>
    </w:p>
    <w:p w14:paraId="333D1F8D" w14:textId="0F758F66" w:rsidR="00E26F89" w:rsidRPr="00836096" w:rsidRDefault="00E26F89" w:rsidP="00E745E8">
      <w:pPr>
        <w:spacing w:line="480" w:lineRule="auto"/>
        <w:rPr>
          <w:lang w:val="fi-FI"/>
        </w:rPr>
      </w:pPr>
    </w:p>
    <w:p w14:paraId="2C0AE2A5" w14:textId="071250AC" w:rsidR="00E26F89" w:rsidRPr="00836096" w:rsidRDefault="00FE36DB" w:rsidP="00E745E8">
      <w:pPr>
        <w:spacing w:line="480" w:lineRule="auto"/>
        <w:rPr>
          <w:lang w:val="fi-FI"/>
        </w:rPr>
      </w:pPr>
      <w:r w:rsidRPr="00836096">
        <w:rPr>
          <w:noProof/>
        </w:rPr>
        <w:lastRenderedPageBreak/>
        <w:drawing>
          <wp:inline distT="0" distB="0" distL="0" distR="0" wp14:anchorId="64AD8AC8" wp14:editId="6A2BA95B">
            <wp:extent cx="7782412" cy="3786038"/>
            <wp:effectExtent l="0" t="0" r="3175" b="0"/>
            <wp:docPr id="7" name="Picture 7"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3"/>
                    <pic:cNvPicPr/>
                  </pic:nvPicPr>
                  <pic:blipFill>
                    <a:blip r:embed="rId21">
                      <a:extLst>
                        <a:ext uri="{28A0092B-C50C-407E-A947-70E740481C1C}">
                          <a14:useLocalDpi xmlns:a14="http://schemas.microsoft.com/office/drawing/2010/main" val="0"/>
                        </a:ext>
                      </a:extLst>
                    </a:blip>
                    <a:stretch>
                      <a:fillRect/>
                    </a:stretch>
                  </pic:blipFill>
                  <pic:spPr>
                    <a:xfrm>
                      <a:off x="0" y="0"/>
                      <a:ext cx="7794278" cy="3791811"/>
                    </a:xfrm>
                    <a:prstGeom prst="rect">
                      <a:avLst/>
                    </a:prstGeom>
                  </pic:spPr>
                </pic:pic>
              </a:graphicData>
            </a:graphic>
          </wp:inline>
        </w:drawing>
      </w:r>
    </w:p>
    <w:p w14:paraId="6A641F80" w14:textId="625AA8AA" w:rsidR="00241802" w:rsidRPr="00836096" w:rsidRDefault="003F00E8" w:rsidP="00E745E8">
      <w:pPr>
        <w:spacing w:line="480" w:lineRule="auto"/>
        <w:rPr>
          <w:lang w:val="en-US"/>
        </w:rPr>
      </w:pPr>
      <w:r w:rsidRPr="00836096">
        <w:rPr>
          <w:b/>
          <w:bCs/>
          <w:lang w:val="fi-FI"/>
        </w:rPr>
        <w:t>Figure 3:</w:t>
      </w:r>
      <w:r w:rsidRPr="00836096">
        <w:rPr>
          <w:lang w:val="fi-FI"/>
        </w:rPr>
        <w:t xml:space="preserve"> </w:t>
      </w:r>
      <w:r w:rsidRPr="00836096">
        <w:rPr>
          <w:bCs/>
        </w:rPr>
        <w:t>Change in Tinnitus severity and tinnitus qualities during the 8 weeks of the intervention</w:t>
      </w:r>
    </w:p>
    <w:p w14:paraId="20B54D70" w14:textId="7D6A52A3" w:rsidR="003F00E8" w:rsidRPr="00836096" w:rsidRDefault="003F00E8" w:rsidP="00E745E8">
      <w:pPr>
        <w:spacing w:line="480" w:lineRule="auto"/>
        <w:rPr>
          <w:lang w:val="en-US"/>
        </w:rPr>
      </w:pPr>
    </w:p>
    <w:p w14:paraId="72F13CF6" w14:textId="724C0F15" w:rsidR="00527827" w:rsidRPr="00836096" w:rsidRDefault="00527827" w:rsidP="00E745E8">
      <w:pPr>
        <w:spacing w:line="480" w:lineRule="auto"/>
        <w:rPr>
          <w:lang w:val="en-US"/>
        </w:rPr>
      </w:pPr>
      <w:r w:rsidRPr="00836096">
        <w:rPr>
          <w:lang w:val="en-US"/>
        </w:rPr>
        <w:t>Data Availability</w:t>
      </w:r>
    </w:p>
    <w:p w14:paraId="6AEB91EF" w14:textId="1826127D" w:rsidR="00527827" w:rsidRPr="00836096" w:rsidRDefault="00527827" w:rsidP="00E745E8">
      <w:pPr>
        <w:spacing w:line="480" w:lineRule="auto"/>
        <w:rPr>
          <w:lang w:val="en-US"/>
        </w:rPr>
      </w:pPr>
      <w:r w:rsidRPr="00836096">
        <w:rPr>
          <w:shd w:val="clear" w:color="auto" w:fill="FFFFFF"/>
          <w:lang w:val="en-US"/>
        </w:rPr>
        <w:t xml:space="preserve">Data is available in </w:t>
      </w:r>
      <w:proofErr w:type="spellStart"/>
      <w:r w:rsidRPr="00836096">
        <w:rPr>
          <w:shd w:val="clear" w:color="auto" w:fill="FFFFFF"/>
          <w:lang w:val="en-US"/>
        </w:rPr>
        <w:t>Figshare</w:t>
      </w:r>
      <w:proofErr w:type="spellEnd"/>
      <w:r w:rsidRPr="00836096">
        <w:rPr>
          <w:shd w:val="clear" w:color="auto" w:fill="FFFFFF"/>
          <w:lang w:val="en-US"/>
        </w:rPr>
        <w:t xml:space="preserve"> at </w:t>
      </w:r>
      <w:hyperlink r:id="rId22" w:history="1">
        <w:r w:rsidRPr="00836096">
          <w:rPr>
            <w:rStyle w:val="Hyperlink"/>
            <w:color w:val="auto"/>
            <w:shd w:val="clear" w:color="auto" w:fill="FFFFFF"/>
            <w:lang w:val="en-US"/>
          </w:rPr>
          <w:t>http://doi.org/</w:t>
        </w:r>
        <w:r w:rsidRPr="00836096">
          <w:rPr>
            <w:rStyle w:val="Hyperlink"/>
            <w:color w:val="auto"/>
            <w:lang w:val="en-US"/>
          </w:rPr>
          <w:t>10.6084/m9.figshare.13678711</w:t>
        </w:r>
      </w:hyperlink>
      <w:r w:rsidRPr="00836096">
        <w:rPr>
          <w:lang w:val="en-US"/>
        </w:rPr>
        <w:t>.</w:t>
      </w:r>
    </w:p>
    <w:sectPr w:rsidR="00527827" w:rsidRPr="00836096" w:rsidSect="000249F6">
      <w:pgSz w:w="16840" w:h="11900" w:orient="landscape"/>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AE380" w14:textId="77777777" w:rsidR="001775B6" w:rsidRDefault="001775B6">
      <w:r>
        <w:separator/>
      </w:r>
    </w:p>
  </w:endnote>
  <w:endnote w:type="continuationSeparator" w:id="0">
    <w:p w14:paraId="21A42386" w14:textId="77777777" w:rsidR="001775B6" w:rsidRDefault="0017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altName w:val="﷽﷽﷽﷽﷽﷽﷽﷽"/>
    <w:panose1 w:val="02020603050405020304"/>
    <w:charset w:val="00"/>
    <w:family w:val="auto"/>
    <w:pitch w:val="variable"/>
    <w:sig w:usb0="E0002EFF" w:usb1="D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B123" w14:textId="77777777" w:rsidR="00DD65D4" w:rsidRDefault="00DD65D4">
    <w:pPr>
      <w:pStyle w:val="Footer"/>
      <w:jc w:val="right"/>
    </w:pPr>
  </w:p>
  <w:p w14:paraId="28DC2C63" w14:textId="77777777" w:rsidR="00DD65D4" w:rsidRDefault="00DD65D4">
    <w:pPr>
      <w:pStyle w:val="Footer"/>
    </w:pPr>
  </w:p>
  <w:p w14:paraId="219F8CF0" w14:textId="77777777" w:rsidR="00DD65D4" w:rsidRDefault="00DD65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A2D68" w14:textId="77777777" w:rsidR="001775B6" w:rsidRDefault="001775B6">
      <w:r>
        <w:separator/>
      </w:r>
    </w:p>
  </w:footnote>
  <w:footnote w:type="continuationSeparator" w:id="0">
    <w:p w14:paraId="21E1F333" w14:textId="77777777" w:rsidR="001775B6" w:rsidRDefault="00177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6282928"/>
      <w:docPartObj>
        <w:docPartGallery w:val="Page Numbers (Top of Page)"/>
        <w:docPartUnique/>
      </w:docPartObj>
    </w:sdtPr>
    <w:sdtEndPr>
      <w:rPr>
        <w:rStyle w:val="PageNumber"/>
      </w:rPr>
    </w:sdtEndPr>
    <w:sdtContent>
      <w:p w14:paraId="2614B632" w14:textId="77777777" w:rsidR="00DD65D4" w:rsidRDefault="00DD65D4" w:rsidP="0024180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9E74F5" w14:textId="77777777" w:rsidR="00DD65D4" w:rsidRDefault="00DD65D4" w:rsidP="0024180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190874"/>
      <w:docPartObj>
        <w:docPartGallery w:val="Page Numbers (Top of Page)"/>
        <w:docPartUnique/>
      </w:docPartObj>
    </w:sdtPr>
    <w:sdtEndPr>
      <w:rPr>
        <w:rStyle w:val="PageNumber"/>
      </w:rPr>
    </w:sdtEndPr>
    <w:sdtContent>
      <w:p w14:paraId="32432631" w14:textId="6849E309" w:rsidR="00DD65D4" w:rsidRDefault="00DD65D4" w:rsidP="0024180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36096">
          <w:rPr>
            <w:rStyle w:val="PageNumber"/>
            <w:noProof/>
          </w:rPr>
          <w:t>3</w:t>
        </w:r>
        <w:r>
          <w:rPr>
            <w:rStyle w:val="PageNumber"/>
          </w:rPr>
          <w:fldChar w:fldCharType="end"/>
        </w:r>
      </w:p>
    </w:sdtContent>
  </w:sdt>
  <w:p w14:paraId="551CEEDB" w14:textId="77777777" w:rsidR="00DD65D4" w:rsidRDefault="00DD65D4" w:rsidP="0024180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935"/>
    <w:multiLevelType w:val="hybridMultilevel"/>
    <w:tmpl w:val="63D680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D11FE3"/>
    <w:multiLevelType w:val="hybridMultilevel"/>
    <w:tmpl w:val="05304600"/>
    <w:lvl w:ilvl="0" w:tplc="08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D3AF2"/>
    <w:multiLevelType w:val="multilevel"/>
    <w:tmpl w:val="D08ABB4E"/>
    <w:lvl w:ilvl="0">
      <w:start w:val="1"/>
      <w:numFmt w:val="decimal"/>
      <w:lvlText w:val="%1."/>
      <w:lvlJc w:val="left"/>
      <w:pPr>
        <w:ind w:left="720" w:hanging="360"/>
      </w:pPr>
      <w:rPr>
        <w:rFonts w:cs="Times New Roman"/>
      </w:rPr>
    </w:lvl>
    <w:lvl w:ilvl="1">
      <w:start w:val="2"/>
      <w:numFmt w:val="decimal"/>
      <w:lvlText w:val="%1.%2"/>
      <w:lvlJc w:val="left"/>
      <w:pPr>
        <w:ind w:left="720" w:hanging="360"/>
      </w:pPr>
      <w:rPr>
        <w:rFonts w:cs="Times New Roman"/>
        <w:b/>
      </w:rPr>
    </w:lvl>
    <w:lvl w:ilvl="2">
      <w:start w:val="1"/>
      <w:numFmt w:val="decimal"/>
      <w:lvlText w:val="%1.%2.%3"/>
      <w:lvlJc w:val="left"/>
      <w:pPr>
        <w:ind w:left="1080" w:hanging="720"/>
      </w:pPr>
      <w:rPr>
        <w:rFonts w:cs="Times New Roman"/>
        <w:b/>
      </w:rPr>
    </w:lvl>
    <w:lvl w:ilvl="3">
      <w:start w:val="1"/>
      <w:numFmt w:val="decimal"/>
      <w:lvlText w:val="%1.%2.%3.%4"/>
      <w:lvlJc w:val="left"/>
      <w:pPr>
        <w:ind w:left="1080" w:hanging="720"/>
      </w:pPr>
      <w:rPr>
        <w:rFonts w:cs="Times New Roman"/>
        <w:b/>
      </w:rPr>
    </w:lvl>
    <w:lvl w:ilvl="4">
      <w:start w:val="1"/>
      <w:numFmt w:val="decimal"/>
      <w:lvlText w:val="%1.%2.%3.%4.%5"/>
      <w:lvlJc w:val="left"/>
      <w:pPr>
        <w:ind w:left="1440" w:hanging="1080"/>
      </w:pPr>
      <w:rPr>
        <w:rFonts w:cs="Times New Roman"/>
        <w:b/>
      </w:rPr>
    </w:lvl>
    <w:lvl w:ilvl="5">
      <w:start w:val="1"/>
      <w:numFmt w:val="decimal"/>
      <w:lvlText w:val="%1.%2.%3.%4.%5.%6"/>
      <w:lvlJc w:val="left"/>
      <w:pPr>
        <w:ind w:left="1440" w:hanging="1080"/>
      </w:pPr>
      <w:rPr>
        <w:rFonts w:cs="Times New Roman"/>
        <w:b/>
      </w:rPr>
    </w:lvl>
    <w:lvl w:ilvl="6">
      <w:start w:val="1"/>
      <w:numFmt w:val="decimal"/>
      <w:lvlText w:val="%1.%2.%3.%4.%5.%6.%7"/>
      <w:lvlJc w:val="left"/>
      <w:pPr>
        <w:ind w:left="1800" w:hanging="1440"/>
      </w:pPr>
      <w:rPr>
        <w:rFonts w:cs="Times New Roman"/>
        <w:b/>
      </w:rPr>
    </w:lvl>
    <w:lvl w:ilvl="7">
      <w:start w:val="1"/>
      <w:numFmt w:val="decimal"/>
      <w:lvlText w:val="%1.%2.%3.%4.%5.%6.%7.%8"/>
      <w:lvlJc w:val="left"/>
      <w:pPr>
        <w:ind w:left="1800" w:hanging="1440"/>
      </w:pPr>
      <w:rPr>
        <w:rFonts w:cs="Times New Roman"/>
        <w:b/>
      </w:rPr>
    </w:lvl>
    <w:lvl w:ilvl="8">
      <w:start w:val="1"/>
      <w:numFmt w:val="decimal"/>
      <w:lvlText w:val="%1.%2.%3.%4.%5.%6.%7.%8.%9"/>
      <w:lvlJc w:val="left"/>
      <w:pPr>
        <w:ind w:left="2160" w:hanging="1800"/>
      </w:pPr>
      <w:rPr>
        <w:rFonts w:cs="Times New Roman"/>
        <w:b/>
      </w:rPr>
    </w:lvl>
  </w:abstractNum>
  <w:abstractNum w:abstractNumId="3" w15:restartNumberingAfterBreak="0">
    <w:nsid w:val="11CF6DF9"/>
    <w:multiLevelType w:val="hybridMultilevel"/>
    <w:tmpl w:val="7C7E82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E08F3"/>
    <w:multiLevelType w:val="hybridMultilevel"/>
    <w:tmpl w:val="C9E61FF8"/>
    <w:lvl w:ilvl="0" w:tplc="D860871E">
      <w:start w:val="1"/>
      <w:numFmt w:val="decimal"/>
      <w:lvlText w:val="%1."/>
      <w:lvlJc w:val="left"/>
      <w:pPr>
        <w:ind w:left="720" w:hanging="360"/>
      </w:pPr>
      <w:rPr>
        <w:rFonts w:ascii="Times New Roman" w:hAnsi="Times New Roman" w:cs="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F54EAF"/>
    <w:multiLevelType w:val="hybridMultilevel"/>
    <w:tmpl w:val="D236182E"/>
    <w:lvl w:ilvl="0" w:tplc="C86EBCEA">
      <w:start w:val="1"/>
      <w:numFmt w:val="lowerRoman"/>
      <w:lvlText w:val="%1)"/>
      <w:lvlJc w:val="left"/>
      <w:pPr>
        <w:ind w:left="1440" w:hanging="720"/>
      </w:pPr>
      <w:rPr>
        <w:rFonts w:eastAsiaTheme="min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C8E7560"/>
    <w:multiLevelType w:val="hybridMultilevel"/>
    <w:tmpl w:val="8AA0B6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E441DBB"/>
    <w:multiLevelType w:val="hybridMultilevel"/>
    <w:tmpl w:val="84F6589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DD84478"/>
    <w:multiLevelType w:val="multilevel"/>
    <w:tmpl w:val="EE1E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F6319A"/>
    <w:multiLevelType w:val="hybridMultilevel"/>
    <w:tmpl w:val="5D563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80FDF"/>
    <w:multiLevelType w:val="hybridMultilevel"/>
    <w:tmpl w:val="0B02A00A"/>
    <w:lvl w:ilvl="0" w:tplc="04090005">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8C29D3"/>
    <w:multiLevelType w:val="hybridMultilevel"/>
    <w:tmpl w:val="587AC4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283482"/>
    <w:multiLevelType w:val="hybridMultilevel"/>
    <w:tmpl w:val="475C10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F316A"/>
    <w:multiLevelType w:val="multilevel"/>
    <w:tmpl w:val="F202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10"/>
  </w:num>
  <w:num w:numId="4">
    <w:abstractNumId w:val="2"/>
  </w:num>
  <w:num w:numId="5">
    <w:abstractNumId w:val="6"/>
  </w:num>
  <w:num w:numId="6">
    <w:abstractNumId w:val="12"/>
  </w:num>
  <w:num w:numId="7">
    <w:abstractNumId w:val="9"/>
  </w:num>
  <w:num w:numId="8">
    <w:abstractNumId w:val="7"/>
  </w:num>
  <w:num w:numId="9">
    <w:abstractNumId w:val="3"/>
  </w:num>
  <w:num w:numId="10">
    <w:abstractNumId w:val="1"/>
  </w:num>
  <w:num w:numId="11">
    <w:abstractNumId w:val="4"/>
  </w:num>
  <w:num w:numId="12">
    <w:abstractNumId w:val="0"/>
  </w:num>
  <w:num w:numId="13">
    <w:abstractNumId w:val="5"/>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25"/>
    <w:rsid w:val="00002745"/>
    <w:rsid w:val="000249F6"/>
    <w:rsid w:val="000554E4"/>
    <w:rsid w:val="00062160"/>
    <w:rsid w:val="000928BD"/>
    <w:rsid w:val="000A24A9"/>
    <w:rsid w:val="000D3661"/>
    <w:rsid w:val="000E5A1A"/>
    <w:rsid w:val="001109B8"/>
    <w:rsid w:val="0015029F"/>
    <w:rsid w:val="001775B6"/>
    <w:rsid w:val="001A5CB8"/>
    <w:rsid w:val="002160C2"/>
    <w:rsid w:val="00237344"/>
    <w:rsid w:val="00241802"/>
    <w:rsid w:val="00301D6D"/>
    <w:rsid w:val="003314AB"/>
    <w:rsid w:val="00345C8D"/>
    <w:rsid w:val="003C388E"/>
    <w:rsid w:val="003F00E8"/>
    <w:rsid w:val="005069AD"/>
    <w:rsid w:val="00521CB4"/>
    <w:rsid w:val="00527827"/>
    <w:rsid w:val="00553D7E"/>
    <w:rsid w:val="00593C93"/>
    <w:rsid w:val="005A1CB4"/>
    <w:rsid w:val="005D1F2D"/>
    <w:rsid w:val="006424A6"/>
    <w:rsid w:val="006822FF"/>
    <w:rsid w:val="00695F0A"/>
    <w:rsid w:val="006A0D36"/>
    <w:rsid w:val="007732CD"/>
    <w:rsid w:val="007E126C"/>
    <w:rsid w:val="007E59EE"/>
    <w:rsid w:val="00817EF7"/>
    <w:rsid w:val="00836096"/>
    <w:rsid w:val="008A2C5A"/>
    <w:rsid w:val="008A489B"/>
    <w:rsid w:val="008E56FF"/>
    <w:rsid w:val="00A315AB"/>
    <w:rsid w:val="00A52344"/>
    <w:rsid w:val="00A53D65"/>
    <w:rsid w:val="00A86699"/>
    <w:rsid w:val="00AF5FD9"/>
    <w:rsid w:val="00B84125"/>
    <w:rsid w:val="00BA39F7"/>
    <w:rsid w:val="00BF772E"/>
    <w:rsid w:val="00C35393"/>
    <w:rsid w:val="00C7103D"/>
    <w:rsid w:val="00CB7498"/>
    <w:rsid w:val="00CD5EDB"/>
    <w:rsid w:val="00DB2CE7"/>
    <w:rsid w:val="00DD46ED"/>
    <w:rsid w:val="00DD65D4"/>
    <w:rsid w:val="00E11920"/>
    <w:rsid w:val="00E26F89"/>
    <w:rsid w:val="00E61A6B"/>
    <w:rsid w:val="00E7268F"/>
    <w:rsid w:val="00E73677"/>
    <w:rsid w:val="00E745E8"/>
    <w:rsid w:val="00E8633A"/>
    <w:rsid w:val="00EF22EE"/>
    <w:rsid w:val="00F65477"/>
    <w:rsid w:val="00F756FA"/>
    <w:rsid w:val="00FE36DB"/>
    <w:rsid w:val="00FE61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FAFA43"/>
  <w15:chartTrackingRefBased/>
  <w15:docId w15:val="{F848403B-664F-A148-B7C1-4DC9719F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125"/>
    <w:rPr>
      <w:rFonts w:ascii="Times New Roman" w:eastAsia="Times New Roman" w:hAnsi="Times New Roman" w:cs="Times New Roman"/>
      <w:lang w:eastAsia="en-GB"/>
    </w:rPr>
  </w:style>
  <w:style w:type="paragraph" w:styleId="Heading1">
    <w:name w:val="heading 1"/>
    <w:basedOn w:val="Normal"/>
    <w:link w:val="Heading1Char"/>
    <w:autoRedefine/>
    <w:uiPriority w:val="9"/>
    <w:qFormat/>
    <w:rsid w:val="007E126C"/>
    <w:pPr>
      <w:spacing w:line="480" w:lineRule="auto"/>
      <w:jc w:val="both"/>
      <w:outlineLvl w:val="0"/>
    </w:pPr>
    <w:rPr>
      <w:b/>
      <w:color w:val="000000" w:themeColor="text1"/>
      <w:kern w:val="36"/>
      <w:szCs w:val="28"/>
      <w:lang w:val="en-US"/>
    </w:rPr>
  </w:style>
  <w:style w:type="paragraph" w:styleId="Heading2">
    <w:name w:val="heading 2"/>
    <w:basedOn w:val="Normal"/>
    <w:link w:val="Heading2Char"/>
    <w:autoRedefine/>
    <w:uiPriority w:val="9"/>
    <w:qFormat/>
    <w:rsid w:val="007E126C"/>
    <w:pPr>
      <w:spacing w:line="480" w:lineRule="auto"/>
      <w:ind w:left="720"/>
      <w:outlineLvl w:val="1"/>
    </w:pPr>
    <w:rPr>
      <w:b/>
      <w:bCs/>
      <w:lang w:val="en-US"/>
    </w:rPr>
  </w:style>
  <w:style w:type="paragraph" w:styleId="Heading3">
    <w:name w:val="heading 3"/>
    <w:basedOn w:val="Normal"/>
    <w:next w:val="Normal"/>
    <w:link w:val="Heading3Char"/>
    <w:autoRedefine/>
    <w:uiPriority w:val="9"/>
    <w:unhideWhenUsed/>
    <w:qFormat/>
    <w:rsid w:val="00E7268F"/>
    <w:pPr>
      <w:keepNext/>
      <w:keepLines/>
      <w:spacing w:before="40" w:line="276" w:lineRule="auto"/>
      <w:outlineLvl w:val="2"/>
    </w:pPr>
    <w:rPr>
      <w:rFonts w:asciiTheme="majorHAnsi" w:eastAsiaTheme="majorEastAsia" w:hAnsiTheme="majorHAnsi" w:cstheme="majorBidi"/>
      <w:b/>
      <w:color w:val="000000" w:themeColor="text1"/>
    </w:rPr>
  </w:style>
  <w:style w:type="paragraph" w:styleId="Heading4">
    <w:name w:val="heading 4"/>
    <w:basedOn w:val="Normal"/>
    <w:next w:val="Normal"/>
    <w:link w:val="Heading4Char"/>
    <w:uiPriority w:val="9"/>
    <w:unhideWhenUsed/>
    <w:qFormat/>
    <w:rsid w:val="003F00E8"/>
    <w:pPr>
      <w:keepNext/>
      <w:keepLines/>
      <w:spacing w:before="40" w:line="480" w:lineRule="auto"/>
      <w:outlineLvl w:val="3"/>
    </w:pPr>
    <w:rPr>
      <w:rFonts w:eastAsiaTheme="majorEastAsia" w:cstheme="majorBidi"/>
      <w:i/>
      <w:iCs/>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268F"/>
    <w:rPr>
      <w:rFonts w:asciiTheme="majorHAnsi" w:eastAsiaTheme="majorEastAsia" w:hAnsiTheme="majorHAnsi" w:cstheme="majorBidi"/>
      <w:b/>
      <w:color w:val="000000" w:themeColor="text1"/>
    </w:rPr>
  </w:style>
  <w:style w:type="character" w:customStyle="1" w:styleId="Heading1Char">
    <w:name w:val="Heading 1 Char"/>
    <w:basedOn w:val="DefaultParagraphFont"/>
    <w:link w:val="Heading1"/>
    <w:uiPriority w:val="9"/>
    <w:rsid w:val="007E126C"/>
    <w:rPr>
      <w:rFonts w:ascii="Times New Roman" w:eastAsia="Times New Roman" w:hAnsi="Times New Roman" w:cs="Times New Roman"/>
      <w:b/>
      <w:color w:val="000000" w:themeColor="text1"/>
      <w:kern w:val="36"/>
      <w:szCs w:val="28"/>
      <w:lang w:val="en-US" w:eastAsia="en-GB"/>
    </w:rPr>
  </w:style>
  <w:style w:type="character" w:customStyle="1" w:styleId="Heading2Char">
    <w:name w:val="Heading 2 Char"/>
    <w:basedOn w:val="DefaultParagraphFont"/>
    <w:link w:val="Heading2"/>
    <w:uiPriority w:val="9"/>
    <w:rsid w:val="007E126C"/>
    <w:rPr>
      <w:rFonts w:ascii="Times New Roman" w:eastAsia="Times New Roman" w:hAnsi="Times New Roman" w:cs="Times New Roman"/>
      <w:b/>
      <w:bCs/>
      <w:lang w:val="en-US" w:eastAsia="en-GB"/>
    </w:rPr>
  </w:style>
  <w:style w:type="paragraph" w:styleId="Bibliography">
    <w:name w:val="Bibliography"/>
    <w:basedOn w:val="Normal"/>
    <w:next w:val="Normal"/>
    <w:uiPriority w:val="37"/>
    <w:unhideWhenUsed/>
    <w:rsid w:val="00B84125"/>
    <w:pPr>
      <w:spacing w:line="480" w:lineRule="auto"/>
    </w:pPr>
    <w:rPr>
      <w:rFonts w:eastAsiaTheme="minorHAnsi" w:cstheme="minorBidi"/>
      <w:szCs w:val="22"/>
      <w:lang w:val="en-US" w:eastAsia="en-US"/>
    </w:rPr>
  </w:style>
  <w:style w:type="paragraph" w:styleId="BalloonText">
    <w:name w:val="Balloon Text"/>
    <w:basedOn w:val="Normal"/>
    <w:link w:val="BalloonTextChar"/>
    <w:uiPriority w:val="99"/>
    <w:semiHidden/>
    <w:unhideWhenUsed/>
    <w:rsid w:val="00B84125"/>
    <w:rPr>
      <w:sz w:val="18"/>
      <w:szCs w:val="18"/>
    </w:rPr>
  </w:style>
  <w:style w:type="character" w:customStyle="1" w:styleId="BalloonTextChar">
    <w:name w:val="Balloon Text Char"/>
    <w:basedOn w:val="DefaultParagraphFont"/>
    <w:link w:val="BalloonText"/>
    <w:uiPriority w:val="99"/>
    <w:semiHidden/>
    <w:rsid w:val="00B84125"/>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3314AB"/>
    <w:rPr>
      <w:color w:val="0000FF"/>
      <w:u w:val="single"/>
    </w:rPr>
  </w:style>
  <w:style w:type="character" w:customStyle="1" w:styleId="Heading4Char">
    <w:name w:val="Heading 4 Char"/>
    <w:basedOn w:val="DefaultParagraphFont"/>
    <w:link w:val="Heading4"/>
    <w:uiPriority w:val="9"/>
    <w:rsid w:val="003F00E8"/>
    <w:rPr>
      <w:rFonts w:ascii="Times New Roman" w:eastAsiaTheme="majorEastAsia" w:hAnsi="Times New Roman" w:cstheme="majorBidi"/>
      <w:i/>
      <w:iCs/>
      <w:szCs w:val="22"/>
      <w:lang w:val="en-US"/>
    </w:rPr>
  </w:style>
  <w:style w:type="paragraph" w:styleId="ListParagraph">
    <w:name w:val="List Paragraph"/>
    <w:basedOn w:val="Normal"/>
    <w:uiPriority w:val="34"/>
    <w:qFormat/>
    <w:rsid w:val="003F00E8"/>
    <w:pPr>
      <w:spacing w:line="480" w:lineRule="auto"/>
      <w:ind w:left="720"/>
      <w:contextualSpacing/>
    </w:pPr>
    <w:rPr>
      <w:rFonts w:eastAsiaTheme="minorHAnsi" w:cstheme="minorBidi"/>
      <w:szCs w:val="22"/>
      <w:lang w:val="en-US" w:eastAsia="en-US"/>
    </w:rPr>
  </w:style>
  <w:style w:type="paragraph" w:styleId="NormalWeb">
    <w:name w:val="Normal (Web)"/>
    <w:basedOn w:val="Normal"/>
    <w:uiPriority w:val="99"/>
    <w:unhideWhenUsed/>
    <w:rsid w:val="003F00E8"/>
    <w:pPr>
      <w:spacing w:before="100" w:beforeAutospacing="1" w:after="100" w:afterAutospacing="1"/>
    </w:pPr>
    <w:rPr>
      <w:rFonts w:ascii="Times" w:hAnsi="Times"/>
      <w:sz w:val="20"/>
      <w:szCs w:val="20"/>
    </w:rPr>
  </w:style>
  <w:style w:type="table" w:styleId="TableGrid">
    <w:name w:val="Table Grid"/>
    <w:basedOn w:val="TableNormal"/>
    <w:uiPriority w:val="39"/>
    <w:rsid w:val="003F00E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00E8"/>
    <w:rPr>
      <w:sz w:val="16"/>
      <w:szCs w:val="16"/>
    </w:rPr>
  </w:style>
  <w:style w:type="paragraph" w:styleId="CommentText">
    <w:name w:val="annotation text"/>
    <w:basedOn w:val="Normal"/>
    <w:link w:val="CommentTextChar"/>
    <w:uiPriority w:val="99"/>
    <w:semiHidden/>
    <w:unhideWhenUsed/>
    <w:rsid w:val="003F00E8"/>
    <w:rPr>
      <w:sz w:val="20"/>
      <w:szCs w:val="20"/>
    </w:rPr>
  </w:style>
  <w:style w:type="character" w:customStyle="1" w:styleId="CommentTextChar">
    <w:name w:val="Comment Text Char"/>
    <w:basedOn w:val="DefaultParagraphFont"/>
    <w:link w:val="CommentText"/>
    <w:uiPriority w:val="99"/>
    <w:semiHidden/>
    <w:rsid w:val="003F00E8"/>
    <w:rPr>
      <w:rFonts w:ascii="Times New Roman" w:eastAsia="Times New Roman" w:hAnsi="Times New Roman" w:cs="Times New Roman"/>
      <w:sz w:val="20"/>
      <w:szCs w:val="20"/>
      <w:lang w:eastAsia="en-GB"/>
    </w:rPr>
  </w:style>
  <w:style w:type="paragraph" w:styleId="Header">
    <w:name w:val="header"/>
    <w:basedOn w:val="Normal"/>
    <w:link w:val="HeaderChar"/>
    <w:uiPriority w:val="99"/>
    <w:unhideWhenUsed/>
    <w:rsid w:val="003F00E8"/>
    <w:pPr>
      <w:tabs>
        <w:tab w:val="center" w:pos="4513"/>
        <w:tab w:val="right" w:pos="9026"/>
      </w:tabs>
    </w:pPr>
  </w:style>
  <w:style w:type="character" w:customStyle="1" w:styleId="HeaderChar">
    <w:name w:val="Header Char"/>
    <w:basedOn w:val="DefaultParagraphFont"/>
    <w:link w:val="Header"/>
    <w:uiPriority w:val="99"/>
    <w:rsid w:val="003F00E8"/>
    <w:rPr>
      <w:rFonts w:ascii="Times New Roman" w:eastAsia="Times New Roman" w:hAnsi="Times New Roman" w:cs="Times New Roman"/>
      <w:lang w:eastAsia="en-GB"/>
    </w:rPr>
  </w:style>
  <w:style w:type="paragraph" w:styleId="Footer">
    <w:name w:val="footer"/>
    <w:basedOn w:val="Normal"/>
    <w:link w:val="FooterChar"/>
    <w:uiPriority w:val="99"/>
    <w:unhideWhenUsed/>
    <w:rsid w:val="003F00E8"/>
    <w:pPr>
      <w:tabs>
        <w:tab w:val="center" w:pos="4513"/>
        <w:tab w:val="right" w:pos="9026"/>
      </w:tabs>
    </w:pPr>
  </w:style>
  <w:style w:type="character" w:customStyle="1" w:styleId="FooterChar">
    <w:name w:val="Footer Char"/>
    <w:basedOn w:val="DefaultParagraphFont"/>
    <w:link w:val="Footer"/>
    <w:uiPriority w:val="99"/>
    <w:rsid w:val="003F00E8"/>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3F00E8"/>
    <w:rPr>
      <w:b/>
      <w:bCs/>
    </w:rPr>
  </w:style>
  <w:style w:type="character" w:customStyle="1" w:styleId="CommentSubjectChar">
    <w:name w:val="Comment Subject Char"/>
    <w:basedOn w:val="CommentTextChar"/>
    <w:link w:val="CommentSubject"/>
    <w:uiPriority w:val="99"/>
    <w:semiHidden/>
    <w:rsid w:val="003F00E8"/>
    <w:rPr>
      <w:rFonts w:ascii="Times New Roman" w:eastAsia="Times New Roman" w:hAnsi="Times New Roman" w:cs="Times New Roman"/>
      <w:b/>
      <w:bCs/>
      <w:sz w:val="20"/>
      <w:szCs w:val="20"/>
      <w:lang w:eastAsia="en-GB"/>
    </w:rPr>
  </w:style>
  <w:style w:type="character" w:customStyle="1" w:styleId="personname">
    <w:name w:val="person_name"/>
    <w:basedOn w:val="DefaultParagraphFont"/>
    <w:rsid w:val="003F00E8"/>
  </w:style>
  <w:style w:type="character" w:styleId="Strong">
    <w:name w:val="Strong"/>
    <w:basedOn w:val="DefaultParagraphFont"/>
    <w:uiPriority w:val="22"/>
    <w:qFormat/>
    <w:rsid w:val="003F00E8"/>
    <w:rPr>
      <w:b/>
      <w:bCs/>
    </w:rPr>
  </w:style>
  <w:style w:type="character" w:styleId="Emphasis">
    <w:name w:val="Emphasis"/>
    <w:basedOn w:val="DefaultParagraphFont"/>
    <w:uiPriority w:val="20"/>
    <w:qFormat/>
    <w:rsid w:val="003F00E8"/>
    <w:rPr>
      <w:i/>
      <w:iCs/>
    </w:rPr>
  </w:style>
  <w:style w:type="character" w:styleId="LineNumber">
    <w:name w:val="line number"/>
    <w:basedOn w:val="DefaultParagraphFont"/>
    <w:uiPriority w:val="99"/>
    <w:semiHidden/>
    <w:unhideWhenUsed/>
    <w:rsid w:val="003F00E8"/>
  </w:style>
  <w:style w:type="character" w:styleId="HTMLDefinition">
    <w:name w:val="HTML Definition"/>
    <w:basedOn w:val="DefaultParagraphFont"/>
    <w:uiPriority w:val="99"/>
    <w:semiHidden/>
    <w:unhideWhenUsed/>
    <w:rsid w:val="003F00E8"/>
    <w:rPr>
      <w:i/>
      <w:iCs/>
    </w:rPr>
  </w:style>
  <w:style w:type="paragraph" w:customStyle="1" w:styleId="para">
    <w:name w:val="para"/>
    <w:basedOn w:val="Normal"/>
    <w:rsid w:val="003F00E8"/>
    <w:pPr>
      <w:spacing w:before="100" w:beforeAutospacing="1" w:after="100" w:afterAutospacing="1"/>
    </w:pPr>
  </w:style>
  <w:style w:type="character" w:customStyle="1" w:styleId="nlmyear">
    <w:name w:val="nlm_year"/>
    <w:basedOn w:val="DefaultParagraphFont"/>
    <w:rsid w:val="003F00E8"/>
  </w:style>
  <w:style w:type="paragraph" w:customStyle="1" w:styleId="ColorfulList-Accent11">
    <w:name w:val="Colorful List - Accent 11"/>
    <w:basedOn w:val="Normal"/>
    <w:uiPriority w:val="34"/>
    <w:semiHidden/>
    <w:qFormat/>
    <w:rsid w:val="003F00E8"/>
    <w:pPr>
      <w:spacing w:after="200" w:line="276" w:lineRule="auto"/>
      <w:ind w:left="720"/>
      <w:contextualSpacing/>
    </w:pPr>
    <w:rPr>
      <w:rFonts w:eastAsia="Calibri"/>
      <w:szCs w:val="22"/>
      <w:lang w:eastAsia="en-US"/>
    </w:rPr>
  </w:style>
  <w:style w:type="character" w:customStyle="1" w:styleId="label">
    <w:name w:val="label"/>
    <w:basedOn w:val="DefaultParagraphFont"/>
    <w:rsid w:val="003F00E8"/>
  </w:style>
  <w:style w:type="paragraph" w:customStyle="1" w:styleId="xmsonormal">
    <w:name w:val="x_msonormal"/>
    <w:basedOn w:val="Normal"/>
    <w:rsid w:val="003F00E8"/>
  </w:style>
  <w:style w:type="character" w:styleId="PlaceholderText">
    <w:name w:val="Placeholder Text"/>
    <w:basedOn w:val="DefaultParagraphFont"/>
    <w:uiPriority w:val="99"/>
    <w:semiHidden/>
    <w:rsid w:val="003F00E8"/>
    <w:rPr>
      <w:color w:val="808080"/>
    </w:rPr>
  </w:style>
  <w:style w:type="table" w:styleId="PlainTable5">
    <w:name w:val="Plain Table 5"/>
    <w:basedOn w:val="TableNormal"/>
    <w:uiPriority w:val="45"/>
    <w:rsid w:val="003F00E8"/>
    <w:rPr>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3F00E8"/>
    <w:rPr>
      <w:sz w:val="22"/>
      <w:szCs w:val="22"/>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3F00E8"/>
    <w:rPr>
      <w:color w:val="605E5C"/>
      <w:shd w:val="clear" w:color="auto" w:fill="E1DFDD"/>
    </w:rPr>
  </w:style>
  <w:style w:type="paragraph" w:styleId="PlainText">
    <w:name w:val="Plain Text"/>
    <w:basedOn w:val="Normal"/>
    <w:link w:val="PlainTextChar"/>
    <w:uiPriority w:val="99"/>
    <w:unhideWhenUsed/>
    <w:rsid w:val="003F00E8"/>
    <w:rPr>
      <w:rFonts w:ascii="Calibri" w:hAnsi="Calibri"/>
      <w:sz w:val="22"/>
      <w:szCs w:val="21"/>
    </w:rPr>
  </w:style>
  <w:style w:type="character" w:customStyle="1" w:styleId="PlainTextChar">
    <w:name w:val="Plain Text Char"/>
    <w:basedOn w:val="DefaultParagraphFont"/>
    <w:link w:val="PlainText"/>
    <w:uiPriority w:val="99"/>
    <w:rsid w:val="003F00E8"/>
    <w:rPr>
      <w:rFonts w:ascii="Calibri" w:eastAsia="Times New Roman" w:hAnsi="Calibri" w:cs="Times New Roman"/>
      <w:sz w:val="22"/>
      <w:szCs w:val="21"/>
      <w:lang w:eastAsia="en-GB"/>
    </w:rPr>
  </w:style>
  <w:style w:type="paragraph" w:styleId="Revision">
    <w:name w:val="Revision"/>
    <w:hidden/>
    <w:uiPriority w:val="99"/>
    <w:semiHidden/>
    <w:rsid w:val="003F00E8"/>
    <w:rPr>
      <w:rFonts w:ascii="Times New Roman" w:hAnsi="Times New Roman"/>
      <w:szCs w:val="22"/>
      <w:lang w:val="en-US"/>
    </w:rPr>
  </w:style>
  <w:style w:type="character" w:customStyle="1" w:styleId="volumeissue">
    <w:name w:val="volume_issue"/>
    <w:basedOn w:val="DefaultParagraphFont"/>
    <w:rsid w:val="003F00E8"/>
  </w:style>
  <w:style w:type="character" w:customStyle="1" w:styleId="pagerange">
    <w:name w:val="page_range"/>
    <w:basedOn w:val="DefaultParagraphFont"/>
    <w:rsid w:val="003F00E8"/>
  </w:style>
  <w:style w:type="character" w:customStyle="1" w:styleId="doilink">
    <w:name w:val="doi_link"/>
    <w:basedOn w:val="DefaultParagraphFont"/>
    <w:rsid w:val="003F00E8"/>
  </w:style>
  <w:style w:type="paragraph" w:styleId="BodyText">
    <w:name w:val="Body Text"/>
    <w:basedOn w:val="Normal"/>
    <w:link w:val="BodyTextChar"/>
    <w:uiPriority w:val="1"/>
    <w:qFormat/>
    <w:rsid w:val="003F00E8"/>
    <w:pPr>
      <w:widowControl w:val="0"/>
      <w:ind w:left="546"/>
    </w:pPr>
    <w:rPr>
      <w:rFonts w:ascii="Calibri" w:eastAsia="Calibri" w:hAnsi="Calibri"/>
      <w:sz w:val="21"/>
      <w:szCs w:val="21"/>
    </w:rPr>
  </w:style>
  <w:style w:type="character" w:customStyle="1" w:styleId="BodyTextChar">
    <w:name w:val="Body Text Char"/>
    <w:basedOn w:val="DefaultParagraphFont"/>
    <w:link w:val="BodyText"/>
    <w:uiPriority w:val="1"/>
    <w:rsid w:val="003F00E8"/>
    <w:rPr>
      <w:rFonts w:ascii="Calibri" w:eastAsia="Calibri" w:hAnsi="Calibri" w:cs="Times New Roman"/>
      <w:sz w:val="21"/>
      <w:szCs w:val="21"/>
      <w:lang w:eastAsia="en-GB"/>
    </w:rPr>
  </w:style>
  <w:style w:type="character" w:styleId="PageNumber">
    <w:name w:val="page number"/>
    <w:basedOn w:val="DefaultParagraphFont"/>
    <w:uiPriority w:val="99"/>
    <w:semiHidden/>
    <w:unhideWhenUsed/>
    <w:rsid w:val="003F00E8"/>
  </w:style>
  <w:style w:type="character" w:customStyle="1" w:styleId="UnresolvedMention2">
    <w:name w:val="Unresolved Mention2"/>
    <w:basedOn w:val="DefaultParagraphFont"/>
    <w:uiPriority w:val="99"/>
    <w:semiHidden/>
    <w:unhideWhenUsed/>
    <w:rsid w:val="003F00E8"/>
    <w:rPr>
      <w:color w:val="605E5C"/>
      <w:shd w:val="clear" w:color="auto" w:fill="E1DFDD"/>
    </w:rPr>
  </w:style>
  <w:style w:type="character" w:customStyle="1" w:styleId="UnresolvedMention3">
    <w:name w:val="Unresolved Mention3"/>
    <w:basedOn w:val="DefaultParagraphFont"/>
    <w:uiPriority w:val="99"/>
    <w:semiHidden/>
    <w:unhideWhenUsed/>
    <w:rsid w:val="003F00E8"/>
    <w:rPr>
      <w:color w:val="605E5C"/>
      <w:shd w:val="clear" w:color="auto" w:fill="E1DFDD"/>
    </w:rPr>
  </w:style>
  <w:style w:type="paragraph" w:customStyle="1" w:styleId="LightGrid-Accent31">
    <w:name w:val="Light Grid - Accent 31"/>
    <w:basedOn w:val="Normal"/>
    <w:uiPriority w:val="34"/>
    <w:qFormat/>
    <w:rsid w:val="003F00E8"/>
    <w:pPr>
      <w:ind w:left="720"/>
    </w:pPr>
    <w:rPr>
      <w:rFonts w:ascii="Calibri" w:eastAsia="Calibri" w:hAnsi="Calibri" w:cs="Calibri"/>
      <w:sz w:val="22"/>
    </w:rPr>
  </w:style>
  <w:style w:type="paragraph" w:customStyle="1" w:styleId="Default">
    <w:name w:val="Default"/>
    <w:rsid w:val="003F00E8"/>
    <w:pPr>
      <w:autoSpaceDE w:val="0"/>
      <w:autoSpaceDN w:val="0"/>
      <w:adjustRightInd w:val="0"/>
    </w:pPr>
    <w:rPr>
      <w:rFonts w:ascii="Arial" w:hAnsi="Arial" w:cs="Arial"/>
      <w:color w:val="000000"/>
    </w:rPr>
  </w:style>
  <w:style w:type="character" w:customStyle="1" w:styleId="UnresolvedMention4">
    <w:name w:val="Unresolved Mention4"/>
    <w:basedOn w:val="DefaultParagraphFont"/>
    <w:uiPriority w:val="99"/>
    <w:semiHidden/>
    <w:unhideWhenUsed/>
    <w:rsid w:val="003F00E8"/>
    <w:rPr>
      <w:color w:val="605E5C"/>
      <w:shd w:val="clear" w:color="auto" w:fill="E1DFDD"/>
    </w:rPr>
  </w:style>
  <w:style w:type="character" w:customStyle="1" w:styleId="UnresolvedMention5">
    <w:name w:val="Unresolved Mention5"/>
    <w:basedOn w:val="DefaultParagraphFont"/>
    <w:uiPriority w:val="99"/>
    <w:semiHidden/>
    <w:unhideWhenUsed/>
    <w:rsid w:val="003F00E8"/>
    <w:rPr>
      <w:color w:val="605E5C"/>
      <w:shd w:val="clear" w:color="auto" w:fill="E1DFDD"/>
    </w:rPr>
  </w:style>
  <w:style w:type="character" w:styleId="FollowedHyperlink">
    <w:name w:val="FollowedHyperlink"/>
    <w:basedOn w:val="DefaultParagraphFont"/>
    <w:uiPriority w:val="99"/>
    <w:semiHidden/>
    <w:unhideWhenUsed/>
    <w:rsid w:val="003F00E8"/>
    <w:rPr>
      <w:color w:val="954F72" w:themeColor="followedHyperlink"/>
      <w:u w:val="single"/>
    </w:rPr>
  </w:style>
  <w:style w:type="character" w:customStyle="1" w:styleId="UnresolvedMention6">
    <w:name w:val="Unresolved Mention6"/>
    <w:basedOn w:val="DefaultParagraphFont"/>
    <w:uiPriority w:val="99"/>
    <w:semiHidden/>
    <w:unhideWhenUsed/>
    <w:rsid w:val="003F00E8"/>
    <w:rPr>
      <w:color w:val="605E5C"/>
      <w:shd w:val="clear" w:color="auto" w:fill="E1DFDD"/>
    </w:rPr>
  </w:style>
  <w:style w:type="paragraph" w:styleId="Title">
    <w:name w:val="Title"/>
    <w:basedOn w:val="Normal"/>
    <w:next w:val="Normal"/>
    <w:link w:val="TitleChar"/>
    <w:uiPriority w:val="10"/>
    <w:qFormat/>
    <w:rsid w:val="007E126C"/>
    <w:pPr>
      <w:spacing w:line="480" w:lineRule="auto"/>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7E126C"/>
    <w:rPr>
      <w:rFonts w:ascii="Times New Roman" w:eastAsiaTheme="majorEastAsia" w:hAnsi="Times New Roman" w:cstheme="majorBidi"/>
      <w:b/>
      <w:spacing w:val="-10"/>
      <w:kern w:val="28"/>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2378">
      <w:bodyDiv w:val="1"/>
      <w:marLeft w:val="0"/>
      <w:marRight w:val="0"/>
      <w:marTop w:val="0"/>
      <w:marBottom w:val="0"/>
      <w:divBdr>
        <w:top w:val="none" w:sz="0" w:space="0" w:color="auto"/>
        <w:left w:val="none" w:sz="0" w:space="0" w:color="auto"/>
        <w:bottom w:val="none" w:sz="0" w:space="0" w:color="auto"/>
        <w:right w:val="none" w:sz="0" w:space="0" w:color="auto"/>
      </w:divBdr>
    </w:div>
    <w:div w:id="1850557062">
      <w:bodyDiv w:val="1"/>
      <w:marLeft w:val="0"/>
      <w:marRight w:val="0"/>
      <w:marTop w:val="0"/>
      <w:marBottom w:val="0"/>
      <w:divBdr>
        <w:top w:val="none" w:sz="0" w:space="0" w:color="auto"/>
        <w:left w:val="none" w:sz="0" w:space="0" w:color="auto"/>
        <w:bottom w:val="none" w:sz="0" w:space="0" w:color="auto"/>
        <w:right w:val="none" w:sz="0" w:space="0" w:color="auto"/>
      </w:divBdr>
    </w:div>
    <w:div w:id="1984772568">
      <w:bodyDiv w:val="1"/>
      <w:marLeft w:val="0"/>
      <w:marRight w:val="0"/>
      <w:marTop w:val="0"/>
      <w:marBottom w:val="0"/>
      <w:divBdr>
        <w:top w:val="none" w:sz="0" w:space="0" w:color="auto"/>
        <w:left w:val="none" w:sz="0" w:space="0" w:color="auto"/>
        <w:bottom w:val="none" w:sz="0" w:space="0" w:color="auto"/>
        <w:right w:val="none" w:sz="0" w:space="0" w:color="auto"/>
      </w:divBdr>
    </w:div>
    <w:div w:id="1994213171">
      <w:bodyDiv w:val="1"/>
      <w:marLeft w:val="0"/>
      <w:marRight w:val="0"/>
      <w:marTop w:val="0"/>
      <w:marBottom w:val="0"/>
      <w:divBdr>
        <w:top w:val="none" w:sz="0" w:space="0" w:color="auto"/>
        <w:left w:val="none" w:sz="0" w:space="0" w:color="auto"/>
        <w:bottom w:val="none" w:sz="0" w:space="0" w:color="auto"/>
        <w:right w:val="none" w:sz="0" w:space="0" w:color="auto"/>
      </w:divBdr>
    </w:div>
    <w:div w:id="205195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preprints.jmir.org/preprint/27584" TargetMode="External"/><Relationship Id="rId20" Type="http://schemas.openxmlformats.org/officeDocument/2006/relationships/image" Target="media/image3.t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ukes@lamar.ed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16/j.invent.2014.08.00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t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doi.org/10.6084/m9.figshare.136787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ffa8b6ddd7c32af718830cd59d6e1513">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2a6c83fca114c0fd36e384c7f7eada4"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b:Source>
    <b:Tag>Far</b:Tag>
    <b:SourceType>JournalArticle</b:SourceType>
    <b:Guid>{2918DDCC-7FE7-4545-B1C8-2341B518B034}</b:Guid>
    <b:Author>
      <b:Author>
        <b:NameList>
          <b:Person>
            <b:Last>Farrell</b:Last>
            <b:First>E.H.</b:First>
          </b:Person>
          <b:Person>
            <b:Last>Whistance</b:Last>
            <b:First>R.N.</b:First>
          </b:Person>
          <b:Person>
            <b:Last>Phillips</b:Last>
            <b:First>K</b:First>
          </b:Person>
          <b:Person>
            <b:Last>Morgan</b:Last>
            <b:First>B</b:First>
          </b:Person>
          <b:Person>
            <b:Last>Savage</b:Last>
            <b:First>K</b:First>
          </b:Person>
          <b:Person>
            <b:Last>Lewis</b:Last>
            <b:First>V</b:First>
          </b:Person>
          <b:Person>
            <b:Last>Kelly</b:Last>
            <b:First>M</b:First>
          </b:Person>
          <b:Person>
            <b:Last>Blazeby</b:Last>
            <b:First>J.M.</b:First>
          </b:Person>
          <b:Person>
            <b:Last>Kinnersley</b:Last>
            <b:First>P</b:First>
          </b:Person>
          <b:Person>
            <b:Last>Edwards</b:Last>
            <b:First>A</b:First>
          </b:Person>
        </b:NameList>
      </b:Author>
    </b:Author>
    <b:Title>Systematic review and meta-analysis of audio-visual information aids for informed consent for invasive healthcare procedures in clinical practice</b:Title>
    <b:Year>2014</b:Year>
    <b:JournalName>Patient Education and Counseling</b:JournalName>
    <b:Pages>20-32</b:Pages>
    <b:Volume>94</b:Volume>
    <b:Issue>1</b:Issue>
    <b:URL>https://doi.org/10.1016/j.pec.2013.08.019</b:URL>
    <b:DOI>10.1016/j.pec.2013.08.019</b:DOI>
    <b:RefOrder>36</b:RefOrder>
  </b:Source>
  <b:Source>
    <b:Tag>Lee08</b:Tag>
    <b:SourceType>JournalArticle</b:SourceType>
    <b:Guid>{442E93BB-6CB8-D545-960D-AFC760E9CDA3}</b:Guid>
    <b:Title>Interplay of negative emotion and health self-efficacy on the use of health information and its outcomes.</b:Title>
    <b:Year>2008</b:Year>
    <b:LCID>en-US</b:LCID>
    <b:Author>
      <b:Author>
        <b:NameList>
          <b:Person>
            <b:Last>Lee</b:Last>
            <b:First>S.Y.</b:First>
          </b:Person>
          <b:Person>
            <b:Last>Hwang</b:Last>
            <b:First>H.</b:First>
          </b:Person>
          <b:Person>
            <b:Last>Hawkins</b:Last>
            <b:First>R</b:First>
          </b:Person>
          <b:Person>
            <b:Last>Pingree</b:Last>
            <b:First>S</b:First>
          </b:Person>
        </b:NameList>
      </b:Author>
    </b:Author>
    <b:JournalName>Comunication Research</b:JournalName>
    <b:Pages>35, 358-381.</b:Pages>
    <b:RefOrder>37</b:RefOrder>
  </b:Source>
  <b:Source>
    <b:Tag>McG10</b:Tag>
    <b:SourceType>InternetSite</b:SourceType>
    <b:Guid>{2E4DF42B-BECE-1B44-AF7E-462768818E35}</b:Guid>
    <b:Title>Toolkit for making wirtten material clear and effective</b:Title>
    <b:Year>2010</b:Year>
    <b:Author>
      <b:Author>
        <b:NameList>
          <b:Person>
            <b:Last>McGee</b:Last>
            <b:First>J</b:First>
          </b:Person>
        </b:NameList>
      </b:Author>
    </b:Author>
    <b:InternetSiteTitle>U.S. Department of Health and Human Services, Centre for Medicare and Medicaid Services</b:InternetSiteTitle>
    <b:URL>http://www.cms.gov/Outreach-and-Education/Outreach/WrittenMaterialsToolkit/index.html</b:URL>
    <b:RefOrder>38</b:RefOrder>
  </b:Source>
  <b:Source>
    <b:Tag>Hib07</b:Tag>
    <b:SourceType>JournalArticle</b:SourceType>
    <b:Guid>{91DCAEA0-3F25-4A50-BAED-88BFA10BBD9A}</b:Guid>
    <b:Author>
      <b:Author>
        <b:NameList>
          <b:Person>
            <b:Last>Hibbard</b:Last>
            <b:First>J.H.</b:First>
          </b:Person>
          <b:Person>
            <b:Last>Mahoney</b:Last>
            <b:First>E</b:First>
          </b:Person>
          <b:Person>
            <b:Last>Stock</b:Last>
            <b:First>R</b:First>
          </b:Person>
          <b:Person>
            <b:Last>Tusler</b:Last>
            <b:First>M</b:First>
          </b:Person>
        </b:NameList>
      </b:Author>
    </b:Author>
    <b:Title>Do increases in patient activation result in improved self management behaviors?</b:Title>
    <b:JournalName>Health Services Research</b:JournalName>
    <b:Year>2007</b:Year>
    <b:Pages>1443-1463</b:Pages>
    <b:Volume>42</b:Volume>
    <b:URL> https://doi.org/10.1111/j.1475-6773.2006.00669.x</b:URL>
    <b:DOI>10.1111/j.1475-6773.2006.00669.x</b:DOI>
    <b:RefOrder>39</b:RefOrder>
  </b:Source>
  <b:Source>
    <b:Tag>Ber11</b:Tag>
    <b:SourceType>JournalArticle</b:SourceType>
    <b:Guid>{612FC070-0D1F-9649-9664-0370F0394CE3}</b:Guid>
    <b:Title>Health literacy interventinos and outcomes: An updated systematic review.</b:Title>
    <b:Year>2011</b:Year>
    <b:LCID>en-US</b:LCID>
    <b:Author>
      <b:Author>
        <b:NameList>
          <b:Person>
            <b:Last>Berkman</b:Last>
            <b:First>N.D</b:First>
          </b:Person>
          <b:Person>
            <b:Last>Sheridan</b:Last>
            <b:First>S.L.</b:First>
          </b:Person>
          <b:Person>
            <b:Last>Donahue</b:Last>
            <b:First>K.E.</b:First>
          </b:Person>
          <b:Person>
            <b:Last>Halpern</b:Last>
            <b:First>D.J.</b:First>
          </b:Person>
          <b:Person>
            <b:Last>Viera</b:Last>
            <b:First>A</b:First>
          </b:Person>
          <b:Person>
            <b:Last>Crotty</b:Last>
            <b:First>K</b:First>
          </b:Person>
          <b:Person>
            <b:Last>....</b:Last>
          </b:Person>
          <b:Person>
            <b:Last>Viswanathan</b:Last>
            <b:First>M</b:First>
          </b:Person>
        </b:NameList>
      </b:Author>
    </b:Author>
    <b:JournalName>Evidence REport/Technology Assessment</b:JournalName>
    <b:Pages>199, 1-941.</b:Pages>
    <b:RefOrder>40</b:RefOrder>
  </b:Source>
  <b:Source>
    <b:Tag>Dew04</b:Tag>
    <b:SourceType>JournalArticle</b:SourceType>
    <b:Guid>{1E6C083F-A54E-664A-8F34-2EF982BCA64B}</b:Guid>
    <b:LCID>en-US</b:LCID>
    <b:Author>
      <b:Author>
        <b:NameList>
          <b:Person>
            <b:Last>Dewalt</b:Last>
            <b:First>D.A.</b:First>
          </b:Person>
          <b:Person>
            <b:Last>Berkman</b:Last>
            <b:First>N.D.</b:First>
          </b:Person>
          <b:Person>
            <b:Last>Sheridan</b:Last>
            <b:First>S</b:First>
          </b:Person>
          <b:Person>
            <b:Last>Lohr</b:Last>
            <b:First>K.N.</b:First>
          </b:Person>
          <b:Person>
            <b:Last>Pignone</b:Last>
            <b:First>M.P.</b:First>
          </b:Person>
        </b:NameList>
      </b:Author>
    </b:Author>
    <b:Title>Literacy and helath outcomes</b:Title>
    <b:JournalName>Journal of General Internal Medicine</b:JournalName>
    <b:Year>2004</b:Year>
    <b:Pages>19, 1228-1239.</b:Pages>
    <b:RefOrder>41</b:RefOrder>
  </b:Source>
  <b:Source>
    <b:Tag>Pre11</b:Tag>
    <b:SourceType>Book</b:SourceType>
    <b:Guid>{3CB7243C-12D3-5149-9B88-C18DE03128B2}</b:Guid>
    <b:LCID>en-US</b:LCID>
    <b:Author>
      <b:Author>
        <b:NameList>
          <b:Person>
            <b:Last>Pretto</b:Last>
            <b:First>A</b:First>
          </b:Person>
          <b:Person>
            <b:Last>Harrison</b:Last>
            <b:First>M</b:First>
          </b:Person>
        </b:NameList>
      </b:Author>
    </b:Author>
    <b:Title>Family-centred approaches. In R.Seewald &amp; A.M Tharpe (Eds). Comprehensive hand-book of pediatric audiology.</b:Title>
    <b:Year>2011</b:Year>
    <b:City>San Diego, CA</b:City>
    <b:Publisher>Plural Publishing</b:Publisher>
    <b:RefOrder>42</b:RefOrder>
  </b:Source>
  <b:Source>
    <b:Tag>Dis11</b:Tag>
    <b:SourceType>BookSection</b:SourceType>
    <b:Guid>{8950FBF9-B8A2-2B44-89BA-E391A2C0392C}</b:Guid>
    <b:Title>Counselling of families and children with hearing-loss</b:Title>
    <b:City>New York NY</b:City>
    <b:Publisher>Nova Science Publishers</b:Publisher>
    <b:Year>2011</b:Year>
    <b:LCID>en-US</b:LCID>
    <b:Pages>213-233</b:Pages>
    <b:Author>
      <b:Author>
        <b:NameList>
          <b:Person>
            <b:Last>Discoll</b:Last>
            <b:First>C</b:First>
          </b:Person>
        </b:NameList>
      </b:Author>
      <b:BookAuthor>
        <b:NameList>
          <b:Person>
            <b:Last>Dupont</b:Last>
            <b:First>J.P.</b:First>
          </b:Person>
        </b:NameList>
      </b:BookAuthor>
    </b:Author>
    <b:BookTitle>earing loss classification, causes and treatment</b:BookTitle>
    <b:RefOrder>43</b:RefOrder>
  </b:Source>
  <b:Source>
    <b:Tag>Gem04</b:Tag>
    <b:SourceType>JournalArticle</b:SourceType>
    <b:Guid>{4AD5105C-678F-1347-A96F-321CD6268CFA}</b:Guid>
    <b:LCID>en-US</b:LCID>
    <b:Author>
      <b:Author>
        <b:NameList>
          <b:Person>
            <b:Last>Gemoets</b:Last>
            <b:First>D</b:First>
          </b:Person>
          <b:Person>
            <b:Last>Rosemblat</b:Last>
            <b:First>G</b:First>
          </b:Person>
          <b:Person>
            <b:Last>Tse</b:Last>
            <b:First>T</b:First>
          </b:Person>
          <b:Person>
            <b:Last>Logan</b:Last>
            <b:First>R</b:First>
          </b:Person>
        </b:NameList>
      </b:Author>
    </b:Author>
    <b:Title>Assessing readability of consumer health information: An explaratory study.</b:Title>
    <b:JournalName>Studies in Health Technology and Informatics</b:JournalName>
    <b:Year>2004</b:Year>
    <b:Pages>107(Pt. 2), 869-873.</b:Pages>
    <b:RefOrder>44</b:RefOrder>
  </b:Source>
  <b:Source>
    <b:Tag>Doa96</b:Tag>
    <b:SourceType>Book</b:SourceType>
    <b:Guid>{6CCB5216-314D-1541-9E34-2DDE55A473E7}</b:Guid>
    <b:Title>Teaching patients with low literacy skills (2nd ed.)</b:Title>
    <b:Year>1996</b:Year>
    <b:Author>
      <b:Author>
        <b:NameList>
          <b:Person>
            <b:Last>Doak</b:Last>
            <b:First>C.</b:First>
          </b:Person>
          <b:Person>
            <b:Last>Doak</b:Last>
            <b:First>L</b:First>
          </b:Person>
          <b:Person>
            <b:Last>Root</b:Last>
            <b:First>J</b:First>
          </b:Person>
        </b:NameList>
      </b:Author>
    </b:Author>
    <b:City>Philadelphia, PA</b:City>
    <b:Publisher>J.B. Lippincott</b:Publisher>
    <b:RefOrder>45</b:RefOrder>
  </b:Source>
  <b:Source>
    <b:Tag>Fle48</b:Tag>
    <b:SourceType>JournalArticle</b:SourceType>
    <b:Guid>{9B943B6D-AC03-4940-A4A8-13BEBD2CB52D}</b:Guid>
    <b:Title> A new readability yardstick.</b:Title>
    <b:Year>1948</b:Year>
    <b:Author>
      <b:Author>
        <b:NameList>
          <b:Person>
            <b:Last>Flesch</b:Last>
            <b:First>R</b:First>
          </b:Person>
        </b:NameList>
      </b:Author>
    </b:Author>
    <b:JournalName> Journal of applied psychology</b:JournalName>
    <b:Pages> 32(3), 221.</b:Pages>
    <b:RefOrder>46</b:RefOrder>
  </b:Source>
  <b:Source>
    <b:Tag>Kin75</b:Tag>
    <b:SourceType>Book</b:SourceType>
    <b:Guid>{EFB727BA-A776-4BD4-A8AA-18CEE20C0188}</b:Guid>
    <b:Title>Derivation of new readability formulas (automated readability index, fog count and flesch reading ease formula) for navy enlisted personnel.</b:Title>
    <b:Year>1975</b:Year>
    <b:City>Millington, TN</b:City>
    <b:Publisher>Navy Research Branch</b:Publisher>
    <b:Author>
      <b:Author>
        <b:NameList>
          <b:Person>
            <b:Last>Kincaid</b:Last>
            <b:First>J.P.</b:First>
          </b:Person>
          <b:Person>
            <b:Last>Fishburne</b:Last>
            <b:First>R.P.</b:First>
          </b:Person>
          <b:Person>
            <b:Last>Rogers</b:Last>
            <b:First>R.L.</b:First>
          </b:Person>
          <b:Person>
            <b:Last>Chissom</b:Last>
            <b:First>B.S.</b:First>
          </b:Person>
        </b:NameList>
      </b:Author>
    </b:Author>
    <b:RefOrder>47</b:RefOrder>
  </b:Source>
  <b:Source>
    <b:Tag>Ole14</b:Tag>
    <b:SourceType>ElectronicSource</b:SourceType>
    <b:Guid>{62AFC71D-5C61-E24E-A2AF-8E8BBCD4830B}</b:Guid>
    <b:Title>Readability studio [Computer software].</b:Title>
    <b:City>Maharashtra</b:City>
    <b:Year>2014</b:Year>
    <b:CountryRegion>India</b:CountryRegion>
    <b:LCID>en-US</b:LCID>
    <b:Author>
      <b:Author>
        <b:NameList>
          <b:Person>
            <b:Last>Oleander</b:Last>
          </b:Person>
        </b:NameList>
      </b:Author>
    </b:Author>
    <b:RefOrder>48</b:RefOrder>
  </b:Source>
  <b:Source>
    <b:Tag>Roo12</b:Tag>
    <b:SourceType>Report</b:SourceType>
    <b:Guid>{AF852CCD-4E3C-4803-91E2-E141B09E0426}</b:Guid>
    <b:Author>
      <b:Author>
        <b:NameList>
          <b:Person>
            <b:Last>Rootman</b:Last>
            <b:Middle>W</b:Middle>
            <b:First>Mitic</b:First>
          </b:Person>
        </b:NameList>
      </b:Author>
    </b:Author>
    <b:Title>An intersectoral approach for improving health literacy for Canadians.</b:Title>
    <b:Year>2012</b:Year>
    <b:Publisher>Public Health Agency of Canada</b:Publisher>
    <b:City>Ottawa</b:City>
    <b:RefOrder>49</b:RefOrder>
  </b:Source>
  <b:Source>
    <b:Tag>Par09</b:Tag>
    <b:SourceType>BookSection</b:SourceType>
    <b:Guid>{A3B275FD-59D8-42EF-87E8-C630646DD44A}</b:Guid>
    <b:Title>Measuring health literacy: What? So what? Now what. In Measures of health literacy: workshop summary.</b:Title>
    <b:Year>2009</b:Year>
    <b:JournalName>Parker, R. (2009, February). Measuring health literacy: What? So what? Now what. In Measures of health literacy: workshop summary (pp. 91-98). National Academies Press: Washington, DC, USA.</b:JournalName>
    <b:Pages>91-98</b:Pages>
    <b:City>Washington, DC, USA</b:City>
    <b:Publisher>National Academies Press</b:Publisher>
    <b:Author>
      <b:Author>
        <b:NameList>
          <b:Person>
            <b:Last>Parker</b:Last>
            <b:First>R.</b:First>
          </b:Person>
        </b:NameList>
      </b:Author>
      <b:Editor>
        <b:NameList>
          <b:Person>
            <b:Last>L</b:Last>
            <b:First>Hernandez</b:First>
          </b:Person>
        </b:NameList>
      </b:Editor>
    </b:Author>
    <b:BookTitle>Measures of Health Literacy: workshop summary, Roundtable on Health</b:BookTitle>
    <b:RefOrder>50</b:RefOrder>
  </b:Source>
  <b:Source>
    <b:Tag>DEa12</b:Tag>
    <b:SourceType>Report</b:SourceType>
    <b:Guid>{40737267-C8CD-4059-8EAC-175C73BB4F11}</b:Guid>
    <b:Title>A rapid evidence review of interventions for improving health literacy. </b:Title>
    <b:Year>2012</b:Year>
    <b:City>Stockholm</b:City>
    <b:Publisher>European Centre for Disease Prevention</b:Publisher>
    <b:Author>
      <b:Author>
        <b:NameList>
          <b:Person>
            <b:Last>D’Eath </b:Last>
            <b:First>M</b:First>
          </b:Person>
          <b:Person>
            <b:Last>Barry </b:Last>
            <b:Middle>M</b:Middle>
            <b:First>M</b:First>
          </b:Person>
          <b:Person>
            <b:Last>Sixsmith</b:Last>
            <b:First>J</b:First>
          </b:Person>
        </b:NameList>
      </b:Author>
    </b:Author>
    <b:RefOrder>51</b:RefOrder>
  </b:Source>
  <b:Source>
    <b:Tag>Con12</b:Tag>
    <b:SourceType>Report</b:SourceType>
    <b:Guid>{7066CC0E-F47E-44C0-A6F9-7A0E1949A5EA}</b:Guid>
    <b:Author>
      <b:Author>
        <b:NameList>
          <b:Person>
            <b:Last>European Health Literacy Consortium</b:Last>
          </b:Person>
        </b:NameList>
      </b:Author>
    </b:Author>
    <b:Title>Comparative report on health literacy in eight EU</b:Title>
    <b:Year>2012</b:Year>
    <b:Publisher>The European Health Literacy Project</b:Publisher>
    <b:City>Maastricht, HLS-EU</b:City>
    <b:URL>http://www.health-literacy.eu</b:URL>
    <b:RefOrder>52</b:RefOrder>
  </b:Source>
  <b:Source>
    <b:Tag>Sør12</b:Tag>
    <b:SourceType>JournalArticle</b:SourceType>
    <b:Guid>{2B9DF0D5-429C-4C69-9F8A-4AE92E4D2112}</b:Guid>
    <b:Title>Health literacy and public health: a systematic review and integration of definitions and models</b:Title>
    <b:Year>2012</b:Year>
    <b:JournalName>BMC Public Health</b:JournalName>
    <b:Pages>80</b:Pages>
    <b:Volume>12</b:Volume>
    <b:URL>https://bmcpublichealth.biomedcentral.com/articles/10.1186/1471-2458-12-80</b:URL>
    <b:DOI>10.1186/1471-2458-12-80</b:DOI>
    <b:Author>
      <b:Author>
        <b:NameList>
          <b:Person>
            <b:Last>Sørensen</b:Last>
            <b:First>Kristine</b:First>
          </b:Person>
          <b:Person>
            <b:Last>van den Broucke</b:Last>
            <b:First>Stephan</b:First>
          </b:Person>
          <b:Person>
            <b:Last>Fullam</b:Last>
            <b:First>James</b:First>
          </b:Person>
          <b:Person>
            <b:Last>Doyle</b:Last>
            <b:First>Gerardine</b:First>
          </b:Person>
          <b:Person>
            <b:Last>Pelikan</b:Last>
            <b:First>Jürgen </b:First>
          </b:Person>
          <b:Person>
            <b:Last>Slonska</b:Last>
            <b:First>Zofia</b:First>
          </b:Person>
          <b:Person>
            <b:Last>Brand</b:Last>
            <b:First>Helmut</b:First>
          </b:Person>
          <b:Person>
            <b:Last>Consortium Health Literacy Project European</b:Last>
          </b:Person>
        </b:NameList>
      </b:Author>
    </b:Author>
    <b:RefOrder>53</b:RefOrder>
  </b:Source>
  <b:Source>
    <b:Tag>Bra12</b:Tag>
    <b:SourceType>Report</b:SourceType>
    <b:Guid>{2007D878-C2D9-4B67-B081-70671ABABCF6}</b:Guid>
    <b:Title>Ten Attributes of Health Literate Health Care Organizations</b:Title>
    <b:Year>2012</b:Year>
    <b:Author>
      <b:Author>
        <b:NameList>
          <b:Person>
            <b:Last>Brach</b:Last>
            <b:First>Cindy</b:First>
          </b:Person>
          <b:Person>
            <b:Last>Keller</b:Last>
            <b:First>Debra</b:First>
          </b:Person>
          <b:Person>
            <b:Last>Hernandez</b:Last>
            <b:Middle>M</b:Middle>
            <b:First>Lyla </b:First>
          </b:Person>
          <b:Person>
            <b:Last>Baur</b:Last>
            <b:First>Cynthia</b:First>
          </b:Person>
          <b:Person>
            <b:Last>Parker</b:Last>
            <b:First>Ruth</b:First>
          </b:Person>
          <b:Person>
            <b:Last>Dreyer</b:Last>
            <b:First>Bernard</b:First>
          </b:Person>
          <b:Person>
            <b:Last>Schyve</b:Last>
            <b:First>Paul</b:First>
          </b:Person>
          <b:Person>
            <b:Last>Lemerise</b:Last>
            <b:Middle>J</b:Middle>
            <b:First>Andrew</b:First>
          </b:Person>
          <b:Person>
            <b:Last>Schillinger</b:Last>
            <b:First>Dean</b:First>
          </b:Person>
        </b:NameList>
      </b:Author>
    </b:Author>
    <b:Publisher>The National Academies</b:Publisher>
    <b:Institution>Insitue of Medicine</b:Institution>
    <b:RefOrder>54</b:RefOrder>
  </b:Source>
  <b:Source>
    <b:Tag>Nor06</b:Tag>
    <b:SourceType>JournalArticle</b:SourceType>
    <b:Guid>{A6E9CEF8-D856-42EC-871A-9AF0F4EE2C93}</b:Guid>
    <b:Title>eHealth literacy: essential skills for consumer health in a networked world</b:Title>
    <b:Year>2006</b:Year>
    <b:JournalName>Journal of Medical Internet Research</b:JournalName>
    <b:Pages>e9</b:Pages>
    <b:Author>
      <b:Author>
        <b:NameList>
          <b:Person>
            <b:Last>Norman</b:Last>
            <b:Middle>D</b:Middle>
            <b:First>C</b:First>
          </b:Person>
          <b:Person>
            <b:Last>Skinner</b:Last>
            <b:Middle>A</b:Middle>
            <b:First>H</b:First>
          </b:Person>
        </b:NameList>
      </b:Author>
    </b:Author>
    <b:Volume>8</b:Volume>
    <b:DOI>10.2196/jmir.8.2.e9</b:DOI>
    <b:RefOrder>55</b:RefOrder>
  </b:Source>
  <b:Source>
    <b:Tag>Wei97</b:Tag>
    <b:SourceType>JournalArticle</b:SourceType>
    <b:Guid>{02C52FBD-E41A-4D85-A465-6861009E3B48}</b:Guid>
    <b:Title>Communicating with patients who cannot read</b:Title>
    <b:Year>1997</b:Year>
    <b:Author>
      <b:Author>
        <b:NameList>
          <b:Person>
            <b:Last>Weiss</b:Last>
            <b:Middle>D</b:Middle>
            <b:First>B</b:First>
          </b:Person>
          <b:Person>
            <b:Last>Coyne</b:Last>
            <b:First>C</b:First>
          </b:Person>
        </b:NameList>
      </b:Author>
    </b:Author>
    <b:JournalName>The New England Journal of Medicine</b:JournalName>
    <b:Pages>272-274</b:Pages>
    <b:Volume>4</b:Volume>
    <b:DOI>10.1056/NEJM199707243370411</b:DOI>
    <b:RefOrder>56</b:RefOrder>
  </b:Source>
  <b:Source>
    <b:Tag>Sch07</b:Tag>
    <b:SourceType>JournalArticle</b:SourceType>
    <b:Guid>{0B36C686-3133-42BF-A16A-4F4407F6F83A}</b:Guid>
    <b:Title>Language differences as a barrier to qualty and safety in health care: the Joint Commission perspective</b:Title>
    <b:JournalName>Journal of General Internal Medicine</b:JournalName>
    <b:Year>2007</b:Year>
    <b:Pages>360-361</b:Pages>
    <b:Author>
      <b:Author>
        <b:NameList>
          <b:Person>
            <b:Last>Schyve</b:Last>
            <b:Middle>M</b:Middle>
            <b:First>P</b:First>
          </b:Person>
        </b:NameList>
      </b:Author>
    </b:Author>
    <b:Volume>22</b:Volume>
    <b:Issue>2</b:Issue>
    <b:DOI>10.1007/s11606-007-0365-3</b:DOI>
    <b:RefOrder>57</b:RefOrder>
  </b:Source>
  <b:Source>
    <b:Tag>Diw18</b:Tag>
    <b:SourceType>JournalArticle</b:SourceType>
    <b:Guid>{E1B1CB2B-CCF4-4C87-B1A6-C7E745E89A66}</b:Guid>
    <b:Title>Readability ease of online hearing related information in Hindi</b:Title>
    <b:JournalName>Jounal of Indian Speech, Language and Hearing Association</b:JournalName>
    <b:Year>2018</b:Year>
    <b:Pages>62-66</b:Pages>
    <b:Author>
      <b:Author>
        <b:NameList>
          <b:Person>
            <b:Last>Diwan</b:Last>
            <b:First>S</b:First>
          </b:Person>
          <b:Person>
            <b:Last>Kelly-Campbell</b:Last>
            <b:Middle>J</b:Middle>
            <b:First>R</b:First>
          </b:Person>
        </b:NameList>
      </b:Author>
    </b:Author>
    <b:Volume>32</b:Volume>
    <b:Issue>2</b:Issue>
    <b:DOI>10.4103/jisha.JISHA_20_18</b:DOI>
    <b:RefOrder>58</b:RefOrder>
  </b:Source>
  <b:Source>
    <b:Tag>Sho14</b:Tag>
    <b:SourceType>JournalArticle</b:SourceType>
    <b:Guid>{76063768-D8E2-49CB-AC57-951E956BD7C2}</b:Guid>
    <b:Year>2014</b:Year>
    <b:Pages>395-403</b:Pages>
    <b:Author>
      <b:Author>
        <b:NameList>
          <b:Person>
            <b:Last>Shoemaker</b:Last>
            <b:Middle>J</b:Middle>
            <b:First>s</b:First>
          </b:Person>
          <b:Person>
            <b:Last>Wolf</b:Last>
            <b:Middle>S</b:Middle>
            <b:First>M</b:First>
          </b:Person>
          <b:Person>
            <b:Last>Brach</b:Last>
            <b:First>C</b:First>
          </b:Person>
        </b:NameList>
      </b:Author>
    </b:Author>
    <b:Title>Development of the Patient Education Materials Assessment Tool (PEMAT): A new measure of understandability and actionability for print and audiovisual patient information.</b:Title>
    <b:JournalName>Patient Education and Counseling</b:JournalName>
    <b:Volume>96</b:Volume>
    <b:DOI>10.1016/j.pec.2014.05.027</b:DOI>
    <b:RefOrder>59</b:RefOrder>
  </b:Source>
  <b:Source>
    <b:Tag>Fox06</b:Tag>
    <b:SourceType>InternetSite</b:SourceType>
    <b:Guid>{A5A971F7-63C1-40AB-B1F7-89E451871272}</b:Guid>
    <b:Title>Million Internet Users Seek Health Information Online.</b:Title>
    <b:Year>2006</b:Year>
    <b:Author>
      <b:Author>
        <b:NameList>
          <b:Person>
            <b:Last>Fox</b:Last>
            <b:First>S</b:First>
          </b:Person>
        </b:NameList>
      </b:Author>
    </b:Author>
    <b:Version>Part 1.113</b:Version>
    <b:URL>https://www.pewinternet.org/2006/10/29/part-1-113-million-internet-users-skeek-health-information-online/#fn-793-5.</b:URL>
    <b:RefOrder>60</b:RefOrder>
  </b:Source>
  <b:Source>
    <b:Tag>Riu13</b:Tag>
    <b:SourceType>JournalArticle</b:SourceType>
    <b:Guid>{7ED3A30E-1D53-4296-83BE-3BE6449E9163}</b:Guid>
    <b:Title>Ricciardi, L., Mostashari, F., Murphy, J., Daniel, J. G., &amp; Siminerio, E. P. (2013). A national action plan to support consumer engagement via e-health</b:Title>
    <b:Year>2013</b:Year>
    <b:JournalName>Health Affairs</b:JournalName>
    <b:Pages>376-384</b:Pages>
    <b:Volume>32</b:Volume>
    <b:Issue>2</b:Issue>
    <b:URL>https://doi.org/10.1377/hlthaff.2012.1216</b:URL>
    <b:DOI>10.1377/hlthaff.2012.1216</b:DOI>
    <b:Author>
      <b:Author>
        <b:NameList>
          <b:Person>
            <b:Last>Riucciardi</b:Last>
            <b:First>Lygeia</b:First>
          </b:Person>
          <b:Person>
            <b:Last>Mostashari</b:Last>
            <b:First>Farzad</b:First>
          </b:Person>
          <b:Person>
            <b:Last>Murphy</b:Last>
            <b:First>Judy</b:First>
          </b:Person>
          <b:Person>
            <b:Last>Daniel</b:Last>
            <b:Middle>G</b:Middle>
            <b:First>Jodi</b:First>
          </b:Person>
          <b:Person>
            <b:Last>Siminerio</b:Last>
            <b:Middle>P</b:Middle>
            <b:First>Erin</b:First>
          </b:Person>
        </b:NameList>
      </b:Author>
    </b:Author>
    <b:RefOrder>61</b:RefOrder>
  </b:Source>
  <b:Source>
    <b:Tag>Car13</b:Tag>
    <b:SourceType>JournalArticle</b:SourceType>
    <b:Guid>{C00EB202-6DDD-4E8E-985E-49A1EB27AC8D}</b:Guid>
    <b:Title>Patient And Family Engagement: A Framework For Understanding The Elements And Developing Interventions And Policies</b:Title>
    <b:JournalName>Health Affairs</b:JournalName>
    <b:Year>2013</b:Year>
    <b:Pages>223-231</b:Pages>
    <b:Author>
      <b:Author>
        <b:NameList>
          <b:Person>
            <b:Last>Carman</b:Last>
            <b:Middle>L</b:Middle>
            <b:First>Kristin</b:First>
          </b:Person>
          <b:Person>
            <b:Last>Dardess</b:Last>
            <b:First>Pam</b:First>
          </b:Person>
          <b:Person>
            <b:Last>Maurer</b:Last>
            <b:First>Maureen</b:First>
          </b:Person>
          <b:Person>
            <b:Last>Shoshanna</b:Last>
            <b:First>Sofaer</b:First>
          </b:Person>
          <b:Person>
            <b:Last>Adams</b:Last>
            <b:First>Karen</b:First>
          </b:Person>
          <b:Person>
            <b:Last>Bechtel</b:Last>
            <b:First>Christine</b:First>
          </b:Person>
          <b:Person>
            <b:Last>Sweeney</b:Last>
            <b:First>Jennifer</b:First>
          </b:Person>
        </b:NameList>
      </b:Author>
    </b:Author>
    <b:Volume>32</b:Volume>
    <b:Issue>2</b:Issue>
    <b:URL>https://doi.org/10.1377/hlthaff.2012.1133</b:URL>
    <b:DOI>10.1377/hlthaff.2012.1133</b:DOI>
    <b:RefOrder>62</b:RefOrder>
  </b:Source>
  <b:Source>
    <b:Tag>Sta03</b:Tag>
    <b:SourceType>Report</b:SourceType>
    <b:Guid>{7D5DC4EA-E472-4726-BCFE-A3F6265EE5CF}</b:Guid>
    <b:Title>National Assessment of Adult Literacy. U.S. Department of Education.</b:Title>
    <b:Year>2003</b:Year>
    <b:Author>
      <b:Author>
        <b:NameList>
          <b:Person>
            <b:Last>Statistics</b:Last>
            <b:First>National</b:First>
            <b:Middle>Center for Education</b:Middle>
          </b:Person>
        </b:NameList>
      </b:Author>
    </b:Author>
    <b:DayAccessed>24 October 2018</b:DayAccessed>
    <b:URL>http://nces.ed.gov/naal/</b:URL>
    <b:RefOrder>18</b:RefOrder>
  </b:Source>
  <b:Source>
    <b:Tag>Kir93</b:Tag>
    <b:SourceType>Report</b:SourceType>
    <b:Guid>{DC297476-07BA-4797-B860-364F1542FBA5}</b:Guid>
    <b:Title>Adult literacy in America: a first look at the findings of the National Adult Literacy Survey (NALS)</b:Title>
    <b:Year>1993</b:Year>
    <b:Publisher>U.S. Department of Education</b:Publisher>
    <b:City>Washington, DC</b:City>
    <b:Author>
      <b:Author>
        <b:NameList>
          <b:Person>
            <b:Last>Kirsch</b:Last>
            <b:Middle>S</b:Middle>
            <b:First>I</b:First>
          </b:Person>
          <b:Person>
            <b:Last>Jungeblut</b:Last>
            <b:First>L</b:First>
          </b:Person>
          <b:Person>
            <b:Last>Jenkins</b:Last>
            <b:First>L</b:First>
          </b:Person>
          <b:Person>
            <b:Last>Kolstad</b:Last>
            <b:First>A</b:First>
          </b:Person>
        </b:NameList>
      </b:Author>
    </b:Author>
    <b:Institution>National Center for Education Statistics</b:Institution>
    <b:RefOrder>63</b:RefOrder>
  </b:Source>
  <b:Source>
    <b:Tag>Dar18</b:Tag>
    <b:SourceType>JournalArticle</b:SourceType>
    <b:Guid>{A73B4F85-DA5E-4DE3-93A3-D78BA3DE78BB}</b:Guid>
    <b:Title>Readability of Online Health Information: A Meta-Narrative Systematic Review</b:Title>
    <b:Year>2018</b:Year>
    <b:JournalName>American Journal of Medical Quality</b:JournalName>
    <b:Pages>487–492</b:Pages>
    <b:Author>
      <b:Author>
        <b:NameList>
          <b:Person>
            <b:Last>Daraz</b:Last>
            <b:First>Lubna</b:First>
          </b:Person>
          <b:Person>
            <b:Last>Morrow</b:Last>
            <b:Middle>S</b:Middle>
            <b:First>Allison</b:First>
          </b:Person>
          <b:Person>
            <b:Last>Ponce</b:Last>
            <b:Middle>J</b:Middle>
            <b:First>Oscar</b:First>
          </b:Person>
          <b:Person>
            <b:Last>Farah</b:Last>
            <b:First>Wigdan</b:First>
          </b:Person>
          <b:Person>
            <b:Last>Katabi</b:Last>
            <b:First>Abdulrahman</b:First>
          </b:Person>
          <b:Person>
            <b:Last>Majzoub</b:Last>
            <b:First>Abdul</b:First>
          </b:Person>
          <b:Person>
            <b:Last>O. Seisa</b:Last>
            <b:First>Mohamed</b:First>
          </b:Person>
          <b:Person>
            <b:Last>Benkhadra</b:Last>
            <b:First>Raed</b:First>
          </b:Person>
          <b:Person>
            <b:Last>Alsawas</b:Last>
            <b:First>Mouaz</b:First>
          </b:Person>
          <b:Person>
            <b:Last>Larry</b:Last>
            <b:First>Prokop</b:First>
          </b:Person>
          <b:Person>
            <b:Last>Murad</b:Last>
            <b:Middle>Hassan</b:Middle>
            <b:First>M</b:First>
          </b:Person>
        </b:NameList>
      </b:Author>
    </b:Author>
    <b:Volume>33</b:Volume>
    <b:Issue>5</b:Issue>
    <b:URL>https://doi.org/10.1177/1062860617751639</b:URL>
    <b:DOI>10.1177/1062860617751639</b:DOI>
    <b:RefOrder>64</b:RefOrder>
  </b:Source>
  <b:Source>
    <b:Tag>Kim17</b:Tag>
    <b:SourceType>JournalArticle</b:SourceType>
    <b:Guid>{23D755DA-F6DD-42A1-93B6-391052A2C978}</b:Guid>
    <b:Title>Health literacy in the eHealth era: A systematic review of the literature</b:Title>
    <b:JournalName>Patient Education and Counseling</b:JournalName>
    <b:Year>2017</b:Year>
    <b:Pages>1073-1082</b:Pages>
    <b:Author>
      <b:Author>
        <b:NameList>
          <b:Person>
            <b:Last>Kim</b:Last>
            <b:First>Henna</b:First>
          </b:Person>
          <b:Person>
            <b:Last>Xie</b:Last>
            <b:First>Bo</b:First>
          </b:Person>
        </b:NameList>
      </b:Author>
    </b:Author>
    <b:Volume>100</b:Volume>
    <b:Issue>6</b:Issue>
    <b:URL>https://doi.org/10.1016/j.pec.2017.01.015</b:URL>
    <b:DOI>10.1016/j.pec.2017.01.015</b:DOI>
    <b:RefOrder>65</b:RefOrder>
  </b:Source>
  <b:Source>
    <b:Tag>EBe17</b:Tag>
    <b:SourceType>JournalArticle</b:SourceType>
    <b:Guid>{4F18AD9C-7EFF-4838-BE8F-9208F1E9BA56}</b:Guid>
    <b:Author>
      <b:Author>
        <b:NameList>
          <b:Person>
            <b:Last>Beaunoyer</b:Last>
            <b:First>Elisabeth</b:First>
          </b:Person>
          <b:Person>
            <b:Last>Arsenault</b:Last>
            <b:First>Marianne</b:First>
          </b:Person>
          <b:Person>
            <b:Last>Lomanowska</b:Last>
            <b:Middle>M</b:Middle>
            <b:First>Anna</b:First>
          </b:Person>
          <b:Person>
            <b:Last>Guitton</b:Last>
            <b:Middle>J</b:Middle>
            <b:First>Matthieu</b:First>
          </b:Person>
        </b:NameList>
      </b:Author>
    </b:Author>
    <b:Title>Understanding online health information: Evaluation, tools, and strategies, Patient education and counseling</b:Title>
    <b:JournalName>Patient Education and Counseling</b:JournalName>
    <b:Year>2017</b:Year>
    <b:Pages>183-189</b:Pages>
    <b:Volume>100</b:Volume>
    <b:Issue>2</b:Issue>
    <b:URL>https://doi.org/10.1016/j.pec.2016.08.028</b:URL>
    <b:DOI>doi.org/10.1016/j.pec.2016.08.028</b:DOI>
    <b:RefOrder>66</b:RefOrder>
  </b:Source>
  <b:Source>
    <b:Tag>Lap</b:Tag>
    <b:SourceType>JournalArticle</b:SourceType>
    <b:Guid>{CA4C6470-452B-4A82-B964-1470821104D7}</b:Guid>
    <b:Author>
      <b:Author>
        <b:NameList>
          <b:Person>
            <b:Last>Laplante-Lévesque</b:Last>
            <b:First>A</b:First>
          </b:Person>
          <b:Person>
            <b:Last>Thorén</b:Last>
            <b:Middle>S</b:Middle>
            <b:First>E</b:First>
          </b:Person>
        </b:NameList>
      </b:Author>
    </b:Author>
    <b:Title>Readability of Internet information on hearing: Systematic literature review</b:Title>
    <b:JournalName>American Journal of Audiology</b:JournalName>
    <b:Year>2015</b:Year>
    <b:Pages>284-288</b:Pages>
    <b:Volume>24</b:Volume>
    <b:Issue>3</b:Issue>
    <b:URL>https://doi.org/10.1044/2015_AJA-14-0091</b:URL>
    <b:DOI>10.1044/2015_AJA-14-0091</b:DOI>
    <b:RefOrder>67</b:RefOrder>
  </b:Source>
  <b:Source>
    <b:Tag>Man18</b:Tag>
    <b:SourceType>JournalArticle</b:SourceType>
    <b:Guid>{55994948-5525-4CBC-BB44-6FCD82AE6422}</b:Guid>
    <b:Title>Quality and readability of English-Language Internet information for tinnitus</b:Title>
    <b:JournalName>Journal of the American Academy of Audiology</b:JournalName>
    <b:Year>2018</b:Year>
    <b:Pages>31-40</b:Pages>
    <b:Author>
      <b:Author>
        <b:NameList>
          <b:Person>
            <b:Last>Manchaiah</b:Last>
            <b:First>V</b:First>
          </b:Person>
          <b:Person>
            <b:Last>Dockens</b:Last>
            <b:Middle>L</b:Middle>
            <b:First>A</b:First>
          </b:Person>
          <b:Person>
            <b:Last>Flagge</b:Last>
            <b:First>A</b:First>
          </b:Person>
          <b:Person>
            <b:Last>Bellon-Harn</b:Last>
            <b:First>M</b:First>
          </b:Person>
          <b:Person>
            <b:Last>Azios</b:Last>
            <b:Middle>H</b:Middle>
            <b:First>J</b:First>
          </b:Person>
          <b:Person>
            <b:Last>Kelly-Campbell</b:Last>
            <b:Middle>J</b:Middle>
            <b:First>R</b:First>
          </b:Person>
          <b:Person>
            <b:Last>Andersson</b:Last>
            <b:First>G</b:First>
          </b:Person>
        </b:NameList>
      </b:Author>
    </b:Author>
    <b:Volume>30</b:Volume>
    <b:Issue>1</b:Issue>
    <b:DOI>103766/jaaa.17070.</b:DOI>
    <b:RefOrder>68</b:RefOrder>
  </b:Source>
  <b:Source>
    <b:Tag>And02</b:Tag>
    <b:SourceType>JournalArticle</b:SourceType>
    <b:Guid>{173AF698-197A-4195-AF47-98C4E489173E}</b:Guid>
    <b:Author>
      <b:Author>
        <b:NameList>
          <b:Person>
            <b:Last>Andersson</b:Last>
            <b:First>G</b:First>
          </b:Person>
          <b:Person>
            <b:Last>Strömgren</b:Last>
            <b:First>T</b:First>
          </b:Person>
          <b:Person>
            <b:Last>Ström</b:Last>
            <b:First>L</b:First>
          </b:Person>
          <b:Person>
            <b:Last>Lyttkens</b:Last>
            <b:First>L</b:First>
          </b:Person>
        </b:NameList>
      </b:Author>
    </b:Author>
    <b:Title>andomized controlled trial of internet-based cognitive behavior therapy for distress associated with tinnitus.</b:Title>
    <b:JournalName>Psychosomatic medicine</b:JournalName>
    <b:Year>2002</b:Year>
    <b:Pages>810-816</b:Pages>
    <b:Volume>64</b:Volume>
    <b:Issue>5</b:Issue>
    <b:DOI>10.1097/01.PSY.0000031577.42041.F8</b:DOI>
    <b:RefOrder>33</b:RefOrder>
  </b:Source>
  <b:Source>
    <b:Tag>Beu16</b:Tag>
    <b:SourceType>JournalArticle</b:SourceType>
    <b:Guid>{F321BE88-BC6D-43C9-BB20-AF946524CC34}</b:Guid>
    <b:Author>
      <b:Author>
        <b:NameList>
          <b:Person>
            <b:Last>Beukes</b:Last>
            <b:Middle>W</b:Middle>
            <b:First>Eldre</b:First>
          </b:Person>
          <b:Person>
            <b:Last>Vlaescu</b:Last>
            <b:First>George</b:First>
          </b:Person>
          <b:Person>
            <b:Last>Manchaiah</b:Last>
            <b:First>Vinaya</b:First>
          </b:Person>
          <b:Person>
            <b:Last>Baguley</b:Last>
            <b:Middle>M</b:Middle>
            <b:First>David</b:First>
          </b:Person>
          <b:Person>
            <b:Last>Allen</b:Last>
            <b:Middle>M</b:Middle>
            <b:First>Peter</b:First>
          </b:Person>
          <b:Person>
            <b:Last>Kaldo</b:Last>
            <b:First>Viktor</b:First>
          </b:Person>
          <b:Person>
            <b:Last>Andersson</b:Last>
            <b:First>Gerhard</b:First>
          </b:Person>
        </b:NameList>
      </b:Author>
    </b:Author>
    <b:Title>Development and technical functionality of an Internet-based intervention for tinnitus in the UK</b:Title>
    <b:JournalName>Internet Interventions</b:JournalName>
    <b:Year>2016</b:Year>
    <b:Pages>6-15</b:Pages>
    <b:Volume>6</b:Volume>
    <b:DOI>10.1016/j.invent.2016.08.002</b:DOI>
    <b:RefOrder>17</b:RefOrder>
  </b:Source>
  <b:Source>
    <b:Tag>Beu</b:Tag>
    <b:SourceType>JournalArticle</b:SourceType>
    <b:Guid>{754E5CBD-7A28-41AD-B21A-9CF4FCE5F184}</b:Guid>
    <b:Author>
      <b:Author>
        <b:NameList>
          <b:Person>
            <b:Last>Beukes</b:Last>
            <b:Middle>W</b:Middle>
            <b:First>Eldre</b:First>
          </b:Person>
          <b:Person>
            <b:Last>Baguley</b:Last>
            <b:Middle>M</b:Middle>
            <b:First>D</b:First>
          </b:Person>
          <b:Person>
            <b:Last>Allen</b:Last>
            <b:Middle>M</b:Middle>
            <b:First>P</b:First>
          </b:Person>
          <b:Person>
            <b:Last>Manchaiah</b:Last>
            <b:First>V</b:First>
          </b:Person>
          <b:Person>
            <b:Last>Andersson</b:Last>
            <b:First>G</b:First>
          </b:Person>
        </b:NameList>
      </b:Author>
    </b:Author>
    <b:Title>Beukes, E. W., Baguley, D. M., Allen, P. M., Manchaiah, V., &amp; Andersson, G. (2018). Audiologist-guided Internet-based cognitive behavior therapy for adults with tinnitus in the United Kingdom: A randomized controlled trial.</b:Title>
    <b:JournalName>Ear and Hearing</b:JournalName>
    <b:Year>2018</b:Year>
    <b:Pages>423-433</b:Pages>
    <b:Volume>39</b:Volume>
    <b:Issue>3</b:Issue>
    <b:DOI>10.1097/AUD.0000000000000505</b:DOI>
    <b:RefOrder>21</b:RefOrder>
  </b:Source>
  <b:Source>
    <b:Tag>Beu18</b:Tag>
    <b:SourceType>JournalArticle</b:SourceType>
    <b:Guid>{80DC7967-CAC9-4740-8F27-2DD8C13D231E}</b:Guid>
    <b:Title>Effectiveness of guided internet-based cognitive behavioral therapy vs face-to-face clinical care for treatment of tinnitus: a randomized clinical trial.</b:Title>
    <b:JournalName>JAMA Otolaryngology–Head &amp; Neck Surgery</b:JournalName>
    <b:Year>2018</b:Year>
    <b:Pages>1126-1133</b:Pages>
    <b:Author>
      <b:Author>
        <b:NameList>
          <b:Person>
            <b:Last>Beukes</b:Last>
            <b:Middle>W</b:Middle>
            <b:First>Eldre</b:First>
          </b:Person>
          <b:Person>
            <b:Last>Andersson</b:Last>
            <b:First>G</b:First>
          </b:Person>
          <b:Person>
            <b:Last>Allen</b:Last>
            <b:Middle>M</b:Middle>
            <b:First>P</b:First>
          </b:Person>
          <b:Person>
            <b:Last>Manchaiah</b:Last>
            <b:First>V</b:First>
          </b:Person>
          <b:Person>
            <b:Last>Baguley</b:Last>
            <b:Middle>M</b:Middle>
            <b:First>D</b:First>
          </b:Person>
        </b:NameList>
      </b:Author>
    </b:Author>
    <b:Volume>144</b:Volume>
    <b:Issue>12</b:Issue>
    <b:DOI>10.1001/jamaoto.2018.2238</b:DOI>
    <b:RefOrder>20</b:RefOrder>
  </b:Source>
  <b:Source>
    <b:Tag>Hea13</b:Tag>
    <b:SourceType>InternetSite</b:SourceType>
    <b:Guid>{510BFD36-827F-4025-87D2-5467DA6DDB91}</b:Guid>
    <b:LCID>en-US</b:LCID>
    <b:Author>
      <b:Author>
        <b:NameList>
          <b:Person>
            <b:Last>Health</b:Last>
            <b:First>National</b:First>
            <b:Middle>Insititue of</b:Middle>
          </b:Person>
        </b:NameList>
      </b:Author>
    </b:Author>
    <b:Title>How to write easy-to-read materials</b:Title>
    <b:Year>2013</b:Year>
    <b:URL>http://www.nlm.nih.gov/medlineplus/etr.html</b:URL>
    <b:RefOrder>69</b:RefOrder>
  </b:Source>
  <b:Source>
    <b:Tag>Mea91</b:Tag>
    <b:SourceType>JournalArticle</b:SourceType>
    <b:Guid>{CA6977A1-1CC6-4944-9DFB-F3E6829C601C}</b:Guid>
    <b:Title>Readability formulas: cautions and criteria</b:Title>
    <b:JournalName>Patient Education and counseling</b:JournalName>
    <b:Year>1991</b:Year>
    <b:Pages>153-158</b:Pages>
    <b:Author>
      <b:Author>
        <b:NameList>
          <b:Person>
            <b:Last>Meade</b:Last>
            <b:Middle>D</b:Middle>
            <b:First>C</b:First>
          </b:Person>
          <b:Person>
            <b:Last>Smith</b:Last>
            <b:Middle>F</b:Middle>
            <b:First>C</b:First>
          </b:Person>
        </b:NameList>
      </b:Author>
    </b:Author>
    <b:Volume>17</b:Volume>
    <b:Issue>2</b:Issue>
    <b:DOI>10.1016/0738-3991(91)90017-Y</b:DOI>
    <b:RefOrder>70</b:RefOrder>
  </b:Source>
  <b:Source>
    <b:Tag>Cun11</b:Tag>
    <b:SourceType>JournalArticle</b:SourceType>
    <b:Guid>{B034A74B-9085-4F8B-B829-DC741FB3BB47}</b:Guid>
    <b:Title>Raising Low ‘Patient Activation’ Rates Among Hispanic Immigrants May Equal Expanded Coverage In Reducing Access Disparities</b:Title>
    <b:Year>2011</b:Year>
    <b:Author>
      <b:Author>
        <b:NameList>
          <b:Person>
            <b:Last>Cunningham</b:Last>
            <b:Middle>J</b:Middle>
            <b:First>Peter</b:First>
          </b:Person>
          <b:Person>
            <b:Last>Hibbard</b:Last>
            <b:First>Judith</b:First>
          </b:Person>
          <b:Person>
            <b:Last>Gibbons</b:Last>
            <b:Middle>B</b:Middle>
            <b:First>Claire</b:First>
          </b:Person>
        </b:NameList>
      </b:Author>
    </b:Author>
    <b:JournalName>Health Affairs</b:JournalName>
    <b:Pages>1888-1894</b:Pages>
    <b:Volume>30</b:Volume>
    <b:Issue>10</b:Issue>
    <b:URL>https://doi.org/10.1377/hlthaff.2009.0805</b:URL>
    <b:DOI>10.1377/hlthaff.2009.0805</b:DOI>
    <b:RefOrder>71</b:RefOrder>
  </b:Source>
  <b:Source>
    <b:Tag>Hib08</b:Tag>
    <b:SourceType>JournalArticle</b:SourceType>
    <b:Guid>{372101AF-3C44-4CE0-8D0E-3E246AA758E4}</b:Guid>
    <b:Title>Racial/Ethnic Disparities And Consumer Activation In Health</b:Title>
    <b:JournalName>Health Affairs</b:JournalName>
    <b:Year>2008</b:Year>
    <b:Pages>1442-1453</b:Pages>
    <b:Author>
      <b:Author>
        <b:NameList>
          <b:Person>
            <b:Last>Hibbard</b:Last>
            <b:Middle>H</b:Middle>
            <b:First>Judith</b:First>
          </b:Person>
          <b:Person>
            <b:Last>Greene</b:Last>
            <b:First>Jessica</b:First>
          </b:Person>
          <b:Person>
            <b:Last>Becker</b:Last>
            <b:Middle>R</b:Middle>
            <b:First>Edmund</b:First>
          </b:Person>
          <b:Person>
            <b:Last>Roblin</b:Last>
            <b:First>Douglas</b:First>
          </b:Person>
          <b:Person>
            <b:Last>Painter</b:Last>
            <b:Middle>W</b:Middle>
            <b:First>Michael</b:First>
          </b:Person>
          <b:Person>
            <b:Last>Perez</b:Last>
            <b:Middle>J</b:Middle>
            <b:First>Debra</b:First>
          </b:Person>
          <b:Person>
            <b:Last>Burbank-Schmitt</b:Last>
            <b:First>Edith</b:First>
          </b:Person>
          <b:Person>
            <b:Last>Tusler</b:Last>
            <b:First>Martin</b:First>
          </b:Person>
        </b:NameList>
      </b:Author>
    </b:Author>
    <b:Volume>27</b:Volume>
    <b:Issue>5</b:Issue>
    <b:URL>https://doi.org/10.1377/hlthaff.27.5.1442</b:URL>
    <b:DOI>10.1377/hlthaff.27.5.1442</b:DOI>
    <b:RefOrder>72</b:RefOrder>
  </b:Source>
  <b:Source>
    <b:Tag>Ley</b:Tag>
    <b:SourceType>JournalArticle</b:SourceType>
    <b:Guid>{5232660E-CFB5-4C62-A380-8DE338BAB497}</b:Guid>
    <b:Author>
      <b:Author>
        <b:NameList>
          <b:Person>
            <b:Last>Ley</b:Last>
            <b:First>P.</b:First>
          </b:Person>
          <b:Person>
            <b:Last>Florio</b:Last>
            <b:First>T.</b:First>
          </b:Person>
        </b:NameList>
      </b:Author>
    </b:Author>
    <b:Title>The use of readability formulas in health care, psychology, health and medicine</b:Title>
    <b:JournalName>Psychology, Health &amp; Medicine</b:JournalName>
    <b:Pages>7-28</b:Pages>
    <b:Year>1996</b:Year>
    <b:Volume>1</b:Volume>
    <b:Issue>1</b:Issue>
    <b:URL>https://doi.org/10.1080/13548509608400003</b:URL>
    <b:DOI>10.1080/13548509608400003</b:DOI>
    <b:RefOrder>73</b:RefOrder>
  </b:Source>
  <b:Source>
    <b:Tag>Bar13</b:Tag>
    <b:SourceType>JournalArticle</b:SourceType>
    <b:Guid>{C5D091F3-EF68-4F6F-AEA2-DD487A9A4EA7}</b:Guid>
    <b:Title>Cultural adaptations of behavioral health interventions: A progress report.</b:Title>
    <b:Year>2013</b:Year>
    <b:Pages>196-205</b:Pages>
    <b:Author>
      <b:Author>
        <b:NameList>
          <b:Person>
            <b:Last>Barrera</b:Last>
            <b:First>M</b:First>
          </b:Person>
          <b:Person>
            <b:Last>Castro</b:Last>
            <b:Middle>G</b:Middle>
            <b:First>F</b:First>
          </b:Person>
          <b:Person>
            <b:Last>Strycker</b:Last>
            <b:Middle>A</b:Middle>
            <b:First>L</b:First>
          </b:Person>
          <b:Person>
            <b:Last>Toobert</b:Last>
            <b:Middle>J</b:Middle>
            <b:First>D</b:First>
          </b:Person>
        </b:NameList>
      </b:Author>
    </b:Author>
    <b:JournalName>Journal of Consulting and Clinical Psychology</b:JournalName>
    <b:Volume>81</b:Volume>
    <b:Issue>2</b:Issue>
    <b:URL>http://dx.doi.org/10.1037/a0027085</b:URL>
    <b:DOI>10.1037/a0027085</b:DOI>
    <b:RefOrder>74</b:RefOrder>
  </b:Source>
  <b:Source>
    <b:Tag>Gri06</b:Tag>
    <b:SourceType>JournalArticle</b:SourceType>
    <b:Guid>{B27259F3-FF3C-42D9-AFC8-2ED7B532280B}</b:Guid>
    <b:Author>
      <b:Author>
        <b:NameList>
          <b:Person>
            <b:Last>Griner</b:Last>
            <b:First>Derek</b:First>
          </b:Person>
          <b:Person>
            <b:Last>Smith</b:Last>
            <b:Middle>B</b:Middle>
            <b:First>Timothy</b:First>
          </b:Person>
        </b:NameList>
      </b:Author>
    </b:Author>
    <b:Title>Culturally adapted mental health intervention: A meta-analytic review.</b:Title>
    <b:JournalName>Psychotherapy: Theory, Research, Practice, Training</b:JournalName>
    <b:Year>2006</b:Year>
    <b:Pages>531-548</b:Pages>
    <b:Volume>43</b:Volume>
    <b:Issue>4</b:Issue>
    <b:URL>http://dx.doi.org/10.1037/0033-3204.43.4.531</b:URL>
    <b:DOI>10.1037/0033-3204.43.4.531</b:DOI>
    <b:RefOrder>75</b:RefOrder>
  </b:Source>
  <b:Source>
    <b:Tag>Hal16</b:Tag>
    <b:SourceType>JournalArticle</b:SourceType>
    <b:Guid>{2394427A-AC96-46BE-8873-E82A60B525B3}</b:Guid>
    <b:Title>A Meta-Analysis of Cultural Adaptations of Psychological Interventions</b:Title>
    <b:JournalName>Behavior Therapy</b:JournalName>
    <b:Year>2016</b:Year>
    <b:Pages>993-1014</b:Pages>
    <b:Author>
      <b:Author>
        <b:NameList>
          <b:Person>
            <b:Last>Hall</b:Last>
            <b:Middle>C Nagayama</b:Middle>
            <b:First>Gordon</b:First>
          </b:Person>
          <b:Person>
            <b:Last>Ibaraki</b:Last>
            <b:Middle>Yee</b:Middle>
            <b:First>Alicia</b:First>
          </b:Person>
          <b:Person>
            <b:Last>Huang</b:Last>
            <b:Middle>R</b:Middle>
            <b:First>Ellen</b:First>
          </b:Person>
          <b:Person>
            <b:Last>Marti</b:Last>
            <b:First>Nathan</b:First>
          </b:Person>
          <b:Person>
            <b:Last>Stice</b:Last>
            <b:First>Eric</b:First>
          </b:Person>
        </b:NameList>
      </b:Author>
    </b:Author>
    <b:URL>https://doi.org/10.1016/j.beth.2016.09.005</b:URL>
    <b:DOI>10.1016/j.beth.2016.09.005</b:DOI>
    <b:Volume>47</b:Volume>
    <b:Issue>6</b:Issue>
    <b:RefOrder>76</b:RefOrder>
  </b:Source>
  <b:Source>
    <b:Tag>She16</b:Tag>
    <b:SourceType>JournalArticle</b:SourceType>
    <b:Guid>{4DF0CA93-7A7A-4CC2-B921-9BC8E10FE13D}</b:Guid>
    <b:Title>Cultural Adaptation of Minimally Guided Interventions for Common Mental Disorders: A Systematic Review and Meta-Analysis</b:Title>
    <b:JournalName>JMIR Ment Health</b:JournalName>
    <b:Year>2016</b:Year>
    <b:Pages>e44</b:Pages>
    <b:Author>
      <b:Author>
        <b:NameList>
          <b:Person>
            <b:Last>Shehadeh</b:Last>
            <b:Middle>Harper</b:Middle>
            <b:First>Melissa</b:First>
          </b:Person>
          <b:Person>
            <b:Last>Heim</b:Last>
            <b:First>Eva</b:First>
          </b:Person>
          <b:Person>
            <b:Last>Chowdhary</b:Last>
            <b:First>Neerja</b:First>
          </b:Person>
          <b:Person>
            <b:Last>Maercker</b:Last>
            <b:First>Andreas</b:First>
          </b:Person>
          <b:Person>
            <b:Last>Albanese</b:Last>
            <b:First>Emiliano</b:First>
          </b:Person>
        </b:NameList>
      </b:Author>
    </b:Author>
    <b:Volume>3</b:Volume>
    <b:Issue>3</b:Issue>
    <b:DOI>10.2196/mental.5776</b:DOI>
    <b:RefOrder>77</b:RefOrder>
  </b:Source>
  <b:Source>
    <b:Tag>Liv08</b:Tag>
    <b:SourceType>Report</b:SourceType>
    <b:Guid>{FDDB559E-C14C-4FB0-9145-D9B5F6923007}</b:Guid>
    <b:Title>Hispanics and health care in the United States: Access, information and knowledge</b:Title>
    <b:Year>2008</b:Year>
    <b:Publisher>Pew Research Centre</b:Publisher>
    <b:Author>
      <b:Author>
        <b:NameList>
          <b:Person>
            <b:Last>Livingston</b:Last>
            <b:First>G</b:First>
          </b:Person>
          <b:Person>
            <b:Last>Minushkin</b:Last>
            <b:First>S</b:First>
          </b:Person>
          <b:Person>
            <b:Last>Cohn</b:Last>
            <b:First>D</b:First>
          </b:Person>
        </b:NameList>
      </b:Author>
    </b:Author>
    <b:URL>https://www.pewhispanic.org/2008/08/13/hispanics-and-health-care-in-the-united-states-access-information-and-knowledge/</b:URL>
    <b:RefOrder>78</b:RefOrder>
  </b:Source>
  <b:Source>
    <b:Tag>Col14</b:Tag>
    <b:SourceType>Report</b:SourceType>
    <b:Guid>{98E0011F-926D-4135-B97A-12FD4D965344}</b:Guid>
    <b:Title>Projections of teh Size and Composition of the U.S. Population: 2014 to 2060</b:Title>
    <b:Year>2008</b:Year>
    <b:Pages>25-1143</b:Pages>
    <b:Author>
      <b:Author>
        <b:NameList>
          <b:Person>
            <b:Last>Colby</b:Last>
            <b:Middle>L</b:Middle>
            <b:First>Sandra</b:First>
          </b:Person>
          <b:Person>
            <b:Last>Ortman</b:Last>
            <b:Middle>M</b:Middle>
            <b:First>Jennifer</b:First>
          </b:Person>
        </b:NameList>
      </b:Author>
    </b:Author>
    <b:City>Washington, DC</b:City>
    <b:Department>Current Population Reports</b:Department>
    <b:Institution>Census Bureau</b:Institution>
    <b:RefOrder>79</b:RefOrder>
  </b:Source>
  <b:Source>
    <b:Tag>Fal09</b:Tag>
    <b:SourceType>JournalArticle</b:SourceType>
    <b:Guid>{906D9590-EC8B-4140-BFD0-FBFF5895B669}</b:Guid>
    <b:Title>Commentry: On the wisdom and challenges of culterally attuned treatmenets for Latinos</b:Title>
    <b:Year>2009</b:Year>
    <b:JournalName>Family Process</b:JournalName>
    <b:Pages>292-309</b:Pages>
    <b:Author>
      <b:Author>
        <b:NameList>
          <b:Person>
            <b:Last>Falicov</b:Last>
            <b:Middle>Jaes</b:Middle>
            <b:First>Celia</b:First>
          </b:Person>
        </b:NameList>
      </b:Author>
    </b:Author>
    <b:Volume>48</b:Volume>
    <b:Issue>2</b:Issue>
    <b:URL> https://doi.org/10.1111/j.1545-5300.2009.01282.x</b:URL>
    <b:DOI>10.1111/j.1545-5300.2009.01282.x</b:DOI>
    <b:RefOrder>80</b:RefOrder>
  </b:Source>
  <b:Source>
    <b:Tag>Ber09</b:Tag>
    <b:SourceType>JournalArticle</b:SourceType>
    <b:Guid>{657CF768-C85D-437B-9545-9215F9D056F3}</b:Guid>
    <b:Title>Cultural adaption of treatments: a resource for considering culture in evidence-based practice</b:Title>
    <b:JournalName>Professional Psychology: Research and Practice</b:JournalName>
    <b:Year>2009</b:Year>
    <b:Pages>361-368</b:Pages>
    <b:Author>
      <b:Author>
        <b:NameList>
          <b:Person>
            <b:Last>Bernal</b:Last>
            <b:First>G</b:First>
          </b:Person>
          <b:Person>
            <b:Last>Jimenez</b:Last>
            <b:Middle>MI</b:Middle>
            <b:First>Chafey</b:First>
          </b:Person>
          <b:Person>
            <b:Last>Domenech</b:Last>
            <b:Middle>MM</b:Middle>
            <b:First>Rodriguez</b:First>
          </b:Person>
        </b:NameList>
      </b:Author>
    </b:Author>
    <b:Volume>40</b:Volume>
    <b:Issue>4</b:Issue>
    <b:URL>http://dx.doi.org/10.1037/a0016401</b:URL>
    <b:DOI>10.1037/a0016401</b:DOI>
    <b:RefOrder>81</b:RefOrder>
  </b:Source>
  <b:Source>
    <b:Tag>Dav84</b:Tag>
    <b:SourceType>JournalArticle</b:SourceType>
    <b:Guid>{2BCCB43C-00B3-46A1-B367-DF788E47DA86}</b:Guid>
    <b:Title>Readability-appraising text difficulty." Learning to read in American schools</b:Title>
    <b:JournalName>Basal readers and content texts </b:JournalName>
    <b:Year>1984</b:Year>
    <b:Pages>121-139</b:Pages>
    <b:Author>
      <b:Author>
        <b:NameList>
          <b:Person>
            <b:Last>Davison</b:Last>
            <b:First>A</b:First>
          </b:Person>
        </b:NameList>
      </b:Author>
    </b:Author>
    <b:RefOrder>82</b:RefOrder>
  </b:Source>
  <b:Source>
    <b:Tag>Beu17</b:Tag>
    <b:SourceType>JournalArticle</b:SourceType>
    <b:Guid>{63494618-BBC5-420C-90BA-08EECB211C57}</b:Guid>
    <b:Title>Internet-Based Intervention for Tinnitus: Outcome of a Single-Group Open Trial</b:Title>
    <b:Year>2017</b:Year>
    <b:JournalName>American Academy of Audiology</b:JournalName>
    <b:Pages>340-351</b:Pages>
    <b:Author>
      <b:Author>
        <b:NameList>
          <b:Person>
            <b:Last>Beukes</b:Last>
            <b:Middle>W</b:Middle>
            <b:First>Eldré</b:First>
          </b:Person>
          <b:Person>
            <b:Last>Allen</b:Last>
            <b:Middle>M</b:Middle>
            <b:First>Peter</b:First>
          </b:Person>
          <b:Person>
            <b:Last>Manchaiah</b:Last>
            <b:First>Vinaya</b:First>
          </b:Person>
          <b:Person>
            <b:Last>Baguley</b:Last>
            <b:Middle>M</b:Middle>
            <b:First>David</b:First>
          </b:Person>
          <b:Person>
            <b:Last>Andersson</b:Last>
            <b:First>Gerhard</b:First>
          </b:Person>
        </b:NameList>
      </b:Author>
    </b:Author>
    <b:Volume>12</b:Volume>
    <b:Issue>4</b:Issue>
    <b:URL> https://doi.org/10.3766/jaaa.16055</b:URL>
    <b:DOI>10.3766/jaaa.16055</b:DOI>
    <b:RefOrder>22</b:RefOrder>
  </b:Source>
  <b:Source>
    <b:Tag>Beu19</b:Tag>
    <b:SourceType>JournalArticle</b:SourceType>
    <b:Guid>{E336E295-390C-4684-AD79-2334674B52B5}</b:Guid>
    <b:Title>Process evaluation of Internet-based cognitive behavioural therapy for adults with tinnitus in the context of a randomised control trial</b:Title>
    <b:JournalName>International Journal of Audiology</b:JournalName>
    <b:Year>2018</b:Year>
    <b:Pages>98-109</b:Pages>
    <b:Author>
      <b:Author>
        <b:NameList>
          <b:Person>
            <b:Last>Beukes</b:Last>
            <b:Middle>W</b:Middle>
            <b:First>Eldré </b:First>
          </b:Person>
          <b:Person>
            <b:Last>Manchaiah</b:Last>
            <b:First>Vinaya</b:First>
          </b:Person>
          <b:Person>
            <b:Last>Baguley</b:Last>
            <b:Middle>M</b:Middle>
            <b:First>David</b:First>
          </b:Person>
          <b:Person>
            <b:Last>Allen</b:Last>
            <b:Middle>M</b:Middle>
            <b:First>Peter</b:First>
          </b:Person>
          <b:Person>
            <b:Last>Andersson</b:Last>
            <b:First>Gerhard</b:First>
          </b:Person>
        </b:NameList>
      </b:Author>
    </b:Author>
    <b:Volume>57</b:Volume>
    <b:Issue>2</b:Issue>
    <b:DOI>10.1080/14992027.2017.1384858</b:DOI>
    <b:RefOrder>83</b:RefOrder>
  </b:Source>
  <b:Source>
    <b:Tag>Fry68</b:Tag>
    <b:SourceType>JournalArticle</b:SourceType>
    <b:Guid>{F4DB8A1D-79AB-42FD-B9F9-B06D3A80F49E}</b:Guid>
    <b:Title>A readability formula that saves time</b:Title>
    <b:JournalName>Journal of reading</b:JournalName>
    <b:Year>1968</b:Year>
    <b:Pages>513-578</b:Pages>
    <b:Author>
      <b:Author>
        <b:NameList>
          <b:Person>
            <b:Last>Fry</b:Last>
            <b:First>Edward</b:First>
          </b:Person>
        </b:NameList>
      </b:Author>
    </b:Author>
    <b:Volume>11</b:Volume>
    <b:Issue>7</b:Issue>
    <b:URL>https://www.jstor.org/stable/40013635</b:URL>
    <b:RefOrder>84</b:RefOrder>
  </b:Source>
  <b:Source>
    <b:Tag>Gun52</b:Tag>
    <b:SourceType>Book</b:SourceType>
    <b:Guid>{EBE0A3BF-8936-454D-AD9F-A3D4812BF371}</b:Guid>
    <b:Title>The Technique of Clear Writing</b:Title>
    <b:Year>1952</b:Year>
    <b:Author>
      <b:Author>
        <b:NameList>
          <b:Person>
            <b:Last>Gunning</b:Last>
            <b:First>Robert</b:First>
          </b:Person>
        </b:NameList>
      </b:Author>
    </b:Author>
    <b:City>New York</b:City>
    <b:Publisher>McGraw-Hill</b:Publisher>
    <b:RefOrder>85</b:RefOrder>
  </b:Source>
  <b:Source>
    <b:Tag>Cha95</b:Tag>
    <b:SourceType>Book</b:SourceType>
    <b:Guid>{7219788F-DC40-423D-8F4F-9CB891799AC0}</b:Guid>
    <b:Title>Readability revisited: The new Dale-Chall readability formula</b:Title>
    <b:Year>1995</b:Year>
    <b:City>Cambridge, MA</b:City>
    <b:Publisher>Brookline Books</b:Publisher>
    <b:Author>
      <b:Author>
        <b:NameList>
          <b:Person>
            <b:Last>Chall</b:Last>
            <b:First>Jeanne</b:First>
            <b:Middle>Sternlicht</b:Middle>
          </b:Person>
        </b:NameList>
      </b:Author>
    </b:Author>
    <b:RefOrder>86</b:RefOrder>
  </b:Source>
  <b:Source>
    <b:Tag>Ray77</b:Tag>
    <b:SourceType>JournalArticle</b:SourceType>
    <b:Guid>{514CEB2C-9163-4F23-BE54-791D27070E23}</b:Guid>
    <b:Title>The Raygor readability estimate: A quick and easy way to determine difficulty</b:Title>
    <b:Year>1977</b:Year>
    <b:JournalName>Reading: Theory, research, and practice</b:JournalName>
    <b:Pages>259-263</b:Pages>
    <b:Author>
      <b:Author>
        <b:NameList>
          <b:Person>
            <b:Last>Raygor</b:Last>
            <b:First>Alton</b:First>
            <b:Middle>L</b:Middle>
          </b:Person>
        </b:NameList>
      </b:Author>
    </b:Author>
    <b:RefOrder>87</b:RefOrder>
  </b:Source>
  <b:Source>
    <b:Tag>Coh92</b:Tag>
    <b:SourceType>JournalArticle</b:SourceType>
    <b:Guid>{1EDD01A0-54A7-4658-9B59-2D8C37994C75}</b:Guid>
    <b:Title>A power primer</b:Title>
    <b:JournalName>Psychological Bulletin</b:JournalName>
    <b:Year>1992</b:Year>
    <b:Pages>155</b:Pages>
    <b:Author>
      <b:Author>
        <b:NameList>
          <b:Person>
            <b:Last>Cohen</b:Last>
            <b:First>J</b:First>
          </b:Person>
        </b:NameList>
      </b:Author>
    </b:Author>
    <b:Volume>112</b:Volume>
    <b:Issue>1</b:Issue>
    <b:RefOrder>27</b:RefOrder>
  </b:Source>
  <b:Source>
    <b:Tag>Hal17</b:Tag>
    <b:SourceType>JournalArticle</b:SourceType>
    <b:Guid>{AD452A76-8BB9-436F-B5FD-5DF4E35CA888}</b:Guid>
    <b:Title>A good practice guide for translating and adapting</b:Title>
    <b:JournalName>International Journal of Audiology</b:JournalName>
    <b:Year>2017</b:Year>
    <b:Pages>1-15</b:Pages>
    <b:Author>
      <b:Author>
        <b:NameList>
          <b:Person>
            <b:Last>Hall</b:Last>
            <b:First>Deborah</b:First>
            <b:Middle>A</b:Middle>
          </b:Person>
          <b:Person>
            <b:Last>Zaragoza</b:Last>
            <b:First>Domingo</b:First>
          </b:Person>
          <b:Person>
            <b:Last>Hamdache</b:Last>
            <b:First>Leila</b:First>
            <b:Middle>Z</b:Middle>
          </b:Person>
          <b:Person>
            <b:Last>Manchaiah</b:Last>
            <b:First>Vinaya</b:First>
          </b:Person>
          <b:Person>
            <b:Last>Thammaiah</b:Last>
            <b:First>Spoorthi</b:First>
          </b:Person>
          <b:Person>
            <b:Last>Evans</b:Last>
            <b:First>Chris</b:First>
          </b:Person>
          <b:Person>
            <b:Last>Wong</b:Last>
            <b:First>Lena</b:First>
            <b:Middle>L.N.</b:Middle>
          </b:Person>
        </b:NameList>
      </b:Author>
    </b:Author>
    <b:URL>https://doi.org/10.1080/14992027.2017.1393565</b:URL>
    <b:DOI>10.1080/14992027.2017.1393565</b:DOI>
    <b:RefOrder>88</b:RefOrder>
  </b:Source>
  <b:Source>
    <b:Tag>Sea19</b:Tag>
    <b:SourceType>JournalArticle</b:SourceType>
    <b:Guid>{0E822ABD-FD70-4614-BBA4-8803267AA845}</b:Guid>
    <b:Title>A client oriented scale of improvement in tinnitus for therapy goal planning and assessing outcomes</b:Title>
    <b:JournalName>Journal of the American Academy of Audiology,</b:JournalName>
    <b:Year>2019</b:Year>
    <b:Pages>327-337</b:Pages>
    <b:Author>
      <b:Author>
        <b:NameList>
          <b:Person>
            <b:Last>Searchfield</b:Last>
            <b:Middle>D</b:Middle>
            <b:First>Grant</b:First>
          </b:Person>
        </b:NameList>
      </b:Author>
    </b:Author>
    <b:Volume>30</b:Volume>
    <b:Issue>4</b:Issue>
    <b:URL>https://doi.org/10.3766/jaaa.17119</b:URL>
    <b:DOI>10.3766/jaaa.17119</b:DOI>
    <b:RefOrder>89</b:RefOrder>
  </b:Source>
  <b:Source>
    <b:Tag>Bha16</b:Tag>
    <b:SourceType>JournalArticle</b:SourceType>
    <b:Guid>{D6D1379B-5DEE-4BA0-8E9E-548DA8BF9824}</b:Guid>
    <b:Title>Prevalence, severity, exposures, and treatment patterns of Tinnitus in the United States</b:Title>
    <b:Year>2016</b:Year>
    <b:JournalName>JAMA Otolaryngology Head and Neck Surgery</b:JournalName>
    <b:Author>
      <b:Author>
        <b:NameList>
          <b:Person>
            <b:Last>Bhatt</b:Last>
            <b:Middle>M</b:Middle>
            <b:First>J</b:First>
          </b:Person>
          <b:Person>
            <b:Last>Lin</b:Last>
            <b:Middle>M</b:Middle>
            <b:First>H</b:First>
          </b:Person>
          <b:Person>
            <b:Last>Bhattacharya</b:Last>
            <b:First>N</b:First>
          </b:Person>
        </b:NameList>
      </b:Author>
    </b:Author>
    <b:Volume>21</b:Volume>
    <b:DOI>10.1001/jamaoto.2016.1700</b:DOI>
    <b:RefOrder>90</b:RefOrder>
  </b:Source>
  <b:Source>
    <b:Tag>Gil80</b:Tag>
    <b:SourceType>JournalArticle</b:SourceType>
    <b:Guid>{F4B9ADE6-1D34-4F43-8D95-D8F4651CFEBF}</b:Guid>
    <b:Title>The Fry Graph Applied to Spanish Readability</b:Title>
    <b:JournalName>The Reading Teacher</b:JournalName>
    <b:Year>1980</b:Year>
    <b:Pages>426-430</b:Pages>
    <b:Author>
      <b:Author>
        <b:NameList>
          <b:Person>
            <b:Last>Gilliam</b:Last>
            <b:First>B</b:First>
          </b:Person>
          <b:Person>
            <b:Last>Peña</b:Last>
            <b:Middle>C</b:Middle>
            <b:First>Sylvia</b:First>
          </b:Person>
          <b:Person>
            <b:Last>Mountain</b:Last>
            <b:First>Lee</b:First>
          </b:Person>
        </b:NameList>
      </b:Author>
    </b:Author>
    <b:Volume>33</b:Volume>
    <b:Issue>4</b:Issue>
    <b:URL>http://www.jstor.org/stable/20195034.</b:URL>
    <b:RefOrder>91</b:RefOrder>
  </b:Source>
  <b:Source>
    <b:Tag>Cra84</b:Tag>
    <b:SourceType>JournalArticle</b:SourceType>
    <b:Guid>{B447856F-2527-4491-B617-AEFAD0F90B5C}</b:Guid>
    <b:Title>A Spanish Language Fry-Type Readability Procedure: Elementrary Level. </b:Title>
    <b:JournalName>Bilingual Education Paper Series</b:JournalName>
    <b:Year>1984</b:Year>
    <b:Author>
      <b:Author>
        <b:NameList>
          <b:Person>
            <b:Last>Crawford</b:Last>
            <b:Middle>N</b:Middle>
            <b:First>Alan</b:First>
          </b:Person>
        </b:NameList>
      </b:Author>
    </b:Author>
    <b:Volume>7</b:Volume>
    <b:Issue>8</b:Issue>
    <b:RefOrder>92</b:RefOrder>
  </b:Source>
  <b:Source>
    <b:Tag>Con99</b:Tag>
    <b:SourceType>JournalArticle</b:SourceType>
    <b:Guid>{DB0C1B89-4E47-4E55-B7C6-1B11935E9DFF}</b:Guid>
    <b:Title>he SOL Formulas for Converting SMOG Readability Scores Between Health Education Materials Written in Spanish, English, and French</b:Title>
    <b:JournalName>Journal of Health Communication</b:JournalName>
    <b:Year>1999</b:Year>
    <b:Pages>21-29</b:Pages>
    <b:Author>
      <b:Author>
        <b:NameList>
          <b:Person>
            <b:Last>Contreras</b:Last>
            <b:First>Alfonso </b:First>
          </b:Person>
          <b:Person>
            <b:Last>Garcia-Alonso</b:Last>
            <b:First>Rafael </b:First>
          </b:Person>
          <b:Person>
            <b:Last>Echenique</b:Last>
            <b:First>Marta</b:First>
          </b:Person>
          <b:Person>
            <b:Last>Daye-Contreras </b:Last>
            <b:First>Fedora </b:First>
          </b:Person>
        </b:NameList>
      </b:Author>
    </b:Author>
    <b:Volume>4</b:Volume>
    <b:Issue>1</b:Issue>
    <b:DOI>10.1080/108107399127066</b:DOI>
    <b:RefOrder>93</b:RefOrder>
  </b:Source>
  <b:Source>
    <b:Tag>Hed08</b:Tag>
    <b:SourceType>JournalArticle</b:SourceType>
    <b:Guid>{1B840961-C007-4906-9AC6-6749C285E3B6}</b:Guid>
    <b:Title>Using the SMOG Formula to Revise a Health-Related Document</b:Title>
    <b:JournalName>American Journal of Health Education</b:JournalName>
    <b:Year>2008</b:Year>
    <b:Pages>61-64</b:Pages>
    <b:Author>
      <b:Author>
        <b:NameList>
          <b:Person>
            <b:Last>Hedman</b:Last>
            <b:Middle>S</b:Middle>
            <b:First>A</b:First>
          </b:Person>
        </b:NameList>
      </b:Author>
    </b:Author>
    <b:Volume>39</b:Volume>
    <b:Issue>1</b:Issue>
    <b:RefOrder>94</b:RefOrder>
  </b:Source>
  <b:Source>
    <b:Tag>Placeholder2</b:Tag>
    <b:SourceType>JournalArticle</b:SourceType>
    <b:Guid>{F74DE3BE-0B1D-4A3E-B49B-F787A7775BB0}</b:Guid>
    <b:Title>Cultural adaption of treatments: a resource for considering culture in evidence-based practice</b:Title>
    <b:JournalName>Professional Psychology: Research and Practice</b:JournalName>
    <b:Year>2009</b:Year>
    <b:Pages>361-368</b:Pages>
    <b:Author>
      <b:Author>
        <b:NameList>
          <b:Person>
            <b:Last>Bernal</b:Last>
            <b:First>G</b:First>
          </b:Person>
          <b:Person>
            <b:Last>Jimenez</b:Last>
            <b:Middle>MI</b:Middle>
            <b:First>Chafey</b:First>
          </b:Person>
          <b:Person>
            <b:Last>Domenech</b:Last>
            <b:Middle>MM</b:Middle>
            <b:First>Rodriguez</b:First>
          </b:Person>
        </b:NameList>
      </b:Author>
    </b:Author>
    <b:Volume>40</b:Volume>
    <b:Issue>4</b:Issue>
    <b:URL>http://dx.doi.org/10.1037/a0016401</b:URL>
    <b:DOI>10.1037/a0016401</b:DOI>
    <b:RefOrder>95</b:RefOrder>
  </b:Source>
  <b:Source>
    <b:Tag>McK18</b:Tag>
    <b:SourceType>JournalArticle</b:SourceType>
    <b:Guid>{F7DD989F-0114-4A59-82E2-1BBC69EFA8B5}</b:Guid>
    <b:Title>Mindfulness-Based Cognitive Therapy for Chronic Tinnitus: Evaluation of Benefits in a Large Sample of Patients Attending a Tinnitus Clinic.</b:Title>
    <b:Year>2018</b:Year>
    <b:Author>
      <b:Author>
        <b:NameList>
          <b:Person>
            <b:Last>McKenna</b:Last>
            <b:First>Laurence</b:First>
          </b:Person>
          <b:Person>
            <b:Last>Marks</b:Last>
            <b:Middle>M</b:Middle>
            <b:First>Elizabeth</b:First>
          </b:Person>
          <b:Person>
            <b:Last>Vogt</b:Last>
            <b:First>Florian</b:First>
          </b:Person>
        </b:NameList>
      </b:Author>
    </b:Author>
    <b:JournalName>Ear and Hearing</b:JournalName>
    <b:Pages>359-366</b:Pages>
    <b:Volume>39</b:Volume>
    <b:Issue>2</b:Issue>
    <b:DOI>10.1097/AUD.0000000000000491</b:DOI>
    <b:RefOrder>96</b:RefOrder>
  </b:Source>
  <b:Source>
    <b:Tag>McJ17</b:Tag>
    <b:SourceType>JournalArticle</b:SourceType>
    <b:Guid>{32E68FC5-C4BE-4EED-AF77-F3454FD08609}</b:Guid>
    <b:Title>Mindfulness-Based Cognitive Therapy as a Treatment for Chronic Tinnitus: A Randomized Controlled Trial</b:Title>
    <b:JournalName>Psychotherapy and Psychosomatics</b:JournalName>
    <b:Year>2017</b:Year>
    <b:Pages>351-361</b:Pages>
    <b:Author>
      <b:Author>
        <b:NameList>
          <b:Person>
            <b:Last>McKenna</b:Last>
            <b:First>L</b:First>
          </b:Person>
          <b:Person>
            <b:Last>Marks</b:Last>
            <b:Middle>M</b:Middle>
            <b:First>E</b:First>
          </b:Person>
          <b:Person>
            <b:Last>Hallsworth</b:Last>
            <b:Middle>A</b:Middle>
            <b:First>C</b:First>
          </b:Person>
          <b:Person>
            <b:Last>Schaette</b:Last>
            <b:First>R</b:First>
          </b:Person>
        </b:NameList>
      </b:Author>
    </b:Author>
    <b:Volume>86</b:Volume>
    <b:Issue>6</b:Issue>
    <b:URL>https://doi.org/10.1159/000478267</b:URL>
    <b:DOI>10.1159/000478267</b:DOI>
    <b:RefOrder>97</b:RefOrder>
  </b:Source>
  <b:Source>
    <b:Tag>Placeholder1</b:Tag>
    <b:SourceType>JournalArticle</b:SourceType>
    <b:Guid>{DC5DDF38-7F9C-42D8-8732-42BD8187B5CF}</b:Guid>
    <b:Author>
      <b:Author>
        <b:NameList>
          <b:Person>
            <b:Last>Ley</b:Last>
            <b:First>P.</b:First>
          </b:Person>
          <b:Person>
            <b:Last>Florio</b:Last>
            <b:First>T.</b:First>
          </b:Person>
        </b:NameList>
      </b:Author>
    </b:Author>
    <b:Title>The use of readability formulas in health care.</b:Title>
    <b:JournalName>Psychology, Health &amp; Medicine</b:JournalName>
    <b:Pages>1, 7-28</b:Pages>
    <b:Year>1996</b:Year>
    <b:RefOrder>98</b:RefOrder>
  </b:Source>
  <b:Source>
    <b:Tag>Gui09</b:Tag>
    <b:SourceType>JournalArticle</b:SourceType>
    <b:Guid>{7520A2AB-ED71-45DF-B9FC-73FC91A6D8E7}</b:Guid>
    <b:Title>Cultural adaptation of treatments: A resource for considering culture in evidence-based practice.</b:Title>
    <b:JournalName>Professional Psychology: Research and Practice</b:JournalName>
    <b:Year>2009</b:Year>
    <b:Pages>361-368</b:Pages>
    <b:Author>
      <b:Author>
        <b:NameList>
          <b:Person>
            <b:Last>Bernal</b:Last>
            <b:First>G</b:First>
          </b:Person>
          <b:Person>
            <b:Last>Jiménez-Chafey</b:Last>
            <b:First>Maria</b:First>
          </b:Person>
          <b:Person>
            <b:Last> Domenech Rodríguez </b:Last>
            <b:Middle>M</b:Middle>
            <b:First>M</b:First>
          </b:Person>
        </b:NameList>
      </b:Author>
    </b:Author>
    <b:Volume>40</b:Volume>
    <b:Issue>4</b:Issue>
    <b:URL>http://dx.doi.org/10.1037/a0016401</b:URL>
    <b:DOI>10.1037/a0016401</b:DOI>
    <b:RefOrder>99</b:RefOrder>
  </b:Source>
  <b:Source>
    <b:Tag>Haw10</b:Tag>
    <b:SourceType>JournalArticle</b:SourceType>
    <b:Guid>{415E4457-26EF-415A-9956-1B72099062EF}</b:Guid>
    <b:Title>Culturally appropriate health education for Type 2 diabetes in ethnic minority groups: a systematic and narrative review of randomized controlled trials</b:Title>
    <b:Year>2010</b:Year>
    <b:JournalName>Diabetic medicine</b:JournalName>
    <b:Pages>613-623</b:Pages>
    <b:Volume>27</b:Volume>
    <b:Issue>6</b:Issue>
    <b:URL>https://doi.org/10.1111/j.1464-5491.2010.02954.x</b:URL>
    <b:DOI>10.1111/j.1464-5491.2010.02954.x</b:DOI>
    <b:Author>
      <b:Author>
        <b:NameList>
          <b:Person>
            <b:Last>Hawthorne</b:Last>
            <b:First>K</b:First>
          </b:Person>
          <b:Person>
            <b:Last>Robles</b:Last>
            <b:First>Y</b:First>
          </b:Person>
          <b:Person>
            <b:Last>Canning-John</b:Last>
            <b:First>R</b:First>
          </b:Person>
          <b:Person>
            <b:Last>Edwards</b:Last>
            <b:Middle>G.K.</b:Middle>
            <b:First>A</b:First>
          </b:Person>
        </b:NameList>
      </b:Author>
    </b:Author>
    <b:RefOrder>100</b:RefOrder>
  </b:Source>
  <b:Source>
    <b:Tag>Ric14</b:Tag>
    <b:SourceType>JournalArticle</b:SourceType>
    <b:Guid>{038183ED-4536-459B-8D40-B6E423515E1F}</b:Guid>
    <b:Title>Characteristics and effectiveness of diabetes self-management educational programs targeted to racial/ethnic minority groups: a systematic review, meta-analysis and meta-regression</b:Title>
    <b:JournalName>BMC Endocrine Disorders</b:JournalName>
    <b:Year>2014</b:Year>
    <b:Pages>60</b:Pages>
    <b:Author>
      <b:Author>
        <b:NameList>
          <b:Person>
            <b:Last>Ricci-Cabello</b:Last>
            <b:First>Ignacio</b:First>
          </b:Person>
          <b:Person>
            <b:Last>Ruiz-Pérez</b:Last>
            <b:First>Isabel</b:First>
          </b:Person>
          <b:Person>
            <b:Last>Rojas-García</b:Last>
            <b:First>Antonio</b:First>
          </b:Person>
          <b:Person>
            <b:Last>Pastor</b:Last>
            <b:First>Guadalupe</b:First>
          </b:Person>
          <b:Person>
            <b:Last>Rodríguez-Barranco</b:Last>
            <b:First>Miguel</b:First>
          </b:Person>
          <b:Person>
            <b:Last>Gonçalves</b:Last>
            <b:Middle>C</b:Middle>
            <b:First>Daniela</b:First>
          </b:Person>
        </b:NameList>
      </b:Author>
    </b:Author>
    <b:Volume>14</b:Volume>
    <b:URL>https://doi.org/10.1186/1472-6823-14-60</b:URL>
    <b:DOI>10.1186/1472-6823-14-60</b:DOI>
    <b:RefOrder>101</b:RefOrder>
  </b:Source>
  <b:Source>
    <b:Tag>Zeh12</b:Tag>
    <b:SourceType>JournalArticle</b:SourceType>
    <b:Guid>{CAC9E834-CCA9-4EBB-A943-C3361694CED9}</b:Guid>
    <b:Title>The impact of culturally competent diabetes care interventions for improving diabetes‐related outcomes in ethnic minority groups: a systematic review</b:Title>
    <b:JournalName>Diabetic Medicine</b:JournalName>
    <b:Year>2012</b:Year>
    <b:Pages>1237-1252</b:Pages>
    <b:Author>
      <b:Author>
        <b:NameList>
          <b:Person>
            <b:Last>Zeh</b:Last>
            <b:First>P</b:First>
          </b:Person>
          <b:Person>
            <b:Last>Sandhu</b:Last>
            <b:Middle>K</b:Middle>
            <b:First>H</b:First>
          </b:Person>
          <b:Person>
            <b:Last>Cannaby</b:Last>
            <b:Middle>M</b:Middle>
            <b:First>A</b:First>
          </b:Person>
          <b:Person>
            <b:Last>Sturt</b:Last>
            <b:Middle>A</b:Middle>
            <b:First>J</b:First>
          </b:Person>
        </b:NameList>
      </b:Author>
    </b:Author>
    <b:Volume>29</b:Volume>
    <b:URL>https://doi.org/10.1111/j.1464-5491.2012.03701.x</b:URL>
    <b:DOI>10.1111/j.1464-5491.2012.03701.x</b:DOI>
    <b:RefOrder>102</b:RefOrder>
  </b:Source>
  <b:Source>
    <b:Tag>peo10</b:Tag>
    <b:SourceType>Report</b:SourceType>
    <b:Guid>{F8604939-C523-4D40-A625-00A1123C372B}</b:Guid>
    <b:Year>2010</b:Year>
    <b:Author>
      <b:Author>
        <b:NameList>
          <b:Person>
            <b:Last>U.S Department of Health and Human Services</b:Last>
          </b:Person>
        </b:NameList>
      </b:Author>
    </b:Author>
    <b:Publisher>U.S. Government Printing Office</b:Publisher>
    <b:City>Washington, DC</b:City>
    <b:URL>http://www/health/gov/healthypeople/.</b:URL>
    <b:Title>Healthy People</b:Title>
    <b:RefOrder>26</b:RefOrder>
  </b:Source>
  <b:Source>
    <b:Tag>Bar14</b:Tag>
    <b:SourceType>JournalArticle</b:SourceType>
    <b:Guid>{51AD0592-1080-4963-A17B-2C2C88C53B8C}</b:Guid>
    <b:Title>Cultural Adaptations of Behavioral Health Interventions: A Progress Report</b:Title>
    <b:Year>2013</b:Year>
    <b:JournalName>Journal of consulting and clinical psychology</b:JournalName>
    <b:Pages>196-205</b:Pages>
    <b:Author>
      <b:Author>
        <b:NameList>
          <b:Person>
            <b:Last>Barrera</b:Last>
            <b:First>M</b:First>
          </b:Person>
          <b:Person>
            <b:Last>Castro</b:Last>
            <b:Middle>G</b:Middle>
            <b:First>F</b:First>
          </b:Person>
          <b:Person>
            <b:Last>Strycker</b:Last>
            <b:Middle>A</b:Middle>
            <b:First>L</b:First>
          </b:Person>
          <b:Person>
            <b:Last>Toobert</b:Last>
            <b:Middle>J</b:Middle>
            <b:First>D</b:First>
          </b:Person>
        </b:NameList>
      </b:Author>
    </b:Author>
    <b:Volume>81</b:Volume>
    <b:Issue>2</b:Issue>
    <b:DOI>10.1037/a0027085</b:DOI>
    <b:RefOrder>103</b:RefOrder>
  </b:Source>
  <b:Source>
    <b:Tag>Dév04</b:Tag>
    <b:SourceType>JournalArticle</b:SourceType>
    <b:Guid>{AB0D4EDC-B515-4123-BF11-94EC891FC46A}</b:Guid>
    <b:Title>Context and common ground: cultural adaptation of an intervention for minority HIV infected individuals</b:Title>
    <b:JournalName>Journal of Cultural Diversity</b:JournalName>
    <b:Year>2004</b:Year>
    <b:Pages>49</b:Pages>
    <b:Author>
      <b:Author>
        <b:NameList>
          <b:Person>
            <b:Last>Dévieux</b:Last>
            <b:Middle>G</b:Middle>
            <b:First>J</b:First>
          </b:Person>
          <b:Person>
            <b:Last>Malow</b:Last>
            <b:Middle>M</b:Middle>
            <b:First>R</b:First>
          </b:Person>
          <b:Person>
            <b:Last>Rosenberg</b:Last>
            <b:First>R</b:First>
          </b:Person>
          <b:Person>
            <b:Last>Dyer</b:Last>
            <b:Middle>G</b:Middle>
            <b:First>J</b:First>
          </b:Person>
        </b:NameList>
      </b:Author>
    </b:Author>
    <b:Volume>11</b:Volume>
    <b:Issue>2</b:Issue>
    <b:RefOrder>104</b:RefOrder>
  </b:Source>
  <b:Source>
    <b:Tag>Gri07</b:Tag>
    <b:SourceType>JournalArticle</b:SourceType>
    <b:Guid>{15289839-C43B-4F3F-B22C-F1F8DD2D86B9}</b:Guid>
    <b:Title>Culturally adapted mental health intervention: A meta-analytic review.</b:Title>
    <b:JournalName>Psychotherapy: Theory, Research, Practice, Training</b:JournalName>
    <b:Year>2006</b:Year>
    <b:Pages>531-548</b:Pages>
    <b:Author>
      <b:Author>
        <b:NameList>
          <b:Person>
            <b:Last>Griner</b:Last>
            <b:First>D</b:First>
          </b:Person>
          <b:Person>
            <b:Last>Smith</b:Last>
            <b:Middle>B</b:Middle>
            <b:First>T</b:First>
          </b:Person>
        </b:NameList>
      </b:Author>
    </b:Author>
    <b:Volume>43</b:Volume>
    <b:Issue>4</b:Issue>
    <b:URL>http://dx.doi.org/10.1037/0033-3204.43.4.531</b:URL>
    <b:DOI>10.1037/0033-3204.43.4.531</b:DOI>
    <b:RefOrder>105</b:RefOrder>
  </b:Source>
  <b:Source>
    <b:Tag>Maned</b:Tag>
    <b:SourceType>JournalArticle</b:SourceType>
    <b:Guid>{4DE06D10-A0D5-412F-B4D7-173853A566B4}</b:Guid>
    <b:Title>Quality, readability and suitability of ear and hearing health related materials targeted at patients and their significant others: A systematic review</b:Title>
    <b:JournalName>Laryngogoscope</b:JournalName>
    <b:Year>Submitted</b:Year>
    <b:Author>
      <b:Author>
        <b:NameList>
          <b:Person>
            <b:Last>Manchiah</b:Last>
            <b:First>V</b:First>
          </b:Person>
          <b:Person>
            <b:Last>Kelly-Campbell</b:Last>
            <b:Middle>J</b:Middle>
            <b:First>Rebecca</b:First>
          </b:Person>
          <b:Person>
            <b:Last>Bellon-Harn</b:Last>
            <b:Middle>L</b:Middle>
            <b:First>M</b:First>
          </b:Person>
          <b:Person>
            <b:Last>Beukes</b:Last>
            <b:Middle>W</b:Middle>
            <b:First>E</b:First>
          </b:Person>
        </b:NameList>
      </b:Author>
    </b:Author>
    <b:RefOrder>106</b:RefOrder>
  </b:Source>
  <b:Source>
    <b:Tag>Com09</b:Tag>
    <b:SourceType>Report</b:SourceType>
    <b:Guid>{32727794-CC7D-4786-8C32-2CA90E113100}</b:Guid>
    <b:Title>Comparative report on health literacy in eight EU Member States</b:Title>
    <b:Year>2009</b:Year>
    <b:Publisher>The European Health Literacy Project</b:Publisher>
    <b:RefOrder>107</b:RefOrder>
  </b:Source>
  <b:Source>
    <b:Tag>Int13</b:Tag>
    <b:SourceType>InternetSite</b:SourceType>
    <b:Guid>{F0590C30-E1C7-47F3-8180-D029F88178EB}</b:Guid>
    <b:Author>
      <b:Author>
        <b:NameList>
          <b:Person>
            <b:Last>Plain Language Association International</b:Last>
          </b:Person>
        </b:NameList>
      </b:Author>
    </b:Author>
    <b:Title>Plain Language Association International</b:Title>
    <b:Year>2013</b:Year>
    <b:Month>May</b:Month>
    <b:Day>15</b:Day>
    <b:URL>http://plainlanguagenetwork.org</b:URL>
    <b:RefOrder>108</b:RefOrder>
  </b:Source>
  <b:Source>
    <b:Tag>Kic17</b:Tag>
    <b:SourceType>DocumentFromInternetSite</b:SourceType>
    <b:Guid>{5CE07AD9-A211-421D-8E9E-B5411F225C57}</b:Guid>
    <b:Title>Health literacy: The solid facts. 2013.</b:Title>
    <b:Year>2013</b:Year>
    <b:Author>
      <b:Author>
        <b:NameList>
          <b:Person>
            <b:Last>Kickbusch</b:Last>
            <b:First>I.</b:First>
          </b:Person>
          <b:Person>
            <b:Last>Pelikan</b:Last>
            <b:First>J.M.</b:First>
          </b:Person>
          <b:Person>
            <b:Last>Apfel</b:Last>
            <b:First>F</b:First>
          </b:Person>
          <b:Person>
            <b:Last>Tsouros</b:Last>
            <b:First>A. D.</b:First>
          </b:Person>
        </b:NameList>
      </b:Author>
      <b:ProducerName>
        <b:NameList>
          <b:Person>
            <b:Last>World Health Organization</b:Last>
            <b:First>Regional</b:First>
            <b:Middle>Office for Europe</b:Middle>
          </b:Person>
        </b:NameList>
      </b:ProducerName>
    </b:Author>
    <b:InternetSiteTitle>World Health Organization, Regional Office for Europe</b:InternetSiteTitle>
    <b:URL>http://www. euro. who. int/__data/assets/pdf_file/0008/190655/e96854. pdf</b:URL>
    <b:RefOrder>109</b:RefOrder>
  </b:Source>
  <b:Source>
    <b:Tag>Sør15</b:Tag>
    <b:SourceType>JournalArticle</b:SourceType>
    <b:Guid>{996621CD-4957-4469-80A6-8081A5795828}</b:Guid>
    <b:Title>Health literacy in Europe: comparative results of the European health literacy survey (HLS-EU)</b:Title>
    <b:Year>2015</b:Year>
    <b:Author>
      <b:Author>
        <b:NameList>
          <b:Person>
            <b:Last>Sørensen</b:Last>
            <b:Middle>J</b:Middle>
            <b:First>K</b:First>
          </b:Person>
          <b:Person>
            <b:Last>Pelikan</b:Last>
            <b:Middle>M</b:Middle>
            <b:First>J</b:First>
          </b:Person>
          <b:Person>
            <b:Last>Roethlin</b:Last>
            <b:First>F</b:First>
          </b:Person>
          <b:Person>
            <b:Last>Ganahl</b:Last>
            <b:First>K</b:First>
          </b:Person>
          <b:Person>
            <b:Last>Slonska</b:Last>
            <b:Middle>A</b:Middle>
            <b:First>Z</b:First>
          </b:Person>
          <b:Person>
            <b:Last>Doyle</b:Last>
            <b:First>G</b:First>
          </b:Person>
          <b:Person>
            <b:Last>Fullam</b:Last>
            <b:First>J</b:First>
          </b:Person>
          <b:Person>
            <b:Last>Brand</b:Last>
            <b:First>H</b:First>
          </b:Person>
        </b:NameList>
      </b:Author>
    </b:Author>
    <b:JournalName>European Journal of Public Health</b:JournalName>
    <b:Pages>1053-8</b:Pages>
    <b:Volume>25</b:Volume>
    <b:DOI>10.1093/eurpub/ckv043</b:DOI>
    <b:RefOrder>110</b:RefOrder>
  </b:Source>
  <b:Source>
    <b:Tag>Wei03</b:Tag>
    <b:SourceType>Report</b:SourceType>
    <b:Guid>{FB86D613-F0DE-4FC2-A0B5-96C1EE8758B3}</b:Guid>
    <b:Title>Health Literacy: A Manual for Clinicians</b:Title>
    <b:Year>2003</b:Year>
    <b:Publisher>American Medical Association Foundation</b:Publisher>
    <b:City>Chicargo, IL</b:City>
    <b:Author>
      <b:Author>
        <b:NameList>
          <b:Person>
            <b:Last>Weiss</b:Last>
            <b:Middle>D</b:Middle>
            <b:First>B</b:First>
          </b:Person>
        </b:NameList>
      </b:Author>
    </b:Author>
    <b:RefOrder>111</b:RefOrder>
  </b:Source>
  <b:Source>
    <b:Tag>USC17</b:Tag>
    <b:SourceType>Report</b:SourceType>
    <b:Guid>{83F59F51-4B59-444E-965D-0F874D190FEF}</b:Guid>
    <b:Title>New American Community Survey Statistics for Income, Poverty and Health Insurance Available for States and Local Areas</b:Title>
    <b:Year>2017</b:Year>
    <b:Author>
      <b:Author>
        <b:NameList>
          <b:Person>
            <b:Last>US Census Bureau</b:Last>
          </b:Person>
        </b:NameList>
      </b:Author>
    </b:Author>
    <b:Publisher>Public Information Office</b:Publisher>
    <b:City>Washington</b:City>
    <b:URL>https://www.census.gov/newsroom/press-releases/2018/acs-1year.html</b:URL>
    <b:RefOrder>112</b:RefOrder>
  </b:Source>
  <b:Source>
    <b:Tag>Hud18</b:Tag>
    <b:SourceType>BookSection</b:SourceType>
    <b:Guid>{DE2A6035-8DCE-47FA-88AF-253C026E5272}</b:Guid>
    <b:Title>Improving health and the bottom line: The case for health literacy. In Building the Case for Health Literacy: Proceedings of a Workshop.</b:Title>
    <b:Year>2018</b:Year>
    <b:Publisher>National Academies Press (US)</b:Publisher>
    <b:City>Washington</b:City>
    <b:BookTitle>In: National Academies of Sciences, Engineering, and Medicine; Health and Medicine Division; Board on Population Health and Public Health Practice; Roundtable on Health Literacy. Building the Case for Health Literacy: Proceedings of a Workshop.</b:BookTitle>
    <b:Author>
      <b:Author>
        <b:NameList>
          <b:Person>
            <b:Last>Hudson</b:Last>
            <b:First>Stan</b:First>
          </b:Person>
          <b:Person>
            <b:Last>Rikard</b:Last>
            <b:Middle>V</b:Middle>
            <b:First>R</b:First>
          </b:Person>
          <b:Person>
            <b:Last>Staiculescu</b:Last>
            <b:First>Ioana </b:First>
          </b:Person>
        </b:NameList>
      </b:Author>
    </b:Author>
    <b:RefOrder>113</b:RefOrder>
  </b:Source>
  <b:Source>
    <b:Tag>Abb09</b:Tag>
    <b:SourceType>JournalArticle</b:SourceType>
    <b:Guid>{FC00DA77-32D5-4F12-94E0-CAB11B9B015B}</b:Guid>
    <b:Title>A cluster randomised controlled trial of an Internet-based intervention program for tinnitus distress in an industrial setting.</b:Title>
    <b:Year>2009</b:Year>
    <b:Author>
      <b:Author>
        <b:NameList>
          <b:Person>
            <b:Last>Abbott</b:Last>
            <b:First>J.,</b:First>
            <b:Middle>M.</b:Middle>
          </b:Person>
          <b:Person>
            <b:Last>Kaldo</b:Last>
            <b:First>V.</b:First>
          </b:Person>
          <b:Person>
            <b:Last>Klein</b:Last>
            <b:First>B.</b:First>
          </b:Person>
          <b:Person>
            <b:Last>Austin</b:Last>
            <b:First>D.</b:First>
          </b:Person>
          <b:Person>
            <b:Last>Hamilton</b:Last>
            <b:First>C.</b:First>
          </b:Person>
          <b:Person>
            <b:Last>Piterman</b:Last>
            <b:First>L</b:First>
          </b:Person>
          <b:Person>
            <b:Last>&amp; Andersson</b:Last>
            <b:First>G.</b:First>
          </b:Person>
        </b:NameList>
      </b:Author>
    </b:Author>
    <b:JournalName>Cognitive Behaviour Therapy</b:JournalName>
    <b:Pages>162-173</b:Pages>
    <b:Volume>38</b:Volume>
    <b:RefOrder>16</b:RefOrder>
  </b:Source>
  <b:Source>
    <b:Tag>Jas14</b:Tag>
    <b:SourceType>JournalArticle</b:SourceType>
    <b:Guid>{9D001747-08A2-4E8A-9836-97530FCF9A1E}</b:Guid>
    <b:Title>Internet-based guided self-help versus group cognitive behavioral therapy for chronic tinnitus: A randomized controlled trial.</b:Title>
    <b:JournalName>Psychotherapy and Psychosomatics</b:JournalName>
    <b:Year>2014</b:Year>
    <b:Author>
      <b:Author>
        <b:NameList>
          <b:Person>
            <b:Last>Jasper</b:Last>
            <b:First>J.</b:First>
          </b:Person>
          <b:Person>
            <b:Last>Weise</b:Last>
            <b:First>C.</b:First>
          </b:Person>
          <b:Person>
            <b:Last>Schweda</b:Last>
            <b:First>I.</b:First>
          </b:Person>
          <b:Person>
            <b:Last>Andersson</b:Last>
            <b:First>G.</b:First>
          </b:Person>
          <b:Person>
            <b:Last>Hiller</b:Last>
            <b:First>W.</b:First>
          </b:Person>
          <b:Person>
            <b:Last>&amp; Kleinstäuber</b:Last>
            <b:First>M.</b:First>
          </b:Person>
        </b:NameList>
      </b:Author>
    </b:Author>
    <b:Pages>234-246</b:Pages>
    <b:RefOrder>114</b:RefOrder>
  </b:Source>
  <b:Source>
    <b:Tag>USC12</b:Tag>
    <b:SourceType>InternetSite</b:SourceType>
    <b:Guid>{A1D1BC70-9272-43F3-835A-38EC58149605}</b:Guid>
    <b:Title>Toolkit Part 7: Using readability formulas. </b:Title>
    <b:Year>2012</b:Year>
    <b:URL>https://www.cms.gov/Outreach-and-Education/Outreach/WrittenMaterialsToolkit/ToolkitPart07.html</b:URL>
    <b:YearAccessed>2019</b:YearAccessed>
    <b:DayAccessed>9 July</b:DayAccessed>
    <b:Author>
      <b:Author>
        <b:NameList>
          <b:Person>
            <b:Last>U.S. Centers for Medicare and Medicaid Service</b:Last>
          </b:Person>
        </b:NameList>
      </b:Author>
    </b:Author>
    <b:RefOrder>115</b:RefOrder>
  </b:Source>
  <b:Source>
    <b:Tag>Des04</b:Tag>
    <b:SourceType>JournalArticle</b:SourceType>
    <b:Guid>{273DBB44-2D85-4647-BDB8-EDA82C9AB087}</b:Guid>
    <b:Title>Improving the reporting quality of nonrandomized evaluations of behavioral and public health interventions: The TREND statement.</b:Title>
    <b:JournalName>American Journal of Public Health</b:JournalName>
    <b:Year>2004</b:Year>
    <b:Pages>361-366</b:Pages>
    <b:Author>
      <b:Author>
        <b:NameList>
          <b:Person>
            <b:Last>Des Jarlais</b:Last>
            <b:First>D.C.</b:First>
          </b:Person>
          <b:Person>
            <b:Last>Lyles</b:Last>
            <b:First>C</b:First>
          </b:Person>
          <b:Person>
            <b:Last>Crepaz</b:Last>
            <b:First>N</b:First>
          </b:Person>
          <b:Person>
            <b:Last>Trend Group</b:Last>
          </b:Person>
        </b:NameList>
      </b:Author>
    </b:Author>
    <b:Volume>94</b:Volume>
    <b:Issue>3</b:Issue>
    <b:RefOrder>14</b:RefOrder>
  </b:Source>
  <b:Source>
    <b:Tag>Beu21</b:Tag>
    <b:SourceType>Book</b:SourceType>
    <b:Guid>{C9B08A5B-D2B3-2742-9BAC-18AA41E0365F}</b:Guid>
    <b:Title>Cognitive behavioral therapy for tinnitus</b:Title>
    <b:Year>2021</b:Year>
    <b:Author>
      <b:Author>
        <b:NameList>
          <b:Person>
            <b:Last>Beukes</b:Last>
            <b:First>E.W.</b:First>
          </b:Person>
          <b:Person>
            <b:Last>Andersson</b:Last>
            <b:First>G</b:First>
          </b:Person>
          <b:Person>
            <b:Last>Manchaiah</b:Last>
            <b:First>V</b:First>
          </b:Person>
          <b:Person>
            <b:Last>Kaldo</b:Last>
            <b:First>V</b:First>
          </b:Person>
        </b:NameList>
      </b:Author>
    </b:Author>
    <b:City>San Diego, USA</b:City>
    <b:Publisher>Plural Publishing Inc</b:Publisher>
    <b:RefOrder>116</b:RefOrder>
  </b:Source>
  <b:Source>
    <b:Tag>Jac911</b:Tag>
    <b:SourceType>JournalArticle</b:SourceType>
    <b:Guid>{4E224F0E-463B-4143-973F-31E8F5DAE27A}</b:Guid>
    <b:Title>Clinical significance: A statistical approach to defining meaningful change in psychotherapy research</b:Title>
    <b:JournalName>Journal of Consulting and Clinical Psychology</b:JournalName>
    <b:Year>1991</b:Year>
    <b:Pages>12-19</b:Pages>
    <b:Author>
      <b:Author>
        <b:NameList>
          <b:Person>
            <b:Last>Jacobson</b:Last>
            <b:First>N.S.</b:First>
          </b:Person>
          <b:Person>
            <b:Last>Truax</b:Last>
            <b:First>P</b:First>
          </b:Person>
        </b:NameList>
      </b:Author>
    </b:Author>
    <b:Volume>59</b:Volume>
    <b:Issue>1</b:Issue>
    <b:RefOrder>28</b:RefOrder>
  </b:Source>
  <b:Source>
    <b:Tag>Hen15</b:Tag>
    <b:SourceType>JournalArticle</b:SourceType>
    <b:Guid>{16EA65B2-9816-2642-895D-5D51A2AA4955}</b:Guid>
    <b:Title>Tinnitus and Hearing Survey: A Screening Tool to Differentiate Bothersome Tinnitus From Hearing Difficulties</b:Title>
    <b:JournalName>American Journal of Audiology</b:JournalName>
    <b:Year>2015</b:Year>
    <b:Pages>66-77</b:Pages>
    <b:Author>
      <b:Author>
        <b:NameList>
          <b:Person>
            <b:Last>Henry</b:Last>
            <b:First>J.A.</b:First>
          </b:Person>
          <b:Person>
            <b:Last>Griest</b:Last>
            <b:First>S</b:First>
          </b:Person>
          <b:Person>
            <b:Last>Zaugg</b:Last>
            <b:First>T.L.</b:First>
          </b:Person>
          <b:Person>
            <b:Last>Thielman</b:Last>
            <b:First>E</b:First>
          </b:Person>
          <b:Person>
            <b:Last>Kaelin</b:Last>
            <b:First>C</b:First>
          </b:Person>
          <b:Person>
            <b:Last>Galvez</b:Last>
            <b:First>G</b:First>
          </b:Person>
          <b:Person>
            <b:Last>Carlson</b:Last>
            <b:First>K.F.</b:First>
          </b:Person>
        </b:NameList>
      </b:Author>
    </b:Author>
    <b:Publisher>https://doi.org/10.1044/2014_AJA-14-0042</b:Publisher>
    <b:Volume>24</b:Volume>
    <b:Issue>1</b:Issue>
    <b:RefOrder>117</b:RefOrder>
  </b:Source>
  <b:Source>
    <b:Tag>BeuREAD</b:Tag>
    <b:SourceType>JournalArticle</b:SourceType>
    <b:Guid>{F0198DDF-9203-6240-BF6A-5CC05AEA634B}</b:Guid>
    <b:Title>Readabiity following cultural and linguistic adaptation of an Internet-based intervention for tinnitus for use in the United States</b:Title>
    <b:JournalName>American Journal of Audiology</b:JournalName>
    <b:Author>
      <b:Author>
        <b:NameList>
          <b:Person>
            <b:Last>Beukes</b:Last>
            <b:First>E.W.</b:First>
          </b:Person>
          <b:Person>
            <b:Last>Manchaiah</b:Last>
            <b:First>V</b:First>
          </b:Person>
          <b:Person>
            <b:Last>Fagelson</b:Last>
            <b:First>M.A.</b:First>
          </b:Person>
          <b:Person>
            <b:Last>Aronson</b:Last>
            <b:First>E.P.</b:First>
          </b:Person>
          <b:Person>
            <b:Last>Munoz</b:Last>
            <b:First>M.F.</b:First>
          </b:Person>
          <b:Person>
            <b:Last>Andersson</b:Last>
            <b:First>G</b:First>
          </b:Person>
        </b:NameList>
      </b:Author>
    </b:Author>
    <b:Pages>Advance online publication. https://doi.org/10.1044/2019_AJA-19-00014</b:Pages>
    <b:Year>2019</b:Year>
    <b:RefOrder>118</b:RefOrder>
  </b:Source>
  <b:Source>
    <b:Tag>Zen171</b:Tag>
    <b:SourceType>JournalArticle</b:SourceType>
    <b:Guid>{CF9F0A6B-53B7-AE49-8F23-BDD40C4A97BC}</b:Guid>
    <b:Title>A multidisciplinary systematic review of the treatment for chronic idiopathic tinnitus</b:Title>
    <b:JournalName>European Archive of Otorhinolaryngology</b:JournalName>
    <b:Year>2017</b:Year>
    <b:Pages>2079-2091</b:Pages>
    <b:Author>
      <b:Author>
        <b:NameList>
          <b:Person>
            <b:Last>Zenner</b:Last>
            <b:First>Hans-Peter</b:First>
          </b:Person>
          <b:Person>
            <b:Last>Delb</b:Last>
            <b:First>W</b:First>
          </b:Person>
          <b:Person>
            <b:Last>Kröner-Herwig</b:Last>
            <b:First>B</b:First>
          </b:Person>
          <b:Person>
            <b:Last>Jäger</b:Last>
            <b:First>B</b:First>
          </b:Person>
          <b:Person>
            <b:Last>Peroz</b:Last>
            <b:First>I</b:First>
          </b:Person>
          <b:Person>
            <b:Last>Hesse</b:Last>
            <b:First>G</b:First>
          </b:Person>
          <b:Person>
            <b:Last>Mazurek</b:Last>
            <b:First>B</b:First>
          </b:Person>
          <b:Person>
            <b:Last>Goebel</b:Last>
            <b:First>G</b:First>
          </b:Person>
          <b:Person>
            <b:Last>Gerloff</b:Last>
            <b:First>C</b:First>
          </b:Person>
          <b:Person>
            <b:Last>Trollmann</b:Last>
            <b:First>R</b:First>
          </b:Person>
          <b:Person>
            <b:Last>Biesinger</b:Last>
            <b:First>E</b:First>
          </b:Person>
          <b:Person>
            <b:Last>Seidler</b:Last>
            <b:First>H</b:First>
          </b:Person>
          <b:Person>
            <b:Last>Langguth</b:Last>
            <b:First>B</b:First>
          </b:Person>
        </b:NameList>
      </b:Author>
    </b:Author>
    <b:Volume>274</b:Volume>
    <b:StandardNumber>DOI 10.1007/s00405-016-4401-y</b:StandardNumber>
    <b:RefOrder>2</b:RefOrder>
  </b:Source>
  <b:Source>
    <b:Tag>Ful20</b:Tag>
    <b:SourceType>JournalArticle</b:SourceType>
    <b:Guid>{BE8931BE-8013-3A4D-A22B-6C9E8927DC7A}</b:Guid>
    <b:Title>Cognitive behavioural therapy for tinnitus</b:Title>
    <b:JournalName>Cochrane Database of Systematic Reviews</b:JournalName>
    <b:Year>2020</b:Year>
    <b:Author>
      <b:Author>
        <b:NameList>
          <b:Person>
            <b:Last>Fuller</b:Last>
            <b:First>T</b:First>
          </b:Person>
          <b:Person>
            <b:Last>Cima</b:Last>
            <b:First>R</b:First>
          </b:Person>
          <b:Person>
            <b:Last>Langguth</b:Last>
            <b:First>B</b:First>
          </b:Person>
          <b:Person>
            <b:Last>Mazurek</b:Last>
            <b:First>B</b:First>
          </b:Person>
          <b:Person>
            <b:Last>Vlaeyen</b:Last>
            <b:First>J.W.</b:First>
          </b:Person>
          <b:Person>
            <b:Last>Hoare</b:Last>
            <b:First>D.J.</b:First>
          </b:Person>
        </b:NameList>
      </b:Author>
    </b:Author>
    <b:RefOrder>3</b:RefOrder>
  </b:Source>
  <b:Source>
    <b:Tag>Tun14</b:Tag>
    <b:SourceType>JournalArticle</b:SourceType>
    <b:Guid>{4B748564-9916-0D4D-B200-B93426A02CB4}</b:Guid>
    <b:Title>Clinical practice guideline: tinnitus.</b:Title>
    <b:JournalName>Otolaryngology–Head and Neck Surgery</b:JournalName>
    <b:Year>2014</b:Year>
    <b:Pages>S1-40</b:Pages>
    <b:Author>
      <b:Author>
        <b:NameList>
          <b:Person>
            <b:Last>Tunkel</b:Last>
            <b:First>D.E.</b:First>
          </b:Person>
          <b:Person>
            <b:Last>Bauer</b:Last>
            <b:First>C.A.</b:First>
          </b:Person>
          <b:Person>
            <b:Last>Sun</b:Last>
            <b:First>G.H.</b:First>
          </b:Person>
          <b:Person>
            <b:Last>Rosenfeld</b:Last>
            <b:First>R.M.</b:First>
          </b:Person>
          <b:Person>
            <b:Last>Chandrasekhar</b:Last>
            <b:First>S.S.</b:First>
          </b:Person>
          <b:Person>
            <b:Last>Cunningham Jr</b:Last>
            <b:First>E.R.</b:First>
          </b:Person>
          <b:Person>
            <b:Last>Sanford</b:Last>
            <b:First>M</b:First>
          </b:Person>
          <b:Person>
            <b:Last>Archer</b:Last>
            <b:First>S.M.</b:First>
          </b:Person>
          <b:Person>
            <b:Last>Blakley</b:Last>
            <b:First>B.W.</b:First>
          </b:Person>
          <b:Person>
            <b:Last>Carter</b:Last>
            <b:First>J.M.</b:First>
          </b:Person>
          <b:Person>
            <b:Last>Granieri</b:Last>
            <b:First>E.C.</b:First>
          </b:Person>
          <b:Person>
            <b:Last>Henry</b:Last>
            <b:First>J.A.</b:First>
          </b:Person>
        </b:NameList>
      </b:Author>
    </b:Author>
    <b:Volume>151</b:Volume>
    <b:Issue>2_Suppl</b:Issue>
    <b:RefOrder>4</b:RefOrder>
  </b:Source>
  <b:Source>
    <b:Tag>Ful17</b:Tag>
    <b:SourceType>JournalArticle</b:SourceType>
    <b:Guid>{78B34B94-09F8-CD4E-8065-1A01BE19C327}</b:Guid>
    <b:Title>Different teams, same conclusions? A systematic review of existing clinical guidelines for the assessment and treatment of tinnitus in adults</b:Title>
    <b:JournalName>Frontiers in psychology</b:JournalName>
    <b:Year>2017</b:Year>
    <b:Pages>206</b:Pages>
    <b:Author>
      <b:Author>
        <b:NameList>
          <b:Person>
            <b:Last>Fuller</b:Last>
            <b:First>T.E.</b:First>
          </b:Person>
          <b:Person>
            <b:Last>Haider</b:Last>
            <b:First>H.F.</b:First>
          </b:Person>
          <b:Person>
            <b:Last>Kikidis</b:Last>
            <b:First>D</b:First>
          </b:Person>
          <b:Person>
            <b:Last>Lapira</b:Last>
            <b:First>A.</b:First>
          </b:Person>
          <b:Person>
            <b:Last>Mazurek</b:Last>
            <b:First>B.</b:First>
          </b:Person>
          <b:Person>
            <b:Last>Norena</b:Last>
            <b:First>A.</b:First>
          </b:Person>
          <b:Person>
            <b:Last>Rabau</b:Last>
            <b:First>S.</b:First>
          </b:Person>
          <b:Person>
            <b:Last>Lardinois</b:Last>
            <b:First>R.</b:First>
          </b:Person>
          <b:Person>
            <b:Last>Cederroth</b:Last>
            <b:First>C.R.</b:First>
          </b:Person>
          <b:Person>
            <b:Last>Edvall</b:Last>
            <b:First>N.K.</b:First>
          </b:Person>
          <b:Person>
            <b:Last>Brueggemann</b:Last>
            <b:First>P.G.</b:First>
          </b:Person>
        </b:NameList>
      </b:Author>
    </b:Author>
    <b:Volume>8</b:Volume>
    <b:RefOrder>5</b:RefOrder>
  </b:Source>
  <b:Source>
    <b:Tag>Bha161</b:Tag>
    <b:SourceType>JournalArticle</b:SourceType>
    <b:Guid>{FFF7DAFC-0875-1A45-B2EF-6B22F4C62F35}</b:Guid>
    <b:Title>Tinnitus Epidemiology: Prevalence, Severity, Exposures And Treatment Patterns In The United States</b:Title>
    <b:JournalName>JAMA otolaryngology--head &amp; neck surgery</b:JournalName>
    <b:Year>2016</b:Year>
    <b:Pages>959</b:Pages>
    <b:Author>
      <b:Author>
        <b:NameList>
          <b:Person>
            <b:Last>Bhatt</b:Last>
            <b:First>J.M.</b:First>
          </b:Person>
          <b:Person>
            <b:Last>Lin</b:Last>
            <b:First>H.W.</b:First>
          </b:Person>
          <b:Person>
            <b:Last>Bhattacharyya</b:Last>
            <b:First>N</b:First>
          </b:Person>
        </b:NameList>
      </b:Author>
    </b:Author>
    <b:Volume>142</b:Volume>
    <b:Issue>10</b:Issue>
    <b:RefOrder>6</b:RefOrder>
  </b:Source>
  <b:Source>
    <b:Tag>Hal11</b:Tag>
    <b:SourceType>JournalArticle</b:SourceType>
    <b:Guid>{32686907-DBB9-374D-B487-BFB2E45EA62D}</b:Guid>
    <b:Title>Treatment options for subjective tinnitus: Self reports from a sample of general practitioners and ENT physicians within Europe and the USA</b:Title>
    <b:JournalName>BMC Health Services Research</b:JournalName>
    <b:Year>2011</b:Year>
    <b:Pages>https://doi.org/10.1186/1472-6963-11-302</b:Pages>
    <b:Author>
      <b:Author>
        <b:NameList>
          <b:Person>
            <b:Last>Hall</b:Last>
            <b:First>D.A.</b:First>
          </b:Person>
          <b:Person>
            <b:Last>Láinez</b:Last>
            <b:First>M.H.A.</b:First>
          </b:Person>
          <b:Person>
            <b:Last>Newman</b:Last>
            <b:First>C.W.</b:First>
          </b:Person>
          <b:Person>
            <b:Last>Sanchez</b:Last>
            <b:First>T.G.</b:First>
          </b:Person>
          <b:Person>
            <b:Last>Egler</b:Last>
            <b:First>M</b:First>
          </b:Person>
          <b:Person>
            <b:Last>Tennigkeit</b:Last>
            <b:First>F</b:First>
          </b:Person>
          <b:Person>
            <b:Last>Koch</b:Last>
            <b:First>M</b:First>
          </b:Person>
          <b:Person>
            <b:Last>Langguth</b:Last>
            <b:First>B</b:First>
          </b:Person>
        </b:NameList>
      </b:Author>
    </b:Author>
    <b:Volume>11</b:Volume>
    <b:Issue>302</b:Issue>
    <b:RefOrder>7</b:RefOrder>
  </b:Source>
  <b:Source>
    <b:Tag>Jas00</b:Tag>
    <b:SourceType>JournalArticle</b:SourceType>
    <b:Guid>{5359F915-21CF-104D-BE28-00DA8A9D1959}</b:Guid>
    <b:Title>Tinnitus retraining therapy (TRT) as a method for treatment of tinnitus and hyperacusis patients</b:Title>
    <b:JournalName>Journal of the American Academy of Audiology</b:JournalName>
    <b:Year>2000</b:Year>
    <b:Pages>162-177</b:Pages>
    <b:Author>
      <b:Author>
        <b:NameList>
          <b:Person>
            <b:Last>Jastreboff</b:Last>
            <b:First>P.J.</b:First>
          </b:Person>
          <b:Person>
            <b:Last>Jastreboff</b:Last>
            <b:First>M.M.</b:First>
          </b:Person>
        </b:NameList>
      </b:Author>
    </b:Author>
    <b:Volume>11</b:Volume>
    <b:Issue>3</b:Issue>
    <b:RefOrder>11</b:RefOrder>
  </b:Source>
  <b:Source>
    <b:Tag>Hen10</b:Tag>
    <b:SourceType>Book</b:SourceType>
    <b:Guid>{9A4AF560-E01A-D148-BA3B-AE1077FFCFD2}</b:Guid>
    <b:Title>Progressive Tinnitus Management. Clinical Handbook for Audiologists</b:Title>
    <b:Year>2010</b:Year>
    <b:Author>
      <b:Author>
        <b:NameList>
          <b:Person>
            <b:Last>Henry</b:Last>
            <b:First>J.A.</b:First>
          </b:Person>
          <b:Person>
            <b:Last>Zaugg</b:Last>
            <b:First>T</b:First>
          </b:Person>
          <b:Person>
            <b:Last>Myers</b:Last>
            <b:First>P</b:First>
          </b:Person>
          <b:Person>
            <b:Last>Kendall</b:Last>
            <b:First>C</b:First>
          </b:Person>
        </b:NameList>
      </b:Author>
    </b:Author>
    <b:City>Long Beach, CA</b:City>
    <b:Publisher>VA Employee Education System</b:Publisher>
    <b:RefOrder>12</b:RefOrder>
  </b:Source>
  <b:Source>
    <b:Tag>Tyl20</b:Tag>
    <b:SourceType>JournalArticle</b:SourceType>
    <b:Guid>{0E96D208-4FC8-0445-9BCB-55A631B64109}</b:Guid>
    <b:Title>Tinnitus sound therapy trial shows effectiveness for those with tinnitus</b:Title>
    <b:Year>2020</b:Year>
    <b:JournalName>Journal of the American Academy of Audiology</b:JournalName>
    <b:Pages>6-16</b:Pages>
    <b:Author>
      <b:Author>
        <b:NameList>
          <b:Person>
            <b:Last>Tyler</b:Last>
            <b:First>R.S.</b:First>
          </b:Person>
          <b:Person>
            <b:Last>Perreau</b:Last>
            <b:First>A</b:First>
          </b:Person>
          <b:Person>
            <b:Last>Powers</b:Last>
            <b:First>T</b:First>
          </b:Person>
          <b:Person>
            <b:Last>Watts</b:Last>
            <b:First>A</b:First>
          </b:Person>
          <b:Person>
            <b:Last>Owen</b:Last>
            <b:First>R</b:First>
          </b:Person>
          <b:Person>
            <b:Last>Ji</b:Last>
            <b:First>H</b:First>
          </b:Person>
          <b:Person>
            <b:Last>Mancini</b:Last>
            <b:First>P.C.</b:First>
          </b:Person>
        </b:NameList>
      </b:Author>
    </b:Author>
    <b:Volume>31</b:Volume>
    <b:Issue>1</b:Issue>
    <b:RefOrder>13</b:RefOrder>
  </b:Source>
  <b:Source>
    <b:Tag>Hen19</b:Tag>
    <b:SourceType>JournalArticle</b:SourceType>
    <b:Guid>{7B12EB44-32B1-114F-88F4-F5A5C541C3A1}</b:Guid>
    <b:Title>Audiologists and Tinnitus</b:Title>
    <b:JournalName>American Journal of Audiology</b:JournalName>
    <b:Year>2019</b:Year>
    <b:Pages>1059-1064</b:Pages>
    <b:Author>
      <b:Author>
        <b:NameList>
          <b:Person>
            <b:Last>Henry</b:Last>
            <b:First>J.A.</b:First>
          </b:Person>
          <b:Person>
            <b:Last>Piskosz</b:Last>
            <b:First>M</b:First>
          </b:Person>
          <b:Person>
            <b:Last>Norena</b:Last>
            <b:First>A</b:First>
          </b:Person>
          <b:Person>
            <b:Last>Fournier</b:Last>
            <b:First>P</b:First>
          </b:Person>
        </b:NameList>
      </b:Author>
    </b:Author>
    <b:Volume>28</b:Volume>
    <b:RefOrder>10</b:RefOrder>
  </b:Source>
  <b:Source>
    <b:Tag>Pla19</b:Tag>
    <b:SourceType>JournalArticle</b:SourceType>
    <b:Guid>{5DE6C7D7-3410-084D-9DEB-A8E27A635FD7}</b:Guid>
    <b:Author>
      <b:Author>
        <b:NameList>
          <b:Person>
            <b:Last>Planey</b:Last>
            <b:First>A.M.</b:First>
          </b:Person>
        </b:NameList>
      </b:Author>
    </b:Author>
    <b:Title>Audiologist availability and supply in the United States: A multi-scale spatial and political economic analysis</b:Title>
    <b:JournalName>Social Science &amp; Medicine</b:JournalName>
    <b:Year>2019</b:Year>
    <b:Pages>216-224</b:Pages>
    <b:Volume>222</b:Volume>
    <b:RefOrder>9</b:RefOrder>
  </b:Source>
  <b:Source>
    <b:Tag>And04</b:Tag>
    <b:SourceType>JournalArticle</b:SourceType>
    <b:Guid>{A2B86634-EB1F-2644-A9BF-1FCBEAF901A3}</b:Guid>
    <b:Title>Internet‐based cognitive behavioral therapy for tinnitus</b:Title>
    <b:JournalName>Journal of clinical psychology</b:JournalName>
    <b:Year>2004</b:Year>
    <b:Pages>171-178</b:Pages>
    <b:Author>
      <b:Author>
        <b:NameList>
          <b:Person>
            <b:Last>Andersson</b:Last>
            <b:First>G</b:First>
          </b:Person>
          <b:Person>
            <b:Last>Viktor</b:Last>
            <b:First>K</b:First>
          </b:Person>
        </b:NameList>
      </b:Author>
    </b:Author>
    <b:Volume>60</b:Volume>
    <b:Issue>2</b:Issue>
    <b:RefOrder>15</b:RefOrder>
  </b:Source>
  <b:Source>
    <b:Tag>MBM12</b:Tag>
    <b:SourceType>JournalArticle</b:SourceType>
    <b:Guid>{61F77C1F-069D-3741-AEBD-A0B694456914}</b:Guid>
    <b:Author>
      <b:Author>
        <b:NameList>
          <b:Person>
            <b:Last>M.B. Meikle</b:Last>
            <b:First>J.A.</b:First>
            <b:Middle>Henry, S.E. Griest, B.J. Stewart, H.B. Abrams, R. McArdle, P.J. Myers, C.W. Newman, S. Sandridge, D.C. Turk, R.L. Folmer, E.J. Frederick, J.W. House, G.P. Jacobson, S.E. Kinney, W.H. Martin, S.M. Nagler, G.E. Reich, G. Searchfield, R. Sw</b:Middle>
          </b:Person>
        </b:NameList>
      </b:Author>
    </b:Author>
    <b:Title>The tinnitus functional index: development of a new clinical measure for chronic, intrusive tinnitus</b:Title>
    <b:JournalName>Ear and Hearing</b:JournalName>
    <b:Year>2012</b:Year>
    <b:Pages>153-176</b:Pages>
    <b:Volume>33</b:Volume>
    <b:RefOrder>119</b:RefOrder>
  </b:Source>
  <b:Source>
    <b:Tag>Her11</b:Tag>
    <b:SourceType>JournalArticle</b:SourceType>
    <b:Guid>{5D2C2AA3-1AE0-174A-B4E2-9B6313E81F39}</b:Guid>
    <b:Title>Development and preliminary testing of the new five-level version of EQ-5D (EQ-5D-5L)</b:Title>
    <b:JournalName>Quality of Lofe REsearch</b:JournalName>
    <b:Year>2011</b:Year>
    <b:Pages>1727-1736</b:Pages>
    <b:Author>
      <b:Author>
        <b:NameList>
          <b:Person>
            <b:Last>Herdman</b:Last>
            <b:First>M</b:First>
          </b:Person>
          <b:Person>
            <b:Last>Gudex</b:Last>
            <b:First>C</b:First>
          </b:Person>
          <b:Person>
            <b:Last>Lloyd</b:Last>
            <b:First>A</b:First>
          </b:Person>
          <b:Person>
            <b:Last>Janssen</b:Last>
            <b:First>M</b:First>
          </b:Person>
          <b:Person>
            <b:Last>Kind</b:Last>
            <b:First>P</b:First>
          </b:Person>
          <b:Person>
            <b:Last>Parkin</b:Last>
            <b:First>D</b:First>
          </b:Person>
          <b:Person>
            <b:Last>Bonsel</b:Last>
            <b:First>G</b:First>
          </b:Person>
          <b:Person>
            <b:Last>Badia</b:Last>
            <b:First>X</b:First>
          </b:Person>
        </b:NameList>
      </b:Author>
    </b:Author>
    <b:Volume>22</b:Volume>
    <b:Issue>7</b:Issue>
    <b:RefOrder>23</b:RefOrder>
  </b:Source>
  <b:Source>
    <b:Tag>Spi06</b:Tag>
    <b:SourceType>JournalArticle</b:SourceType>
    <b:Guid>{E2E267CF-6D3B-FD40-93B5-A3B681CE78DE}</b:Guid>
    <b:Title>A brief measure for assessing generalized anxiety disorder: the GAD-7.</b:Title>
    <b:JournalName>Archives of internal medicine</b:JournalName>
    <b:Year>2006</b:Year>
    <b:Pages>1092-1097</b:Pages>
    <b:Author>
      <b:Author>
        <b:NameList>
          <b:Person>
            <b:Last>Spitzer</b:Last>
            <b:First>RL</b:First>
          </b:Person>
          <b:Person>
            <b:Last>Kroenke</b:Last>
            <b:First>K</b:First>
          </b:Person>
          <b:Person>
            <b:Last>Williams</b:Last>
            <b:First>JB</b:First>
          </b:Person>
          <b:Person>
            <b:Last>Löwe</b:Last>
            <b:First>B</b:First>
          </b:Person>
        </b:NameList>
      </b:Author>
    </b:Author>
    <b:Volume>166</b:Volume>
    <b:Issue>10</b:Issue>
    <b:RefOrder>120</b:RefOrder>
  </b:Source>
  <b:Source>
    <b:Tag>Spi99</b:Tag>
    <b:SourceType>JournalArticle</b:SourceType>
    <b:Guid>{2A9A4347-9F6A-E447-A9C2-DDED14F52FF6}</b:Guid>
    <b:Title>Validation and utility of a self-report version of PRIME-MD: the PHQ primary care study</b:Title>
    <b:JournalName>JAMA</b:JournalName>
    <b:Year>1999</b:Year>
    <b:Pages>1737-1744</b:Pages>
    <b:Author>
      <b:Author>
        <b:NameList>
          <b:Person>
            <b:Last>Spitzer</b:Last>
            <b:First>RL</b:First>
          </b:Person>
          <b:Person>
            <b:Last>Kroenke</b:Last>
            <b:First>K</b:First>
          </b:Person>
          <b:Person>
            <b:Last>Williams</b:Last>
            <b:First>JB</b:First>
          </b:Person>
          <b:Person>
            <b:Last>Patient Health Questionnaire Primary Care Study Gr</b:Last>
          </b:Person>
        </b:NameList>
      </b:Author>
    </b:Author>
    <b:Volume>282</b:Volume>
    <b:Issue>18</b:Issue>
    <b:RefOrder>121</b:RefOrder>
  </b:Source>
  <b:Source>
    <b:Tag>Bas01</b:Tag>
    <b:SourceType>JournalArticle</b:SourceType>
    <b:Guid>{D591559F-078E-8A48-B257-3580B27DFC63}</b:Guid>
    <b:Title>Bastien, C. H., Vallières, A., &amp; Morin, C. M. (2001). Validation of the Insomnia Severity Index as an outcome measure for insomnia research.</b:Title>
    <b:JournalName>Sleep medicine</b:JournalName>
    <b:Year>2001</b:Year>
    <b:Pages>297-307</b:Pages>
    <b:Author>
      <b:Author>
        <b:NameList>
          <b:Person>
            <b:Last>Bastien</b:Last>
            <b:First>Charlotte</b:First>
          </b:Person>
          <b:Person>
            <b:Last>Vallières</b:Last>
            <b:First>A</b:First>
          </b:Person>
          <b:Person>
            <b:Last>Morin</b:Last>
            <b:First>CM</b:First>
          </b:Person>
        </b:NameList>
      </b:Author>
    </b:Author>
    <b:Volume>2</b:Volume>
    <b:Issue>4</b:Issue>
    <b:RefOrder>122</b:RefOrder>
  </b:Source>
  <b:Source>
    <b:Tag>New08</b:Tag>
    <b:SourceType>JournalArticle</b:SourceType>
    <b:Guid>{79138A51-331D-3A4D-B461-DBE82FB2625B}</b:Guid>
    <b:Title>Development and psychometric adequacy of the screening version of the tinnitus handicap inventory</b:Title>
    <b:JournalName>Otology &amp; Neurotology</b:JournalName>
    <b:Year>2008</b:Year>
    <b:Pages>276-281</b:Pages>
    <b:Author>
      <b:Author>
        <b:NameList>
          <b:Person>
            <b:Last>Newman</b:Last>
            <b:First>CW</b:First>
          </b:Person>
          <b:Person>
            <b:Last>Sandridge</b:Last>
            <b:First>SA</b:First>
          </b:Person>
          <b:Person>
            <b:Last>Bolek</b:Last>
            <b:First>L</b:First>
          </b:Person>
        </b:NameList>
      </b:Author>
    </b:Author>
    <b:Volume>29</b:Volume>
    <b:Issue>3</b:Issue>
    <b:RefOrder>25</b:RefOrder>
  </b:Source>
  <b:Source>
    <b:Tag>Wil98</b:Tag>
    <b:SourceType>JournalArticle</b:SourceType>
    <b:Guid>{480479BD-F831-424D-9877-9B671DAECCC1}</b:Guid>
    <b:Title>Tinnitus Cognitions Questionnaire: Development and Psychometric Properties of a Measure of Dysfunctional Cognitions Associated with Tinnitus</b:Title>
    <b:JournalName>International Tinnitus Journal</b:JournalName>
    <b:Year>1998</b:Year>
    <b:Pages>23-30</b:Pages>
    <b:Author>
      <b:Author>
        <b:NameList>
          <b:Person>
            <b:Last>Wilson</b:Last>
            <b:First>P.H.</b:First>
          </b:Person>
          <b:Person>
            <b:Last>Henry</b:Last>
            <b:First>J.L.</b:First>
          </b:Person>
        </b:NameList>
      </b:Author>
    </b:Author>
    <b:Volume>4</b:Volume>
    <b:Issue>1</b:Issue>
    <b:RefOrder>123</b:RefOrder>
  </b:Source>
  <b:Source>
    <b:Tag>Han17</b:Tag>
    <b:SourceType>JournalArticle</b:SourceType>
    <b:Guid>{D6C23BE6-B669-8046-AF0A-780E3CBAF848}</b:Guid>
    <b:Title>Positive and Negative Thinking in Tinnitus: Factor Sructure of teh Tinnitus Cognitions Questionnaire</b:Title>
    <b:JournalName>Ear and Hearing</b:JournalName>
    <b:Year>2017</b:Year>
    <b:Pages>126-132</b:Pages>
    <b:Author>
      <b:Author>
        <b:NameList>
          <b:Person>
            <b:Last>Handscomb</b:Last>
            <b:First>LE</b:First>
          </b:Person>
          <b:Person>
            <b:Last>Hall</b:Last>
            <b:First>DA</b:First>
          </b:Person>
          <b:Person>
            <b:Last>Shorter</b:Last>
            <b:First>GW</b:First>
          </b:Person>
          <b:Person>
            <b:Last>Hoare</b:Last>
            <b:First>DJ</b:First>
          </b:Person>
        </b:NameList>
      </b:Author>
    </b:Author>
    <b:Volume>38</b:Volume>
    <b:Issue>1</b:Issue>
    <b:RefOrder>30</b:RefOrder>
  </b:Source>
  <b:Source>
    <b:Tag>Lev03</b:Tag>
    <b:SourceType>JournalArticle</b:SourceType>
    <b:Guid>{25A25B58-B574-FD4A-924D-386A39A0AF68}</b:Guid>
    <b:Title>Lessons Learned About Minority Recruitment and Retention From the Centers on Minority Aging and Health Promotion</b:Title>
    <b:JournalName>The Gerontologist</b:JournalName>
    <b:Year>2003</b:Year>
    <b:Pages>18-26</b:Pages>
    <b:Author>
      <b:Author>
        <b:NameList>
          <b:Person>
            <b:Last>Levkoff</b:Last>
            <b:First>S</b:First>
          </b:Person>
          <b:Person>
            <b:Last>Sanchez</b:Last>
            <b:First>H</b:First>
          </b:Person>
        </b:NameList>
      </b:Author>
    </b:Author>
    <b:Volume>43</b:Volume>
    <b:Issue>1</b:Issue>
    <b:RefOrder>32</b:RefOrder>
  </b:Source>
  <b:Source>
    <b:Tag>Sha17</b:Tag>
    <b:SourceType>JournalArticle</b:SourceType>
    <b:Guid>{F4F50466-1424-CE4E-A027-22535F76C506}</b:Guid>
    <b:Title>Successful techniques to recruit Hispanic and Latino research participants</b:Title>
    <b:JournalName>Survey Practice</b:JournalName>
    <b:Year>2017</b:Year>
    <b:Pages>2778</b:Pages>
    <b:Author>
      <b:Author>
        <b:NameList>
          <b:Person>
            <b:Last>Sha</b:Last>
            <b:First>M</b:First>
          </b:Person>
          <b:Person>
            <b:Last>McAvinchey</b:Last>
            <b:First>G</b:First>
          </b:Person>
          <b:Person>
            <b:Last>Quiroz</b:Last>
            <b:First>R</b:First>
          </b:Person>
          <b:Person>
            <b:Last>Moncada</b:Last>
            <b:First>J</b:First>
          </b:Person>
        </b:NameList>
      </b:Author>
    </b:Author>
    <b:Volume>10</b:Volume>
    <b:Issue>3</b:Issue>
    <b:RefOrder>31</b:RefOrder>
  </b:Source>
  <b:Source>
    <b:Tag>Beu183</b:Tag>
    <b:SourceType>JournalArticle</b:SourceType>
    <b:Guid>{E1D16ACA-D4C1-9347-82F4-21BCD20937F5}</b:Guid>
    <b:Title>Beukes, Eldré W., Vinaya Manchaiah, David M. Baguley, Peter M. Allen, and Gerhard Andersson. "Process evaluation of Internet-based cognitive behavioural therapy for adults with tinnitus in the context of a randomised control trial</b:Title>
    <b:JournalName>International Journal of Audiology</b:JournalName>
    <b:Year>2018</b:Year>
    <b:Pages>98-109</b:Pages>
    <b:Author>
      <b:Author>
        <b:NameList>
          <b:Person>
            <b:Last>Beukes</b:Last>
            <b:First>E</b:First>
          </b:Person>
          <b:Person>
            <b:Last>Manchaiah</b:Last>
            <b:First>V</b:First>
          </b:Person>
          <b:Person>
            <b:Last>Baguley</b:Last>
            <b:First>DM</b:First>
          </b:Person>
          <b:Person>
            <b:Last>Allen</b:Last>
            <b:First>PM</b:First>
          </b:Person>
          <b:Person>
            <b:Last>Andersson</b:Last>
            <b:First>G</b:First>
          </b:Person>
        </b:NameList>
      </b:Author>
    </b:Author>
    <b:Volume>57</b:Volume>
    <b:Issue>2</b:Issue>
    <b:RefOrder>34</b:RefOrder>
  </b:Source>
  <b:Source>
    <b:Tag>Sta19</b:Tag>
    <b:SourceType>JournalArticle</b:SourceType>
    <b:Guid>{CCEAB8EC-451E-2B4F-99CA-46B691C19CD3}</b:Guid>
    <b:Title>GRIPP2 reporting checklists: tools to improve reporting of patient and public involvement in research.</b:Title>
    <b:JournalName>Research involvement and engagement.</b:JournalName>
    <b:Year>2019</b:Year>
    <b:Pages>13</b:Pages>
    <b:Author>
      <b:Author>
        <b:NameList>
          <b:Person>
            <b:Last>Staniszewska</b:Last>
            <b:First>S</b:First>
          </b:Person>
          <b:Person>
            <b:Last>Brett</b:Last>
            <b:First>J</b:First>
          </b:Person>
          <b:Person>
            <b:Last>Simera</b:Last>
            <b:First>I</b:First>
          </b:Person>
          <b:Person>
            <b:Last>Seers</b:Last>
            <b:First>K</b:First>
          </b:Person>
          <b:Person>
            <b:Last>Mockford</b:Last>
            <b:First>C</b:First>
          </b:Person>
          <b:Person>
            <b:Last>Goodlad</b:Last>
            <b:First>S</b:First>
          </b:Person>
          <b:Person>
            <b:Last>Altman</b:Last>
            <b:First>DG</b:First>
          </b:Person>
          <b:Person>
            <b:Last>Moher</b:Last>
            <b:First>D</b:First>
          </b:Person>
          <b:Person>
            <b:Last>Barber</b:Last>
            <b:First>R</b:First>
          </b:Person>
          <b:Person>
            <b:Last>Denegri</b:Last>
            <b:First>S</b:First>
          </b:Person>
          <b:Person>
            <b:Last>Entwistle</b:Last>
            <b:First>A</b:First>
          </b:Person>
        </b:NameList>
      </b:Author>
    </b:Author>
    <b:Volume>3</b:Volume>
    <b:Issue>1</b:Issue>
    <b:RefOrder>35</b:RefOrder>
  </b:Source>
  <b:Source>
    <b:Tag>Man20</b:Tag>
    <b:SourceType>JournalArticle</b:SourceType>
    <b:Guid>{34EB128B-D83F-5D42-8270-A8020443F38B}</b:Guid>
    <b:Title>Features, functionality, and acceptability of Internet-based congnitive behavioral therapy for tinnitus in the United States</b:Title>
    <b:JournalName>American Journal of Audiology</b:JournalName>
    <b:Year>2020a</b:Year>
    <b:Pages>1-15</b:Pages>
    <b:Author>
      <b:Author>
        <b:NameList>
          <b:Person>
            <b:Last>Manchaiah</b:Last>
            <b:First>V</b:First>
          </b:Person>
          <b:Person>
            <b:Last>Vlaescu</b:Last>
            <b:First>G</b:First>
          </b:Person>
          <b:Person>
            <b:Last>Varadaraj</b:Last>
            <b:First>S</b:First>
          </b:Person>
          <b:Person>
            <b:Last>Aronson</b:Last>
            <b:First>E.P.</b:First>
          </b:Person>
          <b:Person>
            <b:Last>Fagelson</b:Last>
            <b:First>M.A.</b:First>
          </b:Person>
          <b:Person>
            <b:Last>Munoz</b:Last>
            <b:First>M.F.</b:First>
          </b:Person>
          <b:Person>
            <b:Last>Andersson</b:Last>
            <b:First>G</b:First>
          </b:Person>
          <b:Person>
            <b:Last>Beukes</b:Last>
            <b:First>E.W.</b:First>
          </b:Person>
        </b:NameList>
      </b:Author>
    </b:Author>
    <b:RefOrder>19</b:RefOrder>
  </b:Source>
  <b:Source>
    <b:Tag>ManICF</b:Tag>
    <b:SourceType>JournalArticle</b:SourceType>
    <b:Guid>{5F3A11FB-BAE3-EB40-98FA-915165259E38}</b:Guid>
    <b:Title>Problems and life effects experienced by tinnitus research study volunteers: an exploratory study using the ICF classification.</b:Title>
    <b:JournalName>Journal of the American Academy of Audiology</b:JournalName>
    <b:Year>2018a</b:Year>
    <b:Pages>936-947</b:Pages>
    <b:Author>
      <b:Author>
        <b:NameList>
          <b:Person>
            <b:Last>Manchaiah</b:Last>
            <b:First>V</b:First>
          </b:Person>
          <b:Person>
            <b:Last>Beukes</b:Last>
            <b:First>E.W.</b:First>
          </b:Person>
          <b:Person>
            <b:Last>Granberg</b:Last>
            <b:First>S</b:First>
          </b:Person>
          <b:Person>
            <b:Last>Durisala</b:Last>
            <b:First>N</b:First>
          </b:Person>
          <b:Person>
            <b:Last>Baguley</b:Last>
            <b:First>D.M.</b:First>
          </b:Person>
          <b:Person>
            <b:Last>Allen</b:Last>
            <b:First>P.M.</b:First>
          </b:Person>
          <b:Person>
            <b:Last>Andersson</b:Last>
            <b:First>G</b:First>
          </b:Person>
        </b:NameList>
      </b:Author>
    </b:Author>
    <b:RefOrder>1</b:RefOrder>
  </b:Source>
  <b:Source>
    <b:Tag>Man201</b:Tag>
    <b:SourceType>JournalArticle</b:SourceType>
    <b:Guid>{BC15C443-A67A-894F-9BFD-6F369DDCD872}</b:Guid>
    <b:Title>Translation and adaptation of three English tinnitus patient-reported outcome measures to Spanish</b:Title>
    <b:JournalName>International Journal of Audiology</b:JournalName>
    <b:Year>2020b</b:Year>
    <b:Pages>1-6</b:Pages>
    <b:Author>
      <b:Author>
        <b:NameList>
          <b:Person>
            <b:Last>Manchaiah</b:Last>
            <b:First>V</b:First>
          </b:Person>
          <b:Person>
            <b:Last>Muñoz</b:Last>
            <b:First>M.F.</b:First>
          </b:Person>
          <b:Person>
            <b:Last>Hatfield</b:Last>
            <b:First>E</b:First>
          </b:Person>
          <b:Person>
            <b:Last>Fagelson</b:Last>
            <b:First>M.A.</b:First>
          </b:Person>
          <b:Person>
            <b:Last>Parks Aronson</b:Last>
            <b:First>E</b:First>
          </b:Person>
          <b:Person>
            <b:Last>Andersson</b:Last>
            <b:First>G</b:First>
          </b:Person>
          <b:Person>
            <b:Last>Beukes</b:Last>
            <b:First>E.W.</b:First>
          </b:Person>
        </b:NameList>
      </b:Author>
    </b:Author>
    <b:RefOrder>24</b:RefOrder>
  </b:Source>
  <b:Source>
    <b:Tag>BeuSystReivew</b:Tag>
    <b:SourceType>JournalArticle</b:SourceType>
    <b:Guid>{B9B5603D-CF57-5447-8D6F-6694A5C7FF39}</b:Guid>
    <b:Title>Beukes, E. W., Manchaiah, V., Allen, P. M., Baguley, D. M., &amp; Andersson, G. (2019). Internet-based interventions for adults with hearing loss, tinnitus, and vestibular disorders: A systematic review and meta-analysis.</b:Title>
    <b:JournalName>Trends in Hearing</b:JournalName>
    <b:Year>2019</b:Year>
    <b:Pages>2331216519851749.</b:Pages>
    <b:Author>
      <b:Author>
        <b:NameList>
          <b:Person>
            <b:Last>Beukes</b:Last>
            <b:First>EW</b:First>
          </b:Person>
          <b:Person>
            <b:Last>Manchaiah</b:Last>
            <b:First>V</b:First>
          </b:Person>
          <b:Person>
            <b:Last>Allen</b:Last>
            <b:First>PM</b:First>
          </b:Person>
          <b:Person>
            <b:Last>Baguley</b:Last>
            <b:First>DM</b:First>
          </b:Person>
          <b:Person>
            <b:Last>Andersson</b:Last>
            <b:First>G</b:First>
          </b:Person>
        </b:NameList>
      </b:Author>
    </b:Author>
    <b:Volume>23</b:Volume>
    <b:RefOrder>124</b:RefOrder>
  </b:Source>
  <b:Source>
    <b:Tag>Leo</b:Tag>
    <b:SourceType>JournalArticle</b:SourceType>
    <b:Guid>{63B74F09-4CCD-2149-B5E0-4C0B0A15D28E}</b:Guid>
    <b:Title>The Role and Interpretation of Pilot Studies in Clinical Research</b:Title>
    <b:JournalName>Journal of Psychiatric Research</b:JournalName>
    <b:Pages>626-629</b:Pages>
    <b:Author>
      <b:Author>
        <b:NameList>
          <b:Person>
            <b:Last>Leon</b:Last>
            <b:First>AC</b:First>
          </b:Person>
          <b:Person>
            <b:Last>Davis</b:Last>
            <b:First>LL</b:First>
          </b:Person>
          <b:Person>
            <b:Last>Kraemer</b:Last>
            <b:First>HC</b:First>
          </b:Person>
        </b:NameList>
      </b:Author>
    </b:Author>
    <b:Volume>45</b:Volume>
    <b:Issue>5</b:Issue>
    <b:StandardNumber>doi:10.1016/j.jpsychires.2010.10.008</b:StandardNumber>
    <b:Year>2012</b:Year>
    <b:RefOrder>29</b:RefOrder>
  </b:Source>
  <b:Source>
    <b:Tag>Hen16</b:Tag>
    <b:SourceType>JournalArticle</b:SourceType>
    <b:Guid>{5DC7FAF1-E366-374D-B8A8-602B3DD58C9E}</b:Guid>
    <b:Title>Tinnitus functional index: development, validation, outcomes research, and clinical application.</b:Title>
    <b:JournalName>Hearing Reseach</b:JournalName>
    <b:Year>2016</b:Year>
    <b:Pages>58-64</b:Pages>
    <b:Author>
      <b:Author>
        <b:NameList>
          <b:Person>
            <b:Last>Henry</b:Last>
            <b:First>JA</b:First>
          </b:Person>
          <b:Person>
            <b:Last>Griest</b:Last>
            <b:First>S</b:First>
          </b:Person>
          <b:Person>
            <b:Last>Thielman</b:Last>
            <b:First>E</b:First>
          </b:Person>
          <b:Person>
            <b:Last>McMillan</b:Last>
            <b:First>G</b:First>
          </b:Person>
          <b:Person>
            <b:Last>Kaelin</b:Last>
            <b:First>C</b:First>
          </b:Person>
          <b:Person>
            <b:Last>Carlson</b:Last>
            <b:First>KF</b:First>
          </b:Person>
        </b:NameList>
      </b:Author>
    </b:Author>
    <b:Volume>334</b:Volume>
    <b:RefOrder>125</b:RefOrder>
  </b:Source>
  <b:Source>
    <b:Tag>And2002</b:Tag>
    <b:SourceType>JournalArticle</b:SourceType>
    <b:Guid>{BEF72B1A-B202-4741-8516-82A5172A4603}</b:Guid>
    <b:Title>Randomized controlled trial of internet-based cognitive behavior therapy for distress associated with tinnitus.</b:Title>
    <b:JournalName>Psychosomatic medicine</b:JournalName>
    <b:Year>2002</b:Year>
    <b:Pages>810-816</b:Pages>
    <b:Author>
      <b:Author>
        <b:NameList>
          <b:Person>
            <b:Last>Andersson</b:Last>
            <b:First>G</b:First>
          </b:Person>
          <b:Person>
            <b:Last>Strömgren</b:Last>
            <b:First>T</b:First>
          </b:Person>
          <b:Person>
            <b:Last>Ström</b:Last>
            <b:First>L</b:First>
          </b:Person>
          <b:Person>
            <b:Last>Lyttkens</b:Last>
            <b:First>L</b:First>
          </b:Person>
        </b:NameList>
      </b:Author>
    </b:Author>
    <b:Volume>64</b:Volume>
    <b:Issue>5</b:Issue>
    <b:RefOrder>8</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6A96B-0B81-4D90-B792-6B9D12A18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F700F7-9240-4933-953C-7E56F0342094}">
  <ds:schemaRefs>
    <ds:schemaRef ds:uri="http://schemas.openxmlformats.org/officeDocument/2006/bibliography"/>
  </ds:schemaRefs>
</ds:datastoreItem>
</file>

<file path=customXml/itemProps3.xml><?xml version="1.0" encoding="utf-8"?>
<ds:datastoreItem xmlns:ds="http://schemas.openxmlformats.org/officeDocument/2006/customXml" ds:itemID="{5DA401F9-2E4F-4CF2-9E5B-1049772A45C3}">
  <ds:schemaRefs>
    <ds:schemaRef ds:uri="http://schemas.microsoft.com/sharepoint/v3/contenttype/forms"/>
  </ds:schemaRefs>
</ds:datastoreItem>
</file>

<file path=customXml/itemProps4.xml><?xml version="1.0" encoding="utf-8"?>
<ds:datastoreItem xmlns:ds="http://schemas.openxmlformats.org/officeDocument/2006/customXml" ds:itemID="{FC07D15A-9C46-481F-99BE-004A4334337B}">
  <ds:schemaRefs>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dd5d29e2-e009-49d8-a581-e6c7b528f0f3"/>
    <ds:schemaRef ds:uri="6b494f05-939f-47b7-827f-de1e15f7b07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48</Pages>
  <Words>9827</Words>
  <Characters>56018</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Eldre Beukes</dc:creator>
  <cp:keywords/>
  <dc:description/>
  <cp:lastModifiedBy>Blanshard, Lisa</cp:lastModifiedBy>
  <cp:revision>14</cp:revision>
  <dcterms:created xsi:type="dcterms:W3CDTF">2021-05-18T21:45:00Z</dcterms:created>
  <dcterms:modified xsi:type="dcterms:W3CDTF">2021-05-25T11:05:00Z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