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B6999" w14:textId="3E693EDA" w:rsidR="36B0CA0E" w:rsidRPr="00EB0558" w:rsidRDefault="385CDABC" w:rsidP="000F2B07">
      <w:pPr>
        <w:spacing w:line="480" w:lineRule="auto"/>
        <w:jc w:val="both"/>
        <w:rPr>
          <w:rFonts w:eastAsia="Arial"/>
          <w:b/>
          <w:bCs/>
          <w:color w:val="000000" w:themeColor="text1"/>
          <w:sz w:val="22"/>
          <w:szCs w:val="22"/>
          <w:lang w:val="en-US"/>
        </w:rPr>
      </w:pPr>
      <w:r w:rsidRPr="00EB0558">
        <w:rPr>
          <w:rFonts w:eastAsia="Arial"/>
          <w:b/>
          <w:bCs/>
          <w:color w:val="000000" w:themeColor="text1"/>
          <w:sz w:val="22"/>
          <w:szCs w:val="22"/>
          <w:lang w:val="en-US"/>
        </w:rPr>
        <w:t>Abstract</w:t>
      </w:r>
    </w:p>
    <w:p w14:paraId="1026426C" w14:textId="23644C50" w:rsidR="002878AB" w:rsidRPr="00EB0558" w:rsidRDefault="33B5F161" w:rsidP="385CDABC">
      <w:pPr>
        <w:spacing w:line="480" w:lineRule="auto"/>
        <w:rPr>
          <w:sz w:val="22"/>
          <w:szCs w:val="22"/>
          <w:lang w:val="en-GB"/>
        </w:rPr>
      </w:pPr>
      <w:r w:rsidRPr="00EB0558">
        <w:rPr>
          <w:rFonts w:eastAsia="Arial"/>
          <w:color w:val="000000" w:themeColor="text1"/>
          <w:sz w:val="22"/>
          <w:szCs w:val="22"/>
          <w:lang w:val="en-US"/>
        </w:rPr>
        <w:t>Positive effects of music therapy for people with dementia and their family carers are reported in a growing number of studies</w:t>
      </w:r>
      <w:r w:rsidRPr="00EB0558">
        <w:rPr>
          <w:rFonts w:eastAsia="Arial"/>
          <w:color w:val="000000" w:themeColor="text1"/>
          <w:sz w:val="22"/>
          <w:szCs w:val="22"/>
          <w:lang w:val="en-GB"/>
        </w:rPr>
        <w:t xml:space="preserve">.  However, small sample sizes or low recruitment rates often limit the success of these research studies. </w:t>
      </w:r>
      <w:r w:rsidRPr="00EB0558">
        <w:rPr>
          <w:color w:val="000000" w:themeColor="text1"/>
          <w:sz w:val="22"/>
          <w:szCs w:val="22"/>
          <w:lang w:val="en-GB"/>
        </w:rPr>
        <w:t>M</w:t>
      </w:r>
      <w:r w:rsidRPr="00EB0558">
        <w:rPr>
          <w:rFonts w:eastAsia="Arial"/>
          <w:color w:val="000000" w:themeColor="text1"/>
          <w:sz w:val="22"/>
          <w:szCs w:val="22"/>
          <w:lang w:val="en-GB"/>
        </w:rPr>
        <w:t xml:space="preserve">ore adequately powered evidence-based studies </w:t>
      </w:r>
      <w:r w:rsidRPr="00EB0558">
        <w:rPr>
          <w:color w:val="000000" w:themeColor="text1"/>
          <w:sz w:val="22"/>
          <w:szCs w:val="22"/>
          <w:lang w:val="en-GB"/>
        </w:rPr>
        <w:t>are needed to</w:t>
      </w:r>
      <w:r w:rsidRPr="00EB0558">
        <w:rPr>
          <w:rFonts w:eastAsia="Arial"/>
          <w:color w:val="000000" w:themeColor="text1"/>
          <w:sz w:val="22"/>
          <w:szCs w:val="22"/>
          <w:lang w:val="en-GB"/>
        </w:rPr>
        <w:t xml:space="preserve"> impact policy and funding in dementia care. This systematic review examined recruitment strategies in music therapy clinical trials involving people living with dementia and/or their family carers. Eligible studies described enrolment, consent, accrual, or recruitment methods as well as recruitment or consent rates. Thirty studies with a total of 1,192 participants were included. Recruitment and conversion rates in residential aged care facilities (RACFs) (14 studies) were substantially higher than in community-based studies (16 studies). Whereas studies in RACFs most commonly recruited participants through staff approaching residents face-to-face or conversing with residents’ legal guardians, community-based studies utilised a vast array of strategies, including staff referral, demonstrations/information sessions by researchers, advertisements, and direct contact with residents. Recruitment rates are likely to be higher when recruiters have an existing relationship with potential participants and when an independent third-party dementia organisation is involved. </w:t>
      </w:r>
      <w:r w:rsidRPr="00EB0558">
        <w:rPr>
          <w:sz w:val="22"/>
          <w:szCs w:val="22"/>
          <w:lang w:val="en-GB"/>
        </w:rPr>
        <w:t>RCTs led to equally or greater recruitment conversion rates</w:t>
      </w:r>
      <w:r w:rsidRPr="00EB0558">
        <w:rPr>
          <w:rFonts w:eastAsia="Arial"/>
          <w:color w:val="000000" w:themeColor="text1"/>
          <w:sz w:val="22"/>
          <w:szCs w:val="22"/>
          <w:lang w:val="en-GB"/>
        </w:rPr>
        <w:t xml:space="preserve"> than other designs. Findings suggest that recruitment in dementia trials is complex, challenging, and needs thorough planning and consideration to be time- and cost-effective. </w:t>
      </w:r>
      <w:r w:rsidRPr="00EB0558">
        <w:rPr>
          <w:sz w:val="22"/>
          <w:szCs w:val="22"/>
          <w:lang w:val="en-GB"/>
        </w:rPr>
        <w:t>Future studies should include reporting of recruitment strategies, enrolment rates and related aspects so that researchers can better design recruitment strategies and estimate resources needed to reach the target sample size.</w:t>
      </w:r>
    </w:p>
    <w:p w14:paraId="686A3891" w14:textId="77777777" w:rsidR="00E57CFA" w:rsidRPr="00EB0558" w:rsidRDefault="00E57CFA">
      <w:pPr>
        <w:widowControl w:val="0"/>
        <w:autoSpaceDE w:val="0"/>
        <w:autoSpaceDN w:val="0"/>
        <w:rPr>
          <w:rFonts w:eastAsia="Arial"/>
          <w:b/>
          <w:bCs/>
          <w:w w:val="110"/>
          <w:sz w:val="22"/>
          <w:szCs w:val="22"/>
          <w:lang w:val="en-US" w:eastAsia="en-US"/>
        </w:rPr>
      </w:pPr>
      <w:r w:rsidRPr="00EB0558">
        <w:rPr>
          <w:b/>
          <w:bCs/>
          <w:w w:val="110"/>
          <w:sz w:val="22"/>
          <w:szCs w:val="22"/>
        </w:rPr>
        <w:br w:type="page"/>
      </w:r>
    </w:p>
    <w:p w14:paraId="379A632C" w14:textId="74C94508" w:rsidR="00F4529A" w:rsidRPr="00EA3A1C" w:rsidRDefault="00F4529A" w:rsidP="00EA3A1C">
      <w:pPr>
        <w:pStyle w:val="Heading1"/>
        <w:rPr>
          <w:b/>
          <w:bCs/>
        </w:rPr>
      </w:pPr>
      <w:r w:rsidRPr="00EA3A1C">
        <w:rPr>
          <w:b/>
          <w:bCs/>
        </w:rPr>
        <w:lastRenderedPageBreak/>
        <w:t xml:space="preserve">Introduction </w:t>
      </w:r>
    </w:p>
    <w:p w14:paraId="7264714F" w14:textId="1B1ACFF2" w:rsidR="32B29D13" w:rsidRPr="00EB0558" w:rsidRDefault="03B38D9D" w:rsidP="385CDABC">
      <w:pPr>
        <w:spacing w:line="480" w:lineRule="auto"/>
        <w:ind w:firstLine="720"/>
        <w:rPr>
          <w:color w:val="000000" w:themeColor="text1"/>
          <w:sz w:val="22"/>
          <w:szCs w:val="22"/>
          <w:lang w:val="en-US"/>
        </w:rPr>
      </w:pPr>
      <w:r w:rsidRPr="00EB0558">
        <w:rPr>
          <w:color w:val="000000" w:themeColor="text1"/>
          <w:sz w:val="22"/>
          <w:szCs w:val="22"/>
          <w:lang w:val="en-GB"/>
        </w:rPr>
        <w:t xml:space="preserve">Music therapy is a health treatment and a supporting resource for people living with dementia and their family caregivers. </w:t>
      </w:r>
      <w:r w:rsidRPr="00EB0558">
        <w:rPr>
          <w:color w:val="000000" w:themeColor="text1"/>
          <w:sz w:val="22"/>
          <w:szCs w:val="22"/>
          <w:lang w:val="en-US"/>
        </w:rPr>
        <w:t>Music engagement during singing, playing simple instruments, physical movement or dancing to favourite music can create opportunities for reminiscence, arousal regulation, physical and cognitive activation and support social interaction (Ridder, 2003; Ridder, 2005). This engagement with music strengthens relationships between people living with dementia and their environment and may improve quality of life for caregivers (Hsu et al. 2015).</w:t>
      </w:r>
    </w:p>
    <w:p w14:paraId="4A9F479F" w14:textId="23318510" w:rsidR="32B29D13" w:rsidRPr="00EB0558" w:rsidRDefault="385CDABC" w:rsidP="385CDABC">
      <w:pPr>
        <w:spacing w:line="480" w:lineRule="auto"/>
        <w:ind w:firstLine="708"/>
        <w:rPr>
          <w:color w:val="000000" w:themeColor="text1"/>
          <w:sz w:val="22"/>
          <w:szCs w:val="22"/>
          <w:lang w:val="en-US"/>
        </w:rPr>
      </w:pPr>
      <w:r w:rsidRPr="00EB0558">
        <w:rPr>
          <w:color w:val="000000" w:themeColor="text1"/>
          <w:sz w:val="22"/>
          <w:szCs w:val="22"/>
          <w:lang w:val="en-GB"/>
        </w:rPr>
        <w:t xml:space="preserve">Several studies show positive results on </w:t>
      </w:r>
      <w:r w:rsidRPr="00EB0558">
        <w:rPr>
          <w:color w:val="000000" w:themeColor="text1"/>
          <w:sz w:val="22"/>
          <w:szCs w:val="22"/>
          <w:lang w:val="en-US"/>
        </w:rPr>
        <w:t>emotional wellbeing, reduction of anxiety, and improved quality of life. The Cochrane review (van der Steen et al., 2018) confirmed the positive effects of music therapy in dementia care on reducing depressive symptoms and improving overall behavioural problems. Recent systematic reviews (Moreno-Morales et al., 2020; Lam et al., 2020) suggest music therapy improves memory, verbal fluency, reduces anxiety and apathy, and has short-lasting effects on the quality of life of people with dementia. However, these reviews revealed no significant effects of music therapy on agitation and aggression, or on improvements in cognitive and daily functioning. No long-term music therapy effects were reported (van der Steen et al., 2018; Moreno-Morales et al., 2020; Lam et al., 2020). These reviews show the therapeutic potential of music in dementia care, but conclusions are limited by the small number of fully powered robust clinical trials. Small sample sizes were one of the main limitations of included studies in the reviews with low recruitment rates often the cause of underpowered studies.</w:t>
      </w:r>
    </w:p>
    <w:p w14:paraId="7489C0AF" w14:textId="69329904" w:rsidR="00400D5A" w:rsidRPr="00EB0558" w:rsidRDefault="00400D5A" w:rsidP="385CDABC">
      <w:pPr>
        <w:adjustRightInd w:val="0"/>
        <w:spacing w:line="480" w:lineRule="auto"/>
        <w:ind w:firstLine="708"/>
        <w:rPr>
          <w:rFonts w:eastAsiaTheme="minorEastAsia"/>
          <w:sz w:val="22"/>
          <w:szCs w:val="22"/>
          <w:lang w:val="en-GB"/>
        </w:rPr>
      </w:pPr>
      <w:r w:rsidRPr="00EB0558">
        <w:rPr>
          <w:rFonts w:eastAsiaTheme="minorEastAsia"/>
          <w:sz w:val="22"/>
          <w:szCs w:val="22"/>
          <w:lang w:val="en-GB"/>
        </w:rPr>
        <w:t xml:space="preserve">Randomised controlled trials (RCT) </w:t>
      </w:r>
      <w:r w:rsidR="00C90326" w:rsidRPr="00EB0558">
        <w:rPr>
          <w:rFonts w:eastAsiaTheme="minorEastAsia"/>
          <w:sz w:val="22"/>
          <w:szCs w:val="22"/>
          <w:lang w:val="en-GB"/>
        </w:rPr>
        <w:t xml:space="preserve">have long </w:t>
      </w:r>
      <w:r w:rsidR="7B29B70A" w:rsidRPr="00EB0558">
        <w:rPr>
          <w:rFonts w:eastAsiaTheme="minorEastAsia"/>
          <w:sz w:val="22"/>
          <w:szCs w:val="22"/>
          <w:lang w:val="en-GB"/>
        </w:rPr>
        <w:t xml:space="preserve">been </w:t>
      </w:r>
      <w:r w:rsidR="00C90326" w:rsidRPr="00EB0558">
        <w:rPr>
          <w:rFonts w:eastAsiaTheme="minorEastAsia"/>
          <w:sz w:val="22"/>
          <w:szCs w:val="22"/>
          <w:lang w:val="en-GB"/>
        </w:rPr>
        <w:t xml:space="preserve">argued </w:t>
      </w:r>
      <w:r w:rsidR="7B29B70A" w:rsidRPr="00EB0558">
        <w:rPr>
          <w:rFonts w:eastAsiaTheme="minorEastAsia"/>
          <w:sz w:val="22"/>
          <w:szCs w:val="22"/>
          <w:lang w:val="en-GB"/>
        </w:rPr>
        <w:t>as</w:t>
      </w:r>
      <w:r w:rsidR="00C90326" w:rsidRPr="00EB0558">
        <w:rPr>
          <w:rFonts w:eastAsiaTheme="minorEastAsia"/>
          <w:sz w:val="22"/>
          <w:szCs w:val="22"/>
          <w:lang w:val="en-GB"/>
        </w:rPr>
        <w:t xml:space="preserve"> the gold standard of </w:t>
      </w:r>
      <w:r w:rsidRPr="00EB0558">
        <w:rPr>
          <w:rFonts w:eastAsiaTheme="minorEastAsia"/>
          <w:sz w:val="22"/>
          <w:szCs w:val="22"/>
          <w:lang w:val="en-GB"/>
        </w:rPr>
        <w:t xml:space="preserve">evaluating the effects of </w:t>
      </w:r>
      <w:r w:rsidR="00C90326" w:rsidRPr="00EB0558">
        <w:rPr>
          <w:rFonts w:eastAsiaTheme="minorEastAsia"/>
          <w:sz w:val="22"/>
          <w:szCs w:val="22"/>
          <w:lang w:val="en-GB"/>
        </w:rPr>
        <w:t>health interventions</w:t>
      </w:r>
      <w:r w:rsidRPr="00EB0558">
        <w:rPr>
          <w:rFonts w:eastAsiaTheme="minorEastAsia"/>
          <w:sz w:val="22"/>
          <w:szCs w:val="22"/>
          <w:lang w:val="en-GB"/>
        </w:rPr>
        <w:t xml:space="preserve"> (</w:t>
      </w:r>
      <w:r w:rsidR="00C90326" w:rsidRPr="00EB0558">
        <w:rPr>
          <w:color w:val="303030"/>
          <w:sz w:val="22"/>
          <w:szCs w:val="22"/>
          <w:shd w:val="clear" w:color="auto" w:fill="FFFFFF"/>
        </w:rPr>
        <w:t>Hariton &amp; Locascio, 2018)</w:t>
      </w:r>
      <w:r w:rsidRPr="00EB0558">
        <w:rPr>
          <w:rFonts w:eastAsiaTheme="minorEastAsia"/>
          <w:sz w:val="22"/>
          <w:szCs w:val="22"/>
          <w:lang w:val="en-GB"/>
        </w:rPr>
        <w:t xml:space="preserve"> including studies of music therapy. However, the success of such trials is often hindered by low recruitment rates (</w:t>
      </w:r>
      <w:r w:rsidR="00C90326" w:rsidRPr="00EB0558">
        <w:rPr>
          <w:rFonts w:eastAsiaTheme="minorEastAsia"/>
          <w:sz w:val="22"/>
          <w:szCs w:val="22"/>
          <w:lang w:val="en-GB"/>
        </w:rPr>
        <w:t>Walters et al., 2016)</w:t>
      </w:r>
      <w:r w:rsidRPr="00EB0558">
        <w:rPr>
          <w:rFonts w:eastAsiaTheme="minorEastAsia"/>
          <w:sz w:val="22"/>
          <w:szCs w:val="22"/>
          <w:lang w:val="en-GB"/>
        </w:rPr>
        <w:t xml:space="preserve">. </w:t>
      </w:r>
      <w:r w:rsidR="00C90326" w:rsidRPr="00EB0558">
        <w:rPr>
          <w:rFonts w:eastAsiaTheme="minorEastAsia"/>
          <w:sz w:val="22"/>
          <w:szCs w:val="22"/>
          <w:lang w:val="en-GB"/>
        </w:rPr>
        <w:t xml:space="preserve">Despite researchers’ best efforts to recruit, </w:t>
      </w:r>
      <w:r w:rsidR="00023488" w:rsidRPr="00EB0558">
        <w:rPr>
          <w:rFonts w:eastAsiaTheme="minorEastAsia"/>
          <w:sz w:val="22"/>
          <w:szCs w:val="22"/>
          <w:lang w:val="en-GB"/>
        </w:rPr>
        <w:t>approximately</w:t>
      </w:r>
      <w:r w:rsidRPr="00EB0558">
        <w:rPr>
          <w:rFonts w:eastAsiaTheme="minorEastAsia"/>
          <w:sz w:val="22"/>
          <w:szCs w:val="22"/>
          <w:lang w:val="en-GB"/>
        </w:rPr>
        <w:t xml:space="preserve"> 50% of clinical trials fall short of reaching their recruitment targets (Sully et al., 2013)</w:t>
      </w:r>
      <w:r w:rsidR="00023488" w:rsidRPr="00EB0558">
        <w:rPr>
          <w:rFonts w:eastAsiaTheme="minorEastAsia"/>
          <w:sz w:val="22"/>
          <w:szCs w:val="22"/>
          <w:lang w:val="en-GB"/>
        </w:rPr>
        <w:t xml:space="preserve">, with as many as 22% of studies </w:t>
      </w:r>
      <w:r w:rsidR="00E504CA" w:rsidRPr="00EB0558">
        <w:rPr>
          <w:rFonts w:eastAsiaTheme="minorEastAsia"/>
          <w:sz w:val="22"/>
          <w:szCs w:val="22"/>
          <w:lang w:val="en-GB"/>
        </w:rPr>
        <w:t xml:space="preserve">recruiting less than </w:t>
      </w:r>
      <w:r w:rsidR="00023488" w:rsidRPr="00EB0558">
        <w:rPr>
          <w:rFonts w:eastAsiaTheme="minorEastAsia"/>
          <w:sz w:val="22"/>
          <w:szCs w:val="22"/>
          <w:lang w:val="en-GB"/>
        </w:rPr>
        <w:t>80% of their target sample size (Walters et al., 2016)</w:t>
      </w:r>
      <w:r w:rsidRPr="00EB0558">
        <w:rPr>
          <w:rFonts w:eastAsiaTheme="minorEastAsia"/>
          <w:sz w:val="22"/>
          <w:szCs w:val="22"/>
          <w:lang w:val="en-GB"/>
        </w:rPr>
        <w:t xml:space="preserve">. </w:t>
      </w:r>
      <w:r w:rsidR="00023488" w:rsidRPr="00EB0558">
        <w:rPr>
          <w:rFonts w:eastAsiaTheme="minorEastAsia"/>
          <w:sz w:val="22"/>
          <w:szCs w:val="22"/>
          <w:lang w:val="en-GB"/>
        </w:rPr>
        <w:t>R</w:t>
      </w:r>
      <w:r w:rsidRPr="00EB0558">
        <w:rPr>
          <w:rFonts w:eastAsiaTheme="minorEastAsia"/>
          <w:sz w:val="22"/>
          <w:szCs w:val="22"/>
          <w:lang w:val="en-GB"/>
        </w:rPr>
        <w:t xml:space="preserve">ecruitment </w:t>
      </w:r>
      <w:r w:rsidR="00023488" w:rsidRPr="00EB0558">
        <w:rPr>
          <w:rFonts w:eastAsiaTheme="minorEastAsia"/>
          <w:sz w:val="22"/>
          <w:szCs w:val="22"/>
          <w:lang w:val="en-GB"/>
        </w:rPr>
        <w:t xml:space="preserve">strategies that fail to generate participant enrolments, </w:t>
      </w:r>
      <w:r w:rsidRPr="00EB0558">
        <w:rPr>
          <w:rFonts w:eastAsiaTheme="minorEastAsia"/>
          <w:sz w:val="22"/>
          <w:szCs w:val="22"/>
          <w:lang w:val="en-GB"/>
        </w:rPr>
        <w:t xml:space="preserve">reduces </w:t>
      </w:r>
      <w:r w:rsidR="00023488" w:rsidRPr="00EB0558">
        <w:rPr>
          <w:rFonts w:eastAsiaTheme="minorEastAsia"/>
          <w:sz w:val="22"/>
          <w:szCs w:val="22"/>
          <w:lang w:val="en-GB"/>
        </w:rPr>
        <w:t xml:space="preserve">study </w:t>
      </w:r>
      <w:r w:rsidRPr="00EB0558">
        <w:rPr>
          <w:rFonts w:eastAsiaTheme="minorEastAsia"/>
          <w:sz w:val="22"/>
          <w:szCs w:val="22"/>
          <w:lang w:val="en-GB"/>
        </w:rPr>
        <w:t>power</w:t>
      </w:r>
      <w:r w:rsidR="7B29B70A" w:rsidRPr="00EB0558">
        <w:rPr>
          <w:rFonts w:eastAsiaTheme="minorEastAsia"/>
          <w:sz w:val="22"/>
          <w:szCs w:val="22"/>
          <w:lang w:val="en-GB"/>
        </w:rPr>
        <w:t>,</w:t>
      </w:r>
      <w:r w:rsidRPr="00EB0558">
        <w:rPr>
          <w:rFonts w:eastAsiaTheme="minorEastAsia"/>
          <w:sz w:val="22"/>
          <w:szCs w:val="22"/>
          <w:lang w:val="en-GB"/>
        </w:rPr>
        <w:t xml:space="preserve"> </w:t>
      </w:r>
      <w:r w:rsidR="00023488" w:rsidRPr="00EB0558">
        <w:rPr>
          <w:rFonts w:eastAsiaTheme="minorEastAsia"/>
          <w:sz w:val="22"/>
          <w:szCs w:val="22"/>
          <w:lang w:val="en-GB"/>
        </w:rPr>
        <w:t>and the likelihood of detecting significant effects (</w:t>
      </w:r>
      <w:r w:rsidRPr="00EB0558">
        <w:rPr>
          <w:rFonts w:eastAsiaTheme="minorEastAsia"/>
          <w:sz w:val="22"/>
          <w:szCs w:val="22"/>
          <w:lang w:val="en-GB"/>
        </w:rPr>
        <w:t xml:space="preserve">Swanson &amp; Ward, </w:t>
      </w:r>
      <w:r w:rsidRPr="00EB0558">
        <w:rPr>
          <w:rFonts w:eastAsiaTheme="minorEastAsia"/>
          <w:sz w:val="22"/>
          <w:szCs w:val="22"/>
          <w:lang w:val="en-GB"/>
        </w:rPr>
        <w:lastRenderedPageBreak/>
        <w:t xml:space="preserve">1995), </w:t>
      </w:r>
      <w:r w:rsidR="00023488" w:rsidRPr="00EB0558">
        <w:rPr>
          <w:rFonts w:eastAsiaTheme="minorEastAsia"/>
          <w:sz w:val="22"/>
          <w:szCs w:val="22"/>
          <w:lang w:val="en-GB"/>
        </w:rPr>
        <w:t xml:space="preserve">not to mention </w:t>
      </w:r>
      <w:r w:rsidRPr="00EB0558">
        <w:rPr>
          <w:rFonts w:eastAsiaTheme="minorEastAsia"/>
          <w:sz w:val="22"/>
          <w:szCs w:val="22"/>
          <w:lang w:val="en-GB"/>
        </w:rPr>
        <w:t>caus</w:t>
      </w:r>
      <w:r w:rsidR="00023488" w:rsidRPr="00EB0558">
        <w:rPr>
          <w:rFonts w:eastAsiaTheme="minorEastAsia"/>
          <w:sz w:val="22"/>
          <w:szCs w:val="22"/>
          <w:lang w:val="en-GB"/>
        </w:rPr>
        <w:t>ing</w:t>
      </w:r>
      <w:r w:rsidRPr="00EB0558">
        <w:rPr>
          <w:rFonts w:eastAsiaTheme="minorEastAsia"/>
          <w:sz w:val="22"/>
          <w:szCs w:val="22"/>
          <w:lang w:val="en-GB"/>
        </w:rPr>
        <w:t xml:space="preserve"> delays </w:t>
      </w:r>
      <w:r w:rsidR="00023488" w:rsidRPr="00EB0558">
        <w:rPr>
          <w:rFonts w:eastAsiaTheme="minorEastAsia"/>
          <w:sz w:val="22"/>
          <w:szCs w:val="22"/>
          <w:lang w:val="en-GB"/>
        </w:rPr>
        <w:t xml:space="preserve">in completing the study, </w:t>
      </w:r>
      <w:r w:rsidRPr="00EB0558">
        <w:rPr>
          <w:rFonts w:eastAsiaTheme="minorEastAsia"/>
          <w:sz w:val="22"/>
          <w:szCs w:val="22"/>
          <w:lang w:val="en-GB"/>
        </w:rPr>
        <w:t>increase</w:t>
      </w:r>
      <w:r w:rsidR="7B29B70A" w:rsidRPr="00EB0558">
        <w:rPr>
          <w:rFonts w:eastAsiaTheme="minorEastAsia"/>
          <w:sz w:val="22"/>
          <w:szCs w:val="22"/>
          <w:lang w:val="en-GB"/>
        </w:rPr>
        <w:t>d</w:t>
      </w:r>
      <w:r w:rsidRPr="00EB0558">
        <w:rPr>
          <w:rFonts w:eastAsiaTheme="minorEastAsia"/>
          <w:sz w:val="22"/>
          <w:szCs w:val="22"/>
          <w:lang w:val="en-GB"/>
        </w:rPr>
        <w:t xml:space="preserve"> costs, and can lead to failure to complete trials (Walson, 1999).</w:t>
      </w:r>
      <w:r w:rsidR="7B29B70A" w:rsidRPr="00EB0558">
        <w:rPr>
          <w:rFonts w:eastAsiaTheme="minorEastAsia"/>
          <w:sz w:val="22"/>
          <w:szCs w:val="22"/>
          <w:lang w:val="en-GB"/>
        </w:rPr>
        <w:t xml:space="preserve"> </w:t>
      </w:r>
      <w:r w:rsidRPr="00EB0558">
        <w:rPr>
          <w:rFonts w:eastAsiaTheme="minorEastAsia"/>
          <w:sz w:val="22"/>
          <w:szCs w:val="22"/>
          <w:lang w:val="en-GB"/>
        </w:rPr>
        <w:t>Certainly, in the music therapy literature, limited generalisability</w:t>
      </w:r>
      <w:r w:rsidR="32B29D13" w:rsidRPr="00EB0558">
        <w:rPr>
          <w:rFonts w:eastAsiaTheme="minorEastAsia"/>
          <w:sz w:val="22"/>
          <w:szCs w:val="22"/>
          <w:lang w:val="en-GB"/>
        </w:rPr>
        <w:t xml:space="preserve"> of results</w:t>
      </w:r>
      <w:r w:rsidRPr="00EB0558">
        <w:rPr>
          <w:rFonts w:eastAsiaTheme="minorEastAsia"/>
          <w:sz w:val="22"/>
          <w:szCs w:val="22"/>
          <w:lang w:val="en-GB"/>
        </w:rPr>
        <w:t xml:space="preserve"> is often attributed to low participant numbers (</w:t>
      </w:r>
      <w:r w:rsidR="002B54FF" w:rsidRPr="00EB0558">
        <w:rPr>
          <w:rFonts w:eastAsiaTheme="minorEastAsia"/>
          <w:sz w:val="22"/>
          <w:szCs w:val="22"/>
          <w:lang w:val="en-GB"/>
        </w:rPr>
        <w:t xml:space="preserve">Porter et al., 2014). </w:t>
      </w:r>
    </w:p>
    <w:p w14:paraId="3C60C948" w14:textId="7DB9BA86" w:rsidR="00400D5A" w:rsidRPr="00EB0558" w:rsidRDefault="03B38D9D" w:rsidP="385CDABC">
      <w:pPr>
        <w:adjustRightInd w:val="0"/>
        <w:spacing w:line="480" w:lineRule="auto"/>
        <w:ind w:firstLine="720"/>
        <w:rPr>
          <w:rFonts w:eastAsiaTheme="minorEastAsia"/>
          <w:sz w:val="22"/>
          <w:szCs w:val="22"/>
          <w:lang w:val="en-GB"/>
        </w:rPr>
      </w:pPr>
      <w:r w:rsidRPr="00EB0558">
        <w:rPr>
          <w:rFonts w:eastAsiaTheme="minorEastAsia"/>
          <w:sz w:val="22"/>
          <w:szCs w:val="22"/>
          <w:lang w:val="en-GB"/>
        </w:rPr>
        <w:t xml:space="preserve">Many factors may impact the uptake of trials by potential participants. Firstly, study design may influence recruitment success. A systematic review of clinical trials that compared different recruitment strategies, found that consent rates were higher for nonblinded trial designs (Caldwell et al., 2010). More people were willing to consent to participation when the trial was a noninferiority study compared with a placebo-controlled study. Rates of consent were higher when participants had a greater chance of receiving the experimental treatment or when participants could self-select into the treatment of their choice (non-randomised). </w:t>
      </w:r>
    </w:p>
    <w:p w14:paraId="6816A087" w14:textId="2B8A170C" w:rsidR="00400D5A" w:rsidRPr="00EB0558" w:rsidRDefault="03B38D9D" w:rsidP="385CDABC">
      <w:pPr>
        <w:spacing w:line="480" w:lineRule="auto"/>
        <w:ind w:firstLine="720"/>
        <w:rPr>
          <w:rFonts w:eastAsiaTheme="minorEastAsia"/>
          <w:sz w:val="22"/>
          <w:szCs w:val="22"/>
          <w:lang w:val="en-GB"/>
        </w:rPr>
      </w:pPr>
      <w:r w:rsidRPr="00EB0558">
        <w:rPr>
          <w:rFonts w:eastAsiaTheme="minorEastAsia"/>
          <w:sz w:val="22"/>
          <w:szCs w:val="22"/>
          <w:lang w:val="en-GB"/>
        </w:rPr>
        <w:t xml:space="preserve">Recruiter characteristics have also been found to impact successful recruitment. Larkey et al. (2002) compared the success rate of recruitment between trained and untrained recruiters. Those recruiters with extensive training had a statistically higher success rate in recruiting participants to the study when compared with those who lacked training. In a review by Caldwell et al. (2010), the authors concluded that when examining the amount of contact recruiters had with potential participants had no statistically significant effect on enrolment success. Indeed, the trend was that there was a lower enrolment with increasing contact by the recruiter. </w:t>
      </w:r>
    </w:p>
    <w:p w14:paraId="2E8FC272" w14:textId="2BB392DB" w:rsidR="00400D5A" w:rsidRPr="00EB0558" w:rsidRDefault="25E3AD51" w:rsidP="25E3AD51">
      <w:pPr>
        <w:adjustRightInd w:val="0"/>
        <w:spacing w:line="480" w:lineRule="auto"/>
        <w:ind w:firstLine="720"/>
        <w:rPr>
          <w:rFonts w:eastAsiaTheme="minorEastAsia"/>
          <w:sz w:val="22"/>
          <w:szCs w:val="22"/>
          <w:lang w:val="en-GB"/>
        </w:rPr>
      </w:pPr>
      <w:r w:rsidRPr="00EB0558">
        <w:rPr>
          <w:rFonts w:eastAsiaTheme="minorEastAsia"/>
          <w:sz w:val="22"/>
          <w:szCs w:val="22"/>
          <w:lang w:val="en-GB"/>
        </w:rPr>
        <w:t xml:space="preserve">Participant incentives has received attention as a way to increase enrolment in studies. Incentives could include receiving payment, store vouchers, or an offer to receive the target intervention at the conclusion of the study if the participant was allocated to the comparative treatment or standard care. The review by Caldwell et al. </w:t>
      </w:r>
      <w:r w:rsidRPr="00EB0558">
        <w:rPr>
          <w:sz w:val="22"/>
          <w:szCs w:val="22"/>
          <w:lang w:val="en-GB"/>
        </w:rPr>
        <w:t>(2010)</w:t>
      </w:r>
      <w:r w:rsidRPr="00EB0558">
        <w:rPr>
          <w:rFonts w:eastAsiaTheme="minorEastAsia"/>
          <w:sz w:val="22"/>
          <w:szCs w:val="22"/>
          <w:lang w:val="en-GB"/>
        </w:rPr>
        <w:t xml:space="preserve"> showed that while incentives increased rates of consent to participate, the monetary amounts (from US$100 to US$2,000) did not make a statistical difference irrespective of the risk and severity of potential adverse effects or of being assigned to standard care. </w:t>
      </w:r>
    </w:p>
    <w:p w14:paraId="0BB7A4A1" w14:textId="5A2E71A9" w:rsidR="00400D5A" w:rsidRPr="00EB0558" w:rsidRDefault="03B38D9D" w:rsidP="385CDABC">
      <w:pPr>
        <w:adjustRightInd w:val="0"/>
        <w:spacing w:line="480" w:lineRule="auto"/>
        <w:ind w:firstLine="720"/>
        <w:rPr>
          <w:rFonts w:eastAsiaTheme="minorEastAsia"/>
          <w:sz w:val="22"/>
          <w:szCs w:val="22"/>
          <w:lang w:val="en-GB"/>
        </w:rPr>
      </w:pPr>
      <w:r w:rsidRPr="00EB0558">
        <w:rPr>
          <w:rFonts w:eastAsiaTheme="minorEastAsia"/>
          <w:sz w:val="22"/>
          <w:szCs w:val="22"/>
          <w:lang w:val="en-GB"/>
        </w:rPr>
        <w:t xml:space="preserve">A review of six recruitment trials that used mail-outs of recruitment material (Caldwell et al., 2010), identified five methods – 1) the use of a personal letter inviting participation, 2) the use of bulk-mailing, 3) an advanced postcard alerting participants to anticipate receiving recruitment packages in the </w:t>
      </w:r>
      <w:r w:rsidRPr="00EB0558">
        <w:rPr>
          <w:rFonts w:eastAsiaTheme="minorEastAsia"/>
          <w:sz w:val="22"/>
          <w:szCs w:val="22"/>
          <w:lang w:val="en-GB"/>
        </w:rPr>
        <w:lastRenderedPageBreak/>
        <w:t xml:space="preserve">near future, 4) a reminder phone call for non-responders following mail-outs, and 5) increasingly intensive phone and mail contact with potential participants following initial mail-out of recruitment letters. The review concluded that none of these techniques were more effective than others. The degree of complexity of the study descriptions contained in recruitment letters did not affect recruitment rates. Plain language statements did not lead to greater consent rates than those where language was more complex or contained more detailed content. </w:t>
      </w:r>
    </w:p>
    <w:p w14:paraId="5333CF2F" w14:textId="5190DDC3" w:rsidR="00400D5A" w:rsidRPr="00EB0558" w:rsidRDefault="03B38D9D" w:rsidP="385CDABC">
      <w:pPr>
        <w:adjustRightInd w:val="0"/>
        <w:spacing w:line="480" w:lineRule="auto"/>
        <w:ind w:firstLine="720"/>
        <w:rPr>
          <w:rFonts w:eastAsiaTheme="minorEastAsia"/>
          <w:sz w:val="22"/>
          <w:szCs w:val="22"/>
          <w:lang w:val="en-GB"/>
        </w:rPr>
      </w:pPr>
      <w:r w:rsidRPr="00EB0558">
        <w:rPr>
          <w:rFonts w:eastAsiaTheme="minorEastAsia"/>
          <w:sz w:val="22"/>
          <w:szCs w:val="22"/>
          <w:lang w:val="en-GB"/>
        </w:rPr>
        <w:t xml:space="preserve">In one study by Weston et al. (1997), advertising the trial via video did lead to higher levels of study participation when compared with a general written invitation to participate. Caldwell’s et al. (2010) review also concluded that there was no difference in consent rates when the clinical trial managers read and explained the details of the study when compared with mailing standard recruitment packages containing plain language statements and consent forms. </w:t>
      </w:r>
    </w:p>
    <w:p w14:paraId="6387C5B7" w14:textId="7D2C27A4" w:rsidR="00400D5A" w:rsidRPr="00EB0558" w:rsidRDefault="385CDABC" w:rsidP="385CDABC">
      <w:pPr>
        <w:adjustRightInd w:val="0"/>
        <w:spacing w:line="480" w:lineRule="auto"/>
        <w:ind w:firstLine="720"/>
        <w:rPr>
          <w:rFonts w:eastAsiaTheme="minorEastAsia"/>
          <w:sz w:val="22"/>
          <w:szCs w:val="22"/>
          <w:lang w:val="en-GB"/>
        </w:rPr>
      </w:pPr>
      <w:r w:rsidRPr="00EB0558">
        <w:rPr>
          <w:rFonts w:eastAsiaTheme="minorEastAsia"/>
          <w:sz w:val="22"/>
          <w:szCs w:val="22"/>
          <w:lang w:val="en-GB"/>
        </w:rPr>
        <w:t>Raising awareness of the studies using a combination of community-based strategies is one way to maximise enrolment. In a study recruiting older people from the community living in retirement homes (Duckham et al., 2018), posters displayed in central areas of the village were effective as well as the research team offering on-site presentations which highlighted the benefits to the individuals and society of study participation. As reported by Goldman et al. (2019), mail-outs and telephone approaches led to the lowest enrolment rates (1.2%), followed by media and advertising strategies. The most effective approach was having a direct referral from a health practitioner and the provision of information and education sessions (27% and 52% respectively). Liu et al. (2018) reviewed recruitment strategies used in mental health studies and identified additional approaches other than those mentioned in the previous studies including - information provided by charity organisations, web-based adverts, radio adverts, bus adverts, newspaper adverts, Google and Facebook adverts, online forums, links from healthcare websites, online community notice boards, and group emails. The review concluded that it was difficult to determine which was the most effective strategy.</w:t>
      </w:r>
    </w:p>
    <w:p w14:paraId="0780FC55" w14:textId="77777777" w:rsidR="004D1D2D" w:rsidRPr="00EB0558" w:rsidRDefault="25E3AD51" w:rsidP="00DE1A26">
      <w:pPr>
        <w:spacing w:before="4" w:line="480" w:lineRule="auto"/>
        <w:ind w:firstLine="720"/>
        <w:rPr>
          <w:rFonts w:eastAsiaTheme="minorEastAsia"/>
          <w:sz w:val="22"/>
          <w:szCs w:val="22"/>
          <w:lang w:val="en-GB"/>
        </w:rPr>
      </w:pPr>
      <w:r w:rsidRPr="00EB0558">
        <w:rPr>
          <w:rFonts w:eastAsiaTheme="minorEastAsia"/>
          <w:sz w:val="22"/>
          <w:szCs w:val="22"/>
          <w:lang w:val="en-GB"/>
        </w:rPr>
        <w:t xml:space="preserve">Friedman et al. (2015) identified potential strategies for subsequent participation and testing, by first conducting interviews and focus groups of people living in the community. Their study aimed to </w:t>
      </w:r>
      <w:r w:rsidRPr="00EB0558">
        <w:rPr>
          <w:rFonts w:eastAsiaTheme="minorEastAsia"/>
          <w:sz w:val="22"/>
          <w:szCs w:val="22"/>
          <w:lang w:val="en-GB"/>
        </w:rPr>
        <w:lastRenderedPageBreak/>
        <w:t xml:space="preserve">identify what were the perceived motivators, enablers and barriers to study participation. Findings suggested that major barriers included fear of adverse or side effects of participation in the study, a lack of understanding about what the trial was about and aiming to test, a sense of mistrust in the researchers, and having limited time available to participate. Participant payment was identified as being the highest motivator for participation surpassing the potential for the intervention to be of significant benefit. Those interviewed highlighted that community organisations such as church communities, word of mouth, and advertisement in the media were most likely the best approaches to recruit. </w:t>
      </w:r>
    </w:p>
    <w:p w14:paraId="5E5D12B6" w14:textId="1032D501" w:rsidR="00FD7B35" w:rsidRPr="00EB0558" w:rsidRDefault="03B38D9D" w:rsidP="385CDABC">
      <w:pPr>
        <w:adjustRightInd w:val="0"/>
        <w:spacing w:before="4" w:line="480" w:lineRule="auto"/>
        <w:ind w:firstLine="720"/>
        <w:rPr>
          <w:rFonts w:eastAsiaTheme="minorEastAsia"/>
          <w:sz w:val="22"/>
          <w:szCs w:val="22"/>
          <w:lang w:val="en-GB"/>
        </w:rPr>
      </w:pPr>
      <w:r w:rsidRPr="00EB0558">
        <w:rPr>
          <w:rFonts w:eastAsiaTheme="minorEastAsia"/>
          <w:sz w:val="22"/>
          <w:szCs w:val="22"/>
          <w:lang w:val="en-GB"/>
        </w:rPr>
        <w:t xml:space="preserve">In another study, interviews with older adults about participation in research also identified several barriers and motivators (Marcantonio et al., 2008). There was high preference by </w:t>
      </w:r>
      <w:r w:rsidR="00401071" w:rsidRPr="00EB0558">
        <w:rPr>
          <w:rFonts w:eastAsiaTheme="minorEastAsia"/>
          <w:sz w:val="22"/>
          <w:szCs w:val="22"/>
          <w:lang w:val="en-GB"/>
        </w:rPr>
        <w:t xml:space="preserve">study </w:t>
      </w:r>
      <w:r w:rsidRPr="00EB0558">
        <w:rPr>
          <w:rFonts w:eastAsiaTheme="minorEastAsia"/>
          <w:sz w:val="22"/>
          <w:szCs w:val="22"/>
          <w:lang w:val="en-GB"/>
        </w:rPr>
        <w:t xml:space="preserve">participants </w:t>
      </w:r>
      <w:r w:rsidR="00401071" w:rsidRPr="00EB0558">
        <w:rPr>
          <w:rFonts w:eastAsiaTheme="minorEastAsia"/>
          <w:sz w:val="22"/>
          <w:szCs w:val="22"/>
          <w:lang w:val="en-GB"/>
        </w:rPr>
        <w:t>to participate in research from</w:t>
      </w:r>
      <w:r w:rsidRPr="00EB0558">
        <w:rPr>
          <w:rFonts w:eastAsiaTheme="minorEastAsia"/>
          <w:sz w:val="22"/>
          <w:szCs w:val="22"/>
          <w:lang w:val="en-GB"/>
        </w:rPr>
        <w:t xml:space="preserve"> their own home rather than having to travel to another location (98%) and 28% suggested they would not consent to participate if they had to travel in order to participate. The shorter the study length, the higher the motivation to participate with longitudinal studies being a disincentive to participate in 10% of cases. Similarly, studies involving interviews of longer than 90 minutes was a barrier to recruitment for 24% of those interviewed. Overwhelmingly, most participants believed the contribution to knowledge and society was the primary motivation for participation. Other motivators included the potential for personal benefit, and giving older people some purpose, something to do. Incentives such as free meals or stipends were not motivators to participate however support such as provision of transportation and free parking (90%), flexibility in appointment times (76%), and provision of educational materials (46%) were strong incentives.</w:t>
      </w:r>
    </w:p>
    <w:p w14:paraId="7BC51044" w14:textId="31E885EA" w:rsidR="000C5898" w:rsidRPr="00EA3A1C" w:rsidRDefault="03B38D9D" w:rsidP="00EA3A1C">
      <w:pPr>
        <w:spacing w:line="480" w:lineRule="auto"/>
        <w:ind w:firstLine="720"/>
        <w:rPr>
          <w:rFonts w:eastAsiaTheme="minorEastAsia"/>
          <w:sz w:val="22"/>
          <w:szCs w:val="22"/>
          <w:lang w:val="en-GB"/>
        </w:rPr>
      </w:pPr>
      <w:r w:rsidRPr="00EA3A1C">
        <w:rPr>
          <w:rFonts w:eastAsiaTheme="minorEastAsia"/>
          <w:sz w:val="22"/>
          <w:szCs w:val="22"/>
          <w:lang w:val="en-GB"/>
        </w:rPr>
        <w:t xml:space="preserve">We found only one music therapy study that has partially reported data on recruitment strategies and learnings on what are the most effective approaches to convert eligible participants into enrolled participants. </w:t>
      </w:r>
      <w:r w:rsidR="00D00F9A" w:rsidRPr="00EA3A1C">
        <w:rPr>
          <w:rFonts w:eastAsiaTheme="minorEastAsia"/>
          <w:sz w:val="22"/>
          <w:szCs w:val="22"/>
          <w:lang w:val="en-GB"/>
        </w:rPr>
        <w:t xml:space="preserve">Baker et al. </w:t>
      </w:r>
      <w:r w:rsidRPr="00EA3A1C">
        <w:rPr>
          <w:rFonts w:eastAsiaTheme="minorEastAsia"/>
          <w:sz w:val="22"/>
          <w:szCs w:val="22"/>
          <w:lang w:val="en-GB"/>
        </w:rPr>
        <w:t>(</w:t>
      </w:r>
      <w:r w:rsidR="00D00F9A" w:rsidRPr="00EA3A1C">
        <w:rPr>
          <w:rFonts w:eastAsiaTheme="minorEastAsia"/>
          <w:sz w:val="22"/>
          <w:szCs w:val="22"/>
          <w:lang w:val="en-GB"/>
        </w:rPr>
        <w:t>2020</w:t>
      </w:r>
      <w:r w:rsidRPr="00EA3A1C">
        <w:rPr>
          <w:rFonts w:eastAsiaTheme="minorEastAsia"/>
          <w:sz w:val="22"/>
          <w:szCs w:val="22"/>
          <w:lang w:val="en-GB"/>
        </w:rPr>
        <w:t xml:space="preserve">), examined resource use in recruiting, assessing, and delivering interventions in people living with dementia in residential aged care facilities (RACFs). Their recommendations for effective recruitment conversion strategies were based on 316 enrolled participants from 666 screened collected over 18 months. They recommended firstly that researchers include in the study budget, funding to hire foreign language translators who can be present during recruitment to ensure </w:t>
      </w:r>
      <w:r w:rsidRPr="00EA3A1C">
        <w:rPr>
          <w:rFonts w:eastAsiaTheme="minorEastAsia"/>
          <w:sz w:val="22"/>
          <w:szCs w:val="22"/>
          <w:lang w:val="en-GB"/>
        </w:rPr>
        <w:lastRenderedPageBreak/>
        <w:t xml:space="preserve">those residents and next of kin from different backgrounds can fully understand the plain language statement before consenting to participation. They also recommended that plain language statements be simplified and if necessary, to make an argument to ethics committees to do so, to increase understanding of the study intentions and expected involvement. Finally, the researchers recommended that recruiters practice therapeutic listening when first making contact with potential participants to build rapport with participants and their next of kin, listening to their stories, concerns, and struggles. This increases the likelihood of converting to an enrolment. </w:t>
      </w:r>
    </w:p>
    <w:p w14:paraId="22C29181" w14:textId="251A93F2" w:rsidR="385CDABC" w:rsidRPr="00EA3A1C" w:rsidRDefault="2039F9E8" w:rsidP="00EA3A1C">
      <w:pPr>
        <w:spacing w:line="480" w:lineRule="auto"/>
        <w:ind w:firstLine="720"/>
        <w:rPr>
          <w:sz w:val="22"/>
          <w:szCs w:val="22"/>
        </w:rPr>
      </w:pPr>
      <w:r w:rsidRPr="00EA3A1C">
        <w:rPr>
          <w:sz w:val="22"/>
          <w:szCs w:val="22"/>
          <w:lang w:val="en-GB"/>
        </w:rPr>
        <w:t>To date, there has been no systematic review examining recruitment strategies used in music therapy trials nor a review of studies whose target sample sizes were met or not met. The findings from this review are intended to inform future research in music therapy with people living with dementia and/or their family carers, enabling researchers and clinicians to design and carry out research that is both effective and ethically sound. For us, a second motivation for this review was to prepare for a large adequately powered music therapy RCT (</w:t>
      </w:r>
      <w:r w:rsidR="00D00F9A" w:rsidRPr="00EA3A1C">
        <w:rPr>
          <w:sz w:val="22"/>
          <w:szCs w:val="22"/>
          <w:lang w:val="en-GB"/>
        </w:rPr>
        <w:t>Baker et al., 2019</w:t>
      </w:r>
      <w:r w:rsidRPr="00EA3A1C">
        <w:rPr>
          <w:sz w:val="22"/>
          <w:szCs w:val="22"/>
          <w:lang w:val="en-GB"/>
        </w:rPr>
        <w:t>) that will be delivered across 5 countries. We sought to systematically review the music therapy literature to identify the most effective recruitment strategies used by researchers aiming to maximise recruitment of people living with dementia and/or family caregivers of people living with dementia. We were interested to learn about how long recruitment periods were set for, and how recruitment rates compared for randomised and non-randomised trials. We also sought to identify whether additional strategies (e.g. use of music engagement) other than those identified in other reviews of recruitment strategies were being used and with what level of success.</w:t>
      </w:r>
    </w:p>
    <w:p w14:paraId="12D8B27D" w14:textId="59436079" w:rsidR="385CDABC" w:rsidRPr="00EB0558" w:rsidRDefault="385CDABC" w:rsidP="00EA3A1C"/>
    <w:p w14:paraId="5AF6B560" w14:textId="11FB5D12" w:rsidR="00C06411" w:rsidRPr="00EA3A1C" w:rsidRDefault="00C06411" w:rsidP="00EA3A1C">
      <w:pPr>
        <w:pStyle w:val="Heading1"/>
        <w:rPr>
          <w:b/>
          <w:bCs/>
        </w:rPr>
      </w:pPr>
      <w:r w:rsidRPr="00EA3A1C">
        <w:rPr>
          <w:b/>
          <w:bCs/>
        </w:rPr>
        <w:t>Research Questions</w:t>
      </w:r>
    </w:p>
    <w:p w14:paraId="20B0DE98" w14:textId="77777777" w:rsidR="00312C82" w:rsidRPr="00EB0558" w:rsidRDefault="00312C82" w:rsidP="000F2B07">
      <w:pPr>
        <w:spacing w:line="480" w:lineRule="auto"/>
        <w:rPr>
          <w:color w:val="000000" w:themeColor="text1"/>
          <w:sz w:val="22"/>
          <w:szCs w:val="22"/>
          <w:shd w:val="clear" w:color="auto" w:fill="FFFFFF"/>
        </w:rPr>
      </w:pPr>
      <w:r w:rsidRPr="00EB0558">
        <w:rPr>
          <w:color w:val="000000" w:themeColor="text1"/>
          <w:sz w:val="22"/>
          <w:szCs w:val="22"/>
          <w:shd w:val="clear" w:color="auto" w:fill="FFFFFF"/>
        </w:rPr>
        <w:t>Our research sought to answer the following questions about recruitment:</w:t>
      </w:r>
    </w:p>
    <w:p w14:paraId="2C0FF488" w14:textId="3C583D78" w:rsidR="00EC6AA8" w:rsidRPr="00EB0558" w:rsidRDefault="00EC6AA8" w:rsidP="00490239">
      <w:pPr>
        <w:pStyle w:val="ListParagraph"/>
        <w:numPr>
          <w:ilvl w:val="0"/>
          <w:numId w:val="15"/>
        </w:numPr>
        <w:spacing w:line="480" w:lineRule="auto"/>
        <w:ind w:left="284" w:hanging="284"/>
        <w:jc w:val="left"/>
        <w:rPr>
          <w:color w:val="000000" w:themeColor="text1"/>
          <w:shd w:val="clear" w:color="auto" w:fill="FFFFFF"/>
        </w:rPr>
      </w:pPr>
      <w:r w:rsidRPr="00EB0558">
        <w:rPr>
          <w:color w:val="000000" w:themeColor="text1"/>
          <w:shd w:val="clear" w:color="auto" w:fill="FFFFFF"/>
        </w:rPr>
        <w:t>What percentage of music therapy studies of people living with dementia and/or caregivers of people with dementia, met their target sample size?</w:t>
      </w:r>
    </w:p>
    <w:p w14:paraId="567058EF" w14:textId="48D98CC2" w:rsidR="00237533" w:rsidRPr="00EB0558" w:rsidRDefault="00237533" w:rsidP="00490239">
      <w:pPr>
        <w:pStyle w:val="ListParagraph"/>
        <w:numPr>
          <w:ilvl w:val="0"/>
          <w:numId w:val="15"/>
        </w:numPr>
        <w:spacing w:line="480" w:lineRule="auto"/>
        <w:ind w:left="284" w:hanging="284"/>
        <w:jc w:val="left"/>
        <w:rPr>
          <w:color w:val="000000" w:themeColor="text1"/>
          <w:shd w:val="clear" w:color="auto" w:fill="FFFFFF"/>
        </w:rPr>
      </w:pPr>
      <w:r w:rsidRPr="00EB0558">
        <w:rPr>
          <w:color w:val="000000" w:themeColor="text1"/>
          <w:shd w:val="clear" w:color="auto" w:fill="FFFFFF"/>
        </w:rPr>
        <w:t xml:space="preserve">What are the </w:t>
      </w:r>
      <w:r w:rsidR="002A6154" w:rsidRPr="00EB0558">
        <w:rPr>
          <w:color w:val="000000" w:themeColor="text1"/>
          <w:shd w:val="clear" w:color="auto" w:fill="FFFFFF"/>
        </w:rPr>
        <w:t xml:space="preserve">most successful </w:t>
      </w:r>
      <w:r w:rsidRPr="00EB0558">
        <w:rPr>
          <w:color w:val="000000" w:themeColor="text1"/>
          <w:shd w:val="clear" w:color="auto" w:fill="FFFFFF"/>
        </w:rPr>
        <w:t xml:space="preserve">recruitment methods adopted in music therapy clinical trials of participants who are living with dementia </w:t>
      </w:r>
      <w:r w:rsidR="00401071" w:rsidRPr="00EB0558">
        <w:rPr>
          <w:color w:val="000000" w:themeColor="text1"/>
          <w:shd w:val="clear" w:color="auto" w:fill="FFFFFF"/>
        </w:rPr>
        <w:t>and/</w:t>
      </w:r>
      <w:r w:rsidRPr="00EB0558">
        <w:rPr>
          <w:color w:val="000000" w:themeColor="text1"/>
          <w:shd w:val="clear" w:color="auto" w:fill="FFFFFF"/>
        </w:rPr>
        <w:t>or their family caregivers?</w:t>
      </w:r>
    </w:p>
    <w:p w14:paraId="59A4F21B" w14:textId="5B5969F3" w:rsidR="00312C82" w:rsidRPr="00EB0558" w:rsidRDefault="00312C82" w:rsidP="00490239">
      <w:pPr>
        <w:pStyle w:val="ListParagraph"/>
        <w:numPr>
          <w:ilvl w:val="0"/>
          <w:numId w:val="15"/>
        </w:numPr>
        <w:spacing w:line="480" w:lineRule="auto"/>
        <w:ind w:left="284" w:hanging="284"/>
        <w:jc w:val="left"/>
        <w:rPr>
          <w:color w:val="000000" w:themeColor="text1"/>
        </w:rPr>
      </w:pPr>
      <w:r w:rsidRPr="00EB0558">
        <w:rPr>
          <w:color w:val="000000" w:themeColor="text1"/>
          <w:shd w:val="clear" w:color="auto" w:fill="FFFFFF"/>
        </w:rPr>
        <w:lastRenderedPageBreak/>
        <w:t xml:space="preserve">Are there differences in recruitment success </w:t>
      </w:r>
      <w:r w:rsidR="385CDABC" w:rsidRPr="00EB0558">
        <w:rPr>
          <w:color w:val="000000" w:themeColor="text1"/>
        </w:rPr>
        <w:t>which are</w:t>
      </w:r>
      <w:r w:rsidRPr="00EB0558">
        <w:rPr>
          <w:color w:val="000000" w:themeColor="text1"/>
          <w:shd w:val="clear" w:color="auto" w:fill="FFFFFF"/>
        </w:rPr>
        <w:t xml:space="preserve"> dependent upon study context?</w:t>
      </w:r>
    </w:p>
    <w:p w14:paraId="32992CD2" w14:textId="4B68C87E" w:rsidR="00EC6AA8" w:rsidRDefault="385CDABC" w:rsidP="385CDABC">
      <w:pPr>
        <w:pStyle w:val="ListParagraph"/>
        <w:numPr>
          <w:ilvl w:val="0"/>
          <w:numId w:val="15"/>
        </w:numPr>
        <w:shd w:val="clear" w:color="auto" w:fill="FFFFFF" w:themeFill="background1"/>
        <w:spacing w:line="480" w:lineRule="auto"/>
        <w:ind w:left="284" w:hanging="284"/>
        <w:jc w:val="left"/>
        <w:rPr>
          <w:color w:val="000000" w:themeColor="text1"/>
        </w:rPr>
      </w:pPr>
      <w:r w:rsidRPr="00EB0558">
        <w:rPr>
          <w:color w:val="000000" w:themeColor="text1"/>
        </w:rPr>
        <w:t xml:space="preserve">Are some study designs more likely to lead to higher or lower recruitment rates? </w:t>
      </w:r>
    </w:p>
    <w:p w14:paraId="0DE06FAE" w14:textId="77777777" w:rsidR="00EA3A1C" w:rsidRPr="00EA3A1C" w:rsidRDefault="00EA3A1C" w:rsidP="00EA3A1C">
      <w:pPr>
        <w:shd w:val="clear" w:color="auto" w:fill="FFFFFF" w:themeFill="background1"/>
        <w:spacing w:line="480" w:lineRule="auto"/>
        <w:rPr>
          <w:color w:val="000000" w:themeColor="text1"/>
        </w:rPr>
      </w:pPr>
    </w:p>
    <w:p w14:paraId="047E6B36" w14:textId="7AFD1DC2" w:rsidR="00E729BA" w:rsidRPr="00EA3A1C" w:rsidRDefault="00DD1BF1" w:rsidP="00EA3A1C">
      <w:pPr>
        <w:pStyle w:val="Heading1"/>
        <w:rPr>
          <w:b/>
          <w:bCs/>
        </w:rPr>
      </w:pPr>
      <w:r w:rsidRPr="00EA3A1C">
        <w:rPr>
          <w:b/>
          <w:bCs/>
        </w:rPr>
        <w:t>METHOD</w:t>
      </w:r>
    </w:p>
    <w:p w14:paraId="0AF39617" w14:textId="0BFCD649" w:rsidR="00E729BA" w:rsidRPr="00EB0558" w:rsidRDefault="00DD1BF1" w:rsidP="00EA3A1C">
      <w:pPr>
        <w:pStyle w:val="Heading2"/>
      </w:pPr>
      <w:r w:rsidRPr="00EB0558">
        <w:t xml:space="preserve">Literature </w:t>
      </w:r>
      <w:r w:rsidR="00D7483D" w:rsidRPr="00EB0558">
        <w:t>Search</w:t>
      </w:r>
      <w:r w:rsidR="003B647B" w:rsidRPr="00EB0558">
        <w:t>es</w:t>
      </w:r>
    </w:p>
    <w:p w14:paraId="2DFAC1AE" w14:textId="1A922542" w:rsidR="000C2091" w:rsidRPr="00EB0558" w:rsidRDefault="00C65B97" w:rsidP="00DE1A26">
      <w:pPr>
        <w:spacing w:line="480" w:lineRule="auto"/>
        <w:ind w:firstLine="720"/>
        <w:rPr>
          <w:color w:val="000000" w:themeColor="text1"/>
          <w:sz w:val="22"/>
          <w:szCs w:val="22"/>
          <w:shd w:val="clear" w:color="auto" w:fill="FFFFFF"/>
        </w:rPr>
      </w:pPr>
      <w:r w:rsidRPr="00EB0558">
        <w:rPr>
          <w:color w:val="000000" w:themeColor="text1"/>
          <w:sz w:val="22"/>
          <w:szCs w:val="22"/>
          <w:shd w:val="clear" w:color="auto" w:fill="FFFFFF"/>
        </w:rPr>
        <w:t xml:space="preserve">Studies were identified from CINAHL, EMBASE MEDLINE, PubMed, and PsycINFO (January 1st 2000 to </w:t>
      </w:r>
      <w:r w:rsidR="006B3BA2" w:rsidRPr="00EB0558">
        <w:rPr>
          <w:color w:val="000000" w:themeColor="text1"/>
          <w:sz w:val="22"/>
          <w:szCs w:val="22"/>
          <w:shd w:val="clear" w:color="auto" w:fill="FFFFFF"/>
        </w:rPr>
        <w:t>February 28th</w:t>
      </w:r>
      <w:r w:rsidRPr="00EB0558">
        <w:rPr>
          <w:color w:val="000000" w:themeColor="text1"/>
          <w:sz w:val="22"/>
          <w:szCs w:val="22"/>
          <w:shd w:val="clear" w:color="auto" w:fill="FFFFFF"/>
        </w:rPr>
        <w:t xml:space="preserve"> 2020). The databases were searched using text words and subject headings ‘music therapy or music intervention</w:t>
      </w:r>
      <w:r w:rsidR="000F6BA6" w:rsidRPr="00EB0558">
        <w:rPr>
          <w:color w:val="000000" w:themeColor="text1"/>
          <w:sz w:val="22"/>
          <w:szCs w:val="22"/>
          <w:shd w:val="clear" w:color="auto" w:fill="FFFFFF"/>
        </w:rPr>
        <w:t>*</w:t>
      </w:r>
      <w:r w:rsidRPr="00EB0558">
        <w:rPr>
          <w:color w:val="000000" w:themeColor="text1"/>
          <w:sz w:val="22"/>
          <w:szCs w:val="22"/>
          <w:shd w:val="clear" w:color="auto" w:fill="FFFFFF"/>
        </w:rPr>
        <w:t xml:space="preserve"> or music or sing or singing’ </w:t>
      </w:r>
      <w:r w:rsidR="00D94E22" w:rsidRPr="00EB0558">
        <w:rPr>
          <w:color w:val="000000" w:themeColor="text1"/>
          <w:sz w:val="22"/>
          <w:szCs w:val="22"/>
          <w:shd w:val="clear" w:color="auto" w:fill="FFFFFF"/>
        </w:rPr>
        <w:t>AND</w:t>
      </w:r>
      <w:r w:rsidRPr="00EB0558">
        <w:rPr>
          <w:color w:val="000000" w:themeColor="text1"/>
          <w:sz w:val="22"/>
          <w:szCs w:val="22"/>
          <w:shd w:val="clear" w:color="auto" w:fill="FFFFFF"/>
        </w:rPr>
        <w:t xml:space="preserve"> ‘dementia or </w:t>
      </w:r>
      <w:r w:rsidR="000C2091" w:rsidRPr="00EB0558">
        <w:rPr>
          <w:color w:val="000000" w:themeColor="text1"/>
          <w:sz w:val="22"/>
          <w:szCs w:val="22"/>
          <w:shd w:val="clear" w:color="auto" w:fill="FFFFFF"/>
        </w:rPr>
        <w:t>Alzheimer</w:t>
      </w:r>
      <w:r w:rsidRPr="00EB0558">
        <w:rPr>
          <w:color w:val="000000" w:themeColor="text1"/>
          <w:sz w:val="22"/>
          <w:szCs w:val="22"/>
          <w:shd w:val="clear" w:color="auto" w:fill="FFFFFF"/>
        </w:rPr>
        <w:t>’ or ‘family caregiver</w:t>
      </w:r>
      <w:r w:rsidR="000F6BA6" w:rsidRPr="00EB0558">
        <w:rPr>
          <w:color w:val="000000" w:themeColor="text1"/>
          <w:sz w:val="22"/>
          <w:szCs w:val="22"/>
          <w:shd w:val="clear" w:color="auto" w:fill="FFFFFF"/>
        </w:rPr>
        <w:t>*</w:t>
      </w:r>
      <w:r w:rsidRPr="00EB0558">
        <w:rPr>
          <w:color w:val="000000" w:themeColor="text1"/>
          <w:sz w:val="22"/>
          <w:szCs w:val="22"/>
          <w:shd w:val="clear" w:color="auto" w:fill="FFFFFF"/>
        </w:rPr>
        <w:t xml:space="preserve"> or family carer</w:t>
      </w:r>
      <w:r w:rsidR="000F6BA6" w:rsidRPr="00EB0558">
        <w:rPr>
          <w:color w:val="000000" w:themeColor="text1"/>
          <w:sz w:val="22"/>
          <w:szCs w:val="22"/>
          <w:shd w:val="clear" w:color="auto" w:fill="FFFFFF"/>
        </w:rPr>
        <w:t>*</w:t>
      </w:r>
      <w:r w:rsidRPr="00EB0558">
        <w:rPr>
          <w:color w:val="000000" w:themeColor="text1"/>
          <w:sz w:val="22"/>
          <w:szCs w:val="22"/>
          <w:shd w:val="clear" w:color="auto" w:fill="FFFFFF"/>
        </w:rPr>
        <w:t xml:space="preserve"> or informal carer</w:t>
      </w:r>
      <w:r w:rsidR="000F6BA6" w:rsidRPr="00EB0558">
        <w:rPr>
          <w:color w:val="000000" w:themeColor="text1"/>
          <w:sz w:val="22"/>
          <w:szCs w:val="22"/>
          <w:shd w:val="clear" w:color="auto" w:fill="FFFFFF"/>
        </w:rPr>
        <w:t>*</w:t>
      </w:r>
      <w:r w:rsidRPr="00EB0558">
        <w:rPr>
          <w:color w:val="000000" w:themeColor="text1"/>
          <w:sz w:val="22"/>
          <w:szCs w:val="22"/>
          <w:shd w:val="clear" w:color="auto" w:fill="FFFFFF"/>
        </w:rPr>
        <w:t>’</w:t>
      </w:r>
      <w:r w:rsidR="006B3BA2" w:rsidRPr="00EB0558">
        <w:rPr>
          <w:color w:val="000000" w:themeColor="text1"/>
          <w:sz w:val="22"/>
          <w:szCs w:val="22"/>
          <w:shd w:val="clear" w:color="auto" w:fill="FFFFFF"/>
        </w:rPr>
        <w:t xml:space="preserve"> </w:t>
      </w:r>
      <w:r w:rsidRPr="00EB0558">
        <w:rPr>
          <w:color w:val="000000" w:themeColor="text1"/>
          <w:sz w:val="22"/>
          <w:szCs w:val="22"/>
          <w:shd w:val="clear" w:color="auto" w:fill="FFFFFF"/>
        </w:rPr>
        <w:t>combined with ‘random</w:t>
      </w:r>
      <w:r w:rsidR="006B3BA2" w:rsidRPr="00EB0558">
        <w:rPr>
          <w:color w:val="000000" w:themeColor="text1"/>
          <w:sz w:val="22"/>
          <w:szCs w:val="22"/>
          <w:shd w:val="clear" w:color="auto" w:fill="FFFFFF"/>
        </w:rPr>
        <w:t>*</w:t>
      </w:r>
      <w:r w:rsidRPr="00EB0558">
        <w:rPr>
          <w:color w:val="000000" w:themeColor="text1"/>
          <w:sz w:val="22"/>
          <w:szCs w:val="22"/>
          <w:shd w:val="clear" w:color="auto" w:fill="FFFFFF"/>
        </w:rPr>
        <w:t xml:space="preserve"> </w:t>
      </w:r>
      <w:r w:rsidR="00D94E22" w:rsidRPr="00EB0558">
        <w:rPr>
          <w:color w:val="000000" w:themeColor="text1"/>
          <w:sz w:val="22"/>
          <w:szCs w:val="22"/>
          <w:shd w:val="clear" w:color="auto" w:fill="FFFFFF"/>
        </w:rPr>
        <w:t>or</w:t>
      </w:r>
      <w:r w:rsidRPr="00EB0558">
        <w:rPr>
          <w:color w:val="000000" w:themeColor="text1"/>
          <w:sz w:val="22"/>
          <w:szCs w:val="22"/>
          <w:shd w:val="clear" w:color="auto" w:fill="FFFFFF"/>
        </w:rPr>
        <w:t xml:space="preserve"> trial</w:t>
      </w:r>
      <w:r w:rsidR="006B3BA2" w:rsidRPr="00EB0558">
        <w:rPr>
          <w:color w:val="000000" w:themeColor="text1"/>
          <w:sz w:val="22"/>
          <w:szCs w:val="22"/>
          <w:shd w:val="clear" w:color="auto" w:fill="FFFFFF"/>
        </w:rPr>
        <w:t>*’</w:t>
      </w:r>
      <w:r w:rsidRPr="00EB0558">
        <w:rPr>
          <w:color w:val="000000" w:themeColor="text1"/>
          <w:sz w:val="22"/>
          <w:szCs w:val="22"/>
          <w:shd w:val="clear" w:color="auto" w:fill="FFFFFF"/>
        </w:rPr>
        <w:t xml:space="preserve"> </w:t>
      </w:r>
      <w:r w:rsidR="00D94E22" w:rsidRPr="00EB0558">
        <w:rPr>
          <w:color w:val="000000" w:themeColor="text1"/>
          <w:sz w:val="22"/>
          <w:szCs w:val="22"/>
          <w:shd w:val="clear" w:color="auto" w:fill="FFFFFF"/>
        </w:rPr>
        <w:t>all with</w:t>
      </w:r>
      <w:r w:rsidRPr="00EB0558">
        <w:rPr>
          <w:color w:val="000000" w:themeColor="text1"/>
          <w:sz w:val="22"/>
          <w:szCs w:val="22"/>
          <w:shd w:val="clear" w:color="auto" w:fill="FFFFFF"/>
        </w:rPr>
        <w:t xml:space="preserve"> unlimited truncations.</w:t>
      </w:r>
      <w:r w:rsidR="000C2091" w:rsidRPr="00EB0558">
        <w:rPr>
          <w:color w:val="000000" w:themeColor="text1"/>
          <w:sz w:val="22"/>
          <w:szCs w:val="22"/>
          <w:shd w:val="clear" w:color="auto" w:fill="FFFFFF"/>
        </w:rPr>
        <w:t xml:space="preserve"> </w:t>
      </w:r>
    </w:p>
    <w:p w14:paraId="167F7DD1" w14:textId="2E7C8845" w:rsidR="003B647B" w:rsidRPr="00EB0558" w:rsidRDefault="00DD1BF1" w:rsidP="00EA3A1C">
      <w:pPr>
        <w:pStyle w:val="Heading2"/>
      </w:pPr>
      <w:r w:rsidRPr="00EB0558">
        <w:t>Eligibility</w:t>
      </w:r>
      <w:r w:rsidR="003B647B" w:rsidRPr="00EB0558">
        <w:t xml:space="preserve"> Criteria</w:t>
      </w:r>
    </w:p>
    <w:p w14:paraId="340A68A2" w14:textId="62D9CB34" w:rsidR="003B647B" w:rsidRPr="00EB0558" w:rsidRDefault="003B647B" w:rsidP="00DE1A26">
      <w:pPr>
        <w:pStyle w:val="BodyText"/>
        <w:spacing w:before="6" w:line="480" w:lineRule="auto"/>
        <w:ind w:right="1" w:firstLine="720"/>
        <w:rPr>
          <w:sz w:val="22"/>
          <w:szCs w:val="22"/>
        </w:rPr>
      </w:pPr>
      <w:r w:rsidRPr="00EB0558">
        <w:rPr>
          <w:sz w:val="22"/>
          <w:szCs w:val="22"/>
        </w:rPr>
        <w:t>Studies involving music therapy interventions that focused on exploring the impact or experiences of people living with dementia and/or their family caregivers, were eligible for inclusion into the study. All study designs were eligible for inclusion. Where more than one publication of the same study existed, the publication with the most complete data was</w:t>
      </w:r>
      <w:r w:rsidRPr="00EB0558">
        <w:rPr>
          <w:spacing w:val="25"/>
          <w:sz w:val="22"/>
          <w:szCs w:val="22"/>
        </w:rPr>
        <w:t xml:space="preserve"> </w:t>
      </w:r>
      <w:r w:rsidRPr="00EB0558">
        <w:rPr>
          <w:sz w:val="22"/>
          <w:szCs w:val="22"/>
        </w:rPr>
        <w:t>included.</w:t>
      </w:r>
    </w:p>
    <w:p w14:paraId="1C326D2B" w14:textId="7892DF1F" w:rsidR="003B647B" w:rsidRPr="00EB0558" w:rsidRDefault="003B647B" w:rsidP="00DE1A26">
      <w:pPr>
        <w:pStyle w:val="BodyText"/>
        <w:spacing w:before="6" w:line="480" w:lineRule="auto"/>
        <w:ind w:right="1"/>
        <w:rPr>
          <w:sz w:val="22"/>
          <w:szCs w:val="22"/>
        </w:rPr>
      </w:pPr>
      <w:r w:rsidRPr="00EB0558">
        <w:rPr>
          <w:sz w:val="22"/>
          <w:szCs w:val="22"/>
        </w:rPr>
        <w:t>Studies meeting the following criteria were eligible:</w:t>
      </w:r>
    </w:p>
    <w:p w14:paraId="5592BBFF" w14:textId="7C936B92" w:rsidR="003B647B" w:rsidRPr="00EB0558" w:rsidRDefault="25E3AD51" w:rsidP="0081616D">
      <w:pPr>
        <w:pStyle w:val="BodyText"/>
        <w:numPr>
          <w:ilvl w:val="0"/>
          <w:numId w:val="6"/>
        </w:numPr>
        <w:spacing w:before="6" w:line="480" w:lineRule="auto"/>
        <w:ind w:right="1"/>
        <w:rPr>
          <w:sz w:val="22"/>
          <w:szCs w:val="22"/>
        </w:rPr>
      </w:pPr>
      <w:r w:rsidRPr="00EB0558">
        <w:rPr>
          <w:sz w:val="22"/>
          <w:szCs w:val="22"/>
        </w:rPr>
        <w:t>Studies included music intervention</w:t>
      </w:r>
      <w:r w:rsidR="0081616D" w:rsidRPr="00EB0558">
        <w:rPr>
          <w:sz w:val="22"/>
          <w:szCs w:val="22"/>
        </w:rPr>
        <w:t>(s)</w:t>
      </w:r>
      <w:r w:rsidRPr="00EB0558">
        <w:rPr>
          <w:sz w:val="22"/>
          <w:szCs w:val="22"/>
        </w:rPr>
        <w:t xml:space="preserve"> designed and delivered by a credentialed music therapist.</w:t>
      </w:r>
    </w:p>
    <w:p w14:paraId="79431A5F" w14:textId="77777777" w:rsidR="003B647B" w:rsidRPr="00EB0558" w:rsidRDefault="003B647B" w:rsidP="0081616D">
      <w:pPr>
        <w:pStyle w:val="BodyText"/>
        <w:numPr>
          <w:ilvl w:val="0"/>
          <w:numId w:val="6"/>
        </w:numPr>
        <w:spacing w:before="6" w:line="480" w:lineRule="auto"/>
        <w:ind w:right="1"/>
        <w:rPr>
          <w:sz w:val="22"/>
          <w:szCs w:val="22"/>
        </w:rPr>
      </w:pPr>
      <w:r w:rsidRPr="00EB0558">
        <w:rPr>
          <w:sz w:val="22"/>
          <w:szCs w:val="22"/>
        </w:rPr>
        <w:t>Study participants were people with a diagnosis of dementia and/or were family carers of people living with dementia. Dementia diagnoses included mixed dementia, Alzheimers, Frontotemporal dementia, Lewy body Disease, and Vascular Dementia,</w:t>
      </w:r>
    </w:p>
    <w:p w14:paraId="1E57AE91" w14:textId="77777777" w:rsidR="003B647B" w:rsidRPr="00EB0558" w:rsidRDefault="003B647B" w:rsidP="0081616D">
      <w:pPr>
        <w:pStyle w:val="BodyText"/>
        <w:numPr>
          <w:ilvl w:val="0"/>
          <w:numId w:val="6"/>
        </w:numPr>
        <w:spacing w:before="6" w:line="480" w:lineRule="auto"/>
        <w:ind w:right="1"/>
        <w:rPr>
          <w:sz w:val="22"/>
          <w:szCs w:val="22"/>
        </w:rPr>
      </w:pPr>
      <w:r w:rsidRPr="00EB0558">
        <w:rPr>
          <w:sz w:val="22"/>
          <w:szCs w:val="22"/>
        </w:rPr>
        <w:t>Studies were clinical trials studying the effects of an intervention – randomised controlled trials, parallel designs, cross-over designs, quasi-experimental designs and non-randomised designs.</w:t>
      </w:r>
    </w:p>
    <w:p w14:paraId="24D0B47D" w14:textId="4A4D0176" w:rsidR="003B647B" w:rsidRPr="00EB0558" w:rsidRDefault="006B3BA2" w:rsidP="0081616D">
      <w:pPr>
        <w:pStyle w:val="BodyText"/>
        <w:numPr>
          <w:ilvl w:val="0"/>
          <w:numId w:val="6"/>
        </w:numPr>
        <w:spacing w:before="6" w:line="480" w:lineRule="auto"/>
        <w:ind w:right="1"/>
        <w:rPr>
          <w:sz w:val="22"/>
          <w:szCs w:val="22"/>
        </w:rPr>
      </w:pPr>
      <w:r w:rsidRPr="00EB0558">
        <w:rPr>
          <w:sz w:val="22"/>
          <w:szCs w:val="22"/>
        </w:rPr>
        <w:t>Enrolment, consent, accrual, r</w:t>
      </w:r>
      <w:r w:rsidR="003B647B" w:rsidRPr="00EB0558">
        <w:rPr>
          <w:sz w:val="22"/>
          <w:szCs w:val="22"/>
        </w:rPr>
        <w:t xml:space="preserve">ecruitment </w:t>
      </w:r>
      <w:r w:rsidRPr="00EB0558">
        <w:rPr>
          <w:sz w:val="22"/>
          <w:szCs w:val="22"/>
        </w:rPr>
        <w:t xml:space="preserve">or participation </w:t>
      </w:r>
      <w:r w:rsidR="003B647B" w:rsidRPr="00EB0558">
        <w:rPr>
          <w:sz w:val="22"/>
          <w:szCs w:val="22"/>
        </w:rPr>
        <w:t>methods</w:t>
      </w:r>
      <w:r w:rsidRPr="00EB0558">
        <w:rPr>
          <w:sz w:val="22"/>
          <w:szCs w:val="22"/>
        </w:rPr>
        <w:t xml:space="preserve"> or strategies</w:t>
      </w:r>
      <w:r w:rsidR="003B647B" w:rsidRPr="00EB0558">
        <w:rPr>
          <w:sz w:val="22"/>
          <w:szCs w:val="22"/>
        </w:rPr>
        <w:t xml:space="preserve"> were described</w:t>
      </w:r>
    </w:p>
    <w:p w14:paraId="506C66E6" w14:textId="4977A1E5" w:rsidR="003B647B" w:rsidRPr="00EB0558" w:rsidRDefault="4161E447" w:rsidP="00356F8E">
      <w:pPr>
        <w:pStyle w:val="BodyText"/>
        <w:numPr>
          <w:ilvl w:val="0"/>
          <w:numId w:val="6"/>
        </w:numPr>
        <w:spacing w:before="6" w:line="480" w:lineRule="auto"/>
        <w:ind w:right="1"/>
        <w:rPr>
          <w:sz w:val="22"/>
          <w:szCs w:val="22"/>
        </w:rPr>
      </w:pPr>
      <w:r w:rsidRPr="00EB0558">
        <w:rPr>
          <w:sz w:val="22"/>
          <w:szCs w:val="22"/>
        </w:rPr>
        <w:t>Recruitment and/or consent rates were described</w:t>
      </w:r>
    </w:p>
    <w:p w14:paraId="061049EE" w14:textId="6B6BFA2D" w:rsidR="003B647B" w:rsidRPr="00EB0558" w:rsidRDefault="385CDABC" w:rsidP="00356F8E">
      <w:pPr>
        <w:pStyle w:val="BodyText"/>
        <w:numPr>
          <w:ilvl w:val="0"/>
          <w:numId w:val="6"/>
        </w:numPr>
        <w:spacing w:before="6" w:line="480" w:lineRule="auto"/>
        <w:ind w:right="1"/>
        <w:rPr>
          <w:sz w:val="22"/>
          <w:szCs w:val="22"/>
        </w:rPr>
      </w:pPr>
      <w:r w:rsidRPr="00EB0558">
        <w:rPr>
          <w:sz w:val="22"/>
          <w:szCs w:val="22"/>
        </w:rPr>
        <w:t xml:space="preserve">Studies published in English, Norwegian, Swedish, Danish, German, Polish, Mandarin, French </w:t>
      </w:r>
      <w:r w:rsidRPr="00EB0558">
        <w:rPr>
          <w:sz w:val="22"/>
          <w:szCs w:val="22"/>
        </w:rPr>
        <w:lastRenderedPageBreak/>
        <w:t xml:space="preserve">Portuguese, and Spanish as authors of this review were fluent in one or more of these languages. </w:t>
      </w:r>
    </w:p>
    <w:p w14:paraId="39F0D48D" w14:textId="460C1F92" w:rsidR="003B647B" w:rsidRPr="00EB0558" w:rsidRDefault="4161E447" w:rsidP="00DE1A26">
      <w:pPr>
        <w:pStyle w:val="BodyText"/>
        <w:spacing w:before="6" w:line="480" w:lineRule="auto"/>
        <w:ind w:right="1" w:firstLine="360"/>
        <w:rPr>
          <w:sz w:val="22"/>
          <w:szCs w:val="22"/>
        </w:rPr>
      </w:pPr>
      <w:r w:rsidRPr="00EB0558">
        <w:rPr>
          <w:sz w:val="22"/>
          <w:szCs w:val="22"/>
        </w:rPr>
        <w:t>Studies were excluded if they did not describe recruitment methods, recruitment rates, included only formal caregivers, or included caregivers caring for people who did not have a diagnosis of dementia. Cohort, observational, case-study and qualitative studies were excluded.</w:t>
      </w:r>
    </w:p>
    <w:p w14:paraId="52450928" w14:textId="43EB7D8E" w:rsidR="003B647B" w:rsidRPr="00EB0558" w:rsidRDefault="00DD1BF1" w:rsidP="00EA3A1C">
      <w:pPr>
        <w:pStyle w:val="Heading2"/>
      </w:pPr>
      <w:r w:rsidRPr="00EB0558">
        <w:t>Study Selection</w:t>
      </w:r>
    </w:p>
    <w:p w14:paraId="207F537E" w14:textId="09FCCBEC" w:rsidR="008E6E1D" w:rsidRPr="00EB0558" w:rsidRDefault="25E3AD51" w:rsidP="00DE1A26">
      <w:pPr>
        <w:pStyle w:val="BodyText"/>
        <w:spacing w:line="480" w:lineRule="auto"/>
        <w:ind w:right="118" w:firstLine="720"/>
        <w:rPr>
          <w:sz w:val="22"/>
          <w:szCs w:val="22"/>
        </w:rPr>
      </w:pPr>
      <w:r w:rsidRPr="00EB0558">
        <w:rPr>
          <w:sz w:val="22"/>
          <w:szCs w:val="22"/>
        </w:rPr>
        <w:t>Seven reviewers (FB, TW, JP, KJ, AB, LB, AK) independently screened study title and abstract for potential eligibility (two reviewers per article). Following initial screening, discrepancies were discussed among reviewers and a decision to include or exclude was made. Full text reviews were then made by two reviewers per article to check for eligibility. Discrepancies were discussed by and decisions made as to whether or not to include these articles in the review. Rayyan QCRI systematic review software (Ouzzani et al., 2016) was used to track reviewers and decisions made.</w:t>
      </w:r>
    </w:p>
    <w:p w14:paraId="7C014D76" w14:textId="0D2F7670" w:rsidR="00DD1BF1" w:rsidRPr="00EB0558" w:rsidRDefault="00DD1BF1" w:rsidP="00EA3A1C">
      <w:pPr>
        <w:pStyle w:val="Heading2"/>
      </w:pPr>
      <w:r w:rsidRPr="00EB0558">
        <w:t>Data Extraction</w:t>
      </w:r>
    </w:p>
    <w:p w14:paraId="0DE000D6" w14:textId="4C644E6B" w:rsidR="006E217F" w:rsidRPr="00EA3A1C" w:rsidRDefault="6E4C44CB" w:rsidP="00EA3A1C">
      <w:pPr>
        <w:spacing w:line="480" w:lineRule="auto"/>
        <w:ind w:firstLine="720"/>
        <w:rPr>
          <w:sz w:val="22"/>
          <w:szCs w:val="22"/>
        </w:rPr>
      </w:pPr>
      <w:r w:rsidRPr="00EA3A1C">
        <w:rPr>
          <w:sz w:val="22"/>
          <w:szCs w:val="22"/>
        </w:rPr>
        <w:t>A data extraction form was developed to guide the identification of relevant information.</w:t>
      </w:r>
      <w:r w:rsidRPr="00EA3A1C">
        <w:rPr>
          <w:color w:val="231F20"/>
          <w:sz w:val="22"/>
          <w:szCs w:val="22"/>
        </w:rPr>
        <w:t xml:space="preserve"> </w:t>
      </w:r>
      <w:r w:rsidRPr="00EA3A1C">
        <w:rPr>
          <w:sz w:val="22"/>
          <w:szCs w:val="22"/>
        </w:rPr>
        <w:t>Five reviewers from the team (JP, TW, KJ, AB, AK) extracted data from the included studies, and one other reviewer (FB) checked for accuracy. If a discrepancy was detected, this was discussed and resolved with reference to the full text of the relevant article. Data were extracted without blinding to authorship on reference details; country of study; year; study objective(s); study design; subject details (sample size, demographic details, inclusion and exclusion criteria); qualifications of recruiters and recruiter training; fidelity checking of recruitment approaches; recruitment methods, inclusion of incentives; consent rate, attrition after randomization, music intervention details; control and comparison interventions; duration of study period; total duration of participant time-commitment; setting (home, study-site); and outcome measures. Extracted data were recorded in an excel spreadsheet.</w:t>
      </w:r>
    </w:p>
    <w:p w14:paraId="6393B13B" w14:textId="39071CDD" w:rsidR="006E217F" w:rsidRPr="00EB0558" w:rsidRDefault="006E217F" w:rsidP="00EA3A1C">
      <w:pPr>
        <w:pStyle w:val="Heading2"/>
      </w:pPr>
      <w:r w:rsidRPr="00EB0558">
        <w:t>Risk of Bias</w:t>
      </w:r>
    </w:p>
    <w:p w14:paraId="39177921" w14:textId="1075F653" w:rsidR="006E217F" w:rsidRPr="00EB0558" w:rsidRDefault="03B38D9D" w:rsidP="00DE1A26">
      <w:pPr>
        <w:spacing w:line="480" w:lineRule="auto"/>
        <w:ind w:firstLine="720"/>
        <w:rPr>
          <w:sz w:val="22"/>
          <w:szCs w:val="22"/>
        </w:rPr>
      </w:pPr>
      <w:r w:rsidRPr="00EB0558">
        <w:rPr>
          <w:sz w:val="22"/>
          <w:szCs w:val="22"/>
        </w:rPr>
        <w:t xml:space="preserve">The full PEDro scale (Cashin &amp; McAuley, 2020) was used to evaluate the quality of the included studies. All 11 criteria - eligibility, randomisation, concealment, similarity at baseline, blinding of participants, therapists and assessors, key outcomes, intention-to-treat, between group comparisons for at </w:t>
      </w:r>
      <w:r w:rsidRPr="00EB0558">
        <w:rPr>
          <w:sz w:val="22"/>
          <w:szCs w:val="22"/>
        </w:rPr>
        <w:lastRenderedPageBreak/>
        <w:t>least one key outcome, and measures of change and variability – were assessed by two researchers from the research team. Disagreements between assessments were discussed with a third member of the team and a final score arrived at by consensus. The quality assessment was used to determine whether there were any trends in research design that impacted recruitment rates and approaches.</w:t>
      </w:r>
    </w:p>
    <w:p w14:paraId="1B4E56E3" w14:textId="70DF6BEB" w:rsidR="002D2834" w:rsidRPr="00EB0558" w:rsidRDefault="002D2834" w:rsidP="00EA3A1C">
      <w:pPr>
        <w:pStyle w:val="Heading2"/>
      </w:pPr>
      <w:r w:rsidRPr="00EB0558">
        <w:t>Data Synthesis</w:t>
      </w:r>
    </w:p>
    <w:p w14:paraId="4852C7CA" w14:textId="7975245E" w:rsidR="009829B3" w:rsidRPr="00EB0558" w:rsidRDefault="00483B2F" w:rsidP="0081616D">
      <w:pPr>
        <w:pStyle w:val="BodyText"/>
        <w:spacing w:before="6" w:line="480" w:lineRule="auto"/>
        <w:ind w:right="119" w:firstLine="720"/>
        <w:rPr>
          <w:sz w:val="22"/>
          <w:szCs w:val="22"/>
          <w:shd w:val="clear" w:color="auto" w:fill="FFFFFF"/>
        </w:rPr>
      </w:pPr>
      <w:r w:rsidRPr="00EB0558">
        <w:rPr>
          <w:sz w:val="22"/>
          <w:szCs w:val="22"/>
        </w:rPr>
        <w:t xml:space="preserve">The primary outcome of interest was the consent rate </w:t>
      </w:r>
      <w:r w:rsidRPr="00EB0558">
        <w:rPr>
          <w:sz w:val="22"/>
          <w:szCs w:val="22"/>
          <w:shd w:val="clear" w:color="auto" w:fill="FFFFFF"/>
        </w:rPr>
        <w:t xml:space="preserve">for </w:t>
      </w:r>
      <w:r w:rsidRPr="00EB0558">
        <w:rPr>
          <w:sz w:val="22"/>
          <w:szCs w:val="22"/>
        </w:rPr>
        <w:t>each</w:t>
      </w:r>
      <w:r w:rsidRPr="00EB0558">
        <w:rPr>
          <w:sz w:val="22"/>
          <w:szCs w:val="22"/>
          <w:shd w:val="clear" w:color="auto" w:fill="FFFFFF"/>
        </w:rPr>
        <w:t xml:space="preserve"> recruitment strateg</w:t>
      </w:r>
      <w:r w:rsidRPr="00EB0558">
        <w:rPr>
          <w:sz w:val="22"/>
          <w:szCs w:val="22"/>
        </w:rPr>
        <w:t>y</w:t>
      </w:r>
      <w:r w:rsidRPr="00EB0558">
        <w:rPr>
          <w:sz w:val="22"/>
          <w:szCs w:val="22"/>
          <w:shd w:val="clear" w:color="auto" w:fill="FFFFFF"/>
        </w:rPr>
        <w:t xml:space="preserve">. </w:t>
      </w:r>
      <w:r w:rsidR="0081616D" w:rsidRPr="00EB0558">
        <w:rPr>
          <w:sz w:val="22"/>
          <w:szCs w:val="22"/>
        </w:rPr>
        <w:t>Because</w:t>
      </w:r>
      <w:r w:rsidRPr="00EB0558">
        <w:rPr>
          <w:sz w:val="22"/>
          <w:szCs w:val="22"/>
          <w:shd w:val="clear" w:color="auto" w:fill="FFFFFF"/>
        </w:rPr>
        <w:t xml:space="preserve"> studies differed in definitions of consent rates, where possible we recalculated the consent rate of each recruitment method by dividing the number of participants exposed to the recruitment method who actually consented for clinical study participation (when known) by the total number of potential participants exposed to that method. For studies where information was insufficient to calculate consent rates, other measures of consent success described in the study were reported. </w:t>
      </w:r>
      <w:r w:rsidR="00312C82" w:rsidRPr="00EB0558">
        <w:rPr>
          <w:sz w:val="22"/>
          <w:szCs w:val="22"/>
          <w:shd w:val="clear" w:color="auto" w:fill="FFFFFF"/>
        </w:rPr>
        <w:t xml:space="preserve">Studies were categorised according to strategies, and the number of strategies used. </w:t>
      </w:r>
      <w:r w:rsidR="009829B3" w:rsidRPr="00EB0558">
        <w:rPr>
          <w:sz w:val="22"/>
          <w:szCs w:val="22"/>
          <w:shd w:val="clear" w:color="auto" w:fill="FFFFFF"/>
        </w:rPr>
        <w:t xml:space="preserve">We ranked the success of strategies based on the numbers of participants recruited and the speed with which participants were recruited.  </w:t>
      </w:r>
    </w:p>
    <w:p w14:paraId="59E56ACA" w14:textId="3D259289" w:rsidR="002D2834" w:rsidRDefault="45B312FE" w:rsidP="00DE1A26">
      <w:pPr>
        <w:spacing w:line="480" w:lineRule="auto"/>
        <w:ind w:firstLine="720"/>
        <w:rPr>
          <w:sz w:val="22"/>
          <w:szCs w:val="22"/>
        </w:rPr>
      </w:pPr>
      <w:r w:rsidRPr="00EB0558">
        <w:rPr>
          <w:sz w:val="22"/>
          <w:szCs w:val="22"/>
        </w:rPr>
        <w:t>Descriptive synthesis of the data was performed by looking at the relationship between consent and retention rates and a) country of study, b) recruitment approach, c) study design, d) required contributions of participants (total hours, length of study, frequency of required participation), e) site of participation (home vs study site), f) type of music and comparator interventions, and g) differences between studies of carers, people with dementia, and both. Following the synthesis, conclusions about the most effective strategies for participation in music therapy clinical trials were formed.</w:t>
      </w:r>
    </w:p>
    <w:p w14:paraId="65735A60" w14:textId="77777777" w:rsidR="00EA3A1C" w:rsidRPr="00EB0558" w:rsidRDefault="00EA3A1C" w:rsidP="00DE1A26">
      <w:pPr>
        <w:spacing w:line="480" w:lineRule="auto"/>
        <w:ind w:firstLine="720"/>
        <w:rPr>
          <w:sz w:val="22"/>
          <w:szCs w:val="22"/>
        </w:rPr>
      </w:pPr>
    </w:p>
    <w:p w14:paraId="7F619D53" w14:textId="5A6528B0" w:rsidR="00DD1BF1" w:rsidRPr="00EA3A1C" w:rsidRDefault="00DD1BF1" w:rsidP="00EA3A1C">
      <w:pPr>
        <w:pStyle w:val="Heading1"/>
        <w:rPr>
          <w:b/>
          <w:bCs/>
        </w:rPr>
      </w:pPr>
      <w:r w:rsidRPr="00EA3A1C">
        <w:rPr>
          <w:b/>
          <w:bCs/>
        </w:rPr>
        <w:t>RESULTS</w:t>
      </w:r>
    </w:p>
    <w:p w14:paraId="75D6DDF2" w14:textId="2A2D6EEA" w:rsidR="00DD1BF1" w:rsidRPr="00EB0558" w:rsidRDefault="00DD1BF1" w:rsidP="00EA3A1C">
      <w:pPr>
        <w:pStyle w:val="Heading2"/>
      </w:pPr>
      <w:r w:rsidRPr="00EB0558">
        <w:t>Study Selection</w:t>
      </w:r>
    </w:p>
    <w:p w14:paraId="6B97F40C" w14:textId="155EEF17" w:rsidR="00F96F35" w:rsidRDefault="385CDABC" w:rsidP="00DE1A26">
      <w:pPr>
        <w:adjustRightInd w:val="0"/>
        <w:spacing w:line="480" w:lineRule="auto"/>
        <w:ind w:firstLine="720"/>
        <w:rPr>
          <w:sz w:val="22"/>
          <w:szCs w:val="22"/>
        </w:rPr>
      </w:pPr>
      <w:r w:rsidRPr="00EB0558">
        <w:rPr>
          <w:sz w:val="22"/>
          <w:szCs w:val="22"/>
        </w:rPr>
        <w:t xml:space="preserve">The search resulted in 3,567 texts, with an initial library of 2,007 records following the removal of 1,560 duplicates. From the initial screening, there was disagreement by two reviewers for 340 articles. 333 of these were resolved by a third reviewer and the remaining seven went to a fourth reviewer until final decision to include/exclude was made. In the full-text review, 394 articles were included. Review of </w:t>
      </w:r>
      <w:r w:rsidRPr="00EB0558">
        <w:rPr>
          <w:sz w:val="22"/>
          <w:szCs w:val="22"/>
        </w:rPr>
        <w:lastRenderedPageBreak/>
        <w:t>full texts resulted in fair agreement between two reviewers with 11 inclusions, 329 exclusions and 54 requiring further discussion (86.3% agreement, κ = 0.21). Of these, 19 were included and 35 were excluded (Figure 1). Finally, 30 studies were included in this review.</w:t>
      </w:r>
    </w:p>
    <w:p w14:paraId="76071381" w14:textId="77777777" w:rsidR="00EA3A1C" w:rsidRPr="00EB0558" w:rsidRDefault="00EA3A1C" w:rsidP="00BC6171">
      <w:pPr>
        <w:adjustRightInd w:val="0"/>
        <w:spacing w:line="480" w:lineRule="auto"/>
        <w:rPr>
          <w:sz w:val="22"/>
          <w:szCs w:val="22"/>
        </w:rPr>
      </w:pPr>
    </w:p>
    <w:p w14:paraId="61879A0A" w14:textId="08842704" w:rsidR="00DD1BF1" w:rsidRDefault="00553006" w:rsidP="007036C3">
      <w:pPr>
        <w:rPr>
          <w:b/>
          <w:bCs/>
          <w:sz w:val="22"/>
          <w:szCs w:val="22"/>
        </w:rPr>
      </w:pPr>
      <w:r w:rsidRPr="00EB0558">
        <w:rPr>
          <w:b/>
          <w:bCs/>
          <w:sz w:val="22"/>
          <w:szCs w:val="22"/>
        </w:rPr>
        <w:t>&lt;&lt;INSERT FIGURE 1 ABOUT HERE: Figure 1. PRISMA Flow diagram: Study selection&gt;&gt;</w:t>
      </w:r>
    </w:p>
    <w:p w14:paraId="50D96E56" w14:textId="77777777" w:rsidR="00EA3A1C" w:rsidRPr="00EB0558" w:rsidRDefault="00EA3A1C" w:rsidP="007036C3">
      <w:pPr>
        <w:rPr>
          <w:b/>
          <w:bCs/>
        </w:rPr>
      </w:pPr>
    </w:p>
    <w:p w14:paraId="50982E5B" w14:textId="77777777" w:rsidR="007036C3" w:rsidRPr="00EB0558" w:rsidRDefault="007036C3" w:rsidP="007036C3">
      <w:pPr>
        <w:rPr>
          <w:b/>
          <w:bCs/>
        </w:rPr>
      </w:pPr>
    </w:p>
    <w:p w14:paraId="10F58920" w14:textId="7F5AE95D" w:rsidR="001B1143" w:rsidRPr="00EB0558" w:rsidRDefault="00730E26" w:rsidP="00EA3A1C">
      <w:pPr>
        <w:pStyle w:val="Heading2"/>
      </w:pPr>
      <w:r w:rsidRPr="00EB0558">
        <w:t>Study Characteristics</w:t>
      </w:r>
    </w:p>
    <w:p w14:paraId="54D67C98" w14:textId="4193041C" w:rsidR="005C01D3" w:rsidRPr="00EB0558" w:rsidRDefault="03B38D9D" w:rsidP="00DE1A26">
      <w:pPr>
        <w:pStyle w:val="CommentText"/>
        <w:spacing w:line="480" w:lineRule="auto"/>
        <w:ind w:firstLine="720"/>
        <w:rPr>
          <w:sz w:val="22"/>
          <w:szCs w:val="22"/>
          <w:lang w:val="en-AU" w:eastAsia="en-GB"/>
        </w:rPr>
      </w:pPr>
      <w:r w:rsidRPr="00EB0558">
        <w:rPr>
          <w:sz w:val="22"/>
          <w:szCs w:val="22"/>
          <w:lang w:val="en-AU" w:eastAsia="en-GB"/>
        </w:rPr>
        <w:t>Sample sizes ranged from 15-104 for RACF studies (M = 52.43, SD = 37.8), and from 5-45 for community-based studies (M = 28.62, SD = 21.2). All studies with the exception of Baker et al. (2018) included people with dementia. Baker et al. (2018) focused on family caregivers of people with dementia. Four community studies included both carers and people living with dementia. Nine studies were RCTs (fully powered or pilot), six in RACFs and three in community settings. Twenty- two studies (11 in both community and RACFs) were studies of group music therapy.</w:t>
      </w:r>
    </w:p>
    <w:p w14:paraId="22FC3D81" w14:textId="77777777" w:rsidR="00DE1A26" w:rsidRPr="00EB0558" w:rsidRDefault="00730E26" w:rsidP="00EA3A1C">
      <w:pPr>
        <w:pStyle w:val="Heading2"/>
        <w:rPr>
          <w:rStyle w:val="CommentReference"/>
          <w:sz w:val="22"/>
          <w:szCs w:val="22"/>
        </w:rPr>
      </w:pPr>
      <w:r w:rsidRPr="00EB0558">
        <w:t>Risk of Bias</w:t>
      </w:r>
      <w:r w:rsidR="005C01D3" w:rsidRPr="00EB0558">
        <w:rPr>
          <w:rStyle w:val="CommentReference"/>
          <w:sz w:val="22"/>
          <w:szCs w:val="22"/>
        </w:rPr>
        <w:t xml:space="preserve"> </w:t>
      </w:r>
    </w:p>
    <w:p w14:paraId="12F07F2C" w14:textId="406AC7B0" w:rsidR="00EA3A1C" w:rsidRDefault="7B29B70A" w:rsidP="00EA3A1C">
      <w:pPr>
        <w:pStyle w:val="CommentText"/>
        <w:spacing w:line="480" w:lineRule="auto"/>
        <w:ind w:firstLine="720"/>
        <w:rPr>
          <w:sz w:val="22"/>
          <w:szCs w:val="22"/>
        </w:rPr>
      </w:pPr>
      <w:r w:rsidRPr="00EB0558">
        <w:rPr>
          <w:sz w:val="22"/>
          <w:szCs w:val="22"/>
        </w:rPr>
        <w:t>Of the 330 items assessed by two raters on the PEDro Scale, there were 196 occurrences of rate agreement in an item meeting the item criteria, and 112 occurrences where raters agreed the study did not meet the item criteria (93.3%, κ =</w:t>
      </w:r>
      <w:r w:rsidR="0090133B" w:rsidRPr="00EB0558">
        <w:rPr>
          <w:sz w:val="22"/>
          <w:szCs w:val="22"/>
        </w:rPr>
        <w:t xml:space="preserve"> </w:t>
      </w:r>
      <w:r w:rsidRPr="00EB0558">
        <w:rPr>
          <w:sz w:val="22"/>
          <w:szCs w:val="22"/>
        </w:rPr>
        <w:t xml:space="preserve">0.857). For 22 items, raters initially disagreed. Disagreements were resolved through discussion. Using Cashin and McAuley’s (2020) criteria of quality (scores of 0-4 poor, 4-5 fair, 6-8 good, and 9-10 excellent), the </w:t>
      </w:r>
      <w:r w:rsidR="00553006" w:rsidRPr="00EB0558">
        <w:rPr>
          <w:sz w:val="22"/>
          <w:szCs w:val="22"/>
        </w:rPr>
        <w:t>mean</w:t>
      </w:r>
      <w:r w:rsidRPr="00EB0558">
        <w:rPr>
          <w:sz w:val="22"/>
          <w:szCs w:val="22"/>
        </w:rPr>
        <w:t xml:space="preserve"> score on study quality was 4.13 (S</w:t>
      </w:r>
      <w:r w:rsidR="00553006" w:rsidRPr="00EB0558">
        <w:rPr>
          <w:sz w:val="22"/>
          <w:szCs w:val="22"/>
        </w:rPr>
        <w:t xml:space="preserve">D </w:t>
      </w:r>
      <w:r w:rsidR="0090133B" w:rsidRPr="00EB0558">
        <w:rPr>
          <w:sz w:val="22"/>
          <w:szCs w:val="22"/>
        </w:rPr>
        <w:t xml:space="preserve">= </w:t>
      </w:r>
      <w:r w:rsidRPr="00EB0558">
        <w:rPr>
          <w:sz w:val="22"/>
          <w:szCs w:val="22"/>
        </w:rPr>
        <w:t xml:space="preserve">2.0) indicating studies were of fair quality. Eight of the studies were ranked as of good quality, none reached a score of </w:t>
      </w:r>
      <w:r w:rsidRPr="00EB0558">
        <w:rPr>
          <w:sz w:val="22"/>
          <w:szCs w:val="22"/>
          <w:u w:val="single"/>
        </w:rPr>
        <w:t>&gt;</w:t>
      </w:r>
      <w:r w:rsidRPr="00EB0558">
        <w:rPr>
          <w:sz w:val="22"/>
          <w:szCs w:val="22"/>
        </w:rPr>
        <w:t>9 points</w:t>
      </w:r>
      <w:r w:rsidR="00237494" w:rsidRPr="00EB0558">
        <w:rPr>
          <w:sz w:val="22"/>
          <w:szCs w:val="22"/>
        </w:rPr>
        <w:t xml:space="preserve"> (Table 1)</w:t>
      </w:r>
      <w:r w:rsidRPr="00EB0558">
        <w:rPr>
          <w:sz w:val="22"/>
          <w:szCs w:val="22"/>
        </w:rPr>
        <w:t xml:space="preserve">. None of the 30 studies blinded participants or therapists delivering the intervention, eight studies involved blinding of assessors. Fourteen trials did not provide results for all outcome measures, and therefore demonstrated possible outcome-reporting bias. </w:t>
      </w:r>
    </w:p>
    <w:p w14:paraId="5B7B7ABC" w14:textId="77777777" w:rsidR="00EA3A1C" w:rsidRPr="00EB0558" w:rsidRDefault="00EA3A1C" w:rsidP="00EA3A1C">
      <w:pPr>
        <w:pStyle w:val="CommentText"/>
        <w:spacing w:line="480" w:lineRule="auto"/>
        <w:ind w:firstLine="720"/>
        <w:rPr>
          <w:sz w:val="22"/>
          <w:szCs w:val="22"/>
        </w:rPr>
      </w:pPr>
    </w:p>
    <w:p w14:paraId="7D69048F" w14:textId="2B20694C" w:rsidR="00EA3A1C" w:rsidRDefault="00F463C2" w:rsidP="007036C3">
      <w:pPr>
        <w:adjustRightInd w:val="0"/>
        <w:spacing w:line="480" w:lineRule="auto"/>
        <w:rPr>
          <w:b/>
          <w:bCs/>
          <w:sz w:val="22"/>
          <w:szCs w:val="22"/>
        </w:rPr>
      </w:pPr>
      <w:r w:rsidRPr="00EB0558">
        <w:rPr>
          <w:b/>
          <w:bCs/>
          <w:sz w:val="22"/>
          <w:szCs w:val="22"/>
        </w:rPr>
        <w:t>&lt;&lt;INSERT TABLE 1 ABOUT HERE: Table 1. Quality checking using PEDro&gt;&gt;</w:t>
      </w:r>
    </w:p>
    <w:p w14:paraId="15744AC6" w14:textId="77777777" w:rsidR="00EA3A1C" w:rsidRPr="00EB0558" w:rsidRDefault="00EA3A1C" w:rsidP="007036C3">
      <w:pPr>
        <w:adjustRightInd w:val="0"/>
        <w:spacing w:line="480" w:lineRule="auto"/>
        <w:rPr>
          <w:b/>
          <w:bCs/>
          <w:sz w:val="22"/>
          <w:szCs w:val="22"/>
        </w:rPr>
      </w:pPr>
    </w:p>
    <w:p w14:paraId="5947CB67" w14:textId="6C5BD021" w:rsidR="00730E26" w:rsidRPr="00EB0558" w:rsidRDefault="00730E26" w:rsidP="00EA3A1C">
      <w:pPr>
        <w:pStyle w:val="Heading2"/>
      </w:pPr>
      <w:r w:rsidRPr="00EB0558">
        <w:lastRenderedPageBreak/>
        <w:t>Synthesis of Results</w:t>
      </w:r>
    </w:p>
    <w:p w14:paraId="6371DABA" w14:textId="10851F3D" w:rsidR="00EA3A1C" w:rsidRPr="00EB0558" w:rsidRDefault="385CDABC" w:rsidP="00EA3A1C">
      <w:pPr>
        <w:spacing w:before="4" w:line="480" w:lineRule="auto"/>
        <w:ind w:firstLine="720"/>
        <w:rPr>
          <w:sz w:val="22"/>
          <w:szCs w:val="22"/>
        </w:rPr>
      </w:pPr>
      <w:r w:rsidRPr="00EB0558">
        <w:rPr>
          <w:sz w:val="22"/>
          <w:szCs w:val="22"/>
        </w:rPr>
        <w:t>For clarity in reporting and to aid in the synthesis of the findings, the reporting of studies has been divided into studies within Residential Aged Care Facilities (RACFs) and in community settings.</w:t>
      </w:r>
    </w:p>
    <w:p w14:paraId="1BF11F13" w14:textId="1A63D2F8" w:rsidR="00A870AC" w:rsidRPr="00EA3A1C" w:rsidRDefault="00583AF9" w:rsidP="00EA3A1C">
      <w:pPr>
        <w:pStyle w:val="Heading3"/>
      </w:pPr>
      <w:r w:rsidRPr="00EA3A1C">
        <w:t>Studies in Residential Aged Care Facilities</w:t>
      </w:r>
    </w:p>
    <w:p w14:paraId="4B90AC4F" w14:textId="29655051" w:rsidR="007036C3" w:rsidRDefault="385CDABC" w:rsidP="00DE1A26">
      <w:pPr>
        <w:spacing w:before="4" w:line="480" w:lineRule="auto"/>
        <w:ind w:firstLine="720"/>
        <w:rPr>
          <w:sz w:val="22"/>
          <w:szCs w:val="22"/>
        </w:rPr>
      </w:pPr>
      <w:r w:rsidRPr="00EB0558">
        <w:rPr>
          <w:sz w:val="22"/>
          <w:szCs w:val="22"/>
          <w:lang w:val="en-GB"/>
        </w:rPr>
        <w:t xml:space="preserve">Of the 30 studies, 14 were delivered in RACFs (Table 2). When specified, the mean recruitment conversion rate was 89% (SD = 0.11) with rates ranging from 73-100%. Recruitment conversion did not seem to be less for RCTs, in fact all RCTs were above 79%. Recruitment rate ranged between 5.1 - 21 enrolments per month (M = 12.6 per month, SD = 6.8) with recruitment periods ranging from 1.8 to 6 months (M = 2.93, SD = 1.8). Attrition rates varied from 0-46% (M = 16%, SD = 17%) with highest attrition rates occurring for longer study trials. Most common recruitment methods were RACF staff approaching potential residents either face to face and/or by talking with legal guardian about the study. Consent was provided either by participants themselves or by proxy. </w:t>
      </w:r>
      <w:r w:rsidRPr="00EB0558">
        <w:rPr>
          <w:sz w:val="22"/>
          <w:szCs w:val="22"/>
        </w:rPr>
        <w:t>Only three studies specified a target sample size, two of these met or exceeded their target. One study reached 89% of its target sample size.</w:t>
      </w:r>
    </w:p>
    <w:p w14:paraId="2EC70AB8" w14:textId="77777777" w:rsidR="00EA3A1C" w:rsidRPr="00EB0558" w:rsidRDefault="00EA3A1C" w:rsidP="00DE1A26">
      <w:pPr>
        <w:spacing w:before="4" w:line="480" w:lineRule="auto"/>
        <w:ind w:firstLine="720"/>
        <w:rPr>
          <w:sz w:val="22"/>
          <w:szCs w:val="22"/>
        </w:rPr>
      </w:pPr>
    </w:p>
    <w:p w14:paraId="0E357164" w14:textId="339FEE82" w:rsidR="007036C3" w:rsidRDefault="007036C3" w:rsidP="007036C3">
      <w:pPr>
        <w:spacing w:line="480" w:lineRule="auto"/>
        <w:rPr>
          <w:b/>
          <w:bCs/>
          <w:sz w:val="22"/>
          <w:szCs w:val="22"/>
        </w:rPr>
      </w:pPr>
      <w:r w:rsidRPr="00EB0558">
        <w:rPr>
          <w:b/>
          <w:bCs/>
          <w:sz w:val="22"/>
          <w:szCs w:val="22"/>
        </w:rPr>
        <w:t xml:space="preserve">&lt;&lt;INSERT TABLE 2 ABOUT HERE. Table 2. Recruitment trends of music therapy studies delivered in residential aged care facilities. &gt;&gt; </w:t>
      </w:r>
    </w:p>
    <w:p w14:paraId="198DB27E" w14:textId="77777777" w:rsidR="00EA3A1C" w:rsidRPr="00EB0558" w:rsidRDefault="00EA3A1C" w:rsidP="007036C3">
      <w:pPr>
        <w:spacing w:line="480" w:lineRule="auto"/>
        <w:rPr>
          <w:b/>
          <w:bCs/>
          <w:sz w:val="22"/>
          <w:szCs w:val="22"/>
        </w:rPr>
      </w:pPr>
    </w:p>
    <w:p w14:paraId="7298651D" w14:textId="77777777" w:rsidR="007036C3" w:rsidRPr="00EB0558" w:rsidRDefault="00FF79D8" w:rsidP="00EA3A1C">
      <w:pPr>
        <w:pStyle w:val="Heading3"/>
      </w:pPr>
      <w:r w:rsidRPr="00EB0558">
        <w:t>Community based</w:t>
      </w:r>
    </w:p>
    <w:p w14:paraId="07B5702E" w14:textId="6C054744" w:rsidR="00B96630" w:rsidRDefault="03B38D9D" w:rsidP="00DE1A26">
      <w:pPr>
        <w:spacing w:line="480" w:lineRule="auto"/>
        <w:ind w:firstLine="720"/>
        <w:rPr>
          <w:sz w:val="22"/>
          <w:szCs w:val="22"/>
          <w:lang w:val="en-GB"/>
        </w:rPr>
      </w:pPr>
      <w:r w:rsidRPr="00EB0558">
        <w:rPr>
          <w:sz w:val="22"/>
          <w:szCs w:val="22"/>
          <w:lang w:val="en-GB"/>
        </w:rPr>
        <w:t xml:space="preserve">There were 16 studies that were community based (Table 3). Recruitment conversion rates were reported in seven studies and ranged from 48-100% (M = 71%, SD = 18%). Recruitment conversion rates were reported in two RCTs and five non-randomised studies. These conversion rates were higher for RCTs (72% and 91%) than non-randomised studies (48%, 53%, 60%, 71% and 100%). Recruitment rates were between 1.3-14 participants per month (M  = 5.1 per month, SD = 4.2), with recruitment periods varying from one month to two years. Attrition rates ranged between 0-57%, (M = 2.7%, SD = 8.7%). It was noted that a vast array of strategies were utilised in community-based studies, most frequently staff referral, demonstrations/information sessions by researchers, advertisements, posting flyers, and direct </w:t>
      </w:r>
      <w:r w:rsidRPr="00EB0558">
        <w:rPr>
          <w:sz w:val="22"/>
          <w:szCs w:val="22"/>
          <w:lang w:val="en-GB"/>
        </w:rPr>
        <w:lastRenderedPageBreak/>
        <w:t xml:space="preserve">contact with residents. Four studies used two or more methods for recruiting. Consent was provided either by participants themselves or by proxy. </w:t>
      </w:r>
    </w:p>
    <w:p w14:paraId="218BDE16" w14:textId="77777777" w:rsidR="00EA3A1C" w:rsidRPr="00EB0558" w:rsidRDefault="00EA3A1C" w:rsidP="00DE1A26">
      <w:pPr>
        <w:spacing w:line="480" w:lineRule="auto"/>
        <w:ind w:firstLine="720"/>
        <w:rPr>
          <w:sz w:val="22"/>
          <w:szCs w:val="22"/>
          <w:lang w:val="en-GB"/>
        </w:rPr>
      </w:pPr>
    </w:p>
    <w:p w14:paraId="7F461F6F" w14:textId="0DD3B881" w:rsidR="00FF79D8" w:rsidRDefault="007036C3" w:rsidP="007036C3">
      <w:pPr>
        <w:spacing w:line="480" w:lineRule="auto"/>
        <w:rPr>
          <w:b/>
          <w:bCs/>
          <w:sz w:val="22"/>
          <w:szCs w:val="22"/>
        </w:rPr>
      </w:pPr>
      <w:r w:rsidRPr="00EB0558">
        <w:rPr>
          <w:b/>
          <w:bCs/>
          <w:sz w:val="22"/>
          <w:szCs w:val="22"/>
        </w:rPr>
        <w:t xml:space="preserve">&lt;&lt;INSERT TABLE 3 ABOUT HERE. Table 3. Recruitment trends of music therapy studies delivered in community settings. &gt;&gt; </w:t>
      </w:r>
    </w:p>
    <w:p w14:paraId="0E59DD6C" w14:textId="77777777" w:rsidR="00EA3A1C" w:rsidRPr="00EB0558" w:rsidRDefault="00EA3A1C" w:rsidP="007036C3">
      <w:pPr>
        <w:spacing w:line="480" w:lineRule="auto"/>
        <w:rPr>
          <w:b/>
          <w:bCs/>
          <w:sz w:val="22"/>
          <w:szCs w:val="22"/>
        </w:rPr>
      </w:pPr>
    </w:p>
    <w:p w14:paraId="3A10B4D2" w14:textId="5DF26D4D" w:rsidR="00FF79D8" w:rsidRPr="00EB0558" w:rsidRDefault="00FF79D8" w:rsidP="00EA3A1C">
      <w:pPr>
        <w:pStyle w:val="Heading3"/>
      </w:pPr>
      <w:r w:rsidRPr="00EB0558">
        <w:t>Comparisons between RACFs and Community</w:t>
      </w:r>
    </w:p>
    <w:p w14:paraId="59B0DA05" w14:textId="28902053" w:rsidR="008C7041" w:rsidRDefault="2039F9E8" w:rsidP="385CDABC">
      <w:pPr>
        <w:spacing w:before="4" w:line="480" w:lineRule="auto"/>
        <w:rPr>
          <w:sz w:val="22"/>
          <w:szCs w:val="22"/>
          <w:lang w:val="en-GB"/>
        </w:rPr>
      </w:pPr>
      <w:r w:rsidRPr="00EB0558">
        <w:rPr>
          <w:sz w:val="22"/>
          <w:szCs w:val="22"/>
          <w:lang w:val="en-GB"/>
        </w:rPr>
        <w:t>In comparing the studies across two different contexts, it was noted that recruitment rates in RACFs were more than double the community-based studies, and the recruitment conversion rates were also substantially higher for RACFs. Consent was more often provided by proxy in RACF studies than in community-based studies. Attrition rates were similar across both contexts. The RCT design did not appear to limit conversion to enrolments in either context. Attrition rates were similar in RCTs (n = 10 studies, M = 15.8%, SD = 16.3) and non-randomised studies (n = 20 studies, M = 19%, SD = 19.9).</w:t>
      </w:r>
    </w:p>
    <w:p w14:paraId="3C34CA72" w14:textId="77777777" w:rsidR="00EA3A1C" w:rsidRPr="00EB0558" w:rsidRDefault="00EA3A1C" w:rsidP="385CDABC">
      <w:pPr>
        <w:spacing w:before="4" w:line="480" w:lineRule="auto"/>
        <w:rPr>
          <w:sz w:val="22"/>
          <w:szCs w:val="22"/>
          <w:lang w:val="en-GB"/>
        </w:rPr>
      </w:pPr>
    </w:p>
    <w:p w14:paraId="3D6F0FDD" w14:textId="24827535" w:rsidR="004D1E7D" w:rsidRPr="00EA3A1C" w:rsidRDefault="004D1E7D" w:rsidP="00EA3A1C">
      <w:pPr>
        <w:pStyle w:val="Heading1"/>
        <w:rPr>
          <w:b/>
          <w:bCs/>
        </w:rPr>
      </w:pPr>
      <w:r w:rsidRPr="00EA3A1C">
        <w:rPr>
          <w:b/>
          <w:bCs/>
        </w:rPr>
        <w:t>DISCUSSION</w:t>
      </w:r>
    </w:p>
    <w:p w14:paraId="31B12F9A" w14:textId="09F13A2E" w:rsidR="00914FB1" w:rsidRPr="00EB0558" w:rsidRDefault="4161E447" w:rsidP="2039F9E8">
      <w:pPr>
        <w:spacing w:line="480" w:lineRule="auto"/>
        <w:ind w:firstLine="720"/>
        <w:rPr>
          <w:sz w:val="22"/>
          <w:szCs w:val="22"/>
          <w:lang w:val="en-GB"/>
        </w:rPr>
      </w:pPr>
      <w:r w:rsidRPr="00EB0558">
        <w:rPr>
          <w:sz w:val="22"/>
          <w:szCs w:val="22"/>
          <w:lang w:val="en-GB"/>
        </w:rPr>
        <w:t>The results of the 30 studies reviewed suggest that recruitment of participants (caregivers and persons living with dementia) is complex, challenging, and influenced by a number of factors that may interact during recruitment.  Only three of the included studies state a target sample size. This might indicate that it is difficult to estimate participant numbers in research with people with dementia and/or that it is difficult to reach the target sample size. Further, 12 quasi-experimental studies and two RCTs of the 30 studies reviewed failed to report on conversion rates in recruitment. Reasons for this may include missing or inaccurate data collection or record keeping regarding recruitment processes. It is also possible that recruitment conversion rates may have been recorded, but not reported and published. Analysis of study designs within the group of studies that provide these data showed that conversion rates were not lower for RCTs than for other designs (quasi-experimental and non-randomised trials). Both RCTs and non-randomised</w:t>
      </w:r>
      <w:r w:rsidR="00401071" w:rsidRPr="00EB0558">
        <w:rPr>
          <w:sz w:val="22"/>
          <w:szCs w:val="22"/>
          <w:lang w:val="en-GB"/>
        </w:rPr>
        <w:t xml:space="preserve"> </w:t>
      </w:r>
      <w:r w:rsidRPr="00EB0558">
        <w:rPr>
          <w:sz w:val="22"/>
          <w:szCs w:val="22"/>
          <w:lang w:val="en-GB"/>
        </w:rPr>
        <w:t xml:space="preserve">group trials showed wide ranges in conversion rates. Across settings, RCTs had a mean </w:t>
      </w:r>
      <w:r w:rsidRPr="00EB0558">
        <w:rPr>
          <w:sz w:val="22"/>
          <w:szCs w:val="22"/>
          <w:lang w:val="en-GB"/>
        </w:rPr>
        <w:lastRenderedPageBreak/>
        <w:t>rate of 91.5%, while non-randomised and quasi-experimental trials reported a mean rate of 71.25%. This finding might be surprising, as researchers, clinicians and participant representatives may consider the presence of a control group, and potential assignment to this, the cause of recruitment difficulties and attrition in studies with human participants (</w:t>
      </w:r>
      <w:r w:rsidRPr="00EB0558">
        <w:rPr>
          <w:rFonts w:eastAsia="Calibri"/>
          <w:sz w:val="22"/>
          <w:szCs w:val="22"/>
          <w:lang w:val="en-GB"/>
        </w:rPr>
        <w:t>Huibers et al., 2004; Hughes-Morley et al., 2015).</w:t>
      </w:r>
      <w:r w:rsidRPr="00EB0558">
        <w:rPr>
          <w:sz w:val="22"/>
          <w:szCs w:val="22"/>
          <w:lang w:val="en-GB"/>
        </w:rPr>
        <w:t xml:space="preserve"> However, and in contrast to Caldwell et al (2010), the finding of this review suggests that randomisation to a control group in music therapy research does not have a negative impact on recruitment. An explanation for this discrepancy might be if the treatment/intervention were offered to control participants after the study or not, possibly motivating them to participate – even as control participants. However, we could not find enough information to determine if this was the case. </w:t>
      </w:r>
      <w:r w:rsidRPr="00EB0558">
        <w:rPr>
          <w:rFonts w:eastAsia="Calibri"/>
          <w:sz w:val="22"/>
          <w:szCs w:val="22"/>
          <w:lang w:val="en-GB"/>
        </w:rPr>
        <w:t xml:space="preserve">Perhaps other factors, or a combination of interacting ones, may influence enrolment and conversion rates in addition to the inclusion of a control group or condition. </w:t>
      </w:r>
      <w:r w:rsidR="2039F9E8" w:rsidRPr="00EB0558">
        <w:rPr>
          <w:sz w:val="22"/>
          <w:szCs w:val="22"/>
          <w:lang w:val="en-GB"/>
        </w:rPr>
        <w:t>Additionally, attrition rates did not reveal any clear differences between RCTs and quasi-experimental designs, with studies from each type of design reporting 0% attrition and rates of &gt;20%. Higher attrition rates are not surprising in research with people living with dementia, considering the progressive nature of the disease. Furthermore, people with dementia are mostly older adults who might also suffer from other age-related illnesses. Therefore, it is likely that a proportion of participants in these research studies will be lost due to changes in living situations and care arrangements, hospital admissions, and deaths of the people with dementia or their family caregivers.</w:t>
      </w:r>
    </w:p>
    <w:p w14:paraId="10E1D114" w14:textId="47D3E155" w:rsidR="313F6BD9" w:rsidRPr="00EB0558" w:rsidRDefault="03B38D9D" w:rsidP="2039F9E8">
      <w:pPr>
        <w:spacing w:line="480" w:lineRule="auto"/>
        <w:ind w:firstLine="720"/>
        <w:rPr>
          <w:sz w:val="22"/>
          <w:szCs w:val="22"/>
          <w:lang w:val="en-GB"/>
        </w:rPr>
      </w:pPr>
      <w:r w:rsidRPr="00EB0558">
        <w:rPr>
          <w:sz w:val="22"/>
          <w:szCs w:val="22"/>
          <w:lang w:val="en-GB"/>
        </w:rPr>
        <w:t xml:space="preserve">Study location appeared to be a factor influencing recruitment. Studies recruiting at RACFs had higher recruitment and conversion rates than those conducted in the community. One interpretation of this finding is that it is easier to recruit from settings where groups of participants are in one place. We can infer from this that recruitment is </w:t>
      </w:r>
      <w:r w:rsidR="00401071" w:rsidRPr="00EB0558">
        <w:rPr>
          <w:sz w:val="22"/>
          <w:szCs w:val="22"/>
          <w:lang w:val="en-GB"/>
        </w:rPr>
        <w:t>bolstered</w:t>
      </w:r>
      <w:r w:rsidRPr="00EB0558">
        <w:rPr>
          <w:sz w:val="22"/>
          <w:szCs w:val="22"/>
          <w:lang w:val="en-GB"/>
        </w:rPr>
        <w:t xml:space="preserve"> by recruiting from groups of participants that broadly match selection criteria. These groups can be found in settings and treating institutions, but also in the community in support groups and choirs that meet regularly.  Another way in which potential participants are grouped is through online databases of willing research volunteers, for example Join Dementia Research in the UK. Having access to willing participants in groups through institutions or databases increases the size of the recruitment pool. It is logical to assume that the larger the size of any pool or </w:t>
      </w:r>
      <w:r w:rsidRPr="00EB0558">
        <w:rPr>
          <w:sz w:val="22"/>
          <w:szCs w:val="22"/>
          <w:lang w:val="en-GB"/>
        </w:rPr>
        <w:lastRenderedPageBreak/>
        <w:t>cohort of participants, the higher the recruitment rate will be. However, the capacity of the recruiters must also be taken into account. Higher numbers of recruiters spending more time on identifying potential participants and screening them may yield higher rates of recruitment and enrolment. Another important consideration is that the person with dementia may be at a later stage of the disease than he/she was when registered on the online database. His/her situation may have changed and the record may not be updated. Therefore, it may be important for the researchers to know how often the database is updated and what is the process for this.</w:t>
      </w:r>
    </w:p>
    <w:p w14:paraId="43DDDD45" w14:textId="20FAFD18" w:rsidR="62513F10" w:rsidRPr="00EB0558" w:rsidRDefault="2039F9E8" w:rsidP="37701467">
      <w:pPr>
        <w:spacing w:line="480" w:lineRule="auto"/>
        <w:ind w:firstLine="720"/>
        <w:rPr>
          <w:sz w:val="22"/>
          <w:szCs w:val="22"/>
          <w:lang w:val="en-GB"/>
        </w:rPr>
      </w:pPr>
      <w:r w:rsidRPr="00EB0558">
        <w:rPr>
          <w:sz w:val="22"/>
          <w:szCs w:val="22"/>
          <w:lang w:val="en-GB"/>
        </w:rPr>
        <w:t xml:space="preserve">Although, selective grouping of participants by treating institutions, care settings or databases might have a positive effect on recruitment and the efficiency of recruitment processes, there are other factors associated with location of recruitment that could explain the higher recruitment figures for RACFs. For instance, it is important to note that one study reported a high preference for participants to be studied in their own home (Marcantonio et al., 2008). This might have practical reasons such as not needing to travel to take part in the research. As Friedman et al. (2015) noted, lack of time was perceived as a major barrier for research participation. For people living in RACFs they might also feel safer to participate because they are surrounded by qualified personal who are supporting them. Related to this we can notice that at RACFs, the recruiters were often staff at the institution. These consisted of social workers, leisure staff, nurses, administration staff, and care home staff. These workers may have already developed a rapport with the potential participants through working with them as part of their role in the participants’ lives. This provides the worker with specific knowledge about eligibility of the potential participants prior to screening. It allows for appropriate targeting of potential participants who are likely to enrol. Further, participants may feel safer to consent to participate because they are speaking with someone they are familiar with and trust. This sense of safety and trust could be of particular importance to persons living with dementia, as a sense of cohesion might be challenged by memory loss and disorientation (Kitwood, 1997). Hence, recruitment efforts can become more efficient and yield higher conversions to enrolment of eligible participants. Goldman et al. (2019) listed direct referral from a health practitioner as one of the most effective approaches. In community studies, the recruiters consisted of </w:t>
      </w:r>
      <w:r w:rsidRPr="00EB0558">
        <w:rPr>
          <w:sz w:val="22"/>
          <w:szCs w:val="22"/>
          <w:lang w:val="en-GB"/>
        </w:rPr>
        <w:lastRenderedPageBreak/>
        <w:t xml:space="preserve">researchers, day care managers, neurologists, clinic staff and care staff. Some of these workers are likely to have developed a rapport with the participants prior to taking on a role as a recruiter for a study. However, some, researchers in particular, may be meeting the potential participants for the first time due to recruiting them for the study. In these cases, the recruiters must develop a rapport with the potential participants as part of the recruitment process. This may also explain the lower recruitment and conversion rates for studies with participants in the community. </w:t>
      </w:r>
    </w:p>
    <w:p w14:paraId="52C419AC" w14:textId="45C01932" w:rsidR="62513F10" w:rsidRPr="00EB0558" w:rsidRDefault="03B38D9D" w:rsidP="2039F9E8">
      <w:pPr>
        <w:spacing w:line="480" w:lineRule="auto"/>
        <w:ind w:firstLine="720"/>
        <w:rPr>
          <w:sz w:val="22"/>
          <w:szCs w:val="22"/>
          <w:lang w:val="en-GB"/>
        </w:rPr>
      </w:pPr>
      <w:r w:rsidRPr="00EB0558">
        <w:rPr>
          <w:sz w:val="22"/>
          <w:szCs w:val="22"/>
          <w:lang w:val="en-GB"/>
        </w:rPr>
        <w:t>Another factor that may have an impact on recruitment, in particular conversion from eligible to enrolment, is consent procedures. In research involving people living with dementia, it is important to consider if a proxy consent is necessary due to participants’ cognitive impairment. In cases of proxy consent, it is also important to ensure that the participants themselves are given the opportunity to have their say by either expressed or implicit assent. Providing opportunities for either written or verbal consent or assent could be important to ensure participant are heard, and also providing these opportunities regularly during the study to accommodate changes in their willingness to participate. Comparing studies in RACFs and community settings, consent was more often provided by proxy (legal representatives, close relatives etc.) in RACFs, while self-consent was more often the case in community settings. This is not surprising as people living in RACFs might have a later stage dementia than people living in communities. Many of the studies had a combination of written and/or verbal self-consent, proxy consent and/or participant assent without specifying numbers for each. From the information provided we could not see any clear tendencies in whether self-consent, proxy consent or a combination of both affected enrolment in either direction.</w:t>
      </w:r>
    </w:p>
    <w:p w14:paraId="3D23E184" w14:textId="580D6144" w:rsidR="62513F10" w:rsidRPr="00EB0558" w:rsidRDefault="03B38D9D" w:rsidP="2039F9E8">
      <w:pPr>
        <w:spacing w:line="480" w:lineRule="auto"/>
        <w:ind w:firstLine="720"/>
        <w:rPr>
          <w:sz w:val="22"/>
          <w:szCs w:val="22"/>
          <w:lang w:val="en-GB"/>
        </w:rPr>
      </w:pPr>
      <w:r w:rsidRPr="00EB0558">
        <w:rPr>
          <w:sz w:val="22"/>
          <w:szCs w:val="22"/>
          <w:lang w:val="en-GB"/>
        </w:rPr>
        <w:t xml:space="preserve">How information is provided prior to consent might also affect recruitment. Although Caldwell et al. (2010) found that plain language statements did not lead to greater consent rates, Friedman et al. (2015) listed lack of understanding of the study as a major barrier for participating in research. </w:t>
      </w:r>
      <w:r w:rsidR="00D00F9A">
        <w:rPr>
          <w:sz w:val="22"/>
          <w:szCs w:val="22"/>
          <w:lang w:val="en-GB"/>
        </w:rPr>
        <w:t>Baker et al. (2020</w:t>
      </w:r>
      <w:r w:rsidRPr="00EB0558">
        <w:rPr>
          <w:sz w:val="22"/>
          <w:szCs w:val="22"/>
          <w:lang w:val="en-GB"/>
        </w:rPr>
        <w:t xml:space="preserve">) recommend simplifying plain language statements and to have a translator present if the participants have a foreign language background. For people living with dementia, cognitive impairment might affect their ability to understand complex and lengthy information letters or detailed verbal </w:t>
      </w:r>
      <w:r w:rsidRPr="00EB0558">
        <w:rPr>
          <w:sz w:val="22"/>
          <w:szCs w:val="22"/>
          <w:lang w:val="en-GB"/>
        </w:rPr>
        <w:lastRenderedPageBreak/>
        <w:t>descriptions. To ensure understanding, the information provided might need to be adjusted to each participant’s cognitive level. Verbal explanation, meeting with the participants, written information letters, information sheets or similar providing information about the research are among the consent procedures described in the included studies. One of the studies (Clements-Cortes, 2015) included two types of information letters: consent-to-participate and assent-to-participate. But how these letters differ is not described. Across the studies little detail is provided about how</w:t>
      </w:r>
      <w:r w:rsidRPr="00EB0558">
        <w:rPr>
          <w:i/>
          <w:iCs/>
          <w:sz w:val="22"/>
          <w:szCs w:val="22"/>
          <w:lang w:val="en-GB"/>
        </w:rPr>
        <w:t xml:space="preserve"> </w:t>
      </w:r>
      <w:r w:rsidRPr="00EB0558">
        <w:rPr>
          <w:sz w:val="22"/>
          <w:szCs w:val="22"/>
          <w:lang w:val="en-GB"/>
        </w:rPr>
        <w:t>the information was presented and if it was designed with people living with dementia in mind. This makes it difficult to know whether recruitment was affected by this issue.</w:t>
      </w:r>
    </w:p>
    <w:p w14:paraId="50B08953" w14:textId="7153774C" w:rsidR="62513F10" w:rsidRPr="00EB0558" w:rsidRDefault="03B38D9D" w:rsidP="2039F9E8">
      <w:pPr>
        <w:spacing w:line="480" w:lineRule="auto"/>
        <w:ind w:firstLine="720"/>
        <w:rPr>
          <w:sz w:val="22"/>
          <w:szCs w:val="22"/>
          <w:lang w:val="en-GB"/>
        </w:rPr>
      </w:pPr>
      <w:r w:rsidRPr="00EB0558">
        <w:rPr>
          <w:sz w:val="22"/>
          <w:szCs w:val="22"/>
          <w:lang w:val="en-GB"/>
        </w:rPr>
        <w:t xml:space="preserve">There are also other differences between RACF and community settings that might impact recruitment and contribute to understand the differences in recruitment rates. People living with dementia in the community might be at an earlier stage of dementia than those living in RACF, something the higher number of proxy consent in the RACF studies also indicates, although there might be cultural differences between countries. For many, accepting or coming to terms with the dementia diagnosis may be difficult and take some time. Lack of acceptance of one’s diagnosis would likely affect willingness to join a dementia specific study. Stigma could also be a relevant factor negatively impacting this. Significant stigma is associated with dementia particularly in early stages of the disease (Bartlett, Milne &amp; Croucher, 2019), suggesting that stigma is more present in community settings than in RACFs and might in a greater degree impact recruitment. How to meet these challenges is complex and is something that could be explored further preferably in collaboration with people with lived experiences. </w:t>
      </w:r>
    </w:p>
    <w:p w14:paraId="7EB00991" w14:textId="27E081CB" w:rsidR="313F6BD9" w:rsidRPr="00EB0558" w:rsidRDefault="2039F9E8" w:rsidP="2039F9E8">
      <w:pPr>
        <w:spacing w:line="480" w:lineRule="auto"/>
        <w:ind w:firstLine="720"/>
        <w:rPr>
          <w:sz w:val="22"/>
          <w:szCs w:val="22"/>
          <w:lang w:val="en-GB"/>
        </w:rPr>
      </w:pPr>
      <w:r w:rsidRPr="00EB0558">
        <w:rPr>
          <w:sz w:val="22"/>
          <w:szCs w:val="22"/>
          <w:lang w:val="en-GB"/>
        </w:rPr>
        <w:t xml:space="preserve">Friedman et al. (2015) listed limited time as one barrier to participation in research studies. Intervention frequency and duration did not appear to reveal a clear pattern in the 30 studies reviewed here. These factors may affect attrition rates because participants experience the intervention after enrolment. However, attrition may also be affected by other factors, for example death of participants, progression of dementia, anxiety during assessment or data collection procedures, and not receiving the intervention due to being in the control group. </w:t>
      </w:r>
    </w:p>
    <w:p w14:paraId="643D897E" w14:textId="46B9CF05" w:rsidR="313F6BD9" w:rsidRPr="00EB0558" w:rsidRDefault="2039F9E8" w:rsidP="00DE1A26">
      <w:pPr>
        <w:spacing w:line="480" w:lineRule="auto"/>
        <w:ind w:firstLine="720"/>
        <w:rPr>
          <w:sz w:val="22"/>
          <w:szCs w:val="22"/>
          <w:lang w:val="en-GB"/>
        </w:rPr>
      </w:pPr>
      <w:r w:rsidRPr="00EB0558">
        <w:rPr>
          <w:sz w:val="22"/>
          <w:szCs w:val="22"/>
          <w:lang w:val="en-GB"/>
        </w:rPr>
        <w:lastRenderedPageBreak/>
        <w:t xml:space="preserve">Recruitment methods for engaging participant groups included mailing information, leaflet handouts, calling potential participants by telephone, approaching them in person, presentations to groups, displaying posters, and direct referrals by staff members. Participants were also recruited by contacting their carers. As recruitment rates varied within these methods, it is difficult to compare them and to draw conclusions about which recruitment methods are more successful than others. However, and consistent with Goldman et al (2019), the highest recruitment rates were reported in studies involving referrals by staff and researchers explaining the study to potential participants. The lowest recruitment rate was reported in a study in which the carers were contacted by telephone or in person. </w:t>
      </w:r>
    </w:p>
    <w:p w14:paraId="6A4D0AEF" w14:textId="2513AAA4" w:rsidR="313F6BD9" w:rsidRPr="00EB0558" w:rsidRDefault="2039F9E8" w:rsidP="00DE1A26">
      <w:pPr>
        <w:spacing w:line="480" w:lineRule="auto"/>
        <w:ind w:firstLine="720"/>
        <w:rPr>
          <w:sz w:val="22"/>
          <w:szCs w:val="22"/>
          <w:lang w:val="en-GB"/>
        </w:rPr>
      </w:pPr>
      <w:r w:rsidRPr="00EB0558">
        <w:rPr>
          <w:sz w:val="22"/>
          <w:szCs w:val="22"/>
          <w:lang w:val="en-GB"/>
        </w:rPr>
        <w:t>Across the 30 studies reviewed, there was inconsistent reporting of some of the categories defined in this review. This is not a comment on the quality of the research studies, but it is a statement about the missing data that, if present, would enable more confident statements and comparisons to be made. The categories which were reported inconsistently include recruitment strategies, recruiter details, recruitment rate, recruitment period, consent procedures and conversions of eligible to enrolled participants. This makes it difficult to draw conclusions about recruitment strategies and their effectiveness, and limits what other researchers can learn from the studies regarding successful recruitment. For instance, Larkey et al. (2002) found that trained recruiters had a higher success rate in recruiting participants than those who lacked training. The training of recruiters is not reported on in any of the studies and, therefore, it is not possible to conclude whether or not it is a relevant factor influencing recruitment in these studies.</w:t>
      </w:r>
    </w:p>
    <w:p w14:paraId="0D2698E3" w14:textId="50475D64" w:rsidR="005F226F" w:rsidRDefault="2039F9E8" w:rsidP="00DE1A26">
      <w:pPr>
        <w:spacing w:line="480" w:lineRule="auto"/>
        <w:ind w:firstLine="720"/>
        <w:rPr>
          <w:sz w:val="22"/>
          <w:szCs w:val="22"/>
          <w:lang w:val="en-GB"/>
        </w:rPr>
      </w:pPr>
      <w:r w:rsidRPr="00EB0558">
        <w:rPr>
          <w:sz w:val="22"/>
          <w:szCs w:val="22"/>
          <w:lang w:val="en-GB"/>
        </w:rPr>
        <w:t xml:space="preserve">This review focused on music therapy studies for people living with dementia and/or their family carers, and excluded a large number of music intervention studies delivered by other health care professionals such as nursing staff. We chose to keep the review focused on music therapy but in doing so, there were numerous studies of people living with dementia participating in music interventions that may have presented additional data that might have added to our understanding of the most effective and cost-effective recruitment processes. Future reviews might consider pooling all studies that included music interventions irrespective of who designed and delivered the interventions and compare and contrast the recruitment strategies used. Another limitation of our review was that there was insufficient </w:t>
      </w:r>
      <w:r w:rsidRPr="00EB0558">
        <w:rPr>
          <w:sz w:val="22"/>
          <w:szCs w:val="22"/>
          <w:lang w:val="en-GB"/>
        </w:rPr>
        <w:lastRenderedPageBreak/>
        <w:t xml:space="preserve">data to determine which methods - mailouts information, direct approaches, presentations, referrals etcetera – were superior to others. Future studies testing different recruitment methods would enable the most effective and cost-effective methods to be determined.  </w:t>
      </w:r>
    </w:p>
    <w:p w14:paraId="5CD6A755" w14:textId="77777777" w:rsidR="00EA3A1C" w:rsidRPr="00EB0558" w:rsidRDefault="00EA3A1C" w:rsidP="00DE1A26">
      <w:pPr>
        <w:spacing w:line="480" w:lineRule="auto"/>
        <w:ind w:firstLine="720"/>
        <w:rPr>
          <w:sz w:val="22"/>
          <w:szCs w:val="22"/>
          <w:lang w:val="en-GB"/>
        </w:rPr>
      </w:pPr>
    </w:p>
    <w:p w14:paraId="2A87C305" w14:textId="77777777" w:rsidR="00914FB1" w:rsidRPr="00EA3A1C" w:rsidRDefault="007E6AD5" w:rsidP="00EA3A1C">
      <w:pPr>
        <w:pStyle w:val="Heading1"/>
        <w:rPr>
          <w:b/>
          <w:bCs/>
        </w:rPr>
      </w:pPr>
      <w:r w:rsidRPr="00EA3A1C">
        <w:rPr>
          <w:b/>
          <w:bCs/>
        </w:rPr>
        <w:t xml:space="preserve">Conclusion </w:t>
      </w:r>
    </w:p>
    <w:p w14:paraId="7ACA1F30" w14:textId="49E9F388" w:rsidR="006041A2" w:rsidRPr="00EB0558" w:rsidRDefault="2039F9E8" w:rsidP="00DE1A26">
      <w:pPr>
        <w:spacing w:line="480" w:lineRule="auto"/>
        <w:ind w:firstLine="720"/>
        <w:rPr>
          <w:sz w:val="22"/>
          <w:szCs w:val="22"/>
          <w:lang w:val="en-GB"/>
        </w:rPr>
      </w:pPr>
      <w:r w:rsidRPr="00EB0558">
        <w:rPr>
          <w:sz w:val="22"/>
          <w:szCs w:val="22"/>
          <w:lang w:val="en-GB"/>
        </w:rPr>
        <w:t xml:space="preserve">In general, researchers of music therapy trials are not paying much attention to recruitment details in their reporting of studies. Seventy-two music therapy studies were omitted from this review because there was no reporting on recruitment strategies, recruitment periods, and conversion rates. In the studies reviewed, reporting on recruitment was often incomplete or inconsistent which limits the possibilities to learn from previous research. </w:t>
      </w:r>
    </w:p>
    <w:p w14:paraId="2F90AE50" w14:textId="15FC0B97" w:rsidR="2039F9E8" w:rsidRPr="00EB0558" w:rsidRDefault="2039F9E8" w:rsidP="2039F9E8">
      <w:pPr>
        <w:spacing w:line="480" w:lineRule="auto"/>
        <w:rPr>
          <w:sz w:val="22"/>
          <w:szCs w:val="22"/>
          <w:lang w:val="en-GB"/>
        </w:rPr>
      </w:pPr>
      <w:r w:rsidRPr="00EB0558">
        <w:rPr>
          <w:sz w:val="22"/>
          <w:szCs w:val="22"/>
          <w:lang w:val="en-GB"/>
        </w:rPr>
        <w:t>Based on our review, we offer the following recommendations for successful recruitment:</w:t>
      </w:r>
    </w:p>
    <w:p w14:paraId="147A52B3" w14:textId="6DEC6A6C" w:rsidR="005F226F" w:rsidRPr="00EB0558" w:rsidRDefault="005F226F" w:rsidP="2039F9E8">
      <w:pPr>
        <w:pStyle w:val="ListParagraph"/>
        <w:spacing w:line="480" w:lineRule="auto"/>
        <w:ind w:left="720" w:firstLine="0"/>
        <w:jc w:val="left"/>
        <w:rPr>
          <w:lang w:val="en-GB"/>
        </w:rPr>
      </w:pPr>
    </w:p>
    <w:p w14:paraId="66A3BA27" w14:textId="13E07750" w:rsidR="005F226F" w:rsidRPr="00EB0558" w:rsidRDefault="03B38D9D" w:rsidP="2039F9E8">
      <w:pPr>
        <w:pStyle w:val="ListParagraph"/>
        <w:numPr>
          <w:ilvl w:val="0"/>
          <w:numId w:val="18"/>
        </w:numPr>
        <w:spacing w:line="480" w:lineRule="auto"/>
        <w:jc w:val="left"/>
        <w:rPr>
          <w:lang w:val="en-GB"/>
        </w:rPr>
      </w:pPr>
      <w:r w:rsidRPr="00EB0558">
        <w:rPr>
          <w:lang w:val="en-GB"/>
        </w:rPr>
        <w:t xml:space="preserve">Recruitment rates are likely to be higher when brokered through a third party such as a RACF, community organisation where there is a database of potential participants, or national research databases of willing research volunteers. </w:t>
      </w:r>
    </w:p>
    <w:p w14:paraId="79DCD070" w14:textId="007BBF2D" w:rsidR="005F226F" w:rsidRPr="00EB0558" w:rsidRDefault="2039F9E8" w:rsidP="0081616D">
      <w:pPr>
        <w:pStyle w:val="ListParagraph"/>
        <w:numPr>
          <w:ilvl w:val="0"/>
          <w:numId w:val="18"/>
        </w:numPr>
        <w:spacing w:line="480" w:lineRule="auto"/>
        <w:jc w:val="left"/>
        <w:rPr>
          <w:lang w:val="en-GB"/>
        </w:rPr>
      </w:pPr>
      <w:r w:rsidRPr="00EB0558">
        <w:rPr>
          <w:lang w:val="en-GB"/>
        </w:rPr>
        <w:t>Recruiters such as healthcare workers who have an existing relationship with potential participants may be more successful and more efficient in recruiting and converting potential participants into enrolled participants.</w:t>
      </w:r>
    </w:p>
    <w:p w14:paraId="3B9417F6" w14:textId="5ACE2342" w:rsidR="003F6F04" w:rsidRPr="00EB0558" w:rsidRDefault="2039F9E8" w:rsidP="00401071">
      <w:pPr>
        <w:pStyle w:val="ListParagraph"/>
        <w:numPr>
          <w:ilvl w:val="0"/>
          <w:numId w:val="18"/>
        </w:numPr>
        <w:spacing w:line="480" w:lineRule="auto"/>
        <w:jc w:val="left"/>
        <w:rPr>
          <w:lang w:val="en-GB"/>
        </w:rPr>
      </w:pPr>
      <w:r w:rsidRPr="00EB0558">
        <w:rPr>
          <w:lang w:val="en-GB"/>
        </w:rPr>
        <w:t xml:space="preserve">As discussed by </w:t>
      </w:r>
      <w:r w:rsidR="006A03DA">
        <w:rPr>
          <w:lang w:val="en-GB"/>
        </w:rPr>
        <w:t>Baker et al. (2020)</w:t>
      </w:r>
      <w:r w:rsidRPr="00EB0558">
        <w:rPr>
          <w:lang w:val="en-GB"/>
        </w:rPr>
        <w:t>, where researchers are responsible for recruitment, developing rapport may be an important factor in increasing likelihood of conversion to enrolment.</w:t>
      </w:r>
    </w:p>
    <w:p w14:paraId="7FD5CE6D" w14:textId="77777777" w:rsidR="00497881" w:rsidRPr="00EB0558" w:rsidRDefault="00497881" w:rsidP="2039F9E8">
      <w:pPr>
        <w:spacing w:before="4" w:line="480" w:lineRule="auto"/>
        <w:rPr>
          <w:sz w:val="22"/>
          <w:szCs w:val="22"/>
        </w:rPr>
      </w:pPr>
    </w:p>
    <w:p w14:paraId="03BB5FC5" w14:textId="43C491D7" w:rsidR="00EB0558" w:rsidRPr="006A03DA" w:rsidRDefault="03B38D9D" w:rsidP="00EB0558">
      <w:pPr>
        <w:spacing w:before="4" w:line="480" w:lineRule="auto"/>
        <w:rPr>
          <w:lang w:val="en-GB"/>
        </w:rPr>
      </w:pPr>
      <w:r w:rsidRPr="00EB0558">
        <w:rPr>
          <w:sz w:val="22"/>
          <w:szCs w:val="22"/>
        </w:rPr>
        <w:t xml:space="preserve">Conducting research studies with people with dementia and/or their family caregivers poses several challenges that are specific to this participant group and need to be considered before setting up the study and deciding on recruitment strategies. These challenges include the progressive nature of the disease, difficulties around capacity to consent, stigma and related difficulties with acceptance of the disease, and </w:t>
      </w:r>
      <w:r w:rsidRPr="00EB0558">
        <w:rPr>
          <w:sz w:val="22"/>
          <w:szCs w:val="22"/>
        </w:rPr>
        <w:lastRenderedPageBreak/>
        <w:t xml:space="preserve">difficulties to reach this participant group in the community. Owing to  these challenges, it is important that future research studies </w:t>
      </w:r>
      <w:r w:rsidRPr="00EB0558">
        <w:rPr>
          <w:sz w:val="22"/>
          <w:szCs w:val="22"/>
          <w:lang w:val="en-GB"/>
        </w:rPr>
        <w:t>include more detailed reporting so future researchers can adopt the most successful strategies</w:t>
      </w:r>
      <w:r w:rsidRPr="006A03DA">
        <w:rPr>
          <w:sz w:val="22"/>
          <w:szCs w:val="22"/>
          <w:lang w:val="en-GB"/>
        </w:rPr>
        <w:t>.</w:t>
      </w:r>
      <w:r w:rsidRPr="006A03DA">
        <w:rPr>
          <w:lang w:val="en-GB"/>
        </w:rPr>
        <w:t xml:space="preserve"> </w:t>
      </w:r>
      <w:r w:rsidR="00EB0558" w:rsidRPr="006A03DA">
        <w:rPr>
          <w:rFonts w:asciiTheme="majorBidi" w:hAnsiTheme="majorBidi" w:cstheme="majorBidi"/>
          <w:color w:val="000000" w:themeColor="text1"/>
          <w:sz w:val="22"/>
          <w:szCs w:val="22"/>
          <w:lang w:val="en-GB"/>
        </w:rPr>
        <w:t xml:space="preserve">However, we acknowledge that word count limitations in several journals may pose a challenge for how much details can be included. Prioritising what to report might be necessary, and we therefore suggest the following guidelines for reporting recruitment in future research studies: </w:t>
      </w:r>
    </w:p>
    <w:p w14:paraId="4655BE11" w14:textId="77777777" w:rsidR="00EB0558" w:rsidRPr="006A03DA" w:rsidRDefault="00EB0558" w:rsidP="00EB0558">
      <w:pPr>
        <w:pStyle w:val="ListParagraph"/>
        <w:widowControl/>
        <w:numPr>
          <w:ilvl w:val="0"/>
          <w:numId w:val="20"/>
        </w:numPr>
        <w:autoSpaceDE/>
        <w:autoSpaceDN/>
        <w:spacing w:line="480" w:lineRule="auto"/>
        <w:contextualSpacing/>
        <w:jc w:val="left"/>
        <w:rPr>
          <w:rFonts w:asciiTheme="majorBidi" w:hAnsiTheme="majorBidi" w:cstheme="majorBidi"/>
          <w:color w:val="000000" w:themeColor="text1"/>
          <w:lang w:val="en-GB"/>
        </w:rPr>
      </w:pPr>
      <w:r w:rsidRPr="006A03DA">
        <w:rPr>
          <w:rFonts w:asciiTheme="majorBidi" w:hAnsiTheme="majorBidi" w:cstheme="majorBidi"/>
          <w:color w:val="000000" w:themeColor="text1"/>
          <w:lang w:val="en-GB"/>
        </w:rPr>
        <w:t>All studies should comment on rates of conversion from expressions of interest to enrolments.</w:t>
      </w:r>
    </w:p>
    <w:p w14:paraId="7F9B7B8E" w14:textId="77777777" w:rsidR="00EB0558" w:rsidRPr="006A03DA" w:rsidRDefault="00EB0558" w:rsidP="00EB0558">
      <w:pPr>
        <w:pStyle w:val="ListParagraph"/>
        <w:widowControl/>
        <w:numPr>
          <w:ilvl w:val="0"/>
          <w:numId w:val="20"/>
        </w:numPr>
        <w:autoSpaceDE/>
        <w:autoSpaceDN/>
        <w:spacing w:line="480" w:lineRule="auto"/>
        <w:contextualSpacing/>
        <w:jc w:val="left"/>
        <w:rPr>
          <w:rFonts w:asciiTheme="majorBidi" w:hAnsiTheme="majorBidi" w:cstheme="majorBidi"/>
          <w:color w:val="000000" w:themeColor="text1"/>
          <w:lang w:val="en-GB"/>
        </w:rPr>
      </w:pPr>
      <w:r w:rsidRPr="006A03DA">
        <w:rPr>
          <w:rFonts w:asciiTheme="majorBidi" w:hAnsiTheme="majorBidi" w:cstheme="majorBidi"/>
          <w:color w:val="000000" w:themeColor="text1"/>
          <w:lang w:val="en-GB"/>
        </w:rPr>
        <w:t>Studies should summarise main strategies for recruitment: how the potential participants were contacted, where the recruitment activity took place and if a carer/family member or other health practitioner was present or involved.</w:t>
      </w:r>
    </w:p>
    <w:p w14:paraId="0ADFF54B" w14:textId="3A7B57D4" w:rsidR="00EB0558" w:rsidRPr="006A03DA" w:rsidRDefault="00EB0558" w:rsidP="00EB0558">
      <w:pPr>
        <w:pStyle w:val="ListParagraph"/>
        <w:widowControl/>
        <w:numPr>
          <w:ilvl w:val="0"/>
          <w:numId w:val="20"/>
        </w:numPr>
        <w:autoSpaceDE/>
        <w:autoSpaceDN/>
        <w:spacing w:line="480" w:lineRule="auto"/>
        <w:contextualSpacing/>
        <w:jc w:val="left"/>
        <w:rPr>
          <w:rFonts w:asciiTheme="majorBidi" w:hAnsiTheme="majorBidi" w:cstheme="majorBidi"/>
          <w:color w:val="000000" w:themeColor="text1"/>
          <w:lang w:val="en-GB"/>
        </w:rPr>
      </w:pPr>
      <w:r w:rsidRPr="006A03DA">
        <w:rPr>
          <w:rFonts w:asciiTheme="majorBidi" w:hAnsiTheme="majorBidi" w:cstheme="majorBidi"/>
          <w:color w:val="000000" w:themeColor="text1"/>
          <w:lang w:val="en-GB"/>
        </w:rPr>
        <w:t xml:space="preserve">Where more than one recruitment strategy was utilised, it will be useful to specify which strategy, if any, was the most successful. </w:t>
      </w:r>
    </w:p>
    <w:p w14:paraId="28E53B48" w14:textId="22BAC169" w:rsidR="000F0BF3" w:rsidRPr="006A03DA" w:rsidRDefault="000F0BF3" w:rsidP="000F0BF3">
      <w:pPr>
        <w:pStyle w:val="ListParagraph"/>
        <w:widowControl/>
        <w:numPr>
          <w:ilvl w:val="0"/>
          <w:numId w:val="20"/>
        </w:numPr>
        <w:autoSpaceDE/>
        <w:autoSpaceDN/>
        <w:spacing w:line="480" w:lineRule="auto"/>
        <w:contextualSpacing/>
        <w:jc w:val="left"/>
        <w:rPr>
          <w:rFonts w:asciiTheme="majorBidi" w:hAnsiTheme="majorBidi" w:cstheme="majorBidi"/>
          <w:color w:val="000000" w:themeColor="text1"/>
          <w:lang w:val="en-GB"/>
        </w:rPr>
      </w:pPr>
      <w:r w:rsidRPr="006A03DA">
        <w:rPr>
          <w:rFonts w:asciiTheme="majorBidi" w:hAnsiTheme="majorBidi" w:cstheme="majorBidi"/>
          <w:color w:val="000000" w:themeColor="text1"/>
          <w:lang w:val="en-GB"/>
        </w:rPr>
        <w:t xml:space="preserve">Where possible, studies should record and report reasons for refusal and reasons for consenting to participate. </w:t>
      </w:r>
    </w:p>
    <w:p w14:paraId="4C17DF91" w14:textId="2697803A" w:rsidR="00E57CFA" w:rsidRPr="00EB0558" w:rsidRDefault="00EB0558" w:rsidP="00EB0558">
      <w:pPr>
        <w:spacing w:before="4" w:line="480" w:lineRule="auto"/>
        <w:rPr>
          <w:sz w:val="22"/>
          <w:szCs w:val="22"/>
          <w:lang w:val="en-GB"/>
        </w:rPr>
      </w:pPr>
      <w:r w:rsidRPr="006A03DA">
        <w:rPr>
          <w:rFonts w:asciiTheme="majorBidi" w:hAnsiTheme="majorBidi" w:cstheme="majorBidi"/>
          <w:color w:val="000000" w:themeColor="text1"/>
          <w:sz w:val="22"/>
          <w:szCs w:val="22"/>
          <w:lang w:val="en-GB"/>
        </w:rPr>
        <w:t>This information may guide research design in the future, help researchers understand more about participant experiences and decision-making, and possibly influence the types of interventions offered.</w:t>
      </w:r>
      <w:r w:rsidRPr="006A03DA">
        <w:rPr>
          <w:sz w:val="22"/>
          <w:szCs w:val="22"/>
          <w:lang w:val="en-GB"/>
        </w:rPr>
        <w:t xml:space="preserve"> </w:t>
      </w:r>
      <w:r w:rsidR="03B38D9D" w:rsidRPr="006A03DA">
        <w:rPr>
          <w:sz w:val="22"/>
          <w:szCs w:val="22"/>
          <w:lang w:val="en-GB"/>
        </w:rPr>
        <w:t xml:space="preserve">Increasing reporting of recruitment </w:t>
      </w:r>
      <w:r w:rsidRPr="006A03DA">
        <w:rPr>
          <w:sz w:val="22"/>
          <w:szCs w:val="22"/>
          <w:lang w:val="en-GB"/>
        </w:rPr>
        <w:t xml:space="preserve">rates and </w:t>
      </w:r>
      <w:r w:rsidR="03B38D9D" w:rsidRPr="006A03DA">
        <w:rPr>
          <w:sz w:val="22"/>
          <w:szCs w:val="22"/>
          <w:lang w:val="en-GB"/>
        </w:rPr>
        <w:t>strategies</w:t>
      </w:r>
      <w:r w:rsidR="03B38D9D" w:rsidRPr="00EB0558">
        <w:rPr>
          <w:sz w:val="22"/>
          <w:szCs w:val="22"/>
          <w:lang w:val="en-GB"/>
        </w:rPr>
        <w:t xml:space="preserve"> could</w:t>
      </w:r>
      <w:r w:rsidR="00641ACB">
        <w:rPr>
          <w:sz w:val="22"/>
          <w:szCs w:val="22"/>
          <w:lang w:val="en-GB"/>
        </w:rPr>
        <w:t xml:space="preserve"> </w:t>
      </w:r>
      <w:r w:rsidR="03B38D9D" w:rsidRPr="00EB0558">
        <w:rPr>
          <w:sz w:val="22"/>
          <w:szCs w:val="22"/>
          <w:lang w:val="en-GB"/>
        </w:rPr>
        <w:t>be useful for other researchers to a) better estimate the time and manpower required to recruit the minimum number of participants to ensure study power, and b) better estimate the funding required to complete recruitment. With the recent increase in funding of large multi-country music therapy clinical trials in both community (Baker et al., 2019) and RACF (Gold et al., 2019) contexts, efficient and cost-effective strategies that allow researchers to meet their target sample sizes is imperative if the profession is to succeed in completing evidence-based studies that could impact policy and funding of music therapy in dementia care.</w:t>
      </w:r>
    </w:p>
    <w:p w14:paraId="6F9F9462" w14:textId="1E9DBA49" w:rsidR="00EA3A1C" w:rsidRDefault="00EA3A1C">
      <w:pPr>
        <w:widowControl w:val="0"/>
        <w:autoSpaceDE w:val="0"/>
        <w:autoSpaceDN w:val="0"/>
        <w:rPr>
          <w:b/>
          <w:bCs/>
          <w:sz w:val="22"/>
          <w:szCs w:val="22"/>
        </w:rPr>
      </w:pPr>
      <w:r>
        <w:rPr>
          <w:b/>
          <w:bCs/>
          <w:sz w:val="22"/>
          <w:szCs w:val="22"/>
        </w:rPr>
        <w:br w:type="page"/>
      </w:r>
    </w:p>
    <w:p w14:paraId="2D029717" w14:textId="312B927D" w:rsidR="00FA471F" w:rsidRPr="00EA3A1C" w:rsidRDefault="4DD75D73" w:rsidP="00EA3A1C">
      <w:pPr>
        <w:pStyle w:val="Heading1"/>
        <w:rPr>
          <w:b/>
          <w:bCs/>
        </w:rPr>
      </w:pPr>
      <w:r w:rsidRPr="00EA3A1C">
        <w:rPr>
          <w:b/>
          <w:bCs/>
        </w:rPr>
        <w:lastRenderedPageBreak/>
        <w:t>References</w:t>
      </w:r>
    </w:p>
    <w:p w14:paraId="2F0DA754" w14:textId="5684646A" w:rsidR="00D00F9A" w:rsidRPr="00D00F9A" w:rsidRDefault="4DD75D73" w:rsidP="00D00F9A">
      <w:pPr>
        <w:spacing w:line="480" w:lineRule="auto"/>
        <w:ind w:left="567" w:hanging="567"/>
        <w:rPr>
          <w:color w:val="000000" w:themeColor="text1"/>
          <w:sz w:val="22"/>
          <w:szCs w:val="22"/>
        </w:rPr>
      </w:pPr>
      <w:r w:rsidRPr="00EB0558">
        <w:rPr>
          <w:color w:val="000000" w:themeColor="text1"/>
          <w:sz w:val="22"/>
          <w:szCs w:val="22"/>
        </w:rPr>
        <w:t xml:space="preserve">Baker, F. A., Bloska, J., </w:t>
      </w:r>
      <w:r w:rsidRPr="00EB0558">
        <w:rPr>
          <w:sz w:val="22"/>
          <w:szCs w:val="22"/>
        </w:rPr>
        <w:t xml:space="preserve">Stensæth, K., Wosch, T., Bukowska, A., </w:t>
      </w:r>
      <w:r w:rsidRPr="00EB0558">
        <w:rPr>
          <w:color w:val="000000" w:themeColor="text1"/>
          <w:sz w:val="22"/>
          <w:szCs w:val="22"/>
        </w:rPr>
        <w:t xml:space="preserve">Braat, S., Sousa, T., Tamplin, J., Clark, I. N., Lee, Y-E. C., Clarke, P., Lautenschlager, N., Odell-Miller, H. (2019). HOMESIDE: A home-based family caregiver-delivered music intervention for people living with dementia: Protocol of a randomised controlled trial. </w:t>
      </w:r>
      <w:r w:rsidRPr="00EB0558">
        <w:rPr>
          <w:i/>
          <w:iCs/>
          <w:color w:val="000000" w:themeColor="text1"/>
          <w:sz w:val="22"/>
          <w:szCs w:val="22"/>
        </w:rPr>
        <w:t>British Medical Journal Open.</w:t>
      </w:r>
      <w:r w:rsidRPr="00EB0558">
        <w:rPr>
          <w:sz w:val="22"/>
          <w:szCs w:val="22"/>
        </w:rPr>
        <w:t xml:space="preserve"> doi.org/10.1136/bmjopen-2019-031332</w:t>
      </w:r>
    </w:p>
    <w:p w14:paraId="17422E71" w14:textId="07AA65BD" w:rsidR="161157E8" w:rsidRPr="00EB0558" w:rsidRDefault="4DD75D73" w:rsidP="161157E8">
      <w:pPr>
        <w:spacing w:line="480" w:lineRule="auto"/>
        <w:ind w:left="567" w:hanging="567"/>
        <w:rPr>
          <w:color w:val="000000" w:themeColor="text1"/>
          <w:sz w:val="22"/>
          <w:szCs w:val="22"/>
        </w:rPr>
      </w:pPr>
      <w:r w:rsidRPr="00EB0558">
        <w:rPr>
          <w:color w:val="000000" w:themeColor="text1"/>
          <w:sz w:val="22"/>
          <w:szCs w:val="22"/>
          <w:lang w:val="sv-SE"/>
        </w:rPr>
        <w:t xml:space="preserve">Baker, F. A.,  Grocke, D., &amp;  Pachana, N. A. (2012). </w:t>
      </w:r>
      <w:r w:rsidRPr="00EB0558">
        <w:rPr>
          <w:color w:val="000000" w:themeColor="text1"/>
          <w:sz w:val="22"/>
          <w:szCs w:val="22"/>
        </w:rPr>
        <w:t xml:space="preserve">Connecting through music: A study of a spousal caregiver-directed music intervention designed to prolong fulfilling relationships in couples where one person has dementia. </w:t>
      </w:r>
      <w:r w:rsidRPr="00EB0558">
        <w:rPr>
          <w:i/>
          <w:iCs/>
          <w:color w:val="000000" w:themeColor="text1"/>
          <w:sz w:val="22"/>
          <w:szCs w:val="22"/>
        </w:rPr>
        <w:t>Australian Journal of Music Therapy, 23</w:t>
      </w:r>
      <w:r w:rsidRPr="00EB0558">
        <w:rPr>
          <w:color w:val="000000" w:themeColor="text1"/>
          <w:sz w:val="22"/>
          <w:szCs w:val="22"/>
        </w:rPr>
        <w:t xml:space="preserve">, Apr-19. </w:t>
      </w:r>
    </w:p>
    <w:p w14:paraId="6B6BC723" w14:textId="0A1838D3" w:rsidR="4DD75D73" w:rsidRDefault="2039F9E8" w:rsidP="4DD75D73">
      <w:pPr>
        <w:spacing w:line="480" w:lineRule="auto"/>
        <w:ind w:left="567" w:hanging="567"/>
        <w:rPr>
          <w:color w:val="000000" w:themeColor="text1"/>
          <w:sz w:val="22"/>
          <w:szCs w:val="22"/>
        </w:rPr>
      </w:pPr>
      <w:r w:rsidRPr="00EB0558">
        <w:rPr>
          <w:color w:val="000000" w:themeColor="text1"/>
          <w:sz w:val="22"/>
          <w:szCs w:val="22"/>
        </w:rPr>
        <w:t xml:space="preserve">Baker, F. A., Stretton-Smith, P., Clark, I. N., Tamplin, J., &amp; Lee, Y-E. C. (2018). A group therapeutic songwriting intervention for family caregivers of people living with dementia: A feasibility study with thematic analysis. </w:t>
      </w:r>
      <w:r w:rsidRPr="00EB0558">
        <w:rPr>
          <w:i/>
          <w:iCs/>
          <w:color w:val="000000" w:themeColor="text1"/>
          <w:sz w:val="22"/>
          <w:szCs w:val="22"/>
        </w:rPr>
        <w:t>Frontiers in Medicine, 5</w:t>
      </w:r>
      <w:r w:rsidRPr="00EB0558">
        <w:rPr>
          <w:color w:val="000000" w:themeColor="text1"/>
          <w:sz w:val="22"/>
          <w:szCs w:val="22"/>
        </w:rPr>
        <w:t>, 151.</w:t>
      </w:r>
    </w:p>
    <w:p w14:paraId="5E48A781" w14:textId="2B7CF142" w:rsidR="00D00F9A" w:rsidRPr="00EA3A1C" w:rsidRDefault="00D00F9A" w:rsidP="00EA3A1C">
      <w:pPr>
        <w:spacing w:line="480" w:lineRule="auto"/>
        <w:ind w:left="567" w:hanging="567"/>
        <w:contextualSpacing/>
        <w:rPr>
          <w:sz w:val="21"/>
          <w:szCs w:val="21"/>
        </w:rPr>
      </w:pPr>
      <w:r w:rsidRPr="00D00F9A">
        <w:rPr>
          <w:sz w:val="21"/>
          <w:szCs w:val="21"/>
        </w:rPr>
        <w:t xml:space="preserve">Baker, F.A., Stretton-Smith, P., Sousa, T.A., Clark, I. Cotton, A., Gold, C., Lee, Y-E C. (2020). Process and Resource Assessment in Trials Undertaken in Residential Care Homes: Experiences from the Australian MIDDEL Research team. </w:t>
      </w:r>
      <w:r w:rsidRPr="00D00F9A">
        <w:rPr>
          <w:i/>
          <w:iCs/>
          <w:sz w:val="21"/>
          <w:szCs w:val="21"/>
        </w:rPr>
        <w:t>Contemporary Clinical Trials Communication. doi: https://doi.org/10.1016/j.conctc.2020.100675</w:t>
      </w:r>
    </w:p>
    <w:p w14:paraId="4EAADD81" w14:textId="52B354BA" w:rsidR="2039F9E8" w:rsidRPr="00EB0558" w:rsidRDefault="32B80D9F" w:rsidP="32B80D9F">
      <w:pPr>
        <w:spacing w:line="480" w:lineRule="auto"/>
        <w:rPr>
          <w:sz w:val="22"/>
          <w:szCs w:val="22"/>
        </w:rPr>
      </w:pPr>
      <w:r w:rsidRPr="00EB0558">
        <w:rPr>
          <w:color w:val="000000" w:themeColor="text1"/>
          <w:sz w:val="22"/>
          <w:szCs w:val="22"/>
        </w:rPr>
        <w:t xml:space="preserve">Bartlett, R., Milne, R. &amp; Croucher, R. (2019). Strategies to improve recruitment of people with dementia to research studies. </w:t>
      </w:r>
      <w:r w:rsidRPr="00EB0558">
        <w:rPr>
          <w:i/>
          <w:iCs/>
          <w:color w:val="000000" w:themeColor="text1"/>
          <w:sz w:val="22"/>
          <w:szCs w:val="22"/>
        </w:rPr>
        <w:t>Dementia, 18</w:t>
      </w:r>
      <w:r w:rsidRPr="00EB0558">
        <w:rPr>
          <w:color w:val="000000" w:themeColor="text1"/>
          <w:sz w:val="22"/>
          <w:szCs w:val="22"/>
        </w:rPr>
        <w:t xml:space="preserve">(7-8), 2494-2504. </w:t>
      </w:r>
      <w:r w:rsidRPr="00EB0558">
        <w:rPr>
          <w:sz w:val="22"/>
          <w:szCs w:val="22"/>
        </w:rPr>
        <w:t>DOI: 10.1177/1471301217748503</w:t>
      </w:r>
    </w:p>
    <w:p w14:paraId="2AEC37C0" w14:textId="6B3EF320" w:rsidR="002D2834" w:rsidRPr="00EB0558" w:rsidRDefault="4DD75D73" w:rsidP="161157E8">
      <w:pPr>
        <w:adjustRightInd w:val="0"/>
        <w:spacing w:line="480" w:lineRule="auto"/>
        <w:ind w:left="567" w:hanging="567"/>
        <w:rPr>
          <w:rFonts w:eastAsiaTheme="minorEastAsia"/>
          <w:sz w:val="22"/>
          <w:szCs w:val="22"/>
          <w:lang w:val="en-GB"/>
        </w:rPr>
      </w:pPr>
      <w:r w:rsidRPr="00EB0558">
        <w:rPr>
          <w:rFonts w:eastAsiaTheme="minorEastAsia"/>
          <w:sz w:val="22"/>
          <w:szCs w:val="22"/>
          <w:lang w:val="en-GB"/>
        </w:rPr>
        <w:t xml:space="preserve">Barton, S. (2000). Which clinical studies provide the best evidence? The best RCT still trumps the best observational study. </w:t>
      </w:r>
      <w:r w:rsidRPr="00EB0558">
        <w:rPr>
          <w:rFonts w:eastAsiaTheme="minorEastAsia"/>
          <w:i/>
          <w:iCs/>
          <w:sz w:val="22"/>
          <w:szCs w:val="22"/>
          <w:lang w:val="en-GB"/>
        </w:rPr>
        <w:t>BMJ 321:</w:t>
      </w:r>
      <w:r w:rsidRPr="00EB0558">
        <w:rPr>
          <w:rFonts w:eastAsiaTheme="minorEastAsia"/>
          <w:sz w:val="22"/>
          <w:szCs w:val="22"/>
          <w:lang w:val="en-GB"/>
        </w:rPr>
        <w:t xml:space="preserve"> 255–256.</w:t>
      </w:r>
    </w:p>
    <w:p w14:paraId="4A6A16D9" w14:textId="4411F286" w:rsidR="161157E8" w:rsidRPr="00EB0558" w:rsidRDefault="4161E447" w:rsidP="161157E8">
      <w:pPr>
        <w:spacing w:line="480" w:lineRule="auto"/>
        <w:ind w:left="567" w:hanging="567"/>
        <w:rPr>
          <w:color w:val="000000" w:themeColor="text1"/>
          <w:sz w:val="22"/>
          <w:szCs w:val="22"/>
        </w:rPr>
      </w:pPr>
      <w:r w:rsidRPr="00EB0558">
        <w:rPr>
          <w:color w:val="000000" w:themeColor="text1"/>
          <w:sz w:val="22"/>
          <w:szCs w:val="22"/>
          <w:lang w:val="de-DE"/>
        </w:rPr>
        <w:t xml:space="preserve">Berger, G., Bernhardt, T., Schramm, U., Muller, R., Landsiedel-Anders, S., Peters, J., Kratzsch, T., &amp; Frolich, L. (2004). </w:t>
      </w:r>
      <w:r w:rsidRPr="00EB0558">
        <w:rPr>
          <w:color w:val="000000" w:themeColor="text1"/>
          <w:sz w:val="22"/>
          <w:szCs w:val="22"/>
        </w:rPr>
        <w:t xml:space="preserve">No effects of a combination of caregivers support group and memory training/music therapy in dementia patients from a memory clinic population. </w:t>
      </w:r>
      <w:r w:rsidRPr="00EB0558">
        <w:rPr>
          <w:i/>
          <w:iCs/>
          <w:color w:val="000000" w:themeColor="text1"/>
          <w:sz w:val="22"/>
          <w:szCs w:val="22"/>
        </w:rPr>
        <w:t>International Journal of Geriatric Psychiatry, 19</w:t>
      </w:r>
      <w:r w:rsidRPr="00EB0558">
        <w:rPr>
          <w:color w:val="000000" w:themeColor="text1"/>
          <w:sz w:val="22"/>
          <w:szCs w:val="22"/>
        </w:rPr>
        <w:t>(3), 223-231.</w:t>
      </w:r>
    </w:p>
    <w:p w14:paraId="58966AE0" w14:textId="58A6A987" w:rsidR="00C9081D" w:rsidRPr="00EB0558" w:rsidRDefault="2039F9E8" w:rsidP="00C9081D">
      <w:pPr>
        <w:spacing w:line="480" w:lineRule="auto"/>
        <w:ind w:left="567" w:hanging="567"/>
        <w:rPr>
          <w:sz w:val="22"/>
          <w:szCs w:val="22"/>
        </w:rPr>
      </w:pPr>
      <w:r w:rsidRPr="00EB0558">
        <w:rPr>
          <w:color w:val="333333"/>
          <w:sz w:val="22"/>
          <w:szCs w:val="22"/>
        </w:rPr>
        <w:t>Bruer, R. A., Spitznagel, E., &amp; Cloninger, C. R. (2007).</w:t>
      </w:r>
      <w:r w:rsidRPr="00EB0558">
        <w:rPr>
          <w:sz w:val="22"/>
          <w:szCs w:val="22"/>
        </w:rPr>
        <w:t xml:space="preserve"> </w:t>
      </w:r>
      <w:r w:rsidRPr="00EB0558">
        <w:rPr>
          <w:color w:val="333333"/>
          <w:sz w:val="22"/>
          <w:szCs w:val="22"/>
        </w:rPr>
        <w:t>The temporal limits of cognitive change from music therapy in elderly persons with dementia or dementia-like cognitive impairment: A</w:t>
      </w:r>
      <w:r w:rsidRPr="00EB0558">
        <w:rPr>
          <w:sz w:val="22"/>
          <w:szCs w:val="22"/>
        </w:rPr>
        <w:t> </w:t>
      </w:r>
      <w:r w:rsidRPr="00EB0558">
        <w:rPr>
          <w:color w:val="333333"/>
          <w:sz w:val="22"/>
          <w:szCs w:val="22"/>
        </w:rPr>
        <w:t xml:space="preserve">randomized controlled trial. </w:t>
      </w:r>
      <w:r w:rsidRPr="00EB0558">
        <w:rPr>
          <w:i/>
          <w:iCs/>
          <w:color w:val="333333"/>
          <w:sz w:val="22"/>
          <w:szCs w:val="22"/>
        </w:rPr>
        <w:t>Journal of Music Therapy, 44</w:t>
      </w:r>
      <w:r w:rsidRPr="00EB0558">
        <w:rPr>
          <w:color w:val="333333"/>
          <w:sz w:val="22"/>
          <w:szCs w:val="22"/>
        </w:rPr>
        <w:t>(4), 308-328.</w:t>
      </w:r>
    </w:p>
    <w:p w14:paraId="19FF24B2" w14:textId="70F8DD1B" w:rsidR="00C9081D" w:rsidRPr="00EB0558" w:rsidRDefault="2039F9E8" w:rsidP="00C9081D">
      <w:pPr>
        <w:spacing w:line="480" w:lineRule="auto"/>
        <w:ind w:left="567" w:hanging="567"/>
        <w:rPr>
          <w:sz w:val="22"/>
          <w:szCs w:val="22"/>
          <w:lang w:val="es-ES"/>
        </w:rPr>
      </w:pPr>
      <w:r w:rsidRPr="00EB0558">
        <w:rPr>
          <w:color w:val="333333"/>
          <w:sz w:val="22"/>
          <w:szCs w:val="22"/>
        </w:rPr>
        <w:lastRenderedPageBreak/>
        <w:t>Caldwell, P. H. Y., Hamilton, S., Tan, A., &amp; Craig, J. C. (2010). Strategies for increasing recruitment to randomised controlled trials: Systematic review. </w:t>
      </w:r>
      <w:r w:rsidRPr="00EB0558">
        <w:rPr>
          <w:i/>
          <w:iCs/>
          <w:color w:val="333333"/>
          <w:sz w:val="22"/>
          <w:szCs w:val="22"/>
          <w:lang w:val="es-ES"/>
        </w:rPr>
        <w:t>PLoS Medicine, 7</w:t>
      </w:r>
      <w:r w:rsidRPr="00EB0558">
        <w:rPr>
          <w:color w:val="333333"/>
          <w:sz w:val="22"/>
          <w:szCs w:val="22"/>
          <w:lang w:val="es-ES"/>
        </w:rPr>
        <w:t>(11), 1–16. https://doi.org/10.1371/journal.pmed.1000368</w:t>
      </w:r>
    </w:p>
    <w:p w14:paraId="0872E79E" w14:textId="3C47FEE4" w:rsidR="161157E8" w:rsidRPr="00EB0558" w:rsidRDefault="2039F9E8" w:rsidP="161157E8">
      <w:pPr>
        <w:spacing w:line="480" w:lineRule="auto"/>
        <w:ind w:left="567" w:hanging="567"/>
        <w:rPr>
          <w:sz w:val="22"/>
          <w:szCs w:val="22"/>
        </w:rPr>
      </w:pPr>
      <w:r w:rsidRPr="00EB0558">
        <w:rPr>
          <w:color w:val="333333"/>
          <w:sz w:val="22"/>
          <w:szCs w:val="22"/>
          <w:lang w:val="es-ES"/>
        </w:rPr>
        <w:t xml:space="preserve">Cashin, A. G., &amp; McAuley, J. H. (2020). </w:t>
      </w:r>
      <w:r w:rsidRPr="00EB0558">
        <w:rPr>
          <w:color w:val="333333"/>
          <w:sz w:val="22"/>
          <w:szCs w:val="22"/>
          <w:lang w:val="it-IT"/>
        </w:rPr>
        <w:t>Clinimetrics: Physiotherapy Evidence Database (PEDro) Scale. </w:t>
      </w:r>
      <w:r w:rsidRPr="00EB0558">
        <w:rPr>
          <w:i/>
          <w:iCs/>
          <w:color w:val="333333"/>
          <w:sz w:val="22"/>
          <w:szCs w:val="22"/>
        </w:rPr>
        <w:t>Journal of Physiotherapy</w:t>
      </w:r>
      <w:r w:rsidRPr="00EB0558">
        <w:rPr>
          <w:color w:val="333333"/>
          <w:sz w:val="22"/>
          <w:szCs w:val="22"/>
        </w:rPr>
        <w:t>, </w:t>
      </w:r>
      <w:r w:rsidRPr="00EB0558">
        <w:rPr>
          <w:i/>
          <w:iCs/>
          <w:color w:val="333333"/>
          <w:sz w:val="22"/>
          <w:szCs w:val="22"/>
        </w:rPr>
        <w:t>66</w:t>
      </w:r>
      <w:r w:rsidRPr="00EB0558">
        <w:rPr>
          <w:color w:val="333333"/>
          <w:sz w:val="22"/>
          <w:szCs w:val="22"/>
        </w:rPr>
        <w:t xml:space="preserve">(1), 59. </w:t>
      </w:r>
      <w:hyperlink r:id="rId8">
        <w:r w:rsidRPr="00EB0558">
          <w:rPr>
            <w:rStyle w:val="Hyperlink"/>
            <w:color w:val="333333"/>
            <w:sz w:val="22"/>
            <w:szCs w:val="22"/>
          </w:rPr>
          <w:t>https://doi.org/10.1016/j.jphys.2019.08.005</w:t>
        </w:r>
      </w:hyperlink>
    </w:p>
    <w:p w14:paraId="330124D2" w14:textId="7EFE1520"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 xml:space="preserve">Choi, A-N., Lee, M. S., Cheong, K-J., &amp; Lee, J-S. (2009). Effects of group music intervention on behavioral and psychological symptoms in patients with dementia: A pilot-controlled trial. </w:t>
      </w:r>
      <w:r w:rsidRPr="00EB0558">
        <w:rPr>
          <w:i/>
          <w:iCs/>
          <w:color w:val="000000" w:themeColor="text1"/>
          <w:sz w:val="22"/>
          <w:szCs w:val="22"/>
        </w:rPr>
        <w:t>The International Journal of Neuroscience, 119</w:t>
      </w:r>
      <w:r w:rsidRPr="00EB0558">
        <w:rPr>
          <w:color w:val="000000" w:themeColor="text1"/>
          <w:sz w:val="22"/>
          <w:szCs w:val="22"/>
        </w:rPr>
        <w:t>(4), 471-481.</w:t>
      </w:r>
    </w:p>
    <w:p w14:paraId="2FBB8E0B" w14:textId="412DA10A"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 xml:space="preserve">Chu, H., Yang, C-Y., Lin, Y., Ou, K-L., Lee, T-Y., O'Brien, A. P., &amp; Chou, K-R. (2014). The impact of group music therapy on depression and cognition in elderly persons with dementia: a randomized controlled study. </w:t>
      </w:r>
      <w:r w:rsidRPr="00EB0558">
        <w:rPr>
          <w:i/>
          <w:iCs/>
          <w:color w:val="000000" w:themeColor="text1"/>
          <w:sz w:val="22"/>
          <w:szCs w:val="22"/>
        </w:rPr>
        <w:t>Biological Research for Nursing, 16</w:t>
      </w:r>
      <w:r w:rsidRPr="00EB0558">
        <w:rPr>
          <w:color w:val="000000" w:themeColor="text1"/>
          <w:sz w:val="22"/>
          <w:szCs w:val="22"/>
        </w:rPr>
        <w:t>(2), 209-217.</w:t>
      </w:r>
    </w:p>
    <w:p w14:paraId="2A5BA478" w14:textId="6651CE7C"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 xml:space="preserve">Clair A. A. (2002). The effects of music therapy on engagement in family caregiver and care receiver couples with dementia. </w:t>
      </w:r>
      <w:r w:rsidRPr="00EB0558">
        <w:rPr>
          <w:i/>
          <w:iCs/>
          <w:color w:val="000000" w:themeColor="text1"/>
          <w:sz w:val="22"/>
          <w:szCs w:val="22"/>
        </w:rPr>
        <w:t>American Journal of Alzheimer's Disease and other Dementias, 17</w:t>
      </w:r>
      <w:r w:rsidRPr="00EB0558">
        <w:rPr>
          <w:color w:val="000000" w:themeColor="text1"/>
          <w:sz w:val="22"/>
          <w:szCs w:val="22"/>
        </w:rPr>
        <w:t>(5), 286-290.</w:t>
      </w:r>
    </w:p>
    <w:p w14:paraId="2D6399F8" w14:textId="563EB421"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 xml:space="preserve">Clair, A. A., Mathews, R. M., &amp; Kosloski, K. (2005). Assessment of active music participation as an indication of subsequent music making engagement for persons with midstage dementia. </w:t>
      </w:r>
      <w:r w:rsidRPr="00EB0558">
        <w:rPr>
          <w:i/>
          <w:iCs/>
          <w:color w:val="000000" w:themeColor="text1"/>
          <w:sz w:val="22"/>
          <w:szCs w:val="22"/>
        </w:rPr>
        <w:t>American Journal of Alzheimer's Disease and Other Dementias, 20</w:t>
      </w:r>
      <w:r w:rsidRPr="00EB0558">
        <w:rPr>
          <w:color w:val="000000" w:themeColor="text1"/>
          <w:sz w:val="22"/>
          <w:szCs w:val="22"/>
        </w:rPr>
        <w:t>(1), 37-40.</w:t>
      </w:r>
    </w:p>
    <w:p w14:paraId="720E89D6" w14:textId="21D96D7E" w:rsidR="161157E8" w:rsidRPr="000348AD" w:rsidRDefault="4DD75D73" w:rsidP="161157E8">
      <w:pPr>
        <w:spacing w:line="480" w:lineRule="auto"/>
        <w:ind w:left="567" w:hanging="567"/>
        <w:rPr>
          <w:color w:val="000000" w:themeColor="text1"/>
          <w:sz w:val="22"/>
          <w:szCs w:val="22"/>
        </w:rPr>
      </w:pPr>
      <w:r w:rsidRPr="000348AD">
        <w:rPr>
          <w:color w:val="000000" w:themeColor="text1"/>
          <w:sz w:val="22"/>
          <w:szCs w:val="22"/>
        </w:rPr>
        <w:t xml:space="preserve">Clements-Cortes, A. </w:t>
      </w:r>
      <w:r w:rsidR="00FD3016" w:rsidRPr="000348AD">
        <w:rPr>
          <w:color w:val="000000" w:themeColor="text1"/>
          <w:sz w:val="22"/>
          <w:szCs w:val="22"/>
        </w:rPr>
        <w:t xml:space="preserve">A. </w:t>
      </w:r>
      <w:r w:rsidRPr="000348AD">
        <w:rPr>
          <w:color w:val="000000" w:themeColor="text1"/>
          <w:sz w:val="22"/>
          <w:szCs w:val="22"/>
        </w:rPr>
        <w:t xml:space="preserve">(2013). Buddy's Glee Club: Singing for </w:t>
      </w:r>
      <w:r w:rsidR="00D139AF" w:rsidRPr="000348AD">
        <w:rPr>
          <w:color w:val="000000" w:themeColor="text1"/>
          <w:sz w:val="22"/>
          <w:szCs w:val="22"/>
        </w:rPr>
        <w:t>l</w:t>
      </w:r>
      <w:r w:rsidRPr="000348AD">
        <w:rPr>
          <w:color w:val="000000" w:themeColor="text1"/>
          <w:sz w:val="22"/>
          <w:szCs w:val="22"/>
        </w:rPr>
        <w:t xml:space="preserve">ife. </w:t>
      </w:r>
      <w:r w:rsidRPr="000348AD">
        <w:rPr>
          <w:i/>
          <w:iCs/>
          <w:color w:val="000000" w:themeColor="text1"/>
          <w:sz w:val="22"/>
          <w:szCs w:val="22"/>
        </w:rPr>
        <w:t>Activities, Adaptation &amp; Aging, 37</w:t>
      </w:r>
      <w:r w:rsidRPr="000348AD">
        <w:rPr>
          <w:color w:val="000000" w:themeColor="text1"/>
          <w:sz w:val="22"/>
          <w:szCs w:val="22"/>
        </w:rPr>
        <w:t>(4), 273 – 290.</w:t>
      </w:r>
    </w:p>
    <w:p w14:paraId="7C56FE39" w14:textId="77777777" w:rsidR="00FD3016" w:rsidRPr="000F0BF3" w:rsidRDefault="00FD3016" w:rsidP="00FD3016">
      <w:pPr>
        <w:spacing w:line="480" w:lineRule="auto"/>
        <w:ind w:left="567" w:hanging="567"/>
        <w:rPr>
          <w:color w:val="000000" w:themeColor="text1"/>
          <w:sz w:val="22"/>
          <w:szCs w:val="22"/>
          <w:lang w:val="it-IT"/>
        </w:rPr>
      </w:pPr>
      <w:r w:rsidRPr="000348AD">
        <w:rPr>
          <w:color w:val="000000" w:themeColor="text1"/>
          <w:sz w:val="22"/>
          <w:szCs w:val="22"/>
        </w:rPr>
        <w:t xml:space="preserve">Clements-Cortes, A. (2015). Singing for health, connection and care. </w:t>
      </w:r>
      <w:r w:rsidRPr="000348AD">
        <w:rPr>
          <w:i/>
          <w:iCs/>
          <w:color w:val="000000" w:themeColor="text1"/>
          <w:sz w:val="22"/>
          <w:szCs w:val="22"/>
          <w:lang w:val="it-IT"/>
        </w:rPr>
        <w:t>Music and Medicine, 7</w:t>
      </w:r>
      <w:r w:rsidRPr="000348AD">
        <w:rPr>
          <w:color w:val="000000" w:themeColor="text1"/>
          <w:sz w:val="22"/>
          <w:szCs w:val="22"/>
          <w:lang w:val="it-IT"/>
        </w:rPr>
        <w:t>(4), 13-23.</w:t>
      </w:r>
    </w:p>
    <w:p w14:paraId="7A3636D4" w14:textId="5861D762" w:rsidR="4DD75D73" w:rsidRPr="00EB0558" w:rsidRDefault="4DD75D73" w:rsidP="4DD75D73">
      <w:pPr>
        <w:spacing w:line="480" w:lineRule="auto"/>
        <w:ind w:left="567" w:hanging="567"/>
        <w:rPr>
          <w:color w:val="000000" w:themeColor="text1"/>
          <w:sz w:val="22"/>
          <w:szCs w:val="22"/>
        </w:rPr>
      </w:pPr>
      <w:r w:rsidRPr="00FD3016">
        <w:rPr>
          <w:color w:val="000000" w:themeColor="text1"/>
          <w:sz w:val="22"/>
          <w:szCs w:val="22"/>
          <w:lang w:val="it-IT"/>
        </w:rPr>
        <w:t xml:space="preserve">de la Rubia Orti, J. E., Garcia-Pardo, M. P., Iranzo, C. C., Ceron Madrigal, J. J., Castillo, S. S., Rochina, M. J., &amp; Prado Gasco, V. (2018). </w:t>
      </w:r>
      <w:r w:rsidRPr="00EB0558">
        <w:rPr>
          <w:color w:val="000000" w:themeColor="text1"/>
          <w:sz w:val="22"/>
          <w:szCs w:val="22"/>
        </w:rPr>
        <w:t xml:space="preserve">Does music therapy improve anxiety and depression in Alzheimer's patients? </w:t>
      </w:r>
      <w:r w:rsidRPr="00EB0558">
        <w:rPr>
          <w:i/>
          <w:iCs/>
          <w:color w:val="000000" w:themeColor="text1"/>
          <w:sz w:val="22"/>
          <w:szCs w:val="22"/>
        </w:rPr>
        <w:t>The Journal of Alternative and Complementary Medicine, 24</w:t>
      </w:r>
      <w:r w:rsidRPr="00EB0558">
        <w:rPr>
          <w:color w:val="000000" w:themeColor="text1"/>
          <w:sz w:val="22"/>
          <w:szCs w:val="22"/>
        </w:rPr>
        <w:t>(1), 33-36.</w:t>
      </w:r>
    </w:p>
    <w:p w14:paraId="326B2E29" w14:textId="10244CC0" w:rsidR="00816179" w:rsidRPr="00EB0558" w:rsidRDefault="4DD75D73" w:rsidP="4DD75D73">
      <w:pPr>
        <w:adjustRightInd w:val="0"/>
        <w:spacing w:line="480" w:lineRule="auto"/>
        <w:ind w:left="567" w:hanging="567"/>
        <w:rPr>
          <w:rFonts w:eastAsiaTheme="minorEastAsia"/>
          <w:sz w:val="22"/>
          <w:szCs w:val="22"/>
          <w:lang w:val="en-GB"/>
        </w:rPr>
      </w:pPr>
      <w:r w:rsidRPr="00EB0558">
        <w:rPr>
          <w:rFonts w:eastAsiaTheme="minorEastAsia"/>
          <w:sz w:val="22"/>
          <w:szCs w:val="22"/>
          <w:lang w:val="en-GB"/>
        </w:rPr>
        <w:t xml:space="preserve">Duckham, R. L., Tait, J. L., Nowson, C. A., Sanders, K. M., Taaffe, D. R., Hill, K. D., &amp; Daly, R. M. (2018). Strategies and challenges associated with recruiting retirement village communities and </w:t>
      </w:r>
      <w:r w:rsidRPr="00EB0558">
        <w:rPr>
          <w:rFonts w:eastAsiaTheme="minorEastAsia"/>
          <w:sz w:val="22"/>
          <w:szCs w:val="22"/>
          <w:lang w:val="en-GB"/>
        </w:rPr>
        <w:lastRenderedPageBreak/>
        <w:t xml:space="preserve">residents into a group exercise intervention. </w:t>
      </w:r>
      <w:r w:rsidRPr="00EB0558">
        <w:rPr>
          <w:rFonts w:eastAsiaTheme="minorEastAsia"/>
          <w:i/>
          <w:iCs/>
          <w:sz w:val="22"/>
          <w:szCs w:val="22"/>
          <w:lang w:val="en-GB"/>
        </w:rPr>
        <w:t>BMC Medical Research Methodology, 18</w:t>
      </w:r>
      <w:r w:rsidRPr="00EB0558">
        <w:rPr>
          <w:rFonts w:eastAsiaTheme="minorEastAsia"/>
          <w:sz w:val="22"/>
          <w:szCs w:val="22"/>
          <w:lang w:val="en-GB"/>
        </w:rPr>
        <w:t xml:space="preserve">(173) </w:t>
      </w:r>
      <w:hyperlink r:id="rId9">
        <w:r w:rsidRPr="00EB0558">
          <w:rPr>
            <w:rStyle w:val="Hyperlink"/>
            <w:rFonts w:eastAsiaTheme="minorEastAsia"/>
            <w:sz w:val="22"/>
            <w:szCs w:val="22"/>
            <w:lang w:val="en-GB"/>
          </w:rPr>
          <w:t>https://doi.org/10.1186/s12874-018-0633-4</w:t>
        </w:r>
      </w:hyperlink>
      <w:r w:rsidRPr="00EB0558">
        <w:rPr>
          <w:rFonts w:eastAsiaTheme="minorEastAsia"/>
          <w:color w:val="131413"/>
          <w:sz w:val="22"/>
          <w:szCs w:val="22"/>
          <w:lang w:val="en-GB"/>
        </w:rPr>
        <w:t xml:space="preserve">   </w:t>
      </w:r>
    </w:p>
    <w:p w14:paraId="70E1F316" w14:textId="59004175" w:rsidR="002B387B" w:rsidRPr="00EB0558" w:rsidRDefault="4DD75D73" w:rsidP="4DD75D73">
      <w:pPr>
        <w:adjustRightInd w:val="0"/>
        <w:spacing w:line="480" w:lineRule="auto"/>
        <w:ind w:left="567" w:hanging="567"/>
        <w:rPr>
          <w:rFonts w:eastAsiaTheme="minorEastAsia"/>
          <w:sz w:val="22"/>
          <w:szCs w:val="22"/>
          <w:lang w:val="en-GB"/>
        </w:rPr>
      </w:pPr>
      <w:r w:rsidRPr="00EB0558">
        <w:rPr>
          <w:rFonts w:eastAsiaTheme="minorEastAsia"/>
          <w:sz w:val="22"/>
          <w:szCs w:val="22"/>
          <w:lang w:val="en-GB"/>
        </w:rPr>
        <w:t xml:space="preserve">Easterbrook, P. J., &amp; Matthews, D. R. (1992). Fate of research studies. </w:t>
      </w:r>
      <w:r w:rsidRPr="00EB0558">
        <w:rPr>
          <w:rFonts w:eastAsiaTheme="minorEastAsia"/>
          <w:i/>
          <w:iCs/>
          <w:sz w:val="22"/>
          <w:szCs w:val="22"/>
          <w:lang w:val="en-GB"/>
        </w:rPr>
        <w:t>Journal of the Royal Society of Medicine, 8</w:t>
      </w:r>
      <w:r w:rsidRPr="00EB0558">
        <w:rPr>
          <w:rFonts w:eastAsiaTheme="minorEastAsia"/>
          <w:sz w:val="22"/>
          <w:szCs w:val="22"/>
          <w:lang w:val="en-GB"/>
        </w:rPr>
        <w:t>, 71–76.</w:t>
      </w:r>
    </w:p>
    <w:p w14:paraId="41B8F9F5" w14:textId="0177E05C" w:rsidR="161157E8" w:rsidRPr="00EB0558" w:rsidRDefault="4DD75D73" w:rsidP="4DD75D73">
      <w:pPr>
        <w:spacing w:line="480" w:lineRule="auto"/>
        <w:ind w:left="567" w:hanging="567"/>
        <w:rPr>
          <w:rFonts w:eastAsiaTheme="minorEastAsia"/>
          <w:sz w:val="22"/>
          <w:szCs w:val="22"/>
          <w:lang w:val="en-GB"/>
        </w:rPr>
      </w:pPr>
      <w:r w:rsidRPr="00EB0558">
        <w:rPr>
          <w:rFonts w:eastAsiaTheme="minorEastAsia"/>
          <w:sz w:val="22"/>
          <w:szCs w:val="22"/>
          <w:lang w:val="en-GB"/>
        </w:rPr>
        <w:t xml:space="preserve">Friedman, D. B., Foster, C., Bergeron, C. D., Tanner, A., &amp; Kim, S-H. (2015). Clinical trial recruitment barriers: A qualitative study of recruitment barriers, motivators, and community-based strategies for increasing clinical trials participation among rural and urban populations. </w:t>
      </w:r>
      <w:r w:rsidRPr="00EB0558">
        <w:rPr>
          <w:rFonts w:eastAsiaTheme="minorEastAsia"/>
          <w:i/>
          <w:iCs/>
          <w:sz w:val="22"/>
          <w:szCs w:val="22"/>
          <w:lang w:val="en-GB"/>
        </w:rPr>
        <w:t>American Journal of Health Promotion, 29</w:t>
      </w:r>
      <w:r w:rsidRPr="00EB0558">
        <w:rPr>
          <w:rFonts w:eastAsiaTheme="minorEastAsia"/>
          <w:sz w:val="22"/>
          <w:szCs w:val="22"/>
          <w:lang w:val="en-GB"/>
        </w:rPr>
        <w:t>(5), 332-338.</w:t>
      </w:r>
    </w:p>
    <w:p w14:paraId="3D2F09C1" w14:textId="41EF56C0" w:rsidR="161157E8" w:rsidRPr="00EB0558" w:rsidRDefault="4DD75D73" w:rsidP="4DD75D73">
      <w:pPr>
        <w:spacing w:line="480" w:lineRule="auto"/>
        <w:ind w:left="567" w:hanging="567"/>
        <w:rPr>
          <w:rFonts w:eastAsiaTheme="minorEastAsia"/>
          <w:sz w:val="22"/>
          <w:szCs w:val="22"/>
          <w:lang w:val="en-GB"/>
        </w:rPr>
      </w:pPr>
      <w:r w:rsidRPr="00EB0558">
        <w:rPr>
          <w:color w:val="000000" w:themeColor="text1"/>
          <w:sz w:val="22"/>
          <w:szCs w:val="22"/>
        </w:rPr>
        <w:t xml:space="preserve">García-Valverde, E., Badia, M., Begona-Orgaz, M., &amp; Gonzalez-Ingelmo, E. (2020). The influence of songwriting on quality of life of family caregivers of people with dementia: An exploratory study. </w:t>
      </w:r>
      <w:r w:rsidRPr="00EB0558">
        <w:rPr>
          <w:i/>
          <w:iCs/>
          <w:color w:val="000000" w:themeColor="text1"/>
          <w:sz w:val="22"/>
          <w:szCs w:val="22"/>
        </w:rPr>
        <w:t>Nordic Journal of Music Therapy, 29</w:t>
      </w:r>
      <w:r w:rsidRPr="00EB0558">
        <w:rPr>
          <w:color w:val="000000" w:themeColor="text1"/>
          <w:sz w:val="22"/>
          <w:szCs w:val="22"/>
        </w:rPr>
        <w:t xml:space="preserve">(1), 4-19. </w:t>
      </w:r>
      <w:hyperlink r:id="rId10">
        <w:r w:rsidRPr="00EB0558">
          <w:rPr>
            <w:rStyle w:val="Hyperlink"/>
            <w:color w:val="10147E"/>
            <w:sz w:val="22"/>
            <w:szCs w:val="22"/>
          </w:rPr>
          <w:t>https://doi.org/10.1080/08098131.2019.1630666</w:t>
        </w:r>
      </w:hyperlink>
    </w:p>
    <w:p w14:paraId="1E98F63A" w14:textId="19711205"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 xml:space="preserve">Giovagnoli, A. R., Manfredi, V., Schifano, L., Paterlini, C., Parente, A., &amp; Tagliavini, F. (2018). Combining drug and music therapy in patients with moderate Alzheimer's disease: A randomized study. </w:t>
      </w:r>
      <w:r w:rsidRPr="00EB0558">
        <w:rPr>
          <w:i/>
          <w:iCs/>
          <w:color w:val="000000" w:themeColor="text1"/>
          <w:sz w:val="22"/>
          <w:szCs w:val="22"/>
        </w:rPr>
        <w:t>Neurological Sciences: Official Journal of the Italian Neurological Society and of the Italian Society of Clinical Neurophysiology, 39</w:t>
      </w:r>
      <w:r w:rsidRPr="00EB0558">
        <w:rPr>
          <w:color w:val="000000" w:themeColor="text1"/>
          <w:sz w:val="22"/>
          <w:szCs w:val="22"/>
        </w:rPr>
        <w:t>(6), 1021-1028.</w:t>
      </w:r>
    </w:p>
    <w:p w14:paraId="36F3C81B" w14:textId="461DCD29" w:rsidR="4DD75D73" w:rsidRPr="00EB0558" w:rsidRDefault="4161E447" w:rsidP="4DD75D73">
      <w:pPr>
        <w:spacing w:line="480" w:lineRule="auto"/>
        <w:ind w:left="567" w:hanging="567"/>
        <w:rPr>
          <w:sz w:val="22"/>
          <w:szCs w:val="22"/>
          <w:lang w:eastAsia="en-AU"/>
        </w:rPr>
      </w:pPr>
      <w:r w:rsidRPr="00EB0558">
        <w:rPr>
          <w:sz w:val="22"/>
          <w:szCs w:val="22"/>
          <w:lang w:val="nb-NO" w:eastAsia="en-AU"/>
        </w:rPr>
        <w:t xml:space="preserve">Gold, C., Eickholt, J., Assmus, J., Stige, B., Wake, J. D., Baker, F. A., Geretsegger, M. (2019). </w:t>
      </w:r>
      <w:r w:rsidRPr="00EB0558">
        <w:rPr>
          <w:sz w:val="22"/>
          <w:szCs w:val="22"/>
          <w:lang w:eastAsia="en-AU"/>
        </w:rPr>
        <w:t xml:space="preserve">Music </w:t>
      </w:r>
      <w:r w:rsidR="00D139AF" w:rsidRPr="00EB0558">
        <w:rPr>
          <w:sz w:val="22"/>
          <w:szCs w:val="22"/>
          <w:lang w:eastAsia="en-AU"/>
        </w:rPr>
        <w:t>i</w:t>
      </w:r>
      <w:r w:rsidRPr="00EB0558">
        <w:rPr>
          <w:sz w:val="22"/>
          <w:szCs w:val="22"/>
          <w:lang w:eastAsia="en-AU"/>
        </w:rPr>
        <w:t xml:space="preserve">nterventions for </w:t>
      </w:r>
      <w:r w:rsidR="00D139AF" w:rsidRPr="00EB0558">
        <w:rPr>
          <w:sz w:val="22"/>
          <w:szCs w:val="22"/>
          <w:lang w:eastAsia="en-AU"/>
        </w:rPr>
        <w:t>d</w:t>
      </w:r>
      <w:r w:rsidRPr="00EB0558">
        <w:rPr>
          <w:sz w:val="22"/>
          <w:szCs w:val="22"/>
          <w:lang w:eastAsia="en-AU"/>
        </w:rPr>
        <w:t xml:space="preserve">ementia and </w:t>
      </w:r>
      <w:r w:rsidR="00D139AF" w:rsidRPr="00EB0558">
        <w:rPr>
          <w:sz w:val="22"/>
          <w:szCs w:val="22"/>
          <w:lang w:eastAsia="en-AU"/>
        </w:rPr>
        <w:t>d</w:t>
      </w:r>
      <w:r w:rsidRPr="00EB0558">
        <w:rPr>
          <w:sz w:val="22"/>
          <w:szCs w:val="22"/>
          <w:lang w:eastAsia="en-AU"/>
        </w:rPr>
        <w:t xml:space="preserve">epression in </w:t>
      </w:r>
      <w:r w:rsidR="00D139AF" w:rsidRPr="00EB0558">
        <w:rPr>
          <w:sz w:val="22"/>
          <w:szCs w:val="22"/>
          <w:lang w:eastAsia="en-AU"/>
        </w:rPr>
        <w:t>el</w:t>
      </w:r>
      <w:r w:rsidRPr="00EB0558">
        <w:rPr>
          <w:sz w:val="22"/>
          <w:szCs w:val="22"/>
          <w:lang w:eastAsia="en-AU"/>
        </w:rPr>
        <w:t xml:space="preserve">derly care (MIDDEL): Protocol and statistical analysis plan for a multinational cluster-randomised trial. </w:t>
      </w:r>
      <w:r w:rsidRPr="00EB0558">
        <w:rPr>
          <w:i/>
          <w:iCs/>
          <w:sz w:val="22"/>
          <w:szCs w:val="22"/>
          <w:lang w:eastAsia="en-AU"/>
        </w:rPr>
        <w:t>BMJ OPEN, 9</w:t>
      </w:r>
      <w:r w:rsidRPr="00EB0558">
        <w:rPr>
          <w:sz w:val="22"/>
          <w:szCs w:val="22"/>
          <w:lang w:eastAsia="en-AU"/>
        </w:rPr>
        <w:t>(3). doi:10.1136/bmjopen-2018-023436</w:t>
      </w:r>
    </w:p>
    <w:p w14:paraId="573912DF" w14:textId="61916FDE" w:rsidR="161157E8" w:rsidRPr="00EB0558" w:rsidRDefault="161157E8" w:rsidP="161157E8">
      <w:pPr>
        <w:spacing w:line="480" w:lineRule="auto"/>
        <w:ind w:left="567" w:hanging="567"/>
        <w:rPr>
          <w:rFonts w:eastAsiaTheme="minorEastAsia"/>
          <w:sz w:val="22"/>
          <w:szCs w:val="22"/>
          <w:lang w:val="en-GB"/>
        </w:rPr>
      </w:pPr>
      <w:r w:rsidRPr="00EB0558">
        <w:rPr>
          <w:color w:val="333333"/>
          <w:sz w:val="22"/>
          <w:szCs w:val="22"/>
        </w:rPr>
        <w:t>Goldman, V., Dushkin, A., Wexler, D. J., Chang, Y., Porneala, B., Bissett, L., McCarthy, J., Rodriguez, A., Chase, B., LaRocca, R., Wheeler, A., &amp; Delahanty, L. M. (2019). Effective recruitment for practice-based research: Lessons from the REAL HEALTH-Diabetes Study. </w:t>
      </w:r>
      <w:r w:rsidRPr="00EB0558">
        <w:rPr>
          <w:i/>
          <w:iCs/>
          <w:color w:val="333333"/>
          <w:sz w:val="22"/>
          <w:szCs w:val="22"/>
        </w:rPr>
        <w:t>Contemporary Clinical Trials Communications</w:t>
      </w:r>
      <w:r w:rsidRPr="00EB0558">
        <w:rPr>
          <w:color w:val="333333"/>
          <w:sz w:val="22"/>
          <w:szCs w:val="22"/>
        </w:rPr>
        <w:t>, </w:t>
      </w:r>
      <w:r w:rsidRPr="00EB0558">
        <w:rPr>
          <w:i/>
          <w:iCs/>
          <w:color w:val="333333"/>
          <w:sz w:val="22"/>
          <w:szCs w:val="22"/>
        </w:rPr>
        <w:t>15</w:t>
      </w:r>
      <w:r w:rsidRPr="00EB0558">
        <w:rPr>
          <w:color w:val="333333"/>
          <w:sz w:val="22"/>
          <w:szCs w:val="22"/>
        </w:rPr>
        <w:t xml:space="preserve">. </w:t>
      </w:r>
      <w:hyperlink r:id="rId11">
        <w:r w:rsidRPr="00EB0558">
          <w:rPr>
            <w:rStyle w:val="Hyperlink"/>
            <w:color w:val="333333"/>
            <w:sz w:val="22"/>
            <w:szCs w:val="22"/>
          </w:rPr>
          <w:t>https://doi.org/10.1016/j.conctc.2019.100374</w:t>
        </w:r>
      </w:hyperlink>
    </w:p>
    <w:p w14:paraId="0F737737" w14:textId="285B91A2" w:rsidR="161157E8" w:rsidRPr="00EB0558" w:rsidRDefault="4DD75D73" w:rsidP="161157E8">
      <w:pPr>
        <w:spacing w:line="480" w:lineRule="auto"/>
        <w:ind w:left="567" w:hanging="567"/>
        <w:rPr>
          <w:color w:val="000000" w:themeColor="text1"/>
          <w:sz w:val="22"/>
          <w:szCs w:val="22"/>
        </w:rPr>
      </w:pPr>
      <w:r w:rsidRPr="00EB0558">
        <w:rPr>
          <w:color w:val="000000" w:themeColor="text1"/>
          <w:sz w:val="22"/>
          <w:szCs w:val="22"/>
        </w:rPr>
        <w:t xml:space="preserve">Guetin, S., Portet, F., Picot, M. C., Pommie, C., Messaoudi, M., Djabelkir, L., Olsen, A. L., Cano, M. M., Lecourt, E., &amp; Touchon, J. (2009). Effect of music therapy on anxiety and depression in patients </w:t>
      </w:r>
      <w:r w:rsidRPr="00EB0558">
        <w:rPr>
          <w:color w:val="000000" w:themeColor="text1"/>
          <w:sz w:val="22"/>
          <w:szCs w:val="22"/>
        </w:rPr>
        <w:lastRenderedPageBreak/>
        <w:t xml:space="preserve">with Alzheimer's type dementia: Randomised, controlled study. </w:t>
      </w:r>
      <w:r w:rsidRPr="00EB0558">
        <w:rPr>
          <w:i/>
          <w:iCs/>
          <w:color w:val="000000" w:themeColor="text1"/>
          <w:sz w:val="22"/>
          <w:szCs w:val="22"/>
        </w:rPr>
        <w:t>Dementia and Geriatric Cognitive Disorders, 28</w:t>
      </w:r>
      <w:r w:rsidRPr="00EB0558">
        <w:rPr>
          <w:color w:val="000000" w:themeColor="text1"/>
          <w:sz w:val="22"/>
          <w:szCs w:val="22"/>
        </w:rPr>
        <w:t>(1), 36-46.</w:t>
      </w:r>
    </w:p>
    <w:p w14:paraId="5AA9BD40" w14:textId="5B2AF638"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 xml:space="preserve">Han, P., Kwan, M., Chen, D., Yusoff, S. Z., Chionh, H. L., Goh, J., &amp; Yap, P. (2010). A controlled naturalistic study on a weekly music therapy and activity program on disruptive and depressive behaviors in dementia. </w:t>
      </w:r>
      <w:r w:rsidRPr="00EB0558">
        <w:rPr>
          <w:i/>
          <w:iCs/>
          <w:color w:val="000000" w:themeColor="text1"/>
          <w:sz w:val="22"/>
          <w:szCs w:val="22"/>
        </w:rPr>
        <w:t>Dementia and Geriatric Cognitive Disorders, 30</w:t>
      </w:r>
      <w:r w:rsidRPr="00EB0558">
        <w:rPr>
          <w:color w:val="000000" w:themeColor="text1"/>
          <w:sz w:val="22"/>
          <w:szCs w:val="22"/>
        </w:rPr>
        <w:t>(6), 540-546.</w:t>
      </w:r>
    </w:p>
    <w:p w14:paraId="2C48B71E" w14:textId="2E4BD63A"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 xml:space="preserve">Hanser, S. B., Butterfield-Whitcomb, J., Kawata, M., &amp; Collins, B. E. (2011). Home-based music strategies with individuals who have dementia and their family caregivers. </w:t>
      </w:r>
      <w:r w:rsidRPr="00EB0558">
        <w:rPr>
          <w:i/>
          <w:iCs/>
          <w:color w:val="000000" w:themeColor="text1"/>
          <w:sz w:val="22"/>
          <w:szCs w:val="22"/>
        </w:rPr>
        <w:t>Journal of Music Therapy, 48</w:t>
      </w:r>
      <w:r w:rsidRPr="00EB0558">
        <w:rPr>
          <w:color w:val="000000" w:themeColor="text1"/>
          <w:sz w:val="22"/>
          <w:szCs w:val="22"/>
        </w:rPr>
        <w:t>(1), 2-27.</w:t>
      </w:r>
    </w:p>
    <w:p w14:paraId="4AAD6FA9" w14:textId="57F33A51" w:rsidR="161157E8" w:rsidRPr="00EB0558" w:rsidRDefault="4DD75D73" w:rsidP="161157E8">
      <w:pPr>
        <w:spacing w:before="4" w:line="480" w:lineRule="auto"/>
        <w:ind w:left="567" w:hanging="567"/>
        <w:rPr>
          <w:color w:val="303030"/>
          <w:sz w:val="22"/>
          <w:szCs w:val="22"/>
        </w:rPr>
      </w:pPr>
      <w:r w:rsidRPr="00EB0558">
        <w:rPr>
          <w:color w:val="303030"/>
          <w:sz w:val="22"/>
          <w:szCs w:val="22"/>
        </w:rPr>
        <w:t>Hariton, E., &amp; Locascio, J. J. (2018). Randomised controlled trials - the gold standard for effectiveness research: Study design: randomised controlled trials. </w:t>
      </w:r>
      <w:r w:rsidRPr="00EB0558">
        <w:rPr>
          <w:i/>
          <w:iCs/>
          <w:color w:val="303030"/>
          <w:sz w:val="22"/>
          <w:szCs w:val="22"/>
        </w:rPr>
        <w:t>BJOG: An international Journal of Obstetrics and Gynaecology</w:t>
      </w:r>
      <w:r w:rsidRPr="00EB0558">
        <w:rPr>
          <w:color w:val="303030"/>
          <w:sz w:val="22"/>
          <w:szCs w:val="22"/>
        </w:rPr>
        <w:t>, </w:t>
      </w:r>
      <w:r w:rsidRPr="00EB0558">
        <w:rPr>
          <w:i/>
          <w:iCs/>
          <w:color w:val="303030"/>
          <w:sz w:val="22"/>
          <w:szCs w:val="22"/>
        </w:rPr>
        <w:t>125</w:t>
      </w:r>
      <w:r w:rsidRPr="00EB0558">
        <w:rPr>
          <w:color w:val="303030"/>
          <w:sz w:val="22"/>
          <w:szCs w:val="22"/>
        </w:rPr>
        <w:t xml:space="preserve">(13), 1716. </w:t>
      </w:r>
      <w:hyperlink r:id="rId12">
        <w:r w:rsidRPr="00EB0558">
          <w:rPr>
            <w:rStyle w:val="Hyperlink"/>
            <w:sz w:val="22"/>
            <w:szCs w:val="22"/>
          </w:rPr>
          <w:t>https://doi.org/10.1111/1471-0528.15199</w:t>
        </w:r>
      </w:hyperlink>
    </w:p>
    <w:p w14:paraId="326E8383" w14:textId="7B0A59F6" w:rsidR="161157E8" w:rsidRPr="00EB0558" w:rsidRDefault="2039F9E8" w:rsidP="161157E8">
      <w:pPr>
        <w:spacing w:line="480" w:lineRule="auto"/>
        <w:ind w:left="567" w:hanging="567"/>
        <w:rPr>
          <w:color w:val="000000" w:themeColor="text1"/>
          <w:sz w:val="22"/>
          <w:szCs w:val="22"/>
        </w:rPr>
      </w:pPr>
      <w:r w:rsidRPr="00EB0558">
        <w:rPr>
          <w:color w:val="000000" w:themeColor="text1"/>
          <w:sz w:val="22"/>
          <w:szCs w:val="22"/>
          <w:lang w:val="pt-BR"/>
        </w:rPr>
        <w:t xml:space="preserve">Ho, S-Y., Lai, H-L., Jeng, S-Y., Tang, C-W., Sung, H-C., &amp; Chen, P-W. </w:t>
      </w:r>
      <w:r w:rsidRPr="00EB0558">
        <w:rPr>
          <w:color w:val="000000" w:themeColor="text1"/>
          <w:sz w:val="22"/>
          <w:szCs w:val="22"/>
        </w:rPr>
        <w:t xml:space="preserve">(2011). The effects of researcher-composed music at mealtime on agitation in nursing home residents with dementia. </w:t>
      </w:r>
      <w:r w:rsidRPr="00EB0558">
        <w:rPr>
          <w:i/>
          <w:iCs/>
          <w:color w:val="000000" w:themeColor="text1"/>
          <w:sz w:val="22"/>
          <w:szCs w:val="22"/>
        </w:rPr>
        <w:t>Archives of Psychiatric Nursing, 25</w:t>
      </w:r>
      <w:r w:rsidRPr="00EB0558">
        <w:rPr>
          <w:color w:val="000000" w:themeColor="text1"/>
          <w:sz w:val="22"/>
          <w:szCs w:val="22"/>
        </w:rPr>
        <w:t>(6), e49 – 55.</w:t>
      </w:r>
    </w:p>
    <w:p w14:paraId="70D909B9" w14:textId="732FF693"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 xml:space="preserve">Holden, S. K., Sheffler, J., Stewart, R., Thompson, S., Persson, J., Finseth, T., Sillau, S., &amp; Kluger, B. M. (2019). Feasibility of home-based neurologic music therapy for behavioral and psychological symptoms of dementia: A pilot study. </w:t>
      </w:r>
      <w:r w:rsidRPr="00EB0558">
        <w:rPr>
          <w:i/>
          <w:iCs/>
          <w:color w:val="000000" w:themeColor="text1"/>
          <w:sz w:val="22"/>
          <w:szCs w:val="22"/>
        </w:rPr>
        <w:t>Journal of Music Therapy, 56</w:t>
      </w:r>
      <w:r w:rsidRPr="00EB0558">
        <w:rPr>
          <w:color w:val="000000" w:themeColor="text1"/>
          <w:sz w:val="22"/>
          <w:szCs w:val="22"/>
        </w:rPr>
        <w:t>(3), 265-286.</w:t>
      </w:r>
    </w:p>
    <w:p w14:paraId="27FD95B6" w14:textId="2D0D837F"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 xml:space="preserve">Hsu, M. H., Flowerdew, R., Parker, M., Fachner, J., &amp; Odell-Miller, H. (2015). Individual music therapy for managing neuropsychiatric symptoms for people with dementia and their carers: A cluster randomised controlled feasibility study. </w:t>
      </w:r>
      <w:r w:rsidRPr="00EB0558">
        <w:rPr>
          <w:i/>
          <w:iCs/>
          <w:color w:val="000000" w:themeColor="text1"/>
          <w:sz w:val="22"/>
          <w:szCs w:val="22"/>
        </w:rPr>
        <w:t>BMC Geriatrics 15</w:t>
      </w:r>
      <w:r w:rsidRPr="00EB0558">
        <w:rPr>
          <w:color w:val="000000" w:themeColor="text1"/>
          <w:sz w:val="22"/>
          <w:szCs w:val="22"/>
        </w:rPr>
        <w:t>, 100968548, 84.</w:t>
      </w:r>
    </w:p>
    <w:p w14:paraId="77B12C79" w14:textId="09A1E1A2" w:rsidR="161157E8" w:rsidRPr="00EB0558" w:rsidRDefault="2039F9E8" w:rsidP="161157E8">
      <w:pPr>
        <w:spacing w:before="4" w:line="480" w:lineRule="auto"/>
        <w:ind w:left="567" w:hanging="567"/>
        <w:rPr>
          <w:sz w:val="22"/>
          <w:szCs w:val="22"/>
          <w:lang w:val="nl-NL"/>
        </w:rPr>
      </w:pPr>
      <w:r w:rsidRPr="00EB0558">
        <w:rPr>
          <w:rFonts w:eastAsia="Calibri"/>
          <w:sz w:val="22"/>
          <w:szCs w:val="22"/>
          <w:lang w:val="en-GB"/>
        </w:rPr>
        <w:t xml:space="preserve">Hughes-Morley, A., Young, B., Waheed, W., Small, N., &amp; Bower, P. (2015). Factors affecting recruitment into depression trials: Systematic review, meta-synthesis and conceptual framework. </w:t>
      </w:r>
      <w:r w:rsidRPr="00EB0558">
        <w:rPr>
          <w:rFonts w:eastAsia="Calibri"/>
          <w:i/>
          <w:iCs/>
          <w:sz w:val="22"/>
          <w:szCs w:val="22"/>
          <w:lang w:val="nl-NL"/>
        </w:rPr>
        <w:t>Journal of Affective Disorders</w:t>
      </w:r>
      <w:r w:rsidRPr="00EB0558">
        <w:rPr>
          <w:rFonts w:eastAsia="Calibri"/>
          <w:sz w:val="22"/>
          <w:szCs w:val="22"/>
          <w:lang w:val="nl-NL"/>
        </w:rPr>
        <w:t xml:space="preserve">, </w:t>
      </w:r>
      <w:r w:rsidRPr="00EB0558">
        <w:rPr>
          <w:rFonts w:eastAsia="Calibri"/>
          <w:i/>
          <w:iCs/>
          <w:sz w:val="22"/>
          <w:szCs w:val="22"/>
          <w:lang w:val="nl-NL"/>
        </w:rPr>
        <w:t>172</w:t>
      </w:r>
      <w:r w:rsidRPr="00EB0558">
        <w:rPr>
          <w:rFonts w:eastAsia="Calibri"/>
          <w:sz w:val="22"/>
          <w:szCs w:val="22"/>
          <w:lang w:val="nl-NL"/>
        </w:rPr>
        <w:t>, 274-290.</w:t>
      </w:r>
    </w:p>
    <w:p w14:paraId="39EB1B0F" w14:textId="335FEB3A" w:rsidR="161157E8" w:rsidRPr="00EB0558" w:rsidRDefault="2039F9E8" w:rsidP="161157E8">
      <w:pPr>
        <w:spacing w:before="4" w:line="480" w:lineRule="auto"/>
        <w:ind w:left="567" w:hanging="567"/>
        <w:rPr>
          <w:sz w:val="22"/>
          <w:szCs w:val="22"/>
        </w:rPr>
      </w:pPr>
      <w:r w:rsidRPr="00EB0558">
        <w:rPr>
          <w:rFonts w:eastAsia="Arial"/>
          <w:sz w:val="22"/>
          <w:szCs w:val="22"/>
          <w:lang w:val="nl-NL"/>
        </w:rPr>
        <w:t xml:space="preserve">Huibers, M. J., Bleijenberg, G., Beurskens, A. J., Kant, I., Knottnerus, J. A., van der Windt, D. A., ... </w:t>
      </w:r>
      <w:r w:rsidRPr="00EB0558">
        <w:rPr>
          <w:rFonts w:eastAsia="Arial"/>
          <w:sz w:val="22"/>
          <w:szCs w:val="22"/>
        </w:rPr>
        <w:t xml:space="preserve">&amp; van Schayck, C. P. (2004). An alternative trial design to overcome validity and recruitment problems in primary care research. </w:t>
      </w:r>
      <w:r w:rsidRPr="00EB0558">
        <w:rPr>
          <w:rFonts w:eastAsia="Arial"/>
          <w:i/>
          <w:iCs/>
          <w:sz w:val="22"/>
          <w:szCs w:val="22"/>
        </w:rPr>
        <w:t>Family Practice</w:t>
      </w:r>
      <w:r w:rsidRPr="00EB0558">
        <w:rPr>
          <w:rFonts w:eastAsia="Arial"/>
          <w:sz w:val="22"/>
          <w:szCs w:val="22"/>
        </w:rPr>
        <w:t xml:space="preserve">, </w:t>
      </w:r>
      <w:r w:rsidRPr="00EB0558">
        <w:rPr>
          <w:rFonts w:eastAsia="Arial"/>
          <w:i/>
          <w:iCs/>
          <w:sz w:val="22"/>
          <w:szCs w:val="22"/>
        </w:rPr>
        <w:t>21</w:t>
      </w:r>
      <w:r w:rsidRPr="00EB0558">
        <w:rPr>
          <w:rFonts w:eastAsia="Arial"/>
          <w:sz w:val="22"/>
          <w:szCs w:val="22"/>
        </w:rPr>
        <w:t>(2), 213-218.</w:t>
      </w:r>
    </w:p>
    <w:p w14:paraId="08EB192A" w14:textId="11247974" w:rsidR="4DD75D73" w:rsidRPr="00EB0558" w:rsidRDefault="2039F9E8" w:rsidP="4DD75D73">
      <w:pPr>
        <w:spacing w:line="480" w:lineRule="auto"/>
        <w:ind w:left="567" w:hanging="567"/>
        <w:rPr>
          <w:color w:val="000000" w:themeColor="text1"/>
          <w:sz w:val="22"/>
          <w:szCs w:val="22"/>
        </w:rPr>
      </w:pPr>
      <w:r w:rsidRPr="00EB0558">
        <w:rPr>
          <w:color w:val="000000" w:themeColor="text1"/>
          <w:sz w:val="22"/>
          <w:szCs w:val="22"/>
        </w:rPr>
        <w:lastRenderedPageBreak/>
        <w:t xml:space="preserve">Ihara, E. S., Tompkins, C. J., Inoue, M., &amp; Sonneman, S. (2019). Results from a person-centered music intervention for individuals living with dementia. </w:t>
      </w:r>
      <w:r w:rsidRPr="00EB0558">
        <w:rPr>
          <w:i/>
          <w:iCs/>
          <w:color w:val="000000" w:themeColor="text1"/>
          <w:sz w:val="22"/>
          <w:szCs w:val="22"/>
        </w:rPr>
        <w:t>Geriatrics &amp; Gerontology International, 19</w:t>
      </w:r>
      <w:r w:rsidRPr="00EB0558">
        <w:rPr>
          <w:color w:val="000000" w:themeColor="text1"/>
          <w:sz w:val="22"/>
          <w:szCs w:val="22"/>
        </w:rPr>
        <w:t>(1), 30-34.</w:t>
      </w:r>
    </w:p>
    <w:p w14:paraId="3DCBE674" w14:textId="79CB4DBF" w:rsidR="2039F9E8" w:rsidRPr="00EB0558" w:rsidRDefault="2039F9E8" w:rsidP="00401071">
      <w:pPr>
        <w:spacing w:line="480" w:lineRule="auto"/>
        <w:ind w:left="567" w:hanging="567"/>
        <w:rPr>
          <w:sz w:val="22"/>
          <w:szCs w:val="22"/>
          <w:lang w:val="en-US"/>
        </w:rPr>
      </w:pPr>
      <w:r w:rsidRPr="00EB0558">
        <w:rPr>
          <w:sz w:val="22"/>
          <w:szCs w:val="22"/>
          <w:lang w:val="en-US"/>
        </w:rPr>
        <w:t xml:space="preserve">Kitwood, T. (1997). </w:t>
      </w:r>
      <w:r w:rsidRPr="00EB0558">
        <w:rPr>
          <w:i/>
          <w:iCs/>
          <w:sz w:val="22"/>
          <w:szCs w:val="22"/>
          <w:lang w:val="en-US"/>
        </w:rPr>
        <w:t xml:space="preserve">Dementia </w:t>
      </w:r>
      <w:r w:rsidR="00D139AF" w:rsidRPr="00EB0558">
        <w:rPr>
          <w:i/>
          <w:iCs/>
          <w:sz w:val="22"/>
          <w:szCs w:val="22"/>
          <w:lang w:val="en-US"/>
        </w:rPr>
        <w:t>r</w:t>
      </w:r>
      <w:r w:rsidRPr="00EB0558">
        <w:rPr>
          <w:i/>
          <w:iCs/>
          <w:sz w:val="22"/>
          <w:szCs w:val="22"/>
          <w:lang w:val="en-US"/>
        </w:rPr>
        <w:t xml:space="preserve">econsidered: The </w:t>
      </w:r>
      <w:r w:rsidR="00D139AF" w:rsidRPr="00EB0558">
        <w:rPr>
          <w:i/>
          <w:iCs/>
          <w:sz w:val="22"/>
          <w:szCs w:val="22"/>
          <w:lang w:val="en-US"/>
        </w:rPr>
        <w:t>p</w:t>
      </w:r>
      <w:r w:rsidRPr="00EB0558">
        <w:rPr>
          <w:i/>
          <w:iCs/>
          <w:sz w:val="22"/>
          <w:szCs w:val="22"/>
          <w:lang w:val="en-US"/>
        </w:rPr>
        <w:t xml:space="preserve">erson </w:t>
      </w:r>
      <w:r w:rsidR="00D139AF" w:rsidRPr="00EB0558">
        <w:rPr>
          <w:i/>
          <w:iCs/>
          <w:sz w:val="22"/>
          <w:szCs w:val="22"/>
          <w:lang w:val="en-US"/>
        </w:rPr>
        <w:t>c</w:t>
      </w:r>
      <w:r w:rsidRPr="00EB0558">
        <w:rPr>
          <w:i/>
          <w:iCs/>
          <w:sz w:val="22"/>
          <w:szCs w:val="22"/>
          <w:lang w:val="en-US"/>
        </w:rPr>
        <w:t xml:space="preserve">omes </w:t>
      </w:r>
      <w:r w:rsidR="00D139AF" w:rsidRPr="00EB0558">
        <w:rPr>
          <w:i/>
          <w:iCs/>
          <w:sz w:val="22"/>
          <w:szCs w:val="22"/>
          <w:lang w:val="en-US"/>
        </w:rPr>
        <w:t>f</w:t>
      </w:r>
      <w:r w:rsidRPr="00EB0558">
        <w:rPr>
          <w:i/>
          <w:iCs/>
          <w:sz w:val="22"/>
          <w:szCs w:val="22"/>
          <w:lang w:val="en-US"/>
        </w:rPr>
        <w:t>irst</w:t>
      </w:r>
      <w:r w:rsidRPr="00EB0558">
        <w:rPr>
          <w:sz w:val="22"/>
          <w:szCs w:val="22"/>
          <w:lang w:val="en-US"/>
        </w:rPr>
        <w:t>. Buckingham: Open University Press.</w:t>
      </w:r>
    </w:p>
    <w:p w14:paraId="5DE39DDB" w14:textId="1B6E9284" w:rsidR="32B29D13" w:rsidRPr="00EB0558" w:rsidRDefault="2039F9E8" w:rsidP="00401071">
      <w:pPr>
        <w:spacing w:line="480" w:lineRule="auto"/>
        <w:ind w:left="567" w:hanging="567"/>
        <w:rPr>
          <w:color w:val="000000" w:themeColor="text1"/>
          <w:sz w:val="22"/>
          <w:szCs w:val="22"/>
        </w:rPr>
      </w:pPr>
      <w:r w:rsidRPr="00EB0558">
        <w:rPr>
          <w:color w:val="000000" w:themeColor="text1"/>
          <w:sz w:val="22"/>
          <w:szCs w:val="22"/>
          <w:lang w:val="en-US"/>
        </w:rPr>
        <w:t>Lam, H.</w:t>
      </w:r>
      <w:r w:rsidR="00D139AF" w:rsidRPr="00EB0558">
        <w:rPr>
          <w:color w:val="000000" w:themeColor="text1"/>
          <w:sz w:val="22"/>
          <w:szCs w:val="22"/>
          <w:lang w:val="en-US"/>
        </w:rPr>
        <w:t xml:space="preserve"> </w:t>
      </w:r>
      <w:r w:rsidRPr="00EB0558">
        <w:rPr>
          <w:color w:val="000000" w:themeColor="text1"/>
          <w:sz w:val="22"/>
          <w:szCs w:val="22"/>
          <w:lang w:val="en-US"/>
        </w:rPr>
        <w:t>L., Li, W.</w:t>
      </w:r>
      <w:r w:rsidR="00D139AF" w:rsidRPr="00EB0558">
        <w:rPr>
          <w:color w:val="000000" w:themeColor="text1"/>
          <w:sz w:val="22"/>
          <w:szCs w:val="22"/>
          <w:lang w:val="en-US"/>
        </w:rPr>
        <w:t xml:space="preserve"> </w:t>
      </w:r>
      <w:r w:rsidRPr="00EB0558">
        <w:rPr>
          <w:color w:val="000000" w:themeColor="text1"/>
          <w:sz w:val="22"/>
          <w:szCs w:val="22"/>
          <w:lang w:val="en-US"/>
        </w:rPr>
        <w:t>T.</w:t>
      </w:r>
      <w:r w:rsidR="00D139AF" w:rsidRPr="00EB0558">
        <w:rPr>
          <w:color w:val="000000" w:themeColor="text1"/>
          <w:sz w:val="22"/>
          <w:szCs w:val="22"/>
          <w:lang w:val="en-US"/>
        </w:rPr>
        <w:t xml:space="preserve"> </w:t>
      </w:r>
      <w:r w:rsidRPr="00EB0558">
        <w:rPr>
          <w:color w:val="000000" w:themeColor="text1"/>
          <w:sz w:val="22"/>
          <w:szCs w:val="22"/>
          <w:lang w:val="en-US"/>
        </w:rPr>
        <w:t xml:space="preserve">V., Laher, I., </w:t>
      </w:r>
      <w:r w:rsidR="00D139AF" w:rsidRPr="00EB0558">
        <w:rPr>
          <w:color w:val="000000" w:themeColor="text1"/>
          <w:sz w:val="22"/>
          <w:szCs w:val="22"/>
          <w:lang w:val="en-US"/>
        </w:rPr>
        <w:t xml:space="preserve">&amp; </w:t>
      </w:r>
      <w:r w:rsidRPr="00EB0558">
        <w:rPr>
          <w:color w:val="000000" w:themeColor="text1"/>
          <w:sz w:val="22"/>
          <w:szCs w:val="22"/>
          <w:lang w:val="en-US"/>
        </w:rPr>
        <w:t>Wong, R.</w:t>
      </w:r>
      <w:r w:rsidR="00D139AF" w:rsidRPr="00EB0558">
        <w:rPr>
          <w:color w:val="000000" w:themeColor="text1"/>
          <w:sz w:val="22"/>
          <w:szCs w:val="22"/>
          <w:lang w:val="en-US"/>
        </w:rPr>
        <w:t xml:space="preserve"> </w:t>
      </w:r>
      <w:r w:rsidRPr="00EB0558">
        <w:rPr>
          <w:color w:val="000000" w:themeColor="text1"/>
          <w:sz w:val="22"/>
          <w:szCs w:val="22"/>
          <w:lang w:val="en-US"/>
        </w:rPr>
        <w:t xml:space="preserve">Y. (2020). Effects of </w:t>
      </w:r>
      <w:r w:rsidR="00D139AF" w:rsidRPr="00EB0558">
        <w:rPr>
          <w:color w:val="000000" w:themeColor="text1"/>
          <w:sz w:val="22"/>
          <w:szCs w:val="22"/>
          <w:lang w:val="en-US"/>
        </w:rPr>
        <w:t>m</w:t>
      </w:r>
      <w:r w:rsidRPr="00EB0558">
        <w:rPr>
          <w:color w:val="000000" w:themeColor="text1"/>
          <w:sz w:val="22"/>
          <w:szCs w:val="22"/>
          <w:lang w:val="en-US"/>
        </w:rPr>
        <w:t xml:space="preserve">usic </w:t>
      </w:r>
      <w:r w:rsidR="00D139AF" w:rsidRPr="00EB0558">
        <w:rPr>
          <w:color w:val="000000" w:themeColor="text1"/>
          <w:sz w:val="22"/>
          <w:szCs w:val="22"/>
          <w:lang w:val="en-US"/>
        </w:rPr>
        <w:t>t</w:t>
      </w:r>
      <w:r w:rsidRPr="00EB0558">
        <w:rPr>
          <w:color w:val="000000" w:themeColor="text1"/>
          <w:sz w:val="22"/>
          <w:szCs w:val="22"/>
          <w:lang w:val="en-US"/>
        </w:rPr>
        <w:t xml:space="preserve">herapy on </w:t>
      </w:r>
      <w:r w:rsidR="00D139AF" w:rsidRPr="00EB0558">
        <w:rPr>
          <w:color w:val="000000" w:themeColor="text1"/>
          <w:sz w:val="22"/>
          <w:szCs w:val="22"/>
          <w:lang w:val="en-US"/>
        </w:rPr>
        <w:t>p</w:t>
      </w:r>
      <w:r w:rsidRPr="00EB0558">
        <w:rPr>
          <w:color w:val="000000" w:themeColor="text1"/>
          <w:sz w:val="22"/>
          <w:szCs w:val="22"/>
          <w:lang w:val="en-US"/>
        </w:rPr>
        <w:t xml:space="preserve">atients with </w:t>
      </w:r>
      <w:r w:rsidR="00D139AF" w:rsidRPr="00EB0558">
        <w:rPr>
          <w:color w:val="000000" w:themeColor="text1"/>
          <w:sz w:val="22"/>
          <w:szCs w:val="22"/>
          <w:lang w:val="en-US"/>
        </w:rPr>
        <w:t>d</w:t>
      </w:r>
      <w:r w:rsidRPr="00EB0558">
        <w:rPr>
          <w:color w:val="000000" w:themeColor="text1"/>
          <w:sz w:val="22"/>
          <w:szCs w:val="22"/>
          <w:lang w:val="en-US"/>
        </w:rPr>
        <w:t>ementia</w:t>
      </w:r>
      <w:r w:rsidR="00D139AF" w:rsidRPr="00EB0558">
        <w:rPr>
          <w:color w:val="000000" w:themeColor="text1"/>
          <w:sz w:val="22"/>
          <w:szCs w:val="22"/>
          <w:lang w:val="en-US"/>
        </w:rPr>
        <w:t xml:space="preserve">: </w:t>
      </w:r>
      <w:r w:rsidRPr="00EB0558">
        <w:rPr>
          <w:color w:val="000000" w:themeColor="text1"/>
          <w:sz w:val="22"/>
          <w:szCs w:val="22"/>
          <w:lang w:val="en-US"/>
        </w:rPr>
        <w:t xml:space="preserve">A </w:t>
      </w:r>
      <w:r w:rsidR="00D139AF" w:rsidRPr="00EB0558">
        <w:rPr>
          <w:color w:val="000000" w:themeColor="text1"/>
          <w:sz w:val="22"/>
          <w:szCs w:val="22"/>
          <w:lang w:val="en-US"/>
        </w:rPr>
        <w:t>s</w:t>
      </w:r>
      <w:r w:rsidRPr="00EB0558">
        <w:rPr>
          <w:color w:val="000000" w:themeColor="text1"/>
          <w:sz w:val="22"/>
          <w:szCs w:val="22"/>
          <w:lang w:val="en-US"/>
        </w:rPr>
        <w:t xml:space="preserve">ystematic </w:t>
      </w:r>
      <w:r w:rsidR="00D139AF" w:rsidRPr="00EB0558">
        <w:rPr>
          <w:color w:val="000000" w:themeColor="text1"/>
          <w:sz w:val="22"/>
          <w:szCs w:val="22"/>
          <w:lang w:val="en-US"/>
        </w:rPr>
        <w:t>r</w:t>
      </w:r>
      <w:r w:rsidRPr="00EB0558">
        <w:rPr>
          <w:color w:val="000000" w:themeColor="text1"/>
          <w:sz w:val="22"/>
          <w:szCs w:val="22"/>
          <w:lang w:val="en-US"/>
        </w:rPr>
        <w:t xml:space="preserve">eview. </w:t>
      </w:r>
      <w:r w:rsidRPr="00EB0558">
        <w:rPr>
          <w:i/>
          <w:iCs/>
          <w:color w:val="000000" w:themeColor="text1"/>
          <w:sz w:val="22"/>
          <w:szCs w:val="22"/>
          <w:lang w:val="en-US"/>
        </w:rPr>
        <w:t>Geriatrics</w:t>
      </w:r>
      <w:r w:rsidRPr="00EB0558">
        <w:rPr>
          <w:color w:val="000000" w:themeColor="text1"/>
          <w:sz w:val="22"/>
          <w:szCs w:val="22"/>
          <w:lang w:val="en-US"/>
        </w:rPr>
        <w:t xml:space="preserve">. </w:t>
      </w:r>
      <w:r w:rsidRPr="00EB0558">
        <w:rPr>
          <w:color w:val="000000" w:themeColor="text1"/>
          <w:sz w:val="22"/>
          <w:szCs w:val="22"/>
        </w:rPr>
        <w:t>doi: 10.3390/geriatrics5040062.</w:t>
      </w:r>
    </w:p>
    <w:p w14:paraId="33E20681" w14:textId="064E22F6" w:rsidR="00816179" w:rsidRPr="00EB0558" w:rsidRDefault="2039F9E8" w:rsidP="2039F9E8">
      <w:pPr>
        <w:adjustRightInd w:val="0"/>
        <w:spacing w:line="480" w:lineRule="auto"/>
        <w:ind w:left="567" w:hanging="567"/>
        <w:rPr>
          <w:rFonts w:eastAsiaTheme="minorEastAsia"/>
          <w:sz w:val="22"/>
          <w:szCs w:val="22"/>
          <w:lang w:val="en-GB"/>
        </w:rPr>
      </w:pPr>
      <w:r w:rsidRPr="00EB0558">
        <w:rPr>
          <w:rFonts w:eastAsiaTheme="minorEastAsia"/>
          <w:sz w:val="22"/>
          <w:szCs w:val="22"/>
          <w:lang w:val="en-US"/>
        </w:rPr>
        <w:t xml:space="preserve">Larkey, L. K., Staten, L. K., Ritenbaugh, C., Hall, R. A., Buller, D. B., Bassford, T., &amp;. Rempfer Altimari, B. </w:t>
      </w:r>
      <w:r w:rsidRPr="00EB0558">
        <w:rPr>
          <w:rFonts w:eastAsiaTheme="minorEastAsia"/>
          <w:sz w:val="22"/>
          <w:szCs w:val="22"/>
          <w:lang w:val="en-GB"/>
        </w:rPr>
        <w:t>(2002)</w:t>
      </w:r>
      <w:r w:rsidR="00D139AF" w:rsidRPr="00EB0558">
        <w:rPr>
          <w:rFonts w:eastAsiaTheme="minorEastAsia"/>
          <w:sz w:val="22"/>
          <w:szCs w:val="22"/>
          <w:lang w:val="en-GB"/>
        </w:rPr>
        <w:t>.</w:t>
      </w:r>
      <w:r w:rsidRPr="00EB0558">
        <w:rPr>
          <w:rFonts w:eastAsiaTheme="minorEastAsia"/>
          <w:sz w:val="22"/>
          <w:szCs w:val="22"/>
          <w:lang w:val="en-GB"/>
        </w:rPr>
        <w:t xml:space="preserve"> Recruitment of Hispanic women to the </w:t>
      </w:r>
      <w:r w:rsidR="00D139AF" w:rsidRPr="00EB0558">
        <w:rPr>
          <w:rFonts w:eastAsiaTheme="minorEastAsia"/>
          <w:sz w:val="22"/>
          <w:szCs w:val="22"/>
          <w:lang w:val="en-GB"/>
        </w:rPr>
        <w:t>w</w:t>
      </w:r>
      <w:r w:rsidRPr="00EB0558">
        <w:rPr>
          <w:rFonts w:eastAsiaTheme="minorEastAsia"/>
          <w:sz w:val="22"/>
          <w:szCs w:val="22"/>
          <w:lang w:val="en-GB"/>
        </w:rPr>
        <w:t xml:space="preserve">omen’s </w:t>
      </w:r>
      <w:r w:rsidR="00D139AF" w:rsidRPr="00EB0558">
        <w:rPr>
          <w:rFonts w:eastAsiaTheme="minorEastAsia"/>
          <w:sz w:val="22"/>
          <w:szCs w:val="22"/>
          <w:lang w:val="en-GB"/>
        </w:rPr>
        <w:t>h</w:t>
      </w:r>
      <w:r w:rsidRPr="00EB0558">
        <w:rPr>
          <w:rFonts w:eastAsiaTheme="minorEastAsia"/>
          <w:sz w:val="22"/>
          <w:szCs w:val="22"/>
          <w:lang w:val="en-GB"/>
        </w:rPr>
        <w:t xml:space="preserve">ealth Initiative: The case of Embajadoras in Arizona. </w:t>
      </w:r>
      <w:r w:rsidRPr="00EB0558">
        <w:rPr>
          <w:rFonts w:eastAsiaTheme="minorEastAsia"/>
          <w:i/>
          <w:iCs/>
          <w:sz w:val="22"/>
          <w:szCs w:val="22"/>
          <w:lang w:val="en-GB"/>
        </w:rPr>
        <w:t>Controlled Clinical Trials, 23</w:t>
      </w:r>
      <w:r w:rsidRPr="00EB0558">
        <w:rPr>
          <w:rFonts w:eastAsiaTheme="minorEastAsia"/>
          <w:sz w:val="22"/>
          <w:szCs w:val="22"/>
          <w:lang w:val="en-GB"/>
        </w:rPr>
        <w:t>(3), 289–298.</w:t>
      </w:r>
    </w:p>
    <w:p w14:paraId="26043775" w14:textId="193926DB"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 xml:space="preserve">Ledger, A. J., &amp; Baker, F. A. (2007). An investigation of long-term effects of group music therapy on agitation levels of people with Alzheimer's Disease. </w:t>
      </w:r>
      <w:r w:rsidRPr="00EB0558">
        <w:rPr>
          <w:i/>
          <w:iCs/>
          <w:color w:val="000000" w:themeColor="text1"/>
          <w:sz w:val="22"/>
          <w:szCs w:val="22"/>
        </w:rPr>
        <w:t>Aging &amp; Mental Health, 11</w:t>
      </w:r>
      <w:r w:rsidRPr="00EB0558">
        <w:rPr>
          <w:color w:val="000000" w:themeColor="text1"/>
          <w:sz w:val="22"/>
          <w:szCs w:val="22"/>
        </w:rPr>
        <w:t>(3), 330-338.</w:t>
      </w:r>
    </w:p>
    <w:p w14:paraId="0CC2AFC2" w14:textId="632D213C" w:rsidR="00816179" w:rsidRPr="00EB0558" w:rsidRDefault="4DD75D73" w:rsidP="4DD75D73">
      <w:pPr>
        <w:adjustRightInd w:val="0"/>
        <w:spacing w:line="480" w:lineRule="auto"/>
        <w:ind w:left="567" w:hanging="567"/>
        <w:rPr>
          <w:rFonts w:eastAsiaTheme="minorEastAsia"/>
          <w:sz w:val="22"/>
          <w:szCs w:val="22"/>
          <w:lang w:val="en-GB"/>
        </w:rPr>
      </w:pPr>
      <w:r w:rsidRPr="00EB0558">
        <w:rPr>
          <w:rFonts w:eastAsiaTheme="minorEastAsia"/>
          <w:sz w:val="22"/>
          <w:szCs w:val="22"/>
          <w:lang w:val="en-GB"/>
        </w:rPr>
        <w:t xml:space="preserve">Liu, Y., Pencheon, E., Hunter, R. M., Moncrieff, J., &amp; Freemantle, N. (2018). Recruitment and retention strategies in mental health trials: A systematic review. </w:t>
      </w:r>
      <w:r w:rsidRPr="00EB0558">
        <w:rPr>
          <w:rFonts w:eastAsiaTheme="minorEastAsia"/>
          <w:i/>
          <w:iCs/>
          <w:sz w:val="22"/>
          <w:szCs w:val="22"/>
          <w:lang w:val="en-GB"/>
        </w:rPr>
        <w:t>PLoS ONE, 13</w:t>
      </w:r>
      <w:r w:rsidRPr="00EB0558">
        <w:rPr>
          <w:rFonts w:eastAsiaTheme="minorEastAsia"/>
          <w:sz w:val="22"/>
          <w:szCs w:val="22"/>
          <w:lang w:val="en-GB"/>
        </w:rPr>
        <w:t>(8): e0203127. https://doi.org/10.1371/journal.pone.0203127</w:t>
      </w:r>
    </w:p>
    <w:p w14:paraId="547A487D" w14:textId="1440CF99" w:rsidR="002B387B" w:rsidRPr="00EB0558" w:rsidRDefault="4DD75D73" w:rsidP="4DD75D73">
      <w:pPr>
        <w:adjustRightInd w:val="0"/>
        <w:spacing w:line="480" w:lineRule="auto"/>
        <w:ind w:left="567" w:hanging="567"/>
        <w:rPr>
          <w:rFonts w:eastAsiaTheme="minorEastAsia"/>
          <w:sz w:val="22"/>
          <w:szCs w:val="22"/>
          <w:lang w:val="en-GB"/>
        </w:rPr>
      </w:pPr>
      <w:r w:rsidRPr="00EB0558">
        <w:rPr>
          <w:rFonts w:eastAsiaTheme="minorEastAsia"/>
          <w:sz w:val="22"/>
          <w:szCs w:val="22"/>
          <w:lang w:val="en-GB"/>
        </w:rPr>
        <w:t xml:space="preserve">Lovato, L. C., Hill, K., Hertert, S., Hunninghake, D. B., &amp; Probstfield, J. L. (1997). Recruitment for controlled clinical trials: Literature summary and annotated bibliography. </w:t>
      </w:r>
      <w:r w:rsidRPr="00EB0558">
        <w:rPr>
          <w:rFonts w:eastAsiaTheme="minorEastAsia"/>
          <w:i/>
          <w:iCs/>
          <w:sz w:val="22"/>
          <w:szCs w:val="22"/>
          <w:lang w:val="en-GB"/>
        </w:rPr>
        <w:t>Controlled Clinical Trials, 18</w:t>
      </w:r>
      <w:r w:rsidRPr="00EB0558">
        <w:rPr>
          <w:rFonts w:eastAsiaTheme="minorEastAsia"/>
          <w:sz w:val="22"/>
          <w:szCs w:val="22"/>
          <w:lang w:val="en-GB"/>
        </w:rPr>
        <w:t>, 328–352.</w:t>
      </w:r>
    </w:p>
    <w:p w14:paraId="4639A388" w14:textId="1A11C4E8" w:rsidR="00400D5A" w:rsidRPr="00EB0558" w:rsidRDefault="4DD75D73" w:rsidP="4DD75D73">
      <w:pPr>
        <w:adjustRightInd w:val="0"/>
        <w:spacing w:line="480" w:lineRule="auto"/>
        <w:ind w:left="567" w:hanging="567"/>
        <w:rPr>
          <w:rFonts w:eastAsiaTheme="minorEastAsia"/>
          <w:sz w:val="22"/>
          <w:szCs w:val="22"/>
          <w:lang w:val="en-GB"/>
        </w:rPr>
      </w:pPr>
      <w:r w:rsidRPr="00EB0558">
        <w:rPr>
          <w:rFonts w:eastAsiaTheme="minorEastAsia"/>
          <w:sz w:val="22"/>
          <w:szCs w:val="22"/>
          <w:lang w:val="en-GB"/>
        </w:rPr>
        <w:t xml:space="preserve">Marcantonio, E. R., Aneja, J., Jones, R. N., Alsop, D. C., Fong, T. G., Crosby, G. J., Culley, D. J., Cupples, A., &amp; Inouye, S. K. (2008). Maximizing clinical research participation in vulnerable older persons: Identification of barriers and motivators. </w:t>
      </w:r>
      <w:r w:rsidRPr="00EB0558">
        <w:rPr>
          <w:rFonts w:eastAsiaTheme="minorEastAsia"/>
          <w:i/>
          <w:iCs/>
          <w:sz w:val="22"/>
          <w:szCs w:val="22"/>
          <w:lang w:val="en-GB"/>
        </w:rPr>
        <w:t>Journal of the American Geriatrics Society, 56</w:t>
      </w:r>
      <w:r w:rsidRPr="00EB0558">
        <w:rPr>
          <w:rFonts w:eastAsiaTheme="minorEastAsia"/>
          <w:sz w:val="22"/>
          <w:szCs w:val="22"/>
          <w:lang w:val="en-GB"/>
        </w:rPr>
        <w:t>(8), 1522–1527.</w:t>
      </w:r>
    </w:p>
    <w:p w14:paraId="3C5ED91F" w14:textId="29F20E0C" w:rsidR="002B387B" w:rsidRPr="00EB0558" w:rsidRDefault="4DD75D73" w:rsidP="161157E8">
      <w:pPr>
        <w:adjustRightInd w:val="0"/>
        <w:spacing w:line="480" w:lineRule="auto"/>
        <w:ind w:left="567" w:hanging="567"/>
        <w:rPr>
          <w:rFonts w:eastAsiaTheme="minorEastAsia"/>
          <w:sz w:val="22"/>
          <w:szCs w:val="22"/>
          <w:lang w:val="en-GB"/>
        </w:rPr>
      </w:pPr>
      <w:r w:rsidRPr="00EB0558">
        <w:rPr>
          <w:rFonts w:eastAsiaTheme="minorEastAsia"/>
          <w:sz w:val="22"/>
          <w:szCs w:val="22"/>
          <w:lang w:val="en-GB"/>
        </w:rPr>
        <w:t xml:space="preserve">McDonald, A. M., Knight, R. C., Campbell, M. K., Entwistle, V. A., Grant, A. M., &amp; Cook, J. A. (2006). What influences recruitment to randomised controlled trials? A review of trials funded by two UK funding agencies. </w:t>
      </w:r>
      <w:r w:rsidRPr="00EB0558">
        <w:rPr>
          <w:rFonts w:eastAsiaTheme="minorEastAsia"/>
          <w:i/>
          <w:iCs/>
          <w:sz w:val="22"/>
          <w:szCs w:val="22"/>
          <w:lang w:val="en-GB"/>
        </w:rPr>
        <w:t>Trials, 7</w:t>
      </w:r>
      <w:r w:rsidRPr="00EB0558">
        <w:rPr>
          <w:rFonts w:eastAsiaTheme="minorEastAsia"/>
          <w:sz w:val="22"/>
          <w:szCs w:val="22"/>
          <w:lang w:val="en-GB"/>
        </w:rPr>
        <w:t>(9).</w:t>
      </w:r>
    </w:p>
    <w:p w14:paraId="27AC1F14" w14:textId="0AC62085" w:rsidR="4DD75D73" w:rsidRPr="00EB0558" w:rsidRDefault="2039F9E8" w:rsidP="4DD75D73">
      <w:pPr>
        <w:spacing w:line="480" w:lineRule="auto"/>
        <w:ind w:left="567" w:hanging="567"/>
        <w:rPr>
          <w:color w:val="000000" w:themeColor="text1"/>
          <w:sz w:val="22"/>
          <w:szCs w:val="22"/>
        </w:rPr>
      </w:pPr>
      <w:r w:rsidRPr="00EB0558">
        <w:rPr>
          <w:color w:val="000000" w:themeColor="text1"/>
          <w:sz w:val="22"/>
          <w:szCs w:val="22"/>
        </w:rPr>
        <w:lastRenderedPageBreak/>
        <w:t xml:space="preserve">Mittelman, M. S., &amp; Papayannopoulou, P. M. (2018). The unforgettables: A chorus for people with dementia with their family members and friends. </w:t>
      </w:r>
      <w:r w:rsidRPr="00EB0558">
        <w:rPr>
          <w:i/>
          <w:iCs/>
          <w:color w:val="000000" w:themeColor="text1"/>
          <w:sz w:val="22"/>
          <w:szCs w:val="22"/>
        </w:rPr>
        <w:t>International Psychogeriatrics, 30</w:t>
      </w:r>
      <w:r w:rsidRPr="00EB0558">
        <w:rPr>
          <w:color w:val="000000" w:themeColor="text1"/>
          <w:sz w:val="22"/>
          <w:szCs w:val="22"/>
        </w:rPr>
        <w:t>(6), 779-789.</w:t>
      </w:r>
    </w:p>
    <w:p w14:paraId="4A47387E" w14:textId="37172D51" w:rsidR="32B29D13" w:rsidRPr="00EB0558" w:rsidRDefault="2039F9E8" w:rsidP="00401071">
      <w:pPr>
        <w:spacing w:line="480" w:lineRule="auto"/>
        <w:ind w:left="567" w:hanging="567"/>
        <w:rPr>
          <w:color w:val="000000" w:themeColor="text1"/>
          <w:sz w:val="22"/>
          <w:szCs w:val="22"/>
        </w:rPr>
      </w:pPr>
      <w:r w:rsidRPr="00EB0558">
        <w:rPr>
          <w:color w:val="000000" w:themeColor="text1"/>
          <w:sz w:val="22"/>
          <w:szCs w:val="22"/>
          <w:lang w:val="en-US"/>
        </w:rPr>
        <w:t xml:space="preserve">Moreno-Morales. C., Calero, R., Moreno-Morales, P., </w:t>
      </w:r>
      <w:r w:rsidR="00D139AF" w:rsidRPr="00EB0558">
        <w:rPr>
          <w:color w:val="000000" w:themeColor="text1"/>
          <w:sz w:val="22"/>
          <w:szCs w:val="22"/>
          <w:lang w:val="en-US"/>
        </w:rPr>
        <w:t xml:space="preserve">&amp; </w:t>
      </w:r>
      <w:r w:rsidRPr="00EB0558">
        <w:rPr>
          <w:color w:val="000000" w:themeColor="text1"/>
          <w:sz w:val="22"/>
          <w:szCs w:val="22"/>
          <w:lang w:val="en-US"/>
        </w:rPr>
        <w:t xml:space="preserve">Pintado, C. (2020) Music </w:t>
      </w:r>
      <w:r w:rsidR="00D139AF" w:rsidRPr="00EB0558">
        <w:rPr>
          <w:color w:val="000000" w:themeColor="text1"/>
          <w:sz w:val="22"/>
          <w:szCs w:val="22"/>
          <w:lang w:val="en-US"/>
        </w:rPr>
        <w:t>t</w:t>
      </w:r>
      <w:r w:rsidRPr="00EB0558">
        <w:rPr>
          <w:color w:val="000000" w:themeColor="text1"/>
          <w:sz w:val="22"/>
          <w:szCs w:val="22"/>
          <w:lang w:val="en-US"/>
        </w:rPr>
        <w:t xml:space="preserve">herapy in the </w:t>
      </w:r>
      <w:r w:rsidR="00D139AF" w:rsidRPr="00EB0558">
        <w:rPr>
          <w:color w:val="000000" w:themeColor="text1"/>
          <w:sz w:val="22"/>
          <w:szCs w:val="22"/>
          <w:lang w:val="en-US"/>
        </w:rPr>
        <w:t>t</w:t>
      </w:r>
      <w:r w:rsidRPr="00EB0558">
        <w:rPr>
          <w:color w:val="000000" w:themeColor="text1"/>
          <w:sz w:val="22"/>
          <w:szCs w:val="22"/>
          <w:lang w:val="en-US"/>
        </w:rPr>
        <w:t xml:space="preserve">reatment of </w:t>
      </w:r>
      <w:r w:rsidR="00D139AF" w:rsidRPr="00EB0558">
        <w:rPr>
          <w:color w:val="000000" w:themeColor="text1"/>
          <w:sz w:val="22"/>
          <w:szCs w:val="22"/>
          <w:lang w:val="en-US"/>
        </w:rPr>
        <w:t>d</w:t>
      </w:r>
      <w:r w:rsidRPr="00EB0558">
        <w:rPr>
          <w:color w:val="000000" w:themeColor="text1"/>
          <w:sz w:val="22"/>
          <w:szCs w:val="22"/>
          <w:lang w:val="en-US"/>
        </w:rPr>
        <w:t xml:space="preserve">ementia: A </w:t>
      </w:r>
      <w:r w:rsidR="00D139AF" w:rsidRPr="00EB0558">
        <w:rPr>
          <w:color w:val="000000" w:themeColor="text1"/>
          <w:sz w:val="22"/>
          <w:szCs w:val="22"/>
          <w:lang w:val="en-US"/>
        </w:rPr>
        <w:t>s</w:t>
      </w:r>
      <w:r w:rsidRPr="00EB0558">
        <w:rPr>
          <w:color w:val="000000" w:themeColor="text1"/>
          <w:sz w:val="22"/>
          <w:szCs w:val="22"/>
          <w:lang w:val="en-US"/>
        </w:rPr>
        <w:t xml:space="preserve">ystematic </w:t>
      </w:r>
      <w:r w:rsidR="00D139AF" w:rsidRPr="00EB0558">
        <w:rPr>
          <w:color w:val="000000" w:themeColor="text1"/>
          <w:sz w:val="22"/>
          <w:szCs w:val="22"/>
          <w:lang w:val="en-US"/>
        </w:rPr>
        <w:t>r</w:t>
      </w:r>
      <w:r w:rsidRPr="00EB0558">
        <w:rPr>
          <w:color w:val="000000" w:themeColor="text1"/>
          <w:sz w:val="22"/>
          <w:szCs w:val="22"/>
          <w:lang w:val="en-US"/>
        </w:rPr>
        <w:t xml:space="preserve">eview and Meta-Analysis. </w:t>
      </w:r>
      <w:r w:rsidRPr="00EB0558">
        <w:rPr>
          <w:i/>
          <w:iCs/>
          <w:color w:val="000000" w:themeColor="text1"/>
          <w:sz w:val="22"/>
          <w:szCs w:val="22"/>
          <w:lang w:val="en-US"/>
        </w:rPr>
        <w:t>Front</w:t>
      </w:r>
      <w:r w:rsidR="00D139AF" w:rsidRPr="00EB0558">
        <w:rPr>
          <w:i/>
          <w:iCs/>
          <w:color w:val="000000" w:themeColor="text1"/>
          <w:sz w:val="22"/>
          <w:szCs w:val="22"/>
          <w:lang w:val="en-US"/>
        </w:rPr>
        <w:t>iers in</w:t>
      </w:r>
      <w:r w:rsidRPr="00EB0558">
        <w:rPr>
          <w:i/>
          <w:iCs/>
          <w:color w:val="000000" w:themeColor="text1"/>
          <w:sz w:val="22"/>
          <w:szCs w:val="22"/>
          <w:lang w:val="en-US"/>
        </w:rPr>
        <w:t xml:space="preserve"> Med</w:t>
      </w:r>
      <w:r w:rsidR="00D139AF" w:rsidRPr="00EB0558">
        <w:rPr>
          <w:i/>
          <w:iCs/>
          <w:color w:val="000000" w:themeColor="text1"/>
          <w:sz w:val="22"/>
          <w:szCs w:val="22"/>
          <w:lang w:val="en-US"/>
        </w:rPr>
        <w:t>icine,</w:t>
      </w:r>
      <w:r w:rsidRPr="00EB0558">
        <w:rPr>
          <w:color w:val="000000" w:themeColor="text1"/>
          <w:sz w:val="22"/>
          <w:szCs w:val="22"/>
          <w:lang w:val="en-US"/>
        </w:rPr>
        <w:t xml:space="preserve"> 7</w:t>
      </w:r>
      <w:r w:rsidR="00D139AF" w:rsidRPr="00EB0558">
        <w:rPr>
          <w:color w:val="000000" w:themeColor="text1"/>
          <w:sz w:val="22"/>
          <w:szCs w:val="22"/>
          <w:lang w:val="en-US"/>
        </w:rPr>
        <w:t xml:space="preserve">, </w:t>
      </w:r>
      <w:r w:rsidRPr="00EB0558">
        <w:rPr>
          <w:color w:val="000000" w:themeColor="text1"/>
          <w:sz w:val="22"/>
          <w:szCs w:val="22"/>
          <w:lang w:val="en-US"/>
        </w:rPr>
        <w:t xml:space="preserve">160. </w:t>
      </w:r>
      <w:r w:rsidRPr="00EB0558">
        <w:rPr>
          <w:color w:val="000000" w:themeColor="text1"/>
          <w:sz w:val="22"/>
          <w:szCs w:val="22"/>
        </w:rPr>
        <w:t>doi: 10.3389/fmed.2020.00160</w:t>
      </w:r>
    </w:p>
    <w:p w14:paraId="4D90F6D1" w14:textId="7FB79265" w:rsidR="4DD75D73" w:rsidRPr="00EB0558" w:rsidRDefault="4DD75D73" w:rsidP="4DD75D73">
      <w:pPr>
        <w:spacing w:line="480" w:lineRule="auto"/>
        <w:ind w:left="567" w:hanging="567"/>
        <w:rPr>
          <w:sz w:val="22"/>
          <w:szCs w:val="22"/>
        </w:rPr>
      </w:pPr>
      <w:r w:rsidRPr="00EB0558">
        <w:rPr>
          <w:sz w:val="22"/>
          <w:szCs w:val="22"/>
        </w:rPr>
        <w:t>Ouzzani, M., Hammady, H., Fedorowicz, Z., &amp; Elmagarmid, A. (2016). Rayyan – a web and mobile app for systematic reviews. Systematic Reviews. 5:210, DOI: 10.1186/s13643-016-0384-4</w:t>
      </w:r>
    </w:p>
    <w:p w14:paraId="5730D223" w14:textId="600A49DE" w:rsidR="161157E8" w:rsidRPr="00EB0558" w:rsidRDefault="4DD75D73" w:rsidP="161157E8">
      <w:pPr>
        <w:pStyle w:val="CommentText"/>
        <w:spacing w:line="480" w:lineRule="auto"/>
        <w:ind w:left="567" w:hanging="567"/>
        <w:rPr>
          <w:rStyle w:val="Hyperlink"/>
          <w:sz w:val="22"/>
          <w:szCs w:val="22"/>
        </w:rPr>
      </w:pPr>
      <w:r w:rsidRPr="00EB0558">
        <w:rPr>
          <w:sz w:val="22"/>
          <w:szCs w:val="22"/>
        </w:rPr>
        <w:t xml:space="preserve">Porter, S., McConnell, T., Lynn, F., McLaughlin, K., Cardwell, C., &amp; Holmes, V. (2014). Recruiting participants for randomized controlled trials of music therapy: A practical illustration. </w:t>
      </w:r>
      <w:r w:rsidRPr="00EB0558">
        <w:rPr>
          <w:i/>
          <w:iCs/>
          <w:sz w:val="22"/>
          <w:szCs w:val="22"/>
        </w:rPr>
        <w:t>Journal of Music Therapy, 51</w:t>
      </w:r>
      <w:r w:rsidRPr="00EB0558">
        <w:rPr>
          <w:sz w:val="22"/>
          <w:szCs w:val="22"/>
        </w:rPr>
        <w:t xml:space="preserve">(4), 355–381. </w:t>
      </w:r>
      <w:hyperlink r:id="rId13">
        <w:r w:rsidRPr="00EB0558">
          <w:rPr>
            <w:rStyle w:val="Hyperlink"/>
            <w:sz w:val="22"/>
            <w:szCs w:val="22"/>
          </w:rPr>
          <w:t>https://doi.org/10.1093/jmt/thu031</w:t>
        </w:r>
      </w:hyperlink>
    </w:p>
    <w:p w14:paraId="6C82C561" w14:textId="5D8BE514"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 xml:space="preserve">Ray, K. D., &amp; Gotell, E. (2018). The use of music and music therapy in ameliorating depression symptoms and improving well-being in nursing home residents with dementia. </w:t>
      </w:r>
      <w:r w:rsidRPr="00EB0558">
        <w:rPr>
          <w:i/>
          <w:iCs/>
          <w:color w:val="000000" w:themeColor="text1"/>
          <w:sz w:val="22"/>
          <w:szCs w:val="22"/>
        </w:rPr>
        <w:t>Frontiers in Medicine, 5</w:t>
      </w:r>
      <w:r w:rsidRPr="00EB0558">
        <w:rPr>
          <w:color w:val="000000" w:themeColor="text1"/>
          <w:sz w:val="22"/>
          <w:szCs w:val="22"/>
        </w:rPr>
        <w:t>, 101648047, 287.</w:t>
      </w:r>
    </w:p>
    <w:p w14:paraId="2B7A8690" w14:textId="08B47DB1" w:rsidR="161157E8" w:rsidRPr="00EB0558" w:rsidRDefault="2039F9E8" w:rsidP="2039F9E8">
      <w:pPr>
        <w:spacing w:line="480" w:lineRule="auto"/>
        <w:ind w:left="567" w:hanging="567"/>
        <w:rPr>
          <w:color w:val="000000" w:themeColor="text1"/>
          <w:sz w:val="22"/>
          <w:szCs w:val="22"/>
        </w:rPr>
      </w:pPr>
      <w:r w:rsidRPr="00EB0558">
        <w:rPr>
          <w:color w:val="000000" w:themeColor="text1"/>
          <w:sz w:val="22"/>
          <w:szCs w:val="22"/>
        </w:rPr>
        <w:t xml:space="preserve">Ray, K. D., &amp; Mittelman, M. S. (2017). Music therapy: A nonpharmacological approach to the care of agitation and depressive symptoms for nursing home residents with dementia. </w:t>
      </w:r>
      <w:r w:rsidRPr="00EB0558">
        <w:rPr>
          <w:i/>
          <w:iCs/>
          <w:color w:val="000000" w:themeColor="text1"/>
          <w:sz w:val="22"/>
          <w:szCs w:val="22"/>
        </w:rPr>
        <w:t>Dementia, 16</w:t>
      </w:r>
      <w:r w:rsidRPr="00EB0558">
        <w:rPr>
          <w:color w:val="000000" w:themeColor="text1"/>
          <w:sz w:val="22"/>
          <w:szCs w:val="22"/>
        </w:rPr>
        <w:t>(6), 689-710.</w:t>
      </w:r>
    </w:p>
    <w:p w14:paraId="3302DA54" w14:textId="6E1246E1" w:rsidR="32B29D13" w:rsidRPr="00EB0558" w:rsidRDefault="2039F9E8" w:rsidP="00401071">
      <w:pPr>
        <w:spacing w:line="480" w:lineRule="auto"/>
        <w:ind w:left="567" w:hanging="567"/>
        <w:jc w:val="both"/>
        <w:rPr>
          <w:color w:val="000000" w:themeColor="text1"/>
          <w:sz w:val="22"/>
          <w:szCs w:val="22"/>
          <w:lang w:val="en-US"/>
        </w:rPr>
      </w:pPr>
      <w:r w:rsidRPr="00EB0558">
        <w:rPr>
          <w:color w:val="000000" w:themeColor="text1"/>
          <w:sz w:val="22"/>
          <w:szCs w:val="22"/>
          <w:lang w:val="en-US"/>
        </w:rPr>
        <w:t xml:space="preserve">Ridder, H. M. (2003). </w:t>
      </w:r>
      <w:r w:rsidRPr="00EB0558">
        <w:rPr>
          <w:i/>
          <w:iCs/>
          <w:color w:val="000000" w:themeColor="text1"/>
          <w:sz w:val="22"/>
          <w:szCs w:val="22"/>
          <w:lang w:val="en-US"/>
        </w:rPr>
        <w:t>Singing Dialogue: Music therapy with persons in advanced stages of dementia. A case study research design.</w:t>
      </w:r>
      <w:r w:rsidRPr="00EB0558">
        <w:rPr>
          <w:color w:val="000000" w:themeColor="text1"/>
          <w:sz w:val="22"/>
          <w:szCs w:val="22"/>
          <w:lang w:val="en-US"/>
        </w:rPr>
        <w:t xml:space="preserve"> Aalborg Universitet: Institut for Musik og Musikterapi, Aalborg Universitet. </w:t>
      </w:r>
    </w:p>
    <w:p w14:paraId="5269FD83" w14:textId="7B45DDBE" w:rsidR="32B29D13" w:rsidRPr="00EB0558" w:rsidRDefault="2039F9E8" w:rsidP="00401071">
      <w:pPr>
        <w:spacing w:line="480" w:lineRule="auto"/>
        <w:ind w:left="567" w:hanging="567"/>
      </w:pPr>
      <w:r w:rsidRPr="00EB0558">
        <w:rPr>
          <w:color w:val="000000" w:themeColor="text1"/>
          <w:sz w:val="22"/>
          <w:szCs w:val="22"/>
          <w:lang w:val="en-US"/>
        </w:rPr>
        <w:t xml:space="preserve">Ridder, H. M. (2005). An overview of therapeutic initiatives when working with people suffering from dementia. In D. Aldridge (Ed.), </w:t>
      </w:r>
      <w:r w:rsidRPr="00EB0558">
        <w:rPr>
          <w:i/>
          <w:iCs/>
          <w:color w:val="000000" w:themeColor="text1"/>
          <w:sz w:val="22"/>
          <w:szCs w:val="22"/>
          <w:lang w:val="en-US"/>
        </w:rPr>
        <w:t>Music therapy and neurological rehabilitation: Performing health</w:t>
      </w:r>
      <w:r w:rsidRPr="00EB0558">
        <w:rPr>
          <w:color w:val="000000" w:themeColor="text1"/>
          <w:sz w:val="22"/>
          <w:szCs w:val="22"/>
          <w:lang w:val="en-US"/>
        </w:rPr>
        <w:t xml:space="preserve"> (pp. 61-82)</w:t>
      </w:r>
      <w:r w:rsidRPr="00EB0558">
        <w:rPr>
          <w:i/>
          <w:iCs/>
          <w:color w:val="000000" w:themeColor="text1"/>
          <w:sz w:val="22"/>
          <w:szCs w:val="22"/>
          <w:lang w:val="en-US"/>
        </w:rPr>
        <w:t>.</w:t>
      </w:r>
      <w:r w:rsidRPr="00EB0558">
        <w:rPr>
          <w:color w:val="000000" w:themeColor="text1"/>
          <w:sz w:val="22"/>
          <w:szCs w:val="22"/>
          <w:lang w:val="en-US"/>
        </w:rPr>
        <w:t xml:space="preserve"> London, UK: Jessica Kingsley Publishers.</w:t>
      </w:r>
    </w:p>
    <w:p w14:paraId="1A7DAD91" w14:textId="7E1773BD" w:rsidR="161157E8" w:rsidRPr="00EB0558" w:rsidRDefault="4DD75D73" w:rsidP="161157E8">
      <w:pPr>
        <w:spacing w:line="480" w:lineRule="auto"/>
        <w:ind w:left="567" w:hanging="567"/>
        <w:rPr>
          <w:color w:val="000000" w:themeColor="text1"/>
          <w:sz w:val="22"/>
          <w:szCs w:val="22"/>
        </w:rPr>
      </w:pPr>
      <w:r w:rsidRPr="00EB0558">
        <w:rPr>
          <w:color w:val="000000" w:themeColor="text1"/>
          <w:sz w:val="22"/>
          <w:szCs w:val="22"/>
        </w:rPr>
        <w:t xml:space="preserve">Ridder, H. M., Stige, B., Qvale, L. G., &amp; Gold, C. (2013). Individual music therapy for agitation in dementia: An exploratory randomized controlled trial. </w:t>
      </w:r>
      <w:r w:rsidRPr="00EB0558">
        <w:rPr>
          <w:i/>
          <w:iCs/>
          <w:color w:val="000000" w:themeColor="text1"/>
          <w:sz w:val="22"/>
          <w:szCs w:val="22"/>
        </w:rPr>
        <w:t>Aging &amp; Mental Health, 17</w:t>
      </w:r>
      <w:r w:rsidRPr="00EB0558">
        <w:rPr>
          <w:color w:val="000000" w:themeColor="text1"/>
          <w:sz w:val="22"/>
          <w:szCs w:val="22"/>
        </w:rPr>
        <w:t>(6), 667 – 678.</w:t>
      </w:r>
    </w:p>
    <w:p w14:paraId="3B1A6F7F" w14:textId="6420CDFC" w:rsidR="002D2834" w:rsidRPr="00EB0558" w:rsidRDefault="4DD75D73" w:rsidP="00C8193C">
      <w:pPr>
        <w:spacing w:before="4" w:line="480" w:lineRule="auto"/>
        <w:ind w:left="567" w:hanging="567"/>
        <w:rPr>
          <w:sz w:val="22"/>
          <w:szCs w:val="22"/>
        </w:rPr>
      </w:pPr>
      <w:r w:rsidRPr="00EB0558">
        <w:rPr>
          <w:rFonts w:eastAsiaTheme="minorEastAsia"/>
          <w:sz w:val="22"/>
          <w:szCs w:val="22"/>
          <w:lang w:val="en-GB"/>
        </w:rPr>
        <w:t xml:space="preserve">Sackett, D. L., Rosenberg, W. M., Gray, J. A., Haynes, R. B., &amp; Richardson, W. S. (1996). Evidence based medicine: What it is and what it isn’t. </w:t>
      </w:r>
      <w:r w:rsidRPr="00EB0558">
        <w:rPr>
          <w:rFonts w:eastAsiaTheme="minorEastAsia"/>
          <w:i/>
          <w:iCs/>
          <w:sz w:val="22"/>
          <w:szCs w:val="22"/>
          <w:lang w:val="en-GB"/>
        </w:rPr>
        <w:t>BMJ, 312</w:t>
      </w:r>
      <w:r w:rsidRPr="00EB0558">
        <w:rPr>
          <w:rFonts w:eastAsiaTheme="minorEastAsia"/>
          <w:sz w:val="22"/>
          <w:szCs w:val="22"/>
          <w:lang w:val="en-GB"/>
        </w:rPr>
        <w:t>, 71–72.</w:t>
      </w:r>
    </w:p>
    <w:p w14:paraId="2EFF63A6" w14:textId="386A7005" w:rsidR="4DD75D73" w:rsidRPr="00EB0558" w:rsidRDefault="2039F9E8" w:rsidP="4DD75D73">
      <w:pPr>
        <w:spacing w:line="480" w:lineRule="auto"/>
        <w:ind w:left="567" w:hanging="567"/>
        <w:rPr>
          <w:color w:val="000000" w:themeColor="text1"/>
          <w:sz w:val="22"/>
          <w:szCs w:val="22"/>
        </w:rPr>
      </w:pPr>
      <w:r w:rsidRPr="00EB0558">
        <w:rPr>
          <w:color w:val="000000" w:themeColor="text1"/>
          <w:sz w:val="22"/>
          <w:szCs w:val="22"/>
          <w:lang w:val="fi-FI"/>
        </w:rPr>
        <w:lastRenderedPageBreak/>
        <w:t xml:space="preserve">Sarkamo, T., Tervaniemi, M., Laitinen, S., Numminen, A., Kurki, M., Johnson, J. K., &amp; Rantanen, P. (2014). </w:t>
      </w:r>
      <w:r w:rsidRPr="00EB0558">
        <w:rPr>
          <w:color w:val="000000" w:themeColor="text1"/>
          <w:sz w:val="22"/>
          <w:szCs w:val="22"/>
        </w:rPr>
        <w:t xml:space="preserve">Cognitive, emotional, and social benefits of regular musical activities in early dementia: Randomized controlled study. </w:t>
      </w:r>
      <w:r w:rsidRPr="00EB0558">
        <w:rPr>
          <w:i/>
          <w:iCs/>
          <w:color w:val="000000" w:themeColor="text1"/>
          <w:sz w:val="22"/>
          <w:szCs w:val="22"/>
        </w:rPr>
        <w:t>The Gerontologist, 54</w:t>
      </w:r>
      <w:r w:rsidRPr="00EB0558">
        <w:rPr>
          <w:color w:val="000000" w:themeColor="text1"/>
          <w:sz w:val="22"/>
          <w:szCs w:val="22"/>
        </w:rPr>
        <w:t>(4), 634-650.</w:t>
      </w:r>
    </w:p>
    <w:p w14:paraId="4B806586" w14:textId="141A587A" w:rsidR="161157E8" w:rsidRPr="00EB0558" w:rsidRDefault="4DD75D73" w:rsidP="161157E8">
      <w:pPr>
        <w:spacing w:line="480" w:lineRule="auto"/>
        <w:ind w:left="567" w:hanging="567"/>
        <w:rPr>
          <w:color w:val="000000" w:themeColor="text1"/>
          <w:sz w:val="22"/>
          <w:szCs w:val="22"/>
        </w:rPr>
      </w:pPr>
      <w:r w:rsidRPr="00EB0558">
        <w:rPr>
          <w:color w:val="000000" w:themeColor="text1"/>
          <w:sz w:val="22"/>
          <w:szCs w:val="22"/>
        </w:rPr>
        <w:t xml:space="preserve">Schall, A., Haberstroh, J., &amp; Pantel, J. (2015). Time series analysis of individual music therapy in dementia: Effects on communication behavior and emotional well-being. </w:t>
      </w:r>
      <w:r w:rsidRPr="00EB0558">
        <w:rPr>
          <w:i/>
          <w:iCs/>
          <w:color w:val="000000" w:themeColor="text1"/>
          <w:sz w:val="22"/>
          <w:szCs w:val="22"/>
        </w:rPr>
        <w:t>GeroPsych: The Journal of Gerontopsychology and Geriatric Psychiatry, 28</w:t>
      </w:r>
      <w:r w:rsidRPr="00EB0558">
        <w:rPr>
          <w:color w:val="000000" w:themeColor="text1"/>
          <w:sz w:val="22"/>
          <w:szCs w:val="22"/>
        </w:rPr>
        <w:t>(3), 113-122.</w:t>
      </w:r>
    </w:p>
    <w:p w14:paraId="6CA150A0" w14:textId="4759381C" w:rsidR="002B387B" w:rsidRPr="00EB0558" w:rsidRDefault="4DD75D73" w:rsidP="4DD75D73">
      <w:pPr>
        <w:adjustRightInd w:val="0"/>
        <w:spacing w:line="480" w:lineRule="auto"/>
        <w:ind w:left="567" w:hanging="567"/>
        <w:rPr>
          <w:rFonts w:eastAsiaTheme="minorEastAsia"/>
          <w:color w:val="000000" w:themeColor="text1"/>
          <w:sz w:val="22"/>
          <w:szCs w:val="22"/>
          <w:lang w:val="en-GB"/>
        </w:rPr>
      </w:pPr>
      <w:r w:rsidRPr="00EB0558">
        <w:rPr>
          <w:rFonts w:eastAsiaTheme="minorEastAsia"/>
          <w:color w:val="000000" w:themeColor="text1"/>
          <w:sz w:val="22"/>
          <w:szCs w:val="22"/>
          <w:lang w:val="en-GB"/>
        </w:rPr>
        <w:t xml:space="preserve">Sully, B. G. O., Julius, S. A., &amp; Nicholl J. (2013). A reinvestigation of recruitment to randomised, controlled, multicentre trials: A review of trials funded by two UK funding agencies. </w:t>
      </w:r>
      <w:r w:rsidRPr="00EB0558">
        <w:rPr>
          <w:rFonts w:eastAsiaTheme="minorEastAsia"/>
          <w:i/>
          <w:iCs/>
          <w:color w:val="000000" w:themeColor="text1"/>
          <w:sz w:val="22"/>
          <w:szCs w:val="22"/>
          <w:lang w:val="en-GB"/>
        </w:rPr>
        <w:t>Trials, 14</w:t>
      </w:r>
      <w:r w:rsidRPr="00EB0558">
        <w:rPr>
          <w:rFonts w:eastAsiaTheme="minorEastAsia"/>
          <w:color w:val="000000" w:themeColor="text1"/>
          <w:sz w:val="22"/>
          <w:szCs w:val="22"/>
          <w:lang w:val="en-GB"/>
        </w:rPr>
        <w:t>(166).</w:t>
      </w:r>
    </w:p>
    <w:p w14:paraId="2102DC4A" w14:textId="7FED07E0" w:rsidR="4DD75D73" w:rsidRPr="00EB0558" w:rsidRDefault="4DD75D73" w:rsidP="4DD75D73">
      <w:pPr>
        <w:spacing w:line="480" w:lineRule="auto"/>
        <w:ind w:left="567" w:hanging="567"/>
        <w:rPr>
          <w:color w:val="000000" w:themeColor="text1"/>
          <w:sz w:val="22"/>
          <w:szCs w:val="22"/>
        </w:rPr>
      </w:pPr>
      <w:r w:rsidRPr="00EB0558">
        <w:rPr>
          <w:color w:val="000000" w:themeColor="text1"/>
          <w:sz w:val="22"/>
          <w:szCs w:val="22"/>
        </w:rPr>
        <w:t>Svansdottir, H. B., &amp; Snaedal, J. (2006). Music therapy in moderate and severe dementia of Alzheimer's type: A case-control study.</w:t>
      </w:r>
      <w:r w:rsidRPr="00EB0558">
        <w:rPr>
          <w:i/>
          <w:iCs/>
          <w:color w:val="000000" w:themeColor="text1"/>
          <w:sz w:val="22"/>
          <w:szCs w:val="22"/>
        </w:rPr>
        <w:t xml:space="preserve"> International Psychogeriatrics, 18</w:t>
      </w:r>
      <w:r w:rsidRPr="00EB0558">
        <w:rPr>
          <w:color w:val="000000" w:themeColor="text1"/>
          <w:sz w:val="22"/>
          <w:szCs w:val="22"/>
        </w:rPr>
        <w:t>(4), 613-621.</w:t>
      </w:r>
    </w:p>
    <w:p w14:paraId="6F81BA8C" w14:textId="287D2C06" w:rsidR="002B387B" w:rsidRPr="00EB0558" w:rsidRDefault="4DD75D73" w:rsidP="4DD75D73">
      <w:pPr>
        <w:adjustRightInd w:val="0"/>
        <w:spacing w:line="480" w:lineRule="auto"/>
        <w:ind w:left="567" w:hanging="567"/>
        <w:rPr>
          <w:rFonts w:eastAsiaTheme="minorEastAsia"/>
          <w:sz w:val="22"/>
          <w:szCs w:val="22"/>
          <w:lang w:val="en-GB"/>
        </w:rPr>
      </w:pPr>
      <w:r w:rsidRPr="00EB0558">
        <w:rPr>
          <w:rFonts w:eastAsiaTheme="minorEastAsia"/>
          <w:sz w:val="22"/>
          <w:szCs w:val="22"/>
          <w:lang w:val="en-GB"/>
        </w:rPr>
        <w:t xml:space="preserve">Swanson, G. M., &amp; Ward, A. J. (1995). Recruiting minorities into clinical trials: Toward a participant-friendly system. </w:t>
      </w:r>
      <w:r w:rsidRPr="00EB0558">
        <w:rPr>
          <w:rFonts w:eastAsiaTheme="minorEastAsia"/>
          <w:i/>
          <w:iCs/>
          <w:sz w:val="22"/>
          <w:szCs w:val="22"/>
          <w:lang w:val="en-GB"/>
        </w:rPr>
        <w:t>Journal of the National Cancer Institute, 87</w:t>
      </w:r>
      <w:r w:rsidRPr="00EB0558">
        <w:rPr>
          <w:rFonts w:eastAsiaTheme="minorEastAsia"/>
          <w:sz w:val="22"/>
          <w:szCs w:val="22"/>
          <w:lang w:val="en-GB"/>
        </w:rPr>
        <w:t>(23), 1747–1759.</w:t>
      </w:r>
    </w:p>
    <w:p w14:paraId="28021C87" w14:textId="36F68AD2" w:rsidR="4DD75D73" w:rsidRPr="00EB0558" w:rsidRDefault="4161E447" w:rsidP="4DD75D73">
      <w:pPr>
        <w:spacing w:line="480" w:lineRule="auto"/>
        <w:ind w:left="567" w:hanging="567"/>
        <w:rPr>
          <w:color w:val="000000" w:themeColor="text1"/>
          <w:sz w:val="22"/>
          <w:szCs w:val="22"/>
          <w:lang w:val="nl-NL"/>
        </w:rPr>
      </w:pPr>
      <w:r w:rsidRPr="00EB0558">
        <w:rPr>
          <w:color w:val="000000" w:themeColor="text1"/>
          <w:sz w:val="22"/>
          <w:szCs w:val="22"/>
        </w:rPr>
        <w:t xml:space="preserve">Tamplin, J., Clark, I. N., Lee, Y-E. C., &amp; Baker, F. A. (2018). Remini-Sing: A feasibility study of therapeutic group singing to support relationship quality and wellbeing for community-dwelling people living with dementia and their family caregivers. </w:t>
      </w:r>
      <w:r w:rsidRPr="00EB0558">
        <w:rPr>
          <w:i/>
          <w:iCs/>
          <w:color w:val="000000" w:themeColor="text1"/>
          <w:sz w:val="22"/>
          <w:szCs w:val="22"/>
          <w:lang w:val="nl-NL"/>
        </w:rPr>
        <w:t>Frontiers in Medicine, 5</w:t>
      </w:r>
      <w:r w:rsidRPr="00EB0558">
        <w:rPr>
          <w:color w:val="000000" w:themeColor="text1"/>
          <w:sz w:val="22"/>
          <w:szCs w:val="22"/>
          <w:lang w:val="nl-NL"/>
        </w:rPr>
        <w:t>, 245.</w:t>
      </w:r>
    </w:p>
    <w:p w14:paraId="29F32886" w14:textId="5C7E405C" w:rsidR="32B29D13" w:rsidRPr="00EB0558" w:rsidRDefault="2039F9E8" w:rsidP="00401071">
      <w:pPr>
        <w:spacing w:line="480" w:lineRule="auto"/>
        <w:ind w:left="567" w:hanging="567"/>
        <w:rPr>
          <w:color w:val="000000" w:themeColor="text1"/>
          <w:sz w:val="22"/>
          <w:szCs w:val="22"/>
          <w:lang w:val="en-US"/>
        </w:rPr>
      </w:pPr>
      <w:r w:rsidRPr="00EB0558">
        <w:rPr>
          <w:color w:val="000000" w:themeColor="text1"/>
          <w:sz w:val="22"/>
          <w:szCs w:val="22"/>
          <w:lang w:val="nl-NL"/>
        </w:rPr>
        <w:t>van der Steen, J.</w:t>
      </w:r>
      <w:r w:rsidR="00D139AF" w:rsidRPr="00EB0558">
        <w:rPr>
          <w:color w:val="000000" w:themeColor="text1"/>
          <w:sz w:val="22"/>
          <w:szCs w:val="22"/>
          <w:lang w:val="nl-NL"/>
        </w:rPr>
        <w:t xml:space="preserve"> </w:t>
      </w:r>
      <w:r w:rsidRPr="00EB0558">
        <w:rPr>
          <w:color w:val="000000" w:themeColor="text1"/>
          <w:sz w:val="22"/>
          <w:szCs w:val="22"/>
          <w:lang w:val="nl-NL"/>
        </w:rPr>
        <w:t>T., Smaling, H.</w:t>
      </w:r>
      <w:r w:rsidR="00D139AF" w:rsidRPr="00EB0558">
        <w:rPr>
          <w:color w:val="000000" w:themeColor="text1"/>
          <w:sz w:val="22"/>
          <w:szCs w:val="22"/>
          <w:lang w:val="nl-NL"/>
        </w:rPr>
        <w:t xml:space="preserve"> </w:t>
      </w:r>
      <w:r w:rsidRPr="00EB0558">
        <w:rPr>
          <w:color w:val="000000" w:themeColor="text1"/>
          <w:sz w:val="22"/>
          <w:szCs w:val="22"/>
          <w:lang w:val="nl-NL"/>
        </w:rPr>
        <w:t>J.</w:t>
      </w:r>
      <w:r w:rsidR="00D139AF" w:rsidRPr="00EB0558">
        <w:rPr>
          <w:color w:val="000000" w:themeColor="text1"/>
          <w:sz w:val="22"/>
          <w:szCs w:val="22"/>
          <w:lang w:val="nl-NL"/>
        </w:rPr>
        <w:t xml:space="preserve"> </w:t>
      </w:r>
      <w:r w:rsidRPr="00EB0558">
        <w:rPr>
          <w:color w:val="000000" w:themeColor="text1"/>
          <w:sz w:val="22"/>
          <w:szCs w:val="22"/>
          <w:lang w:val="nl-NL"/>
        </w:rPr>
        <w:t>A., van der Wouden, J.C., Bruinsma, M.</w:t>
      </w:r>
      <w:r w:rsidR="00D139AF" w:rsidRPr="00EB0558">
        <w:rPr>
          <w:color w:val="000000" w:themeColor="text1"/>
          <w:sz w:val="22"/>
          <w:szCs w:val="22"/>
          <w:lang w:val="nl-NL"/>
        </w:rPr>
        <w:t xml:space="preserve"> </w:t>
      </w:r>
      <w:r w:rsidRPr="00EB0558">
        <w:rPr>
          <w:color w:val="000000" w:themeColor="text1"/>
          <w:sz w:val="22"/>
          <w:szCs w:val="22"/>
          <w:lang w:val="nl-NL"/>
        </w:rPr>
        <w:t>S., Scholten, R.</w:t>
      </w:r>
      <w:r w:rsidR="00D139AF" w:rsidRPr="00EB0558">
        <w:rPr>
          <w:color w:val="000000" w:themeColor="text1"/>
          <w:sz w:val="22"/>
          <w:szCs w:val="22"/>
          <w:lang w:val="nl-NL"/>
        </w:rPr>
        <w:t xml:space="preserve"> </w:t>
      </w:r>
      <w:r w:rsidRPr="00EB0558">
        <w:rPr>
          <w:color w:val="000000" w:themeColor="text1"/>
          <w:sz w:val="22"/>
          <w:szCs w:val="22"/>
          <w:lang w:val="nl-NL"/>
        </w:rPr>
        <w:t>J.</w:t>
      </w:r>
      <w:r w:rsidR="00D139AF" w:rsidRPr="00EB0558">
        <w:rPr>
          <w:color w:val="000000" w:themeColor="text1"/>
          <w:sz w:val="22"/>
          <w:szCs w:val="22"/>
          <w:lang w:val="nl-NL"/>
        </w:rPr>
        <w:t xml:space="preserve"> </w:t>
      </w:r>
      <w:r w:rsidRPr="00EB0558">
        <w:rPr>
          <w:color w:val="000000" w:themeColor="text1"/>
          <w:sz w:val="22"/>
          <w:szCs w:val="22"/>
          <w:lang w:val="nl-NL"/>
        </w:rPr>
        <w:t>P.</w:t>
      </w:r>
      <w:r w:rsidR="00D139AF" w:rsidRPr="00EB0558">
        <w:rPr>
          <w:color w:val="000000" w:themeColor="text1"/>
          <w:sz w:val="22"/>
          <w:szCs w:val="22"/>
          <w:lang w:val="nl-NL"/>
        </w:rPr>
        <w:t xml:space="preserve"> </w:t>
      </w:r>
      <w:r w:rsidRPr="00EB0558">
        <w:rPr>
          <w:color w:val="000000" w:themeColor="text1"/>
          <w:sz w:val="22"/>
          <w:szCs w:val="22"/>
          <w:lang w:val="nl-NL"/>
        </w:rPr>
        <w:t>M., &amp; Vink</w:t>
      </w:r>
      <w:r w:rsidR="00D139AF" w:rsidRPr="00EB0558">
        <w:rPr>
          <w:color w:val="000000" w:themeColor="text1"/>
          <w:sz w:val="22"/>
          <w:szCs w:val="22"/>
          <w:lang w:val="nl-NL"/>
        </w:rPr>
        <w:t>,</w:t>
      </w:r>
      <w:r w:rsidRPr="00EB0558">
        <w:rPr>
          <w:color w:val="000000" w:themeColor="text1"/>
          <w:sz w:val="22"/>
          <w:szCs w:val="22"/>
          <w:lang w:val="nl-NL"/>
        </w:rPr>
        <w:t xml:space="preserve"> A</w:t>
      </w:r>
      <w:r w:rsidR="00D139AF" w:rsidRPr="00EB0558">
        <w:rPr>
          <w:color w:val="000000" w:themeColor="text1"/>
          <w:sz w:val="22"/>
          <w:szCs w:val="22"/>
          <w:lang w:val="nl-NL"/>
        </w:rPr>
        <w:t xml:space="preserve">. </w:t>
      </w:r>
      <w:r w:rsidRPr="00EB0558">
        <w:rPr>
          <w:color w:val="000000" w:themeColor="text1"/>
          <w:sz w:val="22"/>
          <w:szCs w:val="22"/>
          <w:lang w:val="nl-NL"/>
        </w:rPr>
        <w:t xml:space="preserve">C. (2018). </w:t>
      </w:r>
      <w:r w:rsidRPr="00EB0558">
        <w:rPr>
          <w:color w:val="000000" w:themeColor="text1"/>
          <w:sz w:val="22"/>
          <w:szCs w:val="22"/>
          <w:lang w:val="en-US"/>
        </w:rPr>
        <w:t xml:space="preserve">Music-based therapeutic interventions for people with dementia. </w:t>
      </w:r>
      <w:r w:rsidRPr="00EB0558">
        <w:rPr>
          <w:i/>
          <w:iCs/>
          <w:color w:val="000000" w:themeColor="text1"/>
          <w:sz w:val="22"/>
          <w:szCs w:val="22"/>
          <w:lang w:val="en-US"/>
        </w:rPr>
        <w:t>Cochrane Database of Systematic Reviews</w:t>
      </w:r>
      <w:r w:rsidRPr="00EB0558">
        <w:rPr>
          <w:color w:val="000000" w:themeColor="text1"/>
          <w:sz w:val="22"/>
          <w:szCs w:val="22"/>
          <w:lang w:val="en-US"/>
        </w:rPr>
        <w:t>, 7 (CD003477). DOI: 10.1002/14651858.CD003477.pub4</w:t>
      </w:r>
    </w:p>
    <w:p w14:paraId="1932C372" w14:textId="613FB113" w:rsidR="002B387B" w:rsidRPr="00EB0558" w:rsidRDefault="4DD75D73" w:rsidP="4DD75D73">
      <w:pPr>
        <w:adjustRightInd w:val="0"/>
        <w:spacing w:line="480" w:lineRule="auto"/>
        <w:ind w:left="567" w:hanging="567"/>
        <w:rPr>
          <w:rFonts w:eastAsiaTheme="minorEastAsia"/>
          <w:sz w:val="22"/>
          <w:szCs w:val="22"/>
          <w:lang w:val="en-GB"/>
        </w:rPr>
      </w:pPr>
      <w:r w:rsidRPr="00EB0558">
        <w:rPr>
          <w:rFonts w:eastAsiaTheme="minorEastAsia"/>
          <w:sz w:val="22"/>
          <w:szCs w:val="22"/>
          <w:lang w:val="en-GB"/>
        </w:rPr>
        <w:t xml:space="preserve">Walson, P. D. (1999). Patient recruitment: US perspective. </w:t>
      </w:r>
      <w:r w:rsidRPr="00EB0558">
        <w:rPr>
          <w:rFonts w:eastAsiaTheme="minorEastAsia"/>
          <w:i/>
          <w:iCs/>
          <w:sz w:val="22"/>
          <w:szCs w:val="22"/>
          <w:lang w:val="en-GB"/>
        </w:rPr>
        <w:t>Pediatrics, 104</w:t>
      </w:r>
      <w:r w:rsidRPr="00EB0558">
        <w:rPr>
          <w:rFonts w:eastAsiaTheme="minorEastAsia"/>
          <w:sz w:val="22"/>
          <w:szCs w:val="22"/>
          <w:lang w:val="en-GB"/>
        </w:rPr>
        <w:t>, 619–622.</w:t>
      </w:r>
    </w:p>
    <w:p w14:paraId="3CDB9BF6" w14:textId="0ECA37E1" w:rsidR="005C01D3" w:rsidRPr="00EB0558" w:rsidRDefault="4DD75D73" w:rsidP="4DD75D73">
      <w:pPr>
        <w:spacing w:line="480" w:lineRule="auto"/>
        <w:ind w:left="567" w:hanging="567"/>
        <w:rPr>
          <w:sz w:val="22"/>
          <w:szCs w:val="22"/>
        </w:rPr>
      </w:pPr>
      <w:r w:rsidRPr="00EB0558">
        <w:rPr>
          <w:sz w:val="22"/>
          <w:szCs w:val="22"/>
        </w:rPr>
        <w:t xml:space="preserve">Walters, S. J., Bonacho dos Anjos Henriques-Cadby, I., Bortolami, O., Flight, L., Hind, D., Jacques, R. M., Knox, C., Nadin, B., Rothwell, J., Surtees, M., &amp; Julious, S. A. (2017). Recruitment and retention of participants in randomised controlled trials: A review of trials funded and published by the United Kingdom Health Technology Assessment Programme. </w:t>
      </w:r>
      <w:r w:rsidRPr="00EB0558">
        <w:rPr>
          <w:i/>
          <w:iCs/>
          <w:sz w:val="22"/>
          <w:szCs w:val="22"/>
        </w:rPr>
        <w:t xml:space="preserve">BMJ Open, 7, </w:t>
      </w:r>
      <w:r w:rsidRPr="00EB0558">
        <w:rPr>
          <w:sz w:val="22"/>
          <w:szCs w:val="22"/>
        </w:rPr>
        <w:t>e015276. doi: 10.1136/bmjopen-2016-015276</w:t>
      </w:r>
    </w:p>
    <w:p w14:paraId="6730A383" w14:textId="0C90C530" w:rsidR="161157E8" w:rsidRPr="00EB0558" w:rsidRDefault="4DD75D73" w:rsidP="161157E8">
      <w:pPr>
        <w:spacing w:line="480" w:lineRule="auto"/>
        <w:ind w:left="567" w:hanging="567"/>
        <w:rPr>
          <w:color w:val="000000" w:themeColor="text1"/>
          <w:sz w:val="22"/>
          <w:szCs w:val="22"/>
        </w:rPr>
      </w:pPr>
      <w:r w:rsidRPr="00EB0558">
        <w:rPr>
          <w:color w:val="000000" w:themeColor="text1"/>
          <w:sz w:val="22"/>
          <w:szCs w:val="22"/>
        </w:rPr>
        <w:lastRenderedPageBreak/>
        <w:t xml:space="preserve">Werner, J., Wosch, T., &amp; Gold, C. (2017). Effectiveness of group music therapy versus recreational group singing for depressive symptoms of elderly nursing home residents: Pragmatic trial. </w:t>
      </w:r>
      <w:r w:rsidRPr="00EB0558">
        <w:rPr>
          <w:i/>
          <w:iCs/>
          <w:color w:val="000000" w:themeColor="text1"/>
          <w:sz w:val="22"/>
          <w:szCs w:val="22"/>
        </w:rPr>
        <w:t>Aging &amp; Mental Health, 21</w:t>
      </w:r>
      <w:r w:rsidRPr="00EB0558">
        <w:rPr>
          <w:color w:val="000000" w:themeColor="text1"/>
          <w:sz w:val="22"/>
          <w:szCs w:val="22"/>
        </w:rPr>
        <w:t>(2), 147-155.</w:t>
      </w:r>
    </w:p>
    <w:p w14:paraId="34182B4A" w14:textId="5851FA40" w:rsidR="00DC5A0F" w:rsidRDefault="4DD75D73" w:rsidP="4DD75D73">
      <w:pPr>
        <w:spacing w:line="480" w:lineRule="auto"/>
        <w:ind w:left="567" w:hanging="567"/>
        <w:contextualSpacing/>
        <w:rPr>
          <w:rFonts w:eastAsiaTheme="minorEastAsia"/>
          <w:sz w:val="22"/>
          <w:szCs w:val="22"/>
          <w:lang w:val="en-GB"/>
        </w:rPr>
      </w:pPr>
      <w:r w:rsidRPr="00EB0558">
        <w:rPr>
          <w:rFonts w:eastAsiaTheme="minorEastAsia"/>
          <w:sz w:val="22"/>
          <w:szCs w:val="22"/>
          <w:lang w:val="en-GB"/>
        </w:rPr>
        <w:t xml:space="preserve">Weston, J., Hannah, M., &amp; Downes, J. (1997). Evaluating the benefits of a patient information video during the informed consent process. </w:t>
      </w:r>
      <w:r w:rsidRPr="00EB0558">
        <w:rPr>
          <w:rFonts w:eastAsiaTheme="minorEastAsia"/>
          <w:i/>
          <w:iCs/>
          <w:sz w:val="22"/>
          <w:szCs w:val="22"/>
          <w:lang w:val="en-GB"/>
        </w:rPr>
        <w:t>Patient Education and Counseling, 30</w:t>
      </w:r>
      <w:r w:rsidRPr="00EB0558">
        <w:rPr>
          <w:rFonts w:eastAsiaTheme="minorEastAsia"/>
          <w:sz w:val="22"/>
          <w:szCs w:val="22"/>
          <w:lang w:val="en-GB"/>
        </w:rPr>
        <w:t>(3), 239-245. Doi: 10.1016/s0738-3991(96)00968-8</w:t>
      </w:r>
    </w:p>
    <w:p w14:paraId="5BFA4377" w14:textId="77777777" w:rsidR="00DC5A0F" w:rsidRDefault="00DC5A0F">
      <w:pPr>
        <w:widowControl w:val="0"/>
        <w:autoSpaceDE w:val="0"/>
        <w:autoSpaceDN w:val="0"/>
        <w:rPr>
          <w:rFonts w:eastAsiaTheme="minorEastAsia"/>
          <w:sz w:val="22"/>
          <w:szCs w:val="22"/>
          <w:lang w:val="en-GB"/>
        </w:rPr>
      </w:pPr>
      <w:r>
        <w:rPr>
          <w:rFonts w:eastAsiaTheme="minorEastAsia"/>
          <w:sz w:val="22"/>
          <w:szCs w:val="22"/>
          <w:lang w:val="en-GB"/>
        </w:rPr>
        <w:br w:type="page"/>
      </w:r>
    </w:p>
    <w:p w14:paraId="015386B0" w14:textId="77777777" w:rsidR="00CD3B80" w:rsidRDefault="00CD3B80" w:rsidP="00EB31DF">
      <w:pPr>
        <w:pStyle w:val="Heading1"/>
        <w:rPr>
          <w:b/>
          <w:bCs/>
        </w:rPr>
      </w:pPr>
      <w:r>
        <w:rPr>
          <w:b/>
          <w:bCs/>
        </w:rPr>
        <w:lastRenderedPageBreak/>
        <w:t>Tables and Figures</w:t>
      </w:r>
    </w:p>
    <w:p w14:paraId="0018F3EA" w14:textId="079885D9" w:rsidR="001E7256" w:rsidRPr="00EB31DF" w:rsidRDefault="00DC5A0F" w:rsidP="00CD3B80">
      <w:pPr>
        <w:pStyle w:val="Heading2"/>
      </w:pPr>
      <w:r w:rsidRPr="00EB31DF">
        <w:t>Figure 1</w:t>
      </w:r>
      <w:r w:rsidR="00EB31DF" w:rsidRPr="00EB31DF">
        <w:t xml:space="preserve"> - </w:t>
      </w:r>
      <w:r w:rsidR="00EB31DF" w:rsidRPr="00EB31DF">
        <w:t>PRISMA flow diagram: study selection</w:t>
      </w:r>
    </w:p>
    <w:p w14:paraId="538C6E09" w14:textId="4C6749B2" w:rsidR="00EB31DF" w:rsidRDefault="00DC5A0F" w:rsidP="4DD75D73">
      <w:pPr>
        <w:spacing w:line="480" w:lineRule="auto"/>
        <w:ind w:left="567" w:hanging="567"/>
        <w:contextualSpacing/>
        <w:rPr>
          <w:sz w:val="22"/>
          <w:szCs w:val="22"/>
        </w:rPr>
      </w:pPr>
      <w:r>
        <w:rPr>
          <w:noProof/>
          <w:sz w:val="22"/>
          <w:szCs w:val="22"/>
        </w:rPr>
        <w:drawing>
          <wp:inline distT="0" distB="0" distL="0" distR="0" wp14:anchorId="46C4F302" wp14:editId="0D6D82E0">
            <wp:extent cx="5943600" cy="5926455"/>
            <wp:effectExtent l="0" t="0" r="0" b="0"/>
            <wp:docPr id="1" name="Picture 1" descr="P17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172#yI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5926455"/>
                    </a:xfrm>
                    <a:prstGeom prst="rect">
                      <a:avLst/>
                    </a:prstGeom>
                  </pic:spPr>
                </pic:pic>
              </a:graphicData>
            </a:graphic>
          </wp:inline>
        </w:drawing>
      </w:r>
    </w:p>
    <w:p w14:paraId="31831DDD" w14:textId="77777777" w:rsidR="00EB31DF" w:rsidRDefault="00EB31DF">
      <w:pPr>
        <w:widowControl w:val="0"/>
        <w:autoSpaceDE w:val="0"/>
        <w:autoSpaceDN w:val="0"/>
        <w:rPr>
          <w:sz w:val="22"/>
          <w:szCs w:val="22"/>
        </w:rPr>
      </w:pPr>
      <w:r>
        <w:rPr>
          <w:sz w:val="22"/>
          <w:szCs w:val="22"/>
        </w:rPr>
        <w:br w:type="page"/>
      </w:r>
    </w:p>
    <w:p w14:paraId="3E97460E" w14:textId="7886F7A2" w:rsidR="00DC5A0F" w:rsidRPr="00D33F50" w:rsidRDefault="00A221FB" w:rsidP="00CD3B80">
      <w:pPr>
        <w:pStyle w:val="Heading2"/>
      </w:pPr>
      <w:r w:rsidRPr="00D33F50">
        <w:lastRenderedPageBreak/>
        <w:t>Table 1</w:t>
      </w:r>
      <w:r w:rsidR="00AA7638" w:rsidRPr="00D33F50">
        <w:t xml:space="preserve"> - </w:t>
      </w:r>
      <w:r w:rsidR="00AA7638" w:rsidRPr="00D33F50">
        <w:t>Quality Checking Using PEDro (Cashin &amp; McAuley, 2020)</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86"/>
        <w:gridCol w:w="2130"/>
        <w:gridCol w:w="256"/>
        <w:gridCol w:w="256"/>
        <w:gridCol w:w="256"/>
        <w:gridCol w:w="245"/>
        <w:gridCol w:w="245"/>
        <w:gridCol w:w="245"/>
        <w:gridCol w:w="256"/>
        <w:gridCol w:w="256"/>
        <w:gridCol w:w="300"/>
        <w:gridCol w:w="300"/>
        <w:gridCol w:w="878"/>
      </w:tblGrid>
      <w:tr w:rsidR="00A221FB" w:rsidRPr="00A221FB" w14:paraId="56A78AE1" w14:textId="77777777" w:rsidTr="00A221FB">
        <w:trPr>
          <w:tblHeader/>
          <w:tblCellSpacing w:w="15" w:type="dxa"/>
        </w:trPr>
        <w:tc>
          <w:tcPr>
            <w:tcW w:w="0" w:type="auto"/>
            <w:vAlign w:val="center"/>
            <w:hideMark/>
          </w:tcPr>
          <w:p w14:paraId="7DAD9382"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0700E428"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PEDro Item Number</w:t>
            </w:r>
            <w:r w:rsidRPr="00A221FB">
              <w:rPr>
                <w:b/>
                <w:bCs/>
                <w:sz w:val="22"/>
                <w:szCs w:val="22"/>
                <w:vertAlign w:val="superscript"/>
                <w:lang w:val="en-GB"/>
              </w:rPr>
              <w:t>a</w:t>
            </w:r>
          </w:p>
        </w:tc>
        <w:tc>
          <w:tcPr>
            <w:tcW w:w="0" w:type="auto"/>
            <w:vAlign w:val="center"/>
            <w:hideMark/>
          </w:tcPr>
          <w:p w14:paraId="483D84CF" w14:textId="77777777" w:rsidR="00A221FB" w:rsidRPr="00A221FB" w:rsidRDefault="00A221FB" w:rsidP="00A221FB">
            <w:pPr>
              <w:spacing w:line="480" w:lineRule="auto"/>
              <w:ind w:left="567" w:hanging="567"/>
              <w:contextualSpacing/>
              <w:rPr>
                <w:b/>
                <w:bCs/>
                <w:sz w:val="22"/>
                <w:szCs w:val="22"/>
                <w:lang w:val="en-GB"/>
              </w:rPr>
            </w:pPr>
          </w:p>
        </w:tc>
        <w:tc>
          <w:tcPr>
            <w:tcW w:w="0" w:type="auto"/>
            <w:vAlign w:val="center"/>
            <w:hideMark/>
          </w:tcPr>
          <w:p w14:paraId="7B1CCE77"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1B29A032"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26F36679"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62AEEE4C"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6BF8B83E"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3FC10C2C"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6BFCD251"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5D1D6190"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4B34C022"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41BBA4A1" w14:textId="77777777" w:rsidR="00A221FB" w:rsidRPr="00A221FB" w:rsidRDefault="00A221FB" w:rsidP="00A221FB">
            <w:pPr>
              <w:spacing w:line="480" w:lineRule="auto"/>
              <w:ind w:left="567" w:hanging="567"/>
              <w:contextualSpacing/>
              <w:rPr>
                <w:sz w:val="22"/>
                <w:szCs w:val="22"/>
                <w:lang w:val="en-GB"/>
              </w:rPr>
            </w:pPr>
          </w:p>
        </w:tc>
      </w:tr>
      <w:tr w:rsidR="00A221FB" w:rsidRPr="00A221FB" w14:paraId="04369281" w14:textId="77777777" w:rsidTr="00A221FB">
        <w:trPr>
          <w:tblHeader/>
          <w:tblCellSpacing w:w="15" w:type="dxa"/>
        </w:trPr>
        <w:tc>
          <w:tcPr>
            <w:tcW w:w="0" w:type="auto"/>
            <w:vAlign w:val="center"/>
            <w:hideMark/>
          </w:tcPr>
          <w:p w14:paraId="7487C422"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Reference (Year)</w:t>
            </w:r>
          </w:p>
        </w:tc>
        <w:tc>
          <w:tcPr>
            <w:tcW w:w="0" w:type="auto"/>
            <w:vAlign w:val="center"/>
            <w:hideMark/>
          </w:tcPr>
          <w:p w14:paraId="177C49DC"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1</w:t>
            </w:r>
          </w:p>
        </w:tc>
        <w:tc>
          <w:tcPr>
            <w:tcW w:w="0" w:type="auto"/>
            <w:vAlign w:val="center"/>
            <w:hideMark/>
          </w:tcPr>
          <w:p w14:paraId="162A39FE"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2</w:t>
            </w:r>
          </w:p>
        </w:tc>
        <w:tc>
          <w:tcPr>
            <w:tcW w:w="0" w:type="auto"/>
            <w:vAlign w:val="center"/>
            <w:hideMark/>
          </w:tcPr>
          <w:p w14:paraId="6CFF7A2C"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3</w:t>
            </w:r>
          </w:p>
        </w:tc>
        <w:tc>
          <w:tcPr>
            <w:tcW w:w="0" w:type="auto"/>
            <w:vAlign w:val="center"/>
            <w:hideMark/>
          </w:tcPr>
          <w:p w14:paraId="1FFECCF8"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4</w:t>
            </w:r>
          </w:p>
        </w:tc>
        <w:tc>
          <w:tcPr>
            <w:tcW w:w="0" w:type="auto"/>
            <w:vAlign w:val="center"/>
            <w:hideMark/>
          </w:tcPr>
          <w:p w14:paraId="0D09F7A0"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5</w:t>
            </w:r>
          </w:p>
        </w:tc>
        <w:tc>
          <w:tcPr>
            <w:tcW w:w="0" w:type="auto"/>
            <w:vAlign w:val="center"/>
            <w:hideMark/>
          </w:tcPr>
          <w:p w14:paraId="526D6B13"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6</w:t>
            </w:r>
          </w:p>
        </w:tc>
        <w:tc>
          <w:tcPr>
            <w:tcW w:w="0" w:type="auto"/>
            <w:vAlign w:val="center"/>
            <w:hideMark/>
          </w:tcPr>
          <w:p w14:paraId="4AB18959"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7</w:t>
            </w:r>
          </w:p>
        </w:tc>
        <w:tc>
          <w:tcPr>
            <w:tcW w:w="0" w:type="auto"/>
            <w:vAlign w:val="center"/>
            <w:hideMark/>
          </w:tcPr>
          <w:p w14:paraId="17EF062F"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8</w:t>
            </w:r>
          </w:p>
        </w:tc>
        <w:tc>
          <w:tcPr>
            <w:tcW w:w="0" w:type="auto"/>
            <w:vAlign w:val="center"/>
            <w:hideMark/>
          </w:tcPr>
          <w:p w14:paraId="47CCED4D"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9</w:t>
            </w:r>
          </w:p>
        </w:tc>
        <w:tc>
          <w:tcPr>
            <w:tcW w:w="0" w:type="auto"/>
            <w:vAlign w:val="center"/>
            <w:hideMark/>
          </w:tcPr>
          <w:p w14:paraId="1BB86D9B"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10</w:t>
            </w:r>
          </w:p>
        </w:tc>
        <w:tc>
          <w:tcPr>
            <w:tcW w:w="0" w:type="auto"/>
            <w:vAlign w:val="center"/>
            <w:hideMark/>
          </w:tcPr>
          <w:p w14:paraId="0D51837E"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11</w:t>
            </w:r>
          </w:p>
        </w:tc>
        <w:tc>
          <w:tcPr>
            <w:tcW w:w="0" w:type="auto"/>
            <w:vAlign w:val="center"/>
            <w:hideMark/>
          </w:tcPr>
          <w:p w14:paraId="0B2E2463" w14:textId="77777777" w:rsidR="00A221FB" w:rsidRPr="00A221FB" w:rsidRDefault="00A221FB" w:rsidP="00A221FB">
            <w:pPr>
              <w:spacing w:line="480" w:lineRule="auto"/>
              <w:ind w:left="567" w:hanging="567"/>
              <w:contextualSpacing/>
              <w:rPr>
                <w:b/>
                <w:bCs/>
                <w:sz w:val="22"/>
                <w:szCs w:val="22"/>
                <w:lang w:val="en-GB"/>
              </w:rPr>
            </w:pPr>
            <w:r w:rsidRPr="00A221FB">
              <w:rPr>
                <w:b/>
                <w:bCs/>
                <w:sz w:val="22"/>
                <w:szCs w:val="22"/>
                <w:lang w:val="en-GB"/>
              </w:rPr>
              <w:t>Total/10</w:t>
            </w:r>
          </w:p>
        </w:tc>
      </w:tr>
      <w:tr w:rsidR="00A221FB" w:rsidRPr="00A221FB" w14:paraId="376DFBA6" w14:textId="77777777" w:rsidTr="00A221FB">
        <w:trPr>
          <w:tblCellSpacing w:w="15" w:type="dxa"/>
        </w:trPr>
        <w:tc>
          <w:tcPr>
            <w:tcW w:w="0" w:type="auto"/>
            <w:vAlign w:val="center"/>
            <w:hideMark/>
          </w:tcPr>
          <w:p w14:paraId="3C9F1C9B" w14:textId="5630C091" w:rsidR="00A221FB" w:rsidRPr="00A221FB" w:rsidRDefault="00A221FB" w:rsidP="00A221FB">
            <w:pPr>
              <w:spacing w:line="480" w:lineRule="auto"/>
              <w:ind w:left="567" w:hanging="567"/>
              <w:contextualSpacing/>
              <w:rPr>
                <w:sz w:val="22"/>
                <w:szCs w:val="22"/>
                <w:lang w:val="en-GB"/>
              </w:rPr>
            </w:pPr>
            <w:r w:rsidRPr="00A221FB">
              <w:rPr>
                <w:sz w:val="22"/>
                <w:szCs w:val="22"/>
                <w:lang w:val="en-GB"/>
              </w:rPr>
              <w:t>Baker et al. (2012) </w:t>
            </w:r>
          </w:p>
        </w:tc>
        <w:tc>
          <w:tcPr>
            <w:tcW w:w="0" w:type="auto"/>
            <w:vAlign w:val="center"/>
            <w:hideMark/>
          </w:tcPr>
          <w:p w14:paraId="3F19338F"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44DBD934"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1287B14"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9068A47"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1AF3A1BC"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0F9057E8"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2F891202"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3884AF71"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54B5E49"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476D075D"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3CC04364"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36E62D8B"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3/10 </w:t>
            </w:r>
          </w:p>
        </w:tc>
      </w:tr>
      <w:tr w:rsidR="00A221FB" w:rsidRPr="00A221FB" w14:paraId="7805A756" w14:textId="77777777" w:rsidTr="00A221FB">
        <w:trPr>
          <w:tblCellSpacing w:w="15" w:type="dxa"/>
        </w:trPr>
        <w:tc>
          <w:tcPr>
            <w:tcW w:w="0" w:type="auto"/>
            <w:vAlign w:val="center"/>
            <w:hideMark/>
          </w:tcPr>
          <w:p w14:paraId="115BD418" w14:textId="03E86F88" w:rsidR="00A221FB" w:rsidRPr="00A221FB" w:rsidRDefault="00A221FB" w:rsidP="00A221FB">
            <w:pPr>
              <w:spacing w:line="480" w:lineRule="auto"/>
              <w:ind w:left="567" w:hanging="567"/>
              <w:contextualSpacing/>
              <w:rPr>
                <w:sz w:val="22"/>
                <w:szCs w:val="22"/>
                <w:lang w:val="en-GB"/>
              </w:rPr>
            </w:pPr>
            <w:r w:rsidRPr="00A221FB">
              <w:rPr>
                <w:sz w:val="22"/>
                <w:szCs w:val="22"/>
                <w:lang w:val="en-GB"/>
              </w:rPr>
              <w:t>Baker et al. (2018) </w:t>
            </w:r>
          </w:p>
        </w:tc>
        <w:tc>
          <w:tcPr>
            <w:tcW w:w="0" w:type="auto"/>
            <w:vAlign w:val="center"/>
            <w:hideMark/>
          </w:tcPr>
          <w:p w14:paraId="0AE44675"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726FB0A5"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1D8A858"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2FBF224B"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293676B"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7BF35B58"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2043940"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371536E0"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43E6F50F"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0E541772"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B141F78"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E081B21"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4/10 </w:t>
            </w:r>
          </w:p>
        </w:tc>
      </w:tr>
      <w:tr w:rsidR="00A221FB" w:rsidRPr="00A221FB" w14:paraId="3963B920" w14:textId="77777777" w:rsidTr="00A221FB">
        <w:trPr>
          <w:tblCellSpacing w:w="15" w:type="dxa"/>
        </w:trPr>
        <w:tc>
          <w:tcPr>
            <w:tcW w:w="0" w:type="auto"/>
            <w:vAlign w:val="center"/>
            <w:hideMark/>
          </w:tcPr>
          <w:p w14:paraId="0BF19318" w14:textId="5D382847" w:rsidR="00A221FB" w:rsidRPr="00A221FB" w:rsidRDefault="00A221FB" w:rsidP="00A221FB">
            <w:pPr>
              <w:spacing w:line="480" w:lineRule="auto"/>
              <w:ind w:left="567" w:hanging="567"/>
              <w:contextualSpacing/>
              <w:rPr>
                <w:sz w:val="22"/>
                <w:szCs w:val="22"/>
                <w:lang w:val="en-GB"/>
              </w:rPr>
            </w:pPr>
            <w:r w:rsidRPr="00A221FB">
              <w:rPr>
                <w:sz w:val="22"/>
                <w:szCs w:val="22"/>
                <w:lang w:val="en-GB"/>
              </w:rPr>
              <w:t>Berger et al. (2004) </w:t>
            </w:r>
          </w:p>
        </w:tc>
        <w:tc>
          <w:tcPr>
            <w:tcW w:w="0" w:type="auto"/>
            <w:vAlign w:val="center"/>
            <w:hideMark/>
          </w:tcPr>
          <w:p w14:paraId="4DA4B524"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42C61379"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3E5EA4A"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6659F0D9"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2379981D"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0ACD5DDD"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0396AC26"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656DE82"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0DA2FD9E"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40E84873"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2A304A81"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19A711D4"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4/10 </w:t>
            </w:r>
          </w:p>
        </w:tc>
      </w:tr>
      <w:tr w:rsidR="00A221FB" w:rsidRPr="00A221FB" w14:paraId="51FDA6EE" w14:textId="77777777" w:rsidTr="00A221FB">
        <w:trPr>
          <w:tblCellSpacing w:w="15" w:type="dxa"/>
        </w:trPr>
        <w:tc>
          <w:tcPr>
            <w:tcW w:w="0" w:type="auto"/>
            <w:vAlign w:val="center"/>
            <w:hideMark/>
          </w:tcPr>
          <w:p w14:paraId="41C1C290" w14:textId="7175A002" w:rsidR="00A221FB" w:rsidRPr="00A221FB" w:rsidRDefault="00A221FB" w:rsidP="00A221FB">
            <w:pPr>
              <w:spacing w:line="480" w:lineRule="auto"/>
              <w:ind w:left="567" w:hanging="567"/>
              <w:contextualSpacing/>
              <w:rPr>
                <w:sz w:val="22"/>
                <w:szCs w:val="22"/>
                <w:lang w:val="en-GB"/>
              </w:rPr>
            </w:pPr>
            <w:r w:rsidRPr="00A221FB">
              <w:rPr>
                <w:sz w:val="22"/>
                <w:szCs w:val="22"/>
                <w:lang w:val="en-GB"/>
              </w:rPr>
              <w:t>Bruer et al. (2007) </w:t>
            </w:r>
          </w:p>
        </w:tc>
        <w:tc>
          <w:tcPr>
            <w:tcW w:w="0" w:type="auto"/>
            <w:vAlign w:val="center"/>
            <w:hideMark/>
          </w:tcPr>
          <w:p w14:paraId="4151E228"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7D5DFC2F"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19A0873F"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3E712C37"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16BA19E4"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7C80067B"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5685A7E6"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60870F46"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3861DFC6"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1DD285A0"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305D04AC"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7B890123"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5/10 </w:t>
            </w:r>
          </w:p>
        </w:tc>
      </w:tr>
      <w:tr w:rsidR="00A221FB" w:rsidRPr="00A221FB" w14:paraId="70531447" w14:textId="77777777" w:rsidTr="00A221FB">
        <w:trPr>
          <w:tblCellSpacing w:w="15" w:type="dxa"/>
        </w:trPr>
        <w:tc>
          <w:tcPr>
            <w:tcW w:w="0" w:type="auto"/>
            <w:vAlign w:val="center"/>
            <w:hideMark/>
          </w:tcPr>
          <w:p w14:paraId="0AF9E52F" w14:textId="31F07901" w:rsidR="00A221FB" w:rsidRPr="00A221FB" w:rsidRDefault="00A221FB" w:rsidP="00A221FB">
            <w:pPr>
              <w:spacing w:line="480" w:lineRule="auto"/>
              <w:ind w:left="567" w:hanging="567"/>
              <w:contextualSpacing/>
              <w:rPr>
                <w:sz w:val="22"/>
                <w:szCs w:val="22"/>
                <w:lang w:val="en-GB"/>
              </w:rPr>
            </w:pPr>
            <w:r w:rsidRPr="00A221FB">
              <w:rPr>
                <w:sz w:val="22"/>
                <w:szCs w:val="22"/>
                <w:lang w:val="en-GB"/>
              </w:rPr>
              <w:t>Choi et al. (2009) </w:t>
            </w:r>
          </w:p>
        </w:tc>
        <w:tc>
          <w:tcPr>
            <w:tcW w:w="0" w:type="auto"/>
            <w:vAlign w:val="center"/>
            <w:hideMark/>
          </w:tcPr>
          <w:p w14:paraId="2FDA050E"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A00C0C7"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69F07233"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859FB8C"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3F140EB7"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7F8548AF"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37426958"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09D033E8"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13640414"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7EFD40F6"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4B22B6E"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23903C9"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5/10 </w:t>
            </w:r>
          </w:p>
        </w:tc>
      </w:tr>
      <w:tr w:rsidR="00A221FB" w:rsidRPr="00A221FB" w14:paraId="1539FEB5" w14:textId="77777777" w:rsidTr="00A221FB">
        <w:trPr>
          <w:tblCellSpacing w:w="15" w:type="dxa"/>
        </w:trPr>
        <w:tc>
          <w:tcPr>
            <w:tcW w:w="0" w:type="auto"/>
            <w:vAlign w:val="center"/>
            <w:hideMark/>
          </w:tcPr>
          <w:p w14:paraId="3E3DD4F7" w14:textId="603CDCBA" w:rsidR="00A221FB" w:rsidRPr="00A221FB" w:rsidRDefault="00A221FB" w:rsidP="00A221FB">
            <w:pPr>
              <w:spacing w:line="480" w:lineRule="auto"/>
              <w:ind w:left="567" w:hanging="567"/>
              <w:contextualSpacing/>
              <w:rPr>
                <w:sz w:val="22"/>
                <w:szCs w:val="22"/>
                <w:lang w:val="en-GB"/>
              </w:rPr>
            </w:pPr>
            <w:r w:rsidRPr="00A221FB">
              <w:rPr>
                <w:sz w:val="22"/>
                <w:szCs w:val="22"/>
                <w:lang w:val="en-GB"/>
              </w:rPr>
              <w:t>Chu et al. (2014) </w:t>
            </w:r>
          </w:p>
        </w:tc>
        <w:tc>
          <w:tcPr>
            <w:tcW w:w="0" w:type="auto"/>
            <w:vAlign w:val="center"/>
            <w:hideMark/>
          </w:tcPr>
          <w:p w14:paraId="651FD43B"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111DC6BC"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3E5DD1F8"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304CEF5C"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12877537"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71A87BD2"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67A31402"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76438024"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1697E91B"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CD66662"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28229292"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15DC421"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7/10 </w:t>
            </w:r>
          </w:p>
        </w:tc>
      </w:tr>
      <w:tr w:rsidR="00A221FB" w:rsidRPr="00A221FB" w14:paraId="0018B4D8" w14:textId="77777777" w:rsidTr="00A221FB">
        <w:trPr>
          <w:tblCellSpacing w:w="15" w:type="dxa"/>
        </w:trPr>
        <w:tc>
          <w:tcPr>
            <w:tcW w:w="0" w:type="auto"/>
            <w:vAlign w:val="center"/>
            <w:hideMark/>
          </w:tcPr>
          <w:p w14:paraId="6CED1BA0" w14:textId="2BA0049F" w:rsidR="00A221FB" w:rsidRPr="00A221FB" w:rsidRDefault="00A221FB" w:rsidP="00A221FB">
            <w:pPr>
              <w:spacing w:line="480" w:lineRule="auto"/>
              <w:ind w:left="567" w:hanging="567"/>
              <w:contextualSpacing/>
              <w:rPr>
                <w:sz w:val="22"/>
                <w:szCs w:val="22"/>
                <w:lang w:val="en-GB"/>
              </w:rPr>
            </w:pPr>
            <w:r w:rsidRPr="00A221FB">
              <w:rPr>
                <w:sz w:val="22"/>
                <w:szCs w:val="22"/>
                <w:lang w:val="en-GB"/>
              </w:rPr>
              <w:t>Clair (2002) </w:t>
            </w:r>
          </w:p>
        </w:tc>
        <w:tc>
          <w:tcPr>
            <w:tcW w:w="0" w:type="auto"/>
            <w:vAlign w:val="center"/>
            <w:hideMark/>
          </w:tcPr>
          <w:p w14:paraId="5F49B9F7"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2A7027DA"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2BB597FC"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70946474"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07DEA20B"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02FB22B1"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776E9798"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68BAA45F"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B40AE8C"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B750920"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33EBE96B"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7C666AB6"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2/10 </w:t>
            </w:r>
          </w:p>
        </w:tc>
      </w:tr>
      <w:tr w:rsidR="00A221FB" w:rsidRPr="00A221FB" w14:paraId="2A7EDB78" w14:textId="77777777" w:rsidTr="00A221FB">
        <w:trPr>
          <w:tblCellSpacing w:w="15" w:type="dxa"/>
        </w:trPr>
        <w:tc>
          <w:tcPr>
            <w:tcW w:w="0" w:type="auto"/>
            <w:vAlign w:val="center"/>
            <w:hideMark/>
          </w:tcPr>
          <w:p w14:paraId="4EDE6529" w14:textId="46B679E5" w:rsidR="00A221FB" w:rsidRPr="00A221FB" w:rsidRDefault="00A221FB" w:rsidP="00A221FB">
            <w:pPr>
              <w:spacing w:line="480" w:lineRule="auto"/>
              <w:ind w:left="567" w:hanging="567"/>
              <w:contextualSpacing/>
              <w:rPr>
                <w:sz w:val="22"/>
                <w:szCs w:val="22"/>
                <w:lang w:val="en-GB"/>
              </w:rPr>
            </w:pPr>
            <w:r w:rsidRPr="00A221FB">
              <w:rPr>
                <w:sz w:val="22"/>
                <w:szCs w:val="22"/>
                <w:lang w:val="en-GB"/>
              </w:rPr>
              <w:t>Clair et al. (2005) </w:t>
            </w:r>
          </w:p>
        </w:tc>
        <w:tc>
          <w:tcPr>
            <w:tcW w:w="0" w:type="auto"/>
            <w:vAlign w:val="center"/>
            <w:hideMark/>
          </w:tcPr>
          <w:p w14:paraId="44DBB38E"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3B843803"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5A65945E"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05F9CCB8"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5B2F57E7"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24C2770"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7E91CA73"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3A10AB05"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2C7DA16E"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6AA6BECB"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19F256AD"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00F3F807"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2/10 </w:t>
            </w:r>
          </w:p>
        </w:tc>
      </w:tr>
      <w:tr w:rsidR="00A221FB" w:rsidRPr="00A221FB" w14:paraId="0BA44FE1" w14:textId="77777777" w:rsidTr="00A221FB">
        <w:trPr>
          <w:tblCellSpacing w:w="15" w:type="dxa"/>
        </w:trPr>
        <w:tc>
          <w:tcPr>
            <w:tcW w:w="0" w:type="auto"/>
            <w:vAlign w:val="center"/>
            <w:hideMark/>
          </w:tcPr>
          <w:p w14:paraId="5FB6438A" w14:textId="0109CF1D" w:rsidR="00A221FB" w:rsidRPr="00A221FB" w:rsidRDefault="00A221FB" w:rsidP="00A221FB">
            <w:pPr>
              <w:spacing w:line="480" w:lineRule="auto"/>
              <w:ind w:left="567" w:hanging="567"/>
              <w:contextualSpacing/>
              <w:rPr>
                <w:sz w:val="22"/>
                <w:szCs w:val="22"/>
                <w:lang w:val="en-GB"/>
              </w:rPr>
            </w:pPr>
            <w:r w:rsidRPr="00A221FB">
              <w:rPr>
                <w:sz w:val="22"/>
                <w:szCs w:val="22"/>
                <w:lang w:val="en-GB"/>
              </w:rPr>
              <w:t>Clements-Cortes (2013) </w:t>
            </w:r>
          </w:p>
        </w:tc>
        <w:tc>
          <w:tcPr>
            <w:tcW w:w="0" w:type="auto"/>
            <w:vAlign w:val="center"/>
            <w:hideMark/>
          </w:tcPr>
          <w:p w14:paraId="6E49EC45"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24FA0137"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260D4F0F"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679EAF24"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DB1D6DD"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3A8CAD82"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1E92A2B"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29039A93"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0A4DC2E9"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643B1F63"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B300263"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0BD87F9D"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2/10 </w:t>
            </w:r>
          </w:p>
        </w:tc>
      </w:tr>
      <w:tr w:rsidR="00A221FB" w:rsidRPr="00A221FB" w14:paraId="231F0244" w14:textId="77777777" w:rsidTr="00A221FB">
        <w:trPr>
          <w:tblCellSpacing w:w="15" w:type="dxa"/>
        </w:trPr>
        <w:tc>
          <w:tcPr>
            <w:tcW w:w="0" w:type="auto"/>
            <w:vAlign w:val="center"/>
            <w:hideMark/>
          </w:tcPr>
          <w:p w14:paraId="399913CD" w14:textId="78731D6A" w:rsidR="00A221FB" w:rsidRPr="00A221FB" w:rsidRDefault="00A221FB" w:rsidP="00A221FB">
            <w:pPr>
              <w:spacing w:line="480" w:lineRule="auto"/>
              <w:ind w:left="567" w:hanging="567"/>
              <w:contextualSpacing/>
              <w:rPr>
                <w:sz w:val="22"/>
                <w:szCs w:val="22"/>
                <w:lang w:val="en-GB"/>
              </w:rPr>
            </w:pPr>
            <w:r w:rsidRPr="00A221FB">
              <w:rPr>
                <w:sz w:val="22"/>
                <w:szCs w:val="22"/>
                <w:lang w:val="en-GB"/>
              </w:rPr>
              <w:t>Clements-Cortes (2015) </w:t>
            </w:r>
          </w:p>
        </w:tc>
        <w:tc>
          <w:tcPr>
            <w:tcW w:w="0" w:type="auto"/>
            <w:vAlign w:val="center"/>
            <w:hideMark/>
          </w:tcPr>
          <w:p w14:paraId="409967A1"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8296241"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6AB3E7D"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32892A50"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5328FDED"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66A25625"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7CCFBC9A"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4883671E"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7417B772"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4CE5908A"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x </w:t>
            </w:r>
          </w:p>
        </w:tc>
        <w:tc>
          <w:tcPr>
            <w:tcW w:w="0" w:type="auto"/>
            <w:vAlign w:val="center"/>
            <w:hideMark/>
          </w:tcPr>
          <w:p w14:paraId="1DE6EF5A"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3F7914C8"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3/10 </w:t>
            </w:r>
          </w:p>
        </w:tc>
      </w:tr>
      <w:tr w:rsidR="00A221FB" w:rsidRPr="00A221FB" w14:paraId="287F9E3E" w14:textId="77777777" w:rsidTr="00A221FB">
        <w:trPr>
          <w:tblCellSpacing w:w="15" w:type="dxa"/>
        </w:trPr>
        <w:tc>
          <w:tcPr>
            <w:tcW w:w="0" w:type="auto"/>
            <w:vAlign w:val="center"/>
            <w:hideMark/>
          </w:tcPr>
          <w:p w14:paraId="77A6BAB9" w14:textId="6E3C8B09" w:rsidR="00A221FB" w:rsidRPr="00A221FB" w:rsidRDefault="00A221FB" w:rsidP="00A221FB">
            <w:pPr>
              <w:spacing w:line="480" w:lineRule="auto"/>
              <w:ind w:left="567" w:hanging="567"/>
              <w:contextualSpacing/>
              <w:rPr>
                <w:sz w:val="22"/>
                <w:szCs w:val="22"/>
                <w:lang w:val="en-GB"/>
              </w:rPr>
            </w:pPr>
            <w:r w:rsidRPr="00A221FB">
              <w:rPr>
                <w:sz w:val="22"/>
                <w:szCs w:val="22"/>
                <w:lang w:val="en-GB"/>
              </w:rPr>
              <w:t>de la Rubia Orti et al. (2018) </w:t>
            </w:r>
          </w:p>
        </w:tc>
        <w:tc>
          <w:tcPr>
            <w:tcW w:w="0" w:type="auto"/>
            <w:vAlign w:val="center"/>
            <w:hideMark/>
          </w:tcPr>
          <w:p w14:paraId="52564B1C" w14:textId="77777777" w:rsidR="00A221FB" w:rsidRPr="00A221FB" w:rsidRDefault="00A221FB" w:rsidP="00A221FB">
            <w:pPr>
              <w:spacing w:line="480" w:lineRule="auto"/>
              <w:ind w:left="567" w:hanging="567"/>
              <w:contextualSpacing/>
              <w:rPr>
                <w:sz w:val="22"/>
                <w:szCs w:val="22"/>
                <w:lang w:val="en-GB"/>
              </w:rPr>
            </w:pPr>
            <w:r w:rsidRPr="00A221FB">
              <w:rPr>
                <w:sz w:val="22"/>
                <w:szCs w:val="22"/>
                <w:lang w:val="en-GB"/>
              </w:rPr>
              <w:t>√ </w:t>
            </w:r>
          </w:p>
        </w:tc>
        <w:tc>
          <w:tcPr>
            <w:tcW w:w="0" w:type="auto"/>
            <w:vAlign w:val="center"/>
            <w:hideMark/>
          </w:tcPr>
          <w:p w14:paraId="538C4D68"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48827FA0"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5166E5BB"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73881125"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4606ACF4"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0925F7DE"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10A2B05B"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4C544915"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5884830B"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6EA423B8" w14:textId="77777777" w:rsidR="00A221FB" w:rsidRPr="00A221FB" w:rsidRDefault="00A221FB" w:rsidP="00A221FB">
            <w:pPr>
              <w:spacing w:line="480" w:lineRule="auto"/>
              <w:ind w:left="567" w:hanging="567"/>
              <w:contextualSpacing/>
              <w:rPr>
                <w:sz w:val="22"/>
                <w:szCs w:val="22"/>
                <w:lang w:val="en-GB"/>
              </w:rPr>
            </w:pPr>
          </w:p>
        </w:tc>
        <w:tc>
          <w:tcPr>
            <w:tcW w:w="0" w:type="auto"/>
            <w:vAlign w:val="center"/>
            <w:hideMark/>
          </w:tcPr>
          <w:p w14:paraId="29FB4B2C" w14:textId="77777777" w:rsidR="00A221FB" w:rsidRPr="00A221FB" w:rsidRDefault="00A221FB" w:rsidP="00A221FB">
            <w:pPr>
              <w:spacing w:line="480" w:lineRule="auto"/>
              <w:ind w:left="567" w:hanging="567"/>
              <w:contextualSpacing/>
              <w:rPr>
                <w:sz w:val="22"/>
                <w:szCs w:val="22"/>
                <w:lang w:val="en-GB"/>
              </w:rPr>
            </w:pPr>
          </w:p>
        </w:tc>
      </w:tr>
    </w:tbl>
    <w:p w14:paraId="719619A0" w14:textId="34195808" w:rsidR="00D33F50" w:rsidRDefault="00AA7638" w:rsidP="00996509">
      <w:pPr>
        <w:contextualSpacing/>
        <w:rPr>
          <w:sz w:val="16"/>
          <w:szCs w:val="16"/>
        </w:rPr>
      </w:pPr>
      <w:r w:rsidRPr="00D33F50">
        <w:rPr>
          <w:sz w:val="16"/>
          <w:szCs w:val="16"/>
        </w:rPr>
        <w:t xml:space="preserve">Note. </w:t>
      </w:r>
      <w:r w:rsidRPr="00D33F50">
        <w:rPr>
          <w:sz w:val="16"/>
          <w:szCs w:val="16"/>
          <w:vertAlign w:val="superscript"/>
        </w:rPr>
        <w:t>a</w:t>
      </w:r>
      <w:r w:rsidRPr="00D33F50">
        <w:rPr>
          <w:sz w:val="16"/>
          <w:szCs w:val="16"/>
        </w:rPr>
        <w:t>PEDro items: 1. Eligibility criteria were specified. 2. Subjects were randomly allocated to groups. 3. Allocation was concealed. 4. The groups were similar at baseline regarding the most important prognostic indicators. 5. There was blinding of subjects. 6. There was blinding of all therapists who administered one key outcome. 7. There was blinding of all assessors who measured at least one key outcome. 8. Measures of at least one key outcome were obtained from more that 85% of the subjects initially allocated to groups. 9. All subjects for whom outcome measures were available received the treatment or control condition as allocated or, where this was not the case, data for at least one key outcome was analyzed by “intention to treat.” 10. The results of between-group statistical comparisons are reported for at least one key outcome. 11. The study provides both point measures and measure of variability for at least one key outcome. √ indicate the criteria was satisfied. x indicates the criteria was not met Item 1 not included in total score.</w:t>
      </w:r>
    </w:p>
    <w:p w14:paraId="31507C1A" w14:textId="77777777" w:rsidR="00E353FE" w:rsidRDefault="00D33F50">
      <w:pPr>
        <w:widowControl w:val="0"/>
        <w:autoSpaceDE w:val="0"/>
        <w:autoSpaceDN w:val="0"/>
        <w:rPr>
          <w:sz w:val="16"/>
          <w:szCs w:val="16"/>
        </w:rPr>
        <w:sectPr w:rsidR="00E353FE" w:rsidSect="0081616D">
          <w:headerReference w:type="default" r:id="rId15"/>
          <w:footerReference w:type="default" r:id="rId16"/>
          <w:pgSz w:w="12240" w:h="15840"/>
          <w:pgMar w:top="1440" w:right="1440" w:bottom="1440" w:left="1440" w:header="0" w:footer="0" w:gutter="0"/>
          <w:cols w:space="720"/>
          <w:docGrid w:linePitch="326"/>
        </w:sectPr>
      </w:pPr>
      <w:r>
        <w:rPr>
          <w:sz w:val="16"/>
          <w:szCs w:val="16"/>
        </w:rPr>
        <w:br w:type="page"/>
      </w:r>
    </w:p>
    <w:p w14:paraId="4B52FC47" w14:textId="566D11CB" w:rsidR="00D33F50" w:rsidRDefault="00D33F50">
      <w:pPr>
        <w:widowControl w:val="0"/>
        <w:autoSpaceDE w:val="0"/>
        <w:autoSpaceDN w:val="0"/>
        <w:rPr>
          <w:sz w:val="16"/>
          <w:szCs w:val="16"/>
        </w:rPr>
      </w:pPr>
    </w:p>
    <w:p w14:paraId="014E4E2A" w14:textId="7ECD9F38" w:rsidR="00AA7638" w:rsidRPr="00CD3B80" w:rsidRDefault="00D33F50" w:rsidP="00CD3B80">
      <w:pPr>
        <w:pStyle w:val="Heading2"/>
      </w:pPr>
      <w:r w:rsidRPr="00F61433">
        <w:t>Table 2</w:t>
      </w:r>
      <w:r w:rsidR="00F61433" w:rsidRPr="00F61433">
        <w:t xml:space="preserve"> - </w:t>
      </w:r>
      <w:r w:rsidR="00F61433" w:rsidRPr="00F61433">
        <w:t>Recruitment Characteristics of Music Therapy Studies Delivered in Residential Aged Care Facilities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03"/>
        <w:gridCol w:w="635"/>
        <w:gridCol w:w="1328"/>
        <w:gridCol w:w="1044"/>
        <w:gridCol w:w="778"/>
        <w:gridCol w:w="1831"/>
        <w:gridCol w:w="884"/>
        <w:gridCol w:w="606"/>
        <w:gridCol w:w="761"/>
        <w:gridCol w:w="1016"/>
        <w:gridCol w:w="721"/>
        <w:gridCol w:w="2343"/>
      </w:tblGrid>
      <w:tr w:rsidR="00E353FE" w:rsidRPr="00E353FE" w14:paraId="171E1B6C" w14:textId="77777777" w:rsidTr="00E353FE">
        <w:trPr>
          <w:tblHeader/>
          <w:tblCellSpacing w:w="15" w:type="dxa"/>
        </w:trPr>
        <w:tc>
          <w:tcPr>
            <w:tcW w:w="0" w:type="auto"/>
            <w:vAlign w:val="center"/>
            <w:hideMark/>
          </w:tcPr>
          <w:p w14:paraId="5CB51F4B" w14:textId="77777777" w:rsidR="00E353FE" w:rsidRPr="00E353FE" w:rsidRDefault="00E353FE" w:rsidP="00E353FE">
            <w:pPr>
              <w:jc w:val="center"/>
              <w:rPr>
                <w:b/>
                <w:bCs/>
                <w:sz w:val="16"/>
                <w:szCs w:val="16"/>
                <w:lang w:val="en-GB" w:eastAsia="ja-JP"/>
              </w:rPr>
            </w:pPr>
            <w:r w:rsidRPr="00E353FE">
              <w:rPr>
                <w:b/>
                <w:bCs/>
                <w:sz w:val="16"/>
                <w:szCs w:val="16"/>
                <w:lang w:val="en-GB" w:eastAsia="ja-JP"/>
              </w:rPr>
              <w:t>Publication</w:t>
            </w:r>
          </w:p>
        </w:tc>
        <w:tc>
          <w:tcPr>
            <w:tcW w:w="0" w:type="auto"/>
            <w:vAlign w:val="center"/>
            <w:hideMark/>
          </w:tcPr>
          <w:p w14:paraId="2B7E5CDC" w14:textId="77777777" w:rsidR="00E353FE" w:rsidRPr="00E353FE" w:rsidRDefault="00E353FE" w:rsidP="00E353FE">
            <w:pPr>
              <w:jc w:val="center"/>
              <w:rPr>
                <w:b/>
                <w:bCs/>
                <w:sz w:val="16"/>
                <w:szCs w:val="16"/>
                <w:lang w:val="en-GB" w:eastAsia="ja-JP"/>
              </w:rPr>
            </w:pPr>
            <w:r w:rsidRPr="00E353FE">
              <w:rPr>
                <w:b/>
                <w:bCs/>
                <w:sz w:val="16"/>
                <w:szCs w:val="16"/>
                <w:lang w:val="en-GB" w:eastAsia="ja-JP"/>
              </w:rPr>
              <w:t>Study</w:t>
            </w:r>
          </w:p>
        </w:tc>
        <w:tc>
          <w:tcPr>
            <w:tcW w:w="0" w:type="auto"/>
            <w:vAlign w:val="center"/>
            <w:hideMark/>
          </w:tcPr>
          <w:p w14:paraId="29BD2AE1" w14:textId="77777777" w:rsidR="00E353FE" w:rsidRPr="00E353FE" w:rsidRDefault="00E353FE" w:rsidP="00E353FE">
            <w:pPr>
              <w:jc w:val="center"/>
              <w:rPr>
                <w:b/>
                <w:bCs/>
                <w:sz w:val="16"/>
                <w:szCs w:val="16"/>
                <w:lang w:val="en-GB" w:eastAsia="ja-JP"/>
              </w:rPr>
            </w:pPr>
          </w:p>
        </w:tc>
        <w:tc>
          <w:tcPr>
            <w:tcW w:w="0" w:type="auto"/>
            <w:vAlign w:val="center"/>
            <w:hideMark/>
          </w:tcPr>
          <w:p w14:paraId="5922D41A" w14:textId="77777777" w:rsidR="00E353FE" w:rsidRPr="00E353FE" w:rsidRDefault="00E353FE" w:rsidP="00E353FE">
            <w:pPr>
              <w:jc w:val="center"/>
              <w:rPr>
                <w:b/>
                <w:bCs/>
                <w:sz w:val="16"/>
                <w:szCs w:val="16"/>
                <w:lang w:val="en-GB" w:eastAsia="ja-JP"/>
              </w:rPr>
            </w:pPr>
            <w:r w:rsidRPr="00E353FE">
              <w:rPr>
                <w:b/>
                <w:bCs/>
                <w:sz w:val="16"/>
                <w:szCs w:val="16"/>
                <w:lang w:val="en-GB" w:eastAsia="ja-JP"/>
              </w:rPr>
              <w:t>Intervention</w:t>
            </w:r>
          </w:p>
        </w:tc>
        <w:tc>
          <w:tcPr>
            <w:tcW w:w="0" w:type="auto"/>
            <w:vAlign w:val="center"/>
            <w:hideMark/>
          </w:tcPr>
          <w:p w14:paraId="282FC589" w14:textId="77777777" w:rsidR="00E353FE" w:rsidRPr="00E353FE" w:rsidRDefault="00E353FE" w:rsidP="00E353FE">
            <w:pPr>
              <w:jc w:val="center"/>
              <w:rPr>
                <w:b/>
                <w:bCs/>
                <w:sz w:val="16"/>
                <w:szCs w:val="16"/>
                <w:lang w:val="en-GB" w:eastAsia="ja-JP"/>
              </w:rPr>
            </w:pPr>
          </w:p>
        </w:tc>
        <w:tc>
          <w:tcPr>
            <w:tcW w:w="0" w:type="auto"/>
            <w:vAlign w:val="center"/>
            <w:hideMark/>
          </w:tcPr>
          <w:p w14:paraId="4BB9D550" w14:textId="77777777" w:rsidR="00E353FE" w:rsidRPr="00E353FE" w:rsidRDefault="00E353FE" w:rsidP="00E353FE">
            <w:pPr>
              <w:jc w:val="center"/>
              <w:rPr>
                <w:b/>
                <w:bCs/>
                <w:sz w:val="16"/>
                <w:szCs w:val="16"/>
                <w:lang w:val="en-GB" w:eastAsia="ja-JP"/>
              </w:rPr>
            </w:pPr>
            <w:r w:rsidRPr="00E353FE">
              <w:rPr>
                <w:b/>
                <w:bCs/>
                <w:sz w:val="16"/>
                <w:szCs w:val="16"/>
                <w:lang w:val="en-GB" w:eastAsia="ja-JP"/>
              </w:rPr>
              <w:t>Recruitment Details</w:t>
            </w:r>
          </w:p>
        </w:tc>
        <w:tc>
          <w:tcPr>
            <w:tcW w:w="0" w:type="auto"/>
            <w:vAlign w:val="center"/>
            <w:hideMark/>
          </w:tcPr>
          <w:p w14:paraId="33392EE9" w14:textId="77777777" w:rsidR="00E353FE" w:rsidRPr="00E353FE" w:rsidRDefault="00E353FE" w:rsidP="00E353FE">
            <w:pPr>
              <w:jc w:val="center"/>
              <w:rPr>
                <w:b/>
                <w:bCs/>
                <w:sz w:val="16"/>
                <w:szCs w:val="16"/>
                <w:lang w:val="en-GB" w:eastAsia="ja-JP"/>
              </w:rPr>
            </w:pPr>
          </w:p>
        </w:tc>
        <w:tc>
          <w:tcPr>
            <w:tcW w:w="0" w:type="auto"/>
            <w:vAlign w:val="center"/>
            <w:hideMark/>
          </w:tcPr>
          <w:p w14:paraId="33C97A1C" w14:textId="77777777" w:rsidR="00E353FE" w:rsidRPr="00E353FE" w:rsidRDefault="00E353FE" w:rsidP="00E353FE">
            <w:pPr>
              <w:jc w:val="center"/>
              <w:rPr>
                <w:sz w:val="16"/>
                <w:szCs w:val="16"/>
                <w:lang w:val="en-GB" w:eastAsia="ja-JP"/>
              </w:rPr>
            </w:pPr>
          </w:p>
        </w:tc>
        <w:tc>
          <w:tcPr>
            <w:tcW w:w="0" w:type="auto"/>
            <w:vAlign w:val="center"/>
            <w:hideMark/>
          </w:tcPr>
          <w:p w14:paraId="535E595D" w14:textId="77777777" w:rsidR="00E353FE" w:rsidRPr="00E353FE" w:rsidRDefault="00E353FE" w:rsidP="00E353FE">
            <w:pPr>
              <w:jc w:val="center"/>
              <w:rPr>
                <w:sz w:val="16"/>
                <w:szCs w:val="16"/>
                <w:lang w:val="en-GB" w:eastAsia="ja-JP"/>
              </w:rPr>
            </w:pPr>
          </w:p>
        </w:tc>
        <w:tc>
          <w:tcPr>
            <w:tcW w:w="0" w:type="auto"/>
            <w:vAlign w:val="center"/>
            <w:hideMark/>
          </w:tcPr>
          <w:p w14:paraId="659732C7" w14:textId="77777777" w:rsidR="00E353FE" w:rsidRPr="00E353FE" w:rsidRDefault="00E353FE" w:rsidP="00E353FE">
            <w:pPr>
              <w:jc w:val="center"/>
              <w:rPr>
                <w:sz w:val="16"/>
                <w:szCs w:val="16"/>
                <w:lang w:val="en-GB" w:eastAsia="ja-JP"/>
              </w:rPr>
            </w:pPr>
          </w:p>
        </w:tc>
        <w:tc>
          <w:tcPr>
            <w:tcW w:w="0" w:type="auto"/>
            <w:vAlign w:val="center"/>
            <w:hideMark/>
          </w:tcPr>
          <w:p w14:paraId="7483EF01" w14:textId="77777777" w:rsidR="00E353FE" w:rsidRPr="00E353FE" w:rsidRDefault="00E353FE" w:rsidP="00E353FE">
            <w:pPr>
              <w:jc w:val="center"/>
              <w:rPr>
                <w:sz w:val="16"/>
                <w:szCs w:val="16"/>
                <w:lang w:val="en-GB" w:eastAsia="ja-JP"/>
              </w:rPr>
            </w:pPr>
          </w:p>
        </w:tc>
        <w:tc>
          <w:tcPr>
            <w:tcW w:w="0" w:type="auto"/>
            <w:vAlign w:val="center"/>
            <w:hideMark/>
          </w:tcPr>
          <w:p w14:paraId="0474FD17" w14:textId="77777777" w:rsidR="00E353FE" w:rsidRPr="00E353FE" w:rsidRDefault="00E353FE" w:rsidP="00E353FE">
            <w:pPr>
              <w:jc w:val="center"/>
              <w:rPr>
                <w:sz w:val="16"/>
                <w:szCs w:val="16"/>
                <w:lang w:val="en-GB" w:eastAsia="ja-JP"/>
              </w:rPr>
            </w:pPr>
          </w:p>
        </w:tc>
      </w:tr>
      <w:tr w:rsidR="00E353FE" w:rsidRPr="00E353FE" w14:paraId="75209DCD" w14:textId="77777777" w:rsidTr="00E353FE">
        <w:trPr>
          <w:tblHeader/>
          <w:tblCellSpacing w:w="15" w:type="dxa"/>
        </w:trPr>
        <w:tc>
          <w:tcPr>
            <w:tcW w:w="0" w:type="auto"/>
            <w:vAlign w:val="center"/>
            <w:hideMark/>
          </w:tcPr>
          <w:p w14:paraId="790EBD52" w14:textId="77777777" w:rsidR="00E353FE" w:rsidRPr="00E353FE" w:rsidRDefault="00E353FE" w:rsidP="00E353FE">
            <w:pPr>
              <w:jc w:val="center"/>
              <w:rPr>
                <w:b/>
                <w:bCs/>
                <w:sz w:val="16"/>
                <w:szCs w:val="16"/>
                <w:lang w:val="en-GB" w:eastAsia="ja-JP"/>
              </w:rPr>
            </w:pPr>
            <w:r w:rsidRPr="00E353FE">
              <w:rPr>
                <w:b/>
                <w:bCs/>
                <w:sz w:val="16"/>
                <w:szCs w:val="16"/>
                <w:lang w:val="en-GB" w:eastAsia="ja-JP"/>
              </w:rPr>
              <w:t>Author (Year)</w:t>
            </w:r>
          </w:p>
        </w:tc>
        <w:tc>
          <w:tcPr>
            <w:tcW w:w="0" w:type="auto"/>
            <w:vAlign w:val="center"/>
            <w:hideMark/>
          </w:tcPr>
          <w:p w14:paraId="4581F0BE" w14:textId="77777777" w:rsidR="00E353FE" w:rsidRPr="00E353FE" w:rsidRDefault="00E353FE" w:rsidP="00E353FE">
            <w:pPr>
              <w:jc w:val="center"/>
              <w:rPr>
                <w:b/>
                <w:bCs/>
                <w:sz w:val="16"/>
                <w:szCs w:val="16"/>
                <w:lang w:val="en-GB" w:eastAsia="ja-JP"/>
              </w:rPr>
            </w:pPr>
            <w:r w:rsidRPr="00E353FE">
              <w:rPr>
                <w:b/>
                <w:bCs/>
                <w:sz w:val="16"/>
                <w:szCs w:val="16"/>
                <w:lang w:val="en-GB" w:eastAsia="ja-JP"/>
              </w:rPr>
              <w:t>Sample Size</w:t>
            </w:r>
          </w:p>
        </w:tc>
        <w:tc>
          <w:tcPr>
            <w:tcW w:w="0" w:type="auto"/>
            <w:vAlign w:val="center"/>
            <w:hideMark/>
          </w:tcPr>
          <w:p w14:paraId="24FD8FE7" w14:textId="77777777" w:rsidR="00E353FE" w:rsidRPr="00E353FE" w:rsidRDefault="00E353FE" w:rsidP="00E353FE">
            <w:pPr>
              <w:jc w:val="center"/>
              <w:rPr>
                <w:b/>
                <w:bCs/>
                <w:sz w:val="16"/>
                <w:szCs w:val="16"/>
                <w:lang w:val="en-GB" w:eastAsia="ja-JP"/>
              </w:rPr>
            </w:pPr>
            <w:r w:rsidRPr="00E353FE">
              <w:rPr>
                <w:b/>
                <w:bCs/>
                <w:sz w:val="16"/>
                <w:szCs w:val="16"/>
                <w:lang w:val="en-GB" w:eastAsia="ja-JP"/>
              </w:rPr>
              <w:t>Design</w:t>
            </w:r>
          </w:p>
        </w:tc>
        <w:tc>
          <w:tcPr>
            <w:tcW w:w="0" w:type="auto"/>
            <w:vAlign w:val="center"/>
            <w:hideMark/>
          </w:tcPr>
          <w:p w14:paraId="2E865375" w14:textId="77777777" w:rsidR="00E353FE" w:rsidRPr="00E353FE" w:rsidRDefault="00E353FE" w:rsidP="00E353FE">
            <w:pPr>
              <w:jc w:val="center"/>
              <w:rPr>
                <w:b/>
                <w:bCs/>
                <w:sz w:val="16"/>
                <w:szCs w:val="16"/>
                <w:lang w:val="en-GB" w:eastAsia="ja-JP"/>
              </w:rPr>
            </w:pPr>
            <w:r w:rsidRPr="00E353FE">
              <w:rPr>
                <w:b/>
                <w:bCs/>
                <w:sz w:val="16"/>
                <w:szCs w:val="16"/>
                <w:lang w:val="en-GB" w:eastAsia="ja-JP"/>
              </w:rPr>
              <w:t>Length</w:t>
            </w:r>
          </w:p>
        </w:tc>
        <w:tc>
          <w:tcPr>
            <w:tcW w:w="0" w:type="auto"/>
            <w:vAlign w:val="center"/>
            <w:hideMark/>
          </w:tcPr>
          <w:p w14:paraId="723C6E5E" w14:textId="77777777" w:rsidR="00E353FE" w:rsidRPr="00E353FE" w:rsidRDefault="00E353FE" w:rsidP="00E353FE">
            <w:pPr>
              <w:jc w:val="center"/>
              <w:rPr>
                <w:b/>
                <w:bCs/>
                <w:sz w:val="16"/>
                <w:szCs w:val="16"/>
                <w:lang w:val="en-GB" w:eastAsia="ja-JP"/>
              </w:rPr>
            </w:pPr>
            <w:r w:rsidRPr="00E353FE">
              <w:rPr>
                <w:b/>
                <w:bCs/>
                <w:sz w:val="16"/>
                <w:szCs w:val="16"/>
                <w:lang w:val="en-GB" w:eastAsia="ja-JP"/>
              </w:rPr>
              <w:t>Type</w:t>
            </w:r>
          </w:p>
        </w:tc>
        <w:tc>
          <w:tcPr>
            <w:tcW w:w="0" w:type="auto"/>
            <w:vAlign w:val="center"/>
            <w:hideMark/>
          </w:tcPr>
          <w:p w14:paraId="1362F533" w14:textId="77777777" w:rsidR="00E353FE" w:rsidRPr="00E353FE" w:rsidRDefault="00E353FE" w:rsidP="00E353FE">
            <w:pPr>
              <w:jc w:val="center"/>
              <w:rPr>
                <w:b/>
                <w:bCs/>
                <w:sz w:val="16"/>
                <w:szCs w:val="16"/>
                <w:lang w:val="en-GB" w:eastAsia="ja-JP"/>
              </w:rPr>
            </w:pPr>
            <w:r w:rsidRPr="00E353FE">
              <w:rPr>
                <w:b/>
                <w:bCs/>
                <w:sz w:val="16"/>
                <w:szCs w:val="16"/>
                <w:lang w:val="en-GB" w:eastAsia="ja-JP"/>
              </w:rPr>
              <w:t>Strategies</w:t>
            </w:r>
          </w:p>
        </w:tc>
        <w:tc>
          <w:tcPr>
            <w:tcW w:w="0" w:type="auto"/>
            <w:vAlign w:val="center"/>
            <w:hideMark/>
          </w:tcPr>
          <w:p w14:paraId="5665727A" w14:textId="77777777" w:rsidR="00E353FE" w:rsidRPr="00E353FE" w:rsidRDefault="00E353FE" w:rsidP="00E353FE">
            <w:pPr>
              <w:jc w:val="center"/>
              <w:rPr>
                <w:b/>
                <w:bCs/>
                <w:sz w:val="16"/>
                <w:szCs w:val="16"/>
                <w:lang w:val="en-GB" w:eastAsia="ja-JP"/>
              </w:rPr>
            </w:pPr>
            <w:r w:rsidRPr="00E353FE">
              <w:rPr>
                <w:b/>
                <w:bCs/>
                <w:sz w:val="16"/>
                <w:szCs w:val="16"/>
                <w:lang w:val="en-GB" w:eastAsia="ja-JP"/>
              </w:rPr>
              <w:t>Recruiter</w:t>
            </w:r>
          </w:p>
        </w:tc>
        <w:tc>
          <w:tcPr>
            <w:tcW w:w="0" w:type="auto"/>
            <w:vAlign w:val="center"/>
            <w:hideMark/>
          </w:tcPr>
          <w:p w14:paraId="0CE5A111" w14:textId="77777777" w:rsidR="00E353FE" w:rsidRPr="00E353FE" w:rsidRDefault="00E353FE" w:rsidP="00E353FE">
            <w:pPr>
              <w:jc w:val="center"/>
              <w:rPr>
                <w:b/>
                <w:bCs/>
                <w:sz w:val="16"/>
                <w:szCs w:val="16"/>
                <w:lang w:val="en-GB" w:eastAsia="ja-JP"/>
              </w:rPr>
            </w:pPr>
            <w:r w:rsidRPr="00E353FE">
              <w:rPr>
                <w:b/>
                <w:bCs/>
                <w:sz w:val="16"/>
                <w:szCs w:val="16"/>
                <w:lang w:val="en-GB" w:eastAsia="ja-JP"/>
              </w:rPr>
              <w:t>Rate per Month</w:t>
            </w:r>
          </w:p>
        </w:tc>
        <w:tc>
          <w:tcPr>
            <w:tcW w:w="0" w:type="auto"/>
            <w:vAlign w:val="center"/>
            <w:hideMark/>
          </w:tcPr>
          <w:p w14:paraId="6060CE7C" w14:textId="77777777" w:rsidR="00E353FE" w:rsidRPr="00E353FE" w:rsidRDefault="00E353FE" w:rsidP="00E353FE">
            <w:pPr>
              <w:jc w:val="center"/>
              <w:rPr>
                <w:b/>
                <w:bCs/>
                <w:sz w:val="16"/>
                <w:szCs w:val="16"/>
                <w:lang w:val="en-GB" w:eastAsia="ja-JP"/>
              </w:rPr>
            </w:pPr>
            <w:r w:rsidRPr="00E353FE">
              <w:rPr>
                <w:b/>
                <w:bCs/>
                <w:sz w:val="16"/>
                <w:szCs w:val="16"/>
                <w:lang w:val="en-GB" w:eastAsia="ja-JP"/>
              </w:rPr>
              <w:t>Period (Months)</w:t>
            </w:r>
          </w:p>
        </w:tc>
        <w:tc>
          <w:tcPr>
            <w:tcW w:w="0" w:type="auto"/>
            <w:vAlign w:val="center"/>
            <w:hideMark/>
          </w:tcPr>
          <w:p w14:paraId="7CDE458F" w14:textId="77777777" w:rsidR="00E353FE" w:rsidRPr="00E353FE" w:rsidRDefault="00E353FE" w:rsidP="00E353FE">
            <w:pPr>
              <w:jc w:val="center"/>
              <w:rPr>
                <w:b/>
                <w:bCs/>
                <w:sz w:val="16"/>
                <w:szCs w:val="16"/>
                <w:lang w:val="en-GB" w:eastAsia="ja-JP"/>
              </w:rPr>
            </w:pPr>
            <w:r w:rsidRPr="00E353FE">
              <w:rPr>
                <w:b/>
                <w:bCs/>
                <w:sz w:val="16"/>
                <w:szCs w:val="16"/>
                <w:lang w:val="en-GB" w:eastAsia="ja-JP"/>
              </w:rPr>
              <w:t>Conversion of Eligible to Enrolled</w:t>
            </w:r>
          </w:p>
        </w:tc>
        <w:tc>
          <w:tcPr>
            <w:tcW w:w="0" w:type="auto"/>
            <w:vAlign w:val="center"/>
            <w:hideMark/>
          </w:tcPr>
          <w:p w14:paraId="761F68F8" w14:textId="77777777" w:rsidR="00E353FE" w:rsidRPr="00E353FE" w:rsidRDefault="00E353FE" w:rsidP="00E353FE">
            <w:pPr>
              <w:jc w:val="center"/>
              <w:rPr>
                <w:b/>
                <w:bCs/>
                <w:sz w:val="16"/>
                <w:szCs w:val="16"/>
                <w:lang w:val="en-GB" w:eastAsia="ja-JP"/>
              </w:rPr>
            </w:pPr>
            <w:r w:rsidRPr="00E353FE">
              <w:rPr>
                <w:b/>
                <w:bCs/>
                <w:sz w:val="16"/>
                <w:szCs w:val="16"/>
                <w:lang w:val="en-GB" w:eastAsia="ja-JP"/>
              </w:rPr>
              <w:t>Attrition Rate</w:t>
            </w:r>
          </w:p>
        </w:tc>
        <w:tc>
          <w:tcPr>
            <w:tcW w:w="0" w:type="auto"/>
            <w:vAlign w:val="center"/>
            <w:hideMark/>
          </w:tcPr>
          <w:p w14:paraId="2E0AF332" w14:textId="77777777" w:rsidR="00E353FE" w:rsidRPr="00E353FE" w:rsidRDefault="00E353FE" w:rsidP="00E353FE">
            <w:pPr>
              <w:jc w:val="center"/>
              <w:rPr>
                <w:b/>
                <w:bCs/>
                <w:sz w:val="16"/>
                <w:szCs w:val="16"/>
                <w:lang w:val="en-GB" w:eastAsia="ja-JP"/>
              </w:rPr>
            </w:pPr>
            <w:r w:rsidRPr="00E353FE">
              <w:rPr>
                <w:b/>
                <w:bCs/>
                <w:sz w:val="16"/>
                <w:szCs w:val="16"/>
                <w:lang w:val="en-GB" w:eastAsia="ja-JP"/>
              </w:rPr>
              <w:t>Consent Details</w:t>
            </w:r>
          </w:p>
        </w:tc>
      </w:tr>
      <w:tr w:rsidR="00E353FE" w:rsidRPr="00E353FE" w14:paraId="69A212A0" w14:textId="77777777" w:rsidTr="00E353FE">
        <w:trPr>
          <w:tblCellSpacing w:w="15" w:type="dxa"/>
        </w:trPr>
        <w:tc>
          <w:tcPr>
            <w:tcW w:w="0" w:type="auto"/>
            <w:vAlign w:val="center"/>
            <w:hideMark/>
          </w:tcPr>
          <w:p w14:paraId="7F52BD1A" w14:textId="6167AE35" w:rsidR="00E353FE" w:rsidRPr="00E353FE" w:rsidRDefault="00E353FE" w:rsidP="00E353FE">
            <w:pPr>
              <w:rPr>
                <w:sz w:val="16"/>
                <w:szCs w:val="16"/>
                <w:lang w:val="en-GB" w:eastAsia="ja-JP"/>
              </w:rPr>
            </w:pPr>
            <w:r w:rsidRPr="00E353FE">
              <w:rPr>
                <w:sz w:val="16"/>
                <w:szCs w:val="16"/>
                <w:lang w:val="en-GB" w:eastAsia="ja-JP"/>
              </w:rPr>
              <w:t>Bruer et al. (2007) </w:t>
            </w:r>
          </w:p>
        </w:tc>
        <w:tc>
          <w:tcPr>
            <w:tcW w:w="0" w:type="auto"/>
            <w:vAlign w:val="center"/>
            <w:hideMark/>
          </w:tcPr>
          <w:p w14:paraId="242D838F" w14:textId="77777777" w:rsidR="00E353FE" w:rsidRPr="00E353FE" w:rsidRDefault="00E353FE" w:rsidP="00E353FE">
            <w:pPr>
              <w:rPr>
                <w:sz w:val="16"/>
                <w:szCs w:val="16"/>
                <w:lang w:val="en-GB" w:eastAsia="ja-JP"/>
              </w:rPr>
            </w:pPr>
            <w:r w:rsidRPr="00E353FE">
              <w:rPr>
                <w:sz w:val="16"/>
                <w:szCs w:val="16"/>
                <w:lang w:val="en-GB" w:eastAsia="ja-JP"/>
              </w:rPr>
              <w:t>28 </w:t>
            </w:r>
          </w:p>
        </w:tc>
        <w:tc>
          <w:tcPr>
            <w:tcW w:w="0" w:type="auto"/>
            <w:vAlign w:val="center"/>
            <w:hideMark/>
          </w:tcPr>
          <w:p w14:paraId="011CDB32" w14:textId="77777777" w:rsidR="00E353FE" w:rsidRPr="00E353FE" w:rsidRDefault="00E353FE" w:rsidP="00E353FE">
            <w:pPr>
              <w:rPr>
                <w:sz w:val="16"/>
                <w:szCs w:val="16"/>
                <w:lang w:val="en-GB" w:eastAsia="ja-JP"/>
              </w:rPr>
            </w:pPr>
            <w:r w:rsidRPr="00E353FE">
              <w:rPr>
                <w:sz w:val="16"/>
                <w:szCs w:val="16"/>
                <w:lang w:val="en-GB" w:eastAsia="ja-JP"/>
              </w:rPr>
              <w:t>RCT, crossover </w:t>
            </w:r>
          </w:p>
        </w:tc>
        <w:tc>
          <w:tcPr>
            <w:tcW w:w="0" w:type="auto"/>
            <w:vAlign w:val="center"/>
            <w:hideMark/>
          </w:tcPr>
          <w:p w14:paraId="4B11C343" w14:textId="77777777" w:rsidR="00E353FE" w:rsidRPr="00E353FE" w:rsidRDefault="00E353FE" w:rsidP="00E353FE">
            <w:pPr>
              <w:rPr>
                <w:sz w:val="16"/>
                <w:szCs w:val="16"/>
                <w:lang w:val="en-GB" w:eastAsia="ja-JP"/>
              </w:rPr>
            </w:pPr>
            <w:r w:rsidRPr="00E353FE">
              <w:rPr>
                <w:sz w:val="16"/>
                <w:szCs w:val="16"/>
                <w:lang w:val="en-GB" w:eastAsia="ja-JP"/>
              </w:rPr>
              <w:t>Weekly, 45 min, 8 weeks </w:t>
            </w:r>
          </w:p>
        </w:tc>
        <w:tc>
          <w:tcPr>
            <w:tcW w:w="0" w:type="auto"/>
            <w:vAlign w:val="center"/>
            <w:hideMark/>
          </w:tcPr>
          <w:p w14:paraId="037CC0BB" w14:textId="77777777" w:rsidR="00E353FE" w:rsidRPr="00E353FE" w:rsidRDefault="00E353FE" w:rsidP="00E353FE">
            <w:pPr>
              <w:rPr>
                <w:sz w:val="16"/>
                <w:szCs w:val="16"/>
                <w:lang w:val="en-GB" w:eastAsia="ja-JP"/>
              </w:rPr>
            </w:pPr>
            <w:r w:rsidRPr="00E353FE">
              <w:rPr>
                <w:sz w:val="16"/>
                <w:szCs w:val="16"/>
                <w:lang w:val="en-GB" w:eastAsia="ja-JP"/>
              </w:rPr>
              <w:t>Group </w:t>
            </w:r>
          </w:p>
        </w:tc>
        <w:tc>
          <w:tcPr>
            <w:tcW w:w="0" w:type="auto"/>
            <w:vAlign w:val="center"/>
            <w:hideMark/>
          </w:tcPr>
          <w:p w14:paraId="63FA6746" w14:textId="77777777" w:rsidR="00E353FE" w:rsidRPr="00E353FE" w:rsidRDefault="00E353FE" w:rsidP="00E353FE">
            <w:pPr>
              <w:rPr>
                <w:sz w:val="16"/>
                <w:szCs w:val="16"/>
                <w:lang w:val="en-GB" w:eastAsia="ja-JP"/>
              </w:rPr>
            </w:pPr>
            <w:r w:rsidRPr="00E353FE">
              <w:rPr>
                <w:sz w:val="16"/>
                <w:szCs w:val="16"/>
                <w:lang w:val="en-GB" w:eastAsia="ja-JP"/>
              </w:rPr>
              <w:t>Hospital staff met with each patient or legal representative to explain study </w:t>
            </w:r>
          </w:p>
        </w:tc>
        <w:tc>
          <w:tcPr>
            <w:tcW w:w="0" w:type="auto"/>
            <w:vAlign w:val="center"/>
            <w:hideMark/>
          </w:tcPr>
          <w:p w14:paraId="1858E21E" w14:textId="77777777" w:rsidR="00E353FE" w:rsidRPr="00E353FE" w:rsidRDefault="00E353FE" w:rsidP="00E353FE">
            <w:pPr>
              <w:rPr>
                <w:sz w:val="16"/>
                <w:szCs w:val="16"/>
                <w:lang w:val="en-GB" w:eastAsia="ja-JP"/>
              </w:rPr>
            </w:pPr>
            <w:r w:rsidRPr="00E353FE">
              <w:rPr>
                <w:sz w:val="16"/>
                <w:szCs w:val="16"/>
                <w:lang w:val="en-GB" w:eastAsia="ja-JP"/>
              </w:rPr>
              <w:t>Social workers </w:t>
            </w:r>
          </w:p>
        </w:tc>
        <w:tc>
          <w:tcPr>
            <w:tcW w:w="0" w:type="auto"/>
            <w:vAlign w:val="center"/>
            <w:hideMark/>
          </w:tcPr>
          <w:p w14:paraId="24E74BC7" w14:textId="77777777" w:rsidR="00E353FE" w:rsidRPr="00E353FE" w:rsidRDefault="00E353FE" w:rsidP="00E353FE">
            <w:pPr>
              <w:rPr>
                <w:sz w:val="16"/>
                <w:szCs w:val="16"/>
                <w:lang w:val="en-GB" w:eastAsia="ja-JP"/>
              </w:rPr>
            </w:pPr>
            <w:r w:rsidRPr="00E353FE">
              <w:rPr>
                <w:sz w:val="16"/>
                <w:szCs w:val="16"/>
                <w:lang w:val="en-GB" w:eastAsia="ja-JP"/>
              </w:rPr>
              <w:t>18.5 </w:t>
            </w:r>
          </w:p>
        </w:tc>
        <w:tc>
          <w:tcPr>
            <w:tcW w:w="0" w:type="auto"/>
            <w:vAlign w:val="center"/>
            <w:hideMark/>
          </w:tcPr>
          <w:p w14:paraId="5852D195" w14:textId="77777777" w:rsidR="00E353FE" w:rsidRPr="00E353FE" w:rsidRDefault="00E353FE" w:rsidP="00E353FE">
            <w:pPr>
              <w:rPr>
                <w:sz w:val="16"/>
                <w:szCs w:val="16"/>
                <w:lang w:val="en-GB" w:eastAsia="ja-JP"/>
              </w:rPr>
            </w:pPr>
            <w:r w:rsidRPr="00E353FE">
              <w:rPr>
                <w:sz w:val="16"/>
                <w:szCs w:val="16"/>
                <w:lang w:val="en-GB" w:eastAsia="ja-JP"/>
              </w:rPr>
              <w:t>1.8 </w:t>
            </w:r>
          </w:p>
        </w:tc>
        <w:tc>
          <w:tcPr>
            <w:tcW w:w="0" w:type="auto"/>
            <w:vAlign w:val="center"/>
            <w:hideMark/>
          </w:tcPr>
          <w:p w14:paraId="7C3F151F" w14:textId="77777777" w:rsidR="00E353FE" w:rsidRPr="00E353FE" w:rsidRDefault="00E353FE" w:rsidP="00E353FE">
            <w:pPr>
              <w:rPr>
                <w:sz w:val="16"/>
                <w:szCs w:val="16"/>
                <w:lang w:val="en-GB" w:eastAsia="ja-JP"/>
              </w:rPr>
            </w:pPr>
            <w:r w:rsidRPr="00E353FE">
              <w:rPr>
                <w:sz w:val="16"/>
                <w:szCs w:val="16"/>
                <w:lang w:val="en-GB" w:eastAsia="ja-JP"/>
              </w:rPr>
              <w:t>97% </w:t>
            </w:r>
          </w:p>
        </w:tc>
        <w:tc>
          <w:tcPr>
            <w:tcW w:w="0" w:type="auto"/>
            <w:vAlign w:val="center"/>
            <w:hideMark/>
          </w:tcPr>
          <w:p w14:paraId="1B1A37DB" w14:textId="77777777" w:rsidR="00E353FE" w:rsidRPr="00E353FE" w:rsidRDefault="00E353FE" w:rsidP="00E353FE">
            <w:pPr>
              <w:rPr>
                <w:sz w:val="16"/>
                <w:szCs w:val="16"/>
                <w:lang w:val="en-GB" w:eastAsia="ja-JP"/>
              </w:rPr>
            </w:pPr>
            <w:r w:rsidRPr="00E353FE">
              <w:rPr>
                <w:sz w:val="16"/>
                <w:szCs w:val="16"/>
                <w:lang w:val="en-GB" w:eastAsia="ja-JP"/>
              </w:rPr>
              <w:t>0 </w:t>
            </w:r>
          </w:p>
        </w:tc>
        <w:tc>
          <w:tcPr>
            <w:tcW w:w="0" w:type="auto"/>
            <w:vAlign w:val="center"/>
            <w:hideMark/>
          </w:tcPr>
          <w:p w14:paraId="57DD8E1F" w14:textId="77777777" w:rsidR="00E353FE" w:rsidRPr="00E353FE" w:rsidRDefault="00E353FE" w:rsidP="00E353FE">
            <w:pPr>
              <w:rPr>
                <w:sz w:val="16"/>
                <w:szCs w:val="16"/>
                <w:lang w:val="en-GB" w:eastAsia="ja-JP"/>
              </w:rPr>
            </w:pPr>
            <w:r w:rsidRPr="00E353FE">
              <w:rPr>
                <w:sz w:val="16"/>
                <w:szCs w:val="16"/>
                <w:lang w:val="en-GB" w:eastAsia="ja-JP"/>
              </w:rPr>
              <w:t>Self-consent or proxy consent (authorized representative) after social worker met with them to explain the research </w:t>
            </w:r>
          </w:p>
        </w:tc>
      </w:tr>
      <w:tr w:rsidR="00E353FE" w:rsidRPr="00E353FE" w14:paraId="1630242E" w14:textId="77777777" w:rsidTr="00E353FE">
        <w:trPr>
          <w:tblCellSpacing w:w="15" w:type="dxa"/>
        </w:trPr>
        <w:tc>
          <w:tcPr>
            <w:tcW w:w="0" w:type="auto"/>
            <w:vAlign w:val="center"/>
            <w:hideMark/>
          </w:tcPr>
          <w:p w14:paraId="09B17C63" w14:textId="63359E01" w:rsidR="00E353FE" w:rsidRPr="00E353FE" w:rsidRDefault="00E353FE" w:rsidP="00E353FE">
            <w:pPr>
              <w:rPr>
                <w:sz w:val="16"/>
                <w:szCs w:val="16"/>
                <w:lang w:val="en-GB" w:eastAsia="ja-JP"/>
              </w:rPr>
            </w:pPr>
            <w:r w:rsidRPr="00E353FE">
              <w:rPr>
                <w:sz w:val="16"/>
                <w:szCs w:val="16"/>
                <w:lang w:val="en-GB" w:eastAsia="ja-JP"/>
              </w:rPr>
              <w:t>Chu et al. (2014) </w:t>
            </w:r>
          </w:p>
        </w:tc>
        <w:tc>
          <w:tcPr>
            <w:tcW w:w="0" w:type="auto"/>
            <w:vAlign w:val="center"/>
            <w:hideMark/>
          </w:tcPr>
          <w:p w14:paraId="78FDA9E5" w14:textId="77777777" w:rsidR="00E353FE" w:rsidRPr="00E353FE" w:rsidRDefault="00E353FE" w:rsidP="00E353FE">
            <w:pPr>
              <w:rPr>
                <w:sz w:val="16"/>
                <w:szCs w:val="16"/>
                <w:lang w:val="en-GB" w:eastAsia="ja-JP"/>
              </w:rPr>
            </w:pPr>
            <w:r w:rsidRPr="00E353FE">
              <w:rPr>
                <w:sz w:val="16"/>
                <w:szCs w:val="16"/>
                <w:lang w:val="en-GB" w:eastAsia="ja-JP"/>
              </w:rPr>
              <w:t>104 (target 62) </w:t>
            </w:r>
          </w:p>
        </w:tc>
        <w:tc>
          <w:tcPr>
            <w:tcW w:w="0" w:type="auto"/>
            <w:vAlign w:val="center"/>
            <w:hideMark/>
          </w:tcPr>
          <w:p w14:paraId="366B9E6B" w14:textId="77777777" w:rsidR="00E353FE" w:rsidRPr="00E353FE" w:rsidRDefault="00E353FE" w:rsidP="00E353FE">
            <w:pPr>
              <w:rPr>
                <w:sz w:val="16"/>
                <w:szCs w:val="16"/>
                <w:lang w:val="en-GB" w:eastAsia="ja-JP"/>
              </w:rPr>
            </w:pPr>
            <w:r w:rsidRPr="00E353FE">
              <w:rPr>
                <w:sz w:val="16"/>
                <w:szCs w:val="16"/>
                <w:lang w:val="en-GB" w:eastAsia="ja-JP"/>
              </w:rPr>
              <w:t>RCT, parallel group </w:t>
            </w:r>
          </w:p>
        </w:tc>
        <w:tc>
          <w:tcPr>
            <w:tcW w:w="0" w:type="auto"/>
            <w:vAlign w:val="center"/>
            <w:hideMark/>
          </w:tcPr>
          <w:p w14:paraId="59A93BD2" w14:textId="77777777" w:rsidR="00E353FE" w:rsidRPr="00E353FE" w:rsidRDefault="00E353FE" w:rsidP="00E353FE">
            <w:pPr>
              <w:rPr>
                <w:sz w:val="16"/>
                <w:szCs w:val="16"/>
                <w:lang w:val="en-GB" w:eastAsia="ja-JP"/>
              </w:rPr>
            </w:pPr>
            <w:r w:rsidRPr="00E353FE">
              <w:rPr>
                <w:sz w:val="16"/>
                <w:szCs w:val="16"/>
                <w:lang w:val="en-GB" w:eastAsia="ja-JP"/>
              </w:rPr>
              <w:t>2× weekly, 30 min, 6 weeks </w:t>
            </w:r>
          </w:p>
        </w:tc>
        <w:tc>
          <w:tcPr>
            <w:tcW w:w="0" w:type="auto"/>
            <w:vAlign w:val="center"/>
            <w:hideMark/>
          </w:tcPr>
          <w:p w14:paraId="4C68D608" w14:textId="77777777" w:rsidR="00E353FE" w:rsidRPr="00E353FE" w:rsidRDefault="00E353FE" w:rsidP="00E353FE">
            <w:pPr>
              <w:rPr>
                <w:sz w:val="16"/>
                <w:szCs w:val="16"/>
                <w:lang w:val="en-GB" w:eastAsia="ja-JP"/>
              </w:rPr>
            </w:pPr>
            <w:r w:rsidRPr="00E353FE">
              <w:rPr>
                <w:sz w:val="16"/>
                <w:szCs w:val="16"/>
                <w:lang w:val="en-GB" w:eastAsia="ja-JP"/>
              </w:rPr>
              <w:t>Group </w:t>
            </w:r>
          </w:p>
        </w:tc>
        <w:tc>
          <w:tcPr>
            <w:tcW w:w="0" w:type="auto"/>
            <w:vAlign w:val="center"/>
            <w:hideMark/>
          </w:tcPr>
          <w:p w14:paraId="6CE7DC93" w14:textId="77777777" w:rsidR="00E353FE" w:rsidRPr="00E353FE" w:rsidRDefault="00E353FE" w:rsidP="00E353FE">
            <w:pPr>
              <w:rPr>
                <w:sz w:val="16"/>
                <w:szCs w:val="16"/>
                <w:lang w:val="en-GB" w:eastAsia="ja-JP"/>
              </w:rPr>
            </w:pPr>
            <w:r w:rsidRPr="00E353FE">
              <w:rPr>
                <w:sz w:val="16"/>
                <w:szCs w:val="16"/>
                <w:lang w:val="en-GB" w:eastAsia="ja-JP"/>
              </w:rPr>
              <w:t>Provided eligible RACF residents and legal representatives authorized with detailed explanation of study and invitation to participate </w:t>
            </w:r>
          </w:p>
        </w:tc>
        <w:tc>
          <w:tcPr>
            <w:tcW w:w="0" w:type="auto"/>
            <w:vAlign w:val="center"/>
            <w:hideMark/>
          </w:tcPr>
          <w:p w14:paraId="1605F448"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7D7931D0"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2D78F997"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150BE79B" w14:textId="77777777" w:rsidR="00E353FE" w:rsidRPr="00E353FE" w:rsidRDefault="00E353FE" w:rsidP="00E353FE">
            <w:pPr>
              <w:rPr>
                <w:sz w:val="16"/>
                <w:szCs w:val="16"/>
                <w:lang w:val="en-GB" w:eastAsia="ja-JP"/>
              </w:rPr>
            </w:pPr>
            <w:r w:rsidRPr="00E353FE">
              <w:rPr>
                <w:sz w:val="16"/>
                <w:szCs w:val="16"/>
                <w:lang w:val="en-GB" w:eastAsia="ja-JP"/>
              </w:rPr>
              <w:t>NR </w:t>
            </w:r>
          </w:p>
        </w:tc>
        <w:tc>
          <w:tcPr>
            <w:tcW w:w="0" w:type="auto"/>
            <w:vAlign w:val="center"/>
            <w:hideMark/>
          </w:tcPr>
          <w:p w14:paraId="04C0DF4F" w14:textId="77777777" w:rsidR="00E353FE" w:rsidRPr="00E353FE" w:rsidRDefault="00E353FE" w:rsidP="00E353FE">
            <w:pPr>
              <w:rPr>
                <w:sz w:val="16"/>
                <w:szCs w:val="16"/>
                <w:lang w:val="en-GB" w:eastAsia="ja-JP"/>
              </w:rPr>
            </w:pPr>
            <w:r w:rsidRPr="00E353FE">
              <w:rPr>
                <w:sz w:val="16"/>
                <w:szCs w:val="16"/>
                <w:lang w:val="en-GB" w:eastAsia="ja-JP"/>
              </w:rPr>
              <w:t>3% </w:t>
            </w:r>
          </w:p>
        </w:tc>
        <w:tc>
          <w:tcPr>
            <w:tcW w:w="0" w:type="auto"/>
            <w:vAlign w:val="center"/>
            <w:hideMark/>
          </w:tcPr>
          <w:p w14:paraId="76437D70" w14:textId="77777777" w:rsidR="00E353FE" w:rsidRPr="00E353FE" w:rsidRDefault="00E353FE" w:rsidP="00E353FE">
            <w:pPr>
              <w:rPr>
                <w:sz w:val="16"/>
                <w:szCs w:val="16"/>
                <w:lang w:val="en-GB" w:eastAsia="ja-JP"/>
              </w:rPr>
            </w:pPr>
            <w:r w:rsidRPr="00E353FE">
              <w:rPr>
                <w:sz w:val="16"/>
                <w:szCs w:val="16"/>
                <w:lang w:val="en-GB" w:eastAsia="ja-JP"/>
              </w:rPr>
              <w:t>Written/verbal self-consent and written proxy consent (authorized representative) after being provided a detailed explanation of the study </w:t>
            </w:r>
          </w:p>
        </w:tc>
      </w:tr>
      <w:tr w:rsidR="00E353FE" w:rsidRPr="00E353FE" w14:paraId="737A3CE6" w14:textId="77777777" w:rsidTr="00E353FE">
        <w:trPr>
          <w:tblCellSpacing w:w="15" w:type="dxa"/>
        </w:trPr>
        <w:tc>
          <w:tcPr>
            <w:tcW w:w="0" w:type="auto"/>
            <w:vAlign w:val="center"/>
            <w:hideMark/>
          </w:tcPr>
          <w:p w14:paraId="4FE8C12A" w14:textId="3D1341F4" w:rsidR="00E353FE" w:rsidRPr="00E353FE" w:rsidRDefault="00E353FE" w:rsidP="00E353FE">
            <w:pPr>
              <w:rPr>
                <w:sz w:val="16"/>
                <w:szCs w:val="16"/>
                <w:lang w:val="en-GB" w:eastAsia="ja-JP"/>
              </w:rPr>
            </w:pPr>
            <w:r w:rsidRPr="00E353FE">
              <w:rPr>
                <w:sz w:val="16"/>
                <w:szCs w:val="16"/>
                <w:lang w:val="en-GB" w:eastAsia="ja-JP"/>
              </w:rPr>
              <w:t>Clair (2002) </w:t>
            </w:r>
          </w:p>
        </w:tc>
        <w:tc>
          <w:tcPr>
            <w:tcW w:w="0" w:type="auto"/>
            <w:vAlign w:val="center"/>
            <w:hideMark/>
          </w:tcPr>
          <w:p w14:paraId="2F475AE6" w14:textId="77777777" w:rsidR="00E353FE" w:rsidRPr="00E353FE" w:rsidRDefault="00E353FE" w:rsidP="00E353FE">
            <w:pPr>
              <w:rPr>
                <w:sz w:val="16"/>
                <w:szCs w:val="16"/>
                <w:lang w:val="en-GB" w:eastAsia="ja-JP"/>
              </w:rPr>
            </w:pPr>
            <w:r w:rsidRPr="00E353FE">
              <w:rPr>
                <w:sz w:val="16"/>
                <w:szCs w:val="16"/>
                <w:lang w:val="en-GB" w:eastAsia="ja-JP"/>
              </w:rPr>
              <w:t>15 </w:t>
            </w:r>
          </w:p>
        </w:tc>
        <w:tc>
          <w:tcPr>
            <w:tcW w:w="0" w:type="auto"/>
            <w:vAlign w:val="center"/>
            <w:hideMark/>
          </w:tcPr>
          <w:p w14:paraId="5F76FFF2" w14:textId="77777777" w:rsidR="00E353FE" w:rsidRPr="00E353FE" w:rsidRDefault="00E353FE" w:rsidP="00E353FE">
            <w:pPr>
              <w:rPr>
                <w:sz w:val="16"/>
                <w:szCs w:val="16"/>
                <w:lang w:val="en-GB" w:eastAsia="ja-JP"/>
              </w:rPr>
            </w:pPr>
            <w:r w:rsidRPr="00E353FE">
              <w:rPr>
                <w:sz w:val="16"/>
                <w:szCs w:val="16"/>
                <w:lang w:val="en-GB" w:eastAsia="ja-JP"/>
              </w:rPr>
              <w:t>Observational, quasi-experimental single group </w:t>
            </w:r>
          </w:p>
        </w:tc>
        <w:tc>
          <w:tcPr>
            <w:tcW w:w="0" w:type="auto"/>
            <w:vAlign w:val="center"/>
            <w:hideMark/>
          </w:tcPr>
          <w:p w14:paraId="7345D14F" w14:textId="77777777" w:rsidR="00E353FE" w:rsidRPr="00E353FE" w:rsidRDefault="00E353FE" w:rsidP="00E353FE">
            <w:pPr>
              <w:rPr>
                <w:sz w:val="16"/>
                <w:szCs w:val="16"/>
                <w:lang w:val="en-GB" w:eastAsia="ja-JP"/>
              </w:rPr>
            </w:pPr>
            <w:r w:rsidRPr="00E353FE">
              <w:rPr>
                <w:sz w:val="16"/>
                <w:szCs w:val="16"/>
                <w:lang w:val="en-GB" w:eastAsia="ja-JP"/>
              </w:rPr>
              <w:t>Weekly 40 min, 6 weeks </w:t>
            </w:r>
          </w:p>
        </w:tc>
        <w:tc>
          <w:tcPr>
            <w:tcW w:w="0" w:type="auto"/>
            <w:vAlign w:val="center"/>
            <w:hideMark/>
          </w:tcPr>
          <w:p w14:paraId="587BC134" w14:textId="77777777" w:rsidR="00E353FE" w:rsidRPr="00E353FE" w:rsidRDefault="00E353FE" w:rsidP="00E353FE">
            <w:pPr>
              <w:rPr>
                <w:sz w:val="16"/>
                <w:szCs w:val="16"/>
                <w:lang w:val="en-GB" w:eastAsia="ja-JP"/>
              </w:rPr>
            </w:pPr>
            <w:r w:rsidRPr="00E353FE">
              <w:rPr>
                <w:sz w:val="16"/>
                <w:szCs w:val="16"/>
                <w:lang w:val="en-GB" w:eastAsia="ja-JP"/>
              </w:rPr>
              <w:t>Group </w:t>
            </w:r>
          </w:p>
        </w:tc>
        <w:tc>
          <w:tcPr>
            <w:tcW w:w="0" w:type="auto"/>
            <w:vAlign w:val="center"/>
            <w:hideMark/>
          </w:tcPr>
          <w:p w14:paraId="1EAFCB53" w14:textId="77777777" w:rsidR="00E353FE" w:rsidRPr="00E353FE" w:rsidRDefault="00E353FE" w:rsidP="00E353FE">
            <w:pPr>
              <w:rPr>
                <w:sz w:val="16"/>
                <w:szCs w:val="16"/>
                <w:lang w:val="en-GB" w:eastAsia="ja-JP"/>
              </w:rPr>
            </w:pPr>
            <w:r w:rsidRPr="00E353FE">
              <w:rPr>
                <w:sz w:val="16"/>
                <w:szCs w:val="16"/>
                <w:lang w:val="en-GB" w:eastAsia="ja-JP"/>
              </w:rPr>
              <w:t>Administration staff provided brief written description of study to legal representatives </w:t>
            </w:r>
          </w:p>
        </w:tc>
        <w:tc>
          <w:tcPr>
            <w:tcW w:w="0" w:type="auto"/>
            <w:vAlign w:val="center"/>
            <w:hideMark/>
          </w:tcPr>
          <w:p w14:paraId="5917E40D" w14:textId="77777777" w:rsidR="00E353FE" w:rsidRPr="00E353FE" w:rsidRDefault="00E353FE" w:rsidP="00E353FE">
            <w:pPr>
              <w:rPr>
                <w:sz w:val="16"/>
                <w:szCs w:val="16"/>
                <w:lang w:val="en-GB" w:eastAsia="ja-JP"/>
              </w:rPr>
            </w:pPr>
            <w:r w:rsidRPr="00E353FE">
              <w:rPr>
                <w:sz w:val="16"/>
                <w:szCs w:val="16"/>
                <w:lang w:val="en-GB" w:eastAsia="ja-JP"/>
              </w:rPr>
              <w:t>Admin staff </w:t>
            </w:r>
          </w:p>
        </w:tc>
        <w:tc>
          <w:tcPr>
            <w:tcW w:w="0" w:type="auto"/>
            <w:vAlign w:val="center"/>
            <w:hideMark/>
          </w:tcPr>
          <w:p w14:paraId="0494A9B5"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563F3635"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520F6499" w14:textId="77777777" w:rsidR="00E353FE" w:rsidRPr="00E353FE" w:rsidRDefault="00E353FE" w:rsidP="00E353FE">
            <w:pPr>
              <w:rPr>
                <w:sz w:val="16"/>
                <w:szCs w:val="16"/>
                <w:lang w:val="en-GB" w:eastAsia="ja-JP"/>
              </w:rPr>
            </w:pPr>
            <w:r w:rsidRPr="00E353FE">
              <w:rPr>
                <w:sz w:val="16"/>
                <w:szCs w:val="16"/>
                <w:lang w:val="en-GB" w:eastAsia="ja-JP"/>
              </w:rPr>
              <w:t>73% </w:t>
            </w:r>
          </w:p>
        </w:tc>
        <w:tc>
          <w:tcPr>
            <w:tcW w:w="0" w:type="auto"/>
            <w:vAlign w:val="center"/>
            <w:hideMark/>
          </w:tcPr>
          <w:p w14:paraId="33931727" w14:textId="77777777" w:rsidR="00E353FE" w:rsidRPr="00E353FE" w:rsidRDefault="00E353FE" w:rsidP="00E353FE">
            <w:pPr>
              <w:rPr>
                <w:sz w:val="16"/>
                <w:szCs w:val="16"/>
                <w:lang w:val="en-GB" w:eastAsia="ja-JP"/>
              </w:rPr>
            </w:pPr>
            <w:r w:rsidRPr="00E353FE">
              <w:rPr>
                <w:sz w:val="16"/>
                <w:szCs w:val="16"/>
                <w:lang w:val="en-GB" w:eastAsia="ja-JP"/>
              </w:rPr>
              <w:t>46% </w:t>
            </w:r>
          </w:p>
        </w:tc>
        <w:tc>
          <w:tcPr>
            <w:tcW w:w="0" w:type="auto"/>
            <w:vAlign w:val="center"/>
            <w:hideMark/>
          </w:tcPr>
          <w:p w14:paraId="2CEBF747" w14:textId="77777777" w:rsidR="00E353FE" w:rsidRPr="00E353FE" w:rsidRDefault="00E353FE" w:rsidP="00E353FE">
            <w:pPr>
              <w:rPr>
                <w:sz w:val="16"/>
                <w:szCs w:val="16"/>
                <w:lang w:val="en-GB" w:eastAsia="ja-JP"/>
              </w:rPr>
            </w:pPr>
            <w:r w:rsidRPr="00E353FE">
              <w:rPr>
                <w:sz w:val="16"/>
                <w:szCs w:val="16"/>
                <w:lang w:val="en-GB" w:eastAsia="ja-JP"/>
              </w:rPr>
              <w:t>Proxy consent (family or close friend caregiver) </w:t>
            </w:r>
          </w:p>
        </w:tc>
      </w:tr>
      <w:tr w:rsidR="00E353FE" w:rsidRPr="00E353FE" w14:paraId="0134F2D0" w14:textId="77777777" w:rsidTr="00E353FE">
        <w:trPr>
          <w:tblCellSpacing w:w="15" w:type="dxa"/>
        </w:trPr>
        <w:tc>
          <w:tcPr>
            <w:tcW w:w="0" w:type="auto"/>
            <w:vAlign w:val="center"/>
            <w:hideMark/>
          </w:tcPr>
          <w:p w14:paraId="337F4927" w14:textId="7D653A48" w:rsidR="00E353FE" w:rsidRPr="00E353FE" w:rsidRDefault="00E353FE" w:rsidP="00E353FE">
            <w:pPr>
              <w:rPr>
                <w:sz w:val="16"/>
                <w:szCs w:val="16"/>
                <w:lang w:val="en-GB" w:eastAsia="ja-JP"/>
              </w:rPr>
            </w:pPr>
            <w:r w:rsidRPr="00E353FE">
              <w:rPr>
                <w:sz w:val="16"/>
                <w:szCs w:val="16"/>
                <w:lang w:val="en-GB" w:eastAsia="ja-JP"/>
              </w:rPr>
              <w:t>Clair et al. (2005) </w:t>
            </w:r>
          </w:p>
        </w:tc>
        <w:tc>
          <w:tcPr>
            <w:tcW w:w="0" w:type="auto"/>
            <w:vAlign w:val="center"/>
            <w:hideMark/>
          </w:tcPr>
          <w:p w14:paraId="352631EA" w14:textId="77777777" w:rsidR="00E353FE" w:rsidRPr="00E353FE" w:rsidRDefault="00E353FE" w:rsidP="00E353FE">
            <w:pPr>
              <w:rPr>
                <w:sz w:val="16"/>
                <w:szCs w:val="16"/>
                <w:lang w:val="en-GB" w:eastAsia="ja-JP"/>
              </w:rPr>
            </w:pPr>
            <w:r w:rsidRPr="00E353FE">
              <w:rPr>
                <w:sz w:val="16"/>
                <w:szCs w:val="16"/>
                <w:lang w:val="en-GB" w:eastAsia="ja-JP"/>
              </w:rPr>
              <w:t>45 </w:t>
            </w:r>
          </w:p>
        </w:tc>
        <w:tc>
          <w:tcPr>
            <w:tcW w:w="0" w:type="auto"/>
            <w:vAlign w:val="center"/>
            <w:hideMark/>
          </w:tcPr>
          <w:p w14:paraId="1555A232" w14:textId="77777777" w:rsidR="00E353FE" w:rsidRPr="00E353FE" w:rsidRDefault="00E353FE" w:rsidP="00E353FE">
            <w:pPr>
              <w:rPr>
                <w:sz w:val="16"/>
                <w:szCs w:val="16"/>
                <w:lang w:val="en-GB" w:eastAsia="ja-JP"/>
              </w:rPr>
            </w:pPr>
            <w:r w:rsidRPr="00E353FE">
              <w:rPr>
                <w:sz w:val="16"/>
                <w:szCs w:val="16"/>
                <w:lang w:val="en-GB" w:eastAsia="ja-JP"/>
              </w:rPr>
              <w:t>Observational, quasi-experimental single group </w:t>
            </w:r>
          </w:p>
        </w:tc>
        <w:tc>
          <w:tcPr>
            <w:tcW w:w="0" w:type="auto"/>
            <w:vAlign w:val="center"/>
            <w:hideMark/>
          </w:tcPr>
          <w:p w14:paraId="113C16E2" w14:textId="77777777" w:rsidR="00E353FE" w:rsidRPr="00E353FE" w:rsidRDefault="00E353FE" w:rsidP="00E353FE">
            <w:pPr>
              <w:rPr>
                <w:sz w:val="16"/>
                <w:szCs w:val="16"/>
                <w:lang w:val="en-GB" w:eastAsia="ja-JP"/>
              </w:rPr>
            </w:pPr>
            <w:r w:rsidRPr="00E353FE">
              <w:rPr>
                <w:sz w:val="16"/>
                <w:szCs w:val="16"/>
                <w:lang w:val="en-GB" w:eastAsia="ja-JP"/>
              </w:rPr>
              <w:t>Weekly, 15 min, 8 weeks </w:t>
            </w:r>
          </w:p>
        </w:tc>
        <w:tc>
          <w:tcPr>
            <w:tcW w:w="0" w:type="auto"/>
            <w:vAlign w:val="center"/>
            <w:hideMark/>
          </w:tcPr>
          <w:p w14:paraId="494690DA" w14:textId="77777777" w:rsidR="00E353FE" w:rsidRPr="00E353FE" w:rsidRDefault="00E353FE" w:rsidP="00E353FE">
            <w:pPr>
              <w:rPr>
                <w:sz w:val="16"/>
                <w:szCs w:val="16"/>
                <w:lang w:val="en-GB" w:eastAsia="ja-JP"/>
              </w:rPr>
            </w:pPr>
            <w:r w:rsidRPr="00E353FE">
              <w:rPr>
                <w:sz w:val="16"/>
                <w:szCs w:val="16"/>
                <w:lang w:val="en-GB" w:eastAsia="ja-JP"/>
              </w:rPr>
              <w:t>Group </w:t>
            </w:r>
          </w:p>
        </w:tc>
        <w:tc>
          <w:tcPr>
            <w:tcW w:w="0" w:type="auto"/>
            <w:vAlign w:val="center"/>
            <w:hideMark/>
          </w:tcPr>
          <w:p w14:paraId="332FD03D" w14:textId="77777777" w:rsidR="00E353FE" w:rsidRPr="00E353FE" w:rsidRDefault="00E353FE" w:rsidP="00E353FE">
            <w:pPr>
              <w:rPr>
                <w:sz w:val="16"/>
                <w:szCs w:val="16"/>
                <w:lang w:val="en-GB" w:eastAsia="ja-JP"/>
              </w:rPr>
            </w:pPr>
            <w:r w:rsidRPr="00E353FE">
              <w:rPr>
                <w:sz w:val="16"/>
                <w:szCs w:val="16"/>
                <w:lang w:val="en-GB" w:eastAsia="ja-JP"/>
              </w:rPr>
              <w:t>Leisure activity staff contacted legal guardians by phone or face to face </w:t>
            </w:r>
          </w:p>
        </w:tc>
        <w:tc>
          <w:tcPr>
            <w:tcW w:w="0" w:type="auto"/>
            <w:vAlign w:val="center"/>
            <w:hideMark/>
          </w:tcPr>
          <w:p w14:paraId="4C549438" w14:textId="77777777" w:rsidR="00E353FE" w:rsidRPr="00E353FE" w:rsidRDefault="00E353FE" w:rsidP="00E353FE">
            <w:pPr>
              <w:rPr>
                <w:sz w:val="16"/>
                <w:szCs w:val="16"/>
                <w:lang w:val="en-GB" w:eastAsia="ja-JP"/>
              </w:rPr>
            </w:pPr>
            <w:r w:rsidRPr="00E353FE">
              <w:rPr>
                <w:sz w:val="16"/>
                <w:szCs w:val="16"/>
                <w:lang w:val="en-GB" w:eastAsia="ja-JP"/>
              </w:rPr>
              <w:t>Leisure staff </w:t>
            </w:r>
          </w:p>
        </w:tc>
        <w:tc>
          <w:tcPr>
            <w:tcW w:w="0" w:type="auto"/>
            <w:vAlign w:val="center"/>
            <w:hideMark/>
          </w:tcPr>
          <w:p w14:paraId="63C6FCF0"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63E25FCC"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7E82026D" w14:textId="77777777" w:rsidR="00E353FE" w:rsidRPr="00E353FE" w:rsidRDefault="00E353FE" w:rsidP="00E353FE">
            <w:pPr>
              <w:rPr>
                <w:sz w:val="16"/>
                <w:szCs w:val="16"/>
                <w:lang w:val="en-GB" w:eastAsia="ja-JP"/>
              </w:rPr>
            </w:pPr>
            <w:r w:rsidRPr="00E353FE">
              <w:rPr>
                <w:sz w:val="16"/>
                <w:szCs w:val="16"/>
                <w:lang w:val="en-GB" w:eastAsia="ja-JP"/>
              </w:rPr>
              <w:t>NR </w:t>
            </w:r>
          </w:p>
        </w:tc>
        <w:tc>
          <w:tcPr>
            <w:tcW w:w="0" w:type="auto"/>
            <w:vAlign w:val="center"/>
            <w:hideMark/>
          </w:tcPr>
          <w:p w14:paraId="5CA41053" w14:textId="77777777" w:rsidR="00E353FE" w:rsidRPr="00E353FE" w:rsidRDefault="00E353FE" w:rsidP="00E353FE">
            <w:pPr>
              <w:rPr>
                <w:sz w:val="16"/>
                <w:szCs w:val="16"/>
                <w:lang w:val="en-GB" w:eastAsia="ja-JP"/>
              </w:rPr>
            </w:pPr>
            <w:r w:rsidRPr="00E353FE">
              <w:rPr>
                <w:sz w:val="16"/>
                <w:szCs w:val="16"/>
                <w:lang w:val="en-GB" w:eastAsia="ja-JP"/>
              </w:rPr>
              <w:t>0 </w:t>
            </w:r>
          </w:p>
        </w:tc>
        <w:tc>
          <w:tcPr>
            <w:tcW w:w="0" w:type="auto"/>
            <w:vAlign w:val="center"/>
            <w:hideMark/>
          </w:tcPr>
          <w:p w14:paraId="1D131C64" w14:textId="77777777" w:rsidR="00E353FE" w:rsidRPr="00E353FE" w:rsidRDefault="00E353FE" w:rsidP="00E353FE">
            <w:pPr>
              <w:rPr>
                <w:sz w:val="16"/>
                <w:szCs w:val="16"/>
                <w:lang w:val="en-GB" w:eastAsia="ja-JP"/>
              </w:rPr>
            </w:pPr>
            <w:r w:rsidRPr="00E353FE">
              <w:rPr>
                <w:sz w:val="16"/>
                <w:szCs w:val="16"/>
                <w:lang w:val="en-GB" w:eastAsia="ja-JP"/>
              </w:rPr>
              <w:t>Written proxy consent (guardian) after activity director described the study verbally and provided them with consent documents. Implicit participant assent (voluntary attended music session after invitation to the study) </w:t>
            </w:r>
          </w:p>
        </w:tc>
      </w:tr>
      <w:tr w:rsidR="00E353FE" w:rsidRPr="00E353FE" w14:paraId="0066208E" w14:textId="77777777" w:rsidTr="00E353FE">
        <w:trPr>
          <w:tblCellSpacing w:w="15" w:type="dxa"/>
        </w:trPr>
        <w:tc>
          <w:tcPr>
            <w:tcW w:w="0" w:type="auto"/>
            <w:vAlign w:val="center"/>
            <w:hideMark/>
          </w:tcPr>
          <w:p w14:paraId="6753B7CD" w14:textId="6FEDD3D7" w:rsidR="00E353FE" w:rsidRPr="00E353FE" w:rsidRDefault="00E353FE" w:rsidP="00E353FE">
            <w:pPr>
              <w:rPr>
                <w:sz w:val="16"/>
                <w:szCs w:val="16"/>
                <w:lang w:val="en-GB" w:eastAsia="ja-JP"/>
              </w:rPr>
            </w:pPr>
            <w:r w:rsidRPr="00E353FE">
              <w:rPr>
                <w:sz w:val="16"/>
                <w:szCs w:val="16"/>
                <w:lang w:val="en-GB" w:eastAsia="ja-JP"/>
              </w:rPr>
              <w:t>Clements-Cortes (2015) </w:t>
            </w:r>
          </w:p>
        </w:tc>
        <w:tc>
          <w:tcPr>
            <w:tcW w:w="0" w:type="auto"/>
            <w:vAlign w:val="center"/>
            <w:hideMark/>
          </w:tcPr>
          <w:p w14:paraId="11BF340E" w14:textId="77777777" w:rsidR="00E353FE" w:rsidRPr="00E353FE" w:rsidRDefault="00E353FE" w:rsidP="00E353FE">
            <w:pPr>
              <w:rPr>
                <w:sz w:val="16"/>
                <w:szCs w:val="16"/>
                <w:lang w:val="en-GB" w:eastAsia="ja-JP"/>
              </w:rPr>
            </w:pPr>
            <w:r w:rsidRPr="00E353FE">
              <w:rPr>
                <w:sz w:val="16"/>
                <w:szCs w:val="16"/>
                <w:lang w:val="en-GB" w:eastAsia="ja-JP"/>
              </w:rPr>
              <w:t>28 </w:t>
            </w:r>
          </w:p>
        </w:tc>
        <w:tc>
          <w:tcPr>
            <w:tcW w:w="0" w:type="auto"/>
            <w:vAlign w:val="center"/>
            <w:hideMark/>
          </w:tcPr>
          <w:p w14:paraId="6F3CB056" w14:textId="77777777" w:rsidR="00E353FE" w:rsidRPr="00E353FE" w:rsidRDefault="00E353FE" w:rsidP="00E353FE">
            <w:pPr>
              <w:rPr>
                <w:sz w:val="16"/>
                <w:szCs w:val="16"/>
                <w:lang w:val="en-GB" w:eastAsia="ja-JP"/>
              </w:rPr>
            </w:pPr>
            <w:r w:rsidRPr="00E353FE">
              <w:rPr>
                <w:sz w:val="16"/>
                <w:szCs w:val="16"/>
                <w:lang w:val="en-GB" w:eastAsia="ja-JP"/>
              </w:rPr>
              <w:t>Single group, mixed methods, quasi-experimental </w:t>
            </w:r>
          </w:p>
        </w:tc>
        <w:tc>
          <w:tcPr>
            <w:tcW w:w="0" w:type="auto"/>
            <w:vAlign w:val="center"/>
            <w:hideMark/>
          </w:tcPr>
          <w:p w14:paraId="0645B660" w14:textId="77777777" w:rsidR="00E353FE" w:rsidRPr="00E353FE" w:rsidRDefault="00E353FE" w:rsidP="00E353FE">
            <w:pPr>
              <w:rPr>
                <w:sz w:val="16"/>
                <w:szCs w:val="16"/>
                <w:lang w:val="en-GB" w:eastAsia="ja-JP"/>
              </w:rPr>
            </w:pPr>
            <w:r w:rsidRPr="00E353FE">
              <w:rPr>
                <w:sz w:val="16"/>
                <w:szCs w:val="16"/>
                <w:lang w:val="en-GB" w:eastAsia="ja-JP"/>
              </w:rPr>
              <w:t>Weekly, 60 min, 16 weeks </w:t>
            </w:r>
          </w:p>
        </w:tc>
        <w:tc>
          <w:tcPr>
            <w:tcW w:w="0" w:type="auto"/>
            <w:vAlign w:val="center"/>
            <w:hideMark/>
          </w:tcPr>
          <w:p w14:paraId="3B724057" w14:textId="77777777" w:rsidR="00E353FE" w:rsidRPr="00E353FE" w:rsidRDefault="00E353FE" w:rsidP="00E353FE">
            <w:pPr>
              <w:rPr>
                <w:sz w:val="16"/>
                <w:szCs w:val="16"/>
                <w:lang w:val="en-GB" w:eastAsia="ja-JP"/>
              </w:rPr>
            </w:pPr>
            <w:r w:rsidRPr="00E353FE">
              <w:rPr>
                <w:sz w:val="16"/>
                <w:szCs w:val="16"/>
                <w:lang w:val="en-GB" w:eastAsia="ja-JP"/>
              </w:rPr>
              <w:t>Group </w:t>
            </w:r>
          </w:p>
        </w:tc>
        <w:tc>
          <w:tcPr>
            <w:tcW w:w="0" w:type="auto"/>
            <w:vAlign w:val="center"/>
            <w:hideMark/>
          </w:tcPr>
          <w:p w14:paraId="291B1DAD" w14:textId="77777777" w:rsidR="00E353FE" w:rsidRPr="00E353FE" w:rsidRDefault="00E353FE" w:rsidP="00E353FE">
            <w:pPr>
              <w:rPr>
                <w:sz w:val="16"/>
                <w:szCs w:val="16"/>
                <w:lang w:val="en-GB" w:eastAsia="ja-JP"/>
              </w:rPr>
            </w:pPr>
            <w:r w:rsidRPr="00E353FE">
              <w:rPr>
                <w:sz w:val="16"/>
                <w:szCs w:val="16"/>
                <w:lang w:val="en-GB" w:eastAsia="ja-JP"/>
              </w:rPr>
              <w:t>Verbally conveyed by staff and presented in flyers </w:t>
            </w:r>
          </w:p>
        </w:tc>
        <w:tc>
          <w:tcPr>
            <w:tcW w:w="0" w:type="auto"/>
            <w:vAlign w:val="center"/>
            <w:hideMark/>
          </w:tcPr>
          <w:p w14:paraId="104E480C" w14:textId="77777777" w:rsidR="00E353FE" w:rsidRPr="00E353FE" w:rsidRDefault="00E353FE" w:rsidP="00E353FE">
            <w:pPr>
              <w:rPr>
                <w:sz w:val="16"/>
                <w:szCs w:val="16"/>
                <w:lang w:val="en-GB" w:eastAsia="ja-JP"/>
              </w:rPr>
            </w:pPr>
            <w:r w:rsidRPr="00E353FE">
              <w:rPr>
                <w:sz w:val="16"/>
                <w:szCs w:val="16"/>
                <w:lang w:val="en-GB" w:eastAsia="ja-JP"/>
              </w:rPr>
              <w:t>Care home staff and leisure staff </w:t>
            </w:r>
          </w:p>
        </w:tc>
        <w:tc>
          <w:tcPr>
            <w:tcW w:w="0" w:type="auto"/>
            <w:vAlign w:val="center"/>
            <w:hideMark/>
          </w:tcPr>
          <w:p w14:paraId="262EB1CD"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6867DD36"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739E555A" w14:textId="77777777" w:rsidR="00E353FE" w:rsidRPr="00E353FE" w:rsidRDefault="00E353FE" w:rsidP="00E353FE">
            <w:pPr>
              <w:rPr>
                <w:sz w:val="16"/>
                <w:szCs w:val="16"/>
                <w:lang w:val="en-GB" w:eastAsia="ja-JP"/>
              </w:rPr>
            </w:pPr>
            <w:r w:rsidRPr="00E353FE">
              <w:rPr>
                <w:sz w:val="16"/>
                <w:szCs w:val="16"/>
                <w:lang w:val="en-GB" w:eastAsia="ja-JP"/>
              </w:rPr>
              <w:t>NR </w:t>
            </w:r>
          </w:p>
        </w:tc>
        <w:tc>
          <w:tcPr>
            <w:tcW w:w="0" w:type="auto"/>
            <w:vAlign w:val="center"/>
            <w:hideMark/>
          </w:tcPr>
          <w:p w14:paraId="1C3D5DC0" w14:textId="77777777" w:rsidR="00E353FE" w:rsidRPr="00E353FE" w:rsidRDefault="00E353FE" w:rsidP="00E353FE">
            <w:pPr>
              <w:rPr>
                <w:sz w:val="16"/>
                <w:szCs w:val="16"/>
                <w:lang w:val="en-GB" w:eastAsia="ja-JP"/>
              </w:rPr>
            </w:pPr>
            <w:r w:rsidRPr="00E353FE">
              <w:rPr>
                <w:sz w:val="16"/>
                <w:szCs w:val="16"/>
                <w:lang w:val="en-GB" w:eastAsia="ja-JP"/>
              </w:rPr>
              <w:t>0 </w:t>
            </w:r>
          </w:p>
        </w:tc>
        <w:tc>
          <w:tcPr>
            <w:tcW w:w="0" w:type="auto"/>
            <w:vAlign w:val="center"/>
            <w:hideMark/>
          </w:tcPr>
          <w:p w14:paraId="7942528F" w14:textId="77777777" w:rsidR="00E353FE" w:rsidRPr="00E353FE" w:rsidRDefault="00E353FE" w:rsidP="00E353FE">
            <w:pPr>
              <w:rPr>
                <w:sz w:val="16"/>
                <w:szCs w:val="16"/>
                <w:lang w:val="en-GB" w:eastAsia="ja-JP"/>
              </w:rPr>
            </w:pPr>
            <w:r w:rsidRPr="00E353FE">
              <w:rPr>
                <w:sz w:val="16"/>
                <w:szCs w:val="16"/>
                <w:lang w:val="en-GB" w:eastAsia="ja-JP"/>
              </w:rPr>
              <w:t>Written and verbal self-consent or proxy consent (substitute decision maker) + participant assent after receiving information sheet </w:t>
            </w:r>
          </w:p>
        </w:tc>
      </w:tr>
      <w:tr w:rsidR="00E353FE" w:rsidRPr="00E353FE" w14:paraId="4FB4B435" w14:textId="77777777" w:rsidTr="00E353FE">
        <w:trPr>
          <w:tblCellSpacing w:w="15" w:type="dxa"/>
        </w:trPr>
        <w:tc>
          <w:tcPr>
            <w:tcW w:w="0" w:type="auto"/>
            <w:vAlign w:val="center"/>
            <w:hideMark/>
          </w:tcPr>
          <w:p w14:paraId="68FB8A93" w14:textId="129A1F6B" w:rsidR="00E353FE" w:rsidRPr="00E353FE" w:rsidRDefault="00E353FE" w:rsidP="00E353FE">
            <w:pPr>
              <w:rPr>
                <w:sz w:val="16"/>
                <w:szCs w:val="16"/>
                <w:lang w:val="en-GB" w:eastAsia="ja-JP"/>
              </w:rPr>
            </w:pPr>
            <w:r w:rsidRPr="00E353FE">
              <w:rPr>
                <w:sz w:val="16"/>
                <w:szCs w:val="16"/>
                <w:lang w:val="en-GB" w:eastAsia="ja-JP"/>
              </w:rPr>
              <w:t>Guétin et al. (2009) </w:t>
            </w:r>
          </w:p>
        </w:tc>
        <w:tc>
          <w:tcPr>
            <w:tcW w:w="0" w:type="auto"/>
            <w:vAlign w:val="center"/>
            <w:hideMark/>
          </w:tcPr>
          <w:p w14:paraId="150022F1" w14:textId="77777777" w:rsidR="00E353FE" w:rsidRPr="00E353FE" w:rsidRDefault="00E353FE" w:rsidP="00E353FE">
            <w:pPr>
              <w:rPr>
                <w:sz w:val="16"/>
                <w:szCs w:val="16"/>
                <w:lang w:val="en-GB" w:eastAsia="ja-JP"/>
              </w:rPr>
            </w:pPr>
            <w:r w:rsidRPr="00E353FE">
              <w:rPr>
                <w:sz w:val="16"/>
                <w:szCs w:val="16"/>
                <w:lang w:val="en-GB" w:eastAsia="ja-JP"/>
              </w:rPr>
              <w:t>30 (target 30) </w:t>
            </w:r>
          </w:p>
        </w:tc>
        <w:tc>
          <w:tcPr>
            <w:tcW w:w="0" w:type="auto"/>
            <w:vAlign w:val="center"/>
            <w:hideMark/>
          </w:tcPr>
          <w:p w14:paraId="41492AE0" w14:textId="77777777" w:rsidR="00E353FE" w:rsidRPr="00E353FE" w:rsidRDefault="00E353FE" w:rsidP="00E353FE">
            <w:pPr>
              <w:rPr>
                <w:sz w:val="16"/>
                <w:szCs w:val="16"/>
                <w:lang w:val="en-GB" w:eastAsia="ja-JP"/>
              </w:rPr>
            </w:pPr>
            <w:r w:rsidRPr="00E353FE">
              <w:rPr>
                <w:sz w:val="16"/>
                <w:szCs w:val="16"/>
                <w:lang w:val="en-GB" w:eastAsia="ja-JP"/>
              </w:rPr>
              <w:t>RCT, parallel group </w:t>
            </w:r>
          </w:p>
        </w:tc>
        <w:tc>
          <w:tcPr>
            <w:tcW w:w="0" w:type="auto"/>
            <w:vAlign w:val="center"/>
            <w:hideMark/>
          </w:tcPr>
          <w:p w14:paraId="2EFEBD7A" w14:textId="77777777" w:rsidR="00E353FE" w:rsidRPr="00E353FE" w:rsidRDefault="00E353FE" w:rsidP="00E353FE">
            <w:pPr>
              <w:rPr>
                <w:sz w:val="16"/>
                <w:szCs w:val="16"/>
                <w:lang w:val="en-GB" w:eastAsia="ja-JP"/>
              </w:rPr>
            </w:pPr>
            <w:r w:rsidRPr="00E353FE">
              <w:rPr>
                <w:sz w:val="16"/>
                <w:szCs w:val="16"/>
                <w:lang w:val="en-GB" w:eastAsia="ja-JP"/>
              </w:rPr>
              <w:t>Weekly, 20 min, 16 weeks </w:t>
            </w:r>
          </w:p>
        </w:tc>
        <w:tc>
          <w:tcPr>
            <w:tcW w:w="0" w:type="auto"/>
            <w:vAlign w:val="center"/>
            <w:hideMark/>
          </w:tcPr>
          <w:p w14:paraId="7DB7AC96" w14:textId="77777777" w:rsidR="00E353FE" w:rsidRPr="00E353FE" w:rsidRDefault="00E353FE" w:rsidP="00E353FE">
            <w:pPr>
              <w:rPr>
                <w:sz w:val="16"/>
                <w:szCs w:val="16"/>
                <w:lang w:val="en-GB" w:eastAsia="ja-JP"/>
              </w:rPr>
            </w:pPr>
            <w:r w:rsidRPr="00E353FE">
              <w:rPr>
                <w:sz w:val="16"/>
                <w:szCs w:val="16"/>
                <w:lang w:val="en-GB" w:eastAsia="ja-JP"/>
              </w:rPr>
              <w:t>Individual </w:t>
            </w:r>
          </w:p>
        </w:tc>
        <w:tc>
          <w:tcPr>
            <w:tcW w:w="0" w:type="auto"/>
            <w:vAlign w:val="center"/>
            <w:hideMark/>
          </w:tcPr>
          <w:p w14:paraId="0A64EA56" w14:textId="77777777" w:rsidR="00E353FE" w:rsidRPr="00E353FE" w:rsidRDefault="00E353FE" w:rsidP="00E353FE">
            <w:pPr>
              <w:rPr>
                <w:sz w:val="16"/>
                <w:szCs w:val="16"/>
                <w:lang w:val="en-GB" w:eastAsia="ja-JP"/>
              </w:rPr>
            </w:pPr>
            <w:r w:rsidRPr="00E353FE">
              <w:rPr>
                <w:sz w:val="16"/>
                <w:szCs w:val="16"/>
                <w:lang w:val="en-GB" w:eastAsia="ja-JP"/>
              </w:rPr>
              <w:t>Selected by staff </w:t>
            </w:r>
          </w:p>
        </w:tc>
        <w:tc>
          <w:tcPr>
            <w:tcW w:w="0" w:type="auto"/>
            <w:vAlign w:val="center"/>
            <w:hideMark/>
          </w:tcPr>
          <w:p w14:paraId="5C7E91D3"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7EAD2869" w14:textId="77777777" w:rsidR="00E353FE" w:rsidRPr="00E353FE" w:rsidRDefault="00E353FE" w:rsidP="00E353FE">
            <w:pPr>
              <w:rPr>
                <w:sz w:val="16"/>
                <w:szCs w:val="16"/>
                <w:lang w:val="en-GB" w:eastAsia="ja-JP"/>
              </w:rPr>
            </w:pPr>
            <w:r w:rsidRPr="00E353FE">
              <w:rPr>
                <w:sz w:val="16"/>
                <w:szCs w:val="16"/>
                <w:lang w:val="en-GB" w:eastAsia="ja-JP"/>
              </w:rPr>
              <w:t>10 </w:t>
            </w:r>
          </w:p>
        </w:tc>
        <w:tc>
          <w:tcPr>
            <w:tcW w:w="0" w:type="auto"/>
            <w:vAlign w:val="center"/>
            <w:hideMark/>
          </w:tcPr>
          <w:p w14:paraId="53F43F67" w14:textId="77777777" w:rsidR="00E353FE" w:rsidRPr="00E353FE" w:rsidRDefault="00E353FE" w:rsidP="00E353FE">
            <w:pPr>
              <w:rPr>
                <w:sz w:val="16"/>
                <w:szCs w:val="16"/>
                <w:lang w:val="en-GB" w:eastAsia="ja-JP"/>
              </w:rPr>
            </w:pPr>
            <w:r w:rsidRPr="00E353FE">
              <w:rPr>
                <w:sz w:val="16"/>
                <w:szCs w:val="16"/>
                <w:lang w:val="en-GB" w:eastAsia="ja-JP"/>
              </w:rPr>
              <w:t>2.8 </w:t>
            </w:r>
          </w:p>
        </w:tc>
        <w:tc>
          <w:tcPr>
            <w:tcW w:w="0" w:type="auto"/>
            <w:vAlign w:val="center"/>
            <w:hideMark/>
          </w:tcPr>
          <w:p w14:paraId="5C31249D" w14:textId="77777777" w:rsidR="00E353FE" w:rsidRPr="00E353FE" w:rsidRDefault="00E353FE" w:rsidP="00E353FE">
            <w:pPr>
              <w:rPr>
                <w:sz w:val="16"/>
                <w:szCs w:val="16"/>
                <w:lang w:val="en-GB" w:eastAsia="ja-JP"/>
              </w:rPr>
            </w:pPr>
            <w:r w:rsidRPr="00E353FE">
              <w:rPr>
                <w:sz w:val="16"/>
                <w:szCs w:val="16"/>
                <w:lang w:val="en-GB" w:eastAsia="ja-JP"/>
              </w:rPr>
              <w:t>79% </w:t>
            </w:r>
          </w:p>
        </w:tc>
        <w:tc>
          <w:tcPr>
            <w:tcW w:w="0" w:type="auto"/>
            <w:vAlign w:val="center"/>
            <w:hideMark/>
          </w:tcPr>
          <w:p w14:paraId="64567ED6" w14:textId="77777777" w:rsidR="00E353FE" w:rsidRPr="00E353FE" w:rsidRDefault="00E353FE" w:rsidP="00E353FE">
            <w:pPr>
              <w:rPr>
                <w:sz w:val="16"/>
                <w:szCs w:val="16"/>
                <w:lang w:val="en-GB" w:eastAsia="ja-JP"/>
              </w:rPr>
            </w:pPr>
            <w:r w:rsidRPr="00E353FE">
              <w:rPr>
                <w:sz w:val="16"/>
                <w:szCs w:val="16"/>
                <w:lang w:val="en-GB" w:eastAsia="ja-JP"/>
              </w:rPr>
              <w:t>40% </w:t>
            </w:r>
          </w:p>
        </w:tc>
        <w:tc>
          <w:tcPr>
            <w:tcW w:w="0" w:type="auto"/>
            <w:vAlign w:val="center"/>
            <w:hideMark/>
          </w:tcPr>
          <w:p w14:paraId="654CD5D8" w14:textId="77777777" w:rsidR="00E353FE" w:rsidRPr="00E353FE" w:rsidRDefault="00E353FE" w:rsidP="00E353FE">
            <w:pPr>
              <w:rPr>
                <w:sz w:val="16"/>
                <w:szCs w:val="16"/>
                <w:lang w:val="en-GB" w:eastAsia="ja-JP"/>
              </w:rPr>
            </w:pPr>
            <w:r w:rsidRPr="00E353FE">
              <w:rPr>
                <w:sz w:val="16"/>
                <w:szCs w:val="16"/>
                <w:lang w:val="en-GB" w:eastAsia="ja-JP"/>
              </w:rPr>
              <w:t>Written self-consent or proxy consent (family or legal representative) at the end of inclusion visit, after patient information </w:t>
            </w:r>
          </w:p>
        </w:tc>
      </w:tr>
      <w:tr w:rsidR="00E353FE" w:rsidRPr="00E353FE" w14:paraId="689B8CED" w14:textId="77777777" w:rsidTr="00E353FE">
        <w:trPr>
          <w:tblCellSpacing w:w="15" w:type="dxa"/>
        </w:trPr>
        <w:tc>
          <w:tcPr>
            <w:tcW w:w="0" w:type="auto"/>
            <w:vAlign w:val="center"/>
            <w:hideMark/>
          </w:tcPr>
          <w:p w14:paraId="62722EF1" w14:textId="4103C0B7" w:rsidR="00E353FE" w:rsidRPr="00E353FE" w:rsidRDefault="00E353FE" w:rsidP="00E353FE">
            <w:pPr>
              <w:rPr>
                <w:sz w:val="16"/>
                <w:szCs w:val="16"/>
                <w:lang w:val="en-GB" w:eastAsia="ja-JP"/>
              </w:rPr>
            </w:pPr>
            <w:r w:rsidRPr="00E353FE">
              <w:rPr>
                <w:sz w:val="16"/>
                <w:szCs w:val="16"/>
                <w:lang w:val="en-GB" w:eastAsia="ja-JP"/>
              </w:rPr>
              <w:t>Ho et al. (2011) </w:t>
            </w:r>
          </w:p>
        </w:tc>
        <w:tc>
          <w:tcPr>
            <w:tcW w:w="0" w:type="auto"/>
            <w:vAlign w:val="center"/>
            <w:hideMark/>
          </w:tcPr>
          <w:p w14:paraId="517FBDA6" w14:textId="77777777" w:rsidR="00E353FE" w:rsidRPr="00E353FE" w:rsidRDefault="00E353FE" w:rsidP="00E353FE">
            <w:pPr>
              <w:rPr>
                <w:sz w:val="16"/>
                <w:szCs w:val="16"/>
                <w:lang w:val="en-GB" w:eastAsia="ja-JP"/>
              </w:rPr>
            </w:pPr>
            <w:r w:rsidRPr="00E353FE">
              <w:rPr>
                <w:sz w:val="16"/>
                <w:szCs w:val="16"/>
                <w:lang w:val="en-GB" w:eastAsia="ja-JP"/>
              </w:rPr>
              <w:t>31 </w:t>
            </w:r>
          </w:p>
        </w:tc>
        <w:tc>
          <w:tcPr>
            <w:tcW w:w="0" w:type="auto"/>
            <w:vAlign w:val="center"/>
            <w:hideMark/>
          </w:tcPr>
          <w:p w14:paraId="2C9B6AF0" w14:textId="77777777" w:rsidR="00E353FE" w:rsidRPr="00E353FE" w:rsidRDefault="00E353FE" w:rsidP="00E353FE">
            <w:pPr>
              <w:rPr>
                <w:sz w:val="16"/>
                <w:szCs w:val="16"/>
                <w:lang w:val="en-GB" w:eastAsia="ja-JP"/>
              </w:rPr>
            </w:pPr>
            <w:r w:rsidRPr="00E353FE">
              <w:rPr>
                <w:sz w:val="16"/>
                <w:szCs w:val="16"/>
                <w:lang w:val="en-GB" w:eastAsia="ja-JP"/>
              </w:rPr>
              <w:t>Quasi-experimental, single group </w:t>
            </w:r>
          </w:p>
        </w:tc>
        <w:tc>
          <w:tcPr>
            <w:tcW w:w="0" w:type="auto"/>
            <w:vAlign w:val="center"/>
            <w:hideMark/>
          </w:tcPr>
          <w:p w14:paraId="616246A9" w14:textId="77777777" w:rsidR="00E353FE" w:rsidRPr="00E353FE" w:rsidRDefault="00E353FE" w:rsidP="00E353FE">
            <w:pPr>
              <w:rPr>
                <w:sz w:val="16"/>
                <w:szCs w:val="16"/>
                <w:lang w:val="en-GB" w:eastAsia="ja-JP"/>
              </w:rPr>
            </w:pPr>
            <w:r w:rsidRPr="00E353FE">
              <w:rPr>
                <w:sz w:val="16"/>
                <w:szCs w:val="16"/>
                <w:lang w:val="en-GB" w:eastAsia="ja-JP"/>
              </w:rPr>
              <w:t>60 mins, 2× per day, 4 weeks </w:t>
            </w:r>
          </w:p>
        </w:tc>
        <w:tc>
          <w:tcPr>
            <w:tcW w:w="0" w:type="auto"/>
            <w:vAlign w:val="center"/>
            <w:hideMark/>
          </w:tcPr>
          <w:p w14:paraId="123DBA8F" w14:textId="77777777" w:rsidR="00E353FE" w:rsidRPr="00E353FE" w:rsidRDefault="00E353FE" w:rsidP="00E353FE">
            <w:pPr>
              <w:rPr>
                <w:sz w:val="16"/>
                <w:szCs w:val="16"/>
                <w:lang w:val="en-GB" w:eastAsia="ja-JP"/>
              </w:rPr>
            </w:pPr>
            <w:r w:rsidRPr="00E353FE">
              <w:rPr>
                <w:sz w:val="16"/>
                <w:szCs w:val="16"/>
                <w:lang w:val="en-GB" w:eastAsia="ja-JP"/>
              </w:rPr>
              <w:t>Group </w:t>
            </w:r>
          </w:p>
        </w:tc>
        <w:tc>
          <w:tcPr>
            <w:tcW w:w="0" w:type="auto"/>
            <w:vAlign w:val="center"/>
            <w:hideMark/>
          </w:tcPr>
          <w:p w14:paraId="652AA869"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308BA148"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77B71886" w14:textId="77777777" w:rsidR="00E353FE" w:rsidRPr="00E353FE" w:rsidRDefault="00E353FE" w:rsidP="00E353FE">
            <w:pPr>
              <w:rPr>
                <w:sz w:val="16"/>
                <w:szCs w:val="16"/>
                <w:lang w:val="en-GB" w:eastAsia="ja-JP"/>
              </w:rPr>
            </w:pPr>
            <w:r w:rsidRPr="00E353FE">
              <w:rPr>
                <w:sz w:val="16"/>
                <w:szCs w:val="16"/>
                <w:lang w:val="en-GB" w:eastAsia="ja-JP"/>
              </w:rPr>
              <w:t>5.1 </w:t>
            </w:r>
          </w:p>
        </w:tc>
        <w:tc>
          <w:tcPr>
            <w:tcW w:w="0" w:type="auto"/>
            <w:vAlign w:val="center"/>
            <w:hideMark/>
          </w:tcPr>
          <w:p w14:paraId="4634D6EC" w14:textId="77777777" w:rsidR="00E353FE" w:rsidRPr="00E353FE" w:rsidRDefault="00E353FE" w:rsidP="00E353FE">
            <w:pPr>
              <w:rPr>
                <w:sz w:val="16"/>
                <w:szCs w:val="16"/>
                <w:lang w:val="en-GB" w:eastAsia="ja-JP"/>
              </w:rPr>
            </w:pPr>
            <w:r w:rsidRPr="00E353FE">
              <w:rPr>
                <w:sz w:val="16"/>
                <w:szCs w:val="16"/>
                <w:lang w:val="en-GB" w:eastAsia="ja-JP"/>
              </w:rPr>
              <w:t>6 </w:t>
            </w:r>
          </w:p>
        </w:tc>
        <w:tc>
          <w:tcPr>
            <w:tcW w:w="0" w:type="auto"/>
            <w:vAlign w:val="center"/>
            <w:hideMark/>
          </w:tcPr>
          <w:p w14:paraId="7425FA84" w14:textId="77777777" w:rsidR="00E353FE" w:rsidRPr="00E353FE" w:rsidRDefault="00E353FE" w:rsidP="00E353FE">
            <w:pPr>
              <w:rPr>
                <w:sz w:val="16"/>
                <w:szCs w:val="16"/>
                <w:lang w:val="en-GB" w:eastAsia="ja-JP"/>
              </w:rPr>
            </w:pPr>
            <w:r w:rsidRPr="00E353FE">
              <w:rPr>
                <w:sz w:val="16"/>
                <w:szCs w:val="16"/>
                <w:lang w:val="en-GB" w:eastAsia="ja-JP"/>
              </w:rPr>
              <w:t>74% </w:t>
            </w:r>
          </w:p>
        </w:tc>
        <w:tc>
          <w:tcPr>
            <w:tcW w:w="0" w:type="auto"/>
            <w:vAlign w:val="center"/>
            <w:hideMark/>
          </w:tcPr>
          <w:p w14:paraId="70089189" w14:textId="77777777" w:rsidR="00E353FE" w:rsidRPr="00E353FE" w:rsidRDefault="00E353FE" w:rsidP="00E353FE">
            <w:pPr>
              <w:rPr>
                <w:sz w:val="16"/>
                <w:szCs w:val="16"/>
                <w:lang w:val="en-GB" w:eastAsia="ja-JP"/>
              </w:rPr>
            </w:pPr>
            <w:r w:rsidRPr="00E353FE">
              <w:rPr>
                <w:sz w:val="16"/>
                <w:szCs w:val="16"/>
                <w:lang w:val="en-GB" w:eastAsia="ja-JP"/>
              </w:rPr>
              <w:t>4% </w:t>
            </w:r>
          </w:p>
        </w:tc>
        <w:tc>
          <w:tcPr>
            <w:tcW w:w="0" w:type="auto"/>
            <w:vAlign w:val="center"/>
            <w:hideMark/>
          </w:tcPr>
          <w:p w14:paraId="13C43114" w14:textId="77777777" w:rsidR="00E353FE" w:rsidRPr="00E353FE" w:rsidRDefault="00E353FE" w:rsidP="00E353FE">
            <w:pPr>
              <w:rPr>
                <w:sz w:val="16"/>
                <w:szCs w:val="16"/>
                <w:lang w:val="en-GB" w:eastAsia="ja-JP"/>
              </w:rPr>
            </w:pPr>
            <w:r w:rsidRPr="00E353FE">
              <w:rPr>
                <w:sz w:val="16"/>
                <w:szCs w:val="16"/>
                <w:lang w:val="en-GB" w:eastAsia="ja-JP"/>
              </w:rPr>
              <w:t>Written self-consent and proxy consent (cosigned by family member) </w:t>
            </w:r>
          </w:p>
        </w:tc>
      </w:tr>
      <w:tr w:rsidR="00E353FE" w:rsidRPr="00E353FE" w14:paraId="407D493F" w14:textId="77777777" w:rsidTr="00E353FE">
        <w:trPr>
          <w:tblCellSpacing w:w="15" w:type="dxa"/>
        </w:trPr>
        <w:tc>
          <w:tcPr>
            <w:tcW w:w="0" w:type="auto"/>
            <w:vAlign w:val="center"/>
            <w:hideMark/>
          </w:tcPr>
          <w:p w14:paraId="327A56EF" w14:textId="030432A6" w:rsidR="00E353FE" w:rsidRPr="00E353FE" w:rsidRDefault="00E353FE" w:rsidP="00E353FE">
            <w:pPr>
              <w:rPr>
                <w:sz w:val="16"/>
                <w:szCs w:val="16"/>
                <w:lang w:val="en-GB" w:eastAsia="ja-JP"/>
              </w:rPr>
            </w:pPr>
            <w:r w:rsidRPr="00E353FE">
              <w:rPr>
                <w:sz w:val="16"/>
                <w:szCs w:val="16"/>
                <w:lang w:val="en-GB" w:eastAsia="ja-JP"/>
              </w:rPr>
              <w:t>Hsu et al. (2015) </w:t>
            </w:r>
          </w:p>
        </w:tc>
        <w:tc>
          <w:tcPr>
            <w:tcW w:w="0" w:type="auto"/>
            <w:vAlign w:val="center"/>
            <w:hideMark/>
          </w:tcPr>
          <w:p w14:paraId="1A65EBD0" w14:textId="77777777" w:rsidR="00E353FE" w:rsidRPr="00E353FE" w:rsidRDefault="00E353FE" w:rsidP="00E353FE">
            <w:pPr>
              <w:rPr>
                <w:sz w:val="16"/>
                <w:szCs w:val="16"/>
                <w:lang w:val="en-GB" w:eastAsia="ja-JP"/>
              </w:rPr>
            </w:pPr>
            <w:r w:rsidRPr="00E353FE">
              <w:rPr>
                <w:sz w:val="16"/>
                <w:szCs w:val="16"/>
                <w:lang w:val="en-GB" w:eastAsia="ja-JP"/>
              </w:rPr>
              <w:t>17 </w:t>
            </w:r>
          </w:p>
        </w:tc>
        <w:tc>
          <w:tcPr>
            <w:tcW w:w="0" w:type="auto"/>
            <w:vAlign w:val="center"/>
            <w:hideMark/>
          </w:tcPr>
          <w:p w14:paraId="53144DFF" w14:textId="77777777" w:rsidR="00E353FE" w:rsidRPr="00E353FE" w:rsidRDefault="00E353FE" w:rsidP="00E353FE">
            <w:pPr>
              <w:rPr>
                <w:sz w:val="16"/>
                <w:szCs w:val="16"/>
                <w:lang w:val="en-GB" w:eastAsia="ja-JP"/>
              </w:rPr>
            </w:pPr>
            <w:r w:rsidRPr="00E353FE">
              <w:rPr>
                <w:sz w:val="16"/>
                <w:szCs w:val="16"/>
                <w:lang w:val="en-GB" w:eastAsia="ja-JP"/>
              </w:rPr>
              <w:t>Cluster RCT feasibility </w:t>
            </w:r>
          </w:p>
        </w:tc>
        <w:tc>
          <w:tcPr>
            <w:tcW w:w="0" w:type="auto"/>
            <w:vAlign w:val="center"/>
            <w:hideMark/>
          </w:tcPr>
          <w:p w14:paraId="4D011BC2" w14:textId="77777777" w:rsidR="00E353FE" w:rsidRPr="00E353FE" w:rsidRDefault="00E353FE" w:rsidP="00E353FE">
            <w:pPr>
              <w:rPr>
                <w:sz w:val="16"/>
                <w:szCs w:val="16"/>
                <w:lang w:val="en-GB" w:eastAsia="ja-JP"/>
              </w:rPr>
            </w:pPr>
            <w:r w:rsidRPr="00E353FE">
              <w:rPr>
                <w:sz w:val="16"/>
                <w:szCs w:val="16"/>
                <w:lang w:val="en-GB" w:eastAsia="ja-JP"/>
              </w:rPr>
              <w:t>Weekly, 30 min, 5 months </w:t>
            </w:r>
          </w:p>
        </w:tc>
        <w:tc>
          <w:tcPr>
            <w:tcW w:w="0" w:type="auto"/>
            <w:vAlign w:val="center"/>
            <w:hideMark/>
          </w:tcPr>
          <w:p w14:paraId="3E92BF70" w14:textId="77777777" w:rsidR="00E353FE" w:rsidRPr="00E353FE" w:rsidRDefault="00E353FE" w:rsidP="00E353FE">
            <w:pPr>
              <w:rPr>
                <w:sz w:val="16"/>
                <w:szCs w:val="16"/>
                <w:lang w:val="en-GB" w:eastAsia="ja-JP"/>
              </w:rPr>
            </w:pPr>
            <w:r w:rsidRPr="00E353FE">
              <w:rPr>
                <w:sz w:val="16"/>
                <w:szCs w:val="16"/>
                <w:lang w:val="en-GB" w:eastAsia="ja-JP"/>
              </w:rPr>
              <w:t>Individual </w:t>
            </w:r>
          </w:p>
        </w:tc>
        <w:tc>
          <w:tcPr>
            <w:tcW w:w="0" w:type="auto"/>
            <w:vAlign w:val="center"/>
            <w:hideMark/>
          </w:tcPr>
          <w:p w14:paraId="1EC6FCFD" w14:textId="77777777" w:rsidR="00E353FE" w:rsidRPr="00E353FE" w:rsidRDefault="00E353FE" w:rsidP="00E353FE">
            <w:pPr>
              <w:rPr>
                <w:sz w:val="16"/>
                <w:szCs w:val="16"/>
                <w:lang w:val="en-GB" w:eastAsia="ja-JP"/>
              </w:rPr>
            </w:pPr>
            <w:r w:rsidRPr="00E353FE">
              <w:rPr>
                <w:sz w:val="16"/>
                <w:szCs w:val="16"/>
                <w:lang w:val="en-GB" w:eastAsia="ja-JP"/>
              </w:rPr>
              <w:t>Selected based on staff referral </w:t>
            </w:r>
          </w:p>
        </w:tc>
        <w:tc>
          <w:tcPr>
            <w:tcW w:w="0" w:type="auto"/>
            <w:vAlign w:val="center"/>
            <w:hideMark/>
          </w:tcPr>
          <w:p w14:paraId="52E42C75"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168A6756" w14:textId="77777777" w:rsidR="00E353FE" w:rsidRPr="00E353FE" w:rsidRDefault="00E353FE" w:rsidP="00E353FE">
            <w:pPr>
              <w:rPr>
                <w:sz w:val="16"/>
                <w:szCs w:val="16"/>
                <w:lang w:val="en-GB" w:eastAsia="ja-JP"/>
              </w:rPr>
            </w:pPr>
            <w:r w:rsidRPr="00E353FE">
              <w:rPr>
                <w:sz w:val="16"/>
                <w:szCs w:val="16"/>
                <w:lang w:val="en-GB" w:eastAsia="ja-JP"/>
              </w:rPr>
              <w:t>8.5 </w:t>
            </w:r>
          </w:p>
        </w:tc>
        <w:tc>
          <w:tcPr>
            <w:tcW w:w="0" w:type="auto"/>
            <w:vAlign w:val="center"/>
            <w:hideMark/>
          </w:tcPr>
          <w:p w14:paraId="56AB181F" w14:textId="77777777" w:rsidR="00E353FE" w:rsidRPr="00E353FE" w:rsidRDefault="00E353FE" w:rsidP="00E353FE">
            <w:pPr>
              <w:rPr>
                <w:sz w:val="16"/>
                <w:szCs w:val="16"/>
                <w:lang w:val="en-GB" w:eastAsia="ja-JP"/>
              </w:rPr>
            </w:pPr>
            <w:r w:rsidRPr="00E353FE">
              <w:rPr>
                <w:sz w:val="16"/>
                <w:szCs w:val="16"/>
                <w:lang w:val="en-GB" w:eastAsia="ja-JP"/>
              </w:rPr>
              <w:t>2 </w:t>
            </w:r>
          </w:p>
        </w:tc>
        <w:tc>
          <w:tcPr>
            <w:tcW w:w="0" w:type="auto"/>
            <w:vAlign w:val="center"/>
            <w:hideMark/>
          </w:tcPr>
          <w:p w14:paraId="7CC93AD8" w14:textId="77777777" w:rsidR="00E353FE" w:rsidRPr="00E353FE" w:rsidRDefault="00E353FE" w:rsidP="00E353FE">
            <w:pPr>
              <w:rPr>
                <w:sz w:val="16"/>
                <w:szCs w:val="16"/>
                <w:lang w:val="en-GB" w:eastAsia="ja-JP"/>
              </w:rPr>
            </w:pPr>
            <w:r w:rsidRPr="00E353FE">
              <w:rPr>
                <w:sz w:val="16"/>
                <w:szCs w:val="16"/>
                <w:lang w:val="en-GB" w:eastAsia="ja-JP"/>
              </w:rPr>
              <w:t>100% </w:t>
            </w:r>
          </w:p>
        </w:tc>
        <w:tc>
          <w:tcPr>
            <w:tcW w:w="0" w:type="auto"/>
            <w:vAlign w:val="center"/>
            <w:hideMark/>
          </w:tcPr>
          <w:p w14:paraId="4EE36BA6" w14:textId="77777777" w:rsidR="00E353FE" w:rsidRPr="00E353FE" w:rsidRDefault="00E353FE" w:rsidP="00E353FE">
            <w:pPr>
              <w:rPr>
                <w:sz w:val="16"/>
                <w:szCs w:val="16"/>
                <w:lang w:val="en-GB" w:eastAsia="ja-JP"/>
              </w:rPr>
            </w:pPr>
            <w:r w:rsidRPr="00E353FE">
              <w:rPr>
                <w:sz w:val="16"/>
                <w:szCs w:val="16"/>
                <w:lang w:val="en-GB" w:eastAsia="ja-JP"/>
              </w:rPr>
              <w:t>42.50% </w:t>
            </w:r>
          </w:p>
        </w:tc>
        <w:tc>
          <w:tcPr>
            <w:tcW w:w="0" w:type="auto"/>
            <w:vAlign w:val="center"/>
            <w:hideMark/>
          </w:tcPr>
          <w:p w14:paraId="05A5B0D3" w14:textId="77777777" w:rsidR="00E353FE" w:rsidRPr="00E353FE" w:rsidRDefault="00E353FE" w:rsidP="00E353FE">
            <w:pPr>
              <w:rPr>
                <w:sz w:val="16"/>
                <w:szCs w:val="16"/>
                <w:lang w:val="en-GB" w:eastAsia="ja-JP"/>
              </w:rPr>
            </w:pPr>
            <w:r w:rsidRPr="00E353FE">
              <w:rPr>
                <w:sz w:val="16"/>
                <w:szCs w:val="16"/>
                <w:lang w:val="en-GB" w:eastAsia="ja-JP"/>
              </w:rPr>
              <w:t>Proxy consent for residents (next of kin), self-consent for carers </w:t>
            </w:r>
          </w:p>
        </w:tc>
      </w:tr>
      <w:tr w:rsidR="00E353FE" w:rsidRPr="00E353FE" w14:paraId="6D2BAC52" w14:textId="77777777" w:rsidTr="00E353FE">
        <w:trPr>
          <w:tblCellSpacing w:w="15" w:type="dxa"/>
        </w:trPr>
        <w:tc>
          <w:tcPr>
            <w:tcW w:w="0" w:type="auto"/>
            <w:vAlign w:val="center"/>
            <w:hideMark/>
          </w:tcPr>
          <w:p w14:paraId="216FD160" w14:textId="4EA22CCF" w:rsidR="00E353FE" w:rsidRPr="00E353FE" w:rsidRDefault="00E353FE" w:rsidP="00E353FE">
            <w:pPr>
              <w:rPr>
                <w:sz w:val="16"/>
                <w:szCs w:val="16"/>
                <w:lang w:val="en-GB" w:eastAsia="ja-JP"/>
              </w:rPr>
            </w:pPr>
            <w:r w:rsidRPr="00E353FE">
              <w:rPr>
                <w:sz w:val="16"/>
                <w:szCs w:val="16"/>
                <w:lang w:val="en-GB" w:eastAsia="ja-JP"/>
              </w:rPr>
              <w:t>Ledger and Baker (2006) </w:t>
            </w:r>
          </w:p>
        </w:tc>
        <w:tc>
          <w:tcPr>
            <w:tcW w:w="0" w:type="auto"/>
            <w:vAlign w:val="center"/>
            <w:hideMark/>
          </w:tcPr>
          <w:p w14:paraId="59C02165" w14:textId="77777777" w:rsidR="00E353FE" w:rsidRPr="00E353FE" w:rsidRDefault="00E353FE" w:rsidP="00E353FE">
            <w:pPr>
              <w:rPr>
                <w:sz w:val="16"/>
                <w:szCs w:val="16"/>
                <w:lang w:val="en-GB" w:eastAsia="ja-JP"/>
              </w:rPr>
            </w:pPr>
            <w:r w:rsidRPr="00E353FE">
              <w:rPr>
                <w:sz w:val="16"/>
                <w:szCs w:val="16"/>
                <w:lang w:val="en-GB" w:eastAsia="ja-JP"/>
              </w:rPr>
              <w:t>45 </w:t>
            </w:r>
          </w:p>
        </w:tc>
        <w:tc>
          <w:tcPr>
            <w:tcW w:w="0" w:type="auto"/>
            <w:vAlign w:val="center"/>
            <w:hideMark/>
          </w:tcPr>
          <w:p w14:paraId="3ACE1182" w14:textId="77777777" w:rsidR="00E353FE" w:rsidRPr="00E353FE" w:rsidRDefault="00E353FE" w:rsidP="00E353FE">
            <w:pPr>
              <w:rPr>
                <w:sz w:val="16"/>
                <w:szCs w:val="16"/>
                <w:lang w:val="en-GB" w:eastAsia="ja-JP"/>
              </w:rPr>
            </w:pPr>
            <w:r w:rsidRPr="00E353FE">
              <w:rPr>
                <w:sz w:val="16"/>
                <w:szCs w:val="16"/>
                <w:lang w:val="en-GB" w:eastAsia="ja-JP"/>
              </w:rPr>
              <w:t xml:space="preserve">Cluster, nonrandomized </w:t>
            </w:r>
            <w:r w:rsidRPr="00E353FE">
              <w:rPr>
                <w:sz w:val="16"/>
                <w:szCs w:val="16"/>
                <w:lang w:val="en-GB" w:eastAsia="ja-JP"/>
              </w:rPr>
              <w:lastRenderedPageBreak/>
              <w:t>controlled trial, parallel group </w:t>
            </w:r>
          </w:p>
        </w:tc>
        <w:tc>
          <w:tcPr>
            <w:tcW w:w="0" w:type="auto"/>
            <w:vAlign w:val="center"/>
            <w:hideMark/>
          </w:tcPr>
          <w:p w14:paraId="0E827EB2" w14:textId="77777777" w:rsidR="00E353FE" w:rsidRPr="00E353FE" w:rsidRDefault="00E353FE" w:rsidP="00E353FE">
            <w:pPr>
              <w:rPr>
                <w:sz w:val="16"/>
                <w:szCs w:val="16"/>
                <w:lang w:val="en-GB" w:eastAsia="ja-JP"/>
              </w:rPr>
            </w:pPr>
            <w:r w:rsidRPr="00E353FE">
              <w:rPr>
                <w:sz w:val="16"/>
                <w:szCs w:val="16"/>
                <w:lang w:val="en-GB" w:eastAsia="ja-JP"/>
              </w:rPr>
              <w:lastRenderedPageBreak/>
              <w:t>Weekly, 45 min, 12 months </w:t>
            </w:r>
          </w:p>
        </w:tc>
        <w:tc>
          <w:tcPr>
            <w:tcW w:w="0" w:type="auto"/>
            <w:vAlign w:val="center"/>
            <w:hideMark/>
          </w:tcPr>
          <w:p w14:paraId="3F433DAB" w14:textId="77777777" w:rsidR="00E353FE" w:rsidRPr="00E353FE" w:rsidRDefault="00E353FE" w:rsidP="00E353FE">
            <w:pPr>
              <w:rPr>
                <w:sz w:val="16"/>
                <w:szCs w:val="16"/>
                <w:lang w:val="en-GB" w:eastAsia="ja-JP"/>
              </w:rPr>
            </w:pPr>
            <w:r w:rsidRPr="00E353FE">
              <w:rPr>
                <w:sz w:val="16"/>
                <w:szCs w:val="16"/>
                <w:lang w:val="en-GB" w:eastAsia="ja-JP"/>
              </w:rPr>
              <w:t>Group </w:t>
            </w:r>
          </w:p>
        </w:tc>
        <w:tc>
          <w:tcPr>
            <w:tcW w:w="0" w:type="auto"/>
            <w:vAlign w:val="center"/>
            <w:hideMark/>
          </w:tcPr>
          <w:p w14:paraId="11A19C25"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7FEFF4CE"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338F79F9"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2247181B"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1C7484B3" w14:textId="77777777" w:rsidR="00E353FE" w:rsidRPr="00E353FE" w:rsidRDefault="00E353FE" w:rsidP="00E353FE">
            <w:pPr>
              <w:rPr>
                <w:sz w:val="16"/>
                <w:szCs w:val="16"/>
                <w:lang w:val="en-GB" w:eastAsia="ja-JP"/>
              </w:rPr>
            </w:pPr>
            <w:r w:rsidRPr="00E353FE">
              <w:rPr>
                <w:sz w:val="16"/>
                <w:szCs w:val="16"/>
                <w:lang w:val="en-GB" w:eastAsia="ja-JP"/>
              </w:rPr>
              <w:t>91% </w:t>
            </w:r>
          </w:p>
        </w:tc>
        <w:tc>
          <w:tcPr>
            <w:tcW w:w="0" w:type="auto"/>
            <w:vAlign w:val="center"/>
            <w:hideMark/>
          </w:tcPr>
          <w:p w14:paraId="3D13860B" w14:textId="77777777" w:rsidR="00E353FE" w:rsidRPr="00E353FE" w:rsidRDefault="00E353FE" w:rsidP="00E353FE">
            <w:pPr>
              <w:rPr>
                <w:sz w:val="16"/>
                <w:szCs w:val="16"/>
                <w:lang w:val="en-GB" w:eastAsia="ja-JP"/>
              </w:rPr>
            </w:pPr>
            <w:r w:rsidRPr="00E353FE">
              <w:rPr>
                <w:sz w:val="16"/>
                <w:szCs w:val="16"/>
                <w:lang w:val="en-GB" w:eastAsia="ja-JP"/>
              </w:rPr>
              <w:t>27.5% </w:t>
            </w:r>
          </w:p>
        </w:tc>
        <w:tc>
          <w:tcPr>
            <w:tcW w:w="0" w:type="auto"/>
            <w:vAlign w:val="center"/>
            <w:hideMark/>
          </w:tcPr>
          <w:p w14:paraId="310A249F" w14:textId="77777777" w:rsidR="00E353FE" w:rsidRPr="00E353FE" w:rsidRDefault="00E353FE" w:rsidP="00E353FE">
            <w:pPr>
              <w:rPr>
                <w:sz w:val="16"/>
                <w:szCs w:val="16"/>
                <w:lang w:val="en-GB" w:eastAsia="ja-JP"/>
              </w:rPr>
            </w:pPr>
            <w:r w:rsidRPr="00E353FE">
              <w:rPr>
                <w:sz w:val="16"/>
                <w:szCs w:val="16"/>
                <w:lang w:val="en-GB" w:eastAsia="ja-JP"/>
              </w:rPr>
              <w:t>Consent obtained for all participants </w:t>
            </w:r>
          </w:p>
        </w:tc>
      </w:tr>
      <w:tr w:rsidR="00E353FE" w:rsidRPr="00E353FE" w14:paraId="02895CCD" w14:textId="77777777" w:rsidTr="00E353FE">
        <w:trPr>
          <w:tblCellSpacing w:w="15" w:type="dxa"/>
        </w:trPr>
        <w:tc>
          <w:tcPr>
            <w:tcW w:w="0" w:type="auto"/>
            <w:vAlign w:val="center"/>
            <w:hideMark/>
          </w:tcPr>
          <w:p w14:paraId="3F7EA759" w14:textId="4778F0DC" w:rsidR="00E353FE" w:rsidRPr="00E353FE" w:rsidRDefault="00E353FE" w:rsidP="00E353FE">
            <w:pPr>
              <w:rPr>
                <w:sz w:val="16"/>
                <w:szCs w:val="16"/>
                <w:lang w:val="en-GB" w:eastAsia="ja-JP"/>
              </w:rPr>
            </w:pPr>
            <w:r w:rsidRPr="00E353FE">
              <w:rPr>
                <w:sz w:val="16"/>
                <w:szCs w:val="16"/>
                <w:lang w:val="en-GB" w:eastAsia="ja-JP"/>
              </w:rPr>
              <w:t>Ray and Götell (2018) </w:t>
            </w:r>
          </w:p>
        </w:tc>
        <w:tc>
          <w:tcPr>
            <w:tcW w:w="0" w:type="auto"/>
            <w:vAlign w:val="center"/>
            <w:hideMark/>
          </w:tcPr>
          <w:p w14:paraId="78E6C7FC" w14:textId="77777777" w:rsidR="00E353FE" w:rsidRPr="00E353FE" w:rsidRDefault="00E353FE" w:rsidP="00E353FE">
            <w:pPr>
              <w:rPr>
                <w:sz w:val="16"/>
                <w:szCs w:val="16"/>
                <w:lang w:val="en-GB" w:eastAsia="ja-JP"/>
              </w:rPr>
            </w:pPr>
            <w:r w:rsidRPr="00E353FE">
              <w:rPr>
                <w:sz w:val="16"/>
                <w:szCs w:val="16"/>
                <w:lang w:val="en-GB" w:eastAsia="ja-JP"/>
              </w:rPr>
              <w:t>62 (target 70) </w:t>
            </w:r>
          </w:p>
        </w:tc>
        <w:tc>
          <w:tcPr>
            <w:tcW w:w="0" w:type="auto"/>
            <w:vAlign w:val="center"/>
            <w:hideMark/>
          </w:tcPr>
          <w:p w14:paraId="489319C3" w14:textId="77777777" w:rsidR="00E353FE" w:rsidRPr="00E353FE" w:rsidRDefault="00E353FE" w:rsidP="00E353FE">
            <w:pPr>
              <w:rPr>
                <w:sz w:val="16"/>
                <w:szCs w:val="16"/>
                <w:lang w:val="en-GB" w:eastAsia="ja-JP"/>
              </w:rPr>
            </w:pPr>
            <w:r w:rsidRPr="00E353FE">
              <w:rPr>
                <w:sz w:val="16"/>
                <w:szCs w:val="16"/>
                <w:lang w:val="en-GB" w:eastAsia="ja-JP"/>
              </w:rPr>
              <w:t>Quasi-experimental, single group </w:t>
            </w:r>
          </w:p>
        </w:tc>
        <w:tc>
          <w:tcPr>
            <w:tcW w:w="0" w:type="auto"/>
            <w:vAlign w:val="center"/>
            <w:hideMark/>
          </w:tcPr>
          <w:p w14:paraId="4E503A8F" w14:textId="77777777" w:rsidR="00E353FE" w:rsidRPr="00E353FE" w:rsidRDefault="00E353FE" w:rsidP="00E353FE">
            <w:pPr>
              <w:rPr>
                <w:sz w:val="16"/>
                <w:szCs w:val="16"/>
                <w:lang w:val="en-GB" w:eastAsia="ja-JP"/>
              </w:rPr>
            </w:pPr>
            <w:r w:rsidRPr="00E353FE">
              <w:rPr>
                <w:sz w:val="16"/>
                <w:szCs w:val="16"/>
                <w:lang w:val="en-GB" w:eastAsia="ja-JP"/>
              </w:rPr>
              <w:t>3× week, 30–60 min, 2 weeks </w:t>
            </w:r>
          </w:p>
        </w:tc>
        <w:tc>
          <w:tcPr>
            <w:tcW w:w="0" w:type="auto"/>
            <w:vAlign w:val="center"/>
            <w:hideMark/>
          </w:tcPr>
          <w:p w14:paraId="76E36F4A" w14:textId="77777777" w:rsidR="00E353FE" w:rsidRPr="00E353FE" w:rsidRDefault="00E353FE" w:rsidP="00E353FE">
            <w:pPr>
              <w:rPr>
                <w:sz w:val="16"/>
                <w:szCs w:val="16"/>
                <w:lang w:val="en-GB" w:eastAsia="ja-JP"/>
              </w:rPr>
            </w:pPr>
            <w:r w:rsidRPr="00E353FE">
              <w:rPr>
                <w:sz w:val="16"/>
                <w:szCs w:val="16"/>
                <w:lang w:val="en-GB" w:eastAsia="ja-JP"/>
              </w:rPr>
              <w:t>Group </w:t>
            </w:r>
          </w:p>
        </w:tc>
        <w:tc>
          <w:tcPr>
            <w:tcW w:w="0" w:type="auto"/>
            <w:vAlign w:val="center"/>
            <w:hideMark/>
          </w:tcPr>
          <w:p w14:paraId="0E3166F1" w14:textId="77777777" w:rsidR="00E353FE" w:rsidRPr="00E353FE" w:rsidRDefault="00E353FE" w:rsidP="00E353FE">
            <w:pPr>
              <w:rPr>
                <w:sz w:val="16"/>
                <w:szCs w:val="16"/>
                <w:lang w:val="en-GB" w:eastAsia="ja-JP"/>
              </w:rPr>
            </w:pPr>
            <w:r w:rsidRPr="00E353FE">
              <w:rPr>
                <w:sz w:val="16"/>
                <w:szCs w:val="16"/>
                <w:lang w:val="en-GB" w:eastAsia="ja-JP"/>
              </w:rPr>
              <w:t>Referrals staff </w:t>
            </w:r>
          </w:p>
        </w:tc>
        <w:tc>
          <w:tcPr>
            <w:tcW w:w="0" w:type="auto"/>
            <w:vAlign w:val="center"/>
            <w:hideMark/>
          </w:tcPr>
          <w:p w14:paraId="1846E52C" w14:textId="77777777" w:rsidR="00E353FE" w:rsidRPr="00E353FE" w:rsidRDefault="00E353FE" w:rsidP="00E353FE">
            <w:pPr>
              <w:rPr>
                <w:sz w:val="16"/>
                <w:szCs w:val="16"/>
                <w:lang w:val="en-GB" w:eastAsia="ja-JP"/>
              </w:rPr>
            </w:pPr>
            <w:r w:rsidRPr="00E353FE">
              <w:rPr>
                <w:sz w:val="16"/>
                <w:szCs w:val="16"/>
                <w:lang w:val="en-GB" w:eastAsia="ja-JP"/>
              </w:rPr>
              <w:t>Nurses, social workers, leisure </w:t>
            </w:r>
          </w:p>
        </w:tc>
        <w:tc>
          <w:tcPr>
            <w:tcW w:w="0" w:type="auto"/>
            <w:vAlign w:val="center"/>
            <w:hideMark/>
          </w:tcPr>
          <w:p w14:paraId="72D2969B"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13E8BF68"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6303BF70" w14:textId="77777777" w:rsidR="00E353FE" w:rsidRPr="00E353FE" w:rsidRDefault="00E353FE" w:rsidP="00E353FE">
            <w:pPr>
              <w:rPr>
                <w:sz w:val="16"/>
                <w:szCs w:val="16"/>
                <w:lang w:val="en-GB" w:eastAsia="ja-JP"/>
              </w:rPr>
            </w:pPr>
            <w:r w:rsidRPr="00E353FE">
              <w:rPr>
                <w:sz w:val="16"/>
                <w:szCs w:val="16"/>
                <w:lang w:val="en-GB" w:eastAsia="ja-JP"/>
              </w:rPr>
              <w:t>NR </w:t>
            </w:r>
          </w:p>
        </w:tc>
        <w:tc>
          <w:tcPr>
            <w:tcW w:w="0" w:type="auto"/>
            <w:vAlign w:val="center"/>
            <w:hideMark/>
          </w:tcPr>
          <w:p w14:paraId="21D4108B" w14:textId="77777777" w:rsidR="00E353FE" w:rsidRPr="00E353FE" w:rsidRDefault="00E353FE" w:rsidP="00E353FE">
            <w:pPr>
              <w:rPr>
                <w:sz w:val="16"/>
                <w:szCs w:val="16"/>
                <w:lang w:val="en-GB" w:eastAsia="ja-JP"/>
              </w:rPr>
            </w:pPr>
            <w:r w:rsidRPr="00E353FE">
              <w:rPr>
                <w:sz w:val="16"/>
                <w:szCs w:val="16"/>
                <w:lang w:val="en-GB" w:eastAsia="ja-JP"/>
              </w:rPr>
              <w:t>11% </w:t>
            </w:r>
          </w:p>
        </w:tc>
        <w:tc>
          <w:tcPr>
            <w:tcW w:w="0" w:type="auto"/>
            <w:vAlign w:val="center"/>
            <w:hideMark/>
          </w:tcPr>
          <w:p w14:paraId="5F8B6AB4" w14:textId="77777777" w:rsidR="00E353FE" w:rsidRPr="00E353FE" w:rsidRDefault="00E353FE" w:rsidP="00E353FE">
            <w:pPr>
              <w:rPr>
                <w:sz w:val="16"/>
                <w:szCs w:val="16"/>
                <w:lang w:val="en-GB" w:eastAsia="ja-JP"/>
              </w:rPr>
            </w:pPr>
            <w:r w:rsidRPr="00E353FE">
              <w:rPr>
                <w:sz w:val="16"/>
                <w:szCs w:val="16"/>
                <w:lang w:val="en-GB" w:eastAsia="ja-JP"/>
              </w:rPr>
              <w:t>Written proxy consent (legal representative) and verbal participant assent </w:t>
            </w:r>
          </w:p>
        </w:tc>
      </w:tr>
      <w:tr w:rsidR="00E353FE" w:rsidRPr="00E353FE" w14:paraId="07B42046" w14:textId="77777777" w:rsidTr="00E353FE">
        <w:trPr>
          <w:tblCellSpacing w:w="15" w:type="dxa"/>
        </w:trPr>
        <w:tc>
          <w:tcPr>
            <w:tcW w:w="0" w:type="auto"/>
            <w:vAlign w:val="center"/>
            <w:hideMark/>
          </w:tcPr>
          <w:p w14:paraId="6AB9DD0B" w14:textId="3D7838D8" w:rsidR="00E353FE" w:rsidRPr="00E353FE" w:rsidRDefault="00E353FE" w:rsidP="00E353FE">
            <w:pPr>
              <w:rPr>
                <w:sz w:val="16"/>
                <w:szCs w:val="16"/>
                <w:lang w:val="en-GB" w:eastAsia="ja-JP"/>
              </w:rPr>
            </w:pPr>
            <w:r w:rsidRPr="00E353FE">
              <w:rPr>
                <w:sz w:val="16"/>
                <w:szCs w:val="16"/>
                <w:lang w:val="en-GB" w:eastAsia="ja-JP"/>
              </w:rPr>
              <w:t>Ray and Mittelman (2017) </w:t>
            </w:r>
          </w:p>
        </w:tc>
        <w:tc>
          <w:tcPr>
            <w:tcW w:w="0" w:type="auto"/>
            <w:vAlign w:val="center"/>
            <w:hideMark/>
          </w:tcPr>
          <w:p w14:paraId="7761CE28" w14:textId="77777777" w:rsidR="00E353FE" w:rsidRPr="00E353FE" w:rsidRDefault="00E353FE" w:rsidP="00E353FE">
            <w:pPr>
              <w:rPr>
                <w:sz w:val="16"/>
                <w:szCs w:val="16"/>
                <w:lang w:val="en-GB" w:eastAsia="ja-JP"/>
              </w:rPr>
            </w:pPr>
            <w:r w:rsidRPr="00E353FE">
              <w:rPr>
                <w:sz w:val="16"/>
                <w:szCs w:val="16"/>
                <w:lang w:val="en-GB" w:eastAsia="ja-JP"/>
              </w:rPr>
              <w:t>132 </w:t>
            </w:r>
          </w:p>
        </w:tc>
        <w:tc>
          <w:tcPr>
            <w:tcW w:w="0" w:type="auto"/>
            <w:vAlign w:val="center"/>
            <w:hideMark/>
          </w:tcPr>
          <w:p w14:paraId="7E2EB93B" w14:textId="77777777" w:rsidR="00E353FE" w:rsidRPr="00E353FE" w:rsidRDefault="00E353FE" w:rsidP="00E353FE">
            <w:pPr>
              <w:rPr>
                <w:sz w:val="16"/>
                <w:szCs w:val="16"/>
                <w:lang w:val="en-GB" w:eastAsia="ja-JP"/>
              </w:rPr>
            </w:pPr>
            <w:r w:rsidRPr="00E353FE">
              <w:rPr>
                <w:sz w:val="16"/>
                <w:szCs w:val="16"/>
                <w:lang w:val="en-GB" w:eastAsia="ja-JP"/>
              </w:rPr>
              <w:t>Quasi-experimental, single group </w:t>
            </w:r>
          </w:p>
        </w:tc>
        <w:tc>
          <w:tcPr>
            <w:tcW w:w="0" w:type="auto"/>
            <w:vAlign w:val="center"/>
            <w:hideMark/>
          </w:tcPr>
          <w:p w14:paraId="6185116E" w14:textId="77777777" w:rsidR="00E353FE" w:rsidRPr="00E353FE" w:rsidRDefault="00E353FE" w:rsidP="00E353FE">
            <w:pPr>
              <w:rPr>
                <w:sz w:val="16"/>
                <w:szCs w:val="16"/>
                <w:lang w:val="en-GB" w:eastAsia="ja-JP"/>
              </w:rPr>
            </w:pPr>
            <w:r w:rsidRPr="00E353FE">
              <w:rPr>
                <w:sz w:val="16"/>
                <w:szCs w:val="16"/>
                <w:lang w:val="en-GB" w:eastAsia="ja-JP"/>
              </w:rPr>
              <w:t>3× week, 15–60 min, 2 weeks </w:t>
            </w:r>
          </w:p>
        </w:tc>
        <w:tc>
          <w:tcPr>
            <w:tcW w:w="0" w:type="auto"/>
            <w:vAlign w:val="center"/>
            <w:hideMark/>
          </w:tcPr>
          <w:p w14:paraId="48FA92AF" w14:textId="77777777" w:rsidR="00E353FE" w:rsidRPr="00E353FE" w:rsidRDefault="00E353FE" w:rsidP="00E353FE">
            <w:pPr>
              <w:rPr>
                <w:sz w:val="16"/>
                <w:szCs w:val="16"/>
                <w:lang w:val="en-GB" w:eastAsia="ja-JP"/>
              </w:rPr>
            </w:pPr>
            <w:r w:rsidRPr="00E353FE">
              <w:rPr>
                <w:sz w:val="16"/>
                <w:szCs w:val="16"/>
                <w:lang w:val="en-GB" w:eastAsia="ja-JP"/>
              </w:rPr>
              <w:t>Group </w:t>
            </w:r>
          </w:p>
        </w:tc>
        <w:tc>
          <w:tcPr>
            <w:tcW w:w="0" w:type="auto"/>
            <w:vAlign w:val="center"/>
            <w:hideMark/>
          </w:tcPr>
          <w:p w14:paraId="4FDA28BA" w14:textId="77777777" w:rsidR="00E353FE" w:rsidRPr="00E353FE" w:rsidRDefault="00E353FE" w:rsidP="00E353FE">
            <w:pPr>
              <w:rPr>
                <w:sz w:val="16"/>
                <w:szCs w:val="16"/>
                <w:lang w:val="en-GB" w:eastAsia="ja-JP"/>
              </w:rPr>
            </w:pPr>
            <w:r w:rsidRPr="00E353FE">
              <w:rPr>
                <w:sz w:val="16"/>
                <w:szCs w:val="16"/>
                <w:lang w:val="en-GB" w:eastAsia="ja-JP"/>
              </w:rPr>
              <w:t>Referrals staff </w:t>
            </w:r>
          </w:p>
        </w:tc>
        <w:tc>
          <w:tcPr>
            <w:tcW w:w="0" w:type="auto"/>
            <w:vAlign w:val="center"/>
            <w:hideMark/>
          </w:tcPr>
          <w:p w14:paraId="7F5949A6" w14:textId="77777777" w:rsidR="00E353FE" w:rsidRPr="00E353FE" w:rsidRDefault="00E353FE" w:rsidP="00E353FE">
            <w:pPr>
              <w:rPr>
                <w:sz w:val="16"/>
                <w:szCs w:val="16"/>
                <w:lang w:val="en-GB" w:eastAsia="ja-JP"/>
              </w:rPr>
            </w:pPr>
            <w:r w:rsidRPr="00E353FE">
              <w:rPr>
                <w:sz w:val="16"/>
                <w:szCs w:val="16"/>
                <w:lang w:val="en-GB" w:eastAsia="ja-JP"/>
              </w:rPr>
              <w:t>Nurses, social workers, leisure </w:t>
            </w:r>
          </w:p>
        </w:tc>
        <w:tc>
          <w:tcPr>
            <w:tcW w:w="0" w:type="auto"/>
            <w:vAlign w:val="center"/>
            <w:hideMark/>
          </w:tcPr>
          <w:p w14:paraId="1F6B5C98"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74CBED49"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4E5B00F4" w14:textId="77777777" w:rsidR="00E353FE" w:rsidRPr="00E353FE" w:rsidRDefault="00E353FE" w:rsidP="00E353FE">
            <w:pPr>
              <w:rPr>
                <w:sz w:val="16"/>
                <w:szCs w:val="16"/>
                <w:lang w:val="en-GB" w:eastAsia="ja-JP"/>
              </w:rPr>
            </w:pPr>
            <w:r w:rsidRPr="00E353FE">
              <w:rPr>
                <w:sz w:val="16"/>
                <w:szCs w:val="16"/>
                <w:lang w:val="en-GB" w:eastAsia="ja-JP"/>
              </w:rPr>
              <w:t>NR </w:t>
            </w:r>
          </w:p>
        </w:tc>
        <w:tc>
          <w:tcPr>
            <w:tcW w:w="0" w:type="auto"/>
            <w:vAlign w:val="center"/>
            <w:hideMark/>
          </w:tcPr>
          <w:p w14:paraId="14407F2A" w14:textId="77777777" w:rsidR="00E353FE" w:rsidRPr="00E353FE" w:rsidRDefault="00E353FE" w:rsidP="00E353FE">
            <w:pPr>
              <w:rPr>
                <w:sz w:val="16"/>
                <w:szCs w:val="16"/>
                <w:lang w:val="en-GB" w:eastAsia="ja-JP"/>
              </w:rPr>
            </w:pPr>
            <w:r w:rsidRPr="00E353FE">
              <w:rPr>
                <w:sz w:val="16"/>
                <w:szCs w:val="16"/>
                <w:lang w:val="en-GB" w:eastAsia="ja-JP"/>
              </w:rPr>
              <w:t>7% </w:t>
            </w:r>
          </w:p>
        </w:tc>
        <w:tc>
          <w:tcPr>
            <w:tcW w:w="0" w:type="auto"/>
            <w:vAlign w:val="center"/>
            <w:hideMark/>
          </w:tcPr>
          <w:p w14:paraId="095B1EAA" w14:textId="77777777" w:rsidR="00E353FE" w:rsidRPr="00E353FE" w:rsidRDefault="00E353FE" w:rsidP="00E353FE">
            <w:pPr>
              <w:rPr>
                <w:sz w:val="16"/>
                <w:szCs w:val="16"/>
                <w:lang w:val="en-GB" w:eastAsia="ja-JP"/>
              </w:rPr>
            </w:pPr>
            <w:r w:rsidRPr="00E353FE">
              <w:rPr>
                <w:sz w:val="16"/>
                <w:szCs w:val="16"/>
                <w:lang w:val="en-GB" w:eastAsia="ja-JP"/>
              </w:rPr>
              <w:t>Written proxy consent (legal representative) and verbal participant assent </w:t>
            </w:r>
          </w:p>
        </w:tc>
      </w:tr>
      <w:tr w:rsidR="00E353FE" w:rsidRPr="00E353FE" w14:paraId="5CC146AD" w14:textId="77777777" w:rsidTr="00E353FE">
        <w:trPr>
          <w:tblCellSpacing w:w="15" w:type="dxa"/>
        </w:trPr>
        <w:tc>
          <w:tcPr>
            <w:tcW w:w="0" w:type="auto"/>
            <w:vAlign w:val="center"/>
            <w:hideMark/>
          </w:tcPr>
          <w:p w14:paraId="2446DFF8" w14:textId="7A05A13C" w:rsidR="00E353FE" w:rsidRPr="00E353FE" w:rsidRDefault="00E353FE" w:rsidP="00E353FE">
            <w:pPr>
              <w:rPr>
                <w:sz w:val="16"/>
                <w:szCs w:val="16"/>
                <w:lang w:val="en-GB" w:eastAsia="ja-JP"/>
              </w:rPr>
            </w:pPr>
            <w:r w:rsidRPr="00E353FE">
              <w:rPr>
                <w:sz w:val="16"/>
                <w:szCs w:val="16"/>
                <w:lang w:val="en-GB" w:eastAsia="ja-JP"/>
              </w:rPr>
              <w:t>Ridder et al. (2013) </w:t>
            </w:r>
          </w:p>
        </w:tc>
        <w:tc>
          <w:tcPr>
            <w:tcW w:w="0" w:type="auto"/>
            <w:vAlign w:val="center"/>
            <w:hideMark/>
          </w:tcPr>
          <w:p w14:paraId="4E0AEBF5" w14:textId="77777777" w:rsidR="00E353FE" w:rsidRPr="00E353FE" w:rsidRDefault="00E353FE" w:rsidP="00E353FE">
            <w:pPr>
              <w:rPr>
                <w:sz w:val="16"/>
                <w:szCs w:val="16"/>
                <w:lang w:val="en-GB" w:eastAsia="ja-JP"/>
              </w:rPr>
            </w:pPr>
            <w:r w:rsidRPr="00E353FE">
              <w:rPr>
                <w:sz w:val="16"/>
                <w:szCs w:val="16"/>
                <w:lang w:val="en-GB" w:eastAsia="ja-JP"/>
              </w:rPr>
              <w:t>42 </w:t>
            </w:r>
          </w:p>
        </w:tc>
        <w:tc>
          <w:tcPr>
            <w:tcW w:w="0" w:type="auto"/>
            <w:vAlign w:val="center"/>
            <w:hideMark/>
          </w:tcPr>
          <w:p w14:paraId="140AFF0E" w14:textId="77777777" w:rsidR="00E353FE" w:rsidRPr="00E353FE" w:rsidRDefault="00E353FE" w:rsidP="00E353FE">
            <w:pPr>
              <w:rPr>
                <w:sz w:val="16"/>
                <w:szCs w:val="16"/>
                <w:lang w:val="en-GB" w:eastAsia="ja-JP"/>
              </w:rPr>
            </w:pPr>
            <w:r w:rsidRPr="00E353FE">
              <w:rPr>
                <w:sz w:val="16"/>
                <w:szCs w:val="16"/>
                <w:lang w:val="en-GB" w:eastAsia="ja-JP"/>
              </w:rPr>
              <w:t>RCT, crossover </w:t>
            </w:r>
          </w:p>
        </w:tc>
        <w:tc>
          <w:tcPr>
            <w:tcW w:w="0" w:type="auto"/>
            <w:vAlign w:val="center"/>
            <w:hideMark/>
          </w:tcPr>
          <w:p w14:paraId="04E788E4" w14:textId="77777777" w:rsidR="00E353FE" w:rsidRPr="00E353FE" w:rsidRDefault="00E353FE" w:rsidP="00E353FE">
            <w:pPr>
              <w:rPr>
                <w:sz w:val="16"/>
                <w:szCs w:val="16"/>
                <w:lang w:val="en-GB" w:eastAsia="ja-JP"/>
              </w:rPr>
            </w:pPr>
            <w:r w:rsidRPr="00E353FE">
              <w:rPr>
                <w:sz w:val="16"/>
                <w:szCs w:val="16"/>
                <w:lang w:val="en-GB" w:eastAsia="ja-JP"/>
              </w:rPr>
              <w:t>Weekly, ~30 min, 6 weeks </w:t>
            </w:r>
          </w:p>
        </w:tc>
        <w:tc>
          <w:tcPr>
            <w:tcW w:w="0" w:type="auto"/>
            <w:vAlign w:val="center"/>
            <w:hideMark/>
          </w:tcPr>
          <w:p w14:paraId="417B4D46" w14:textId="77777777" w:rsidR="00E353FE" w:rsidRPr="00E353FE" w:rsidRDefault="00E353FE" w:rsidP="00E353FE">
            <w:pPr>
              <w:rPr>
                <w:sz w:val="16"/>
                <w:szCs w:val="16"/>
                <w:lang w:val="en-GB" w:eastAsia="ja-JP"/>
              </w:rPr>
            </w:pPr>
            <w:r w:rsidRPr="00E353FE">
              <w:rPr>
                <w:sz w:val="16"/>
                <w:szCs w:val="16"/>
                <w:lang w:val="en-GB" w:eastAsia="ja-JP"/>
              </w:rPr>
              <w:t>Individual </w:t>
            </w:r>
          </w:p>
        </w:tc>
        <w:tc>
          <w:tcPr>
            <w:tcW w:w="0" w:type="auto"/>
            <w:vAlign w:val="center"/>
            <w:hideMark/>
          </w:tcPr>
          <w:p w14:paraId="325043FB"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4C4CCDF2"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3985ADFB" w14:textId="77777777" w:rsidR="00E353FE" w:rsidRPr="00E353FE" w:rsidRDefault="00E353FE" w:rsidP="00E353FE">
            <w:pPr>
              <w:rPr>
                <w:sz w:val="16"/>
                <w:szCs w:val="16"/>
                <w:lang w:val="en-GB" w:eastAsia="ja-JP"/>
              </w:rPr>
            </w:pPr>
            <w:r w:rsidRPr="00E353FE">
              <w:rPr>
                <w:sz w:val="16"/>
                <w:szCs w:val="16"/>
                <w:lang w:val="en-GB" w:eastAsia="ja-JP"/>
              </w:rPr>
              <w:t>21 </w:t>
            </w:r>
          </w:p>
        </w:tc>
        <w:tc>
          <w:tcPr>
            <w:tcW w:w="0" w:type="auto"/>
            <w:vAlign w:val="center"/>
            <w:hideMark/>
          </w:tcPr>
          <w:p w14:paraId="587053B1" w14:textId="77777777" w:rsidR="00E353FE" w:rsidRPr="00E353FE" w:rsidRDefault="00E353FE" w:rsidP="00E353FE">
            <w:pPr>
              <w:rPr>
                <w:sz w:val="16"/>
                <w:szCs w:val="16"/>
                <w:lang w:val="en-GB" w:eastAsia="ja-JP"/>
              </w:rPr>
            </w:pPr>
            <w:r w:rsidRPr="00E353FE">
              <w:rPr>
                <w:sz w:val="16"/>
                <w:szCs w:val="16"/>
                <w:lang w:val="en-GB" w:eastAsia="ja-JP"/>
              </w:rPr>
              <w:t>2 </w:t>
            </w:r>
          </w:p>
        </w:tc>
        <w:tc>
          <w:tcPr>
            <w:tcW w:w="0" w:type="auto"/>
            <w:vAlign w:val="center"/>
            <w:hideMark/>
          </w:tcPr>
          <w:p w14:paraId="6847A183" w14:textId="77777777" w:rsidR="00E353FE" w:rsidRPr="00E353FE" w:rsidRDefault="00E353FE" w:rsidP="00E353FE">
            <w:pPr>
              <w:rPr>
                <w:sz w:val="16"/>
                <w:szCs w:val="16"/>
                <w:lang w:val="en-GB" w:eastAsia="ja-JP"/>
              </w:rPr>
            </w:pPr>
            <w:r w:rsidRPr="00E353FE">
              <w:rPr>
                <w:sz w:val="16"/>
                <w:szCs w:val="16"/>
                <w:lang w:val="en-GB" w:eastAsia="ja-JP"/>
              </w:rPr>
              <w:t>93% </w:t>
            </w:r>
          </w:p>
        </w:tc>
        <w:tc>
          <w:tcPr>
            <w:tcW w:w="0" w:type="auto"/>
            <w:vAlign w:val="center"/>
            <w:hideMark/>
          </w:tcPr>
          <w:p w14:paraId="1F0C143B" w14:textId="77777777" w:rsidR="00E353FE" w:rsidRPr="00E353FE" w:rsidRDefault="00E353FE" w:rsidP="00E353FE">
            <w:pPr>
              <w:rPr>
                <w:sz w:val="16"/>
                <w:szCs w:val="16"/>
                <w:lang w:val="en-GB" w:eastAsia="ja-JP"/>
              </w:rPr>
            </w:pPr>
            <w:r w:rsidRPr="00E353FE">
              <w:rPr>
                <w:sz w:val="16"/>
                <w:szCs w:val="16"/>
                <w:lang w:val="en-GB" w:eastAsia="ja-JP"/>
              </w:rPr>
              <w:t>17% </w:t>
            </w:r>
          </w:p>
        </w:tc>
        <w:tc>
          <w:tcPr>
            <w:tcW w:w="0" w:type="auto"/>
            <w:vAlign w:val="center"/>
            <w:hideMark/>
          </w:tcPr>
          <w:p w14:paraId="2D70D5A8" w14:textId="77777777" w:rsidR="00E353FE" w:rsidRPr="00E353FE" w:rsidRDefault="00E353FE" w:rsidP="00E353FE">
            <w:pPr>
              <w:rPr>
                <w:sz w:val="16"/>
                <w:szCs w:val="16"/>
                <w:lang w:val="en-GB" w:eastAsia="ja-JP"/>
              </w:rPr>
            </w:pPr>
            <w:r w:rsidRPr="00E353FE">
              <w:rPr>
                <w:sz w:val="16"/>
                <w:szCs w:val="16"/>
                <w:lang w:val="en-GB" w:eastAsia="ja-JP"/>
              </w:rPr>
              <w:t>Written proxy consent (relative) or self-consent </w:t>
            </w:r>
          </w:p>
        </w:tc>
      </w:tr>
      <w:tr w:rsidR="00E353FE" w:rsidRPr="00E353FE" w14:paraId="6DA29DE6" w14:textId="77777777" w:rsidTr="00E353FE">
        <w:trPr>
          <w:tblCellSpacing w:w="15" w:type="dxa"/>
        </w:trPr>
        <w:tc>
          <w:tcPr>
            <w:tcW w:w="0" w:type="auto"/>
            <w:vAlign w:val="center"/>
            <w:hideMark/>
          </w:tcPr>
          <w:p w14:paraId="7DC140F9" w14:textId="4AA4C525" w:rsidR="00E353FE" w:rsidRPr="00E353FE" w:rsidRDefault="00E353FE" w:rsidP="00E353FE">
            <w:pPr>
              <w:rPr>
                <w:sz w:val="16"/>
                <w:szCs w:val="16"/>
                <w:lang w:val="en-GB" w:eastAsia="ja-JP"/>
              </w:rPr>
            </w:pPr>
            <w:r w:rsidRPr="00E353FE">
              <w:rPr>
                <w:sz w:val="16"/>
                <w:szCs w:val="16"/>
                <w:lang w:val="en-GB" w:eastAsia="ja-JP"/>
              </w:rPr>
              <w:t>Svansdottir and Snaedal (2006) </w:t>
            </w:r>
          </w:p>
        </w:tc>
        <w:tc>
          <w:tcPr>
            <w:tcW w:w="0" w:type="auto"/>
            <w:vAlign w:val="center"/>
            <w:hideMark/>
          </w:tcPr>
          <w:p w14:paraId="79E68066" w14:textId="77777777" w:rsidR="00E353FE" w:rsidRPr="00E353FE" w:rsidRDefault="00E353FE" w:rsidP="00E353FE">
            <w:pPr>
              <w:rPr>
                <w:sz w:val="16"/>
                <w:szCs w:val="16"/>
                <w:lang w:val="en-GB" w:eastAsia="ja-JP"/>
              </w:rPr>
            </w:pPr>
            <w:r w:rsidRPr="00E353FE">
              <w:rPr>
                <w:sz w:val="16"/>
                <w:szCs w:val="16"/>
                <w:lang w:val="en-GB" w:eastAsia="ja-JP"/>
              </w:rPr>
              <w:t>38 </w:t>
            </w:r>
          </w:p>
        </w:tc>
        <w:tc>
          <w:tcPr>
            <w:tcW w:w="0" w:type="auto"/>
            <w:vAlign w:val="center"/>
            <w:hideMark/>
          </w:tcPr>
          <w:p w14:paraId="1AD8B148" w14:textId="77777777" w:rsidR="00E353FE" w:rsidRPr="00E353FE" w:rsidRDefault="00E353FE" w:rsidP="00E353FE">
            <w:pPr>
              <w:rPr>
                <w:sz w:val="16"/>
                <w:szCs w:val="16"/>
                <w:lang w:val="en-GB" w:eastAsia="ja-JP"/>
              </w:rPr>
            </w:pPr>
            <w:r w:rsidRPr="00E353FE">
              <w:rPr>
                <w:sz w:val="16"/>
                <w:szCs w:val="16"/>
                <w:lang w:val="en-GB" w:eastAsia="ja-JP"/>
              </w:rPr>
              <w:t>RCT, case controlled </w:t>
            </w:r>
          </w:p>
        </w:tc>
        <w:tc>
          <w:tcPr>
            <w:tcW w:w="0" w:type="auto"/>
            <w:vAlign w:val="center"/>
            <w:hideMark/>
          </w:tcPr>
          <w:p w14:paraId="0615E41D" w14:textId="77777777" w:rsidR="00E353FE" w:rsidRPr="00E353FE" w:rsidRDefault="00E353FE" w:rsidP="00E353FE">
            <w:pPr>
              <w:rPr>
                <w:sz w:val="16"/>
                <w:szCs w:val="16"/>
                <w:lang w:val="en-GB" w:eastAsia="ja-JP"/>
              </w:rPr>
            </w:pPr>
            <w:r w:rsidRPr="00E353FE">
              <w:rPr>
                <w:sz w:val="16"/>
                <w:szCs w:val="16"/>
                <w:lang w:val="en-GB" w:eastAsia="ja-JP"/>
              </w:rPr>
              <w:t>3× week, 30 min, 18 weeks </w:t>
            </w:r>
          </w:p>
        </w:tc>
        <w:tc>
          <w:tcPr>
            <w:tcW w:w="0" w:type="auto"/>
            <w:vAlign w:val="center"/>
            <w:hideMark/>
          </w:tcPr>
          <w:p w14:paraId="10DCCE8E" w14:textId="77777777" w:rsidR="00E353FE" w:rsidRPr="00E353FE" w:rsidRDefault="00E353FE" w:rsidP="00E353FE">
            <w:pPr>
              <w:rPr>
                <w:sz w:val="16"/>
                <w:szCs w:val="16"/>
                <w:lang w:val="en-GB" w:eastAsia="ja-JP"/>
              </w:rPr>
            </w:pPr>
            <w:r w:rsidRPr="00E353FE">
              <w:rPr>
                <w:sz w:val="16"/>
                <w:szCs w:val="16"/>
                <w:lang w:val="en-GB" w:eastAsia="ja-JP"/>
              </w:rPr>
              <w:t>Group </w:t>
            </w:r>
          </w:p>
        </w:tc>
        <w:tc>
          <w:tcPr>
            <w:tcW w:w="0" w:type="auto"/>
            <w:vAlign w:val="center"/>
            <w:hideMark/>
          </w:tcPr>
          <w:p w14:paraId="01ECE2E6"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77C945B4"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7F83F46A"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0444782E"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51C31EF4" w14:textId="77777777" w:rsidR="00E353FE" w:rsidRPr="00E353FE" w:rsidRDefault="00E353FE" w:rsidP="00E353FE">
            <w:pPr>
              <w:rPr>
                <w:sz w:val="16"/>
                <w:szCs w:val="16"/>
                <w:lang w:val="en-GB" w:eastAsia="ja-JP"/>
              </w:rPr>
            </w:pPr>
            <w:r w:rsidRPr="00E353FE">
              <w:rPr>
                <w:sz w:val="16"/>
                <w:szCs w:val="16"/>
                <w:lang w:val="en-GB" w:eastAsia="ja-JP"/>
              </w:rPr>
              <w:t>98% </w:t>
            </w:r>
          </w:p>
        </w:tc>
        <w:tc>
          <w:tcPr>
            <w:tcW w:w="0" w:type="auto"/>
            <w:vAlign w:val="center"/>
            <w:hideMark/>
          </w:tcPr>
          <w:p w14:paraId="458750DB" w14:textId="77777777" w:rsidR="00E353FE" w:rsidRPr="00E353FE" w:rsidRDefault="00E353FE" w:rsidP="00E353FE">
            <w:pPr>
              <w:rPr>
                <w:sz w:val="16"/>
                <w:szCs w:val="16"/>
                <w:lang w:val="en-GB" w:eastAsia="ja-JP"/>
              </w:rPr>
            </w:pPr>
            <w:r w:rsidRPr="00E353FE">
              <w:rPr>
                <w:sz w:val="16"/>
                <w:szCs w:val="16"/>
                <w:lang w:val="en-GB" w:eastAsia="ja-JP"/>
              </w:rPr>
              <w:t>20% </w:t>
            </w:r>
          </w:p>
        </w:tc>
        <w:tc>
          <w:tcPr>
            <w:tcW w:w="0" w:type="auto"/>
            <w:vAlign w:val="center"/>
            <w:hideMark/>
          </w:tcPr>
          <w:p w14:paraId="7335AFB5" w14:textId="77777777" w:rsidR="00E353FE" w:rsidRPr="00E353FE" w:rsidRDefault="00E353FE" w:rsidP="00E353FE">
            <w:pPr>
              <w:rPr>
                <w:sz w:val="16"/>
                <w:szCs w:val="16"/>
                <w:lang w:val="en-GB" w:eastAsia="ja-JP"/>
              </w:rPr>
            </w:pPr>
            <w:r w:rsidRPr="00E353FE">
              <w:rPr>
                <w:sz w:val="16"/>
                <w:szCs w:val="16"/>
                <w:lang w:val="en-GB" w:eastAsia="ja-JP"/>
              </w:rPr>
              <w:t>Written proxy consent (close relative) </w:t>
            </w:r>
          </w:p>
        </w:tc>
      </w:tr>
      <w:tr w:rsidR="00E353FE" w:rsidRPr="00E353FE" w14:paraId="6E03B8FE" w14:textId="77777777" w:rsidTr="00E353FE">
        <w:trPr>
          <w:tblCellSpacing w:w="15" w:type="dxa"/>
        </w:trPr>
        <w:tc>
          <w:tcPr>
            <w:tcW w:w="0" w:type="auto"/>
            <w:vAlign w:val="center"/>
            <w:hideMark/>
          </w:tcPr>
          <w:p w14:paraId="1290772B" w14:textId="668E6598" w:rsidR="00E353FE" w:rsidRPr="00E353FE" w:rsidRDefault="00E353FE" w:rsidP="00E353FE">
            <w:pPr>
              <w:rPr>
                <w:sz w:val="16"/>
                <w:szCs w:val="16"/>
                <w:lang w:val="en-GB" w:eastAsia="ja-JP"/>
              </w:rPr>
            </w:pPr>
            <w:r w:rsidRPr="00E353FE">
              <w:rPr>
                <w:sz w:val="16"/>
                <w:szCs w:val="16"/>
                <w:lang w:val="en-GB" w:eastAsia="ja-JP"/>
              </w:rPr>
              <w:t>Werner et al. (2017) </w:t>
            </w:r>
          </w:p>
        </w:tc>
        <w:tc>
          <w:tcPr>
            <w:tcW w:w="0" w:type="auto"/>
            <w:vAlign w:val="center"/>
            <w:hideMark/>
          </w:tcPr>
          <w:p w14:paraId="4B3874C7" w14:textId="77777777" w:rsidR="00E353FE" w:rsidRPr="00E353FE" w:rsidRDefault="00E353FE" w:rsidP="00E353FE">
            <w:pPr>
              <w:rPr>
                <w:sz w:val="16"/>
                <w:szCs w:val="16"/>
                <w:lang w:val="en-GB" w:eastAsia="ja-JP"/>
              </w:rPr>
            </w:pPr>
            <w:r w:rsidRPr="00E353FE">
              <w:rPr>
                <w:sz w:val="16"/>
                <w:szCs w:val="16"/>
                <w:lang w:val="en-GB" w:eastAsia="ja-JP"/>
              </w:rPr>
              <w:t>117 </w:t>
            </w:r>
          </w:p>
        </w:tc>
        <w:tc>
          <w:tcPr>
            <w:tcW w:w="0" w:type="auto"/>
            <w:vAlign w:val="center"/>
            <w:hideMark/>
          </w:tcPr>
          <w:p w14:paraId="4FE4CD0F" w14:textId="77777777" w:rsidR="00E353FE" w:rsidRPr="00E353FE" w:rsidRDefault="00E353FE" w:rsidP="00E353FE">
            <w:pPr>
              <w:rPr>
                <w:sz w:val="16"/>
                <w:szCs w:val="16"/>
                <w:lang w:val="en-GB" w:eastAsia="ja-JP"/>
              </w:rPr>
            </w:pPr>
            <w:r w:rsidRPr="00E353FE">
              <w:rPr>
                <w:sz w:val="16"/>
                <w:szCs w:val="16"/>
                <w:lang w:val="en-GB" w:eastAsia="ja-JP"/>
              </w:rPr>
              <w:t>Cluster RCT </w:t>
            </w:r>
          </w:p>
        </w:tc>
        <w:tc>
          <w:tcPr>
            <w:tcW w:w="0" w:type="auto"/>
            <w:vAlign w:val="center"/>
            <w:hideMark/>
          </w:tcPr>
          <w:p w14:paraId="179B9F54" w14:textId="77777777" w:rsidR="00E353FE" w:rsidRPr="00E353FE" w:rsidRDefault="00E353FE" w:rsidP="00E353FE">
            <w:pPr>
              <w:rPr>
                <w:sz w:val="16"/>
                <w:szCs w:val="16"/>
                <w:lang w:val="en-GB" w:eastAsia="ja-JP"/>
              </w:rPr>
            </w:pPr>
            <w:r w:rsidRPr="00E353FE">
              <w:rPr>
                <w:sz w:val="16"/>
                <w:szCs w:val="16"/>
                <w:lang w:val="en-GB" w:eastAsia="ja-JP"/>
              </w:rPr>
              <w:t>2× week, 40 min, 11 weeks </w:t>
            </w:r>
          </w:p>
        </w:tc>
        <w:tc>
          <w:tcPr>
            <w:tcW w:w="0" w:type="auto"/>
            <w:vAlign w:val="center"/>
            <w:hideMark/>
          </w:tcPr>
          <w:p w14:paraId="483C1C0D" w14:textId="77777777" w:rsidR="00E353FE" w:rsidRPr="00E353FE" w:rsidRDefault="00E353FE" w:rsidP="00E353FE">
            <w:pPr>
              <w:rPr>
                <w:sz w:val="16"/>
                <w:szCs w:val="16"/>
                <w:lang w:val="en-GB" w:eastAsia="ja-JP"/>
              </w:rPr>
            </w:pPr>
            <w:r w:rsidRPr="00E353FE">
              <w:rPr>
                <w:sz w:val="16"/>
                <w:szCs w:val="16"/>
                <w:lang w:val="en-GB" w:eastAsia="ja-JP"/>
              </w:rPr>
              <w:t>Group </w:t>
            </w:r>
          </w:p>
        </w:tc>
        <w:tc>
          <w:tcPr>
            <w:tcW w:w="0" w:type="auto"/>
            <w:vAlign w:val="center"/>
            <w:hideMark/>
          </w:tcPr>
          <w:p w14:paraId="450D03F3" w14:textId="77777777" w:rsidR="00E353FE" w:rsidRPr="00E353FE" w:rsidRDefault="00E353FE" w:rsidP="00E353FE">
            <w:pPr>
              <w:rPr>
                <w:sz w:val="16"/>
                <w:szCs w:val="16"/>
                <w:lang w:val="en-GB" w:eastAsia="ja-JP"/>
              </w:rPr>
            </w:pPr>
            <w:r w:rsidRPr="00E353FE">
              <w:rPr>
                <w:sz w:val="16"/>
                <w:szCs w:val="16"/>
                <w:lang w:val="en-GB" w:eastAsia="ja-JP"/>
              </w:rPr>
              <w:t>Researchers explained study to residents and then obtained consent </w:t>
            </w:r>
          </w:p>
        </w:tc>
        <w:tc>
          <w:tcPr>
            <w:tcW w:w="0" w:type="auto"/>
            <w:vAlign w:val="center"/>
            <w:hideMark/>
          </w:tcPr>
          <w:p w14:paraId="1F5D6A54"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5DC4E551"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659E353B"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016D0C5A" w14:textId="77777777" w:rsidR="00E353FE" w:rsidRPr="00E353FE" w:rsidRDefault="00E353FE" w:rsidP="00E353FE">
            <w:pPr>
              <w:rPr>
                <w:sz w:val="16"/>
                <w:szCs w:val="16"/>
                <w:lang w:val="en-GB" w:eastAsia="ja-JP"/>
              </w:rPr>
            </w:pPr>
            <w:r w:rsidRPr="00E353FE">
              <w:rPr>
                <w:sz w:val="16"/>
                <w:szCs w:val="16"/>
                <w:lang w:val="en-GB" w:eastAsia="ja-JP"/>
              </w:rPr>
              <w:t>100% </w:t>
            </w:r>
          </w:p>
        </w:tc>
        <w:tc>
          <w:tcPr>
            <w:tcW w:w="0" w:type="auto"/>
            <w:vAlign w:val="center"/>
            <w:hideMark/>
          </w:tcPr>
          <w:p w14:paraId="4F7F8C18" w14:textId="77777777" w:rsidR="00E353FE" w:rsidRPr="00E353FE" w:rsidRDefault="00E353FE" w:rsidP="00E353FE">
            <w:pPr>
              <w:rPr>
                <w:sz w:val="16"/>
                <w:szCs w:val="16"/>
                <w:lang w:val="en-GB" w:eastAsia="ja-JP"/>
              </w:rPr>
            </w:pPr>
            <w:r w:rsidRPr="00E353FE">
              <w:rPr>
                <w:sz w:val="16"/>
                <w:szCs w:val="16"/>
                <w:lang w:val="en-GB" w:eastAsia="ja-JP"/>
              </w:rPr>
              <w:t>3% </w:t>
            </w:r>
          </w:p>
        </w:tc>
        <w:tc>
          <w:tcPr>
            <w:tcW w:w="0" w:type="auto"/>
            <w:vAlign w:val="center"/>
            <w:hideMark/>
          </w:tcPr>
          <w:p w14:paraId="6B2E65C9" w14:textId="77777777" w:rsidR="00E353FE" w:rsidRPr="00E353FE" w:rsidRDefault="00E353FE" w:rsidP="00E353FE">
            <w:pPr>
              <w:rPr>
                <w:sz w:val="16"/>
                <w:szCs w:val="16"/>
                <w:lang w:val="en-GB" w:eastAsia="ja-JP"/>
              </w:rPr>
            </w:pPr>
            <w:r w:rsidRPr="00E353FE">
              <w:rPr>
                <w:sz w:val="16"/>
                <w:szCs w:val="16"/>
                <w:lang w:val="en-GB" w:eastAsia="ja-JP"/>
              </w:rPr>
              <w:t>Written self-consent or proxy consent (legal guardian) </w:t>
            </w:r>
          </w:p>
        </w:tc>
      </w:tr>
      <w:tr w:rsidR="00E353FE" w:rsidRPr="00E353FE" w14:paraId="7A8B6472" w14:textId="77777777" w:rsidTr="00E353FE">
        <w:trPr>
          <w:tblCellSpacing w:w="15" w:type="dxa"/>
        </w:trPr>
        <w:tc>
          <w:tcPr>
            <w:tcW w:w="0" w:type="auto"/>
            <w:vAlign w:val="center"/>
            <w:hideMark/>
          </w:tcPr>
          <w:p w14:paraId="1FDCD48C" w14:textId="77777777" w:rsidR="00E353FE" w:rsidRPr="00E353FE" w:rsidRDefault="00E353FE" w:rsidP="00E353FE">
            <w:pPr>
              <w:rPr>
                <w:sz w:val="16"/>
                <w:szCs w:val="16"/>
                <w:lang w:val="en-GB" w:eastAsia="ja-JP"/>
              </w:rPr>
            </w:pPr>
            <w:r w:rsidRPr="00E353FE">
              <w:rPr>
                <w:sz w:val="16"/>
                <w:szCs w:val="16"/>
                <w:lang w:val="en-GB" w:eastAsia="ja-JP"/>
              </w:rPr>
              <w:t>Mean </w:t>
            </w:r>
          </w:p>
        </w:tc>
        <w:tc>
          <w:tcPr>
            <w:tcW w:w="0" w:type="auto"/>
            <w:vAlign w:val="center"/>
            <w:hideMark/>
          </w:tcPr>
          <w:p w14:paraId="75D2C477" w14:textId="77777777" w:rsidR="00E353FE" w:rsidRPr="00E353FE" w:rsidRDefault="00E353FE" w:rsidP="00E353FE">
            <w:pPr>
              <w:rPr>
                <w:sz w:val="16"/>
                <w:szCs w:val="16"/>
                <w:lang w:val="en-GB" w:eastAsia="ja-JP"/>
              </w:rPr>
            </w:pPr>
            <w:r w:rsidRPr="00E353FE">
              <w:rPr>
                <w:sz w:val="16"/>
                <w:szCs w:val="16"/>
                <w:lang w:val="en-GB" w:eastAsia="ja-JP"/>
              </w:rPr>
              <w:t xml:space="preserve">52.43 </w:t>
            </w:r>
            <w:r w:rsidRPr="00E353FE">
              <w:rPr>
                <w:sz w:val="16"/>
                <w:szCs w:val="16"/>
                <w:lang w:val="en-GB" w:eastAsia="ja-JP"/>
              </w:rPr>
              <w:br/>
              <w:t>(37.8) </w:t>
            </w:r>
          </w:p>
        </w:tc>
        <w:tc>
          <w:tcPr>
            <w:tcW w:w="0" w:type="auto"/>
            <w:vAlign w:val="center"/>
            <w:hideMark/>
          </w:tcPr>
          <w:p w14:paraId="31C7FF9E"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60A629F0"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61A3B859"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60E41834"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298175FB" w14:textId="77777777" w:rsidR="00E353FE" w:rsidRPr="00E353FE" w:rsidRDefault="00E353FE" w:rsidP="00E353FE">
            <w:pPr>
              <w:rPr>
                <w:sz w:val="16"/>
                <w:szCs w:val="16"/>
                <w:lang w:val="en-GB" w:eastAsia="ja-JP"/>
              </w:rPr>
            </w:pPr>
            <w:r w:rsidRPr="00E353FE">
              <w:rPr>
                <w:sz w:val="16"/>
                <w:szCs w:val="16"/>
                <w:lang w:val="en-GB" w:eastAsia="ja-JP"/>
              </w:rPr>
              <w:t> </w:t>
            </w:r>
          </w:p>
        </w:tc>
        <w:tc>
          <w:tcPr>
            <w:tcW w:w="0" w:type="auto"/>
            <w:vAlign w:val="center"/>
            <w:hideMark/>
          </w:tcPr>
          <w:p w14:paraId="6697F805" w14:textId="77777777" w:rsidR="00E353FE" w:rsidRPr="00E353FE" w:rsidRDefault="00E353FE" w:rsidP="00E353FE">
            <w:pPr>
              <w:rPr>
                <w:sz w:val="16"/>
                <w:szCs w:val="16"/>
                <w:lang w:val="en-GB" w:eastAsia="ja-JP"/>
              </w:rPr>
            </w:pPr>
            <w:r w:rsidRPr="00E353FE">
              <w:rPr>
                <w:sz w:val="16"/>
                <w:szCs w:val="16"/>
                <w:lang w:val="en-GB" w:eastAsia="ja-JP"/>
              </w:rPr>
              <w:t>12.62 (6.8) </w:t>
            </w:r>
          </w:p>
        </w:tc>
        <w:tc>
          <w:tcPr>
            <w:tcW w:w="0" w:type="auto"/>
            <w:vAlign w:val="center"/>
            <w:hideMark/>
          </w:tcPr>
          <w:p w14:paraId="6F12CFD9" w14:textId="77777777" w:rsidR="00E353FE" w:rsidRPr="00E353FE" w:rsidRDefault="00E353FE" w:rsidP="00E353FE">
            <w:pPr>
              <w:rPr>
                <w:sz w:val="16"/>
                <w:szCs w:val="16"/>
                <w:lang w:val="en-GB" w:eastAsia="ja-JP"/>
              </w:rPr>
            </w:pPr>
            <w:r w:rsidRPr="00E353FE">
              <w:rPr>
                <w:sz w:val="16"/>
                <w:szCs w:val="16"/>
                <w:lang w:val="en-GB" w:eastAsia="ja-JP"/>
              </w:rPr>
              <w:t>2.93 (1.8) </w:t>
            </w:r>
          </w:p>
        </w:tc>
        <w:tc>
          <w:tcPr>
            <w:tcW w:w="0" w:type="auto"/>
            <w:vAlign w:val="center"/>
            <w:hideMark/>
          </w:tcPr>
          <w:p w14:paraId="3FBCB796" w14:textId="77777777" w:rsidR="00E353FE" w:rsidRPr="00E353FE" w:rsidRDefault="00E353FE" w:rsidP="00E353FE">
            <w:pPr>
              <w:rPr>
                <w:sz w:val="16"/>
                <w:szCs w:val="16"/>
                <w:lang w:val="en-GB" w:eastAsia="ja-JP"/>
              </w:rPr>
            </w:pPr>
            <w:r w:rsidRPr="00E353FE">
              <w:rPr>
                <w:sz w:val="16"/>
                <w:szCs w:val="16"/>
                <w:lang w:val="en-GB" w:eastAsia="ja-JP"/>
              </w:rPr>
              <w:t>89% (0.11) </w:t>
            </w:r>
          </w:p>
        </w:tc>
        <w:tc>
          <w:tcPr>
            <w:tcW w:w="0" w:type="auto"/>
            <w:vAlign w:val="center"/>
            <w:hideMark/>
          </w:tcPr>
          <w:p w14:paraId="45DBC3CB" w14:textId="77777777" w:rsidR="00E353FE" w:rsidRPr="00E353FE" w:rsidRDefault="00E353FE" w:rsidP="00E353FE">
            <w:pPr>
              <w:rPr>
                <w:sz w:val="16"/>
                <w:szCs w:val="16"/>
                <w:lang w:val="en-GB" w:eastAsia="ja-JP"/>
              </w:rPr>
            </w:pPr>
            <w:r w:rsidRPr="00E353FE">
              <w:rPr>
                <w:sz w:val="16"/>
                <w:szCs w:val="16"/>
                <w:lang w:val="en-GB" w:eastAsia="ja-JP"/>
              </w:rPr>
              <w:t>16% (0.17) </w:t>
            </w:r>
          </w:p>
        </w:tc>
        <w:tc>
          <w:tcPr>
            <w:tcW w:w="0" w:type="auto"/>
            <w:vAlign w:val="center"/>
            <w:hideMark/>
          </w:tcPr>
          <w:p w14:paraId="1AF31578" w14:textId="77777777" w:rsidR="00E353FE" w:rsidRPr="00E353FE" w:rsidRDefault="00E353FE" w:rsidP="00E353FE">
            <w:pPr>
              <w:rPr>
                <w:sz w:val="16"/>
                <w:szCs w:val="16"/>
                <w:lang w:val="en-GB" w:eastAsia="ja-JP"/>
              </w:rPr>
            </w:pPr>
            <w:r w:rsidRPr="00E353FE">
              <w:rPr>
                <w:sz w:val="16"/>
                <w:szCs w:val="16"/>
                <w:lang w:val="en-GB" w:eastAsia="ja-JP"/>
              </w:rPr>
              <w:t> </w:t>
            </w:r>
          </w:p>
        </w:tc>
      </w:tr>
    </w:tbl>
    <w:p w14:paraId="07E66456" w14:textId="0077A6F9" w:rsidR="00600EE8" w:rsidRDefault="00F61433" w:rsidP="00996509">
      <w:pPr>
        <w:spacing w:line="480" w:lineRule="auto"/>
        <w:contextualSpacing/>
        <w:rPr>
          <w:sz w:val="16"/>
          <w:szCs w:val="16"/>
        </w:rPr>
      </w:pPr>
      <w:r w:rsidRPr="00F61433">
        <w:rPr>
          <w:sz w:val="16"/>
          <w:szCs w:val="16"/>
        </w:rPr>
        <w:t>Note. NR = not reported; RACF = residential aged care facility; RCT = randomized controlled trial. All studies were conducted with people living with dementia.</w:t>
      </w:r>
    </w:p>
    <w:p w14:paraId="094D3CBB" w14:textId="77777777" w:rsidR="00600EE8" w:rsidRDefault="00600EE8">
      <w:pPr>
        <w:widowControl w:val="0"/>
        <w:autoSpaceDE w:val="0"/>
        <w:autoSpaceDN w:val="0"/>
        <w:rPr>
          <w:sz w:val="16"/>
          <w:szCs w:val="16"/>
        </w:rPr>
      </w:pPr>
      <w:r>
        <w:rPr>
          <w:sz w:val="16"/>
          <w:szCs w:val="16"/>
        </w:rPr>
        <w:br w:type="page"/>
      </w:r>
    </w:p>
    <w:p w14:paraId="58CB0B26" w14:textId="64B379E0" w:rsidR="00F61433" w:rsidRPr="00996509" w:rsidRDefault="00600EE8" w:rsidP="00CD3B80">
      <w:pPr>
        <w:pStyle w:val="Heading2"/>
      </w:pPr>
      <w:r w:rsidRPr="00996509">
        <w:lastRenderedPageBreak/>
        <w:t xml:space="preserve">Table 3 – </w:t>
      </w:r>
      <w:r w:rsidR="00996509" w:rsidRPr="00996509">
        <w:t>Recruitment Characteristics of Music Therapy Studies Delivered in Community Settings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51"/>
        <w:gridCol w:w="617"/>
        <w:gridCol w:w="1350"/>
        <w:gridCol w:w="1016"/>
        <w:gridCol w:w="778"/>
        <w:gridCol w:w="1939"/>
        <w:gridCol w:w="941"/>
        <w:gridCol w:w="589"/>
        <w:gridCol w:w="730"/>
        <w:gridCol w:w="976"/>
        <w:gridCol w:w="819"/>
        <w:gridCol w:w="1844"/>
      </w:tblGrid>
      <w:tr w:rsidR="00600EE8" w:rsidRPr="00600EE8" w14:paraId="6BC7BE2A" w14:textId="77777777" w:rsidTr="00600EE8">
        <w:trPr>
          <w:tblHeader/>
          <w:tblCellSpacing w:w="15" w:type="dxa"/>
        </w:trPr>
        <w:tc>
          <w:tcPr>
            <w:tcW w:w="0" w:type="auto"/>
            <w:vAlign w:val="center"/>
            <w:hideMark/>
          </w:tcPr>
          <w:p w14:paraId="10714D35" w14:textId="77777777" w:rsidR="00600EE8" w:rsidRPr="00600EE8" w:rsidRDefault="00600EE8" w:rsidP="00600EE8">
            <w:pPr>
              <w:jc w:val="center"/>
              <w:rPr>
                <w:b/>
                <w:bCs/>
                <w:sz w:val="16"/>
                <w:szCs w:val="16"/>
                <w:lang w:val="en-GB" w:eastAsia="ja-JP"/>
              </w:rPr>
            </w:pPr>
            <w:r w:rsidRPr="00600EE8">
              <w:rPr>
                <w:b/>
                <w:bCs/>
                <w:sz w:val="16"/>
                <w:szCs w:val="16"/>
                <w:lang w:val="en-GB" w:eastAsia="ja-JP"/>
              </w:rPr>
              <w:t>Publication</w:t>
            </w:r>
          </w:p>
        </w:tc>
        <w:tc>
          <w:tcPr>
            <w:tcW w:w="0" w:type="auto"/>
            <w:vAlign w:val="center"/>
            <w:hideMark/>
          </w:tcPr>
          <w:p w14:paraId="65AB9C61" w14:textId="77777777" w:rsidR="00600EE8" w:rsidRPr="00600EE8" w:rsidRDefault="00600EE8" w:rsidP="00600EE8">
            <w:pPr>
              <w:jc w:val="center"/>
              <w:rPr>
                <w:b/>
                <w:bCs/>
                <w:sz w:val="16"/>
                <w:szCs w:val="16"/>
                <w:lang w:val="en-GB" w:eastAsia="ja-JP"/>
              </w:rPr>
            </w:pPr>
            <w:r w:rsidRPr="00600EE8">
              <w:rPr>
                <w:b/>
                <w:bCs/>
                <w:sz w:val="16"/>
                <w:szCs w:val="16"/>
                <w:lang w:val="en-GB" w:eastAsia="ja-JP"/>
              </w:rPr>
              <w:t>Study Details</w:t>
            </w:r>
          </w:p>
        </w:tc>
        <w:tc>
          <w:tcPr>
            <w:tcW w:w="0" w:type="auto"/>
            <w:vAlign w:val="center"/>
            <w:hideMark/>
          </w:tcPr>
          <w:p w14:paraId="039B22F0" w14:textId="77777777" w:rsidR="00600EE8" w:rsidRPr="00600EE8" w:rsidRDefault="00600EE8" w:rsidP="00600EE8">
            <w:pPr>
              <w:jc w:val="center"/>
              <w:rPr>
                <w:b/>
                <w:bCs/>
                <w:sz w:val="16"/>
                <w:szCs w:val="16"/>
                <w:lang w:val="en-GB" w:eastAsia="ja-JP"/>
              </w:rPr>
            </w:pPr>
          </w:p>
        </w:tc>
        <w:tc>
          <w:tcPr>
            <w:tcW w:w="0" w:type="auto"/>
            <w:vAlign w:val="center"/>
            <w:hideMark/>
          </w:tcPr>
          <w:p w14:paraId="719801AA" w14:textId="77777777" w:rsidR="00600EE8" w:rsidRPr="00600EE8" w:rsidRDefault="00600EE8" w:rsidP="00600EE8">
            <w:pPr>
              <w:jc w:val="center"/>
              <w:rPr>
                <w:b/>
                <w:bCs/>
                <w:sz w:val="16"/>
                <w:szCs w:val="16"/>
                <w:lang w:val="en-GB" w:eastAsia="ja-JP"/>
              </w:rPr>
            </w:pPr>
            <w:r w:rsidRPr="00600EE8">
              <w:rPr>
                <w:b/>
                <w:bCs/>
                <w:sz w:val="16"/>
                <w:szCs w:val="16"/>
                <w:lang w:val="en-GB" w:eastAsia="ja-JP"/>
              </w:rPr>
              <w:t>Intervention Details</w:t>
            </w:r>
          </w:p>
        </w:tc>
        <w:tc>
          <w:tcPr>
            <w:tcW w:w="0" w:type="auto"/>
            <w:vAlign w:val="center"/>
            <w:hideMark/>
          </w:tcPr>
          <w:p w14:paraId="6F84C49A" w14:textId="77777777" w:rsidR="00600EE8" w:rsidRPr="00600EE8" w:rsidRDefault="00600EE8" w:rsidP="00600EE8">
            <w:pPr>
              <w:jc w:val="center"/>
              <w:rPr>
                <w:b/>
                <w:bCs/>
                <w:sz w:val="16"/>
                <w:szCs w:val="16"/>
                <w:lang w:val="en-GB" w:eastAsia="ja-JP"/>
              </w:rPr>
            </w:pPr>
          </w:p>
        </w:tc>
        <w:tc>
          <w:tcPr>
            <w:tcW w:w="0" w:type="auto"/>
            <w:vAlign w:val="center"/>
            <w:hideMark/>
          </w:tcPr>
          <w:p w14:paraId="53772CDF" w14:textId="77777777" w:rsidR="00600EE8" w:rsidRPr="00600EE8" w:rsidRDefault="00600EE8" w:rsidP="00600EE8">
            <w:pPr>
              <w:jc w:val="center"/>
              <w:rPr>
                <w:b/>
                <w:bCs/>
                <w:sz w:val="16"/>
                <w:szCs w:val="16"/>
                <w:lang w:val="en-GB" w:eastAsia="ja-JP"/>
              </w:rPr>
            </w:pPr>
            <w:r w:rsidRPr="00600EE8">
              <w:rPr>
                <w:b/>
                <w:bCs/>
                <w:sz w:val="16"/>
                <w:szCs w:val="16"/>
                <w:lang w:val="en-GB" w:eastAsia="ja-JP"/>
              </w:rPr>
              <w:t>Recruitment Details</w:t>
            </w:r>
          </w:p>
        </w:tc>
        <w:tc>
          <w:tcPr>
            <w:tcW w:w="0" w:type="auto"/>
            <w:vAlign w:val="center"/>
            <w:hideMark/>
          </w:tcPr>
          <w:p w14:paraId="1E015AA1" w14:textId="77777777" w:rsidR="00600EE8" w:rsidRPr="00600EE8" w:rsidRDefault="00600EE8" w:rsidP="00600EE8">
            <w:pPr>
              <w:jc w:val="center"/>
              <w:rPr>
                <w:b/>
                <w:bCs/>
                <w:sz w:val="16"/>
                <w:szCs w:val="16"/>
                <w:lang w:val="en-GB" w:eastAsia="ja-JP"/>
              </w:rPr>
            </w:pPr>
          </w:p>
        </w:tc>
        <w:tc>
          <w:tcPr>
            <w:tcW w:w="0" w:type="auto"/>
            <w:vAlign w:val="center"/>
            <w:hideMark/>
          </w:tcPr>
          <w:p w14:paraId="34FE9061" w14:textId="77777777" w:rsidR="00600EE8" w:rsidRPr="00600EE8" w:rsidRDefault="00600EE8" w:rsidP="00600EE8">
            <w:pPr>
              <w:jc w:val="center"/>
              <w:rPr>
                <w:sz w:val="16"/>
                <w:szCs w:val="16"/>
                <w:lang w:val="en-GB" w:eastAsia="ja-JP"/>
              </w:rPr>
            </w:pPr>
          </w:p>
        </w:tc>
        <w:tc>
          <w:tcPr>
            <w:tcW w:w="0" w:type="auto"/>
            <w:vAlign w:val="center"/>
            <w:hideMark/>
          </w:tcPr>
          <w:p w14:paraId="24F5B46E" w14:textId="77777777" w:rsidR="00600EE8" w:rsidRPr="00600EE8" w:rsidRDefault="00600EE8" w:rsidP="00600EE8">
            <w:pPr>
              <w:jc w:val="center"/>
              <w:rPr>
                <w:sz w:val="16"/>
                <w:szCs w:val="16"/>
                <w:lang w:val="en-GB" w:eastAsia="ja-JP"/>
              </w:rPr>
            </w:pPr>
          </w:p>
        </w:tc>
        <w:tc>
          <w:tcPr>
            <w:tcW w:w="0" w:type="auto"/>
            <w:vAlign w:val="center"/>
            <w:hideMark/>
          </w:tcPr>
          <w:p w14:paraId="0117959D" w14:textId="77777777" w:rsidR="00600EE8" w:rsidRPr="00600EE8" w:rsidRDefault="00600EE8" w:rsidP="00600EE8">
            <w:pPr>
              <w:jc w:val="center"/>
              <w:rPr>
                <w:sz w:val="16"/>
                <w:szCs w:val="16"/>
                <w:lang w:val="en-GB" w:eastAsia="ja-JP"/>
              </w:rPr>
            </w:pPr>
          </w:p>
        </w:tc>
        <w:tc>
          <w:tcPr>
            <w:tcW w:w="0" w:type="auto"/>
            <w:vAlign w:val="center"/>
            <w:hideMark/>
          </w:tcPr>
          <w:p w14:paraId="00D35D9D" w14:textId="77777777" w:rsidR="00600EE8" w:rsidRPr="00600EE8" w:rsidRDefault="00600EE8" w:rsidP="00600EE8">
            <w:pPr>
              <w:jc w:val="center"/>
              <w:rPr>
                <w:sz w:val="16"/>
                <w:szCs w:val="16"/>
                <w:lang w:val="en-GB" w:eastAsia="ja-JP"/>
              </w:rPr>
            </w:pPr>
          </w:p>
        </w:tc>
        <w:tc>
          <w:tcPr>
            <w:tcW w:w="0" w:type="auto"/>
            <w:vAlign w:val="center"/>
            <w:hideMark/>
          </w:tcPr>
          <w:p w14:paraId="47BAFEA4" w14:textId="77777777" w:rsidR="00600EE8" w:rsidRPr="00600EE8" w:rsidRDefault="00600EE8" w:rsidP="00600EE8">
            <w:pPr>
              <w:jc w:val="center"/>
              <w:rPr>
                <w:sz w:val="16"/>
                <w:szCs w:val="16"/>
                <w:lang w:val="en-GB" w:eastAsia="ja-JP"/>
              </w:rPr>
            </w:pPr>
          </w:p>
        </w:tc>
      </w:tr>
      <w:tr w:rsidR="00600EE8" w:rsidRPr="00600EE8" w14:paraId="3C492059" w14:textId="77777777" w:rsidTr="00600EE8">
        <w:trPr>
          <w:tblHeader/>
          <w:tblCellSpacing w:w="15" w:type="dxa"/>
        </w:trPr>
        <w:tc>
          <w:tcPr>
            <w:tcW w:w="0" w:type="auto"/>
            <w:vAlign w:val="center"/>
            <w:hideMark/>
          </w:tcPr>
          <w:p w14:paraId="68D74804" w14:textId="77777777" w:rsidR="00600EE8" w:rsidRPr="00600EE8" w:rsidRDefault="00600EE8" w:rsidP="00600EE8">
            <w:pPr>
              <w:jc w:val="center"/>
              <w:rPr>
                <w:b/>
                <w:bCs/>
                <w:sz w:val="16"/>
                <w:szCs w:val="16"/>
                <w:lang w:val="en-GB" w:eastAsia="ja-JP"/>
              </w:rPr>
            </w:pPr>
            <w:r w:rsidRPr="00600EE8">
              <w:rPr>
                <w:b/>
                <w:bCs/>
                <w:sz w:val="16"/>
                <w:szCs w:val="16"/>
                <w:lang w:val="en-GB" w:eastAsia="ja-JP"/>
              </w:rPr>
              <w:t>Author (Year)</w:t>
            </w:r>
          </w:p>
        </w:tc>
        <w:tc>
          <w:tcPr>
            <w:tcW w:w="0" w:type="auto"/>
            <w:vAlign w:val="center"/>
            <w:hideMark/>
          </w:tcPr>
          <w:p w14:paraId="25F2BDE9" w14:textId="77777777" w:rsidR="00600EE8" w:rsidRPr="00600EE8" w:rsidRDefault="00600EE8" w:rsidP="00600EE8">
            <w:pPr>
              <w:jc w:val="center"/>
              <w:rPr>
                <w:b/>
                <w:bCs/>
                <w:sz w:val="16"/>
                <w:szCs w:val="16"/>
                <w:lang w:val="en-GB" w:eastAsia="ja-JP"/>
              </w:rPr>
            </w:pPr>
            <w:r w:rsidRPr="00600EE8">
              <w:rPr>
                <w:b/>
                <w:bCs/>
                <w:sz w:val="16"/>
                <w:szCs w:val="16"/>
                <w:lang w:val="en-GB" w:eastAsia="ja-JP"/>
              </w:rPr>
              <w:t>Sample Size</w:t>
            </w:r>
          </w:p>
        </w:tc>
        <w:tc>
          <w:tcPr>
            <w:tcW w:w="0" w:type="auto"/>
            <w:vAlign w:val="center"/>
            <w:hideMark/>
          </w:tcPr>
          <w:p w14:paraId="6C6C622B" w14:textId="77777777" w:rsidR="00600EE8" w:rsidRPr="00600EE8" w:rsidRDefault="00600EE8" w:rsidP="00600EE8">
            <w:pPr>
              <w:jc w:val="center"/>
              <w:rPr>
                <w:b/>
                <w:bCs/>
                <w:sz w:val="16"/>
                <w:szCs w:val="16"/>
                <w:lang w:val="en-GB" w:eastAsia="ja-JP"/>
              </w:rPr>
            </w:pPr>
            <w:r w:rsidRPr="00600EE8">
              <w:rPr>
                <w:b/>
                <w:bCs/>
                <w:sz w:val="16"/>
                <w:szCs w:val="16"/>
                <w:lang w:val="en-GB" w:eastAsia="ja-JP"/>
              </w:rPr>
              <w:t>Study Design</w:t>
            </w:r>
          </w:p>
        </w:tc>
        <w:tc>
          <w:tcPr>
            <w:tcW w:w="0" w:type="auto"/>
            <w:vAlign w:val="center"/>
            <w:hideMark/>
          </w:tcPr>
          <w:p w14:paraId="14FEF340" w14:textId="77777777" w:rsidR="00600EE8" w:rsidRPr="00600EE8" w:rsidRDefault="00600EE8" w:rsidP="00600EE8">
            <w:pPr>
              <w:jc w:val="center"/>
              <w:rPr>
                <w:b/>
                <w:bCs/>
                <w:sz w:val="16"/>
                <w:szCs w:val="16"/>
                <w:lang w:val="en-GB" w:eastAsia="ja-JP"/>
              </w:rPr>
            </w:pPr>
            <w:r w:rsidRPr="00600EE8">
              <w:rPr>
                <w:b/>
                <w:bCs/>
                <w:sz w:val="16"/>
                <w:szCs w:val="16"/>
                <w:lang w:val="en-GB" w:eastAsia="ja-JP"/>
              </w:rPr>
              <w:t>Length</w:t>
            </w:r>
          </w:p>
        </w:tc>
        <w:tc>
          <w:tcPr>
            <w:tcW w:w="0" w:type="auto"/>
            <w:vAlign w:val="center"/>
            <w:hideMark/>
          </w:tcPr>
          <w:p w14:paraId="13C699D2" w14:textId="77777777" w:rsidR="00600EE8" w:rsidRPr="00600EE8" w:rsidRDefault="00600EE8" w:rsidP="00600EE8">
            <w:pPr>
              <w:jc w:val="center"/>
              <w:rPr>
                <w:b/>
                <w:bCs/>
                <w:sz w:val="16"/>
                <w:szCs w:val="16"/>
                <w:lang w:val="en-GB" w:eastAsia="ja-JP"/>
              </w:rPr>
            </w:pPr>
            <w:r w:rsidRPr="00600EE8">
              <w:rPr>
                <w:b/>
                <w:bCs/>
                <w:sz w:val="16"/>
                <w:szCs w:val="16"/>
                <w:lang w:val="en-GB" w:eastAsia="ja-JP"/>
              </w:rPr>
              <w:t>Type</w:t>
            </w:r>
          </w:p>
        </w:tc>
        <w:tc>
          <w:tcPr>
            <w:tcW w:w="0" w:type="auto"/>
            <w:vAlign w:val="center"/>
            <w:hideMark/>
          </w:tcPr>
          <w:p w14:paraId="4507D046" w14:textId="77777777" w:rsidR="00600EE8" w:rsidRPr="00600EE8" w:rsidRDefault="00600EE8" w:rsidP="00600EE8">
            <w:pPr>
              <w:jc w:val="center"/>
              <w:rPr>
                <w:b/>
                <w:bCs/>
                <w:sz w:val="16"/>
                <w:szCs w:val="16"/>
                <w:lang w:val="en-GB" w:eastAsia="ja-JP"/>
              </w:rPr>
            </w:pPr>
            <w:r w:rsidRPr="00600EE8">
              <w:rPr>
                <w:b/>
                <w:bCs/>
                <w:sz w:val="16"/>
                <w:szCs w:val="16"/>
                <w:lang w:val="en-GB" w:eastAsia="ja-JP"/>
              </w:rPr>
              <w:t>Strategies</w:t>
            </w:r>
          </w:p>
        </w:tc>
        <w:tc>
          <w:tcPr>
            <w:tcW w:w="0" w:type="auto"/>
            <w:vAlign w:val="center"/>
            <w:hideMark/>
          </w:tcPr>
          <w:p w14:paraId="57CDF61A" w14:textId="77777777" w:rsidR="00600EE8" w:rsidRPr="00600EE8" w:rsidRDefault="00600EE8" w:rsidP="00600EE8">
            <w:pPr>
              <w:jc w:val="center"/>
              <w:rPr>
                <w:b/>
                <w:bCs/>
                <w:sz w:val="16"/>
                <w:szCs w:val="16"/>
                <w:lang w:val="en-GB" w:eastAsia="ja-JP"/>
              </w:rPr>
            </w:pPr>
            <w:r w:rsidRPr="00600EE8">
              <w:rPr>
                <w:b/>
                <w:bCs/>
                <w:sz w:val="16"/>
                <w:szCs w:val="16"/>
                <w:lang w:val="en-GB" w:eastAsia="ja-JP"/>
              </w:rPr>
              <w:t>Recruiter Details</w:t>
            </w:r>
          </w:p>
        </w:tc>
        <w:tc>
          <w:tcPr>
            <w:tcW w:w="0" w:type="auto"/>
            <w:vAlign w:val="center"/>
            <w:hideMark/>
          </w:tcPr>
          <w:p w14:paraId="13673A23" w14:textId="77777777" w:rsidR="00600EE8" w:rsidRPr="00600EE8" w:rsidRDefault="00600EE8" w:rsidP="00600EE8">
            <w:pPr>
              <w:jc w:val="center"/>
              <w:rPr>
                <w:b/>
                <w:bCs/>
                <w:sz w:val="16"/>
                <w:szCs w:val="16"/>
                <w:lang w:val="en-GB" w:eastAsia="ja-JP"/>
              </w:rPr>
            </w:pPr>
            <w:r w:rsidRPr="00600EE8">
              <w:rPr>
                <w:b/>
                <w:bCs/>
                <w:sz w:val="16"/>
                <w:szCs w:val="16"/>
                <w:lang w:val="en-GB" w:eastAsia="ja-JP"/>
              </w:rPr>
              <w:t>Rate per Month</w:t>
            </w:r>
          </w:p>
        </w:tc>
        <w:tc>
          <w:tcPr>
            <w:tcW w:w="0" w:type="auto"/>
            <w:vAlign w:val="center"/>
            <w:hideMark/>
          </w:tcPr>
          <w:p w14:paraId="7A2DF966" w14:textId="77777777" w:rsidR="00600EE8" w:rsidRPr="00600EE8" w:rsidRDefault="00600EE8" w:rsidP="00600EE8">
            <w:pPr>
              <w:jc w:val="center"/>
              <w:rPr>
                <w:b/>
                <w:bCs/>
                <w:sz w:val="16"/>
                <w:szCs w:val="16"/>
                <w:lang w:val="en-GB" w:eastAsia="ja-JP"/>
              </w:rPr>
            </w:pPr>
            <w:r w:rsidRPr="00600EE8">
              <w:rPr>
                <w:b/>
                <w:bCs/>
                <w:sz w:val="16"/>
                <w:szCs w:val="16"/>
                <w:lang w:val="en-GB" w:eastAsia="ja-JP"/>
              </w:rPr>
              <w:t>Period (months)</w:t>
            </w:r>
          </w:p>
        </w:tc>
        <w:tc>
          <w:tcPr>
            <w:tcW w:w="0" w:type="auto"/>
            <w:vAlign w:val="center"/>
            <w:hideMark/>
          </w:tcPr>
          <w:p w14:paraId="50C5B018" w14:textId="77777777" w:rsidR="00600EE8" w:rsidRPr="00600EE8" w:rsidRDefault="00600EE8" w:rsidP="00600EE8">
            <w:pPr>
              <w:jc w:val="center"/>
              <w:rPr>
                <w:b/>
                <w:bCs/>
                <w:sz w:val="16"/>
                <w:szCs w:val="16"/>
                <w:lang w:val="en-GB" w:eastAsia="ja-JP"/>
              </w:rPr>
            </w:pPr>
            <w:r w:rsidRPr="00600EE8">
              <w:rPr>
                <w:b/>
                <w:bCs/>
                <w:sz w:val="16"/>
                <w:szCs w:val="16"/>
                <w:lang w:val="en-GB" w:eastAsia="ja-JP"/>
              </w:rPr>
              <w:t>Conversion of Eligible to Enrolled</w:t>
            </w:r>
          </w:p>
        </w:tc>
        <w:tc>
          <w:tcPr>
            <w:tcW w:w="0" w:type="auto"/>
            <w:vAlign w:val="center"/>
            <w:hideMark/>
          </w:tcPr>
          <w:p w14:paraId="4B01743E" w14:textId="77777777" w:rsidR="00600EE8" w:rsidRPr="00600EE8" w:rsidRDefault="00600EE8" w:rsidP="00600EE8">
            <w:pPr>
              <w:jc w:val="center"/>
              <w:rPr>
                <w:b/>
                <w:bCs/>
                <w:sz w:val="16"/>
                <w:szCs w:val="16"/>
                <w:lang w:val="en-GB" w:eastAsia="ja-JP"/>
              </w:rPr>
            </w:pPr>
            <w:r w:rsidRPr="00600EE8">
              <w:rPr>
                <w:b/>
                <w:bCs/>
                <w:sz w:val="16"/>
                <w:szCs w:val="16"/>
                <w:lang w:val="en-GB" w:eastAsia="ja-JP"/>
              </w:rPr>
              <w:t>Attrition Rate</w:t>
            </w:r>
          </w:p>
        </w:tc>
        <w:tc>
          <w:tcPr>
            <w:tcW w:w="0" w:type="auto"/>
            <w:vAlign w:val="center"/>
            <w:hideMark/>
          </w:tcPr>
          <w:p w14:paraId="11D53B1A" w14:textId="77777777" w:rsidR="00600EE8" w:rsidRPr="00600EE8" w:rsidRDefault="00600EE8" w:rsidP="00600EE8">
            <w:pPr>
              <w:jc w:val="center"/>
              <w:rPr>
                <w:b/>
                <w:bCs/>
                <w:sz w:val="16"/>
                <w:szCs w:val="16"/>
                <w:lang w:val="en-GB" w:eastAsia="ja-JP"/>
              </w:rPr>
            </w:pPr>
            <w:r w:rsidRPr="00600EE8">
              <w:rPr>
                <w:b/>
                <w:bCs/>
                <w:sz w:val="16"/>
                <w:szCs w:val="16"/>
                <w:lang w:val="en-GB" w:eastAsia="ja-JP"/>
              </w:rPr>
              <w:t>Consent Details</w:t>
            </w:r>
          </w:p>
        </w:tc>
      </w:tr>
      <w:tr w:rsidR="00600EE8" w:rsidRPr="00600EE8" w14:paraId="611AF30C" w14:textId="77777777" w:rsidTr="00600EE8">
        <w:trPr>
          <w:tblCellSpacing w:w="15" w:type="dxa"/>
        </w:trPr>
        <w:tc>
          <w:tcPr>
            <w:tcW w:w="0" w:type="auto"/>
            <w:vAlign w:val="center"/>
            <w:hideMark/>
          </w:tcPr>
          <w:p w14:paraId="5C6AD03F" w14:textId="101104B6" w:rsidR="00600EE8" w:rsidRPr="00600EE8" w:rsidRDefault="00600EE8" w:rsidP="00600EE8">
            <w:pPr>
              <w:rPr>
                <w:sz w:val="16"/>
                <w:szCs w:val="16"/>
                <w:lang w:val="en-GB" w:eastAsia="ja-JP"/>
              </w:rPr>
            </w:pPr>
            <w:r w:rsidRPr="00600EE8">
              <w:rPr>
                <w:sz w:val="16"/>
                <w:szCs w:val="16"/>
                <w:lang w:val="en-GB" w:eastAsia="ja-JP"/>
              </w:rPr>
              <w:t>Baker et al. (2012) </w:t>
            </w:r>
          </w:p>
        </w:tc>
        <w:tc>
          <w:tcPr>
            <w:tcW w:w="0" w:type="auto"/>
            <w:vAlign w:val="center"/>
            <w:hideMark/>
          </w:tcPr>
          <w:p w14:paraId="08C3D988" w14:textId="77777777" w:rsidR="00600EE8" w:rsidRPr="00600EE8" w:rsidRDefault="00600EE8" w:rsidP="00600EE8">
            <w:pPr>
              <w:rPr>
                <w:sz w:val="16"/>
                <w:szCs w:val="16"/>
                <w:lang w:val="en-GB" w:eastAsia="ja-JP"/>
              </w:rPr>
            </w:pPr>
            <w:r w:rsidRPr="00600EE8">
              <w:rPr>
                <w:sz w:val="16"/>
                <w:szCs w:val="16"/>
                <w:lang w:val="en-GB" w:eastAsia="ja-JP"/>
              </w:rPr>
              <w:t>5 dyads </w:t>
            </w:r>
          </w:p>
        </w:tc>
        <w:tc>
          <w:tcPr>
            <w:tcW w:w="0" w:type="auto"/>
            <w:vAlign w:val="center"/>
            <w:hideMark/>
          </w:tcPr>
          <w:p w14:paraId="5C7CE54F" w14:textId="77777777" w:rsidR="00600EE8" w:rsidRPr="00600EE8" w:rsidRDefault="00600EE8" w:rsidP="00600EE8">
            <w:pPr>
              <w:rPr>
                <w:sz w:val="16"/>
                <w:szCs w:val="16"/>
                <w:lang w:val="en-GB" w:eastAsia="ja-JP"/>
              </w:rPr>
            </w:pPr>
            <w:r w:rsidRPr="00600EE8">
              <w:rPr>
                <w:sz w:val="16"/>
                <w:szCs w:val="16"/>
                <w:lang w:val="en-GB" w:eastAsia="ja-JP"/>
              </w:rPr>
              <w:t>Quasi-experimental, single group </w:t>
            </w:r>
          </w:p>
        </w:tc>
        <w:tc>
          <w:tcPr>
            <w:tcW w:w="0" w:type="auto"/>
            <w:vAlign w:val="center"/>
            <w:hideMark/>
          </w:tcPr>
          <w:p w14:paraId="3E75FCAA" w14:textId="77777777" w:rsidR="00600EE8" w:rsidRPr="00600EE8" w:rsidRDefault="00600EE8" w:rsidP="00600EE8">
            <w:pPr>
              <w:rPr>
                <w:sz w:val="16"/>
                <w:szCs w:val="16"/>
                <w:lang w:val="en-GB" w:eastAsia="ja-JP"/>
              </w:rPr>
            </w:pPr>
            <w:r w:rsidRPr="00600EE8">
              <w:rPr>
                <w:sz w:val="16"/>
                <w:szCs w:val="16"/>
                <w:lang w:val="en-GB" w:eastAsia="ja-JP"/>
              </w:rPr>
              <w:t>3× weekly, 6 weeks </w:t>
            </w:r>
          </w:p>
        </w:tc>
        <w:tc>
          <w:tcPr>
            <w:tcW w:w="0" w:type="auto"/>
            <w:vAlign w:val="center"/>
            <w:hideMark/>
          </w:tcPr>
          <w:p w14:paraId="4F6ACDFD" w14:textId="77777777" w:rsidR="00600EE8" w:rsidRPr="00600EE8" w:rsidRDefault="00600EE8" w:rsidP="00600EE8">
            <w:pPr>
              <w:rPr>
                <w:sz w:val="16"/>
                <w:szCs w:val="16"/>
                <w:lang w:val="en-GB" w:eastAsia="ja-JP"/>
              </w:rPr>
            </w:pPr>
            <w:r w:rsidRPr="00600EE8">
              <w:rPr>
                <w:sz w:val="16"/>
                <w:szCs w:val="16"/>
                <w:lang w:val="en-GB" w:eastAsia="ja-JP"/>
              </w:rPr>
              <w:t>Individual </w:t>
            </w:r>
          </w:p>
        </w:tc>
        <w:tc>
          <w:tcPr>
            <w:tcW w:w="0" w:type="auto"/>
            <w:vAlign w:val="center"/>
            <w:hideMark/>
          </w:tcPr>
          <w:p w14:paraId="4F6D40A5" w14:textId="77777777" w:rsidR="00600EE8" w:rsidRPr="00600EE8" w:rsidRDefault="00600EE8" w:rsidP="00600EE8">
            <w:pPr>
              <w:rPr>
                <w:sz w:val="16"/>
                <w:szCs w:val="16"/>
                <w:lang w:val="en-GB" w:eastAsia="ja-JP"/>
              </w:rPr>
            </w:pPr>
            <w:r w:rsidRPr="00600EE8">
              <w:rPr>
                <w:sz w:val="16"/>
                <w:szCs w:val="16"/>
                <w:lang w:val="en-GB" w:eastAsia="ja-JP"/>
              </w:rPr>
              <w:t>Information sessions at support groups, advertisements, articles in aging-related newspapers, referral from community workers </w:t>
            </w:r>
          </w:p>
        </w:tc>
        <w:tc>
          <w:tcPr>
            <w:tcW w:w="0" w:type="auto"/>
            <w:vAlign w:val="center"/>
            <w:hideMark/>
          </w:tcPr>
          <w:p w14:paraId="2D55DCB3" w14:textId="77777777" w:rsidR="00600EE8" w:rsidRPr="00600EE8" w:rsidRDefault="00600EE8" w:rsidP="00600EE8">
            <w:pPr>
              <w:rPr>
                <w:sz w:val="16"/>
                <w:szCs w:val="16"/>
                <w:lang w:val="en-GB" w:eastAsia="ja-JP"/>
              </w:rPr>
            </w:pPr>
            <w:r w:rsidRPr="00600EE8">
              <w:rPr>
                <w:sz w:val="16"/>
                <w:szCs w:val="16"/>
                <w:lang w:val="en-GB" w:eastAsia="ja-JP"/>
              </w:rPr>
              <w:t>Researchers </w:t>
            </w:r>
          </w:p>
        </w:tc>
        <w:tc>
          <w:tcPr>
            <w:tcW w:w="0" w:type="auto"/>
            <w:vAlign w:val="center"/>
            <w:hideMark/>
          </w:tcPr>
          <w:p w14:paraId="520081F0"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7885B5E4"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3C9FE6A3"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5D5FC9F7"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3ED3DEE6" w14:textId="77777777" w:rsidR="00600EE8" w:rsidRPr="00600EE8" w:rsidRDefault="00600EE8" w:rsidP="00600EE8">
            <w:pPr>
              <w:rPr>
                <w:sz w:val="16"/>
                <w:szCs w:val="16"/>
                <w:lang w:val="en-GB" w:eastAsia="ja-JP"/>
              </w:rPr>
            </w:pPr>
            <w:r w:rsidRPr="00600EE8">
              <w:rPr>
                <w:sz w:val="16"/>
                <w:szCs w:val="16"/>
                <w:lang w:val="en-GB" w:eastAsia="ja-JP"/>
              </w:rPr>
              <w:t>Self-consent </w:t>
            </w:r>
          </w:p>
        </w:tc>
      </w:tr>
      <w:tr w:rsidR="00600EE8" w:rsidRPr="00600EE8" w14:paraId="6CE3A018" w14:textId="77777777" w:rsidTr="00600EE8">
        <w:trPr>
          <w:tblCellSpacing w:w="15" w:type="dxa"/>
        </w:trPr>
        <w:tc>
          <w:tcPr>
            <w:tcW w:w="0" w:type="auto"/>
            <w:vAlign w:val="center"/>
            <w:hideMark/>
          </w:tcPr>
          <w:p w14:paraId="61EAF6DD" w14:textId="11F1E641" w:rsidR="00600EE8" w:rsidRPr="00600EE8" w:rsidRDefault="00600EE8" w:rsidP="00600EE8">
            <w:pPr>
              <w:rPr>
                <w:sz w:val="16"/>
                <w:szCs w:val="16"/>
                <w:lang w:val="en-GB" w:eastAsia="ja-JP"/>
              </w:rPr>
            </w:pPr>
            <w:r w:rsidRPr="00600EE8">
              <w:rPr>
                <w:sz w:val="16"/>
                <w:szCs w:val="16"/>
                <w:lang w:val="en-GB" w:eastAsia="ja-JP"/>
              </w:rPr>
              <w:t>Baker et al. (2018) </w:t>
            </w:r>
          </w:p>
        </w:tc>
        <w:tc>
          <w:tcPr>
            <w:tcW w:w="0" w:type="auto"/>
            <w:vAlign w:val="center"/>
            <w:hideMark/>
          </w:tcPr>
          <w:p w14:paraId="0E0D5E85" w14:textId="77777777" w:rsidR="00600EE8" w:rsidRPr="00600EE8" w:rsidRDefault="00600EE8" w:rsidP="00600EE8">
            <w:pPr>
              <w:rPr>
                <w:sz w:val="16"/>
                <w:szCs w:val="16"/>
                <w:lang w:val="en-GB" w:eastAsia="ja-JP"/>
              </w:rPr>
            </w:pPr>
            <w:r w:rsidRPr="00600EE8">
              <w:rPr>
                <w:sz w:val="16"/>
                <w:szCs w:val="16"/>
                <w:lang w:val="en-GB" w:eastAsia="ja-JP"/>
              </w:rPr>
              <w:t>14 carers </w:t>
            </w:r>
          </w:p>
        </w:tc>
        <w:tc>
          <w:tcPr>
            <w:tcW w:w="0" w:type="auto"/>
            <w:vAlign w:val="center"/>
            <w:hideMark/>
          </w:tcPr>
          <w:p w14:paraId="31EFCCD0" w14:textId="77777777" w:rsidR="00600EE8" w:rsidRPr="00600EE8" w:rsidRDefault="00600EE8" w:rsidP="00600EE8">
            <w:pPr>
              <w:rPr>
                <w:sz w:val="16"/>
                <w:szCs w:val="16"/>
                <w:lang w:val="en-GB" w:eastAsia="ja-JP"/>
              </w:rPr>
            </w:pPr>
            <w:r w:rsidRPr="00600EE8">
              <w:rPr>
                <w:sz w:val="16"/>
                <w:szCs w:val="16"/>
                <w:lang w:val="en-GB" w:eastAsia="ja-JP"/>
              </w:rPr>
              <w:t>Mixed methods, nonrandomized, single group </w:t>
            </w:r>
          </w:p>
        </w:tc>
        <w:tc>
          <w:tcPr>
            <w:tcW w:w="0" w:type="auto"/>
            <w:vAlign w:val="center"/>
            <w:hideMark/>
          </w:tcPr>
          <w:p w14:paraId="57911FC1" w14:textId="77777777" w:rsidR="00600EE8" w:rsidRPr="00600EE8" w:rsidRDefault="00600EE8" w:rsidP="00600EE8">
            <w:pPr>
              <w:rPr>
                <w:sz w:val="16"/>
                <w:szCs w:val="16"/>
                <w:lang w:val="en-GB" w:eastAsia="ja-JP"/>
              </w:rPr>
            </w:pPr>
            <w:r w:rsidRPr="00600EE8">
              <w:rPr>
                <w:sz w:val="16"/>
                <w:szCs w:val="16"/>
                <w:lang w:val="en-GB" w:eastAsia="ja-JP"/>
              </w:rPr>
              <w:t>Weekly, 60 min, 6 weeks </w:t>
            </w:r>
          </w:p>
        </w:tc>
        <w:tc>
          <w:tcPr>
            <w:tcW w:w="0" w:type="auto"/>
            <w:vAlign w:val="center"/>
            <w:hideMark/>
          </w:tcPr>
          <w:p w14:paraId="757C00EF" w14:textId="77777777" w:rsidR="00600EE8" w:rsidRPr="00600EE8" w:rsidRDefault="00600EE8" w:rsidP="00600EE8">
            <w:pPr>
              <w:rPr>
                <w:sz w:val="16"/>
                <w:szCs w:val="16"/>
                <w:lang w:val="en-GB" w:eastAsia="ja-JP"/>
              </w:rPr>
            </w:pPr>
            <w:r w:rsidRPr="00600EE8">
              <w:rPr>
                <w:sz w:val="16"/>
                <w:szCs w:val="16"/>
                <w:lang w:val="en-GB" w:eastAsia="ja-JP"/>
              </w:rPr>
              <w:t>Group </w:t>
            </w:r>
          </w:p>
        </w:tc>
        <w:tc>
          <w:tcPr>
            <w:tcW w:w="0" w:type="auto"/>
            <w:vAlign w:val="center"/>
            <w:hideMark/>
          </w:tcPr>
          <w:p w14:paraId="313CB827" w14:textId="77777777" w:rsidR="00600EE8" w:rsidRPr="00600EE8" w:rsidRDefault="00600EE8" w:rsidP="00600EE8">
            <w:pPr>
              <w:rPr>
                <w:sz w:val="16"/>
                <w:szCs w:val="16"/>
                <w:lang w:val="en-GB" w:eastAsia="ja-JP"/>
              </w:rPr>
            </w:pPr>
            <w:r w:rsidRPr="00600EE8">
              <w:rPr>
                <w:sz w:val="16"/>
                <w:szCs w:val="16"/>
                <w:lang w:val="en-GB" w:eastAsia="ja-JP"/>
              </w:rPr>
              <w:t>Contacted carers by phone or in person to invite them prior to providing written PLS and obtaining consent </w:t>
            </w:r>
          </w:p>
        </w:tc>
        <w:tc>
          <w:tcPr>
            <w:tcW w:w="0" w:type="auto"/>
            <w:vAlign w:val="center"/>
            <w:hideMark/>
          </w:tcPr>
          <w:p w14:paraId="0171763B" w14:textId="77777777" w:rsidR="00600EE8" w:rsidRPr="00600EE8" w:rsidRDefault="00600EE8" w:rsidP="00600EE8">
            <w:pPr>
              <w:rPr>
                <w:sz w:val="16"/>
                <w:szCs w:val="16"/>
                <w:lang w:val="en-GB" w:eastAsia="ja-JP"/>
              </w:rPr>
            </w:pPr>
            <w:r w:rsidRPr="00600EE8">
              <w:rPr>
                <w:sz w:val="16"/>
                <w:szCs w:val="16"/>
                <w:lang w:val="en-GB" w:eastAsia="ja-JP"/>
              </w:rPr>
              <w:t>Day center manager </w:t>
            </w:r>
          </w:p>
        </w:tc>
        <w:tc>
          <w:tcPr>
            <w:tcW w:w="0" w:type="auto"/>
            <w:vAlign w:val="center"/>
            <w:hideMark/>
          </w:tcPr>
          <w:p w14:paraId="78D1628A" w14:textId="77777777" w:rsidR="00600EE8" w:rsidRPr="00600EE8" w:rsidRDefault="00600EE8" w:rsidP="00600EE8">
            <w:pPr>
              <w:rPr>
                <w:sz w:val="16"/>
                <w:szCs w:val="16"/>
                <w:lang w:val="en-GB" w:eastAsia="ja-JP"/>
              </w:rPr>
            </w:pPr>
            <w:r w:rsidRPr="00600EE8">
              <w:rPr>
                <w:sz w:val="16"/>
                <w:szCs w:val="16"/>
                <w:lang w:val="en-GB" w:eastAsia="ja-JP"/>
              </w:rPr>
              <w:t>14 </w:t>
            </w:r>
          </w:p>
        </w:tc>
        <w:tc>
          <w:tcPr>
            <w:tcW w:w="0" w:type="auto"/>
            <w:vAlign w:val="center"/>
            <w:hideMark/>
          </w:tcPr>
          <w:p w14:paraId="13BE2F50" w14:textId="77777777" w:rsidR="00600EE8" w:rsidRPr="00600EE8" w:rsidRDefault="00600EE8" w:rsidP="00600EE8">
            <w:pPr>
              <w:rPr>
                <w:sz w:val="16"/>
                <w:szCs w:val="16"/>
                <w:lang w:val="en-GB" w:eastAsia="ja-JP"/>
              </w:rPr>
            </w:pPr>
            <w:r w:rsidRPr="00600EE8">
              <w:rPr>
                <w:sz w:val="16"/>
                <w:szCs w:val="16"/>
                <w:lang w:val="en-GB" w:eastAsia="ja-JP"/>
              </w:rPr>
              <w:t>1 </w:t>
            </w:r>
          </w:p>
        </w:tc>
        <w:tc>
          <w:tcPr>
            <w:tcW w:w="0" w:type="auto"/>
            <w:vAlign w:val="center"/>
            <w:hideMark/>
          </w:tcPr>
          <w:p w14:paraId="0229D3BA" w14:textId="77777777" w:rsidR="00600EE8" w:rsidRPr="00600EE8" w:rsidRDefault="00600EE8" w:rsidP="00600EE8">
            <w:pPr>
              <w:rPr>
                <w:sz w:val="16"/>
                <w:szCs w:val="16"/>
                <w:lang w:val="en-GB" w:eastAsia="ja-JP"/>
              </w:rPr>
            </w:pPr>
            <w:r w:rsidRPr="00600EE8">
              <w:rPr>
                <w:sz w:val="16"/>
                <w:szCs w:val="16"/>
                <w:lang w:val="en-GB" w:eastAsia="ja-JP"/>
              </w:rPr>
              <w:t>48% </w:t>
            </w:r>
          </w:p>
        </w:tc>
        <w:tc>
          <w:tcPr>
            <w:tcW w:w="0" w:type="auto"/>
            <w:vAlign w:val="center"/>
            <w:hideMark/>
          </w:tcPr>
          <w:p w14:paraId="19AC3ADF" w14:textId="77777777" w:rsidR="00600EE8" w:rsidRPr="00600EE8" w:rsidRDefault="00600EE8" w:rsidP="00600EE8">
            <w:pPr>
              <w:rPr>
                <w:sz w:val="16"/>
                <w:szCs w:val="16"/>
                <w:lang w:val="en-GB" w:eastAsia="ja-JP"/>
              </w:rPr>
            </w:pPr>
            <w:r w:rsidRPr="00600EE8">
              <w:rPr>
                <w:sz w:val="16"/>
                <w:szCs w:val="16"/>
                <w:lang w:val="en-GB" w:eastAsia="ja-JP"/>
              </w:rPr>
              <w:t>0 </w:t>
            </w:r>
          </w:p>
        </w:tc>
        <w:tc>
          <w:tcPr>
            <w:tcW w:w="0" w:type="auto"/>
            <w:vAlign w:val="center"/>
            <w:hideMark/>
          </w:tcPr>
          <w:p w14:paraId="7F5B4E9C" w14:textId="77777777" w:rsidR="00600EE8" w:rsidRPr="00600EE8" w:rsidRDefault="00600EE8" w:rsidP="00600EE8">
            <w:pPr>
              <w:rPr>
                <w:sz w:val="16"/>
                <w:szCs w:val="16"/>
                <w:lang w:val="en-GB" w:eastAsia="ja-JP"/>
              </w:rPr>
            </w:pPr>
            <w:r w:rsidRPr="00600EE8">
              <w:rPr>
                <w:sz w:val="16"/>
                <w:szCs w:val="16"/>
                <w:lang w:val="en-GB" w:eastAsia="ja-JP"/>
              </w:rPr>
              <w:t>Written self-consent </w:t>
            </w:r>
          </w:p>
        </w:tc>
      </w:tr>
      <w:tr w:rsidR="00600EE8" w:rsidRPr="00600EE8" w14:paraId="6B83B5EE" w14:textId="77777777" w:rsidTr="00600EE8">
        <w:trPr>
          <w:tblCellSpacing w:w="15" w:type="dxa"/>
        </w:trPr>
        <w:tc>
          <w:tcPr>
            <w:tcW w:w="0" w:type="auto"/>
            <w:vAlign w:val="center"/>
            <w:hideMark/>
          </w:tcPr>
          <w:p w14:paraId="7381A86F" w14:textId="109051D2" w:rsidR="00600EE8" w:rsidRPr="00600EE8" w:rsidRDefault="00600EE8" w:rsidP="00600EE8">
            <w:pPr>
              <w:rPr>
                <w:sz w:val="16"/>
                <w:szCs w:val="16"/>
                <w:lang w:val="en-GB" w:eastAsia="ja-JP"/>
              </w:rPr>
            </w:pPr>
            <w:r w:rsidRPr="00600EE8">
              <w:rPr>
                <w:sz w:val="16"/>
                <w:szCs w:val="16"/>
                <w:lang w:val="en-GB" w:eastAsia="ja-JP"/>
              </w:rPr>
              <w:t>Berger et al. (2004) </w:t>
            </w:r>
          </w:p>
        </w:tc>
        <w:tc>
          <w:tcPr>
            <w:tcW w:w="0" w:type="auto"/>
            <w:vAlign w:val="center"/>
            <w:hideMark/>
          </w:tcPr>
          <w:p w14:paraId="5027A3EF" w14:textId="77777777" w:rsidR="00600EE8" w:rsidRPr="00600EE8" w:rsidRDefault="00600EE8" w:rsidP="00600EE8">
            <w:pPr>
              <w:rPr>
                <w:sz w:val="16"/>
                <w:szCs w:val="16"/>
                <w:lang w:val="en-GB" w:eastAsia="ja-JP"/>
              </w:rPr>
            </w:pPr>
            <w:r w:rsidRPr="00600EE8">
              <w:rPr>
                <w:sz w:val="16"/>
                <w:szCs w:val="16"/>
                <w:lang w:val="en-GB" w:eastAsia="ja-JP"/>
              </w:rPr>
              <w:t>36 </w:t>
            </w:r>
          </w:p>
        </w:tc>
        <w:tc>
          <w:tcPr>
            <w:tcW w:w="0" w:type="auto"/>
            <w:vAlign w:val="center"/>
            <w:hideMark/>
          </w:tcPr>
          <w:p w14:paraId="1BC8DA2C" w14:textId="77777777" w:rsidR="00600EE8" w:rsidRPr="00600EE8" w:rsidRDefault="00600EE8" w:rsidP="00600EE8">
            <w:pPr>
              <w:rPr>
                <w:sz w:val="16"/>
                <w:szCs w:val="16"/>
                <w:lang w:val="en-GB" w:eastAsia="ja-JP"/>
              </w:rPr>
            </w:pPr>
            <w:r w:rsidRPr="00600EE8">
              <w:rPr>
                <w:sz w:val="16"/>
                <w:szCs w:val="16"/>
                <w:lang w:val="en-GB" w:eastAsia="ja-JP"/>
              </w:rPr>
              <w:t>Quasi-experimental, two group, matched controls </w:t>
            </w:r>
          </w:p>
        </w:tc>
        <w:tc>
          <w:tcPr>
            <w:tcW w:w="0" w:type="auto"/>
            <w:vAlign w:val="center"/>
            <w:hideMark/>
          </w:tcPr>
          <w:p w14:paraId="0366955E" w14:textId="77777777" w:rsidR="00600EE8" w:rsidRPr="00600EE8" w:rsidRDefault="00600EE8" w:rsidP="00600EE8">
            <w:pPr>
              <w:rPr>
                <w:sz w:val="16"/>
                <w:szCs w:val="16"/>
                <w:lang w:val="en-GB" w:eastAsia="ja-JP"/>
              </w:rPr>
            </w:pPr>
            <w:r w:rsidRPr="00600EE8">
              <w:rPr>
                <w:sz w:val="16"/>
                <w:szCs w:val="16"/>
                <w:lang w:val="en-GB" w:eastAsia="ja-JP"/>
              </w:rPr>
              <w:t>Weekly, 45 min, 8 weeks </w:t>
            </w:r>
          </w:p>
        </w:tc>
        <w:tc>
          <w:tcPr>
            <w:tcW w:w="0" w:type="auto"/>
            <w:vAlign w:val="center"/>
            <w:hideMark/>
          </w:tcPr>
          <w:p w14:paraId="117CE04A" w14:textId="77777777" w:rsidR="00600EE8" w:rsidRPr="00600EE8" w:rsidRDefault="00600EE8" w:rsidP="00600EE8">
            <w:pPr>
              <w:rPr>
                <w:sz w:val="16"/>
                <w:szCs w:val="16"/>
                <w:lang w:val="en-GB" w:eastAsia="ja-JP"/>
              </w:rPr>
            </w:pPr>
            <w:r w:rsidRPr="00600EE8">
              <w:rPr>
                <w:sz w:val="16"/>
                <w:szCs w:val="16"/>
                <w:lang w:val="en-GB" w:eastAsia="ja-JP"/>
              </w:rPr>
              <w:t>Group </w:t>
            </w:r>
          </w:p>
        </w:tc>
        <w:tc>
          <w:tcPr>
            <w:tcW w:w="0" w:type="auto"/>
            <w:vAlign w:val="center"/>
            <w:hideMark/>
          </w:tcPr>
          <w:p w14:paraId="7EB51FA4" w14:textId="77777777" w:rsidR="00600EE8" w:rsidRPr="00600EE8" w:rsidRDefault="00600EE8" w:rsidP="00600EE8">
            <w:pPr>
              <w:rPr>
                <w:sz w:val="16"/>
                <w:szCs w:val="16"/>
                <w:lang w:val="en-GB" w:eastAsia="ja-JP"/>
              </w:rPr>
            </w:pPr>
            <w:r w:rsidRPr="00600EE8">
              <w:rPr>
                <w:sz w:val="16"/>
                <w:szCs w:val="16"/>
                <w:lang w:val="en-GB" w:eastAsia="ja-JP"/>
              </w:rPr>
              <w:t>Recruitment on admission to clinic </w:t>
            </w:r>
          </w:p>
        </w:tc>
        <w:tc>
          <w:tcPr>
            <w:tcW w:w="0" w:type="auto"/>
            <w:vAlign w:val="center"/>
            <w:hideMark/>
          </w:tcPr>
          <w:p w14:paraId="058BCF97"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5FA794D1" w14:textId="77777777" w:rsidR="00600EE8" w:rsidRPr="00600EE8" w:rsidRDefault="00600EE8" w:rsidP="00600EE8">
            <w:pPr>
              <w:rPr>
                <w:sz w:val="16"/>
                <w:szCs w:val="16"/>
                <w:lang w:val="en-GB" w:eastAsia="ja-JP"/>
              </w:rPr>
            </w:pPr>
            <w:r w:rsidRPr="00600EE8">
              <w:rPr>
                <w:sz w:val="16"/>
                <w:szCs w:val="16"/>
                <w:lang w:val="en-GB" w:eastAsia="ja-JP"/>
              </w:rPr>
              <w:t>3 </w:t>
            </w:r>
          </w:p>
        </w:tc>
        <w:tc>
          <w:tcPr>
            <w:tcW w:w="0" w:type="auto"/>
            <w:vAlign w:val="center"/>
            <w:hideMark/>
          </w:tcPr>
          <w:p w14:paraId="3B050246" w14:textId="77777777" w:rsidR="00600EE8" w:rsidRPr="00600EE8" w:rsidRDefault="00600EE8" w:rsidP="00600EE8">
            <w:pPr>
              <w:rPr>
                <w:sz w:val="16"/>
                <w:szCs w:val="16"/>
                <w:lang w:val="en-GB" w:eastAsia="ja-JP"/>
              </w:rPr>
            </w:pPr>
            <w:r w:rsidRPr="00600EE8">
              <w:rPr>
                <w:sz w:val="16"/>
                <w:szCs w:val="16"/>
                <w:lang w:val="en-GB" w:eastAsia="ja-JP"/>
              </w:rPr>
              <w:t>12 </w:t>
            </w:r>
          </w:p>
        </w:tc>
        <w:tc>
          <w:tcPr>
            <w:tcW w:w="0" w:type="auto"/>
            <w:vAlign w:val="center"/>
            <w:hideMark/>
          </w:tcPr>
          <w:p w14:paraId="4A3503EE"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6EE4ACC1" w14:textId="77777777" w:rsidR="00600EE8" w:rsidRPr="00600EE8" w:rsidRDefault="00600EE8" w:rsidP="00600EE8">
            <w:pPr>
              <w:rPr>
                <w:sz w:val="16"/>
                <w:szCs w:val="16"/>
                <w:lang w:val="en-GB" w:eastAsia="ja-JP"/>
              </w:rPr>
            </w:pPr>
            <w:r w:rsidRPr="00600EE8">
              <w:rPr>
                <w:sz w:val="16"/>
                <w:szCs w:val="16"/>
                <w:lang w:val="en-GB" w:eastAsia="ja-JP"/>
              </w:rPr>
              <w:t>33% at 12 months, 58% at 24 months </w:t>
            </w:r>
          </w:p>
        </w:tc>
        <w:tc>
          <w:tcPr>
            <w:tcW w:w="0" w:type="auto"/>
            <w:vAlign w:val="center"/>
            <w:hideMark/>
          </w:tcPr>
          <w:p w14:paraId="55C46C83" w14:textId="77777777" w:rsidR="00600EE8" w:rsidRPr="00600EE8" w:rsidRDefault="00600EE8" w:rsidP="00600EE8">
            <w:pPr>
              <w:rPr>
                <w:sz w:val="16"/>
                <w:szCs w:val="16"/>
                <w:lang w:val="en-GB" w:eastAsia="ja-JP"/>
              </w:rPr>
            </w:pPr>
            <w:r w:rsidRPr="00600EE8">
              <w:rPr>
                <w:sz w:val="16"/>
                <w:szCs w:val="16"/>
                <w:lang w:val="en-GB" w:eastAsia="ja-JP"/>
              </w:rPr>
              <w:t>NR </w:t>
            </w:r>
          </w:p>
        </w:tc>
      </w:tr>
      <w:tr w:rsidR="00600EE8" w:rsidRPr="00600EE8" w14:paraId="66341CBA" w14:textId="77777777" w:rsidTr="00600EE8">
        <w:trPr>
          <w:tblCellSpacing w:w="15" w:type="dxa"/>
        </w:trPr>
        <w:tc>
          <w:tcPr>
            <w:tcW w:w="0" w:type="auto"/>
            <w:vAlign w:val="center"/>
            <w:hideMark/>
          </w:tcPr>
          <w:p w14:paraId="36E74B38" w14:textId="06D6904F" w:rsidR="00600EE8" w:rsidRPr="00600EE8" w:rsidRDefault="00600EE8" w:rsidP="00600EE8">
            <w:pPr>
              <w:rPr>
                <w:sz w:val="16"/>
                <w:szCs w:val="16"/>
                <w:lang w:val="en-GB" w:eastAsia="ja-JP"/>
              </w:rPr>
            </w:pPr>
            <w:r w:rsidRPr="00600EE8">
              <w:rPr>
                <w:sz w:val="16"/>
                <w:szCs w:val="16"/>
                <w:lang w:val="en-GB" w:eastAsia="ja-JP"/>
              </w:rPr>
              <w:t>Choi et al. (2009) </w:t>
            </w:r>
          </w:p>
        </w:tc>
        <w:tc>
          <w:tcPr>
            <w:tcW w:w="0" w:type="auto"/>
            <w:vAlign w:val="center"/>
            <w:hideMark/>
          </w:tcPr>
          <w:p w14:paraId="623D8293" w14:textId="77777777" w:rsidR="00600EE8" w:rsidRPr="00600EE8" w:rsidRDefault="00600EE8" w:rsidP="00600EE8">
            <w:pPr>
              <w:rPr>
                <w:sz w:val="16"/>
                <w:szCs w:val="16"/>
                <w:lang w:val="en-GB" w:eastAsia="ja-JP"/>
              </w:rPr>
            </w:pPr>
            <w:r w:rsidRPr="00600EE8">
              <w:rPr>
                <w:sz w:val="16"/>
                <w:szCs w:val="16"/>
                <w:lang w:val="en-GB" w:eastAsia="ja-JP"/>
              </w:rPr>
              <w:t>20 </w:t>
            </w:r>
          </w:p>
        </w:tc>
        <w:tc>
          <w:tcPr>
            <w:tcW w:w="0" w:type="auto"/>
            <w:vAlign w:val="center"/>
            <w:hideMark/>
          </w:tcPr>
          <w:p w14:paraId="6CC73C6F" w14:textId="77777777" w:rsidR="00600EE8" w:rsidRPr="00600EE8" w:rsidRDefault="00600EE8" w:rsidP="00600EE8">
            <w:pPr>
              <w:rPr>
                <w:sz w:val="16"/>
                <w:szCs w:val="16"/>
                <w:lang w:val="en-GB" w:eastAsia="ja-JP"/>
              </w:rPr>
            </w:pPr>
            <w:r w:rsidRPr="00600EE8">
              <w:rPr>
                <w:sz w:val="16"/>
                <w:szCs w:val="16"/>
                <w:lang w:val="en-GB" w:eastAsia="ja-JP"/>
              </w:rPr>
              <w:t>Pilot RCT </w:t>
            </w:r>
          </w:p>
        </w:tc>
        <w:tc>
          <w:tcPr>
            <w:tcW w:w="0" w:type="auto"/>
            <w:vAlign w:val="center"/>
            <w:hideMark/>
          </w:tcPr>
          <w:p w14:paraId="326651E8" w14:textId="77777777" w:rsidR="00600EE8" w:rsidRPr="00600EE8" w:rsidRDefault="00600EE8" w:rsidP="00600EE8">
            <w:pPr>
              <w:rPr>
                <w:sz w:val="16"/>
                <w:szCs w:val="16"/>
                <w:lang w:val="en-GB" w:eastAsia="ja-JP"/>
              </w:rPr>
            </w:pPr>
            <w:r w:rsidRPr="00600EE8">
              <w:rPr>
                <w:sz w:val="16"/>
                <w:szCs w:val="16"/>
                <w:lang w:val="en-GB" w:eastAsia="ja-JP"/>
              </w:rPr>
              <w:t>3× weekly, 50 min, 5 weeks </w:t>
            </w:r>
          </w:p>
        </w:tc>
        <w:tc>
          <w:tcPr>
            <w:tcW w:w="0" w:type="auto"/>
            <w:vAlign w:val="center"/>
            <w:hideMark/>
          </w:tcPr>
          <w:p w14:paraId="1A60F432" w14:textId="77777777" w:rsidR="00600EE8" w:rsidRPr="00600EE8" w:rsidRDefault="00600EE8" w:rsidP="00600EE8">
            <w:pPr>
              <w:rPr>
                <w:sz w:val="16"/>
                <w:szCs w:val="16"/>
                <w:lang w:val="en-GB" w:eastAsia="ja-JP"/>
              </w:rPr>
            </w:pPr>
            <w:r w:rsidRPr="00600EE8">
              <w:rPr>
                <w:sz w:val="16"/>
                <w:szCs w:val="16"/>
                <w:lang w:val="en-GB" w:eastAsia="ja-JP"/>
              </w:rPr>
              <w:t>Group </w:t>
            </w:r>
          </w:p>
        </w:tc>
        <w:tc>
          <w:tcPr>
            <w:tcW w:w="0" w:type="auto"/>
            <w:vAlign w:val="center"/>
            <w:hideMark/>
          </w:tcPr>
          <w:p w14:paraId="1484DD83" w14:textId="77777777" w:rsidR="00600EE8" w:rsidRPr="00600EE8" w:rsidRDefault="00600EE8" w:rsidP="00600EE8">
            <w:pPr>
              <w:rPr>
                <w:sz w:val="16"/>
                <w:szCs w:val="16"/>
                <w:lang w:val="en-GB" w:eastAsia="ja-JP"/>
              </w:rPr>
            </w:pPr>
            <w:r w:rsidRPr="00600EE8">
              <w:rPr>
                <w:sz w:val="16"/>
                <w:szCs w:val="16"/>
                <w:lang w:val="en-GB" w:eastAsia="ja-JP"/>
              </w:rPr>
              <w:t>Advertised study at site </w:t>
            </w:r>
          </w:p>
        </w:tc>
        <w:tc>
          <w:tcPr>
            <w:tcW w:w="0" w:type="auto"/>
            <w:vAlign w:val="center"/>
            <w:hideMark/>
          </w:tcPr>
          <w:p w14:paraId="483298AC"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5817CD28"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24266D19"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71340B55" w14:textId="77777777" w:rsidR="00600EE8" w:rsidRPr="00600EE8" w:rsidRDefault="00600EE8" w:rsidP="00600EE8">
            <w:pPr>
              <w:rPr>
                <w:sz w:val="16"/>
                <w:szCs w:val="16"/>
                <w:lang w:val="en-GB" w:eastAsia="ja-JP"/>
              </w:rPr>
            </w:pPr>
            <w:r w:rsidRPr="00600EE8">
              <w:rPr>
                <w:sz w:val="16"/>
                <w:szCs w:val="16"/>
                <w:lang w:val="en-GB" w:eastAsia="ja-JP"/>
              </w:rPr>
              <w:t>91% </w:t>
            </w:r>
          </w:p>
        </w:tc>
        <w:tc>
          <w:tcPr>
            <w:tcW w:w="0" w:type="auto"/>
            <w:vAlign w:val="center"/>
            <w:hideMark/>
          </w:tcPr>
          <w:p w14:paraId="74A39F02" w14:textId="77777777" w:rsidR="00600EE8" w:rsidRPr="00600EE8" w:rsidRDefault="00600EE8" w:rsidP="00600EE8">
            <w:pPr>
              <w:rPr>
                <w:sz w:val="16"/>
                <w:szCs w:val="16"/>
                <w:lang w:val="en-GB" w:eastAsia="ja-JP"/>
              </w:rPr>
            </w:pPr>
            <w:r w:rsidRPr="00600EE8">
              <w:rPr>
                <w:sz w:val="16"/>
                <w:szCs w:val="16"/>
                <w:lang w:val="en-GB" w:eastAsia="ja-JP"/>
              </w:rPr>
              <w:t>0 </w:t>
            </w:r>
          </w:p>
        </w:tc>
        <w:tc>
          <w:tcPr>
            <w:tcW w:w="0" w:type="auto"/>
            <w:vAlign w:val="center"/>
            <w:hideMark/>
          </w:tcPr>
          <w:p w14:paraId="4417F58E" w14:textId="77777777" w:rsidR="00600EE8" w:rsidRPr="00600EE8" w:rsidRDefault="00600EE8" w:rsidP="00600EE8">
            <w:pPr>
              <w:rPr>
                <w:sz w:val="16"/>
                <w:szCs w:val="16"/>
                <w:lang w:val="en-GB" w:eastAsia="ja-JP"/>
              </w:rPr>
            </w:pPr>
            <w:r w:rsidRPr="00600EE8">
              <w:rPr>
                <w:sz w:val="16"/>
                <w:szCs w:val="16"/>
                <w:lang w:val="en-GB" w:eastAsia="ja-JP"/>
              </w:rPr>
              <w:t>Written self-consent after they and their caregivers were explained the intervention, nature of dementia, and study procedures </w:t>
            </w:r>
          </w:p>
        </w:tc>
      </w:tr>
      <w:tr w:rsidR="00600EE8" w:rsidRPr="00600EE8" w14:paraId="34CFFFFF" w14:textId="77777777" w:rsidTr="00600EE8">
        <w:trPr>
          <w:tblCellSpacing w:w="15" w:type="dxa"/>
        </w:trPr>
        <w:tc>
          <w:tcPr>
            <w:tcW w:w="0" w:type="auto"/>
            <w:vAlign w:val="center"/>
            <w:hideMark/>
          </w:tcPr>
          <w:p w14:paraId="783F0B18" w14:textId="4BD3DDF4" w:rsidR="00600EE8" w:rsidRPr="00600EE8" w:rsidRDefault="00600EE8" w:rsidP="00600EE8">
            <w:pPr>
              <w:rPr>
                <w:sz w:val="16"/>
                <w:szCs w:val="16"/>
                <w:lang w:val="en-GB" w:eastAsia="ja-JP"/>
              </w:rPr>
            </w:pPr>
            <w:r w:rsidRPr="00600EE8">
              <w:rPr>
                <w:sz w:val="16"/>
                <w:szCs w:val="16"/>
                <w:lang w:val="en-GB" w:eastAsia="ja-JP"/>
              </w:rPr>
              <w:t>Clements-Cortes (2013) </w:t>
            </w:r>
          </w:p>
        </w:tc>
        <w:tc>
          <w:tcPr>
            <w:tcW w:w="0" w:type="auto"/>
            <w:vAlign w:val="center"/>
            <w:hideMark/>
          </w:tcPr>
          <w:p w14:paraId="25999DC4" w14:textId="77777777" w:rsidR="00600EE8" w:rsidRPr="00600EE8" w:rsidRDefault="00600EE8" w:rsidP="00600EE8">
            <w:pPr>
              <w:rPr>
                <w:sz w:val="16"/>
                <w:szCs w:val="16"/>
                <w:lang w:val="en-GB" w:eastAsia="ja-JP"/>
              </w:rPr>
            </w:pPr>
            <w:r w:rsidRPr="00600EE8">
              <w:rPr>
                <w:sz w:val="16"/>
                <w:szCs w:val="16"/>
                <w:lang w:val="en-GB" w:eastAsia="ja-JP"/>
              </w:rPr>
              <w:t>28 </w:t>
            </w:r>
          </w:p>
        </w:tc>
        <w:tc>
          <w:tcPr>
            <w:tcW w:w="0" w:type="auto"/>
            <w:vAlign w:val="center"/>
            <w:hideMark/>
          </w:tcPr>
          <w:p w14:paraId="11464066" w14:textId="77777777" w:rsidR="00600EE8" w:rsidRPr="00600EE8" w:rsidRDefault="00600EE8" w:rsidP="00600EE8">
            <w:pPr>
              <w:rPr>
                <w:sz w:val="16"/>
                <w:szCs w:val="16"/>
                <w:lang w:val="en-GB" w:eastAsia="ja-JP"/>
              </w:rPr>
            </w:pPr>
            <w:r w:rsidRPr="00600EE8">
              <w:rPr>
                <w:sz w:val="16"/>
                <w:szCs w:val="16"/>
                <w:lang w:val="en-GB" w:eastAsia="ja-JP"/>
              </w:rPr>
              <w:t>Single group, mixed methods, quasi-experimental </w:t>
            </w:r>
          </w:p>
        </w:tc>
        <w:tc>
          <w:tcPr>
            <w:tcW w:w="0" w:type="auto"/>
            <w:vAlign w:val="center"/>
            <w:hideMark/>
          </w:tcPr>
          <w:p w14:paraId="4F213483" w14:textId="77777777" w:rsidR="00600EE8" w:rsidRPr="00600EE8" w:rsidRDefault="00600EE8" w:rsidP="00600EE8">
            <w:pPr>
              <w:rPr>
                <w:sz w:val="16"/>
                <w:szCs w:val="16"/>
                <w:lang w:val="en-GB" w:eastAsia="ja-JP"/>
              </w:rPr>
            </w:pPr>
            <w:r w:rsidRPr="00600EE8">
              <w:rPr>
                <w:sz w:val="16"/>
                <w:szCs w:val="16"/>
                <w:lang w:val="en-GB" w:eastAsia="ja-JP"/>
              </w:rPr>
              <w:t>Weekly, 60 min, 16 weeks </w:t>
            </w:r>
          </w:p>
        </w:tc>
        <w:tc>
          <w:tcPr>
            <w:tcW w:w="0" w:type="auto"/>
            <w:vAlign w:val="center"/>
            <w:hideMark/>
          </w:tcPr>
          <w:p w14:paraId="47E86CEA" w14:textId="77777777" w:rsidR="00600EE8" w:rsidRPr="00600EE8" w:rsidRDefault="00600EE8" w:rsidP="00600EE8">
            <w:pPr>
              <w:rPr>
                <w:sz w:val="16"/>
                <w:szCs w:val="16"/>
                <w:lang w:val="en-GB" w:eastAsia="ja-JP"/>
              </w:rPr>
            </w:pPr>
            <w:r w:rsidRPr="00600EE8">
              <w:rPr>
                <w:sz w:val="16"/>
                <w:szCs w:val="16"/>
                <w:lang w:val="en-GB" w:eastAsia="ja-JP"/>
              </w:rPr>
              <w:t>Group </w:t>
            </w:r>
          </w:p>
        </w:tc>
        <w:tc>
          <w:tcPr>
            <w:tcW w:w="0" w:type="auto"/>
            <w:vAlign w:val="center"/>
            <w:hideMark/>
          </w:tcPr>
          <w:p w14:paraId="3AA7395B" w14:textId="77777777" w:rsidR="00600EE8" w:rsidRPr="00600EE8" w:rsidRDefault="00600EE8" w:rsidP="00600EE8">
            <w:pPr>
              <w:rPr>
                <w:sz w:val="16"/>
                <w:szCs w:val="16"/>
                <w:lang w:val="en-GB" w:eastAsia="ja-JP"/>
              </w:rPr>
            </w:pPr>
            <w:r w:rsidRPr="00600EE8">
              <w:rPr>
                <w:sz w:val="16"/>
                <w:szCs w:val="16"/>
                <w:lang w:val="en-GB" w:eastAsia="ja-JP"/>
              </w:rPr>
              <w:t>On-site presentation of study to potential participants. Flyers disseminated by post. Staff referral of interested people </w:t>
            </w:r>
          </w:p>
        </w:tc>
        <w:tc>
          <w:tcPr>
            <w:tcW w:w="0" w:type="auto"/>
            <w:vAlign w:val="center"/>
            <w:hideMark/>
          </w:tcPr>
          <w:p w14:paraId="3C502490" w14:textId="77777777" w:rsidR="00600EE8" w:rsidRPr="00600EE8" w:rsidRDefault="00600EE8" w:rsidP="00600EE8">
            <w:pPr>
              <w:rPr>
                <w:sz w:val="16"/>
                <w:szCs w:val="16"/>
                <w:lang w:val="en-GB" w:eastAsia="ja-JP"/>
              </w:rPr>
            </w:pPr>
            <w:r w:rsidRPr="00600EE8">
              <w:rPr>
                <w:sz w:val="16"/>
                <w:szCs w:val="16"/>
                <w:lang w:val="en-GB" w:eastAsia="ja-JP"/>
              </w:rPr>
              <w:t>Researchers and staff </w:t>
            </w:r>
          </w:p>
        </w:tc>
        <w:tc>
          <w:tcPr>
            <w:tcW w:w="0" w:type="auto"/>
            <w:vAlign w:val="center"/>
            <w:hideMark/>
          </w:tcPr>
          <w:p w14:paraId="69976D3F"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7146E7EB"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483C2100"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45CAD5F1" w14:textId="77777777" w:rsidR="00600EE8" w:rsidRPr="00600EE8" w:rsidRDefault="00600EE8" w:rsidP="00600EE8">
            <w:pPr>
              <w:rPr>
                <w:sz w:val="16"/>
                <w:szCs w:val="16"/>
                <w:lang w:val="en-GB" w:eastAsia="ja-JP"/>
              </w:rPr>
            </w:pPr>
            <w:r w:rsidRPr="00600EE8">
              <w:rPr>
                <w:sz w:val="16"/>
                <w:szCs w:val="16"/>
                <w:lang w:val="en-GB" w:eastAsia="ja-JP"/>
              </w:rPr>
              <w:t>0 </w:t>
            </w:r>
          </w:p>
        </w:tc>
        <w:tc>
          <w:tcPr>
            <w:tcW w:w="0" w:type="auto"/>
            <w:vAlign w:val="center"/>
            <w:hideMark/>
          </w:tcPr>
          <w:p w14:paraId="117E4955" w14:textId="77777777" w:rsidR="00600EE8" w:rsidRPr="00600EE8" w:rsidRDefault="00600EE8" w:rsidP="00600EE8">
            <w:pPr>
              <w:rPr>
                <w:sz w:val="16"/>
                <w:szCs w:val="16"/>
                <w:lang w:val="en-GB" w:eastAsia="ja-JP"/>
              </w:rPr>
            </w:pPr>
            <w:r w:rsidRPr="00600EE8">
              <w:rPr>
                <w:sz w:val="16"/>
                <w:szCs w:val="16"/>
                <w:lang w:val="en-GB" w:eastAsia="ja-JP"/>
              </w:rPr>
              <w:t>Written self-consent or proxy consent (substitute decision maker) + participant assent after verbal explanation and receiving letter (consent to participate or assent to participate) </w:t>
            </w:r>
          </w:p>
        </w:tc>
      </w:tr>
      <w:tr w:rsidR="00600EE8" w:rsidRPr="00600EE8" w14:paraId="124FC398" w14:textId="77777777" w:rsidTr="00600EE8">
        <w:trPr>
          <w:tblCellSpacing w:w="15" w:type="dxa"/>
        </w:trPr>
        <w:tc>
          <w:tcPr>
            <w:tcW w:w="0" w:type="auto"/>
            <w:vAlign w:val="center"/>
            <w:hideMark/>
          </w:tcPr>
          <w:p w14:paraId="2A9CA35E" w14:textId="296FBA6D" w:rsidR="00600EE8" w:rsidRPr="00600EE8" w:rsidRDefault="00600EE8" w:rsidP="00600EE8">
            <w:pPr>
              <w:rPr>
                <w:sz w:val="16"/>
                <w:szCs w:val="16"/>
                <w:lang w:val="en-GB" w:eastAsia="ja-JP"/>
              </w:rPr>
            </w:pPr>
            <w:r w:rsidRPr="00600EE8">
              <w:rPr>
                <w:sz w:val="16"/>
                <w:szCs w:val="16"/>
                <w:lang w:val="en-GB" w:eastAsia="ja-JP"/>
              </w:rPr>
              <w:t>de la Rubia Orti et al. (2018) </w:t>
            </w:r>
          </w:p>
        </w:tc>
        <w:tc>
          <w:tcPr>
            <w:tcW w:w="0" w:type="auto"/>
            <w:vAlign w:val="center"/>
            <w:hideMark/>
          </w:tcPr>
          <w:p w14:paraId="56341CCC" w14:textId="77777777" w:rsidR="00600EE8" w:rsidRPr="00600EE8" w:rsidRDefault="00600EE8" w:rsidP="00600EE8">
            <w:pPr>
              <w:rPr>
                <w:sz w:val="16"/>
                <w:szCs w:val="16"/>
                <w:lang w:val="en-GB" w:eastAsia="ja-JP"/>
              </w:rPr>
            </w:pPr>
            <w:r w:rsidRPr="00600EE8">
              <w:rPr>
                <w:sz w:val="16"/>
                <w:szCs w:val="16"/>
                <w:lang w:val="en-GB" w:eastAsia="ja-JP"/>
              </w:rPr>
              <w:t>25 </w:t>
            </w:r>
          </w:p>
        </w:tc>
        <w:tc>
          <w:tcPr>
            <w:tcW w:w="0" w:type="auto"/>
            <w:vAlign w:val="center"/>
            <w:hideMark/>
          </w:tcPr>
          <w:p w14:paraId="28419B2C" w14:textId="77777777" w:rsidR="00600EE8" w:rsidRPr="00600EE8" w:rsidRDefault="00600EE8" w:rsidP="00600EE8">
            <w:pPr>
              <w:rPr>
                <w:sz w:val="16"/>
                <w:szCs w:val="16"/>
                <w:lang w:val="en-GB" w:eastAsia="ja-JP"/>
              </w:rPr>
            </w:pPr>
            <w:r w:rsidRPr="00600EE8">
              <w:rPr>
                <w:sz w:val="16"/>
                <w:szCs w:val="16"/>
                <w:lang w:val="en-GB" w:eastAsia="ja-JP"/>
              </w:rPr>
              <w:t>Quasi-experimental, single group </w:t>
            </w:r>
          </w:p>
        </w:tc>
        <w:tc>
          <w:tcPr>
            <w:tcW w:w="0" w:type="auto"/>
            <w:vAlign w:val="center"/>
            <w:hideMark/>
          </w:tcPr>
          <w:p w14:paraId="77EAB163" w14:textId="77777777" w:rsidR="00600EE8" w:rsidRPr="00600EE8" w:rsidRDefault="00600EE8" w:rsidP="00600EE8">
            <w:pPr>
              <w:rPr>
                <w:sz w:val="16"/>
                <w:szCs w:val="16"/>
                <w:lang w:val="en-GB" w:eastAsia="ja-JP"/>
              </w:rPr>
            </w:pPr>
            <w:r w:rsidRPr="00600EE8">
              <w:rPr>
                <w:sz w:val="16"/>
                <w:szCs w:val="16"/>
                <w:lang w:val="en-GB" w:eastAsia="ja-JP"/>
              </w:rPr>
              <w:t>60 min, single session </w:t>
            </w:r>
          </w:p>
        </w:tc>
        <w:tc>
          <w:tcPr>
            <w:tcW w:w="0" w:type="auto"/>
            <w:vAlign w:val="center"/>
            <w:hideMark/>
          </w:tcPr>
          <w:p w14:paraId="01A40AF8" w14:textId="77777777" w:rsidR="00600EE8" w:rsidRPr="00600EE8" w:rsidRDefault="00600EE8" w:rsidP="00600EE8">
            <w:pPr>
              <w:rPr>
                <w:sz w:val="16"/>
                <w:szCs w:val="16"/>
                <w:lang w:val="en-GB" w:eastAsia="ja-JP"/>
              </w:rPr>
            </w:pPr>
            <w:r w:rsidRPr="00600EE8">
              <w:rPr>
                <w:sz w:val="16"/>
                <w:szCs w:val="16"/>
                <w:lang w:val="en-GB" w:eastAsia="ja-JP"/>
              </w:rPr>
              <w:t>Group </w:t>
            </w:r>
          </w:p>
        </w:tc>
        <w:tc>
          <w:tcPr>
            <w:tcW w:w="0" w:type="auto"/>
            <w:vAlign w:val="center"/>
            <w:hideMark/>
          </w:tcPr>
          <w:p w14:paraId="0D458412" w14:textId="77777777" w:rsidR="00600EE8" w:rsidRPr="00600EE8" w:rsidRDefault="00600EE8" w:rsidP="00600EE8">
            <w:pPr>
              <w:rPr>
                <w:sz w:val="16"/>
                <w:szCs w:val="16"/>
                <w:lang w:val="en-GB" w:eastAsia="ja-JP"/>
              </w:rPr>
            </w:pPr>
            <w:r w:rsidRPr="00600EE8">
              <w:rPr>
                <w:sz w:val="16"/>
                <w:szCs w:val="16"/>
                <w:lang w:val="en-GB" w:eastAsia="ja-JP"/>
              </w:rPr>
              <w:t>Staff corresponded with legal representatives </w:t>
            </w:r>
          </w:p>
        </w:tc>
        <w:tc>
          <w:tcPr>
            <w:tcW w:w="0" w:type="auto"/>
            <w:vAlign w:val="center"/>
            <w:hideMark/>
          </w:tcPr>
          <w:p w14:paraId="3EE84DF4" w14:textId="77777777" w:rsidR="00600EE8" w:rsidRPr="00600EE8" w:rsidRDefault="00600EE8" w:rsidP="00600EE8">
            <w:pPr>
              <w:rPr>
                <w:sz w:val="16"/>
                <w:szCs w:val="16"/>
                <w:lang w:val="en-GB" w:eastAsia="ja-JP"/>
              </w:rPr>
            </w:pPr>
            <w:r w:rsidRPr="00600EE8">
              <w:rPr>
                <w:sz w:val="16"/>
                <w:szCs w:val="16"/>
                <w:lang w:val="en-GB" w:eastAsia="ja-JP"/>
              </w:rPr>
              <w:t>Neurologist </w:t>
            </w:r>
          </w:p>
        </w:tc>
        <w:tc>
          <w:tcPr>
            <w:tcW w:w="0" w:type="auto"/>
            <w:vAlign w:val="center"/>
            <w:hideMark/>
          </w:tcPr>
          <w:p w14:paraId="71035D72"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2924D1CE"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04919B30"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60FB41A0"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22117204" w14:textId="77777777" w:rsidR="00600EE8" w:rsidRPr="00600EE8" w:rsidRDefault="00600EE8" w:rsidP="00600EE8">
            <w:pPr>
              <w:rPr>
                <w:sz w:val="16"/>
                <w:szCs w:val="16"/>
                <w:lang w:val="en-GB" w:eastAsia="ja-JP"/>
              </w:rPr>
            </w:pPr>
            <w:r w:rsidRPr="00600EE8">
              <w:rPr>
                <w:sz w:val="16"/>
                <w:szCs w:val="16"/>
                <w:lang w:val="en-GB" w:eastAsia="ja-JP"/>
              </w:rPr>
              <w:t>Proxy consent (legal guardians) </w:t>
            </w:r>
          </w:p>
        </w:tc>
      </w:tr>
      <w:tr w:rsidR="00600EE8" w:rsidRPr="00600EE8" w14:paraId="756F526D" w14:textId="77777777" w:rsidTr="00600EE8">
        <w:trPr>
          <w:tblCellSpacing w:w="15" w:type="dxa"/>
        </w:trPr>
        <w:tc>
          <w:tcPr>
            <w:tcW w:w="0" w:type="auto"/>
            <w:vAlign w:val="center"/>
            <w:hideMark/>
          </w:tcPr>
          <w:p w14:paraId="190F6448" w14:textId="10672948" w:rsidR="00600EE8" w:rsidRPr="00600EE8" w:rsidRDefault="00600EE8" w:rsidP="00600EE8">
            <w:pPr>
              <w:rPr>
                <w:sz w:val="16"/>
                <w:szCs w:val="16"/>
                <w:lang w:val="en-GB" w:eastAsia="ja-JP"/>
              </w:rPr>
            </w:pPr>
            <w:r w:rsidRPr="00600EE8">
              <w:rPr>
                <w:sz w:val="16"/>
                <w:szCs w:val="16"/>
                <w:lang w:val="en-GB" w:eastAsia="ja-JP"/>
              </w:rPr>
              <w:t>Garcia-Valverde et al. (2020) </w:t>
            </w:r>
          </w:p>
        </w:tc>
        <w:tc>
          <w:tcPr>
            <w:tcW w:w="0" w:type="auto"/>
            <w:vAlign w:val="center"/>
            <w:hideMark/>
          </w:tcPr>
          <w:p w14:paraId="7E86CB42" w14:textId="77777777" w:rsidR="00600EE8" w:rsidRPr="00600EE8" w:rsidRDefault="00600EE8" w:rsidP="00600EE8">
            <w:pPr>
              <w:rPr>
                <w:sz w:val="16"/>
                <w:szCs w:val="16"/>
                <w:lang w:val="en-GB" w:eastAsia="ja-JP"/>
              </w:rPr>
            </w:pPr>
            <w:r w:rsidRPr="00600EE8">
              <w:rPr>
                <w:sz w:val="16"/>
                <w:szCs w:val="16"/>
                <w:lang w:val="en-GB" w:eastAsia="ja-JP"/>
              </w:rPr>
              <w:t>31 </w:t>
            </w:r>
          </w:p>
        </w:tc>
        <w:tc>
          <w:tcPr>
            <w:tcW w:w="0" w:type="auto"/>
            <w:vAlign w:val="center"/>
            <w:hideMark/>
          </w:tcPr>
          <w:p w14:paraId="1430B085" w14:textId="77777777" w:rsidR="00600EE8" w:rsidRPr="00600EE8" w:rsidRDefault="00600EE8" w:rsidP="00600EE8">
            <w:pPr>
              <w:rPr>
                <w:sz w:val="16"/>
                <w:szCs w:val="16"/>
                <w:lang w:val="en-GB" w:eastAsia="ja-JP"/>
              </w:rPr>
            </w:pPr>
            <w:r w:rsidRPr="00600EE8">
              <w:rPr>
                <w:sz w:val="16"/>
                <w:szCs w:val="16"/>
                <w:lang w:val="en-GB" w:eastAsia="ja-JP"/>
              </w:rPr>
              <w:t>Quasi-experiment, single group with repeated measures, pre–post </w:t>
            </w:r>
          </w:p>
        </w:tc>
        <w:tc>
          <w:tcPr>
            <w:tcW w:w="0" w:type="auto"/>
            <w:vAlign w:val="center"/>
            <w:hideMark/>
          </w:tcPr>
          <w:p w14:paraId="2AF09670" w14:textId="77777777" w:rsidR="00600EE8" w:rsidRPr="00600EE8" w:rsidRDefault="00600EE8" w:rsidP="00600EE8">
            <w:pPr>
              <w:rPr>
                <w:sz w:val="16"/>
                <w:szCs w:val="16"/>
                <w:lang w:val="en-GB" w:eastAsia="ja-JP"/>
              </w:rPr>
            </w:pPr>
            <w:r w:rsidRPr="00600EE8">
              <w:rPr>
                <w:sz w:val="16"/>
                <w:szCs w:val="16"/>
                <w:lang w:val="en-GB" w:eastAsia="ja-JP"/>
              </w:rPr>
              <w:t>Weekly, 60 min, 12 weeks </w:t>
            </w:r>
          </w:p>
        </w:tc>
        <w:tc>
          <w:tcPr>
            <w:tcW w:w="0" w:type="auto"/>
            <w:vAlign w:val="center"/>
            <w:hideMark/>
          </w:tcPr>
          <w:p w14:paraId="6AC82266" w14:textId="77777777" w:rsidR="00600EE8" w:rsidRPr="00600EE8" w:rsidRDefault="00600EE8" w:rsidP="00600EE8">
            <w:pPr>
              <w:rPr>
                <w:sz w:val="16"/>
                <w:szCs w:val="16"/>
                <w:lang w:val="en-GB" w:eastAsia="ja-JP"/>
              </w:rPr>
            </w:pPr>
            <w:r w:rsidRPr="00600EE8">
              <w:rPr>
                <w:sz w:val="16"/>
                <w:szCs w:val="16"/>
                <w:lang w:val="en-GB" w:eastAsia="ja-JP"/>
              </w:rPr>
              <w:t>Group </w:t>
            </w:r>
          </w:p>
        </w:tc>
        <w:tc>
          <w:tcPr>
            <w:tcW w:w="0" w:type="auto"/>
            <w:vAlign w:val="center"/>
            <w:hideMark/>
          </w:tcPr>
          <w:p w14:paraId="1ADC897C" w14:textId="77777777" w:rsidR="00600EE8" w:rsidRPr="00600EE8" w:rsidRDefault="00600EE8" w:rsidP="00600EE8">
            <w:pPr>
              <w:rPr>
                <w:sz w:val="16"/>
                <w:szCs w:val="16"/>
                <w:lang w:val="en-GB" w:eastAsia="ja-JP"/>
              </w:rPr>
            </w:pPr>
            <w:r w:rsidRPr="00600EE8">
              <w:rPr>
                <w:sz w:val="16"/>
                <w:szCs w:val="16"/>
                <w:lang w:val="en-GB" w:eastAsia="ja-JP"/>
              </w:rPr>
              <w:t>Newsletter sent to potential participants on Dementia Association database. Interested participants contacted researchers by phone </w:t>
            </w:r>
          </w:p>
        </w:tc>
        <w:tc>
          <w:tcPr>
            <w:tcW w:w="0" w:type="auto"/>
            <w:vAlign w:val="center"/>
            <w:hideMark/>
          </w:tcPr>
          <w:p w14:paraId="19931937"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3B3B0B2D"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6328A007"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28900EDA" w14:textId="77777777" w:rsidR="00600EE8" w:rsidRPr="00600EE8" w:rsidRDefault="00600EE8" w:rsidP="00600EE8">
            <w:pPr>
              <w:rPr>
                <w:sz w:val="16"/>
                <w:szCs w:val="16"/>
                <w:lang w:val="en-GB" w:eastAsia="ja-JP"/>
              </w:rPr>
            </w:pPr>
            <w:r w:rsidRPr="00600EE8">
              <w:rPr>
                <w:sz w:val="16"/>
                <w:szCs w:val="16"/>
                <w:lang w:val="en-GB" w:eastAsia="ja-JP"/>
              </w:rPr>
              <w:t>53% </w:t>
            </w:r>
          </w:p>
        </w:tc>
        <w:tc>
          <w:tcPr>
            <w:tcW w:w="0" w:type="auto"/>
            <w:vAlign w:val="center"/>
            <w:hideMark/>
          </w:tcPr>
          <w:p w14:paraId="399680A9" w14:textId="77777777" w:rsidR="00600EE8" w:rsidRPr="00600EE8" w:rsidRDefault="00600EE8" w:rsidP="00600EE8">
            <w:pPr>
              <w:rPr>
                <w:sz w:val="16"/>
                <w:szCs w:val="16"/>
                <w:lang w:val="en-GB" w:eastAsia="ja-JP"/>
              </w:rPr>
            </w:pPr>
            <w:r w:rsidRPr="00600EE8">
              <w:rPr>
                <w:sz w:val="16"/>
                <w:szCs w:val="16"/>
                <w:lang w:val="en-GB" w:eastAsia="ja-JP"/>
              </w:rPr>
              <w:t>32% </w:t>
            </w:r>
          </w:p>
        </w:tc>
        <w:tc>
          <w:tcPr>
            <w:tcW w:w="0" w:type="auto"/>
            <w:vAlign w:val="center"/>
            <w:hideMark/>
          </w:tcPr>
          <w:p w14:paraId="5DD2A776" w14:textId="77777777" w:rsidR="00600EE8" w:rsidRPr="00600EE8" w:rsidRDefault="00600EE8" w:rsidP="00600EE8">
            <w:pPr>
              <w:rPr>
                <w:sz w:val="16"/>
                <w:szCs w:val="16"/>
                <w:lang w:val="en-GB" w:eastAsia="ja-JP"/>
              </w:rPr>
            </w:pPr>
            <w:r w:rsidRPr="00600EE8">
              <w:rPr>
                <w:sz w:val="16"/>
                <w:szCs w:val="16"/>
                <w:lang w:val="en-GB" w:eastAsia="ja-JP"/>
              </w:rPr>
              <w:t>Written self-consent </w:t>
            </w:r>
          </w:p>
        </w:tc>
      </w:tr>
      <w:tr w:rsidR="00600EE8" w:rsidRPr="00600EE8" w14:paraId="6B1C5DBF" w14:textId="77777777" w:rsidTr="00600EE8">
        <w:trPr>
          <w:tblCellSpacing w:w="15" w:type="dxa"/>
        </w:trPr>
        <w:tc>
          <w:tcPr>
            <w:tcW w:w="0" w:type="auto"/>
            <w:vAlign w:val="center"/>
            <w:hideMark/>
          </w:tcPr>
          <w:p w14:paraId="4ABA0367" w14:textId="131A9486" w:rsidR="00600EE8" w:rsidRPr="00600EE8" w:rsidRDefault="00600EE8" w:rsidP="00600EE8">
            <w:pPr>
              <w:rPr>
                <w:sz w:val="16"/>
                <w:szCs w:val="16"/>
                <w:lang w:val="en-GB" w:eastAsia="ja-JP"/>
              </w:rPr>
            </w:pPr>
            <w:r w:rsidRPr="00600EE8">
              <w:rPr>
                <w:sz w:val="16"/>
                <w:szCs w:val="16"/>
                <w:lang w:val="en-GB" w:eastAsia="ja-JP"/>
              </w:rPr>
              <w:lastRenderedPageBreak/>
              <w:t>Giovagnoli et al. (2018) </w:t>
            </w:r>
          </w:p>
        </w:tc>
        <w:tc>
          <w:tcPr>
            <w:tcW w:w="0" w:type="auto"/>
            <w:vAlign w:val="center"/>
            <w:hideMark/>
          </w:tcPr>
          <w:p w14:paraId="5D215E28" w14:textId="77777777" w:rsidR="00600EE8" w:rsidRPr="00600EE8" w:rsidRDefault="00600EE8" w:rsidP="00600EE8">
            <w:pPr>
              <w:rPr>
                <w:sz w:val="16"/>
                <w:szCs w:val="16"/>
                <w:lang w:val="en-GB" w:eastAsia="ja-JP"/>
              </w:rPr>
            </w:pPr>
            <w:r w:rsidRPr="00600EE8">
              <w:rPr>
                <w:sz w:val="16"/>
                <w:szCs w:val="16"/>
                <w:lang w:val="en-GB" w:eastAsia="ja-JP"/>
              </w:rPr>
              <w:t>45 </w:t>
            </w:r>
          </w:p>
        </w:tc>
        <w:tc>
          <w:tcPr>
            <w:tcW w:w="0" w:type="auto"/>
            <w:vAlign w:val="center"/>
            <w:hideMark/>
          </w:tcPr>
          <w:p w14:paraId="64261945" w14:textId="77777777" w:rsidR="00600EE8" w:rsidRPr="00600EE8" w:rsidRDefault="00600EE8" w:rsidP="00600EE8">
            <w:pPr>
              <w:rPr>
                <w:sz w:val="16"/>
                <w:szCs w:val="16"/>
                <w:lang w:val="en-GB" w:eastAsia="ja-JP"/>
              </w:rPr>
            </w:pPr>
            <w:r w:rsidRPr="00600EE8">
              <w:rPr>
                <w:sz w:val="16"/>
                <w:szCs w:val="16"/>
                <w:lang w:val="en-GB" w:eastAsia="ja-JP"/>
              </w:rPr>
              <w:t>RCT, parallel group </w:t>
            </w:r>
          </w:p>
        </w:tc>
        <w:tc>
          <w:tcPr>
            <w:tcW w:w="0" w:type="auto"/>
            <w:vAlign w:val="center"/>
            <w:hideMark/>
          </w:tcPr>
          <w:p w14:paraId="24A445C2" w14:textId="77777777" w:rsidR="00600EE8" w:rsidRPr="00600EE8" w:rsidRDefault="00600EE8" w:rsidP="00600EE8">
            <w:pPr>
              <w:rPr>
                <w:sz w:val="16"/>
                <w:szCs w:val="16"/>
                <w:lang w:val="en-GB" w:eastAsia="ja-JP"/>
              </w:rPr>
            </w:pPr>
            <w:r w:rsidRPr="00600EE8">
              <w:rPr>
                <w:sz w:val="16"/>
                <w:szCs w:val="16"/>
                <w:lang w:val="en-GB" w:eastAsia="ja-JP"/>
              </w:rPr>
              <w:t>2× weekly, 40 min, 24 weeks </w:t>
            </w:r>
          </w:p>
        </w:tc>
        <w:tc>
          <w:tcPr>
            <w:tcW w:w="0" w:type="auto"/>
            <w:vAlign w:val="center"/>
            <w:hideMark/>
          </w:tcPr>
          <w:p w14:paraId="4D14E736" w14:textId="77777777" w:rsidR="00600EE8" w:rsidRPr="00600EE8" w:rsidRDefault="00600EE8" w:rsidP="00600EE8">
            <w:pPr>
              <w:rPr>
                <w:sz w:val="16"/>
                <w:szCs w:val="16"/>
                <w:lang w:val="en-GB" w:eastAsia="ja-JP"/>
              </w:rPr>
            </w:pPr>
            <w:r w:rsidRPr="00600EE8">
              <w:rPr>
                <w:sz w:val="16"/>
                <w:szCs w:val="16"/>
                <w:lang w:val="en-GB" w:eastAsia="ja-JP"/>
              </w:rPr>
              <w:t>Group </w:t>
            </w:r>
          </w:p>
        </w:tc>
        <w:tc>
          <w:tcPr>
            <w:tcW w:w="0" w:type="auto"/>
            <w:vAlign w:val="center"/>
            <w:hideMark/>
          </w:tcPr>
          <w:p w14:paraId="35F6E440" w14:textId="77777777" w:rsidR="00600EE8" w:rsidRPr="00600EE8" w:rsidRDefault="00600EE8" w:rsidP="00600EE8">
            <w:pPr>
              <w:rPr>
                <w:sz w:val="16"/>
                <w:szCs w:val="16"/>
                <w:lang w:val="en-GB" w:eastAsia="ja-JP"/>
              </w:rPr>
            </w:pPr>
            <w:r w:rsidRPr="00600EE8">
              <w:rPr>
                <w:sz w:val="16"/>
                <w:szCs w:val="16"/>
                <w:lang w:val="en-GB" w:eastAsia="ja-JP"/>
              </w:rPr>
              <w:t>Former hospital patients contacted by phone and informed about the trial </w:t>
            </w:r>
          </w:p>
        </w:tc>
        <w:tc>
          <w:tcPr>
            <w:tcW w:w="0" w:type="auto"/>
            <w:vAlign w:val="center"/>
            <w:hideMark/>
          </w:tcPr>
          <w:p w14:paraId="5B9F38B9"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06500A5F" w14:textId="77777777" w:rsidR="00600EE8" w:rsidRPr="00600EE8" w:rsidRDefault="00600EE8" w:rsidP="00600EE8">
            <w:pPr>
              <w:rPr>
                <w:sz w:val="16"/>
                <w:szCs w:val="16"/>
                <w:lang w:val="en-GB" w:eastAsia="ja-JP"/>
              </w:rPr>
            </w:pPr>
            <w:r w:rsidRPr="00600EE8">
              <w:rPr>
                <w:sz w:val="16"/>
                <w:szCs w:val="16"/>
                <w:lang w:val="en-GB" w:eastAsia="ja-JP"/>
              </w:rPr>
              <w:t>5.6 </w:t>
            </w:r>
          </w:p>
        </w:tc>
        <w:tc>
          <w:tcPr>
            <w:tcW w:w="0" w:type="auto"/>
            <w:vAlign w:val="center"/>
            <w:hideMark/>
          </w:tcPr>
          <w:p w14:paraId="47AA86F9" w14:textId="77777777" w:rsidR="00600EE8" w:rsidRPr="00600EE8" w:rsidRDefault="00600EE8" w:rsidP="00600EE8">
            <w:pPr>
              <w:rPr>
                <w:sz w:val="16"/>
                <w:szCs w:val="16"/>
                <w:lang w:val="en-GB" w:eastAsia="ja-JP"/>
              </w:rPr>
            </w:pPr>
            <w:r w:rsidRPr="00600EE8">
              <w:rPr>
                <w:sz w:val="16"/>
                <w:szCs w:val="16"/>
                <w:lang w:val="en-GB" w:eastAsia="ja-JP"/>
              </w:rPr>
              <w:t>8 </w:t>
            </w:r>
          </w:p>
        </w:tc>
        <w:tc>
          <w:tcPr>
            <w:tcW w:w="0" w:type="auto"/>
            <w:vAlign w:val="center"/>
            <w:hideMark/>
          </w:tcPr>
          <w:p w14:paraId="7408DB97" w14:textId="77777777" w:rsidR="00600EE8" w:rsidRPr="00600EE8" w:rsidRDefault="00600EE8" w:rsidP="00600EE8">
            <w:pPr>
              <w:rPr>
                <w:sz w:val="16"/>
                <w:szCs w:val="16"/>
                <w:lang w:val="en-GB" w:eastAsia="ja-JP"/>
              </w:rPr>
            </w:pPr>
            <w:r w:rsidRPr="00600EE8">
              <w:rPr>
                <w:sz w:val="16"/>
                <w:szCs w:val="16"/>
                <w:lang w:val="en-GB" w:eastAsia="ja-JP"/>
              </w:rPr>
              <w:t>72% </w:t>
            </w:r>
          </w:p>
        </w:tc>
        <w:tc>
          <w:tcPr>
            <w:tcW w:w="0" w:type="auto"/>
            <w:vAlign w:val="center"/>
            <w:hideMark/>
          </w:tcPr>
          <w:p w14:paraId="12DD2798" w14:textId="77777777" w:rsidR="00600EE8" w:rsidRPr="00600EE8" w:rsidRDefault="00600EE8" w:rsidP="00600EE8">
            <w:pPr>
              <w:rPr>
                <w:sz w:val="16"/>
                <w:szCs w:val="16"/>
                <w:lang w:val="en-GB" w:eastAsia="ja-JP"/>
              </w:rPr>
            </w:pPr>
            <w:r w:rsidRPr="00600EE8">
              <w:rPr>
                <w:sz w:val="16"/>
                <w:szCs w:val="16"/>
                <w:lang w:val="en-GB" w:eastAsia="ja-JP"/>
              </w:rPr>
              <w:t>0 </w:t>
            </w:r>
          </w:p>
        </w:tc>
        <w:tc>
          <w:tcPr>
            <w:tcW w:w="0" w:type="auto"/>
            <w:vAlign w:val="center"/>
            <w:hideMark/>
          </w:tcPr>
          <w:p w14:paraId="4944AFE2" w14:textId="77777777" w:rsidR="00600EE8" w:rsidRPr="00600EE8" w:rsidRDefault="00600EE8" w:rsidP="00600EE8">
            <w:pPr>
              <w:rPr>
                <w:sz w:val="16"/>
                <w:szCs w:val="16"/>
                <w:lang w:val="en-GB" w:eastAsia="ja-JP"/>
              </w:rPr>
            </w:pPr>
            <w:r w:rsidRPr="00600EE8">
              <w:rPr>
                <w:sz w:val="16"/>
                <w:szCs w:val="16"/>
                <w:lang w:val="en-GB" w:eastAsia="ja-JP"/>
              </w:rPr>
              <w:t>Written self-consent </w:t>
            </w:r>
          </w:p>
        </w:tc>
      </w:tr>
      <w:tr w:rsidR="00600EE8" w:rsidRPr="00600EE8" w14:paraId="003172F8" w14:textId="77777777" w:rsidTr="00600EE8">
        <w:trPr>
          <w:tblCellSpacing w:w="15" w:type="dxa"/>
        </w:trPr>
        <w:tc>
          <w:tcPr>
            <w:tcW w:w="0" w:type="auto"/>
            <w:vAlign w:val="center"/>
            <w:hideMark/>
          </w:tcPr>
          <w:p w14:paraId="3A4550C3" w14:textId="5F2F67CE" w:rsidR="00600EE8" w:rsidRPr="00600EE8" w:rsidRDefault="00600EE8" w:rsidP="00600EE8">
            <w:pPr>
              <w:rPr>
                <w:sz w:val="16"/>
                <w:szCs w:val="16"/>
                <w:lang w:val="en-GB" w:eastAsia="ja-JP"/>
              </w:rPr>
            </w:pPr>
            <w:r w:rsidRPr="00600EE8">
              <w:rPr>
                <w:sz w:val="16"/>
                <w:szCs w:val="16"/>
                <w:lang w:val="en-GB" w:eastAsia="ja-JP"/>
              </w:rPr>
              <w:t>Han et al. (2010) </w:t>
            </w:r>
          </w:p>
        </w:tc>
        <w:tc>
          <w:tcPr>
            <w:tcW w:w="0" w:type="auto"/>
            <w:vAlign w:val="center"/>
            <w:hideMark/>
          </w:tcPr>
          <w:p w14:paraId="103823BB" w14:textId="77777777" w:rsidR="00600EE8" w:rsidRPr="00600EE8" w:rsidRDefault="00600EE8" w:rsidP="00600EE8">
            <w:pPr>
              <w:rPr>
                <w:sz w:val="16"/>
                <w:szCs w:val="16"/>
                <w:lang w:val="en-GB" w:eastAsia="ja-JP"/>
              </w:rPr>
            </w:pPr>
            <w:r w:rsidRPr="00600EE8">
              <w:rPr>
                <w:sz w:val="16"/>
                <w:szCs w:val="16"/>
                <w:lang w:val="en-GB" w:eastAsia="ja-JP"/>
              </w:rPr>
              <w:t>45 </w:t>
            </w:r>
          </w:p>
        </w:tc>
        <w:tc>
          <w:tcPr>
            <w:tcW w:w="0" w:type="auto"/>
            <w:vAlign w:val="center"/>
            <w:hideMark/>
          </w:tcPr>
          <w:p w14:paraId="54BF7D12" w14:textId="77777777" w:rsidR="00600EE8" w:rsidRPr="00600EE8" w:rsidRDefault="00600EE8" w:rsidP="00600EE8">
            <w:pPr>
              <w:rPr>
                <w:sz w:val="16"/>
                <w:szCs w:val="16"/>
                <w:lang w:val="en-GB" w:eastAsia="ja-JP"/>
              </w:rPr>
            </w:pPr>
            <w:r w:rsidRPr="00600EE8">
              <w:rPr>
                <w:sz w:val="16"/>
                <w:szCs w:val="16"/>
                <w:lang w:val="en-GB" w:eastAsia="ja-JP"/>
              </w:rPr>
              <w:t>Quasi-experiment, single group </w:t>
            </w:r>
          </w:p>
        </w:tc>
        <w:tc>
          <w:tcPr>
            <w:tcW w:w="0" w:type="auto"/>
            <w:vAlign w:val="center"/>
            <w:hideMark/>
          </w:tcPr>
          <w:p w14:paraId="512E07F6" w14:textId="77777777" w:rsidR="00600EE8" w:rsidRPr="00600EE8" w:rsidRDefault="00600EE8" w:rsidP="00600EE8">
            <w:pPr>
              <w:rPr>
                <w:sz w:val="16"/>
                <w:szCs w:val="16"/>
                <w:lang w:val="en-GB" w:eastAsia="ja-JP"/>
              </w:rPr>
            </w:pPr>
            <w:r w:rsidRPr="00600EE8">
              <w:rPr>
                <w:sz w:val="16"/>
                <w:szCs w:val="16"/>
                <w:lang w:val="en-GB" w:eastAsia="ja-JP"/>
              </w:rPr>
              <w:t>Weekly, 45 min, 8 weeks </w:t>
            </w:r>
          </w:p>
        </w:tc>
        <w:tc>
          <w:tcPr>
            <w:tcW w:w="0" w:type="auto"/>
            <w:vAlign w:val="center"/>
            <w:hideMark/>
          </w:tcPr>
          <w:p w14:paraId="6DF43BD6" w14:textId="77777777" w:rsidR="00600EE8" w:rsidRPr="00600EE8" w:rsidRDefault="00600EE8" w:rsidP="00600EE8">
            <w:pPr>
              <w:rPr>
                <w:sz w:val="16"/>
                <w:szCs w:val="16"/>
                <w:lang w:val="en-GB" w:eastAsia="ja-JP"/>
              </w:rPr>
            </w:pPr>
            <w:r w:rsidRPr="00600EE8">
              <w:rPr>
                <w:sz w:val="16"/>
                <w:szCs w:val="16"/>
                <w:lang w:val="en-GB" w:eastAsia="ja-JP"/>
              </w:rPr>
              <w:t>Group </w:t>
            </w:r>
          </w:p>
        </w:tc>
        <w:tc>
          <w:tcPr>
            <w:tcW w:w="0" w:type="auto"/>
            <w:vAlign w:val="center"/>
            <w:hideMark/>
          </w:tcPr>
          <w:p w14:paraId="4DA867EB" w14:textId="77777777" w:rsidR="00600EE8" w:rsidRPr="00600EE8" w:rsidRDefault="00600EE8" w:rsidP="00600EE8">
            <w:pPr>
              <w:rPr>
                <w:sz w:val="16"/>
                <w:szCs w:val="16"/>
                <w:lang w:val="en-GB" w:eastAsia="ja-JP"/>
              </w:rPr>
            </w:pPr>
            <w:r w:rsidRPr="00600EE8">
              <w:rPr>
                <w:sz w:val="16"/>
                <w:szCs w:val="16"/>
                <w:lang w:val="en-GB" w:eastAsia="ja-JP"/>
              </w:rPr>
              <w:t>Selected by staff clinic </w:t>
            </w:r>
          </w:p>
        </w:tc>
        <w:tc>
          <w:tcPr>
            <w:tcW w:w="0" w:type="auto"/>
            <w:vAlign w:val="center"/>
            <w:hideMark/>
          </w:tcPr>
          <w:p w14:paraId="50A780DB" w14:textId="77777777" w:rsidR="00600EE8" w:rsidRPr="00600EE8" w:rsidRDefault="00600EE8" w:rsidP="00600EE8">
            <w:pPr>
              <w:rPr>
                <w:sz w:val="16"/>
                <w:szCs w:val="16"/>
                <w:lang w:val="en-GB" w:eastAsia="ja-JP"/>
              </w:rPr>
            </w:pPr>
            <w:r w:rsidRPr="00600EE8">
              <w:rPr>
                <w:sz w:val="16"/>
                <w:szCs w:val="16"/>
                <w:lang w:val="en-GB" w:eastAsia="ja-JP"/>
              </w:rPr>
              <w:t>Clinic staff </w:t>
            </w:r>
          </w:p>
        </w:tc>
        <w:tc>
          <w:tcPr>
            <w:tcW w:w="0" w:type="auto"/>
            <w:vAlign w:val="center"/>
            <w:hideMark/>
          </w:tcPr>
          <w:p w14:paraId="45072D45"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3F60967E"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777A4539" w14:textId="77777777" w:rsidR="00600EE8" w:rsidRPr="00600EE8" w:rsidRDefault="00600EE8" w:rsidP="00600EE8">
            <w:pPr>
              <w:rPr>
                <w:sz w:val="16"/>
                <w:szCs w:val="16"/>
                <w:lang w:val="en-GB" w:eastAsia="ja-JP"/>
              </w:rPr>
            </w:pPr>
            <w:r w:rsidRPr="00600EE8">
              <w:rPr>
                <w:sz w:val="16"/>
                <w:szCs w:val="16"/>
                <w:lang w:val="en-GB" w:eastAsia="ja-JP"/>
              </w:rPr>
              <w:t>71% </w:t>
            </w:r>
          </w:p>
        </w:tc>
        <w:tc>
          <w:tcPr>
            <w:tcW w:w="0" w:type="auto"/>
            <w:vAlign w:val="center"/>
            <w:hideMark/>
          </w:tcPr>
          <w:p w14:paraId="28BE99AA" w14:textId="77777777" w:rsidR="00600EE8" w:rsidRPr="00600EE8" w:rsidRDefault="00600EE8" w:rsidP="00600EE8">
            <w:pPr>
              <w:rPr>
                <w:sz w:val="16"/>
                <w:szCs w:val="16"/>
                <w:lang w:val="en-GB" w:eastAsia="ja-JP"/>
              </w:rPr>
            </w:pPr>
            <w:r w:rsidRPr="00600EE8">
              <w:rPr>
                <w:sz w:val="16"/>
                <w:szCs w:val="16"/>
                <w:lang w:val="en-GB" w:eastAsia="ja-JP"/>
              </w:rPr>
              <w:t>4% </w:t>
            </w:r>
          </w:p>
        </w:tc>
        <w:tc>
          <w:tcPr>
            <w:tcW w:w="0" w:type="auto"/>
            <w:vAlign w:val="center"/>
            <w:hideMark/>
          </w:tcPr>
          <w:p w14:paraId="3319CF46" w14:textId="77777777" w:rsidR="00600EE8" w:rsidRPr="00600EE8" w:rsidRDefault="00600EE8" w:rsidP="00600EE8">
            <w:pPr>
              <w:rPr>
                <w:sz w:val="16"/>
                <w:szCs w:val="16"/>
                <w:lang w:val="en-GB" w:eastAsia="ja-JP"/>
              </w:rPr>
            </w:pPr>
            <w:r w:rsidRPr="00600EE8">
              <w:rPr>
                <w:sz w:val="16"/>
                <w:szCs w:val="16"/>
                <w:lang w:val="en-GB" w:eastAsia="ja-JP"/>
              </w:rPr>
              <w:t>Proxy consent (family caregiver or legal representative) </w:t>
            </w:r>
          </w:p>
        </w:tc>
      </w:tr>
      <w:tr w:rsidR="00600EE8" w:rsidRPr="00600EE8" w14:paraId="4AFC1466" w14:textId="77777777" w:rsidTr="00600EE8">
        <w:trPr>
          <w:tblCellSpacing w:w="15" w:type="dxa"/>
        </w:trPr>
        <w:tc>
          <w:tcPr>
            <w:tcW w:w="0" w:type="auto"/>
            <w:vAlign w:val="center"/>
            <w:hideMark/>
          </w:tcPr>
          <w:p w14:paraId="041452F6" w14:textId="0D89DF47" w:rsidR="00600EE8" w:rsidRPr="00600EE8" w:rsidRDefault="00600EE8" w:rsidP="00600EE8">
            <w:pPr>
              <w:rPr>
                <w:sz w:val="16"/>
                <w:szCs w:val="16"/>
                <w:lang w:val="en-GB" w:eastAsia="ja-JP"/>
              </w:rPr>
            </w:pPr>
            <w:r w:rsidRPr="00600EE8">
              <w:rPr>
                <w:sz w:val="16"/>
                <w:szCs w:val="16"/>
                <w:lang w:val="en-GB" w:eastAsia="ja-JP"/>
              </w:rPr>
              <w:t>Hanser et al. (2011) </w:t>
            </w:r>
          </w:p>
        </w:tc>
        <w:tc>
          <w:tcPr>
            <w:tcW w:w="0" w:type="auto"/>
            <w:vAlign w:val="center"/>
            <w:hideMark/>
          </w:tcPr>
          <w:p w14:paraId="1ABF6A0F" w14:textId="77777777" w:rsidR="00600EE8" w:rsidRPr="00600EE8" w:rsidRDefault="00600EE8" w:rsidP="00600EE8">
            <w:pPr>
              <w:rPr>
                <w:sz w:val="16"/>
                <w:szCs w:val="16"/>
                <w:lang w:val="en-GB" w:eastAsia="ja-JP"/>
              </w:rPr>
            </w:pPr>
            <w:r w:rsidRPr="00600EE8">
              <w:rPr>
                <w:sz w:val="16"/>
                <w:szCs w:val="16"/>
                <w:lang w:val="en-GB" w:eastAsia="ja-JP"/>
              </w:rPr>
              <w:t>14 </w:t>
            </w:r>
          </w:p>
        </w:tc>
        <w:tc>
          <w:tcPr>
            <w:tcW w:w="0" w:type="auto"/>
            <w:vAlign w:val="center"/>
            <w:hideMark/>
          </w:tcPr>
          <w:p w14:paraId="3C547643" w14:textId="77777777" w:rsidR="00600EE8" w:rsidRPr="00600EE8" w:rsidRDefault="00600EE8" w:rsidP="00600EE8">
            <w:pPr>
              <w:rPr>
                <w:sz w:val="16"/>
                <w:szCs w:val="16"/>
                <w:lang w:val="en-GB" w:eastAsia="ja-JP"/>
              </w:rPr>
            </w:pPr>
            <w:r w:rsidRPr="00600EE8">
              <w:rPr>
                <w:sz w:val="16"/>
                <w:szCs w:val="16"/>
                <w:lang w:val="en-GB" w:eastAsia="ja-JP"/>
              </w:rPr>
              <w:t>Single group, multiple baseline </w:t>
            </w:r>
          </w:p>
        </w:tc>
        <w:tc>
          <w:tcPr>
            <w:tcW w:w="0" w:type="auto"/>
            <w:vAlign w:val="center"/>
            <w:hideMark/>
          </w:tcPr>
          <w:p w14:paraId="0F49AD77" w14:textId="77777777" w:rsidR="00600EE8" w:rsidRPr="00600EE8" w:rsidRDefault="00600EE8" w:rsidP="00600EE8">
            <w:pPr>
              <w:rPr>
                <w:sz w:val="16"/>
                <w:szCs w:val="16"/>
                <w:lang w:val="en-GB" w:eastAsia="ja-JP"/>
              </w:rPr>
            </w:pPr>
            <w:r w:rsidRPr="00600EE8">
              <w:rPr>
                <w:sz w:val="16"/>
                <w:szCs w:val="16"/>
                <w:lang w:val="en-GB" w:eastAsia="ja-JP"/>
              </w:rPr>
              <w:t>2-hr, single session </w:t>
            </w:r>
          </w:p>
        </w:tc>
        <w:tc>
          <w:tcPr>
            <w:tcW w:w="0" w:type="auto"/>
            <w:vAlign w:val="center"/>
            <w:hideMark/>
          </w:tcPr>
          <w:p w14:paraId="1890642E" w14:textId="77777777" w:rsidR="00600EE8" w:rsidRPr="00600EE8" w:rsidRDefault="00600EE8" w:rsidP="00600EE8">
            <w:pPr>
              <w:rPr>
                <w:sz w:val="16"/>
                <w:szCs w:val="16"/>
                <w:lang w:val="en-GB" w:eastAsia="ja-JP"/>
              </w:rPr>
            </w:pPr>
            <w:r w:rsidRPr="00600EE8">
              <w:rPr>
                <w:sz w:val="16"/>
                <w:szCs w:val="16"/>
                <w:lang w:val="en-GB" w:eastAsia="ja-JP"/>
              </w:rPr>
              <w:t>Individual </w:t>
            </w:r>
          </w:p>
        </w:tc>
        <w:tc>
          <w:tcPr>
            <w:tcW w:w="0" w:type="auto"/>
            <w:vAlign w:val="center"/>
            <w:hideMark/>
          </w:tcPr>
          <w:p w14:paraId="76600A28" w14:textId="77777777" w:rsidR="00600EE8" w:rsidRPr="00600EE8" w:rsidRDefault="00600EE8" w:rsidP="00600EE8">
            <w:pPr>
              <w:rPr>
                <w:sz w:val="16"/>
                <w:szCs w:val="16"/>
                <w:lang w:val="en-GB" w:eastAsia="ja-JP"/>
              </w:rPr>
            </w:pPr>
            <w:r w:rsidRPr="00600EE8">
              <w:rPr>
                <w:sz w:val="16"/>
                <w:szCs w:val="16"/>
                <w:lang w:val="en-GB" w:eastAsia="ja-JP"/>
              </w:rPr>
              <w:t>Selected by staff from people attending community clinic </w:t>
            </w:r>
          </w:p>
        </w:tc>
        <w:tc>
          <w:tcPr>
            <w:tcW w:w="0" w:type="auto"/>
            <w:vAlign w:val="center"/>
            <w:hideMark/>
          </w:tcPr>
          <w:p w14:paraId="5D728B61"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0E59E2FB"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29656963"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3288C944" w14:textId="77777777" w:rsidR="00600EE8" w:rsidRPr="00600EE8" w:rsidRDefault="00600EE8" w:rsidP="00600EE8">
            <w:pPr>
              <w:rPr>
                <w:sz w:val="16"/>
                <w:szCs w:val="16"/>
                <w:lang w:val="en-GB" w:eastAsia="ja-JP"/>
              </w:rPr>
            </w:pPr>
            <w:r w:rsidRPr="00600EE8">
              <w:rPr>
                <w:sz w:val="16"/>
                <w:szCs w:val="16"/>
                <w:lang w:val="en-GB" w:eastAsia="ja-JP"/>
              </w:rPr>
              <w:t>100% </w:t>
            </w:r>
          </w:p>
        </w:tc>
        <w:tc>
          <w:tcPr>
            <w:tcW w:w="0" w:type="auto"/>
            <w:vAlign w:val="center"/>
            <w:hideMark/>
          </w:tcPr>
          <w:p w14:paraId="449E086D" w14:textId="77777777" w:rsidR="00600EE8" w:rsidRPr="00600EE8" w:rsidRDefault="00600EE8" w:rsidP="00600EE8">
            <w:pPr>
              <w:rPr>
                <w:sz w:val="16"/>
                <w:szCs w:val="16"/>
                <w:lang w:val="en-GB" w:eastAsia="ja-JP"/>
              </w:rPr>
            </w:pPr>
            <w:r w:rsidRPr="00600EE8">
              <w:rPr>
                <w:sz w:val="16"/>
                <w:szCs w:val="16"/>
                <w:lang w:val="en-GB" w:eastAsia="ja-JP"/>
              </w:rPr>
              <w:t>57% </w:t>
            </w:r>
          </w:p>
        </w:tc>
        <w:tc>
          <w:tcPr>
            <w:tcW w:w="0" w:type="auto"/>
            <w:vAlign w:val="center"/>
            <w:hideMark/>
          </w:tcPr>
          <w:p w14:paraId="7DB60573" w14:textId="77777777" w:rsidR="00600EE8" w:rsidRPr="00600EE8" w:rsidRDefault="00600EE8" w:rsidP="00600EE8">
            <w:pPr>
              <w:rPr>
                <w:sz w:val="16"/>
                <w:szCs w:val="16"/>
                <w:lang w:val="en-GB" w:eastAsia="ja-JP"/>
              </w:rPr>
            </w:pPr>
            <w:r w:rsidRPr="00600EE8">
              <w:rPr>
                <w:sz w:val="16"/>
                <w:szCs w:val="16"/>
                <w:lang w:val="en-GB" w:eastAsia="ja-JP"/>
              </w:rPr>
              <w:t>Written self-consent </w:t>
            </w:r>
          </w:p>
        </w:tc>
      </w:tr>
      <w:tr w:rsidR="00600EE8" w:rsidRPr="00600EE8" w14:paraId="2FB0FE10" w14:textId="77777777" w:rsidTr="00600EE8">
        <w:trPr>
          <w:tblCellSpacing w:w="15" w:type="dxa"/>
        </w:trPr>
        <w:tc>
          <w:tcPr>
            <w:tcW w:w="0" w:type="auto"/>
            <w:vAlign w:val="center"/>
            <w:hideMark/>
          </w:tcPr>
          <w:p w14:paraId="43A75E34" w14:textId="384FF8DB" w:rsidR="00600EE8" w:rsidRPr="00600EE8" w:rsidRDefault="00600EE8" w:rsidP="00600EE8">
            <w:pPr>
              <w:rPr>
                <w:sz w:val="16"/>
                <w:szCs w:val="16"/>
                <w:lang w:val="en-GB" w:eastAsia="ja-JP"/>
              </w:rPr>
            </w:pPr>
            <w:r w:rsidRPr="00600EE8">
              <w:rPr>
                <w:sz w:val="16"/>
                <w:szCs w:val="16"/>
                <w:lang w:val="en-GB" w:eastAsia="ja-JP"/>
              </w:rPr>
              <w:t>Holden et al. (2019) </w:t>
            </w:r>
          </w:p>
        </w:tc>
        <w:tc>
          <w:tcPr>
            <w:tcW w:w="0" w:type="auto"/>
            <w:vAlign w:val="center"/>
            <w:hideMark/>
          </w:tcPr>
          <w:p w14:paraId="06D5BFDE" w14:textId="77777777" w:rsidR="00600EE8" w:rsidRPr="00600EE8" w:rsidRDefault="00600EE8" w:rsidP="00600EE8">
            <w:pPr>
              <w:rPr>
                <w:sz w:val="16"/>
                <w:szCs w:val="16"/>
                <w:lang w:val="en-GB" w:eastAsia="ja-JP"/>
              </w:rPr>
            </w:pPr>
            <w:r w:rsidRPr="00600EE8">
              <w:rPr>
                <w:sz w:val="16"/>
                <w:szCs w:val="16"/>
                <w:lang w:val="en-GB" w:eastAsia="ja-JP"/>
              </w:rPr>
              <w:t>18 </w:t>
            </w:r>
          </w:p>
        </w:tc>
        <w:tc>
          <w:tcPr>
            <w:tcW w:w="0" w:type="auto"/>
            <w:vAlign w:val="center"/>
            <w:hideMark/>
          </w:tcPr>
          <w:p w14:paraId="512E6C5B" w14:textId="77777777" w:rsidR="00600EE8" w:rsidRPr="00600EE8" w:rsidRDefault="00600EE8" w:rsidP="00600EE8">
            <w:pPr>
              <w:rPr>
                <w:sz w:val="16"/>
                <w:szCs w:val="16"/>
                <w:lang w:val="en-GB" w:eastAsia="ja-JP"/>
              </w:rPr>
            </w:pPr>
            <w:r w:rsidRPr="00600EE8">
              <w:rPr>
                <w:sz w:val="16"/>
                <w:szCs w:val="16"/>
                <w:lang w:val="en-GB" w:eastAsia="ja-JP"/>
              </w:rPr>
              <w:t>Quasi-experiment, single group, feasibility </w:t>
            </w:r>
          </w:p>
        </w:tc>
        <w:tc>
          <w:tcPr>
            <w:tcW w:w="0" w:type="auto"/>
            <w:vAlign w:val="center"/>
            <w:hideMark/>
          </w:tcPr>
          <w:p w14:paraId="7CFFCE8C" w14:textId="77777777" w:rsidR="00600EE8" w:rsidRPr="00600EE8" w:rsidRDefault="00600EE8" w:rsidP="00600EE8">
            <w:pPr>
              <w:rPr>
                <w:sz w:val="16"/>
                <w:szCs w:val="16"/>
                <w:lang w:val="en-GB" w:eastAsia="ja-JP"/>
              </w:rPr>
            </w:pPr>
            <w:r w:rsidRPr="00600EE8">
              <w:rPr>
                <w:sz w:val="16"/>
                <w:szCs w:val="16"/>
                <w:lang w:val="en-GB" w:eastAsia="ja-JP"/>
              </w:rPr>
              <w:t>Weekly, 60 min, 6 weeks </w:t>
            </w:r>
          </w:p>
        </w:tc>
        <w:tc>
          <w:tcPr>
            <w:tcW w:w="0" w:type="auto"/>
            <w:vAlign w:val="center"/>
            <w:hideMark/>
          </w:tcPr>
          <w:p w14:paraId="7CA3DBD9" w14:textId="77777777" w:rsidR="00600EE8" w:rsidRPr="00600EE8" w:rsidRDefault="00600EE8" w:rsidP="00600EE8">
            <w:pPr>
              <w:rPr>
                <w:sz w:val="16"/>
                <w:szCs w:val="16"/>
                <w:lang w:val="en-GB" w:eastAsia="ja-JP"/>
              </w:rPr>
            </w:pPr>
            <w:r w:rsidRPr="00600EE8">
              <w:rPr>
                <w:sz w:val="16"/>
                <w:szCs w:val="16"/>
                <w:lang w:val="en-GB" w:eastAsia="ja-JP"/>
              </w:rPr>
              <w:t>Individual </w:t>
            </w:r>
          </w:p>
        </w:tc>
        <w:tc>
          <w:tcPr>
            <w:tcW w:w="0" w:type="auto"/>
            <w:vAlign w:val="center"/>
            <w:hideMark/>
          </w:tcPr>
          <w:p w14:paraId="353611F0" w14:textId="77777777" w:rsidR="00600EE8" w:rsidRPr="00600EE8" w:rsidRDefault="00600EE8" w:rsidP="00600EE8">
            <w:pPr>
              <w:rPr>
                <w:sz w:val="16"/>
                <w:szCs w:val="16"/>
                <w:lang w:val="en-GB" w:eastAsia="ja-JP"/>
              </w:rPr>
            </w:pPr>
            <w:r w:rsidRPr="00600EE8">
              <w:rPr>
                <w:sz w:val="16"/>
                <w:szCs w:val="16"/>
                <w:lang w:val="en-GB" w:eastAsia="ja-JP"/>
              </w:rPr>
              <w:t>Selected by staff from people attending community clinic </w:t>
            </w:r>
          </w:p>
        </w:tc>
        <w:tc>
          <w:tcPr>
            <w:tcW w:w="0" w:type="auto"/>
            <w:vAlign w:val="center"/>
            <w:hideMark/>
          </w:tcPr>
          <w:p w14:paraId="765AF2A2"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1A1B37E0" w14:textId="77777777" w:rsidR="00600EE8" w:rsidRPr="00600EE8" w:rsidRDefault="00600EE8" w:rsidP="00600EE8">
            <w:pPr>
              <w:rPr>
                <w:sz w:val="16"/>
                <w:szCs w:val="16"/>
                <w:lang w:val="en-GB" w:eastAsia="ja-JP"/>
              </w:rPr>
            </w:pPr>
            <w:r w:rsidRPr="00600EE8">
              <w:rPr>
                <w:sz w:val="16"/>
                <w:szCs w:val="16"/>
                <w:lang w:val="en-GB" w:eastAsia="ja-JP"/>
              </w:rPr>
              <w:t>1.3 </w:t>
            </w:r>
          </w:p>
        </w:tc>
        <w:tc>
          <w:tcPr>
            <w:tcW w:w="0" w:type="auto"/>
            <w:vAlign w:val="center"/>
            <w:hideMark/>
          </w:tcPr>
          <w:p w14:paraId="213B4C24" w14:textId="77777777" w:rsidR="00600EE8" w:rsidRPr="00600EE8" w:rsidRDefault="00600EE8" w:rsidP="00600EE8">
            <w:pPr>
              <w:rPr>
                <w:sz w:val="16"/>
                <w:szCs w:val="16"/>
                <w:lang w:val="en-GB" w:eastAsia="ja-JP"/>
              </w:rPr>
            </w:pPr>
            <w:r w:rsidRPr="00600EE8">
              <w:rPr>
                <w:sz w:val="16"/>
                <w:szCs w:val="16"/>
                <w:lang w:val="en-GB" w:eastAsia="ja-JP"/>
              </w:rPr>
              <w:t>14 </w:t>
            </w:r>
          </w:p>
        </w:tc>
        <w:tc>
          <w:tcPr>
            <w:tcW w:w="0" w:type="auto"/>
            <w:vAlign w:val="center"/>
            <w:hideMark/>
          </w:tcPr>
          <w:p w14:paraId="7AE4CAA8"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363F771C" w14:textId="77777777" w:rsidR="00600EE8" w:rsidRPr="00600EE8" w:rsidRDefault="00600EE8" w:rsidP="00600EE8">
            <w:pPr>
              <w:rPr>
                <w:sz w:val="16"/>
                <w:szCs w:val="16"/>
                <w:lang w:val="en-GB" w:eastAsia="ja-JP"/>
              </w:rPr>
            </w:pPr>
            <w:r w:rsidRPr="00600EE8">
              <w:rPr>
                <w:sz w:val="16"/>
                <w:szCs w:val="16"/>
                <w:lang w:val="en-GB" w:eastAsia="ja-JP"/>
              </w:rPr>
              <w:t>50% </w:t>
            </w:r>
          </w:p>
        </w:tc>
        <w:tc>
          <w:tcPr>
            <w:tcW w:w="0" w:type="auto"/>
            <w:vAlign w:val="center"/>
            <w:hideMark/>
          </w:tcPr>
          <w:p w14:paraId="3BC92C30" w14:textId="77777777" w:rsidR="00600EE8" w:rsidRPr="00600EE8" w:rsidRDefault="00600EE8" w:rsidP="00600EE8">
            <w:pPr>
              <w:rPr>
                <w:sz w:val="16"/>
                <w:szCs w:val="16"/>
                <w:lang w:val="en-GB" w:eastAsia="ja-JP"/>
              </w:rPr>
            </w:pPr>
            <w:r w:rsidRPr="00600EE8">
              <w:rPr>
                <w:sz w:val="16"/>
                <w:szCs w:val="16"/>
                <w:lang w:val="en-GB" w:eastAsia="ja-JP"/>
              </w:rPr>
              <w:t>Written self-consent or proxy consent (caregiver) + participant verbal assent </w:t>
            </w:r>
          </w:p>
        </w:tc>
      </w:tr>
      <w:tr w:rsidR="00600EE8" w:rsidRPr="00600EE8" w14:paraId="7B9ED7D1" w14:textId="77777777" w:rsidTr="00600EE8">
        <w:trPr>
          <w:tblCellSpacing w:w="15" w:type="dxa"/>
        </w:trPr>
        <w:tc>
          <w:tcPr>
            <w:tcW w:w="0" w:type="auto"/>
            <w:vAlign w:val="center"/>
            <w:hideMark/>
          </w:tcPr>
          <w:p w14:paraId="340F705F" w14:textId="0A10FC14" w:rsidR="00600EE8" w:rsidRPr="00600EE8" w:rsidRDefault="00600EE8" w:rsidP="00600EE8">
            <w:pPr>
              <w:rPr>
                <w:sz w:val="16"/>
                <w:szCs w:val="16"/>
                <w:lang w:val="en-GB" w:eastAsia="ja-JP"/>
              </w:rPr>
            </w:pPr>
            <w:r w:rsidRPr="00600EE8">
              <w:rPr>
                <w:sz w:val="16"/>
                <w:szCs w:val="16"/>
                <w:lang w:val="en-GB" w:eastAsia="ja-JP"/>
              </w:rPr>
              <w:t>Ihara et al. (2019) </w:t>
            </w:r>
          </w:p>
        </w:tc>
        <w:tc>
          <w:tcPr>
            <w:tcW w:w="0" w:type="auto"/>
            <w:vAlign w:val="center"/>
            <w:hideMark/>
          </w:tcPr>
          <w:p w14:paraId="4F56CE11" w14:textId="77777777" w:rsidR="00600EE8" w:rsidRPr="00600EE8" w:rsidRDefault="00600EE8" w:rsidP="00600EE8">
            <w:pPr>
              <w:rPr>
                <w:sz w:val="16"/>
                <w:szCs w:val="16"/>
                <w:lang w:val="en-GB" w:eastAsia="ja-JP"/>
              </w:rPr>
            </w:pPr>
            <w:r w:rsidRPr="00600EE8">
              <w:rPr>
                <w:sz w:val="16"/>
                <w:szCs w:val="16"/>
                <w:lang w:val="en-GB" w:eastAsia="ja-JP"/>
              </w:rPr>
              <w:t>51 </w:t>
            </w:r>
          </w:p>
        </w:tc>
        <w:tc>
          <w:tcPr>
            <w:tcW w:w="0" w:type="auto"/>
            <w:vAlign w:val="center"/>
            <w:hideMark/>
          </w:tcPr>
          <w:p w14:paraId="502C4F0C" w14:textId="77777777" w:rsidR="00600EE8" w:rsidRPr="00600EE8" w:rsidRDefault="00600EE8" w:rsidP="00600EE8">
            <w:pPr>
              <w:rPr>
                <w:sz w:val="16"/>
                <w:szCs w:val="16"/>
                <w:lang w:val="en-GB" w:eastAsia="ja-JP"/>
              </w:rPr>
            </w:pPr>
            <w:r w:rsidRPr="00600EE8">
              <w:rPr>
                <w:sz w:val="16"/>
                <w:szCs w:val="16"/>
                <w:lang w:val="en-GB" w:eastAsia="ja-JP"/>
              </w:rPr>
              <w:t>Nonrandomized controlled trial, parallel group </w:t>
            </w:r>
          </w:p>
        </w:tc>
        <w:tc>
          <w:tcPr>
            <w:tcW w:w="0" w:type="auto"/>
            <w:vAlign w:val="center"/>
            <w:hideMark/>
          </w:tcPr>
          <w:p w14:paraId="4EE15647" w14:textId="77777777" w:rsidR="00600EE8" w:rsidRPr="00600EE8" w:rsidRDefault="00600EE8" w:rsidP="00600EE8">
            <w:pPr>
              <w:rPr>
                <w:sz w:val="16"/>
                <w:szCs w:val="16"/>
                <w:lang w:val="en-GB" w:eastAsia="ja-JP"/>
              </w:rPr>
            </w:pPr>
            <w:r w:rsidRPr="00600EE8">
              <w:rPr>
                <w:sz w:val="16"/>
                <w:szCs w:val="16"/>
                <w:lang w:val="en-GB" w:eastAsia="ja-JP"/>
              </w:rPr>
              <w:t>2× week, 20 min, 6 weeks </w:t>
            </w:r>
          </w:p>
        </w:tc>
        <w:tc>
          <w:tcPr>
            <w:tcW w:w="0" w:type="auto"/>
            <w:vAlign w:val="center"/>
            <w:hideMark/>
          </w:tcPr>
          <w:p w14:paraId="35B7B03E" w14:textId="77777777" w:rsidR="00600EE8" w:rsidRPr="00600EE8" w:rsidRDefault="00600EE8" w:rsidP="00600EE8">
            <w:pPr>
              <w:rPr>
                <w:sz w:val="16"/>
                <w:szCs w:val="16"/>
                <w:lang w:val="en-GB" w:eastAsia="ja-JP"/>
              </w:rPr>
            </w:pPr>
            <w:r w:rsidRPr="00600EE8">
              <w:rPr>
                <w:sz w:val="16"/>
                <w:szCs w:val="16"/>
                <w:lang w:val="en-GB" w:eastAsia="ja-JP"/>
              </w:rPr>
              <w:t>Individual </w:t>
            </w:r>
          </w:p>
        </w:tc>
        <w:tc>
          <w:tcPr>
            <w:tcW w:w="0" w:type="auto"/>
            <w:vAlign w:val="center"/>
            <w:hideMark/>
          </w:tcPr>
          <w:p w14:paraId="62F11B2E" w14:textId="77777777" w:rsidR="00600EE8" w:rsidRPr="00600EE8" w:rsidRDefault="00600EE8" w:rsidP="00600EE8">
            <w:pPr>
              <w:rPr>
                <w:sz w:val="16"/>
                <w:szCs w:val="16"/>
                <w:lang w:val="en-GB" w:eastAsia="ja-JP"/>
              </w:rPr>
            </w:pPr>
            <w:r w:rsidRPr="00600EE8">
              <w:rPr>
                <w:sz w:val="16"/>
                <w:szCs w:val="16"/>
                <w:lang w:val="en-GB" w:eastAsia="ja-JP"/>
              </w:rPr>
              <w:t>Potential participants identified and contacted by staff. Consent sought by researchers </w:t>
            </w:r>
          </w:p>
        </w:tc>
        <w:tc>
          <w:tcPr>
            <w:tcW w:w="0" w:type="auto"/>
            <w:vAlign w:val="center"/>
            <w:hideMark/>
          </w:tcPr>
          <w:p w14:paraId="56AC99B0" w14:textId="77777777" w:rsidR="00600EE8" w:rsidRPr="00600EE8" w:rsidRDefault="00600EE8" w:rsidP="00600EE8">
            <w:pPr>
              <w:rPr>
                <w:sz w:val="16"/>
                <w:szCs w:val="16"/>
                <w:lang w:val="en-GB" w:eastAsia="ja-JP"/>
              </w:rPr>
            </w:pPr>
            <w:r w:rsidRPr="00600EE8">
              <w:rPr>
                <w:sz w:val="16"/>
                <w:szCs w:val="16"/>
                <w:lang w:val="en-GB" w:eastAsia="ja-JP"/>
              </w:rPr>
              <w:t>Care staff, researchers </w:t>
            </w:r>
          </w:p>
        </w:tc>
        <w:tc>
          <w:tcPr>
            <w:tcW w:w="0" w:type="auto"/>
            <w:vAlign w:val="center"/>
            <w:hideMark/>
          </w:tcPr>
          <w:p w14:paraId="3690D6F2"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6D92CBDE"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33A3E834"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320FE3BD" w14:textId="77777777" w:rsidR="00600EE8" w:rsidRPr="00600EE8" w:rsidRDefault="00600EE8" w:rsidP="00600EE8">
            <w:pPr>
              <w:rPr>
                <w:sz w:val="16"/>
                <w:szCs w:val="16"/>
                <w:lang w:val="en-GB" w:eastAsia="ja-JP"/>
              </w:rPr>
            </w:pPr>
            <w:r w:rsidRPr="00600EE8">
              <w:rPr>
                <w:sz w:val="16"/>
                <w:szCs w:val="16"/>
                <w:lang w:val="en-GB" w:eastAsia="ja-JP"/>
              </w:rPr>
              <w:t>9.4% </w:t>
            </w:r>
          </w:p>
        </w:tc>
        <w:tc>
          <w:tcPr>
            <w:tcW w:w="0" w:type="auto"/>
            <w:vAlign w:val="center"/>
            <w:hideMark/>
          </w:tcPr>
          <w:p w14:paraId="26A0A320" w14:textId="77777777" w:rsidR="00600EE8" w:rsidRPr="00600EE8" w:rsidRDefault="00600EE8" w:rsidP="00600EE8">
            <w:pPr>
              <w:rPr>
                <w:sz w:val="16"/>
                <w:szCs w:val="16"/>
                <w:lang w:val="en-GB" w:eastAsia="ja-JP"/>
              </w:rPr>
            </w:pPr>
            <w:r w:rsidRPr="00600EE8">
              <w:rPr>
                <w:sz w:val="16"/>
                <w:szCs w:val="16"/>
                <w:lang w:val="en-GB" w:eastAsia="ja-JP"/>
              </w:rPr>
              <w:t>Self-consent and proxy consent (legal representative) </w:t>
            </w:r>
          </w:p>
        </w:tc>
      </w:tr>
      <w:tr w:rsidR="00600EE8" w:rsidRPr="00600EE8" w14:paraId="30A0EA63" w14:textId="77777777" w:rsidTr="00600EE8">
        <w:trPr>
          <w:tblCellSpacing w:w="15" w:type="dxa"/>
        </w:trPr>
        <w:tc>
          <w:tcPr>
            <w:tcW w:w="0" w:type="auto"/>
            <w:vAlign w:val="center"/>
            <w:hideMark/>
          </w:tcPr>
          <w:p w14:paraId="17CA5AEC" w14:textId="37496C1D" w:rsidR="00600EE8" w:rsidRPr="00600EE8" w:rsidRDefault="00600EE8" w:rsidP="00600EE8">
            <w:pPr>
              <w:rPr>
                <w:sz w:val="16"/>
                <w:szCs w:val="16"/>
                <w:lang w:val="en-GB" w:eastAsia="ja-JP"/>
              </w:rPr>
            </w:pPr>
            <w:r w:rsidRPr="00600EE8">
              <w:rPr>
                <w:sz w:val="16"/>
                <w:szCs w:val="16"/>
                <w:lang w:val="en-GB" w:eastAsia="ja-JP"/>
              </w:rPr>
              <w:t>Mittelman and Papayannopoulou (2018) </w:t>
            </w:r>
          </w:p>
        </w:tc>
        <w:tc>
          <w:tcPr>
            <w:tcW w:w="0" w:type="auto"/>
            <w:vAlign w:val="center"/>
            <w:hideMark/>
          </w:tcPr>
          <w:p w14:paraId="490EDC16" w14:textId="77777777" w:rsidR="00600EE8" w:rsidRPr="00600EE8" w:rsidRDefault="00600EE8" w:rsidP="00600EE8">
            <w:pPr>
              <w:rPr>
                <w:sz w:val="16"/>
                <w:szCs w:val="16"/>
                <w:lang w:val="en-GB" w:eastAsia="ja-JP"/>
              </w:rPr>
            </w:pPr>
            <w:r w:rsidRPr="00600EE8">
              <w:rPr>
                <w:sz w:val="16"/>
                <w:szCs w:val="16"/>
                <w:lang w:val="en-GB" w:eastAsia="ja-JP"/>
              </w:rPr>
              <w:t>11 dyads </w:t>
            </w:r>
          </w:p>
        </w:tc>
        <w:tc>
          <w:tcPr>
            <w:tcW w:w="0" w:type="auto"/>
            <w:vAlign w:val="center"/>
            <w:hideMark/>
          </w:tcPr>
          <w:p w14:paraId="5A1E155A" w14:textId="77777777" w:rsidR="00600EE8" w:rsidRPr="00600EE8" w:rsidRDefault="00600EE8" w:rsidP="00600EE8">
            <w:pPr>
              <w:rPr>
                <w:sz w:val="16"/>
                <w:szCs w:val="16"/>
                <w:lang w:val="en-GB" w:eastAsia="ja-JP"/>
              </w:rPr>
            </w:pPr>
            <w:r w:rsidRPr="00600EE8">
              <w:rPr>
                <w:sz w:val="16"/>
                <w:szCs w:val="16"/>
                <w:lang w:val="en-GB" w:eastAsia="ja-JP"/>
              </w:rPr>
              <w:t>Quasi-experimental, single group, mixed methods </w:t>
            </w:r>
          </w:p>
        </w:tc>
        <w:tc>
          <w:tcPr>
            <w:tcW w:w="0" w:type="auto"/>
            <w:vAlign w:val="center"/>
            <w:hideMark/>
          </w:tcPr>
          <w:p w14:paraId="4F2603F9" w14:textId="77777777" w:rsidR="00600EE8" w:rsidRPr="00600EE8" w:rsidRDefault="00600EE8" w:rsidP="00600EE8">
            <w:pPr>
              <w:rPr>
                <w:sz w:val="16"/>
                <w:szCs w:val="16"/>
                <w:lang w:val="en-GB" w:eastAsia="ja-JP"/>
              </w:rPr>
            </w:pPr>
            <w:r w:rsidRPr="00600EE8">
              <w:rPr>
                <w:sz w:val="16"/>
                <w:szCs w:val="16"/>
                <w:lang w:val="en-GB" w:eastAsia="ja-JP"/>
              </w:rPr>
              <w:t>Weekly, 120 min, 13 weeks </w:t>
            </w:r>
          </w:p>
        </w:tc>
        <w:tc>
          <w:tcPr>
            <w:tcW w:w="0" w:type="auto"/>
            <w:vAlign w:val="center"/>
            <w:hideMark/>
          </w:tcPr>
          <w:p w14:paraId="00733EFA" w14:textId="77777777" w:rsidR="00600EE8" w:rsidRPr="00600EE8" w:rsidRDefault="00600EE8" w:rsidP="00600EE8">
            <w:pPr>
              <w:rPr>
                <w:sz w:val="16"/>
                <w:szCs w:val="16"/>
                <w:lang w:val="en-GB" w:eastAsia="ja-JP"/>
              </w:rPr>
            </w:pPr>
            <w:r w:rsidRPr="00600EE8">
              <w:rPr>
                <w:sz w:val="16"/>
                <w:szCs w:val="16"/>
                <w:lang w:val="en-GB" w:eastAsia="ja-JP"/>
              </w:rPr>
              <w:t>Group </w:t>
            </w:r>
          </w:p>
        </w:tc>
        <w:tc>
          <w:tcPr>
            <w:tcW w:w="0" w:type="auto"/>
            <w:vAlign w:val="center"/>
            <w:hideMark/>
          </w:tcPr>
          <w:p w14:paraId="6043B64A" w14:textId="77777777" w:rsidR="00600EE8" w:rsidRPr="00600EE8" w:rsidRDefault="00600EE8" w:rsidP="00600EE8">
            <w:pPr>
              <w:rPr>
                <w:sz w:val="16"/>
                <w:szCs w:val="16"/>
                <w:lang w:val="en-GB" w:eastAsia="ja-JP"/>
              </w:rPr>
            </w:pPr>
            <w:r w:rsidRPr="00600EE8">
              <w:rPr>
                <w:sz w:val="16"/>
                <w:szCs w:val="16"/>
                <w:lang w:val="en-GB" w:eastAsia="ja-JP"/>
              </w:rPr>
              <w:t>Informed about study at Carer support groups </w:t>
            </w:r>
          </w:p>
        </w:tc>
        <w:tc>
          <w:tcPr>
            <w:tcW w:w="0" w:type="auto"/>
            <w:vAlign w:val="center"/>
            <w:hideMark/>
          </w:tcPr>
          <w:p w14:paraId="20B51AF0"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5ED73743"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016FE986"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3D5E6789"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69B6D2E7" w14:textId="77777777" w:rsidR="00600EE8" w:rsidRPr="00600EE8" w:rsidRDefault="00600EE8" w:rsidP="00600EE8">
            <w:pPr>
              <w:rPr>
                <w:sz w:val="16"/>
                <w:szCs w:val="16"/>
                <w:lang w:val="en-GB" w:eastAsia="ja-JP"/>
              </w:rPr>
            </w:pPr>
            <w:r w:rsidRPr="00600EE8">
              <w:rPr>
                <w:sz w:val="16"/>
                <w:szCs w:val="16"/>
                <w:lang w:val="en-GB" w:eastAsia="ja-JP"/>
              </w:rPr>
              <w:t>9% </w:t>
            </w:r>
          </w:p>
        </w:tc>
        <w:tc>
          <w:tcPr>
            <w:tcW w:w="0" w:type="auto"/>
            <w:vAlign w:val="center"/>
            <w:hideMark/>
          </w:tcPr>
          <w:p w14:paraId="25C5CEF2" w14:textId="77777777" w:rsidR="00600EE8" w:rsidRPr="00600EE8" w:rsidRDefault="00600EE8" w:rsidP="00600EE8">
            <w:pPr>
              <w:rPr>
                <w:sz w:val="16"/>
                <w:szCs w:val="16"/>
                <w:lang w:val="en-GB" w:eastAsia="ja-JP"/>
              </w:rPr>
            </w:pPr>
            <w:r w:rsidRPr="00600EE8">
              <w:rPr>
                <w:sz w:val="16"/>
                <w:szCs w:val="16"/>
                <w:lang w:val="en-GB" w:eastAsia="ja-JP"/>
              </w:rPr>
              <w:t>NR </w:t>
            </w:r>
          </w:p>
        </w:tc>
      </w:tr>
      <w:tr w:rsidR="00600EE8" w:rsidRPr="00600EE8" w14:paraId="525F626A" w14:textId="77777777" w:rsidTr="00600EE8">
        <w:trPr>
          <w:tblCellSpacing w:w="15" w:type="dxa"/>
        </w:trPr>
        <w:tc>
          <w:tcPr>
            <w:tcW w:w="0" w:type="auto"/>
            <w:vAlign w:val="center"/>
            <w:hideMark/>
          </w:tcPr>
          <w:p w14:paraId="284CB4F4" w14:textId="2DC97A53" w:rsidR="00600EE8" w:rsidRPr="00600EE8" w:rsidRDefault="00600EE8" w:rsidP="00600EE8">
            <w:pPr>
              <w:rPr>
                <w:sz w:val="16"/>
                <w:szCs w:val="16"/>
                <w:lang w:val="en-GB" w:eastAsia="ja-JP"/>
              </w:rPr>
            </w:pPr>
            <w:r w:rsidRPr="00600EE8">
              <w:rPr>
                <w:sz w:val="16"/>
                <w:szCs w:val="16"/>
                <w:lang w:val="en-GB" w:eastAsia="ja-JP"/>
              </w:rPr>
              <w:t>Sarkamo et al. (2014) </w:t>
            </w:r>
          </w:p>
        </w:tc>
        <w:tc>
          <w:tcPr>
            <w:tcW w:w="0" w:type="auto"/>
            <w:vAlign w:val="center"/>
            <w:hideMark/>
          </w:tcPr>
          <w:p w14:paraId="21C6B814" w14:textId="77777777" w:rsidR="00600EE8" w:rsidRPr="00600EE8" w:rsidRDefault="00600EE8" w:rsidP="00600EE8">
            <w:pPr>
              <w:rPr>
                <w:sz w:val="16"/>
                <w:szCs w:val="16"/>
                <w:lang w:val="en-GB" w:eastAsia="ja-JP"/>
              </w:rPr>
            </w:pPr>
            <w:r w:rsidRPr="00600EE8">
              <w:rPr>
                <w:sz w:val="16"/>
                <w:szCs w:val="16"/>
                <w:lang w:val="en-GB" w:eastAsia="ja-JP"/>
              </w:rPr>
              <w:t>89 dyads </w:t>
            </w:r>
          </w:p>
        </w:tc>
        <w:tc>
          <w:tcPr>
            <w:tcW w:w="0" w:type="auto"/>
            <w:vAlign w:val="center"/>
            <w:hideMark/>
          </w:tcPr>
          <w:p w14:paraId="5F909D06" w14:textId="77777777" w:rsidR="00600EE8" w:rsidRPr="00600EE8" w:rsidRDefault="00600EE8" w:rsidP="00600EE8">
            <w:pPr>
              <w:rPr>
                <w:sz w:val="16"/>
                <w:szCs w:val="16"/>
                <w:lang w:val="en-GB" w:eastAsia="ja-JP"/>
              </w:rPr>
            </w:pPr>
            <w:r w:rsidRPr="00600EE8">
              <w:rPr>
                <w:sz w:val="16"/>
                <w:szCs w:val="16"/>
                <w:lang w:val="en-GB" w:eastAsia="ja-JP"/>
              </w:rPr>
              <w:t>RCT </w:t>
            </w:r>
          </w:p>
        </w:tc>
        <w:tc>
          <w:tcPr>
            <w:tcW w:w="0" w:type="auto"/>
            <w:vAlign w:val="center"/>
            <w:hideMark/>
          </w:tcPr>
          <w:p w14:paraId="49E4CD24" w14:textId="77777777" w:rsidR="00600EE8" w:rsidRPr="00600EE8" w:rsidRDefault="00600EE8" w:rsidP="00600EE8">
            <w:pPr>
              <w:rPr>
                <w:sz w:val="16"/>
                <w:szCs w:val="16"/>
                <w:lang w:val="en-GB" w:eastAsia="ja-JP"/>
              </w:rPr>
            </w:pPr>
            <w:r w:rsidRPr="00600EE8">
              <w:rPr>
                <w:sz w:val="16"/>
                <w:szCs w:val="16"/>
                <w:lang w:val="en-GB" w:eastAsia="ja-JP"/>
              </w:rPr>
              <w:t>3× week, 50 min, 12 weeks </w:t>
            </w:r>
          </w:p>
        </w:tc>
        <w:tc>
          <w:tcPr>
            <w:tcW w:w="0" w:type="auto"/>
            <w:vAlign w:val="center"/>
            <w:hideMark/>
          </w:tcPr>
          <w:p w14:paraId="699EAF60" w14:textId="77777777" w:rsidR="00600EE8" w:rsidRPr="00600EE8" w:rsidRDefault="00600EE8" w:rsidP="00600EE8">
            <w:pPr>
              <w:rPr>
                <w:sz w:val="16"/>
                <w:szCs w:val="16"/>
                <w:lang w:val="en-GB" w:eastAsia="ja-JP"/>
              </w:rPr>
            </w:pPr>
            <w:r w:rsidRPr="00600EE8">
              <w:rPr>
                <w:sz w:val="16"/>
                <w:szCs w:val="16"/>
                <w:lang w:val="en-GB" w:eastAsia="ja-JP"/>
              </w:rPr>
              <w:t>Group </w:t>
            </w:r>
          </w:p>
        </w:tc>
        <w:tc>
          <w:tcPr>
            <w:tcW w:w="0" w:type="auto"/>
            <w:vAlign w:val="center"/>
            <w:hideMark/>
          </w:tcPr>
          <w:p w14:paraId="07BAD2CA"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25354BDA"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08ABB414" w14:textId="77777777" w:rsidR="00600EE8" w:rsidRPr="00600EE8" w:rsidRDefault="00600EE8" w:rsidP="00600EE8">
            <w:pPr>
              <w:rPr>
                <w:sz w:val="16"/>
                <w:szCs w:val="16"/>
                <w:lang w:val="en-GB" w:eastAsia="ja-JP"/>
              </w:rPr>
            </w:pPr>
            <w:r w:rsidRPr="00600EE8">
              <w:rPr>
                <w:sz w:val="16"/>
                <w:szCs w:val="16"/>
                <w:lang w:val="en-GB" w:eastAsia="ja-JP"/>
              </w:rPr>
              <w:t>3.7 </w:t>
            </w:r>
          </w:p>
        </w:tc>
        <w:tc>
          <w:tcPr>
            <w:tcW w:w="0" w:type="auto"/>
            <w:vAlign w:val="center"/>
            <w:hideMark/>
          </w:tcPr>
          <w:p w14:paraId="3E281A7D" w14:textId="77777777" w:rsidR="00600EE8" w:rsidRPr="00600EE8" w:rsidRDefault="00600EE8" w:rsidP="00600EE8">
            <w:pPr>
              <w:rPr>
                <w:sz w:val="16"/>
                <w:szCs w:val="16"/>
                <w:lang w:val="en-GB" w:eastAsia="ja-JP"/>
              </w:rPr>
            </w:pPr>
            <w:r w:rsidRPr="00600EE8">
              <w:rPr>
                <w:sz w:val="16"/>
                <w:szCs w:val="16"/>
                <w:lang w:val="en-GB" w:eastAsia="ja-JP"/>
              </w:rPr>
              <w:t>24 </w:t>
            </w:r>
          </w:p>
        </w:tc>
        <w:tc>
          <w:tcPr>
            <w:tcW w:w="0" w:type="auto"/>
            <w:vAlign w:val="center"/>
            <w:hideMark/>
          </w:tcPr>
          <w:p w14:paraId="238D023B"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739B5C95" w14:textId="77777777" w:rsidR="00600EE8" w:rsidRPr="00600EE8" w:rsidRDefault="00600EE8" w:rsidP="00600EE8">
            <w:pPr>
              <w:rPr>
                <w:sz w:val="16"/>
                <w:szCs w:val="16"/>
                <w:lang w:val="en-GB" w:eastAsia="ja-JP"/>
              </w:rPr>
            </w:pPr>
            <w:r w:rsidRPr="00600EE8">
              <w:rPr>
                <w:sz w:val="16"/>
                <w:szCs w:val="16"/>
                <w:lang w:val="en-GB" w:eastAsia="ja-JP"/>
              </w:rPr>
              <w:t>17% </w:t>
            </w:r>
          </w:p>
        </w:tc>
        <w:tc>
          <w:tcPr>
            <w:tcW w:w="0" w:type="auto"/>
            <w:vAlign w:val="center"/>
            <w:hideMark/>
          </w:tcPr>
          <w:p w14:paraId="2A3BC773" w14:textId="77777777" w:rsidR="00600EE8" w:rsidRPr="00600EE8" w:rsidRDefault="00600EE8" w:rsidP="00600EE8">
            <w:pPr>
              <w:rPr>
                <w:sz w:val="16"/>
                <w:szCs w:val="16"/>
                <w:lang w:val="en-GB" w:eastAsia="ja-JP"/>
              </w:rPr>
            </w:pPr>
            <w:r w:rsidRPr="00600EE8">
              <w:rPr>
                <w:sz w:val="16"/>
                <w:szCs w:val="16"/>
                <w:lang w:val="en-GB" w:eastAsia="ja-JP"/>
              </w:rPr>
              <w:t>Written self-consent </w:t>
            </w:r>
          </w:p>
        </w:tc>
      </w:tr>
      <w:tr w:rsidR="00600EE8" w:rsidRPr="00600EE8" w14:paraId="0D2AEF15" w14:textId="77777777" w:rsidTr="00600EE8">
        <w:trPr>
          <w:tblCellSpacing w:w="15" w:type="dxa"/>
        </w:trPr>
        <w:tc>
          <w:tcPr>
            <w:tcW w:w="0" w:type="auto"/>
            <w:vAlign w:val="center"/>
            <w:hideMark/>
          </w:tcPr>
          <w:p w14:paraId="304F5BF8" w14:textId="6D052ABC" w:rsidR="00600EE8" w:rsidRPr="00600EE8" w:rsidRDefault="00600EE8" w:rsidP="00600EE8">
            <w:pPr>
              <w:rPr>
                <w:sz w:val="16"/>
                <w:szCs w:val="16"/>
                <w:lang w:val="en-GB" w:eastAsia="ja-JP"/>
              </w:rPr>
            </w:pPr>
            <w:r w:rsidRPr="00600EE8">
              <w:rPr>
                <w:sz w:val="16"/>
                <w:szCs w:val="16"/>
                <w:lang w:val="en-GB" w:eastAsia="ja-JP"/>
              </w:rPr>
              <w:t>Schall et al. (2015) </w:t>
            </w:r>
          </w:p>
        </w:tc>
        <w:tc>
          <w:tcPr>
            <w:tcW w:w="0" w:type="auto"/>
            <w:vAlign w:val="center"/>
            <w:hideMark/>
          </w:tcPr>
          <w:p w14:paraId="6F87FC4D" w14:textId="77777777" w:rsidR="00600EE8" w:rsidRPr="00600EE8" w:rsidRDefault="00600EE8" w:rsidP="00600EE8">
            <w:pPr>
              <w:rPr>
                <w:sz w:val="16"/>
                <w:szCs w:val="16"/>
                <w:lang w:val="en-GB" w:eastAsia="ja-JP"/>
              </w:rPr>
            </w:pPr>
            <w:r w:rsidRPr="00600EE8">
              <w:rPr>
                <w:sz w:val="16"/>
                <w:szCs w:val="16"/>
                <w:lang w:val="en-GB" w:eastAsia="ja-JP"/>
              </w:rPr>
              <w:t>14 </w:t>
            </w:r>
          </w:p>
        </w:tc>
        <w:tc>
          <w:tcPr>
            <w:tcW w:w="0" w:type="auto"/>
            <w:vAlign w:val="center"/>
            <w:hideMark/>
          </w:tcPr>
          <w:p w14:paraId="4EE7138D" w14:textId="77777777" w:rsidR="00600EE8" w:rsidRPr="00600EE8" w:rsidRDefault="00600EE8" w:rsidP="00600EE8">
            <w:pPr>
              <w:rPr>
                <w:sz w:val="16"/>
                <w:szCs w:val="16"/>
                <w:lang w:val="en-GB" w:eastAsia="ja-JP"/>
              </w:rPr>
            </w:pPr>
            <w:r w:rsidRPr="00600EE8">
              <w:rPr>
                <w:sz w:val="16"/>
                <w:szCs w:val="16"/>
                <w:lang w:val="en-GB" w:eastAsia="ja-JP"/>
              </w:rPr>
              <w:t>Quasi-experimental, time-series </w:t>
            </w:r>
          </w:p>
        </w:tc>
        <w:tc>
          <w:tcPr>
            <w:tcW w:w="0" w:type="auto"/>
            <w:vAlign w:val="center"/>
            <w:hideMark/>
          </w:tcPr>
          <w:p w14:paraId="11E5F28D" w14:textId="77777777" w:rsidR="00600EE8" w:rsidRPr="00600EE8" w:rsidRDefault="00600EE8" w:rsidP="00600EE8">
            <w:pPr>
              <w:rPr>
                <w:sz w:val="16"/>
                <w:szCs w:val="16"/>
                <w:lang w:val="en-GB" w:eastAsia="ja-JP"/>
              </w:rPr>
            </w:pPr>
            <w:r w:rsidRPr="00600EE8">
              <w:rPr>
                <w:sz w:val="16"/>
                <w:szCs w:val="16"/>
                <w:lang w:val="en-GB" w:eastAsia="ja-JP"/>
              </w:rPr>
              <w:t>Weekly, 23–39 min, 6 months </w:t>
            </w:r>
          </w:p>
        </w:tc>
        <w:tc>
          <w:tcPr>
            <w:tcW w:w="0" w:type="auto"/>
            <w:vAlign w:val="center"/>
            <w:hideMark/>
          </w:tcPr>
          <w:p w14:paraId="3D96B508" w14:textId="77777777" w:rsidR="00600EE8" w:rsidRPr="00600EE8" w:rsidRDefault="00600EE8" w:rsidP="00600EE8">
            <w:pPr>
              <w:rPr>
                <w:sz w:val="16"/>
                <w:szCs w:val="16"/>
                <w:lang w:val="en-GB" w:eastAsia="ja-JP"/>
              </w:rPr>
            </w:pPr>
            <w:r w:rsidRPr="00600EE8">
              <w:rPr>
                <w:sz w:val="16"/>
                <w:szCs w:val="16"/>
                <w:lang w:val="en-GB" w:eastAsia="ja-JP"/>
              </w:rPr>
              <w:t>Individual </w:t>
            </w:r>
          </w:p>
        </w:tc>
        <w:tc>
          <w:tcPr>
            <w:tcW w:w="0" w:type="auto"/>
            <w:vAlign w:val="center"/>
            <w:hideMark/>
          </w:tcPr>
          <w:p w14:paraId="59ABDB62" w14:textId="77777777" w:rsidR="00600EE8" w:rsidRPr="00600EE8" w:rsidRDefault="00600EE8" w:rsidP="00600EE8">
            <w:pPr>
              <w:rPr>
                <w:sz w:val="16"/>
                <w:szCs w:val="16"/>
                <w:lang w:val="en-GB" w:eastAsia="ja-JP"/>
              </w:rPr>
            </w:pPr>
            <w:r w:rsidRPr="00600EE8">
              <w:rPr>
                <w:sz w:val="16"/>
                <w:szCs w:val="16"/>
                <w:lang w:val="en-GB" w:eastAsia="ja-JP"/>
              </w:rPr>
              <w:t>Newspaper advertisements and referral from Dementia Association </w:t>
            </w:r>
          </w:p>
        </w:tc>
        <w:tc>
          <w:tcPr>
            <w:tcW w:w="0" w:type="auto"/>
            <w:vAlign w:val="center"/>
            <w:hideMark/>
          </w:tcPr>
          <w:p w14:paraId="310C1286"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372F62F1"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2FF37D3C"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2B183DCA" w14:textId="77777777" w:rsidR="00600EE8" w:rsidRPr="00600EE8" w:rsidRDefault="00600EE8" w:rsidP="00600EE8">
            <w:pPr>
              <w:rPr>
                <w:sz w:val="16"/>
                <w:szCs w:val="16"/>
                <w:lang w:val="en-GB" w:eastAsia="ja-JP"/>
              </w:rPr>
            </w:pPr>
            <w:r w:rsidRPr="00600EE8">
              <w:rPr>
                <w:sz w:val="16"/>
                <w:szCs w:val="16"/>
                <w:lang w:val="en-GB" w:eastAsia="ja-JP"/>
              </w:rPr>
              <w:t>NR </w:t>
            </w:r>
          </w:p>
        </w:tc>
        <w:tc>
          <w:tcPr>
            <w:tcW w:w="0" w:type="auto"/>
            <w:vAlign w:val="center"/>
            <w:hideMark/>
          </w:tcPr>
          <w:p w14:paraId="5C0743CD" w14:textId="77777777" w:rsidR="00600EE8" w:rsidRPr="00600EE8" w:rsidRDefault="00600EE8" w:rsidP="00600EE8">
            <w:pPr>
              <w:rPr>
                <w:sz w:val="16"/>
                <w:szCs w:val="16"/>
                <w:lang w:val="en-GB" w:eastAsia="ja-JP"/>
              </w:rPr>
            </w:pPr>
            <w:r w:rsidRPr="00600EE8">
              <w:rPr>
                <w:sz w:val="16"/>
                <w:szCs w:val="16"/>
                <w:lang w:val="en-GB" w:eastAsia="ja-JP"/>
              </w:rPr>
              <w:t>36% </w:t>
            </w:r>
          </w:p>
        </w:tc>
        <w:tc>
          <w:tcPr>
            <w:tcW w:w="0" w:type="auto"/>
            <w:vAlign w:val="center"/>
            <w:hideMark/>
          </w:tcPr>
          <w:p w14:paraId="1DC0EC03" w14:textId="77777777" w:rsidR="00600EE8" w:rsidRPr="00600EE8" w:rsidRDefault="00600EE8" w:rsidP="00600EE8">
            <w:pPr>
              <w:rPr>
                <w:sz w:val="16"/>
                <w:szCs w:val="16"/>
                <w:lang w:val="en-GB" w:eastAsia="ja-JP"/>
              </w:rPr>
            </w:pPr>
            <w:r w:rsidRPr="00600EE8">
              <w:rPr>
                <w:sz w:val="16"/>
                <w:szCs w:val="16"/>
                <w:lang w:val="en-GB" w:eastAsia="ja-JP"/>
              </w:rPr>
              <w:t>NR </w:t>
            </w:r>
          </w:p>
        </w:tc>
      </w:tr>
      <w:tr w:rsidR="00600EE8" w:rsidRPr="00600EE8" w14:paraId="11AE8A1C" w14:textId="77777777" w:rsidTr="00600EE8">
        <w:trPr>
          <w:tblCellSpacing w:w="15" w:type="dxa"/>
        </w:trPr>
        <w:tc>
          <w:tcPr>
            <w:tcW w:w="0" w:type="auto"/>
            <w:vAlign w:val="center"/>
            <w:hideMark/>
          </w:tcPr>
          <w:p w14:paraId="4322B0C0" w14:textId="53B5C15E" w:rsidR="00600EE8" w:rsidRPr="00600EE8" w:rsidRDefault="00600EE8" w:rsidP="00600EE8">
            <w:pPr>
              <w:rPr>
                <w:sz w:val="16"/>
                <w:szCs w:val="16"/>
                <w:lang w:val="en-GB" w:eastAsia="ja-JP"/>
              </w:rPr>
            </w:pPr>
            <w:r w:rsidRPr="00600EE8">
              <w:rPr>
                <w:sz w:val="16"/>
                <w:szCs w:val="16"/>
                <w:lang w:val="en-GB" w:eastAsia="ja-JP"/>
              </w:rPr>
              <w:t>Tamplin et al. (2018) </w:t>
            </w:r>
          </w:p>
        </w:tc>
        <w:tc>
          <w:tcPr>
            <w:tcW w:w="0" w:type="auto"/>
            <w:vAlign w:val="center"/>
            <w:hideMark/>
          </w:tcPr>
          <w:p w14:paraId="24E39177" w14:textId="77777777" w:rsidR="00600EE8" w:rsidRPr="00600EE8" w:rsidRDefault="00600EE8" w:rsidP="00600EE8">
            <w:pPr>
              <w:rPr>
                <w:sz w:val="16"/>
                <w:szCs w:val="16"/>
                <w:lang w:val="en-GB" w:eastAsia="ja-JP"/>
              </w:rPr>
            </w:pPr>
            <w:r w:rsidRPr="00600EE8">
              <w:rPr>
                <w:sz w:val="16"/>
                <w:szCs w:val="16"/>
                <w:lang w:val="en-GB" w:eastAsia="ja-JP"/>
              </w:rPr>
              <w:t>12 dyads </w:t>
            </w:r>
          </w:p>
        </w:tc>
        <w:tc>
          <w:tcPr>
            <w:tcW w:w="0" w:type="auto"/>
            <w:vAlign w:val="center"/>
            <w:hideMark/>
          </w:tcPr>
          <w:p w14:paraId="4950424B" w14:textId="77777777" w:rsidR="00600EE8" w:rsidRPr="00600EE8" w:rsidRDefault="00600EE8" w:rsidP="00600EE8">
            <w:pPr>
              <w:rPr>
                <w:sz w:val="16"/>
                <w:szCs w:val="16"/>
                <w:lang w:val="en-GB" w:eastAsia="ja-JP"/>
              </w:rPr>
            </w:pPr>
            <w:r w:rsidRPr="00600EE8">
              <w:rPr>
                <w:sz w:val="16"/>
                <w:szCs w:val="16"/>
                <w:lang w:val="en-GB" w:eastAsia="ja-JP"/>
              </w:rPr>
              <w:t>Quasi-experimental, single group </w:t>
            </w:r>
          </w:p>
        </w:tc>
        <w:tc>
          <w:tcPr>
            <w:tcW w:w="0" w:type="auto"/>
            <w:vAlign w:val="center"/>
            <w:hideMark/>
          </w:tcPr>
          <w:p w14:paraId="270C1CB3" w14:textId="77777777" w:rsidR="00600EE8" w:rsidRPr="00600EE8" w:rsidRDefault="00600EE8" w:rsidP="00600EE8">
            <w:pPr>
              <w:rPr>
                <w:sz w:val="16"/>
                <w:szCs w:val="16"/>
                <w:lang w:val="en-GB" w:eastAsia="ja-JP"/>
              </w:rPr>
            </w:pPr>
            <w:r w:rsidRPr="00600EE8">
              <w:rPr>
                <w:sz w:val="16"/>
                <w:szCs w:val="16"/>
                <w:lang w:val="en-GB" w:eastAsia="ja-JP"/>
              </w:rPr>
              <w:t>Weekly, 120 min, 20 weeks </w:t>
            </w:r>
          </w:p>
        </w:tc>
        <w:tc>
          <w:tcPr>
            <w:tcW w:w="0" w:type="auto"/>
            <w:vAlign w:val="center"/>
            <w:hideMark/>
          </w:tcPr>
          <w:p w14:paraId="16B5D69F" w14:textId="77777777" w:rsidR="00600EE8" w:rsidRPr="00600EE8" w:rsidRDefault="00600EE8" w:rsidP="00600EE8">
            <w:pPr>
              <w:rPr>
                <w:sz w:val="16"/>
                <w:szCs w:val="16"/>
                <w:lang w:val="en-GB" w:eastAsia="ja-JP"/>
              </w:rPr>
            </w:pPr>
            <w:r w:rsidRPr="00600EE8">
              <w:rPr>
                <w:sz w:val="16"/>
                <w:szCs w:val="16"/>
                <w:lang w:val="en-GB" w:eastAsia="ja-JP"/>
              </w:rPr>
              <w:t>Group </w:t>
            </w:r>
          </w:p>
        </w:tc>
        <w:tc>
          <w:tcPr>
            <w:tcW w:w="0" w:type="auto"/>
            <w:vAlign w:val="center"/>
            <w:hideMark/>
          </w:tcPr>
          <w:p w14:paraId="58F75233" w14:textId="77777777" w:rsidR="00600EE8" w:rsidRPr="00600EE8" w:rsidRDefault="00600EE8" w:rsidP="00600EE8">
            <w:pPr>
              <w:rPr>
                <w:sz w:val="16"/>
                <w:szCs w:val="16"/>
                <w:lang w:val="en-GB" w:eastAsia="ja-JP"/>
              </w:rPr>
            </w:pPr>
            <w:r w:rsidRPr="00600EE8">
              <w:rPr>
                <w:sz w:val="16"/>
                <w:szCs w:val="16"/>
                <w:lang w:val="en-GB" w:eastAsia="ja-JP"/>
              </w:rPr>
              <w:t>Potential participants invited to info session by dementia community services organizations. Information sessions, distribution of flyers to community dementia groups with invitations by researchers </w:t>
            </w:r>
          </w:p>
        </w:tc>
        <w:tc>
          <w:tcPr>
            <w:tcW w:w="0" w:type="auto"/>
            <w:vAlign w:val="center"/>
            <w:hideMark/>
          </w:tcPr>
          <w:p w14:paraId="23195076" w14:textId="77777777" w:rsidR="00600EE8" w:rsidRPr="00600EE8" w:rsidRDefault="00600EE8" w:rsidP="00600EE8">
            <w:pPr>
              <w:rPr>
                <w:sz w:val="16"/>
                <w:szCs w:val="16"/>
                <w:lang w:val="en-GB" w:eastAsia="ja-JP"/>
              </w:rPr>
            </w:pPr>
            <w:r w:rsidRPr="00600EE8">
              <w:rPr>
                <w:sz w:val="16"/>
                <w:szCs w:val="16"/>
                <w:lang w:val="en-GB" w:eastAsia="ja-JP"/>
              </w:rPr>
              <w:t>Researchers </w:t>
            </w:r>
          </w:p>
        </w:tc>
        <w:tc>
          <w:tcPr>
            <w:tcW w:w="0" w:type="auto"/>
            <w:vAlign w:val="center"/>
            <w:hideMark/>
          </w:tcPr>
          <w:p w14:paraId="1D3081DB" w14:textId="77777777" w:rsidR="00600EE8" w:rsidRPr="00600EE8" w:rsidRDefault="00600EE8" w:rsidP="00600EE8">
            <w:pPr>
              <w:rPr>
                <w:sz w:val="16"/>
                <w:szCs w:val="16"/>
                <w:lang w:val="en-GB" w:eastAsia="ja-JP"/>
              </w:rPr>
            </w:pPr>
            <w:r w:rsidRPr="00600EE8">
              <w:rPr>
                <w:sz w:val="16"/>
                <w:szCs w:val="16"/>
                <w:lang w:val="en-GB" w:eastAsia="ja-JP"/>
              </w:rPr>
              <w:t>3 </w:t>
            </w:r>
          </w:p>
        </w:tc>
        <w:tc>
          <w:tcPr>
            <w:tcW w:w="0" w:type="auto"/>
            <w:vAlign w:val="center"/>
            <w:hideMark/>
          </w:tcPr>
          <w:p w14:paraId="68F270DE" w14:textId="77777777" w:rsidR="00600EE8" w:rsidRPr="00600EE8" w:rsidRDefault="00600EE8" w:rsidP="00600EE8">
            <w:pPr>
              <w:rPr>
                <w:sz w:val="16"/>
                <w:szCs w:val="16"/>
                <w:lang w:val="en-GB" w:eastAsia="ja-JP"/>
              </w:rPr>
            </w:pPr>
            <w:r w:rsidRPr="00600EE8">
              <w:rPr>
                <w:sz w:val="16"/>
                <w:szCs w:val="16"/>
                <w:lang w:val="en-GB" w:eastAsia="ja-JP"/>
              </w:rPr>
              <w:t>4 </w:t>
            </w:r>
          </w:p>
        </w:tc>
        <w:tc>
          <w:tcPr>
            <w:tcW w:w="0" w:type="auto"/>
            <w:vAlign w:val="center"/>
            <w:hideMark/>
          </w:tcPr>
          <w:p w14:paraId="37E0EB56" w14:textId="77777777" w:rsidR="00600EE8" w:rsidRPr="00600EE8" w:rsidRDefault="00600EE8" w:rsidP="00600EE8">
            <w:pPr>
              <w:rPr>
                <w:sz w:val="16"/>
                <w:szCs w:val="16"/>
                <w:lang w:val="en-GB" w:eastAsia="ja-JP"/>
              </w:rPr>
            </w:pPr>
            <w:r w:rsidRPr="00600EE8">
              <w:rPr>
                <w:sz w:val="16"/>
                <w:szCs w:val="16"/>
                <w:lang w:val="en-GB" w:eastAsia="ja-JP"/>
              </w:rPr>
              <w:t>60% </w:t>
            </w:r>
          </w:p>
        </w:tc>
        <w:tc>
          <w:tcPr>
            <w:tcW w:w="0" w:type="auto"/>
            <w:vAlign w:val="center"/>
            <w:hideMark/>
          </w:tcPr>
          <w:p w14:paraId="4AB1114B" w14:textId="77777777" w:rsidR="00600EE8" w:rsidRPr="00600EE8" w:rsidRDefault="00600EE8" w:rsidP="00600EE8">
            <w:pPr>
              <w:rPr>
                <w:sz w:val="16"/>
                <w:szCs w:val="16"/>
                <w:lang w:val="en-GB" w:eastAsia="ja-JP"/>
              </w:rPr>
            </w:pPr>
            <w:r w:rsidRPr="00600EE8">
              <w:rPr>
                <w:sz w:val="16"/>
                <w:szCs w:val="16"/>
                <w:lang w:val="en-GB" w:eastAsia="ja-JP"/>
              </w:rPr>
              <w:t>25% </w:t>
            </w:r>
          </w:p>
        </w:tc>
        <w:tc>
          <w:tcPr>
            <w:tcW w:w="0" w:type="auto"/>
            <w:vAlign w:val="center"/>
            <w:hideMark/>
          </w:tcPr>
          <w:p w14:paraId="05F135ED" w14:textId="77777777" w:rsidR="00600EE8" w:rsidRPr="00600EE8" w:rsidRDefault="00600EE8" w:rsidP="00600EE8">
            <w:pPr>
              <w:rPr>
                <w:sz w:val="16"/>
                <w:szCs w:val="16"/>
                <w:lang w:val="en-GB" w:eastAsia="ja-JP"/>
              </w:rPr>
            </w:pPr>
            <w:r w:rsidRPr="00600EE8">
              <w:rPr>
                <w:sz w:val="16"/>
                <w:szCs w:val="16"/>
                <w:lang w:val="en-GB" w:eastAsia="ja-JP"/>
              </w:rPr>
              <w:t>Written self-consent </w:t>
            </w:r>
          </w:p>
        </w:tc>
      </w:tr>
      <w:tr w:rsidR="00600EE8" w:rsidRPr="00600EE8" w14:paraId="082B4477" w14:textId="77777777" w:rsidTr="00600EE8">
        <w:trPr>
          <w:tblCellSpacing w:w="15" w:type="dxa"/>
        </w:trPr>
        <w:tc>
          <w:tcPr>
            <w:tcW w:w="0" w:type="auto"/>
            <w:vAlign w:val="center"/>
            <w:hideMark/>
          </w:tcPr>
          <w:p w14:paraId="6FF512CF" w14:textId="77777777" w:rsidR="00600EE8" w:rsidRPr="00600EE8" w:rsidRDefault="00600EE8" w:rsidP="00600EE8">
            <w:pPr>
              <w:rPr>
                <w:sz w:val="16"/>
                <w:szCs w:val="16"/>
                <w:lang w:val="en-GB" w:eastAsia="ja-JP"/>
              </w:rPr>
            </w:pPr>
            <w:r w:rsidRPr="00600EE8">
              <w:rPr>
                <w:sz w:val="16"/>
                <w:szCs w:val="16"/>
                <w:lang w:val="en-GB" w:eastAsia="ja-JP"/>
              </w:rPr>
              <w:t>Mean </w:t>
            </w:r>
          </w:p>
        </w:tc>
        <w:tc>
          <w:tcPr>
            <w:tcW w:w="0" w:type="auto"/>
            <w:vAlign w:val="center"/>
            <w:hideMark/>
          </w:tcPr>
          <w:p w14:paraId="27DF89B5" w14:textId="77777777" w:rsidR="00600EE8" w:rsidRPr="00600EE8" w:rsidRDefault="00600EE8" w:rsidP="00600EE8">
            <w:pPr>
              <w:rPr>
                <w:sz w:val="16"/>
                <w:szCs w:val="16"/>
                <w:lang w:val="en-GB" w:eastAsia="ja-JP"/>
              </w:rPr>
            </w:pPr>
            <w:r w:rsidRPr="00600EE8">
              <w:rPr>
                <w:sz w:val="16"/>
                <w:szCs w:val="16"/>
                <w:lang w:val="en-GB" w:eastAsia="ja-JP"/>
              </w:rPr>
              <w:t>28.62 (21.2) </w:t>
            </w:r>
          </w:p>
        </w:tc>
        <w:tc>
          <w:tcPr>
            <w:tcW w:w="0" w:type="auto"/>
            <w:vAlign w:val="center"/>
            <w:hideMark/>
          </w:tcPr>
          <w:p w14:paraId="45B2BDFE"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752F9FEC"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3F171B18"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74773305"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1BED35B6" w14:textId="77777777" w:rsidR="00600EE8" w:rsidRPr="00600EE8" w:rsidRDefault="00600EE8" w:rsidP="00600EE8">
            <w:pPr>
              <w:rPr>
                <w:sz w:val="16"/>
                <w:szCs w:val="16"/>
                <w:lang w:val="en-GB" w:eastAsia="ja-JP"/>
              </w:rPr>
            </w:pPr>
            <w:r w:rsidRPr="00600EE8">
              <w:rPr>
                <w:sz w:val="16"/>
                <w:szCs w:val="16"/>
                <w:lang w:val="en-GB" w:eastAsia="ja-JP"/>
              </w:rPr>
              <w:t> </w:t>
            </w:r>
          </w:p>
        </w:tc>
        <w:tc>
          <w:tcPr>
            <w:tcW w:w="0" w:type="auto"/>
            <w:vAlign w:val="center"/>
            <w:hideMark/>
          </w:tcPr>
          <w:p w14:paraId="76325A5C" w14:textId="77777777" w:rsidR="00600EE8" w:rsidRPr="00600EE8" w:rsidRDefault="00600EE8" w:rsidP="00600EE8">
            <w:pPr>
              <w:rPr>
                <w:sz w:val="16"/>
                <w:szCs w:val="16"/>
                <w:lang w:val="en-GB" w:eastAsia="ja-JP"/>
              </w:rPr>
            </w:pPr>
            <w:r w:rsidRPr="00600EE8">
              <w:rPr>
                <w:sz w:val="16"/>
                <w:szCs w:val="16"/>
                <w:lang w:val="en-GB" w:eastAsia="ja-JP"/>
              </w:rPr>
              <w:t>5.1 (4.2) </w:t>
            </w:r>
          </w:p>
        </w:tc>
        <w:tc>
          <w:tcPr>
            <w:tcW w:w="0" w:type="auto"/>
            <w:vAlign w:val="center"/>
            <w:hideMark/>
          </w:tcPr>
          <w:p w14:paraId="04C1740F" w14:textId="77777777" w:rsidR="00600EE8" w:rsidRPr="00600EE8" w:rsidRDefault="00600EE8" w:rsidP="00600EE8">
            <w:pPr>
              <w:rPr>
                <w:sz w:val="16"/>
                <w:szCs w:val="16"/>
                <w:lang w:val="en-GB" w:eastAsia="ja-JP"/>
              </w:rPr>
            </w:pPr>
            <w:r w:rsidRPr="00600EE8">
              <w:rPr>
                <w:sz w:val="16"/>
                <w:szCs w:val="16"/>
                <w:lang w:val="en-GB" w:eastAsia="ja-JP"/>
              </w:rPr>
              <w:t>10.5 (7.5) </w:t>
            </w:r>
          </w:p>
        </w:tc>
        <w:tc>
          <w:tcPr>
            <w:tcW w:w="0" w:type="auto"/>
            <w:vAlign w:val="center"/>
            <w:hideMark/>
          </w:tcPr>
          <w:p w14:paraId="0C8E2803" w14:textId="77777777" w:rsidR="00600EE8" w:rsidRPr="00600EE8" w:rsidRDefault="00600EE8" w:rsidP="00600EE8">
            <w:pPr>
              <w:rPr>
                <w:sz w:val="16"/>
                <w:szCs w:val="16"/>
                <w:lang w:val="en-GB" w:eastAsia="ja-JP"/>
              </w:rPr>
            </w:pPr>
            <w:r w:rsidRPr="00600EE8">
              <w:rPr>
                <w:sz w:val="16"/>
                <w:szCs w:val="16"/>
                <w:lang w:val="en-GB" w:eastAsia="ja-JP"/>
              </w:rPr>
              <w:t>71% (18) </w:t>
            </w:r>
          </w:p>
        </w:tc>
        <w:tc>
          <w:tcPr>
            <w:tcW w:w="0" w:type="auto"/>
            <w:vAlign w:val="center"/>
            <w:hideMark/>
          </w:tcPr>
          <w:p w14:paraId="44A1B649" w14:textId="77777777" w:rsidR="00600EE8" w:rsidRPr="00600EE8" w:rsidRDefault="00600EE8" w:rsidP="00600EE8">
            <w:pPr>
              <w:rPr>
                <w:sz w:val="16"/>
                <w:szCs w:val="16"/>
                <w:lang w:val="en-GB" w:eastAsia="ja-JP"/>
              </w:rPr>
            </w:pPr>
            <w:r w:rsidRPr="00600EE8">
              <w:rPr>
                <w:sz w:val="16"/>
                <w:szCs w:val="16"/>
                <w:lang w:val="en-GB" w:eastAsia="ja-JP"/>
              </w:rPr>
              <w:t>2.7 (8.7) </w:t>
            </w:r>
          </w:p>
        </w:tc>
        <w:tc>
          <w:tcPr>
            <w:tcW w:w="0" w:type="auto"/>
            <w:vAlign w:val="center"/>
            <w:hideMark/>
          </w:tcPr>
          <w:p w14:paraId="0ADAD508" w14:textId="77777777" w:rsidR="00600EE8" w:rsidRPr="00600EE8" w:rsidRDefault="00600EE8" w:rsidP="00600EE8">
            <w:pPr>
              <w:rPr>
                <w:sz w:val="16"/>
                <w:szCs w:val="16"/>
                <w:lang w:val="en-GB" w:eastAsia="ja-JP"/>
              </w:rPr>
            </w:pPr>
            <w:r w:rsidRPr="00600EE8">
              <w:rPr>
                <w:sz w:val="16"/>
                <w:szCs w:val="16"/>
                <w:lang w:val="en-GB" w:eastAsia="ja-JP"/>
              </w:rPr>
              <w:t> </w:t>
            </w:r>
          </w:p>
        </w:tc>
      </w:tr>
    </w:tbl>
    <w:p w14:paraId="287E8787" w14:textId="67096E2C" w:rsidR="00996509" w:rsidRPr="00D33F50" w:rsidRDefault="00996509" w:rsidP="00996509">
      <w:pPr>
        <w:contextualSpacing/>
        <w:rPr>
          <w:sz w:val="16"/>
          <w:szCs w:val="16"/>
        </w:rPr>
      </w:pPr>
      <w:r w:rsidRPr="00996509">
        <w:rPr>
          <w:sz w:val="16"/>
          <w:szCs w:val="16"/>
        </w:rPr>
        <w:t>Note. NR = not reported; PLS = plain language statement; RCT = randomized controlled trial. Dyads indicate that there was both a carer and a person living with dementia. If not otherwise stated, sample size was with people living with dementia only.</w:t>
      </w:r>
    </w:p>
    <w:sectPr w:rsidR="00996509" w:rsidRPr="00D33F50" w:rsidSect="00E353FE">
      <w:pgSz w:w="15840" w:h="12240" w:orient="landscape"/>
      <w:pgMar w:top="1440" w:right="1440" w:bottom="1440" w:left="1440" w:header="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B16FD" w14:textId="77777777" w:rsidR="004B3C54" w:rsidRDefault="004B3C54">
      <w:r>
        <w:separator/>
      </w:r>
    </w:p>
  </w:endnote>
  <w:endnote w:type="continuationSeparator" w:id="0">
    <w:p w14:paraId="3401A099" w14:textId="77777777" w:rsidR="004B3C54" w:rsidRDefault="004B3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9F7E3" w14:textId="77777777" w:rsidR="00D62FEA" w:rsidRDefault="00D62FEA">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0E055" w14:textId="77777777" w:rsidR="004B3C54" w:rsidRDefault="004B3C54">
      <w:r>
        <w:separator/>
      </w:r>
    </w:p>
  </w:footnote>
  <w:footnote w:type="continuationSeparator" w:id="0">
    <w:p w14:paraId="77124F63" w14:textId="77777777" w:rsidR="004B3C54" w:rsidRDefault="004B3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3FD58" w14:textId="77777777" w:rsidR="00D62FEA" w:rsidRDefault="00D62FEA">
    <w:pPr>
      <w:pStyle w:val="Header"/>
    </w:pPr>
  </w:p>
  <w:p w14:paraId="56292D6E" w14:textId="71979034" w:rsidR="00D62FEA" w:rsidRDefault="00D62FEA">
    <w:pPr>
      <w:pStyle w:val="Header"/>
    </w:pPr>
    <w:r>
      <w:t>Recruitment Strategies in Music Therapy</w:t>
    </w:r>
  </w:p>
  <w:p w14:paraId="00FFE97A" w14:textId="60451AFC" w:rsidR="00D62FEA" w:rsidRPr="009110E0" w:rsidRDefault="00D62FEA">
    <w:pPr>
      <w:pStyle w:val="BodyText"/>
      <w:spacing w:line="14" w:lineRule="auto"/>
      <w:rPr>
        <w:sz w:val="2"/>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9A44D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36A2E8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4925F9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CF4BD5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336C5A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025E5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DFA32E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829DD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9E3F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F889D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7B6CFD"/>
    <w:multiLevelType w:val="hybridMultilevel"/>
    <w:tmpl w:val="C8E48CBA"/>
    <w:lvl w:ilvl="0" w:tplc="27E6F3A8">
      <w:start w:val="1"/>
      <w:numFmt w:val="bullet"/>
      <w:lvlText w:val=""/>
      <w:lvlJc w:val="left"/>
      <w:pPr>
        <w:ind w:left="720" w:hanging="360"/>
      </w:pPr>
      <w:rPr>
        <w:rFonts w:ascii="Symbol" w:hAnsi="Symbol" w:hint="default"/>
      </w:rPr>
    </w:lvl>
    <w:lvl w:ilvl="1" w:tplc="F69C495C">
      <w:start w:val="1"/>
      <w:numFmt w:val="bullet"/>
      <w:lvlText w:val="o"/>
      <w:lvlJc w:val="left"/>
      <w:pPr>
        <w:ind w:left="1440" w:hanging="360"/>
      </w:pPr>
      <w:rPr>
        <w:rFonts w:ascii="Courier New" w:hAnsi="Courier New" w:hint="default"/>
      </w:rPr>
    </w:lvl>
    <w:lvl w:ilvl="2" w:tplc="C3307FE8">
      <w:start w:val="1"/>
      <w:numFmt w:val="bullet"/>
      <w:lvlText w:val=""/>
      <w:lvlJc w:val="left"/>
      <w:pPr>
        <w:ind w:left="2160" w:hanging="360"/>
      </w:pPr>
      <w:rPr>
        <w:rFonts w:ascii="Wingdings" w:hAnsi="Wingdings" w:hint="default"/>
      </w:rPr>
    </w:lvl>
    <w:lvl w:ilvl="3" w:tplc="8B62A6B6">
      <w:start w:val="1"/>
      <w:numFmt w:val="bullet"/>
      <w:lvlText w:val=""/>
      <w:lvlJc w:val="left"/>
      <w:pPr>
        <w:ind w:left="2880" w:hanging="360"/>
      </w:pPr>
      <w:rPr>
        <w:rFonts w:ascii="Symbol" w:hAnsi="Symbol" w:hint="default"/>
      </w:rPr>
    </w:lvl>
    <w:lvl w:ilvl="4" w:tplc="32DA1A9C">
      <w:start w:val="1"/>
      <w:numFmt w:val="bullet"/>
      <w:lvlText w:val="o"/>
      <w:lvlJc w:val="left"/>
      <w:pPr>
        <w:ind w:left="3600" w:hanging="360"/>
      </w:pPr>
      <w:rPr>
        <w:rFonts w:ascii="Courier New" w:hAnsi="Courier New" w:hint="default"/>
      </w:rPr>
    </w:lvl>
    <w:lvl w:ilvl="5" w:tplc="567E7F32">
      <w:start w:val="1"/>
      <w:numFmt w:val="bullet"/>
      <w:lvlText w:val=""/>
      <w:lvlJc w:val="left"/>
      <w:pPr>
        <w:ind w:left="4320" w:hanging="360"/>
      </w:pPr>
      <w:rPr>
        <w:rFonts w:ascii="Wingdings" w:hAnsi="Wingdings" w:hint="default"/>
      </w:rPr>
    </w:lvl>
    <w:lvl w:ilvl="6" w:tplc="35C4289A">
      <w:start w:val="1"/>
      <w:numFmt w:val="bullet"/>
      <w:lvlText w:val=""/>
      <w:lvlJc w:val="left"/>
      <w:pPr>
        <w:ind w:left="5040" w:hanging="360"/>
      </w:pPr>
      <w:rPr>
        <w:rFonts w:ascii="Symbol" w:hAnsi="Symbol" w:hint="default"/>
      </w:rPr>
    </w:lvl>
    <w:lvl w:ilvl="7" w:tplc="01C88E02">
      <w:start w:val="1"/>
      <w:numFmt w:val="bullet"/>
      <w:lvlText w:val="o"/>
      <w:lvlJc w:val="left"/>
      <w:pPr>
        <w:ind w:left="5760" w:hanging="360"/>
      </w:pPr>
      <w:rPr>
        <w:rFonts w:ascii="Courier New" w:hAnsi="Courier New" w:hint="default"/>
      </w:rPr>
    </w:lvl>
    <w:lvl w:ilvl="8" w:tplc="641272FE">
      <w:start w:val="1"/>
      <w:numFmt w:val="bullet"/>
      <w:lvlText w:val=""/>
      <w:lvlJc w:val="left"/>
      <w:pPr>
        <w:ind w:left="6480" w:hanging="360"/>
      </w:pPr>
      <w:rPr>
        <w:rFonts w:ascii="Wingdings" w:hAnsi="Wingdings" w:hint="default"/>
      </w:rPr>
    </w:lvl>
  </w:abstractNum>
  <w:abstractNum w:abstractNumId="11" w15:restartNumberingAfterBreak="0">
    <w:nsid w:val="0CE447F0"/>
    <w:multiLevelType w:val="hybridMultilevel"/>
    <w:tmpl w:val="FF425226"/>
    <w:lvl w:ilvl="0" w:tplc="D6169324">
      <w:start w:val="1"/>
      <w:numFmt w:val="bullet"/>
      <w:lvlText w:val=""/>
      <w:lvlJc w:val="left"/>
      <w:pPr>
        <w:ind w:left="720" w:hanging="360"/>
      </w:pPr>
      <w:rPr>
        <w:rFonts w:ascii="Symbol" w:hAnsi="Symbol" w:hint="default"/>
      </w:rPr>
    </w:lvl>
    <w:lvl w:ilvl="1" w:tplc="5B32E264">
      <w:start w:val="1"/>
      <w:numFmt w:val="bullet"/>
      <w:lvlText w:val="o"/>
      <w:lvlJc w:val="left"/>
      <w:pPr>
        <w:ind w:left="1440" w:hanging="360"/>
      </w:pPr>
      <w:rPr>
        <w:rFonts w:ascii="Courier New" w:hAnsi="Courier New" w:hint="default"/>
      </w:rPr>
    </w:lvl>
    <w:lvl w:ilvl="2" w:tplc="9328FDEE">
      <w:start w:val="1"/>
      <w:numFmt w:val="bullet"/>
      <w:lvlText w:val=""/>
      <w:lvlJc w:val="left"/>
      <w:pPr>
        <w:ind w:left="2160" w:hanging="360"/>
      </w:pPr>
      <w:rPr>
        <w:rFonts w:ascii="Wingdings" w:hAnsi="Wingdings" w:hint="default"/>
      </w:rPr>
    </w:lvl>
    <w:lvl w:ilvl="3" w:tplc="4D3A0100">
      <w:start w:val="1"/>
      <w:numFmt w:val="bullet"/>
      <w:lvlText w:val=""/>
      <w:lvlJc w:val="left"/>
      <w:pPr>
        <w:ind w:left="2880" w:hanging="360"/>
      </w:pPr>
      <w:rPr>
        <w:rFonts w:ascii="Symbol" w:hAnsi="Symbol" w:hint="default"/>
      </w:rPr>
    </w:lvl>
    <w:lvl w:ilvl="4" w:tplc="BD502B40">
      <w:start w:val="1"/>
      <w:numFmt w:val="bullet"/>
      <w:lvlText w:val="o"/>
      <w:lvlJc w:val="left"/>
      <w:pPr>
        <w:ind w:left="3600" w:hanging="360"/>
      </w:pPr>
      <w:rPr>
        <w:rFonts w:ascii="Courier New" w:hAnsi="Courier New" w:hint="default"/>
      </w:rPr>
    </w:lvl>
    <w:lvl w:ilvl="5" w:tplc="B1DAA88C">
      <w:start w:val="1"/>
      <w:numFmt w:val="bullet"/>
      <w:lvlText w:val=""/>
      <w:lvlJc w:val="left"/>
      <w:pPr>
        <w:ind w:left="4320" w:hanging="360"/>
      </w:pPr>
      <w:rPr>
        <w:rFonts w:ascii="Wingdings" w:hAnsi="Wingdings" w:hint="default"/>
      </w:rPr>
    </w:lvl>
    <w:lvl w:ilvl="6" w:tplc="6B785BA4">
      <w:start w:val="1"/>
      <w:numFmt w:val="bullet"/>
      <w:lvlText w:val=""/>
      <w:lvlJc w:val="left"/>
      <w:pPr>
        <w:ind w:left="5040" w:hanging="360"/>
      </w:pPr>
      <w:rPr>
        <w:rFonts w:ascii="Symbol" w:hAnsi="Symbol" w:hint="default"/>
      </w:rPr>
    </w:lvl>
    <w:lvl w:ilvl="7" w:tplc="F4D88F58">
      <w:start w:val="1"/>
      <w:numFmt w:val="bullet"/>
      <w:lvlText w:val="o"/>
      <w:lvlJc w:val="left"/>
      <w:pPr>
        <w:ind w:left="5760" w:hanging="360"/>
      </w:pPr>
      <w:rPr>
        <w:rFonts w:ascii="Courier New" w:hAnsi="Courier New" w:hint="default"/>
      </w:rPr>
    </w:lvl>
    <w:lvl w:ilvl="8" w:tplc="B4F2410E">
      <w:start w:val="1"/>
      <w:numFmt w:val="bullet"/>
      <w:lvlText w:val=""/>
      <w:lvlJc w:val="left"/>
      <w:pPr>
        <w:ind w:left="6480" w:hanging="360"/>
      </w:pPr>
      <w:rPr>
        <w:rFonts w:ascii="Wingdings" w:hAnsi="Wingdings" w:hint="default"/>
      </w:rPr>
    </w:lvl>
  </w:abstractNum>
  <w:abstractNum w:abstractNumId="12" w15:restartNumberingAfterBreak="0">
    <w:nsid w:val="15E40536"/>
    <w:multiLevelType w:val="hybridMultilevel"/>
    <w:tmpl w:val="15469D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0F1DC8"/>
    <w:multiLevelType w:val="hybridMultilevel"/>
    <w:tmpl w:val="4C3AABA8"/>
    <w:lvl w:ilvl="0" w:tplc="CB40CC94">
      <w:start w:val="1"/>
      <w:numFmt w:val="bullet"/>
      <w:lvlText w:val=""/>
      <w:lvlJc w:val="left"/>
      <w:pPr>
        <w:tabs>
          <w:tab w:val="num" w:pos="720"/>
        </w:tabs>
        <w:ind w:left="720" w:hanging="360"/>
      </w:pPr>
      <w:rPr>
        <w:rFonts w:ascii="Symbol" w:hAnsi="Symbol" w:hint="default"/>
        <w:sz w:val="20"/>
      </w:rPr>
    </w:lvl>
    <w:lvl w:ilvl="1" w:tplc="F6BAD5FA" w:tentative="1">
      <w:start w:val="1"/>
      <w:numFmt w:val="bullet"/>
      <w:lvlText w:val=""/>
      <w:lvlJc w:val="left"/>
      <w:pPr>
        <w:tabs>
          <w:tab w:val="num" w:pos="1440"/>
        </w:tabs>
        <w:ind w:left="1440" w:hanging="360"/>
      </w:pPr>
      <w:rPr>
        <w:rFonts w:ascii="Symbol" w:hAnsi="Symbol" w:hint="default"/>
        <w:sz w:val="20"/>
      </w:rPr>
    </w:lvl>
    <w:lvl w:ilvl="2" w:tplc="7FBCED40" w:tentative="1">
      <w:start w:val="1"/>
      <w:numFmt w:val="bullet"/>
      <w:lvlText w:val=""/>
      <w:lvlJc w:val="left"/>
      <w:pPr>
        <w:tabs>
          <w:tab w:val="num" w:pos="2160"/>
        </w:tabs>
        <w:ind w:left="2160" w:hanging="360"/>
      </w:pPr>
      <w:rPr>
        <w:rFonts w:ascii="Symbol" w:hAnsi="Symbol" w:hint="default"/>
        <w:sz w:val="20"/>
      </w:rPr>
    </w:lvl>
    <w:lvl w:ilvl="3" w:tplc="31503B4C" w:tentative="1">
      <w:start w:val="1"/>
      <w:numFmt w:val="bullet"/>
      <w:lvlText w:val=""/>
      <w:lvlJc w:val="left"/>
      <w:pPr>
        <w:tabs>
          <w:tab w:val="num" w:pos="2880"/>
        </w:tabs>
        <w:ind w:left="2880" w:hanging="360"/>
      </w:pPr>
      <w:rPr>
        <w:rFonts w:ascii="Symbol" w:hAnsi="Symbol" w:hint="default"/>
        <w:sz w:val="20"/>
      </w:rPr>
    </w:lvl>
    <w:lvl w:ilvl="4" w:tplc="2DC6724E" w:tentative="1">
      <w:start w:val="1"/>
      <w:numFmt w:val="bullet"/>
      <w:lvlText w:val=""/>
      <w:lvlJc w:val="left"/>
      <w:pPr>
        <w:tabs>
          <w:tab w:val="num" w:pos="3600"/>
        </w:tabs>
        <w:ind w:left="3600" w:hanging="360"/>
      </w:pPr>
      <w:rPr>
        <w:rFonts w:ascii="Symbol" w:hAnsi="Symbol" w:hint="default"/>
        <w:sz w:val="20"/>
      </w:rPr>
    </w:lvl>
    <w:lvl w:ilvl="5" w:tplc="93606E74" w:tentative="1">
      <w:start w:val="1"/>
      <w:numFmt w:val="bullet"/>
      <w:lvlText w:val=""/>
      <w:lvlJc w:val="left"/>
      <w:pPr>
        <w:tabs>
          <w:tab w:val="num" w:pos="4320"/>
        </w:tabs>
        <w:ind w:left="4320" w:hanging="360"/>
      </w:pPr>
      <w:rPr>
        <w:rFonts w:ascii="Symbol" w:hAnsi="Symbol" w:hint="default"/>
        <w:sz w:val="20"/>
      </w:rPr>
    </w:lvl>
    <w:lvl w:ilvl="6" w:tplc="E85A83CE" w:tentative="1">
      <w:start w:val="1"/>
      <w:numFmt w:val="bullet"/>
      <w:lvlText w:val=""/>
      <w:lvlJc w:val="left"/>
      <w:pPr>
        <w:tabs>
          <w:tab w:val="num" w:pos="5040"/>
        </w:tabs>
        <w:ind w:left="5040" w:hanging="360"/>
      </w:pPr>
      <w:rPr>
        <w:rFonts w:ascii="Symbol" w:hAnsi="Symbol" w:hint="default"/>
        <w:sz w:val="20"/>
      </w:rPr>
    </w:lvl>
    <w:lvl w:ilvl="7" w:tplc="FAA066F6" w:tentative="1">
      <w:start w:val="1"/>
      <w:numFmt w:val="bullet"/>
      <w:lvlText w:val=""/>
      <w:lvlJc w:val="left"/>
      <w:pPr>
        <w:tabs>
          <w:tab w:val="num" w:pos="5760"/>
        </w:tabs>
        <w:ind w:left="5760" w:hanging="360"/>
      </w:pPr>
      <w:rPr>
        <w:rFonts w:ascii="Symbol" w:hAnsi="Symbol" w:hint="default"/>
        <w:sz w:val="20"/>
      </w:rPr>
    </w:lvl>
    <w:lvl w:ilvl="8" w:tplc="645C79D6"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C25303D"/>
    <w:multiLevelType w:val="hybridMultilevel"/>
    <w:tmpl w:val="34C60C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9552D5"/>
    <w:multiLevelType w:val="hybridMultilevel"/>
    <w:tmpl w:val="66BA8268"/>
    <w:lvl w:ilvl="0" w:tplc="6756A5D0">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FE5B94"/>
    <w:multiLevelType w:val="hybridMultilevel"/>
    <w:tmpl w:val="EDEAAC78"/>
    <w:lvl w:ilvl="0" w:tplc="0E64569E">
      <w:start w:val="1"/>
      <w:numFmt w:val="decimal"/>
      <w:lvlText w:val="%1."/>
      <w:lvlJc w:val="left"/>
      <w:pPr>
        <w:ind w:left="375" w:hanging="205"/>
        <w:jc w:val="right"/>
      </w:pPr>
      <w:rPr>
        <w:rFonts w:ascii="Times New Roman" w:eastAsia="Times New Roman" w:hAnsi="Times New Roman" w:cs="Times New Roman" w:hint="default"/>
        <w:w w:val="99"/>
        <w:sz w:val="14"/>
        <w:szCs w:val="14"/>
      </w:rPr>
    </w:lvl>
    <w:lvl w:ilvl="1" w:tplc="79B0F254">
      <w:numFmt w:val="bullet"/>
      <w:lvlText w:val="•"/>
      <w:lvlJc w:val="left"/>
      <w:pPr>
        <w:ind w:left="830" w:hanging="205"/>
      </w:pPr>
      <w:rPr>
        <w:rFonts w:hint="default"/>
      </w:rPr>
    </w:lvl>
    <w:lvl w:ilvl="2" w:tplc="2A02EBCA">
      <w:numFmt w:val="bullet"/>
      <w:lvlText w:val="•"/>
      <w:lvlJc w:val="left"/>
      <w:pPr>
        <w:ind w:left="1280" w:hanging="205"/>
      </w:pPr>
      <w:rPr>
        <w:rFonts w:hint="default"/>
      </w:rPr>
    </w:lvl>
    <w:lvl w:ilvl="3" w:tplc="637CE7E8">
      <w:numFmt w:val="bullet"/>
      <w:lvlText w:val="•"/>
      <w:lvlJc w:val="left"/>
      <w:pPr>
        <w:ind w:left="1731" w:hanging="205"/>
      </w:pPr>
      <w:rPr>
        <w:rFonts w:hint="default"/>
      </w:rPr>
    </w:lvl>
    <w:lvl w:ilvl="4" w:tplc="722A21DE">
      <w:numFmt w:val="bullet"/>
      <w:lvlText w:val="•"/>
      <w:lvlJc w:val="left"/>
      <w:pPr>
        <w:ind w:left="2181" w:hanging="205"/>
      </w:pPr>
      <w:rPr>
        <w:rFonts w:hint="default"/>
      </w:rPr>
    </w:lvl>
    <w:lvl w:ilvl="5" w:tplc="A3FC71BC">
      <w:numFmt w:val="bullet"/>
      <w:lvlText w:val="•"/>
      <w:lvlJc w:val="left"/>
      <w:pPr>
        <w:ind w:left="2631" w:hanging="205"/>
      </w:pPr>
      <w:rPr>
        <w:rFonts w:hint="default"/>
      </w:rPr>
    </w:lvl>
    <w:lvl w:ilvl="6" w:tplc="A4306794">
      <w:numFmt w:val="bullet"/>
      <w:lvlText w:val="•"/>
      <w:lvlJc w:val="left"/>
      <w:pPr>
        <w:ind w:left="3082" w:hanging="205"/>
      </w:pPr>
      <w:rPr>
        <w:rFonts w:hint="default"/>
      </w:rPr>
    </w:lvl>
    <w:lvl w:ilvl="7" w:tplc="F5C2DF10">
      <w:numFmt w:val="bullet"/>
      <w:lvlText w:val="•"/>
      <w:lvlJc w:val="left"/>
      <w:pPr>
        <w:ind w:left="3532" w:hanging="205"/>
      </w:pPr>
      <w:rPr>
        <w:rFonts w:hint="default"/>
      </w:rPr>
    </w:lvl>
    <w:lvl w:ilvl="8" w:tplc="2E667D58">
      <w:numFmt w:val="bullet"/>
      <w:lvlText w:val="•"/>
      <w:lvlJc w:val="left"/>
      <w:pPr>
        <w:ind w:left="3982" w:hanging="205"/>
      </w:pPr>
      <w:rPr>
        <w:rFonts w:hint="default"/>
      </w:rPr>
    </w:lvl>
  </w:abstractNum>
  <w:abstractNum w:abstractNumId="17" w15:restartNumberingAfterBreak="0">
    <w:nsid w:val="3F113F31"/>
    <w:multiLevelType w:val="hybridMultilevel"/>
    <w:tmpl w:val="2F148AB2"/>
    <w:lvl w:ilvl="0" w:tplc="172EC5A6">
      <w:numFmt w:val="bullet"/>
      <w:lvlText w:val="-"/>
      <w:lvlJc w:val="left"/>
      <w:pPr>
        <w:ind w:left="720" w:hanging="360"/>
      </w:pPr>
      <w:rPr>
        <w:rFonts w:ascii="Arial" w:eastAsia="Times New Roman" w:hAnsi="Arial" w:cs="Aria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41AC1D10"/>
    <w:multiLevelType w:val="hybridMultilevel"/>
    <w:tmpl w:val="2EB0A0A6"/>
    <w:lvl w:ilvl="0" w:tplc="FE743262">
      <w:start w:val="1"/>
      <w:numFmt w:val="bullet"/>
      <w:lvlText w:val=""/>
      <w:lvlJc w:val="left"/>
      <w:pPr>
        <w:tabs>
          <w:tab w:val="num" w:pos="720"/>
        </w:tabs>
        <w:ind w:left="720" w:hanging="360"/>
      </w:pPr>
      <w:rPr>
        <w:rFonts w:ascii="Symbol" w:hAnsi="Symbol" w:hint="default"/>
        <w:sz w:val="20"/>
      </w:rPr>
    </w:lvl>
    <w:lvl w:ilvl="1" w:tplc="550AF37C" w:tentative="1">
      <w:start w:val="1"/>
      <w:numFmt w:val="bullet"/>
      <w:lvlText w:val=""/>
      <w:lvlJc w:val="left"/>
      <w:pPr>
        <w:tabs>
          <w:tab w:val="num" w:pos="1440"/>
        </w:tabs>
        <w:ind w:left="1440" w:hanging="360"/>
      </w:pPr>
      <w:rPr>
        <w:rFonts w:ascii="Symbol" w:hAnsi="Symbol" w:hint="default"/>
        <w:sz w:val="20"/>
      </w:rPr>
    </w:lvl>
    <w:lvl w:ilvl="2" w:tplc="77405102" w:tentative="1">
      <w:start w:val="1"/>
      <w:numFmt w:val="bullet"/>
      <w:lvlText w:val=""/>
      <w:lvlJc w:val="left"/>
      <w:pPr>
        <w:tabs>
          <w:tab w:val="num" w:pos="2160"/>
        </w:tabs>
        <w:ind w:left="2160" w:hanging="360"/>
      </w:pPr>
      <w:rPr>
        <w:rFonts w:ascii="Symbol" w:hAnsi="Symbol" w:hint="default"/>
        <w:sz w:val="20"/>
      </w:rPr>
    </w:lvl>
    <w:lvl w:ilvl="3" w:tplc="1FA45BC2" w:tentative="1">
      <w:start w:val="1"/>
      <w:numFmt w:val="bullet"/>
      <w:lvlText w:val=""/>
      <w:lvlJc w:val="left"/>
      <w:pPr>
        <w:tabs>
          <w:tab w:val="num" w:pos="2880"/>
        </w:tabs>
        <w:ind w:left="2880" w:hanging="360"/>
      </w:pPr>
      <w:rPr>
        <w:rFonts w:ascii="Symbol" w:hAnsi="Symbol" w:hint="default"/>
        <w:sz w:val="20"/>
      </w:rPr>
    </w:lvl>
    <w:lvl w:ilvl="4" w:tplc="86F4C32E" w:tentative="1">
      <w:start w:val="1"/>
      <w:numFmt w:val="bullet"/>
      <w:lvlText w:val=""/>
      <w:lvlJc w:val="left"/>
      <w:pPr>
        <w:tabs>
          <w:tab w:val="num" w:pos="3600"/>
        </w:tabs>
        <w:ind w:left="3600" w:hanging="360"/>
      </w:pPr>
      <w:rPr>
        <w:rFonts w:ascii="Symbol" w:hAnsi="Symbol" w:hint="default"/>
        <w:sz w:val="20"/>
      </w:rPr>
    </w:lvl>
    <w:lvl w:ilvl="5" w:tplc="416C2EC0" w:tentative="1">
      <w:start w:val="1"/>
      <w:numFmt w:val="bullet"/>
      <w:lvlText w:val=""/>
      <w:lvlJc w:val="left"/>
      <w:pPr>
        <w:tabs>
          <w:tab w:val="num" w:pos="4320"/>
        </w:tabs>
        <w:ind w:left="4320" w:hanging="360"/>
      </w:pPr>
      <w:rPr>
        <w:rFonts w:ascii="Symbol" w:hAnsi="Symbol" w:hint="default"/>
        <w:sz w:val="20"/>
      </w:rPr>
    </w:lvl>
    <w:lvl w:ilvl="6" w:tplc="05F62C60" w:tentative="1">
      <w:start w:val="1"/>
      <w:numFmt w:val="bullet"/>
      <w:lvlText w:val=""/>
      <w:lvlJc w:val="left"/>
      <w:pPr>
        <w:tabs>
          <w:tab w:val="num" w:pos="5040"/>
        </w:tabs>
        <w:ind w:left="5040" w:hanging="360"/>
      </w:pPr>
      <w:rPr>
        <w:rFonts w:ascii="Symbol" w:hAnsi="Symbol" w:hint="default"/>
        <w:sz w:val="20"/>
      </w:rPr>
    </w:lvl>
    <w:lvl w:ilvl="7" w:tplc="E5E29086" w:tentative="1">
      <w:start w:val="1"/>
      <w:numFmt w:val="bullet"/>
      <w:lvlText w:val=""/>
      <w:lvlJc w:val="left"/>
      <w:pPr>
        <w:tabs>
          <w:tab w:val="num" w:pos="5760"/>
        </w:tabs>
        <w:ind w:left="5760" w:hanging="360"/>
      </w:pPr>
      <w:rPr>
        <w:rFonts w:ascii="Symbol" w:hAnsi="Symbol" w:hint="default"/>
        <w:sz w:val="20"/>
      </w:rPr>
    </w:lvl>
    <w:lvl w:ilvl="8" w:tplc="0C00AE8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E7645F"/>
    <w:multiLevelType w:val="hybridMultilevel"/>
    <w:tmpl w:val="DDB64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835ABB"/>
    <w:multiLevelType w:val="hybridMultilevel"/>
    <w:tmpl w:val="FC2E2844"/>
    <w:lvl w:ilvl="0" w:tplc="3904CD88">
      <w:start w:val="1"/>
      <w:numFmt w:val="decimal"/>
      <w:lvlText w:val="%1."/>
      <w:lvlJc w:val="left"/>
      <w:pPr>
        <w:ind w:left="720" w:hanging="360"/>
      </w:pPr>
    </w:lvl>
    <w:lvl w:ilvl="1" w:tplc="5C943018">
      <w:start w:val="1"/>
      <w:numFmt w:val="lowerLetter"/>
      <w:lvlText w:val="%2."/>
      <w:lvlJc w:val="left"/>
      <w:pPr>
        <w:ind w:left="1440" w:hanging="360"/>
      </w:pPr>
    </w:lvl>
    <w:lvl w:ilvl="2" w:tplc="5FF21C58">
      <w:start w:val="1"/>
      <w:numFmt w:val="lowerRoman"/>
      <w:lvlText w:val="%3."/>
      <w:lvlJc w:val="right"/>
      <w:pPr>
        <w:ind w:left="2160" w:hanging="180"/>
      </w:pPr>
    </w:lvl>
    <w:lvl w:ilvl="3" w:tplc="B3AA02E0">
      <w:start w:val="1"/>
      <w:numFmt w:val="decimal"/>
      <w:lvlText w:val="%4."/>
      <w:lvlJc w:val="left"/>
      <w:pPr>
        <w:ind w:left="2880" w:hanging="360"/>
      </w:pPr>
    </w:lvl>
    <w:lvl w:ilvl="4" w:tplc="B144EBAC">
      <w:start w:val="1"/>
      <w:numFmt w:val="lowerLetter"/>
      <w:lvlText w:val="%5."/>
      <w:lvlJc w:val="left"/>
      <w:pPr>
        <w:ind w:left="3600" w:hanging="360"/>
      </w:pPr>
    </w:lvl>
    <w:lvl w:ilvl="5" w:tplc="DD7095F6">
      <w:start w:val="1"/>
      <w:numFmt w:val="lowerRoman"/>
      <w:lvlText w:val="%6."/>
      <w:lvlJc w:val="right"/>
      <w:pPr>
        <w:ind w:left="4320" w:hanging="180"/>
      </w:pPr>
    </w:lvl>
    <w:lvl w:ilvl="6" w:tplc="7E34F87E">
      <w:start w:val="1"/>
      <w:numFmt w:val="decimal"/>
      <w:lvlText w:val="%7."/>
      <w:lvlJc w:val="left"/>
      <w:pPr>
        <w:ind w:left="5040" w:hanging="360"/>
      </w:pPr>
    </w:lvl>
    <w:lvl w:ilvl="7" w:tplc="80D8620E">
      <w:start w:val="1"/>
      <w:numFmt w:val="lowerLetter"/>
      <w:lvlText w:val="%8."/>
      <w:lvlJc w:val="left"/>
      <w:pPr>
        <w:ind w:left="5760" w:hanging="360"/>
      </w:pPr>
    </w:lvl>
    <w:lvl w:ilvl="8" w:tplc="2E9683C0">
      <w:start w:val="1"/>
      <w:numFmt w:val="lowerRoman"/>
      <w:lvlText w:val="%9."/>
      <w:lvlJc w:val="right"/>
      <w:pPr>
        <w:ind w:left="6480" w:hanging="180"/>
      </w:pPr>
    </w:lvl>
  </w:abstractNum>
  <w:abstractNum w:abstractNumId="21" w15:restartNumberingAfterBreak="0">
    <w:nsid w:val="56583573"/>
    <w:multiLevelType w:val="hybridMultilevel"/>
    <w:tmpl w:val="7F6CD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5B1642"/>
    <w:multiLevelType w:val="hybridMultilevel"/>
    <w:tmpl w:val="9732FB1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0A153CF"/>
    <w:multiLevelType w:val="hybridMultilevel"/>
    <w:tmpl w:val="B5C03F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55E08C5"/>
    <w:multiLevelType w:val="hybridMultilevel"/>
    <w:tmpl w:val="3DD814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FA7738"/>
    <w:multiLevelType w:val="hybridMultilevel"/>
    <w:tmpl w:val="D8B6375E"/>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68C635C7"/>
    <w:multiLevelType w:val="hybridMultilevel"/>
    <w:tmpl w:val="23527F4E"/>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756D314C"/>
    <w:multiLevelType w:val="hybridMultilevel"/>
    <w:tmpl w:val="E138B222"/>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78064244"/>
    <w:multiLevelType w:val="hybridMultilevel"/>
    <w:tmpl w:val="E884A158"/>
    <w:lvl w:ilvl="0" w:tplc="497C7108">
      <w:start w:val="1"/>
      <w:numFmt w:val="bullet"/>
      <w:lvlText w:val=""/>
      <w:lvlJc w:val="left"/>
      <w:pPr>
        <w:ind w:left="720" w:hanging="360"/>
      </w:pPr>
      <w:rPr>
        <w:rFonts w:ascii="Symbol" w:hAnsi="Symbol" w:hint="default"/>
      </w:rPr>
    </w:lvl>
    <w:lvl w:ilvl="1" w:tplc="D9C4F2CE">
      <w:start w:val="1"/>
      <w:numFmt w:val="bullet"/>
      <w:lvlText w:val="o"/>
      <w:lvlJc w:val="left"/>
      <w:pPr>
        <w:ind w:left="1440" w:hanging="360"/>
      </w:pPr>
      <w:rPr>
        <w:rFonts w:ascii="Courier New" w:hAnsi="Courier New" w:hint="default"/>
      </w:rPr>
    </w:lvl>
    <w:lvl w:ilvl="2" w:tplc="7674D2FE">
      <w:start w:val="1"/>
      <w:numFmt w:val="bullet"/>
      <w:lvlText w:val=""/>
      <w:lvlJc w:val="left"/>
      <w:pPr>
        <w:ind w:left="2160" w:hanging="360"/>
      </w:pPr>
      <w:rPr>
        <w:rFonts w:ascii="Wingdings" w:hAnsi="Wingdings" w:hint="default"/>
      </w:rPr>
    </w:lvl>
    <w:lvl w:ilvl="3" w:tplc="F04AC500">
      <w:start w:val="1"/>
      <w:numFmt w:val="bullet"/>
      <w:lvlText w:val=""/>
      <w:lvlJc w:val="left"/>
      <w:pPr>
        <w:ind w:left="2880" w:hanging="360"/>
      </w:pPr>
      <w:rPr>
        <w:rFonts w:ascii="Symbol" w:hAnsi="Symbol" w:hint="default"/>
      </w:rPr>
    </w:lvl>
    <w:lvl w:ilvl="4" w:tplc="19705018">
      <w:start w:val="1"/>
      <w:numFmt w:val="bullet"/>
      <w:lvlText w:val="o"/>
      <w:lvlJc w:val="left"/>
      <w:pPr>
        <w:ind w:left="3600" w:hanging="360"/>
      </w:pPr>
      <w:rPr>
        <w:rFonts w:ascii="Courier New" w:hAnsi="Courier New" w:hint="default"/>
      </w:rPr>
    </w:lvl>
    <w:lvl w:ilvl="5" w:tplc="17B610C6">
      <w:start w:val="1"/>
      <w:numFmt w:val="bullet"/>
      <w:lvlText w:val=""/>
      <w:lvlJc w:val="left"/>
      <w:pPr>
        <w:ind w:left="4320" w:hanging="360"/>
      </w:pPr>
      <w:rPr>
        <w:rFonts w:ascii="Wingdings" w:hAnsi="Wingdings" w:hint="default"/>
      </w:rPr>
    </w:lvl>
    <w:lvl w:ilvl="6" w:tplc="BB401280">
      <w:start w:val="1"/>
      <w:numFmt w:val="bullet"/>
      <w:lvlText w:val=""/>
      <w:lvlJc w:val="left"/>
      <w:pPr>
        <w:ind w:left="5040" w:hanging="360"/>
      </w:pPr>
      <w:rPr>
        <w:rFonts w:ascii="Symbol" w:hAnsi="Symbol" w:hint="default"/>
      </w:rPr>
    </w:lvl>
    <w:lvl w:ilvl="7" w:tplc="01D0E56C">
      <w:start w:val="1"/>
      <w:numFmt w:val="bullet"/>
      <w:lvlText w:val="o"/>
      <w:lvlJc w:val="left"/>
      <w:pPr>
        <w:ind w:left="5760" w:hanging="360"/>
      </w:pPr>
      <w:rPr>
        <w:rFonts w:ascii="Courier New" w:hAnsi="Courier New" w:hint="default"/>
      </w:rPr>
    </w:lvl>
    <w:lvl w:ilvl="8" w:tplc="0AD299A0">
      <w:start w:val="1"/>
      <w:numFmt w:val="bullet"/>
      <w:lvlText w:val=""/>
      <w:lvlJc w:val="left"/>
      <w:pPr>
        <w:ind w:left="6480" w:hanging="360"/>
      </w:pPr>
      <w:rPr>
        <w:rFonts w:ascii="Wingdings" w:hAnsi="Wingdings" w:hint="default"/>
      </w:rPr>
    </w:lvl>
  </w:abstractNum>
  <w:abstractNum w:abstractNumId="29" w15:restartNumberingAfterBreak="0">
    <w:nsid w:val="78B45DC9"/>
    <w:multiLevelType w:val="hybridMultilevel"/>
    <w:tmpl w:val="D6364E8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0"/>
  </w:num>
  <w:num w:numId="2">
    <w:abstractNumId w:val="10"/>
  </w:num>
  <w:num w:numId="3">
    <w:abstractNumId w:val="11"/>
  </w:num>
  <w:num w:numId="4">
    <w:abstractNumId w:val="28"/>
  </w:num>
  <w:num w:numId="5">
    <w:abstractNumId w:val="16"/>
  </w:num>
  <w:num w:numId="6">
    <w:abstractNumId w:val="14"/>
  </w:num>
  <w:num w:numId="7">
    <w:abstractNumId w:val="21"/>
  </w:num>
  <w:num w:numId="8">
    <w:abstractNumId w:val="13"/>
  </w:num>
  <w:num w:numId="9">
    <w:abstractNumId w:val="18"/>
  </w:num>
  <w:num w:numId="10">
    <w:abstractNumId w:val="19"/>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4"/>
  </w:num>
  <w:num w:numId="16">
    <w:abstractNumId w:val="15"/>
  </w:num>
  <w:num w:numId="17">
    <w:abstractNumId w:val="23"/>
  </w:num>
  <w:num w:numId="18">
    <w:abstractNumId w:val="12"/>
  </w:num>
  <w:num w:numId="19">
    <w:abstractNumId w:val="25"/>
  </w:num>
  <w:num w:numId="20">
    <w:abstractNumId w:val="26"/>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9BA"/>
    <w:rsid w:val="000048CA"/>
    <w:rsid w:val="00017C30"/>
    <w:rsid w:val="00021888"/>
    <w:rsid w:val="00023488"/>
    <w:rsid w:val="000348AD"/>
    <w:rsid w:val="0004615F"/>
    <w:rsid w:val="00056341"/>
    <w:rsid w:val="000627A8"/>
    <w:rsid w:val="000638C6"/>
    <w:rsid w:val="00065201"/>
    <w:rsid w:val="0007181E"/>
    <w:rsid w:val="00071EB6"/>
    <w:rsid w:val="00077B31"/>
    <w:rsid w:val="000821E5"/>
    <w:rsid w:val="00083FAE"/>
    <w:rsid w:val="00090096"/>
    <w:rsid w:val="000937B1"/>
    <w:rsid w:val="00097994"/>
    <w:rsid w:val="000A3FEA"/>
    <w:rsid w:val="000A7FB3"/>
    <w:rsid w:val="000B7131"/>
    <w:rsid w:val="000C2091"/>
    <w:rsid w:val="000C5898"/>
    <w:rsid w:val="000C629D"/>
    <w:rsid w:val="000E1243"/>
    <w:rsid w:val="000E1342"/>
    <w:rsid w:val="000E271D"/>
    <w:rsid w:val="000E6B73"/>
    <w:rsid w:val="000F0BF3"/>
    <w:rsid w:val="000F2B07"/>
    <w:rsid w:val="000F5556"/>
    <w:rsid w:val="000F6BA6"/>
    <w:rsid w:val="000F7A14"/>
    <w:rsid w:val="0012165E"/>
    <w:rsid w:val="00144B99"/>
    <w:rsid w:val="001814C0"/>
    <w:rsid w:val="00186D4A"/>
    <w:rsid w:val="00187A6D"/>
    <w:rsid w:val="00195788"/>
    <w:rsid w:val="001A17B7"/>
    <w:rsid w:val="001A4557"/>
    <w:rsid w:val="001A5973"/>
    <w:rsid w:val="001B1143"/>
    <w:rsid w:val="001C5C51"/>
    <w:rsid w:val="001C6B03"/>
    <w:rsid w:val="001D3323"/>
    <w:rsid w:val="001D5488"/>
    <w:rsid w:val="001E2225"/>
    <w:rsid w:val="001E7256"/>
    <w:rsid w:val="00221FF9"/>
    <w:rsid w:val="00237494"/>
    <w:rsid w:val="00237533"/>
    <w:rsid w:val="0023753C"/>
    <w:rsid w:val="0024056A"/>
    <w:rsid w:val="002473BF"/>
    <w:rsid w:val="00252CFF"/>
    <w:rsid w:val="00254BA5"/>
    <w:rsid w:val="0026723E"/>
    <w:rsid w:val="00273E25"/>
    <w:rsid w:val="002840A6"/>
    <w:rsid w:val="00286587"/>
    <w:rsid w:val="002878AB"/>
    <w:rsid w:val="002904CB"/>
    <w:rsid w:val="002906EB"/>
    <w:rsid w:val="002A6154"/>
    <w:rsid w:val="002B387B"/>
    <w:rsid w:val="002B5160"/>
    <w:rsid w:val="002B54FF"/>
    <w:rsid w:val="002D2834"/>
    <w:rsid w:val="002D4649"/>
    <w:rsid w:val="002D67B3"/>
    <w:rsid w:val="002E285E"/>
    <w:rsid w:val="002E3907"/>
    <w:rsid w:val="002E5AB5"/>
    <w:rsid w:val="002F539F"/>
    <w:rsid w:val="0030724B"/>
    <w:rsid w:val="00311466"/>
    <w:rsid w:val="003121F6"/>
    <w:rsid w:val="00312C82"/>
    <w:rsid w:val="00315609"/>
    <w:rsid w:val="0032395B"/>
    <w:rsid w:val="00325EF2"/>
    <w:rsid w:val="00337007"/>
    <w:rsid w:val="00340D2F"/>
    <w:rsid w:val="00356F8E"/>
    <w:rsid w:val="0037318E"/>
    <w:rsid w:val="00375F7D"/>
    <w:rsid w:val="00385FBD"/>
    <w:rsid w:val="00386B32"/>
    <w:rsid w:val="00393516"/>
    <w:rsid w:val="003A0499"/>
    <w:rsid w:val="003A22BC"/>
    <w:rsid w:val="003B17D2"/>
    <w:rsid w:val="003B647B"/>
    <w:rsid w:val="003C0466"/>
    <w:rsid w:val="003C1645"/>
    <w:rsid w:val="003D5561"/>
    <w:rsid w:val="003E2167"/>
    <w:rsid w:val="003E59F7"/>
    <w:rsid w:val="003E7037"/>
    <w:rsid w:val="003F3FC7"/>
    <w:rsid w:val="003F4B4E"/>
    <w:rsid w:val="003F6F04"/>
    <w:rsid w:val="004005C9"/>
    <w:rsid w:val="00400D5A"/>
    <w:rsid w:val="00401071"/>
    <w:rsid w:val="00403D46"/>
    <w:rsid w:val="00407F94"/>
    <w:rsid w:val="0041175F"/>
    <w:rsid w:val="00413DE2"/>
    <w:rsid w:val="00446B0E"/>
    <w:rsid w:val="004538C5"/>
    <w:rsid w:val="004541DE"/>
    <w:rsid w:val="004547C8"/>
    <w:rsid w:val="00456F44"/>
    <w:rsid w:val="00457C3E"/>
    <w:rsid w:val="00483B2F"/>
    <w:rsid w:val="00486978"/>
    <w:rsid w:val="00490239"/>
    <w:rsid w:val="00497881"/>
    <w:rsid w:val="004B3C54"/>
    <w:rsid w:val="004B4637"/>
    <w:rsid w:val="004D1D2D"/>
    <w:rsid w:val="004D1E7D"/>
    <w:rsid w:val="004E4849"/>
    <w:rsid w:val="004F6F4F"/>
    <w:rsid w:val="00502BBD"/>
    <w:rsid w:val="005206F0"/>
    <w:rsid w:val="00527F30"/>
    <w:rsid w:val="00530A96"/>
    <w:rsid w:val="005331AE"/>
    <w:rsid w:val="00543035"/>
    <w:rsid w:val="00543521"/>
    <w:rsid w:val="00550073"/>
    <w:rsid w:val="005502DC"/>
    <w:rsid w:val="00550BDA"/>
    <w:rsid w:val="00553006"/>
    <w:rsid w:val="005560D8"/>
    <w:rsid w:val="00556809"/>
    <w:rsid w:val="00562653"/>
    <w:rsid w:val="005678B3"/>
    <w:rsid w:val="00572AE2"/>
    <w:rsid w:val="00583AF9"/>
    <w:rsid w:val="00586007"/>
    <w:rsid w:val="00587BA7"/>
    <w:rsid w:val="0059732C"/>
    <w:rsid w:val="005A00BD"/>
    <w:rsid w:val="005A227B"/>
    <w:rsid w:val="005A531E"/>
    <w:rsid w:val="005A7B5C"/>
    <w:rsid w:val="005C01D3"/>
    <w:rsid w:val="005C6BA1"/>
    <w:rsid w:val="005E5BAB"/>
    <w:rsid w:val="005F226F"/>
    <w:rsid w:val="00600EE8"/>
    <w:rsid w:val="006041A2"/>
    <w:rsid w:val="00611D90"/>
    <w:rsid w:val="00614105"/>
    <w:rsid w:val="00617E42"/>
    <w:rsid w:val="00634232"/>
    <w:rsid w:val="00641ACB"/>
    <w:rsid w:val="00642793"/>
    <w:rsid w:val="006500EE"/>
    <w:rsid w:val="00657F59"/>
    <w:rsid w:val="006626AE"/>
    <w:rsid w:val="00673625"/>
    <w:rsid w:val="006819A5"/>
    <w:rsid w:val="00684AE5"/>
    <w:rsid w:val="0069020D"/>
    <w:rsid w:val="00693201"/>
    <w:rsid w:val="006959A3"/>
    <w:rsid w:val="006A03DA"/>
    <w:rsid w:val="006B3BA2"/>
    <w:rsid w:val="006B5FC6"/>
    <w:rsid w:val="006B6872"/>
    <w:rsid w:val="006C1CCA"/>
    <w:rsid w:val="006C1EA1"/>
    <w:rsid w:val="006C27C0"/>
    <w:rsid w:val="006C4D9C"/>
    <w:rsid w:val="006C5D97"/>
    <w:rsid w:val="006C7888"/>
    <w:rsid w:val="006D1B1D"/>
    <w:rsid w:val="006E217F"/>
    <w:rsid w:val="006E2B1A"/>
    <w:rsid w:val="006E6459"/>
    <w:rsid w:val="00700627"/>
    <w:rsid w:val="007036C3"/>
    <w:rsid w:val="00710833"/>
    <w:rsid w:val="007123FD"/>
    <w:rsid w:val="007266E0"/>
    <w:rsid w:val="00730103"/>
    <w:rsid w:val="00730E26"/>
    <w:rsid w:val="00751030"/>
    <w:rsid w:val="00753336"/>
    <w:rsid w:val="00756DF9"/>
    <w:rsid w:val="00767C2A"/>
    <w:rsid w:val="00774495"/>
    <w:rsid w:val="00782099"/>
    <w:rsid w:val="0079119A"/>
    <w:rsid w:val="007A433A"/>
    <w:rsid w:val="007C1A50"/>
    <w:rsid w:val="007C39B3"/>
    <w:rsid w:val="007C4654"/>
    <w:rsid w:val="007E6AD5"/>
    <w:rsid w:val="007E6D14"/>
    <w:rsid w:val="007F2AC7"/>
    <w:rsid w:val="00805512"/>
    <w:rsid w:val="0081095D"/>
    <w:rsid w:val="00815AED"/>
    <w:rsid w:val="0081616D"/>
    <w:rsid w:val="00816179"/>
    <w:rsid w:val="00820158"/>
    <w:rsid w:val="0082255A"/>
    <w:rsid w:val="00831E5D"/>
    <w:rsid w:val="0084170C"/>
    <w:rsid w:val="008471FC"/>
    <w:rsid w:val="008547DD"/>
    <w:rsid w:val="008627B8"/>
    <w:rsid w:val="00881DC3"/>
    <w:rsid w:val="00886372"/>
    <w:rsid w:val="0089730A"/>
    <w:rsid w:val="008A21D3"/>
    <w:rsid w:val="008A2EBF"/>
    <w:rsid w:val="008C0DFA"/>
    <w:rsid w:val="008C68DF"/>
    <w:rsid w:val="008C7041"/>
    <w:rsid w:val="008C71AA"/>
    <w:rsid w:val="008D2478"/>
    <w:rsid w:val="008D30DD"/>
    <w:rsid w:val="008E354F"/>
    <w:rsid w:val="008E371D"/>
    <w:rsid w:val="008E6E1D"/>
    <w:rsid w:val="008E737B"/>
    <w:rsid w:val="008E7C3F"/>
    <w:rsid w:val="0090133B"/>
    <w:rsid w:val="00902FD0"/>
    <w:rsid w:val="009110E0"/>
    <w:rsid w:val="00914FB1"/>
    <w:rsid w:val="00915947"/>
    <w:rsid w:val="00951FB1"/>
    <w:rsid w:val="00956B34"/>
    <w:rsid w:val="00960A53"/>
    <w:rsid w:val="0096613F"/>
    <w:rsid w:val="00976EC6"/>
    <w:rsid w:val="00981D6B"/>
    <w:rsid w:val="009829B3"/>
    <w:rsid w:val="00996509"/>
    <w:rsid w:val="009A6306"/>
    <w:rsid w:val="009A76F4"/>
    <w:rsid w:val="009B51C7"/>
    <w:rsid w:val="009C23FB"/>
    <w:rsid w:val="009C2968"/>
    <w:rsid w:val="009F64B8"/>
    <w:rsid w:val="00A006FE"/>
    <w:rsid w:val="00A034E7"/>
    <w:rsid w:val="00A03BEB"/>
    <w:rsid w:val="00A07C28"/>
    <w:rsid w:val="00A155ED"/>
    <w:rsid w:val="00A221FB"/>
    <w:rsid w:val="00A24B5C"/>
    <w:rsid w:val="00A31857"/>
    <w:rsid w:val="00A42326"/>
    <w:rsid w:val="00A54362"/>
    <w:rsid w:val="00A6722E"/>
    <w:rsid w:val="00A701DD"/>
    <w:rsid w:val="00A72C4F"/>
    <w:rsid w:val="00A77D91"/>
    <w:rsid w:val="00A870AC"/>
    <w:rsid w:val="00AA2655"/>
    <w:rsid w:val="00AA50E8"/>
    <w:rsid w:val="00AA7638"/>
    <w:rsid w:val="00AB436D"/>
    <w:rsid w:val="00AB50D0"/>
    <w:rsid w:val="00AB73B8"/>
    <w:rsid w:val="00AD69B7"/>
    <w:rsid w:val="00AE054F"/>
    <w:rsid w:val="00AE17D2"/>
    <w:rsid w:val="00B00070"/>
    <w:rsid w:val="00B03653"/>
    <w:rsid w:val="00B05A35"/>
    <w:rsid w:val="00B066C7"/>
    <w:rsid w:val="00B07606"/>
    <w:rsid w:val="00B12243"/>
    <w:rsid w:val="00B145A0"/>
    <w:rsid w:val="00B155E3"/>
    <w:rsid w:val="00B2025D"/>
    <w:rsid w:val="00B447D8"/>
    <w:rsid w:val="00B504FF"/>
    <w:rsid w:val="00B76A57"/>
    <w:rsid w:val="00B81B58"/>
    <w:rsid w:val="00B81D34"/>
    <w:rsid w:val="00B81EBE"/>
    <w:rsid w:val="00B85BEB"/>
    <w:rsid w:val="00B86524"/>
    <w:rsid w:val="00B96630"/>
    <w:rsid w:val="00B96E39"/>
    <w:rsid w:val="00BC6171"/>
    <w:rsid w:val="00BD2838"/>
    <w:rsid w:val="00BE6FC2"/>
    <w:rsid w:val="00BF5E67"/>
    <w:rsid w:val="00BF7993"/>
    <w:rsid w:val="00C06411"/>
    <w:rsid w:val="00C13018"/>
    <w:rsid w:val="00C26D55"/>
    <w:rsid w:val="00C319C5"/>
    <w:rsid w:val="00C51E0F"/>
    <w:rsid w:val="00C60D2E"/>
    <w:rsid w:val="00C65B97"/>
    <w:rsid w:val="00C8193C"/>
    <w:rsid w:val="00C846DC"/>
    <w:rsid w:val="00C90326"/>
    <w:rsid w:val="00C9081D"/>
    <w:rsid w:val="00C9249B"/>
    <w:rsid w:val="00C95C9B"/>
    <w:rsid w:val="00C95FD7"/>
    <w:rsid w:val="00C96268"/>
    <w:rsid w:val="00C96F23"/>
    <w:rsid w:val="00CA609C"/>
    <w:rsid w:val="00CB18C1"/>
    <w:rsid w:val="00CC0165"/>
    <w:rsid w:val="00CC4BD8"/>
    <w:rsid w:val="00CD0F23"/>
    <w:rsid w:val="00CD3B80"/>
    <w:rsid w:val="00CD56BC"/>
    <w:rsid w:val="00CE333C"/>
    <w:rsid w:val="00D00F9A"/>
    <w:rsid w:val="00D079BE"/>
    <w:rsid w:val="00D12546"/>
    <w:rsid w:val="00D139AF"/>
    <w:rsid w:val="00D239AE"/>
    <w:rsid w:val="00D24FBB"/>
    <w:rsid w:val="00D25DD1"/>
    <w:rsid w:val="00D25DE4"/>
    <w:rsid w:val="00D33F50"/>
    <w:rsid w:val="00D34A28"/>
    <w:rsid w:val="00D35563"/>
    <w:rsid w:val="00D4646E"/>
    <w:rsid w:val="00D55620"/>
    <w:rsid w:val="00D57BF6"/>
    <w:rsid w:val="00D62FEA"/>
    <w:rsid w:val="00D6324A"/>
    <w:rsid w:val="00D7483D"/>
    <w:rsid w:val="00D80ED3"/>
    <w:rsid w:val="00D82C79"/>
    <w:rsid w:val="00D85435"/>
    <w:rsid w:val="00D86D45"/>
    <w:rsid w:val="00D91866"/>
    <w:rsid w:val="00D94E22"/>
    <w:rsid w:val="00D9557D"/>
    <w:rsid w:val="00D97A23"/>
    <w:rsid w:val="00DA08A0"/>
    <w:rsid w:val="00DA33D1"/>
    <w:rsid w:val="00DA5D00"/>
    <w:rsid w:val="00DA73E0"/>
    <w:rsid w:val="00DB51F4"/>
    <w:rsid w:val="00DC02E6"/>
    <w:rsid w:val="00DC5A0F"/>
    <w:rsid w:val="00DD1BF1"/>
    <w:rsid w:val="00DD2ED0"/>
    <w:rsid w:val="00DD3662"/>
    <w:rsid w:val="00DD6121"/>
    <w:rsid w:val="00DE1A26"/>
    <w:rsid w:val="00DE687A"/>
    <w:rsid w:val="00E0438A"/>
    <w:rsid w:val="00E048EE"/>
    <w:rsid w:val="00E07C8D"/>
    <w:rsid w:val="00E11280"/>
    <w:rsid w:val="00E11ECA"/>
    <w:rsid w:val="00E235CD"/>
    <w:rsid w:val="00E33247"/>
    <w:rsid w:val="00E353FE"/>
    <w:rsid w:val="00E504CA"/>
    <w:rsid w:val="00E57CFA"/>
    <w:rsid w:val="00E637A2"/>
    <w:rsid w:val="00E729BA"/>
    <w:rsid w:val="00E75E1B"/>
    <w:rsid w:val="00E833AD"/>
    <w:rsid w:val="00E844BE"/>
    <w:rsid w:val="00E86365"/>
    <w:rsid w:val="00E929D5"/>
    <w:rsid w:val="00EA3A1C"/>
    <w:rsid w:val="00EA5A87"/>
    <w:rsid w:val="00EB0558"/>
    <w:rsid w:val="00EB31DF"/>
    <w:rsid w:val="00EB320F"/>
    <w:rsid w:val="00EB5835"/>
    <w:rsid w:val="00EC3F0E"/>
    <w:rsid w:val="00EC6AA8"/>
    <w:rsid w:val="00ED0F48"/>
    <w:rsid w:val="00ED1BD9"/>
    <w:rsid w:val="00EF6178"/>
    <w:rsid w:val="00F06CCC"/>
    <w:rsid w:val="00F26DAD"/>
    <w:rsid w:val="00F4320B"/>
    <w:rsid w:val="00F4529A"/>
    <w:rsid w:val="00F463C2"/>
    <w:rsid w:val="00F53108"/>
    <w:rsid w:val="00F61433"/>
    <w:rsid w:val="00F61CCB"/>
    <w:rsid w:val="00F630C2"/>
    <w:rsid w:val="00F70DE7"/>
    <w:rsid w:val="00F819B0"/>
    <w:rsid w:val="00F96F35"/>
    <w:rsid w:val="00FA07C9"/>
    <w:rsid w:val="00FA0C05"/>
    <w:rsid w:val="00FA38BA"/>
    <w:rsid w:val="00FA471F"/>
    <w:rsid w:val="00FB29DA"/>
    <w:rsid w:val="00FC2E38"/>
    <w:rsid w:val="00FC51EF"/>
    <w:rsid w:val="00FC6442"/>
    <w:rsid w:val="00FD3016"/>
    <w:rsid w:val="00FD34F3"/>
    <w:rsid w:val="00FD6332"/>
    <w:rsid w:val="00FD6876"/>
    <w:rsid w:val="00FD7B35"/>
    <w:rsid w:val="00FF1C33"/>
    <w:rsid w:val="00FF5286"/>
    <w:rsid w:val="00FF79D8"/>
    <w:rsid w:val="03B38D9D"/>
    <w:rsid w:val="05877852"/>
    <w:rsid w:val="09CB574A"/>
    <w:rsid w:val="161157E8"/>
    <w:rsid w:val="16478C3F"/>
    <w:rsid w:val="19846EF4"/>
    <w:rsid w:val="2039F9E8"/>
    <w:rsid w:val="25E3AD51"/>
    <w:rsid w:val="2A7CE830"/>
    <w:rsid w:val="2E0D9E48"/>
    <w:rsid w:val="313F6BD9"/>
    <w:rsid w:val="3140F9A8"/>
    <w:rsid w:val="320E9286"/>
    <w:rsid w:val="32B29D13"/>
    <w:rsid w:val="32B80D9F"/>
    <w:rsid w:val="33B5F161"/>
    <w:rsid w:val="36B0CA0E"/>
    <w:rsid w:val="37701467"/>
    <w:rsid w:val="379BA980"/>
    <w:rsid w:val="385CDABC"/>
    <w:rsid w:val="4161E447"/>
    <w:rsid w:val="45B312FE"/>
    <w:rsid w:val="46515E14"/>
    <w:rsid w:val="4DD75D73"/>
    <w:rsid w:val="54C0DA45"/>
    <w:rsid w:val="5B0B4E8F"/>
    <w:rsid w:val="5EB965EE"/>
    <w:rsid w:val="5F67600E"/>
    <w:rsid w:val="603E9719"/>
    <w:rsid w:val="62513F10"/>
    <w:rsid w:val="6E4C44CB"/>
    <w:rsid w:val="6E5C5E30"/>
    <w:rsid w:val="6F04CECF"/>
    <w:rsid w:val="74108187"/>
    <w:rsid w:val="75CBE438"/>
    <w:rsid w:val="7B29B70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28543"/>
  <w15:docId w15:val="{52CF64D7-8A91-1A44-B475-165599BF3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51E0F"/>
    <w:pPr>
      <w:widowControl/>
      <w:autoSpaceDE/>
      <w:autoSpaceDN/>
    </w:pPr>
    <w:rPr>
      <w:rFonts w:ascii="Times New Roman" w:eastAsia="Times New Roman" w:hAnsi="Times New Roman" w:cs="Times New Roman"/>
      <w:sz w:val="24"/>
      <w:szCs w:val="24"/>
      <w:lang w:val="en-AU" w:eastAsia="en-GB"/>
    </w:rPr>
  </w:style>
  <w:style w:type="paragraph" w:styleId="Heading1">
    <w:name w:val="heading 1"/>
    <w:basedOn w:val="Heading2"/>
    <w:uiPriority w:val="9"/>
    <w:qFormat/>
    <w:rsid w:val="00EA3A1C"/>
    <w:pPr>
      <w:outlineLvl w:val="0"/>
    </w:pPr>
    <w:rPr>
      <w:b w:val="0"/>
      <w:bCs w:val="0"/>
      <w:w w:val="110"/>
    </w:rPr>
  </w:style>
  <w:style w:type="paragraph" w:styleId="Heading2">
    <w:name w:val="heading 2"/>
    <w:basedOn w:val="Normal"/>
    <w:uiPriority w:val="9"/>
    <w:unhideWhenUsed/>
    <w:qFormat/>
    <w:rsid w:val="00EA3A1C"/>
    <w:pPr>
      <w:widowControl w:val="0"/>
      <w:autoSpaceDE w:val="0"/>
      <w:autoSpaceDN w:val="0"/>
      <w:spacing w:line="480" w:lineRule="auto"/>
      <w:jc w:val="both"/>
      <w:outlineLvl w:val="1"/>
    </w:pPr>
    <w:rPr>
      <w:rFonts w:eastAsia="Arial"/>
      <w:b/>
      <w:bCs/>
      <w:w w:val="95"/>
      <w:sz w:val="22"/>
      <w:szCs w:val="22"/>
      <w:lang w:val="en-US" w:eastAsia="en-US"/>
    </w:rPr>
  </w:style>
  <w:style w:type="paragraph" w:styleId="Heading3">
    <w:name w:val="heading 3"/>
    <w:basedOn w:val="Normal"/>
    <w:next w:val="Normal"/>
    <w:link w:val="Heading3Char"/>
    <w:uiPriority w:val="9"/>
    <w:unhideWhenUsed/>
    <w:qFormat/>
    <w:rsid w:val="00EA3A1C"/>
    <w:pPr>
      <w:spacing w:line="480" w:lineRule="auto"/>
      <w:ind w:firstLine="720"/>
      <w:outlineLvl w:val="2"/>
    </w:pPr>
    <w:rPr>
      <w:b/>
      <w:bCs/>
      <w:sz w:val="22"/>
      <w:szCs w:val="22"/>
      <w:lang w:val="en-GB"/>
    </w:rPr>
  </w:style>
  <w:style w:type="paragraph" w:styleId="Heading4">
    <w:name w:val="heading 4"/>
    <w:basedOn w:val="Normal"/>
    <w:next w:val="Normal"/>
    <w:link w:val="Heading4Char"/>
    <w:uiPriority w:val="9"/>
    <w:semiHidden/>
    <w:unhideWhenUsed/>
    <w:qFormat/>
    <w:rsid w:val="001A455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A4557"/>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A4557"/>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A4557"/>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A455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A455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widowControl w:val="0"/>
      <w:autoSpaceDE w:val="0"/>
      <w:autoSpaceDN w:val="0"/>
    </w:pPr>
    <w:rPr>
      <w:sz w:val="18"/>
      <w:szCs w:val="18"/>
      <w:lang w:val="en-US" w:eastAsia="en-US"/>
    </w:rPr>
  </w:style>
  <w:style w:type="paragraph" w:styleId="ListParagraph">
    <w:name w:val="List Paragraph"/>
    <w:basedOn w:val="Normal"/>
    <w:link w:val="ListParagraphChar"/>
    <w:uiPriority w:val="34"/>
    <w:qFormat/>
    <w:pPr>
      <w:widowControl w:val="0"/>
      <w:autoSpaceDE w:val="0"/>
      <w:autoSpaceDN w:val="0"/>
      <w:ind w:left="375" w:hanging="274"/>
      <w:jc w:val="both"/>
    </w:pPr>
    <w:rPr>
      <w:sz w:val="22"/>
      <w:szCs w:val="22"/>
      <w:lang w:val="en-US" w:eastAsia="en-US"/>
    </w:rPr>
  </w:style>
  <w:style w:type="paragraph" w:customStyle="1" w:styleId="TableParagraph">
    <w:name w:val="Table Paragraph"/>
    <w:basedOn w:val="Normal"/>
    <w:uiPriority w:val="1"/>
    <w:qFormat/>
    <w:pPr>
      <w:widowControl w:val="0"/>
      <w:autoSpaceDE w:val="0"/>
      <w:autoSpaceDN w:val="0"/>
      <w:spacing w:before="29"/>
      <w:ind w:left="37"/>
    </w:pPr>
    <w:rPr>
      <w:rFonts w:ascii="Arial" w:eastAsia="Arial" w:hAnsi="Arial" w:cs="Arial"/>
      <w:sz w:val="22"/>
      <w:szCs w:val="22"/>
      <w:lang w:val="en-US" w:eastAsia="en-US"/>
    </w:rPr>
  </w:style>
  <w:style w:type="character" w:styleId="CommentReference">
    <w:name w:val="annotation reference"/>
    <w:basedOn w:val="DefaultParagraphFont"/>
    <w:uiPriority w:val="99"/>
    <w:semiHidden/>
    <w:unhideWhenUsed/>
    <w:rsid w:val="006819A5"/>
    <w:rPr>
      <w:sz w:val="16"/>
      <w:szCs w:val="16"/>
    </w:rPr>
  </w:style>
  <w:style w:type="paragraph" w:styleId="CommentText">
    <w:name w:val="annotation text"/>
    <w:basedOn w:val="Normal"/>
    <w:link w:val="CommentTextChar"/>
    <w:uiPriority w:val="99"/>
    <w:unhideWhenUsed/>
    <w:rsid w:val="006819A5"/>
    <w:pPr>
      <w:widowControl w:val="0"/>
      <w:autoSpaceDE w:val="0"/>
      <w:autoSpaceDN w:val="0"/>
    </w:pPr>
    <w:rPr>
      <w:sz w:val="20"/>
      <w:szCs w:val="20"/>
      <w:lang w:val="en-US" w:eastAsia="en-US"/>
    </w:rPr>
  </w:style>
  <w:style w:type="character" w:customStyle="1" w:styleId="CommentTextChar">
    <w:name w:val="Comment Text Char"/>
    <w:basedOn w:val="DefaultParagraphFont"/>
    <w:link w:val="CommentText"/>
    <w:uiPriority w:val="99"/>
    <w:rsid w:val="006819A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819A5"/>
    <w:rPr>
      <w:b/>
      <w:bCs/>
    </w:rPr>
  </w:style>
  <w:style w:type="character" w:customStyle="1" w:styleId="CommentSubjectChar">
    <w:name w:val="Comment Subject Char"/>
    <w:basedOn w:val="CommentTextChar"/>
    <w:link w:val="CommentSubject"/>
    <w:uiPriority w:val="99"/>
    <w:semiHidden/>
    <w:rsid w:val="006819A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819A5"/>
    <w:pPr>
      <w:widowControl w:val="0"/>
      <w:autoSpaceDE w:val="0"/>
      <w:autoSpaceDN w:val="0"/>
    </w:pPr>
    <w:rPr>
      <w:sz w:val="18"/>
      <w:szCs w:val="18"/>
      <w:lang w:val="en-US" w:eastAsia="en-US"/>
    </w:rPr>
  </w:style>
  <w:style w:type="character" w:customStyle="1" w:styleId="BalloonTextChar">
    <w:name w:val="Balloon Text Char"/>
    <w:basedOn w:val="DefaultParagraphFont"/>
    <w:link w:val="BalloonText"/>
    <w:uiPriority w:val="99"/>
    <w:semiHidden/>
    <w:rsid w:val="006819A5"/>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C06411"/>
    <w:pPr>
      <w:widowControl w:val="0"/>
      <w:tabs>
        <w:tab w:val="center" w:pos="4680"/>
        <w:tab w:val="right" w:pos="9360"/>
      </w:tabs>
      <w:autoSpaceDE w:val="0"/>
      <w:autoSpaceDN w:val="0"/>
    </w:pPr>
    <w:rPr>
      <w:sz w:val="22"/>
      <w:szCs w:val="22"/>
      <w:lang w:val="en-US" w:eastAsia="en-US"/>
    </w:rPr>
  </w:style>
  <w:style w:type="character" w:customStyle="1" w:styleId="HeaderChar">
    <w:name w:val="Header Char"/>
    <w:basedOn w:val="DefaultParagraphFont"/>
    <w:link w:val="Header"/>
    <w:uiPriority w:val="99"/>
    <w:rsid w:val="00C06411"/>
    <w:rPr>
      <w:rFonts w:ascii="Times New Roman" w:eastAsia="Times New Roman" w:hAnsi="Times New Roman" w:cs="Times New Roman"/>
    </w:rPr>
  </w:style>
  <w:style w:type="paragraph" w:styleId="Footer">
    <w:name w:val="footer"/>
    <w:basedOn w:val="Normal"/>
    <w:link w:val="FooterChar"/>
    <w:uiPriority w:val="99"/>
    <w:unhideWhenUsed/>
    <w:rsid w:val="00C06411"/>
    <w:pPr>
      <w:widowControl w:val="0"/>
      <w:tabs>
        <w:tab w:val="center" w:pos="4680"/>
        <w:tab w:val="right" w:pos="9360"/>
      </w:tabs>
      <w:autoSpaceDE w:val="0"/>
      <w:autoSpaceDN w:val="0"/>
    </w:pPr>
    <w:rPr>
      <w:sz w:val="22"/>
      <w:szCs w:val="22"/>
      <w:lang w:val="en-US" w:eastAsia="en-US"/>
    </w:rPr>
  </w:style>
  <w:style w:type="character" w:customStyle="1" w:styleId="FooterChar">
    <w:name w:val="Footer Char"/>
    <w:basedOn w:val="DefaultParagraphFont"/>
    <w:link w:val="Footer"/>
    <w:uiPriority w:val="99"/>
    <w:rsid w:val="00C06411"/>
    <w:rPr>
      <w:rFonts w:ascii="Times New Roman" w:eastAsia="Times New Roman" w:hAnsi="Times New Roman" w:cs="Times New Roman"/>
    </w:rPr>
  </w:style>
  <w:style w:type="character" w:styleId="Hyperlink">
    <w:name w:val="Hyperlink"/>
    <w:basedOn w:val="DefaultParagraphFont"/>
    <w:uiPriority w:val="99"/>
    <w:unhideWhenUsed/>
    <w:rsid w:val="00DD2ED0"/>
    <w:rPr>
      <w:color w:val="0000FF" w:themeColor="hyperlink"/>
      <w:u w:val="single"/>
    </w:rPr>
  </w:style>
  <w:style w:type="character" w:customStyle="1" w:styleId="NichtaufgelsteErwhnung1">
    <w:name w:val="Nicht aufgelöste Erwähnung1"/>
    <w:basedOn w:val="DefaultParagraphFont"/>
    <w:uiPriority w:val="99"/>
    <w:semiHidden/>
    <w:unhideWhenUsed/>
    <w:rsid w:val="00DD2ED0"/>
    <w:rPr>
      <w:color w:val="605E5C"/>
      <w:shd w:val="clear" w:color="auto" w:fill="E1DFDD"/>
    </w:rPr>
  </w:style>
  <w:style w:type="paragraph" w:styleId="NormalWeb">
    <w:name w:val="Normal (Web)"/>
    <w:basedOn w:val="Normal"/>
    <w:uiPriority w:val="99"/>
    <w:semiHidden/>
    <w:unhideWhenUsed/>
    <w:rsid w:val="008E6E1D"/>
    <w:pPr>
      <w:spacing w:before="100" w:beforeAutospacing="1" w:after="100" w:afterAutospacing="1"/>
    </w:pPr>
  </w:style>
  <w:style w:type="character" w:customStyle="1" w:styleId="apple-converted-space">
    <w:name w:val="apple-converted-space"/>
    <w:basedOn w:val="DefaultParagraphFont"/>
    <w:rsid w:val="00C90326"/>
  </w:style>
  <w:style w:type="paragraph" w:styleId="Revision">
    <w:name w:val="Revision"/>
    <w:hidden/>
    <w:uiPriority w:val="99"/>
    <w:semiHidden/>
    <w:rsid w:val="00C90326"/>
    <w:pPr>
      <w:widowControl/>
      <w:autoSpaceDE/>
      <w:autoSpaceDN/>
    </w:pPr>
    <w:rPr>
      <w:rFonts w:ascii="Times New Roman" w:eastAsia="Times New Roman" w:hAnsi="Times New Roman" w:cs="Times New Roman"/>
    </w:rPr>
  </w:style>
  <w:style w:type="character" w:customStyle="1" w:styleId="highwire-citation-authors">
    <w:name w:val="highwire-citation-authors"/>
    <w:basedOn w:val="DefaultParagraphFont"/>
    <w:rsid w:val="00C90326"/>
  </w:style>
  <w:style w:type="character" w:customStyle="1" w:styleId="highwire-citation-author">
    <w:name w:val="highwire-citation-author"/>
    <w:basedOn w:val="DefaultParagraphFont"/>
    <w:rsid w:val="00C90326"/>
  </w:style>
  <w:style w:type="character" w:customStyle="1" w:styleId="nlm-surname">
    <w:name w:val="nlm-surname"/>
    <w:basedOn w:val="DefaultParagraphFont"/>
    <w:rsid w:val="00C90326"/>
  </w:style>
  <w:style w:type="character" w:customStyle="1" w:styleId="citation-et">
    <w:name w:val="citation-et"/>
    <w:basedOn w:val="DefaultParagraphFont"/>
    <w:rsid w:val="00C90326"/>
  </w:style>
  <w:style w:type="character" w:customStyle="1" w:styleId="highwire-cite-metadata-journal">
    <w:name w:val="highwire-cite-metadata-journal"/>
    <w:basedOn w:val="DefaultParagraphFont"/>
    <w:rsid w:val="00C90326"/>
  </w:style>
  <w:style w:type="character" w:customStyle="1" w:styleId="highwire-cite-metadata-year">
    <w:name w:val="highwire-cite-metadata-year"/>
    <w:basedOn w:val="DefaultParagraphFont"/>
    <w:rsid w:val="00C90326"/>
  </w:style>
  <w:style w:type="character" w:customStyle="1" w:styleId="highwire-cite-metadata-volume">
    <w:name w:val="highwire-cite-metadata-volume"/>
    <w:basedOn w:val="DefaultParagraphFont"/>
    <w:rsid w:val="00C90326"/>
  </w:style>
  <w:style w:type="character" w:customStyle="1" w:styleId="highwire-cite-metadata-elocation-id">
    <w:name w:val="highwire-cite-metadata-elocation-id"/>
    <w:basedOn w:val="DefaultParagraphFont"/>
    <w:rsid w:val="00C90326"/>
  </w:style>
  <w:style w:type="character" w:customStyle="1" w:styleId="highwire-cite-metadata-doi">
    <w:name w:val="highwire-cite-metadata-doi"/>
    <w:basedOn w:val="DefaultParagraphFont"/>
    <w:rsid w:val="00C90326"/>
  </w:style>
  <w:style w:type="character" w:customStyle="1" w:styleId="label">
    <w:name w:val="label"/>
    <w:basedOn w:val="DefaultParagraphFont"/>
    <w:rsid w:val="00C90326"/>
  </w:style>
  <w:style w:type="character" w:styleId="PlaceholderText">
    <w:name w:val="Placeholder Text"/>
    <w:basedOn w:val="DefaultParagraphFont"/>
    <w:uiPriority w:val="99"/>
    <w:semiHidden/>
    <w:rsid w:val="002906EB"/>
    <w:rPr>
      <w:color w:val="808080"/>
    </w:rPr>
  </w:style>
  <w:style w:type="character" w:customStyle="1" w:styleId="UnresolvedMention1">
    <w:name w:val="Unresolved Mention1"/>
    <w:basedOn w:val="DefaultParagraphFont"/>
    <w:uiPriority w:val="99"/>
    <w:semiHidden/>
    <w:unhideWhenUsed/>
    <w:rsid w:val="005C01D3"/>
    <w:rPr>
      <w:color w:val="605E5C"/>
      <w:shd w:val="clear" w:color="auto" w:fill="E1DFDD"/>
    </w:rPr>
  </w:style>
  <w:style w:type="character" w:customStyle="1" w:styleId="ListParagraphChar">
    <w:name w:val="List Paragraph Char"/>
    <w:link w:val="ListParagraph"/>
    <w:uiPriority w:val="1"/>
    <w:locked/>
    <w:rsid w:val="006041A2"/>
    <w:rPr>
      <w:rFonts w:ascii="Times New Roman" w:eastAsia="Times New Roman" w:hAnsi="Times New Roman" w:cs="Times New Roman"/>
    </w:rPr>
  </w:style>
  <w:style w:type="table" w:styleId="TableGrid">
    <w:name w:val="Table Grid"/>
    <w:basedOn w:val="TableNormal"/>
    <w:uiPriority w:val="39"/>
    <w:rsid w:val="00490239"/>
    <w:pPr>
      <w:widowControl/>
      <w:autoSpaceDE/>
      <w:autoSpaceDN/>
    </w:pPr>
    <w:rPr>
      <w:rFonts w:ascii="Calibri" w:eastAsia="Calibri" w:hAnsi="Calibri" w:cs="Calibri"/>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1E7256"/>
  </w:style>
  <w:style w:type="character" w:customStyle="1" w:styleId="Heading3Char">
    <w:name w:val="Heading 3 Char"/>
    <w:basedOn w:val="DefaultParagraphFont"/>
    <w:link w:val="Heading3"/>
    <w:uiPriority w:val="9"/>
    <w:rsid w:val="00EA3A1C"/>
    <w:rPr>
      <w:rFonts w:ascii="Times New Roman" w:eastAsia="Times New Roman" w:hAnsi="Times New Roman" w:cs="Times New Roman"/>
      <w:b/>
      <w:bCs/>
      <w:lang w:val="en-GB" w:eastAsia="en-GB"/>
    </w:rPr>
  </w:style>
  <w:style w:type="character" w:styleId="UnresolvedMention">
    <w:name w:val="Unresolved Mention"/>
    <w:basedOn w:val="DefaultParagraphFont"/>
    <w:uiPriority w:val="99"/>
    <w:rsid w:val="00A221FB"/>
    <w:rPr>
      <w:color w:val="605E5C"/>
      <w:shd w:val="clear" w:color="auto" w:fill="E1DFDD"/>
    </w:rPr>
  </w:style>
  <w:style w:type="paragraph" w:styleId="Bibliography">
    <w:name w:val="Bibliography"/>
    <w:basedOn w:val="Normal"/>
    <w:next w:val="Normal"/>
    <w:uiPriority w:val="37"/>
    <w:semiHidden/>
    <w:unhideWhenUsed/>
    <w:rsid w:val="001A4557"/>
  </w:style>
  <w:style w:type="paragraph" w:styleId="BlockText">
    <w:name w:val="Block Text"/>
    <w:basedOn w:val="Normal"/>
    <w:uiPriority w:val="99"/>
    <w:semiHidden/>
    <w:unhideWhenUsed/>
    <w:rsid w:val="001A455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rsid w:val="001A4557"/>
    <w:pPr>
      <w:spacing w:after="120" w:line="480" w:lineRule="auto"/>
    </w:pPr>
  </w:style>
  <w:style w:type="character" w:customStyle="1" w:styleId="BodyText2Char">
    <w:name w:val="Body Text 2 Char"/>
    <w:basedOn w:val="DefaultParagraphFont"/>
    <w:link w:val="BodyText2"/>
    <w:uiPriority w:val="99"/>
    <w:semiHidden/>
    <w:rsid w:val="001A4557"/>
    <w:rPr>
      <w:rFonts w:ascii="Times New Roman" w:eastAsia="Times New Roman" w:hAnsi="Times New Roman" w:cs="Times New Roman"/>
      <w:sz w:val="24"/>
      <w:szCs w:val="24"/>
      <w:lang w:val="en-AU" w:eastAsia="en-GB"/>
    </w:rPr>
  </w:style>
  <w:style w:type="paragraph" w:styleId="BodyText3">
    <w:name w:val="Body Text 3"/>
    <w:basedOn w:val="Normal"/>
    <w:link w:val="BodyText3Char"/>
    <w:uiPriority w:val="99"/>
    <w:semiHidden/>
    <w:unhideWhenUsed/>
    <w:rsid w:val="001A4557"/>
    <w:pPr>
      <w:spacing w:after="120"/>
    </w:pPr>
    <w:rPr>
      <w:sz w:val="16"/>
      <w:szCs w:val="16"/>
    </w:rPr>
  </w:style>
  <w:style w:type="character" w:customStyle="1" w:styleId="BodyText3Char">
    <w:name w:val="Body Text 3 Char"/>
    <w:basedOn w:val="DefaultParagraphFont"/>
    <w:link w:val="BodyText3"/>
    <w:uiPriority w:val="99"/>
    <w:semiHidden/>
    <w:rsid w:val="001A4557"/>
    <w:rPr>
      <w:rFonts w:ascii="Times New Roman" w:eastAsia="Times New Roman" w:hAnsi="Times New Roman" w:cs="Times New Roman"/>
      <w:sz w:val="16"/>
      <w:szCs w:val="16"/>
      <w:lang w:val="en-AU" w:eastAsia="en-GB"/>
    </w:rPr>
  </w:style>
  <w:style w:type="paragraph" w:styleId="BodyTextFirstIndent">
    <w:name w:val="Body Text First Indent"/>
    <w:basedOn w:val="BodyText"/>
    <w:link w:val="BodyTextFirstIndentChar"/>
    <w:uiPriority w:val="99"/>
    <w:semiHidden/>
    <w:unhideWhenUsed/>
    <w:rsid w:val="001A4557"/>
    <w:pPr>
      <w:widowControl/>
      <w:autoSpaceDE/>
      <w:autoSpaceDN/>
      <w:ind w:firstLine="360"/>
    </w:pPr>
    <w:rPr>
      <w:sz w:val="24"/>
      <w:szCs w:val="24"/>
      <w:lang w:val="en-AU" w:eastAsia="en-GB"/>
    </w:rPr>
  </w:style>
  <w:style w:type="character" w:customStyle="1" w:styleId="BodyTextChar">
    <w:name w:val="Body Text Char"/>
    <w:basedOn w:val="DefaultParagraphFont"/>
    <w:link w:val="BodyText"/>
    <w:uiPriority w:val="1"/>
    <w:rsid w:val="001A4557"/>
    <w:rPr>
      <w:rFonts w:ascii="Times New Roman" w:eastAsia="Times New Roman" w:hAnsi="Times New Roman" w:cs="Times New Roman"/>
      <w:sz w:val="18"/>
      <w:szCs w:val="18"/>
    </w:rPr>
  </w:style>
  <w:style w:type="character" w:customStyle="1" w:styleId="BodyTextFirstIndentChar">
    <w:name w:val="Body Text First Indent Char"/>
    <w:basedOn w:val="BodyTextChar"/>
    <w:link w:val="BodyTextFirstIndent"/>
    <w:uiPriority w:val="99"/>
    <w:semiHidden/>
    <w:rsid w:val="001A4557"/>
    <w:rPr>
      <w:rFonts w:ascii="Times New Roman" w:eastAsia="Times New Roman" w:hAnsi="Times New Roman" w:cs="Times New Roman"/>
      <w:sz w:val="24"/>
      <w:szCs w:val="24"/>
      <w:lang w:val="en-AU" w:eastAsia="en-GB"/>
    </w:rPr>
  </w:style>
  <w:style w:type="paragraph" w:styleId="BodyTextIndent">
    <w:name w:val="Body Text Indent"/>
    <w:basedOn w:val="Normal"/>
    <w:link w:val="BodyTextIndentChar"/>
    <w:uiPriority w:val="99"/>
    <w:semiHidden/>
    <w:unhideWhenUsed/>
    <w:rsid w:val="001A4557"/>
    <w:pPr>
      <w:spacing w:after="120"/>
      <w:ind w:left="283"/>
    </w:pPr>
  </w:style>
  <w:style w:type="character" w:customStyle="1" w:styleId="BodyTextIndentChar">
    <w:name w:val="Body Text Indent Char"/>
    <w:basedOn w:val="DefaultParagraphFont"/>
    <w:link w:val="BodyTextIndent"/>
    <w:uiPriority w:val="99"/>
    <w:semiHidden/>
    <w:rsid w:val="001A4557"/>
    <w:rPr>
      <w:rFonts w:ascii="Times New Roman" w:eastAsia="Times New Roman" w:hAnsi="Times New Roman" w:cs="Times New Roman"/>
      <w:sz w:val="24"/>
      <w:szCs w:val="24"/>
      <w:lang w:val="en-AU" w:eastAsia="en-GB"/>
    </w:rPr>
  </w:style>
  <w:style w:type="paragraph" w:styleId="BodyTextFirstIndent2">
    <w:name w:val="Body Text First Indent 2"/>
    <w:basedOn w:val="BodyTextIndent"/>
    <w:link w:val="BodyTextFirstIndent2Char"/>
    <w:uiPriority w:val="99"/>
    <w:semiHidden/>
    <w:unhideWhenUsed/>
    <w:rsid w:val="001A4557"/>
    <w:pPr>
      <w:spacing w:after="0"/>
      <w:ind w:left="360" w:firstLine="360"/>
    </w:pPr>
  </w:style>
  <w:style w:type="character" w:customStyle="1" w:styleId="BodyTextFirstIndent2Char">
    <w:name w:val="Body Text First Indent 2 Char"/>
    <w:basedOn w:val="BodyTextIndentChar"/>
    <w:link w:val="BodyTextFirstIndent2"/>
    <w:uiPriority w:val="99"/>
    <w:semiHidden/>
    <w:rsid w:val="001A4557"/>
    <w:rPr>
      <w:rFonts w:ascii="Times New Roman" w:eastAsia="Times New Roman" w:hAnsi="Times New Roman" w:cs="Times New Roman"/>
      <w:sz w:val="24"/>
      <w:szCs w:val="24"/>
      <w:lang w:val="en-AU" w:eastAsia="en-GB"/>
    </w:rPr>
  </w:style>
  <w:style w:type="paragraph" w:styleId="BodyTextIndent2">
    <w:name w:val="Body Text Indent 2"/>
    <w:basedOn w:val="Normal"/>
    <w:link w:val="BodyTextIndent2Char"/>
    <w:uiPriority w:val="99"/>
    <w:semiHidden/>
    <w:unhideWhenUsed/>
    <w:rsid w:val="001A4557"/>
    <w:pPr>
      <w:spacing w:after="120" w:line="480" w:lineRule="auto"/>
      <w:ind w:left="283"/>
    </w:pPr>
  </w:style>
  <w:style w:type="character" w:customStyle="1" w:styleId="BodyTextIndent2Char">
    <w:name w:val="Body Text Indent 2 Char"/>
    <w:basedOn w:val="DefaultParagraphFont"/>
    <w:link w:val="BodyTextIndent2"/>
    <w:uiPriority w:val="99"/>
    <w:semiHidden/>
    <w:rsid w:val="001A4557"/>
    <w:rPr>
      <w:rFonts w:ascii="Times New Roman" w:eastAsia="Times New Roman" w:hAnsi="Times New Roman" w:cs="Times New Roman"/>
      <w:sz w:val="24"/>
      <w:szCs w:val="24"/>
      <w:lang w:val="en-AU" w:eastAsia="en-GB"/>
    </w:rPr>
  </w:style>
  <w:style w:type="paragraph" w:styleId="BodyTextIndent3">
    <w:name w:val="Body Text Indent 3"/>
    <w:basedOn w:val="Normal"/>
    <w:link w:val="BodyTextIndent3Char"/>
    <w:uiPriority w:val="99"/>
    <w:semiHidden/>
    <w:unhideWhenUsed/>
    <w:rsid w:val="001A455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A4557"/>
    <w:rPr>
      <w:rFonts w:ascii="Times New Roman" w:eastAsia="Times New Roman" w:hAnsi="Times New Roman" w:cs="Times New Roman"/>
      <w:sz w:val="16"/>
      <w:szCs w:val="16"/>
      <w:lang w:val="en-AU" w:eastAsia="en-GB"/>
    </w:rPr>
  </w:style>
  <w:style w:type="paragraph" w:styleId="Caption">
    <w:name w:val="caption"/>
    <w:basedOn w:val="Normal"/>
    <w:next w:val="Normal"/>
    <w:uiPriority w:val="35"/>
    <w:semiHidden/>
    <w:unhideWhenUsed/>
    <w:qFormat/>
    <w:rsid w:val="001A4557"/>
    <w:pPr>
      <w:spacing w:after="200"/>
    </w:pPr>
    <w:rPr>
      <w:i/>
      <w:iCs/>
      <w:color w:val="1F497D" w:themeColor="text2"/>
      <w:sz w:val="18"/>
      <w:szCs w:val="18"/>
    </w:rPr>
  </w:style>
  <w:style w:type="paragraph" w:styleId="Closing">
    <w:name w:val="Closing"/>
    <w:basedOn w:val="Normal"/>
    <w:link w:val="ClosingChar"/>
    <w:uiPriority w:val="99"/>
    <w:semiHidden/>
    <w:unhideWhenUsed/>
    <w:rsid w:val="001A4557"/>
    <w:pPr>
      <w:ind w:left="4252"/>
    </w:pPr>
  </w:style>
  <w:style w:type="character" w:customStyle="1" w:styleId="ClosingChar">
    <w:name w:val="Closing Char"/>
    <w:basedOn w:val="DefaultParagraphFont"/>
    <w:link w:val="Closing"/>
    <w:uiPriority w:val="99"/>
    <w:semiHidden/>
    <w:rsid w:val="001A4557"/>
    <w:rPr>
      <w:rFonts w:ascii="Times New Roman" w:eastAsia="Times New Roman" w:hAnsi="Times New Roman" w:cs="Times New Roman"/>
      <w:sz w:val="24"/>
      <w:szCs w:val="24"/>
      <w:lang w:val="en-AU" w:eastAsia="en-GB"/>
    </w:rPr>
  </w:style>
  <w:style w:type="paragraph" w:styleId="Date">
    <w:name w:val="Date"/>
    <w:basedOn w:val="Normal"/>
    <w:next w:val="Normal"/>
    <w:link w:val="DateChar"/>
    <w:uiPriority w:val="99"/>
    <w:semiHidden/>
    <w:unhideWhenUsed/>
    <w:rsid w:val="001A4557"/>
  </w:style>
  <w:style w:type="character" w:customStyle="1" w:styleId="DateChar">
    <w:name w:val="Date Char"/>
    <w:basedOn w:val="DefaultParagraphFont"/>
    <w:link w:val="Date"/>
    <w:uiPriority w:val="99"/>
    <w:semiHidden/>
    <w:rsid w:val="001A4557"/>
    <w:rPr>
      <w:rFonts w:ascii="Times New Roman" w:eastAsia="Times New Roman" w:hAnsi="Times New Roman" w:cs="Times New Roman"/>
      <w:sz w:val="24"/>
      <w:szCs w:val="24"/>
      <w:lang w:val="en-AU" w:eastAsia="en-GB"/>
    </w:rPr>
  </w:style>
  <w:style w:type="paragraph" w:styleId="DocumentMap">
    <w:name w:val="Document Map"/>
    <w:basedOn w:val="Normal"/>
    <w:link w:val="DocumentMapChar"/>
    <w:uiPriority w:val="99"/>
    <w:semiHidden/>
    <w:unhideWhenUsed/>
    <w:rsid w:val="001A4557"/>
    <w:rPr>
      <w:rFonts w:ascii="Segoe UI" w:hAnsi="Segoe UI" w:cs="Segoe UI"/>
      <w:sz w:val="16"/>
      <w:szCs w:val="16"/>
    </w:rPr>
  </w:style>
  <w:style w:type="character" w:customStyle="1" w:styleId="DocumentMapChar">
    <w:name w:val="Document Map Char"/>
    <w:basedOn w:val="DefaultParagraphFont"/>
    <w:link w:val="DocumentMap"/>
    <w:uiPriority w:val="99"/>
    <w:semiHidden/>
    <w:rsid w:val="001A4557"/>
    <w:rPr>
      <w:rFonts w:ascii="Segoe UI" w:eastAsia="Times New Roman" w:hAnsi="Segoe UI" w:cs="Segoe UI"/>
      <w:sz w:val="16"/>
      <w:szCs w:val="16"/>
      <w:lang w:val="en-AU" w:eastAsia="en-GB"/>
    </w:rPr>
  </w:style>
  <w:style w:type="paragraph" w:styleId="E-mailSignature">
    <w:name w:val="E-mail Signature"/>
    <w:basedOn w:val="Normal"/>
    <w:link w:val="E-mailSignatureChar"/>
    <w:uiPriority w:val="99"/>
    <w:semiHidden/>
    <w:unhideWhenUsed/>
    <w:rsid w:val="001A4557"/>
  </w:style>
  <w:style w:type="character" w:customStyle="1" w:styleId="E-mailSignatureChar">
    <w:name w:val="E-mail Signature Char"/>
    <w:basedOn w:val="DefaultParagraphFont"/>
    <w:link w:val="E-mailSignature"/>
    <w:uiPriority w:val="99"/>
    <w:semiHidden/>
    <w:rsid w:val="001A4557"/>
    <w:rPr>
      <w:rFonts w:ascii="Times New Roman" w:eastAsia="Times New Roman" w:hAnsi="Times New Roman" w:cs="Times New Roman"/>
      <w:sz w:val="24"/>
      <w:szCs w:val="24"/>
      <w:lang w:val="en-AU" w:eastAsia="en-GB"/>
    </w:rPr>
  </w:style>
  <w:style w:type="paragraph" w:styleId="EndnoteText">
    <w:name w:val="endnote text"/>
    <w:basedOn w:val="Normal"/>
    <w:link w:val="EndnoteTextChar"/>
    <w:uiPriority w:val="99"/>
    <w:semiHidden/>
    <w:unhideWhenUsed/>
    <w:rsid w:val="001A4557"/>
    <w:rPr>
      <w:sz w:val="20"/>
      <w:szCs w:val="20"/>
    </w:rPr>
  </w:style>
  <w:style w:type="character" w:customStyle="1" w:styleId="EndnoteTextChar">
    <w:name w:val="Endnote Text Char"/>
    <w:basedOn w:val="DefaultParagraphFont"/>
    <w:link w:val="EndnoteText"/>
    <w:uiPriority w:val="99"/>
    <w:semiHidden/>
    <w:rsid w:val="001A4557"/>
    <w:rPr>
      <w:rFonts w:ascii="Times New Roman" w:eastAsia="Times New Roman" w:hAnsi="Times New Roman" w:cs="Times New Roman"/>
      <w:sz w:val="20"/>
      <w:szCs w:val="20"/>
      <w:lang w:val="en-AU" w:eastAsia="en-GB"/>
    </w:rPr>
  </w:style>
  <w:style w:type="paragraph" w:styleId="EnvelopeAddress">
    <w:name w:val="envelope address"/>
    <w:basedOn w:val="Normal"/>
    <w:uiPriority w:val="99"/>
    <w:semiHidden/>
    <w:unhideWhenUsed/>
    <w:rsid w:val="001A4557"/>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1A4557"/>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1A4557"/>
    <w:rPr>
      <w:sz w:val="20"/>
      <w:szCs w:val="20"/>
    </w:rPr>
  </w:style>
  <w:style w:type="character" w:customStyle="1" w:styleId="FootnoteTextChar">
    <w:name w:val="Footnote Text Char"/>
    <w:basedOn w:val="DefaultParagraphFont"/>
    <w:link w:val="FootnoteText"/>
    <w:uiPriority w:val="99"/>
    <w:semiHidden/>
    <w:rsid w:val="001A4557"/>
    <w:rPr>
      <w:rFonts w:ascii="Times New Roman" w:eastAsia="Times New Roman" w:hAnsi="Times New Roman" w:cs="Times New Roman"/>
      <w:sz w:val="20"/>
      <w:szCs w:val="20"/>
      <w:lang w:val="en-AU" w:eastAsia="en-GB"/>
    </w:rPr>
  </w:style>
  <w:style w:type="character" w:customStyle="1" w:styleId="Heading4Char">
    <w:name w:val="Heading 4 Char"/>
    <w:basedOn w:val="DefaultParagraphFont"/>
    <w:link w:val="Heading4"/>
    <w:uiPriority w:val="9"/>
    <w:semiHidden/>
    <w:rsid w:val="001A4557"/>
    <w:rPr>
      <w:rFonts w:asciiTheme="majorHAnsi" w:eastAsiaTheme="majorEastAsia" w:hAnsiTheme="majorHAnsi" w:cstheme="majorBidi"/>
      <w:i/>
      <w:iCs/>
      <w:color w:val="365F91" w:themeColor="accent1" w:themeShade="BF"/>
      <w:sz w:val="24"/>
      <w:szCs w:val="24"/>
      <w:lang w:val="en-AU" w:eastAsia="en-GB"/>
    </w:rPr>
  </w:style>
  <w:style w:type="character" w:customStyle="1" w:styleId="Heading5Char">
    <w:name w:val="Heading 5 Char"/>
    <w:basedOn w:val="DefaultParagraphFont"/>
    <w:link w:val="Heading5"/>
    <w:uiPriority w:val="9"/>
    <w:semiHidden/>
    <w:rsid w:val="001A4557"/>
    <w:rPr>
      <w:rFonts w:asciiTheme="majorHAnsi" w:eastAsiaTheme="majorEastAsia" w:hAnsiTheme="majorHAnsi" w:cstheme="majorBidi"/>
      <w:color w:val="365F91" w:themeColor="accent1" w:themeShade="BF"/>
      <w:sz w:val="24"/>
      <w:szCs w:val="24"/>
      <w:lang w:val="en-AU" w:eastAsia="en-GB"/>
    </w:rPr>
  </w:style>
  <w:style w:type="character" w:customStyle="1" w:styleId="Heading6Char">
    <w:name w:val="Heading 6 Char"/>
    <w:basedOn w:val="DefaultParagraphFont"/>
    <w:link w:val="Heading6"/>
    <w:uiPriority w:val="9"/>
    <w:semiHidden/>
    <w:rsid w:val="001A4557"/>
    <w:rPr>
      <w:rFonts w:asciiTheme="majorHAnsi" w:eastAsiaTheme="majorEastAsia" w:hAnsiTheme="majorHAnsi" w:cstheme="majorBidi"/>
      <w:color w:val="243F60" w:themeColor="accent1" w:themeShade="7F"/>
      <w:sz w:val="24"/>
      <w:szCs w:val="24"/>
      <w:lang w:val="en-AU" w:eastAsia="en-GB"/>
    </w:rPr>
  </w:style>
  <w:style w:type="character" w:customStyle="1" w:styleId="Heading7Char">
    <w:name w:val="Heading 7 Char"/>
    <w:basedOn w:val="DefaultParagraphFont"/>
    <w:link w:val="Heading7"/>
    <w:uiPriority w:val="9"/>
    <w:semiHidden/>
    <w:rsid w:val="001A4557"/>
    <w:rPr>
      <w:rFonts w:asciiTheme="majorHAnsi" w:eastAsiaTheme="majorEastAsia" w:hAnsiTheme="majorHAnsi" w:cstheme="majorBidi"/>
      <w:i/>
      <w:iCs/>
      <w:color w:val="243F60" w:themeColor="accent1" w:themeShade="7F"/>
      <w:sz w:val="24"/>
      <w:szCs w:val="24"/>
      <w:lang w:val="en-AU" w:eastAsia="en-GB"/>
    </w:rPr>
  </w:style>
  <w:style w:type="character" w:customStyle="1" w:styleId="Heading8Char">
    <w:name w:val="Heading 8 Char"/>
    <w:basedOn w:val="DefaultParagraphFont"/>
    <w:link w:val="Heading8"/>
    <w:uiPriority w:val="9"/>
    <w:semiHidden/>
    <w:rsid w:val="001A4557"/>
    <w:rPr>
      <w:rFonts w:asciiTheme="majorHAnsi" w:eastAsiaTheme="majorEastAsia" w:hAnsiTheme="majorHAnsi" w:cstheme="majorBidi"/>
      <w:color w:val="272727" w:themeColor="text1" w:themeTint="D8"/>
      <w:sz w:val="21"/>
      <w:szCs w:val="21"/>
      <w:lang w:val="en-AU" w:eastAsia="en-GB"/>
    </w:rPr>
  </w:style>
  <w:style w:type="character" w:customStyle="1" w:styleId="Heading9Char">
    <w:name w:val="Heading 9 Char"/>
    <w:basedOn w:val="DefaultParagraphFont"/>
    <w:link w:val="Heading9"/>
    <w:uiPriority w:val="9"/>
    <w:semiHidden/>
    <w:rsid w:val="001A4557"/>
    <w:rPr>
      <w:rFonts w:asciiTheme="majorHAnsi" w:eastAsiaTheme="majorEastAsia" w:hAnsiTheme="majorHAnsi" w:cstheme="majorBidi"/>
      <w:i/>
      <w:iCs/>
      <w:color w:val="272727" w:themeColor="text1" w:themeTint="D8"/>
      <w:sz w:val="21"/>
      <w:szCs w:val="21"/>
      <w:lang w:val="en-AU" w:eastAsia="en-GB"/>
    </w:rPr>
  </w:style>
  <w:style w:type="paragraph" w:styleId="HTMLAddress">
    <w:name w:val="HTML Address"/>
    <w:basedOn w:val="Normal"/>
    <w:link w:val="HTMLAddressChar"/>
    <w:uiPriority w:val="99"/>
    <w:semiHidden/>
    <w:unhideWhenUsed/>
    <w:rsid w:val="001A4557"/>
    <w:rPr>
      <w:i/>
      <w:iCs/>
    </w:rPr>
  </w:style>
  <w:style w:type="character" w:customStyle="1" w:styleId="HTMLAddressChar">
    <w:name w:val="HTML Address Char"/>
    <w:basedOn w:val="DefaultParagraphFont"/>
    <w:link w:val="HTMLAddress"/>
    <w:uiPriority w:val="99"/>
    <w:semiHidden/>
    <w:rsid w:val="001A4557"/>
    <w:rPr>
      <w:rFonts w:ascii="Times New Roman" w:eastAsia="Times New Roman" w:hAnsi="Times New Roman" w:cs="Times New Roman"/>
      <w:i/>
      <w:iCs/>
      <w:sz w:val="24"/>
      <w:szCs w:val="24"/>
      <w:lang w:val="en-AU" w:eastAsia="en-GB"/>
    </w:rPr>
  </w:style>
  <w:style w:type="paragraph" w:styleId="HTMLPreformatted">
    <w:name w:val="HTML Preformatted"/>
    <w:basedOn w:val="Normal"/>
    <w:link w:val="HTMLPreformattedChar"/>
    <w:uiPriority w:val="99"/>
    <w:semiHidden/>
    <w:unhideWhenUsed/>
    <w:rsid w:val="001A455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A4557"/>
    <w:rPr>
      <w:rFonts w:ascii="Consolas" w:eastAsia="Times New Roman" w:hAnsi="Consolas" w:cs="Times New Roman"/>
      <w:sz w:val="20"/>
      <w:szCs w:val="20"/>
      <w:lang w:val="en-AU" w:eastAsia="en-GB"/>
    </w:rPr>
  </w:style>
  <w:style w:type="paragraph" w:styleId="Index1">
    <w:name w:val="index 1"/>
    <w:basedOn w:val="Normal"/>
    <w:next w:val="Normal"/>
    <w:autoRedefine/>
    <w:uiPriority w:val="99"/>
    <w:semiHidden/>
    <w:unhideWhenUsed/>
    <w:rsid w:val="001A4557"/>
    <w:pPr>
      <w:ind w:left="240" w:hanging="240"/>
    </w:pPr>
  </w:style>
  <w:style w:type="paragraph" w:styleId="Index2">
    <w:name w:val="index 2"/>
    <w:basedOn w:val="Normal"/>
    <w:next w:val="Normal"/>
    <w:autoRedefine/>
    <w:uiPriority w:val="99"/>
    <w:semiHidden/>
    <w:unhideWhenUsed/>
    <w:rsid w:val="001A4557"/>
    <w:pPr>
      <w:ind w:left="480" w:hanging="240"/>
    </w:pPr>
  </w:style>
  <w:style w:type="paragraph" w:styleId="Index3">
    <w:name w:val="index 3"/>
    <w:basedOn w:val="Normal"/>
    <w:next w:val="Normal"/>
    <w:autoRedefine/>
    <w:uiPriority w:val="99"/>
    <w:semiHidden/>
    <w:unhideWhenUsed/>
    <w:rsid w:val="001A4557"/>
    <w:pPr>
      <w:ind w:left="720" w:hanging="240"/>
    </w:pPr>
  </w:style>
  <w:style w:type="paragraph" w:styleId="Index4">
    <w:name w:val="index 4"/>
    <w:basedOn w:val="Normal"/>
    <w:next w:val="Normal"/>
    <w:autoRedefine/>
    <w:uiPriority w:val="99"/>
    <w:semiHidden/>
    <w:unhideWhenUsed/>
    <w:rsid w:val="001A4557"/>
    <w:pPr>
      <w:ind w:left="960" w:hanging="240"/>
    </w:pPr>
  </w:style>
  <w:style w:type="paragraph" w:styleId="Index5">
    <w:name w:val="index 5"/>
    <w:basedOn w:val="Normal"/>
    <w:next w:val="Normal"/>
    <w:autoRedefine/>
    <w:uiPriority w:val="99"/>
    <w:semiHidden/>
    <w:unhideWhenUsed/>
    <w:rsid w:val="001A4557"/>
    <w:pPr>
      <w:ind w:left="1200" w:hanging="240"/>
    </w:pPr>
  </w:style>
  <w:style w:type="paragraph" w:styleId="Index6">
    <w:name w:val="index 6"/>
    <w:basedOn w:val="Normal"/>
    <w:next w:val="Normal"/>
    <w:autoRedefine/>
    <w:uiPriority w:val="99"/>
    <w:semiHidden/>
    <w:unhideWhenUsed/>
    <w:rsid w:val="001A4557"/>
    <w:pPr>
      <w:ind w:left="1440" w:hanging="240"/>
    </w:pPr>
  </w:style>
  <w:style w:type="paragraph" w:styleId="Index7">
    <w:name w:val="index 7"/>
    <w:basedOn w:val="Normal"/>
    <w:next w:val="Normal"/>
    <w:autoRedefine/>
    <w:uiPriority w:val="99"/>
    <w:semiHidden/>
    <w:unhideWhenUsed/>
    <w:rsid w:val="001A4557"/>
    <w:pPr>
      <w:ind w:left="1680" w:hanging="240"/>
    </w:pPr>
  </w:style>
  <w:style w:type="paragraph" w:styleId="Index8">
    <w:name w:val="index 8"/>
    <w:basedOn w:val="Normal"/>
    <w:next w:val="Normal"/>
    <w:autoRedefine/>
    <w:uiPriority w:val="99"/>
    <w:semiHidden/>
    <w:unhideWhenUsed/>
    <w:rsid w:val="001A4557"/>
    <w:pPr>
      <w:ind w:left="1920" w:hanging="240"/>
    </w:pPr>
  </w:style>
  <w:style w:type="paragraph" w:styleId="Index9">
    <w:name w:val="index 9"/>
    <w:basedOn w:val="Normal"/>
    <w:next w:val="Normal"/>
    <w:autoRedefine/>
    <w:uiPriority w:val="99"/>
    <w:semiHidden/>
    <w:unhideWhenUsed/>
    <w:rsid w:val="001A4557"/>
    <w:pPr>
      <w:ind w:left="2160" w:hanging="240"/>
    </w:pPr>
  </w:style>
  <w:style w:type="paragraph" w:styleId="IndexHeading">
    <w:name w:val="index heading"/>
    <w:basedOn w:val="Normal"/>
    <w:next w:val="Index1"/>
    <w:uiPriority w:val="99"/>
    <w:semiHidden/>
    <w:unhideWhenUsed/>
    <w:rsid w:val="001A455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A455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A4557"/>
    <w:rPr>
      <w:rFonts w:ascii="Times New Roman" w:eastAsia="Times New Roman" w:hAnsi="Times New Roman" w:cs="Times New Roman"/>
      <w:i/>
      <w:iCs/>
      <w:color w:val="4F81BD" w:themeColor="accent1"/>
      <w:sz w:val="24"/>
      <w:szCs w:val="24"/>
      <w:lang w:val="en-AU" w:eastAsia="en-GB"/>
    </w:rPr>
  </w:style>
  <w:style w:type="paragraph" w:styleId="List">
    <w:name w:val="List"/>
    <w:basedOn w:val="Normal"/>
    <w:uiPriority w:val="99"/>
    <w:semiHidden/>
    <w:unhideWhenUsed/>
    <w:rsid w:val="001A4557"/>
    <w:pPr>
      <w:ind w:left="283" w:hanging="283"/>
      <w:contextualSpacing/>
    </w:pPr>
  </w:style>
  <w:style w:type="paragraph" w:styleId="List2">
    <w:name w:val="List 2"/>
    <w:basedOn w:val="Normal"/>
    <w:uiPriority w:val="99"/>
    <w:semiHidden/>
    <w:unhideWhenUsed/>
    <w:rsid w:val="001A4557"/>
    <w:pPr>
      <w:ind w:left="566" w:hanging="283"/>
      <w:contextualSpacing/>
    </w:pPr>
  </w:style>
  <w:style w:type="paragraph" w:styleId="List3">
    <w:name w:val="List 3"/>
    <w:basedOn w:val="Normal"/>
    <w:uiPriority w:val="99"/>
    <w:semiHidden/>
    <w:unhideWhenUsed/>
    <w:rsid w:val="001A4557"/>
    <w:pPr>
      <w:ind w:left="849" w:hanging="283"/>
      <w:contextualSpacing/>
    </w:pPr>
  </w:style>
  <w:style w:type="paragraph" w:styleId="List4">
    <w:name w:val="List 4"/>
    <w:basedOn w:val="Normal"/>
    <w:uiPriority w:val="99"/>
    <w:semiHidden/>
    <w:unhideWhenUsed/>
    <w:rsid w:val="001A4557"/>
    <w:pPr>
      <w:ind w:left="1132" w:hanging="283"/>
      <w:contextualSpacing/>
    </w:pPr>
  </w:style>
  <w:style w:type="paragraph" w:styleId="List5">
    <w:name w:val="List 5"/>
    <w:basedOn w:val="Normal"/>
    <w:uiPriority w:val="99"/>
    <w:semiHidden/>
    <w:unhideWhenUsed/>
    <w:rsid w:val="001A4557"/>
    <w:pPr>
      <w:ind w:left="1415" w:hanging="283"/>
      <w:contextualSpacing/>
    </w:pPr>
  </w:style>
  <w:style w:type="paragraph" w:styleId="ListBullet">
    <w:name w:val="List Bullet"/>
    <w:basedOn w:val="Normal"/>
    <w:uiPriority w:val="99"/>
    <w:semiHidden/>
    <w:unhideWhenUsed/>
    <w:rsid w:val="001A4557"/>
    <w:pPr>
      <w:numPr>
        <w:numId w:val="21"/>
      </w:numPr>
      <w:contextualSpacing/>
    </w:pPr>
  </w:style>
  <w:style w:type="paragraph" w:styleId="ListBullet2">
    <w:name w:val="List Bullet 2"/>
    <w:basedOn w:val="Normal"/>
    <w:uiPriority w:val="99"/>
    <w:semiHidden/>
    <w:unhideWhenUsed/>
    <w:rsid w:val="001A4557"/>
    <w:pPr>
      <w:numPr>
        <w:numId w:val="22"/>
      </w:numPr>
      <w:contextualSpacing/>
    </w:pPr>
  </w:style>
  <w:style w:type="paragraph" w:styleId="ListBullet3">
    <w:name w:val="List Bullet 3"/>
    <w:basedOn w:val="Normal"/>
    <w:uiPriority w:val="99"/>
    <w:semiHidden/>
    <w:unhideWhenUsed/>
    <w:rsid w:val="001A4557"/>
    <w:pPr>
      <w:numPr>
        <w:numId w:val="23"/>
      </w:numPr>
      <w:contextualSpacing/>
    </w:pPr>
  </w:style>
  <w:style w:type="paragraph" w:styleId="ListBullet4">
    <w:name w:val="List Bullet 4"/>
    <w:basedOn w:val="Normal"/>
    <w:uiPriority w:val="99"/>
    <w:semiHidden/>
    <w:unhideWhenUsed/>
    <w:rsid w:val="001A4557"/>
    <w:pPr>
      <w:numPr>
        <w:numId w:val="24"/>
      </w:numPr>
      <w:contextualSpacing/>
    </w:pPr>
  </w:style>
  <w:style w:type="paragraph" w:styleId="ListBullet5">
    <w:name w:val="List Bullet 5"/>
    <w:basedOn w:val="Normal"/>
    <w:uiPriority w:val="99"/>
    <w:semiHidden/>
    <w:unhideWhenUsed/>
    <w:rsid w:val="001A4557"/>
    <w:pPr>
      <w:numPr>
        <w:numId w:val="25"/>
      </w:numPr>
      <w:contextualSpacing/>
    </w:pPr>
  </w:style>
  <w:style w:type="paragraph" w:styleId="ListContinue">
    <w:name w:val="List Continue"/>
    <w:basedOn w:val="Normal"/>
    <w:uiPriority w:val="99"/>
    <w:semiHidden/>
    <w:unhideWhenUsed/>
    <w:rsid w:val="001A4557"/>
    <w:pPr>
      <w:spacing w:after="120"/>
      <w:ind w:left="283"/>
      <w:contextualSpacing/>
    </w:pPr>
  </w:style>
  <w:style w:type="paragraph" w:styleId="ListContinue2">
    <w:name w:val="List Continue 2"/>
    <w:basedOn w:val="Normal"/>
    <w:uiPriority w:val="99"/>
    <w:semiHidden/>
    <w:unhideWhenUsed/>
    <w:rsid w:val="001A4557"/>
    <w:pPr>
      <w:spacing w:after="120"/>
      <w:ind w:left="566"/>
      <w:contextualSpacing/>
    </w:pPr>
  </w:style>
  <w:style w:type="paragraph" w:styleId="ListContinue3">
    <w:name w:val="List Continue 3"/>
    <w:basedOn w:val="Normal"/>
    <w:uiPriority w:val="99"/>
    <w:semiHidden/>
    <w:unhideWhenUsed/>
    <w:rsid w:val="001A4557"/>
    <w:pPr>
      <w:spacing w:after="120"/>
      <w:ind w:left="849"/>
      <w:contextualSpacing/>
    </w:pPr>
  </w:style>
  <w:style w:type="paragraph" w:styleId="ListContinue4">
    <w:name w:val="List Continue 4"/>
    <w:basedOn w:val="Normal"/>
    <w:uiPriority w:val="99"/>
    <w:semiHidden/>
    <w:unhideWhenUsed/>
    <w:rsid w:val="001A4557"/>
    <w:pPr>
      <w:spacing w:after="120"/>
      <w:ind w:left="1132"/>
      <w:contextualSpacing/>
    </w:pPr>
  </w:style>
  <w:style w:type="paragraph" w:styleId="ListContinue5">
    <w:name w:val="List Continue 5"/>
    <w:basedOn w:val="Normal"/>
    <w:uiPriority w:val="99"/>
    <w:semiHidden/>
    <w:unhideWhenUsed/>
    <w:rsid w:val="001A4557"/>
    <w:pPr>
      <w:spacing w:after="120"/>
      <w:ind w:left="1415"/>
      <w:contextualSpacing/>
    </w:pPr>
  </w:style>
  <w:style w:type="paragraph" w:styleId="ListNumber">
    <w:name w:val="List Number"/>
    <w:basedOn w:val="Normal"/>
    <w:uiPriority w:val="99"/>
    <w:semiHidden/>
    <w:unhideWhenUsed/>
    <w:rsid w:val="001A4557"/>
    <w:pPr>
      <w:numPr>
        <w:numId w:val="26"/>
      </w:numPr>
      <w:contextualSpacing/>
    </w:pPr>
  </w:style>
  <w:style w:type="paragraph" w:styleId="ListNumber2">
    <w:name w:val="List Number 2"/>
    <w:basedOn w:val="Normal"/>
    <w:uiPriority w:val="99"/>
    <w:semiHidden/>
    <w:unhideWhenUsed/>
    <w:rsid w:val="001A4557"/>
    <w:pPr>
      <w:numPr>
        <w:numId w:val="27"/>
      </w:numPr>
      <w:contextualSpacing/>
    </w:pPr>
  </w:style>
  <w:style w:type="paragraph" w:styleId="ListNumber3">
    <w:name w:val="List Number 3"/>
    <w:basedOn w:val="Normal"/>
    <w:uiPriority w:val="99"/>
    <w:semiHidden/>
    <w:unhideWhenUsed/>
    <w:rsid w:val="001A4557"/>
    <w:pPr>
      <w:numPr>
        <w:numId w:val="28"/>
      </w:numPr>
      <w:contextualSpacing/>
    </w:pPr>
  </w:style>
  <w:style w:type="paragraph" w:styleId="ListNumber4">
    <w:name w:val="List Number 4"/>
    <w:basedOn w:val="Normal"/>
    <w:uiPriority w:val="99"/>
    <w:semiHidden/>
    <w:unhideWhenUsed/>
    <w:rsid w:val="001A4557"/>
    <w:pPr>
      <w:numPr>
        <w:numId w:val="29"/>
      </w:numPr>
      <w:contextualSpacing/>
    </w:pPr>
  </w:style>
  <w:style w:type="paragraph" w:styleId="ListNumber5">
    <w:name w:val="List Number 5"/>
    <w:basedOn w:val="Normal"/>
    <w:uiPriority w:val="99"/>
    <w:semiHidden/>
    <w:unhideWhenUsed/>
    <w:rsid w:val="001A4557"/>
    <w:pPr>
      <w:numPr>
        <w:numId w:val="30"/>
      </w:numPr>
      <w:contextualSpacing/>
    </w:pPr>
  </w:style>
  <w:style w:type="paragraph" w:styleId="MacroText">
    <w:name w:val="macro"/>
    <w:link w:val="MacroTextChar"/>
    <w:uiPriority w:val="99"/>
    <w:semiHidden/>
    <w:unhideWhenUsed/>
    <w:rsid w:val="001A4557"/>
    <w:pPr>
      <w:widowControl/>
      <w:tabs>
        <w:tab w:val="left" w:pos="480"/>
        <w:tab w:val="left" w:pos="960"/>
        <w:tab w:val="left" w:pos="1440"/>
        <w:tab w:val="left" w:pos="1920"/>
        <w:tab w:val="left" w:pos="2400"/>
        <w:tab w:val="left" w:pos="2880"/>
        <w:tab w:val="left" w:pos="3360"/>
        <w:tab w:val="left" w:pos="3840"/>
        <w:tab w:val="left" w:pos="4320"/>
      </w:tabs>
      <w:autoSpaceDE/>
      <w:autoSpaceDN/>
    </w:pPr>
    <w:rPr>
      <w:rFonts w:ascii="Consolas" w:eastAsia="Times New Roman" w:hAnsi="Consolas" w:cs="Times New Roman"/>
      <w:sz w:val="20"/>
      <w:szCs w:val="20"/>
      <w:lang w:val="en-AU" w:eastAsia="en-GB"/>
    </w:rPr>
  </w:style>
  <w:style w:type="character" w:customStyle="1" w:styleId="MacroTextChar">
    <w:name w:val="Macro Text Char"/>
    <w:basedOn w:val="DefaultParagraphFont"/>
    <w:link w:val="MacroText"/>
    <w:uiPriority w:val="99"/>
    <w:semiHidden/>
    <w:rsid w:val="001A4557"/>
    <w:rPr>
      <w:rFonts w:ascii="Consolas" w:eastAsia="Times New Roman" w:hAnsi="Consolas" w:cs="Times New Roman"/>
      <w:sz w:val="20"/>
      <w:szCs w:val="20"/>
      <w:lang w:val="en-AU" w:eastAsia="en-GB"/>
    </w:rPr>
  </w:style>
  <w:style w:type="paragraph" w:styleId="MessageHeader">
    <w:name w:val="Message Header"/>
    <w:basedOn w:val="Normal"/>
    <w:link w:val="MessageHeaderChar"/>
    <w:uiPriority w:val="99"/>
    <w:semiHidden/>
    <w:unhideWhenUsed/>
    <w:rsid w:val="001A455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1A4557"/>
    <w:rPr>
      <w:rFonts w:asciiTheme="majorHAnsi" w:eastAsiaTheme="majorEastAsia" w:hAnsiTheme="majorHAnsi" w:cstheme="majorBidi"/>
      <w:sz w:val="24"/>
      <w:szCs w:val="24"/>
      <w:shd w:val="pct20" w:color="auto" w:fill="auto"/>
      <w:lang w:val="en-AU" w:eastAsia="en-GB"/>
    </w:rPr>
  </w:style>
  <w:style w:type="paragraph" w:styleId="NoSpacing">
    <w:name w:val="No Spacing"/>
    <w:uiPriority w:val="1"/>
    <w:qFormat/>
    <w:rsid w:val="001A4557"/>
    <w:pPr>
      <w:widowControl/>
      <w:autoSpaceDE/>
      <w:autoSpaceDN/>
    </w:pPr>
    <w:rPr>
      <w:rFonts w:ascii="Times New Roman" w:eastAsia="Times New Roman" w:hAnsi="Times New Roman" w:cs="Times New Roman"/>
      <w:sz w:val="24"/>
      <w:szCs w:val="24"/>
      <w:lang w:val="en-AU" w:eastAsia="en-GB"/>
    </w:rPr>
  </w:style>
  <w:style w:type="paragraph" w:styleId="NormalIndent">
    <w:name w:val="Normal Indent"/>
    <w:basedOn w:val="Normal"/>
    <w:uiPriority w:val="99"/>
    <w:semiHidden/>
    <w:unhideWhenUsed/>
    <w:rsid w:val="001A4557"/>
    <w:pPr>
      <w:ind w:left="720"/>
    </w:pPr>
  </w:style>
  <w:style w:type="paragraph" w:styleId="NoteHeading">
    <w:name w:val="Note Heading"/>
    <w:basedOn w:val="Normal"/>
    <w:next w:val="Normal"/>
    <w:link w:val="NoteHeadingChar"/>
    <w:uiPriority w:val="99"/>
    <w:semiHidden/>
    <w:unhideWhenUsed/>
    <w:rsid w:val="001A4557"/>
  </w:style>
  <w:style w:type="character" w:customStyle="1" w:styleId="NoteHeadingChar">
    <w:name w:val="Note Heading Char"/>
    <w:basedOn w:val="DefaultParagraphFont"/>
    <w:link w:val="NoteHeading"/>
    <w:uiPriority w:val="99"/>
    <w:semiHidden/>
    <w:rsid w:val="001A4557"/>
    <w:rPr>
      <w:rFonts w:ascii="Times New Roman" w:eastAsia="Times New Roman" w:hAnsi="Times New Roman" w:cs="Times New Roman"/>
      <w:sz w:val="24"/>
      <w:szCs w:val="24"/>
      <w:lang w:val="en-AU" w:eastAsia="en-GB"/>
    </w:rPr>
  </w:style>
  <w:style w:type="paragraph" w:styleId="PlainText">
    <w:name w:val="Plain Text"/>
    <w:basedOn w:val="Normal"/>
    <w:link w:val="PlainTextChar"/>
    <w:uiPriority w:val="99"/>
    <w:semiHidden/>
    <w:unhideWhenUsed/>
    <w:rsid w:val="001A4557"/>
    <w:rPr>
      <w:rFonts w:ascii="Consolas" w:hAnsi="Consolas"/>
      <w:sz w:val="21"/>
      <w:szCs w:val="21"/>
    </w:rPr>
  </w:style>
  <w:style w:type="character" w:customStyle="1" w:styleId="PlainTextChar">
    <w:name w:val="Plain Text Char"/>
    <w:basedOn w:val="DefaultParagraphFont"/>
    <w:link w:val="PlainText"/>
    <w:uiPriority w:val="99"/>
    <w:semiHidden/>
    <w:rsid w:val="001A4557"/>
    <w:rPr>
      <w:rFonts w:ascii="Consolas" w:eastAsia="Times New Roman" w:hAnsi="Consolas" w:cs="Times New Roman"/>
      <w:sz w:val="21"/>
      <w:szCs w:val="21"/>
      <w:lang w:val="en-AU" w:eastAsia="en-GB"/>
    </w:rPr>
  </w:style>
  <w:style w:type="paragraph" w:styleId="Quote">
    <w:name w:val="Quote"/>
    <w:basedOn w:val="Normal"/>
    <w:next w:val="Normal"/>
    <w:link w:val="QuoteChar"/>
    <w:uiPriority w:val="29"/>
    <w:qFormat/>
    <w:rsid w:val="001A455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A4557"/>
    <w:rPr>
      <w:rFonts w:ascii="Times New Roman" w:eastAsia="Times New Roman" w:hAnsi="Times New Roman" w:cs="Times New Roman"/>
      <w:i/>
      <w:iCs/>
      <w:color w:val="404040" w:themeColor="text1" w:themeTint="BF"/>
      <w:sz w:val="24"/>
      <w:szCs w:val="24"/>
      <w:lang w:val="en-AU" w:eastAsia="en-GB"/>
    </w:rPr>
  </w:style>
  <w:style w:type="paragraph" w:styleId="Salutation">
    <w:name w:val="Salutation"/>
    <w:basedOn w:val="Normal"/>
    <w:next w:val="Normal"/>
    <w:link w:val="SalutationChar"/>
    <w:uiPriority w:val="99"/>
    <w:semiHidden/>
    <w:unhideWhenUsed/>
    <w:rsid w:val="001A4557"/>
  </w:style>
  <w:style w:type="character" w:customStyle="1" w:styleId="SalutationChar">
    <w:name w:val="Salutation Char"/>
    <w:basedOn w:val="DefaultParagraphFont"/>
    <w:link w:val="Salutation"/>
    <w:uiPriority w:val="99"/>
    <w:semiHidden/>
    <w:rsid w:val="001A4557"/>
    <w:rPr>
      <w:rFonts w:ascii="Times New Roman" w:eastAsia="Times New Roman" w:hAnsi="Times New Roman" w:cs="Times New Roman"/>
      <w:sz w:val="24"/>
      <w:szCs w:val="24"/>
      <w:lang w:val="en-AU" w:eastAsia="en-GB"/>
    </w:rPr>
  </w:style>
  <w:style w:type="paragraph" w:styleId="Signature">
    <w:name w:val="Signature"/>
    <w:basedOn w:val="Normal"/>
    <w:link w:val="SignatureChar"/>
    <w:uiPriority w:val="99"/>
    <w:semiHidden/>
    <w:unhideWhenUsed/>
    <w:rsid w:val="001A4557"/>
    <w:pPr>
      <w:ind w:left="4252"/>
    </w:pPr>
  </w:style>
  <w:style w:type="character" w:customStyle="1" w:styleId="SignatureChar">
    <w:name w:val="Signature Char"/>
    <w:basedOn w:val="DefaultParagraphFont"/>
    <w:link w:val="Signature"/>
    <w:uiPriority w:val="99"/>
    <w:semiHidden/>
    <w:rsid w:val="001A4557"/>
    <w:rPr>
      <w:rFonts w:ascii="Times New Roman" w:eastAsia="Times New Roman" w:hAnsi="Times New Roman" w:cs="Times New Roman"/>
      <w:sz w:val="24"/>
      <w:szCs w:val="24"/>
      <w:lang w:val="en-AU" w:eastAsia="en-GB"/>
    </w:rPr>
  </w:style>
  <w:style w:type="paragraph" w:styleId="Subtitle">
    <w:name w:val="Subtitle"/>
    <w:basedOn w:val="Normal"/>
    <w:next w:val="Normal"/>
    <w:link w:val="SubtitleChar"/>
    <w:uiPriority w:val="11"/>
    <w:qFormat/>
    <w:rsid w:val="001A455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1A4557"/>
    <w:rPr>
      <w:rFonts w:eastAsiaTheme="minorEastAsia"/>
      <w:color w:val="5A5A5A" w:themeColor="text1" w:themeTint="A5"/>
      <w:spacing w:val="15"/>
      <w:lang w:val="en-AU" w:eastAsia="en-GB"/>
    </w:rPr>
  </w:style>
  <w:style w:type="paragraph" w:styleId="TableofAuthorities">
    <w:name w:val="table of authorities"/>
    <w:basedOn w:val="Normal"/>
    <w:next w:val="Normal"/>
    <w:uiPriority w:val="99"/>
    <w:semiHidden/>
    <w:unhideWhenUsed/>
    <w:rsid w:val="001A4557"/>
    <w:pPr>
      <w:ind w:left="240" w:hanging="240"/>
    </w:pPr>
  </w:style>
  <w:style w:type="paragraph" w:styleId="TableofFigures">
    <w:name w:val="table of figures"/>
    <w:basedOn w:val="Normal"/>
    <w:next w:val="Normal"/>
    <w:uiPriority w:val="99"/>
    <w:semiHidden/>
    <w:unhideWhenUsed/>
    <w:rsid w:val="001A4557"/>
  </w:style>
  <w:style w:type="paragraph" w:styleId="Title">
    <w:name w:val="Title"/>
    <w:basedOn w:val="Normal"/>
    <w:next w:val="Normal"/>
    <w:link w:val="TitleChar"/>
    <w:uiPriority w:val="10"/>
    <w:qFormat/>
    <w:rsid w:val="001A455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4557"/>
    <w:rPr>
      <w:rFonts w:asciiTheme="majorHAnsi" w:eastAsiaTheme="majorEastAsia" w:hAnsiTheme="majorHAnsi" w:cstheme="majorBidi"/>
      <w:spacing w:val="-10"/>
      <w:kern w:val="28"/>
      <w:sz w:val="56"/>
      <w:szCs w:val="56"/>
      <w:lang w:val="en-AU" w:eastAsia="en-GB"/>
    </w:rPr>
  </w:style>
  <w:style w:type="paragraph" w:styleId="TOAHeading">
    <w:name w:val="toa heading"/>
    <w:basedOn w:val="Normal"/>
    <w:next w:val="Normal"/>
    <w:uiPriority w:val="99"/>
    <w:semiHidden/>
    <w:unhideWhenUsed/>
    <w:rsid w:val="001A4557"/>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1A4557"/>
    <w:pPr>
      <w:spacing w:after="100"/>
    </w:pPr>
  </w:style>
  <w:style w:type="paragraph" w:styleId="TOC2">
    <w:name w:val="toc 2"/>
    <w:basedOn w:val="Normal"/>
    <w:next w:val="Normal"/>
    <w:autoRedefine/>
    <w:uiPriority w:val="39"/>
    <w:semiHidden/>
    <w:unhideWhenUsed/>
    <w:rsid w:val="001A4557"/>
    <w:pPr>
      <w:spacing w:after="100"/>
      <w:ind w:left="240"/>
    </w:pPr>
  </w:style>
  <w:style w:type="paragraph" w:styleId="TOC3">
    <w:name w:val="toc 3"/>
    <w:basedOn w:val="Normal"/>
    <w:next w:val="Normal"/>
    <w:autoRedefine/>
    <w:uiPriority w:val="39"/>
    <w:semiHidden/>
    <w:unhideWhenUsed/>
    <w:rsid w:val="001A4557"/>
    <w:pPr>
      <w:spacing w:after="100"/>
      <w:ind w:left="480"/>
    </w:pPr>
  </w:style>
  <w:style w:type="paragraph" w:styleId="TOC4">
    <w:name w:val="toc 4"/>
    <w:basedOn w:val="Normal"/>
    <w:next w:val="Normal"/>
    <w:autoRedefine/>
    <w:uiPriority w:val="39"/>
    <w:semiHidden/>
    <w:unhideWhenUsed/>
    <w:rsid w:val="001A4557"/>
    <w:pPr>
      <w:spacing w:after="100"/>
      <w:ind w:left="720"/>
    </w:pPr>
  </w:style>
  <w:style w:type="paragraph" w:styleId="TOC5">
    <w:name w:val="toc 5"/>
    <w:basedOn w:val="Normal"/>
    <w:next w:val="Normal"/>
    <w:autoRedefine/>
    <w:uiPriority w:val="39"/>
    <w:semiHidden/>
    <w:unhideWhenUsed/>
    <w:rsid w:val="001A4557"/>
    <w:pPr>
      <w:spacing w:after="100"/>
      <w:ind w:left="960"/>
    </w:pPr>
  </w:style>
  <w:style w:type="paragraph" w:styleId="TOC6">
    <w:name w:val="toc 6"/>
    <w:basedOn w:val="Normal"/>
    <w:next w:val="Normal"/>
    <w:autoRedefine/>
    <w:uiPriority w:val="39"/>
    <w:semiHidden/>
    <w:unhideWhenUsed/>
    <w:rsid w:val="001A4557"/>
    <w:pPr>
      <w:spacing w:after="100"/>
      <w:ind w:left="1200"/>
    </w:pPr>
  </w:style>
  <w:style w:type="paragraph" w:styleId="TOC7">
    <w:name w:val="toc 7"/>
    <w:basedOn w:val="Normal"/>
    <w:next w:val="Normal"/>
    <w:autoRedefine/>
    <w:uiPriority w:val="39"/>
    <w:semiHidden/>
    <w:unhideWhenUsed/>
    <w:rsid w:val="001A4557"/>
    <w:pPr>
      <w:spacing w:after="100"/>
      <w:ind w:left="1440"/>
    </w:pPr>
  </w:style>
  <w:style w:type="paragraph" w:styleId="TOC8">
    <w:name w:val="toc 8"/>
    <w:basedOn w:val="Normal"/>
    <w:next w:val="Normal"/>
    <w:autoRedefine/>
    <w:uiPriority w:val="39"/>
    <w:semiHidden/>
    <w:unhideWhenUsed/>
    <w:rsid w:val="001A4557"/>
    <w:pPr>
      <w:spacing w:after="100"/>
      <w:ind w:left="1680"/>
    </w:pPr>
  </w:style>
  <w:style w:type="paragraph" w:styleId="TOC9">
    <w:name w:val="toc 9"/>
    <w:basedOn w:val="Normal"/>
    <w:next w:val="Normal"/>
    <w:autoRedefine/>
    <w:uiPriority w:val="39"/>
    <w:semiHidden/>
    <w:unhideWhenUsed/>
    <w:rsid w:val="001A4557"/>
    <w:pPr>
      <w:spacing w:after="100"/>
      <w:ind w:left="1920"/>
    </w:pPr>
  </w:style>
  <w:style w:type="paragraph" w:styleId="TOCHeading">
    <w:name w:val="TOC Heading"/>
    <w:basedOn w:val="Heading1"/>
    <w:next w:val="Normal"/>
    <w:uiPriority w:val="39"/>
    <w:semiHidden/>
    <w:unhideWhenUsed/>
    <w:qFormat/>
    <w:rsid w:val="001A4557"/>
    <w:pPr>
      <w:keepNext/>
      <w:keepLines/>
      <w:widowControl/>
      <w:autoSpaceDE/>
      <w:autoSpaceDN/>
      <w:spacing w:before="240" w:line="240" w:lineRule="auto"/>
      <w:jc w:val="left"/>
      <w:outlineLvl w:val="9"/>
    </w:pPr>
    <w:rPr>
      <w:rFonts w:asciiTheme="majorHAnsi" w:eastAsiaTheme="majorEastAsia" w:hAnsiTheme="majorHAnsi" w:cstheme="majorBidi"/>
      <w:color w:val="365F91" w:themeColor="accent1" w:themeShade="BF"/>
      <w:w w:val="100"/>
      <w:sz w:val="32"/>
      <w:szCs w:val="32"/>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7041">
      <w:bodyDiv w:val="1"/>
      <w:marLeft w:val="0"/>
      <w:marRight w:val="0"/>
      <w:marTop w:val="0"/>
      <w:marBottom w:val="0"/>
      <w:divBdr>
        <w:top w:val="none" w:sz="0" w:space="0" w:color="auto"/>
        <w:left w:val="none" w:sz="0" w:space="0" w:color="auto"/>
        <w:bottom w:val="none" w:sz="0" w:space="0" w:color="auto"/>
        <w:right w:val="none" w:sz="0" w:space="0" w:color="auto"/>
      </w:divBdr>
    </w:div>
    <w:div w:id="21712326">
      <w:bodyDiv w:val="1"/>
      <w:marLeft w:val="0"/>
      <w:marRight w:val="0"/>
      <w:marTop w:val="0"/>
      <w:marBottom w:val="0"/>
      <w:divBdr>
        <w:top w:val="none" w:sz="0" w:space="0" w:color="auto"/>
        <w:left w:val="none" w:sz="0" w:space="0" w:color="auto"/>
        <w:bottom w:val="none" w:sz="0" w:space="0" w:color="auto"/>
        <w:right w:val="none" w:sz="0" w:space="0" w:color="auto"/>
      </w:divBdr>
    </w:div>
    <w:div w:id="80300591">
      <w:bodyDiv w:val="1"/>
      <w:marLeft w:val="0"/>
      <w:marRight w:val="0"/>
      <w:marTop w:val="0"/>
      <w:marBottom w:val="0"/>
      <w:divBdr>
        <w:top w:val="none" w:sz="0" w:space="0" w:color="auto"/>
        <w:left w:val="none" w:sz="0" w:space="0" w:color="auto"/>
        <w:bottom w:val="none" w:sz="0" w:space="0" w:color="auto"/>
        <w:right w:val="none" w:sz="0" w:space="0" w:color="auto"/>
      </w:divBdr>
    </w:div>
    <w:div w:id="80563990">
      <w:bodyDiv w:val="1"/>
      <w:marLeft w:val="0"/>
      <w:marRight w:val="0"/>
      <w:marTop w:val="0"/>
      <w:marBottom w:val="0"/>
      <w:divBdr>
        <w:top w:val="none" w:sz="0" w:space="0" w:color="auto"/>
        <w:left w:val="none" w:sz="0" w:space="0" w:color="auto"/>
        <w:bottom w:val="none" w:sz="0" w:space="0" w:color="auto"/>
        <w:right w:val="none" w:sz="0" w:space="0" w:color="auto"/>
      </w:divBdr>
    </w:div>
    <w:div w:id="94715703">
      <w:bodyDiv w:val="1"/>
      <w:marLeft w:val="0"/>
      <w:marRight w:val="0"/>
      <w:marTop w:val="0"/>
      <w:marBottom w:val="0"/>
      <w:divBdr>
        <w:top w:val="none" w:sz="0" w:space="0" w:color="auto"/>
        <w:left w:val="none" w:sz="0" w:space="0" w:color="auto"/>
        <w:bottom w:val="none" w:sz="0" w:space="0" w:color="auto"/>
        <w:right w:val="none" w:sz="0" w:space="0" w:color="auto"/>
      </w:divBdr>
    </w:div>
    <w:div w:id="133447773">
      <w:bodyDiv w:val="1"/>
      <w:marLeft w:val="0"/>
      <w:marRight w:val="0"/>
      <w:marTop w:val="0"/>
      <w:marBottom w:val="0"/>
      <w:divBdr>
        <w:top w:val="none" w:sz="0" w:space="0" w:color="auto"/>
        <w:left w:val="none" w:sz="0" w:space="0" w:color="auto"/>
        <w:bottom w:val="none" w:sz="0" w:space="0" w:color="auto"/>
        <w:right w:val="none" w:sz="0" w:space="0" w:color="auto"/>
      </w:divBdr>
    </w:div>
    <w:div w:id="189530463">
      <w:bodyDiv w:val="1"/>
      <w:marLeft w:val="0"/>
      <w:marRight w:val="0"/>
      <w:marTop w:val="0"/>
      <w:marBottom w:val="0"/>
      <w:divBdr>
        <w:top w:val="none" w:sz="0" w:space="0" w:color="auto"/>
        <w:left w:val="none" w:sz="0" w:space="0" w:color="auto"/>
        <w:bottom w:val="none" w:sz="0" w:space="0" w:color="auto"/>
        <w:right w:val="none" w:sz="0" w:space="0" w:color="auto"/>
      </w:divBdr>
    </w:div>
    <w:div w:id="379716229">
      <w:bodyDiv w:val="1"/>
      <w:marLeft w:val="0"/>
      <w:marRight w:val="0"/>
      <w:marTop w:val="0"/>
      <w:marBottom w:val="0"/>
      <w:divBdr>
        <w:top w:val="none" w:sz="0" w:space="0" w:color="auto"/>
        <w:left w:val="none" w:sz="0" w:space="0" w:color="auto"/>
        <w:bottom w:val="none" w:sz="0" w:space="0" w:color="auto"/>
        <w:right w:val="none" w:sz="0" w:space="0" w:color="auto"/>
      </w:divBdr>
    </w:div>
    <w:div w:id="548150891">
      <w:bodyDiv w:val="1"/>
      <w:marLeft w:val="0"/>
      <w:marRight w:val="0"/>
      <w:marTop w:val="0"/>
      <w:marBottom w:val="0"/>
      <w:divBdr>
        <w:top w:val="none" w:sz="0" w:space="0" w:color="auto"/>
        <w:left w:val="none" w:sz="0" w:space="0" w:color="auto"/>
        <w:bottom w:val="none" w:sz="0" w:space="0" w:color="auto"/>
        <w:right w:val="none" w:sz="0" w:space="0" w:color="auto"/>
      </w:divBdr>
    </w:div>
    <w:div w:id="558520986">
      <w:bodyDiv w:val="1"/>
      <w:marLeft w:val="0"/>
      <w:marRight w:val="0"/>
      <w:marTop w:val="0"/>
      <w:marBottom w:val="0"/>
      <w:divBdr>
        <w:top w:val="none" w:sz="0" w:space="0" w:color="auto"/>
        <w:left w:val="none" w:sz="0" w:space="0" w:color="auto"/>
        <w:bottom w:val="none" w:sz="0" w:space="0" w:color="auto"/>
        <w:right w:val="none" w:sz="0" w:space="0" w:color="auto"/>
      </w:divBdr>
    </w:div>
    <w:div w:id="683634842">
      <w:bodyDiv w:val="1"/>
      <w:marLeft w:val="0"/>
      <w:marRight w:val="0"/>
      <w:marTop w:val="0"/>
      <w:marBottom w:val="0"/>
      <w:divBdr>
        <w:top w:val="none" w:sz="0" w:space="0" w:color="auto"/>
        <w:left w:val="none" w:sz="0" w:space="0" w:color="auto"/>
        <w:bottom w:val="none" w:sz="0" w:space="0" w:color="auto"/>
        <w:right w:val="none" w:sz="0" w:space="0" w:color="auto"/>
      </w:divBdr>
    </w:div>
    <w:div w:id="729960664">
      <w:bodyDiv w:val="1"/>
      <w:marLeft w:val="0"/>
      <w:marRight w:val="0"/>
      <w:marTop w:val="0"/>
      <w:marBottom w:val="0"/>
      <w:divBdr>
        <w:top w:val="none" w:sz="0" w:space="0" w:color="auto"/>
        <w:left w:val="none" w:sz="0" w:space="0" w:color="auto"/>
        <w:bottom w:val="none" w:sz="0" w:space="0" w:color="auto"/>
        <w:right w:val="none" w:sz="0" w:space="0" w:color="auto"/>
      </w:divBdr>
    </w:div>
    <w:div w:id="773325269">
      <w:bodyDiv w:val="1"/>
      <w:marLeft w:val="0"/>
      <w:marRight w:val="0"/>
      <w:marTop w:val="0"/>
      <w:marBottom w:val="0"/>
      <w:divBdr>
        <w:top w:val="none" w:sz="0" w:space="0" w:color="auto"/>
        <w:left w:val="none" w:sz="0" w:space="0" w:color="auto"/>
        <w:bottom w:val="none" w:sz="0" w:space="0" w:color="auto"/>
        <w:right w:val="none" w:sz="0" w:space="0" w:color="auto"/>
      </w:divBdr>
    </w:div>
    <w:div w:id="785777628">
      <w:bodyDiv w:val="1"/>
      <w:marLeft w:val="0"/>
      <w:marRight w:val="0"/>
      <w:marTop w:val="0"/>
      <w:marBottom w:val="0"/>
      <w:divBdr>
        <w:top w:val="none" w:sz="0" w:space="0" w:color="auto"/>
        <w:left w:val="none" w:sz="0" w:space="0" w:color="auto"/>
        <w:bottom w:val="none" w:sz="0" w:space="0" w:color="auto"/>
        <w:right w:val="none" w:sz="0" w:space="0" w:color="auto"/>
      </w:divBdr>
    </w:div>
    <w:div w:id="794248724">
      <w:bodyDiv w:val="1"/>
      <w:marLeft w:val="0"/>
      <w:marRight w:val="0"/>
      <w:marTop w:val="0"/>
      <w:marBottom w:val="0"/>
      <w:divBdr>
        <w:top w:val="none" w:sz="0" w:space="0" w:color="auto"/>
        <w:left w:val="none" w:sz="0" w:space="0" w:color="auto"/>
        <w:bottom w:val="none" w:sz="0" w:space="0" w:color="auto"/>
        <w:right w:val="none" w:sz="0" w:space="0" w:color="auto"/>
      </w:divBdr>
    </w:div>
    <w:div w:id="827403601">
      <w:bodyDiv w:val="1"/>
      <w:marLeft w:val="0"/>
      <w:marRight w:val="0"/>
      <w:marTop w:val="0"/>
      <w:marBottom w:val="0"/>
      <w:divBdr>
        <w:top w:val="none" w:sz="0" w:space="0" w:color="auto"/>
        <w:left w:val="none" w:sz="0" w:space="0" w:color="auto"/>
        <w:bottom w:val="none" w:sz="0" w:space="0" w:color="auto"/>
        <w:right w:val="none" w:sz="0" w:space="0" w:color="auto"/>
      </w:divBdr>
    </w:div>
    <w:div w:id="850069340">
      <w:bodyDiv w:val="1"/>
      <w:marLeft w:val="0"/>
      <w:marRight w:val="0"/>
      <w:marTop w:val="0"/>
      <w:marBottom w:val="0"/>
      <w:divBdr>
        <w:top w:val="none" w:sz="0" w:space="0" w:color="auto"/>
        <w:left w:val="none" w:sz="0" w:space="0" w:color="auto"/>
        <w:bottom w:val="none" w:sz="0" w:space="0" w:color="auto"/>
        <w:right w:val="none" w:sz="0" w:space="0" w:color="auto"/>
      </w:divBdr>
    </w:div>
    <w:div w:id="890573252">
      <w:bodyDiv w:val="1"/>
      <w:marLeft w:val="0"/>
      <w:marRight w:val="0"/>
      <w:marTop w:val="0"/>
      <w:marBottom w:val="0"/>
      <w:divBdr>
        <w:top w:val="none" w:sz="0" w:space="0" w:color="auto"/>
        <w:left w:val="none" w:sz="0" w:space="0" w:color="auto"/>
        <w:bottom w:val="none" w:sz="0" w:space="0" w:color="auto"/>
        <w:right w:val="none" w:sz="0" w:space="0" w:color="auto"/>
      </w:divBdr>
    </w:div>
    <w:div w:id="925697118">
      <w:bodyDiv w:val="1"/>
      <w:marLeft w:val="0"/>
      <w:marRight w:val="0"/>
      <w:marTop w:val="0"/>
      <w:marBottom w:val="0"/>
      <w:divBdr>
        <w:top w:val="none" w:sz="0" w:space="0" w:color="auto"/>
        <w:left w:val="none" w:sz="0" w:space="0" w:color="auto"/>
        <w:bottom w:val="none" w:sz="0" w:space="0" w:color="auto"/>
        <w:right w:val="none" w:sz="0" w:space="0" w:color="auto"/>
      </w:divBdr>
    </w:div>
    <w:div w:id="1059324960">
      <w:bodyDiv w:val="1"/>
      <w:marLeft w:val="0"/>
      <w:marRight w:val="0"/>
      <w:marTop w:val="0"/>
      <w:marBottom w:val="0"/>
      <w:divBdr>
        <w:top w:val="none" w:sz="0" w:space="0" w:color="auto"/>
        <w:left w:val="none" w:sz="0" w:space="0" w:color="auto"/>
        <w:bottom w:val="none" w:sz="0" w:space="0" w:color="auto"/>
        <w:right w:val="none" w:sz="0" w:space="0" w:color="auto"/>
      </w:divBdr>
    </w:div>
    <w:div w:id="1149401305">
      <w:bodyDiv w:val="1"/>
      <w:marLeft w:val="0"/>
      <w:marRight w:val="0"/>
      <w:marTop w:val="0"/>
      <w:marBottom w:val="0"/>
      <w:divBdr>
        <w:top w:val="none" w:sz="0" w:space="0" w:color="auto"/>
        <w:left w:val="none" w:sz="0" w:space="0" w:color="auto"/>
        <w:bottom w:val="none" w:sz="0" w:space="0" w:color="auto"/>
        <w:right w:val="none" w:sz="0" w:space="0" w:color="auto"/>
      </w:divBdr>
    </w:div>
    <w:div w:id="1190417442">
      <w:bodyDiv w:val="1"/>
      <w:marLeft w:val="0"/>
      <w:marRight w:val="0"/>
      <w:marTop w:val="0"/>
      <w:marBottom w:val="0"/>
      <w:divBdr>
        <w:top w:val="none" w:sz="0" w:space="0" w:color="auto"/>
        <w:left w:val="none" w:sz="0" w:space="0" w:color="auto"/>
        <w:bottom w:val="none" w:sz="0" w:space="0" w:color="auto"/>
        <w:right w:val="none" w:sz="0" w:space="0" w:color="auto"/>
      </w:divBdr>
    </w:div>
    <w:div w:id="1217475658">
      <w:bodyDiv w:val="1"/>
      <w:marLeft w:val="0"/>
      <w:marRight w:val="0"/>
      <w:marTop w:val="0"/>
      <w:marBottom w:val="0"/>
      <w:divBdr>
        <w:top w:val="none" w:sz="0" w:space="0" w:color="auto"/>
        <w:left w:val="none" w:sz="0" w:space="0" w:color="auto"/>
        <w:bottom w:val="none" w:sz="0" w:space="0" w:color="auto"/>
        <w:right w:val="none" w:sz="0" w:space="0" w:color="auto"/>
      </w:divBdr>
    </w:div>
    <w:div w:id="1226572369">
      <w:bodyDiv w:val="1"/>
      <w:marLeft w:val="0"/>
      <w:marRight w:val="0"/>
      <w:marTop w:val="0"/>
      <w:marBottom w:val="0"/>
      <w:divBdr>
        <w:top w:val="none" w:sz="0" w:space="0" w:color="auto"/>
        <w:left w:val="none" w:sz="0" w:space="0" w:color="auto"/>
        <w:bottom w:val="none" w:sz="0" w:space="0" w:color="auto"/>
        <w:right w:val="none" w:sz="0" w:space="0" w:color="auto"/>
      </w:divBdr>
    </w:div>
    <w:div w:id="1300068098">
      <w:bodyDiv w:val="1"/>
      <w:marLeft w:val="0"/>
      <w:marRight w:val="0"/>
      <w:marTop w:val="0"/>
      <w:marBottom w:val="0"/>
      <w:divBdr>
        <w:top w:val="none" w:sz="0" w:space="0" w:color="auto"/>
        <w:left w:val="none" w:sz="0" w:space="0" w:color="auto"/>
        <w:bottom w:val="none" w:sz="0" w:space="0" w:color="auto"/>
        <w:right w:val="none" w:sz="0" w:space="0" w:color="auto"/>
      </w:divBdr>
    </w:div>
    <w:div w:id="1383823322">
      <w:bodyDiv w:val="1"/>
      <w:marLeft w:val="0"/>
      <w:marRight w:val="0"/>
      <w:marTop w:val="0"/>
      <w:marBottom w:val="0"/>
      <w:divBdr>
        <w:top w:val="none" w:sz="0" w:space="0" w:color="auto"/>
        <w:left w:val="none" w:sz="0" w:space="0" w:color="auto"/>
        <w:bottom w:val="none" w:sz="0" w:space="0" w:color="auto"/>
        <w:right w:val="none" w:sz="0" w:space="0" w:color="auto"/>
      </w:divBdr>
      <w:divsChild>
        <w:div w:id="1717781150">
          <w:marLeft w:val="0"/>
          <w:marRight w:val="0"/>
          <w:marTop w:val="0"/>
          <w:marBottom w:val="0"/>
          <w:divBdr>
            <w:top w:val="none" w:sz="0" w:space="0" w:color="auto"/>
            <w:left w:val="none" w:sz="0" w:space="0" w:color="auto"/>
            <w:bottom w:val="none" w:sz="0" w:space="0" w:color="auto"/>
            <w:right w:val="none" w:sz="0" w:space="0" w:color="auto"/>
          </w:divBdr>
          <w:divsChild>
            <w:div w:id="1999383391">
              <w:marLeft w:val="0"/>
              <w:marRight w:val="0"/>
              <w:marTop w:val="0"/>
              <w:marBottom w:val="0"/>
              <w:divBdr>
                <w:top w:val="none" w:sz="0" w:space="0" w:color="auto"/>
                <w:left w:val="none" w:sz="0" w:space="0" w:color="auto"/>
                <w:bottom w:val="none" w:sz="0" w:space="0" w:color="auto"/>
                <w:right w:val="none" w:sz="0" w:space="0" w:color="auto"/>
              </w:divBdr>
              <w:divsChild>
                <w:div w:id="306009601">
                  <w:marLeft w:val="0"/>
                  <w:marRight w:val="0"/>
                  <w:marTop w:val="0"/>
                  <w:marBottom w:val="0"/>
                  <w:divBdr>
                    <w:top w:val="none" w:sz="0" w:space="0" w:color="auto"/>
                    <w:left w:val="none" w:sz="0" w:space="0" w:color="auto"/>
                    <w:bottom w:val="none" w:sz="0" w:space="0" w:color="auto"/>
                    <w:right w:val="none" w:sz="0" w:space="0" w:color="auto"/>
                  </w:divBdr>
                </w:div>
                <w:div w:id="311981909">
                  <w:marLeft w:val="0"/>
                  <w:marRight w:val="0"/>
                  <w:marTop w:val="0"/>
                  <w:marBottom w:val="0"/>
                  <w:divBdr>
                    <w:top w:val="none" w:sz="0" w:space="0" w:color="auto"/>
                    <w:left w:val="none" w:sz="0" w:space="0" w:color="auto"/>
                    <w:bottom w:val="none" w:sz="0" w:space="0" w:color="auto"/>
                    <w:right w:val="none" w:sz="0" w:space="0" w:color="auto"/>
                  </w:divBdr>
                </w:div>
                <w:div w:id="54029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199955">
      <w:bodyDiv w:val="1"/>
      <w:marLeft w:val="0"/>
      <w:marRight w:val="0"/>
      <w:marTop w:val="0"/>
      <w:marBottom w:val="0"/>
      <w:divBdr>
        <w:top w:val="none" w:sz="0" w:space="0" w:color="auto"/>
        <w:left w:val="none" w:sz="0" w:space="0" w:color="auto"/>
        <w:bottom w:val="none" w:sz="0" w:space="0" w:color="auto"/>
        <w:right w:val="none" w:sz="0" w:space="0" w:color="auto"/>
      </w:divBdr>
    </w:div>
    <w:div w:id="1466465713">
      <w:bodyDiv w:val="1"/>
      <w:marLeft w:val="0"/>
      <w:marRight w:val="0"/>
      <w:marTop w:val="0"/>
      <w:marBottom w:val="0"/>
      <w:divBdr>
        <w:top w:val="none" w:sz="0" w:space="0" w:color="auto"/>
        <w:left w:val="none" w:sz="0" w:space="0" w:color="auto"/>
        <w:bottom w:val="none" w:sz="0" w:space="0" w:color="auto"/>
        <w:right w:val="none" w:sz="0" w:space="0" w:color="auto"/>
      </w:divBdr>
    </w:div>
    <w:div w:id="1474132745">
      <w:bodyDiv w:val="1"/>
      <w:marLeft w:val="0"/>
      <w:marRight w:val="0"/>
      <w:marTop w:val="0"/>
      <w:marBottom w:val="0"/>
      <w:divBdr>
        <w:top w:val="none" w:sz="0" w:space="0" w:color="auto"/>
        <w:left w:val="none" w:sz="0" w:space="0" w:color="auto"/>
        <w:bottom w:val="none" w:sz="0" w:space="0" w:color="auto"/>
        <w:right w:val="none" w:sz="0" w:space="0" w:color="auto"/>
      </w:divBdr>
      <w:divsChild>
        <w:div w:id="900941094">
          <w:marLeft w:val="0"/>
          <w:marRight w:val="0"/>
          <w:marTop w:val="0"/>
          <w:marBottom w:val="0"/>
          <w:divBdr>
            <w:top w:val="none" w:sz="0" w:space="0" w:color="auto"/>
            <w:left w:val="none" w:sz="0" w:space="0" w:color="auto"/>
            <w:bottom w:val="none" w:sz="0" w:space="0" w:color="auto"/>
            <w:right w:val="none" w:sz="0" w:space="0" w:color="auto"/>
          </w:divBdr>
          <w:divsChild>
            <w:div w:id="1280605504">
              <w:marLeft w:val="0"/>
              <w:marRight w:val="0"/>
              <w:marTop w:val="0"/>
              <w:marBottom w:val="0"/>
              <w:divBdr>
                <w:top w:val="none" w:sz="0" w:space="0" w:color="auto"/>
                <w:left w:val="none" w:sz="0" w:space="0" w:color="auto"/>
                <w:bottom w:val="none" w:sz="0" w:space="0" w:color="auto"/>
                <w:right w:val="none" w:sz="0" w:space="0" w:color="auto"/>
              </w:divBdr>
              <w:divsChild>
                <w:div w:id="723338604">
                  <w:marLeft w:val="0"/>
                  <w:marRight w:val="0"/>
                  <w:marTop w:val="0"/>
                  <w:marBottom w:val="0"/>
                  <w:divBdr>
                    <w:top w:val="none" w:sz="0" w:space="0" w:color="auto"/>
                    <w:left w:val="none" w:sz="0" w:space="0" w:color="auto"/>
                    <w:bottom w:val="none" w:sz="0" w:space="0" w:color="auto"/>
                    <w:right w:val="none" w:sz="0" w:space="0" w:color="auto"/>
                  </w:divBdr>
                </w:div>
                <w:div w:id="1247499693">
                  <w:marLeft w:val="0"/>
                  <w:marRight w:val="0"/>
                  <w:marTop w:val="0"/>
                  <w:marBottom w:val="0"/>
                  <w:divBdr>
                    <w:top w:val="none" w:sz="0" w:space="0" w:color="auto"/>
                    <w:left w:val="none" w:sz="0" w:space="0" w:color="auto"/>
                    <w:bottom w:val="none" w:sz="0" w:space="0" w:color="auto"/>
                    <w:right w:val="none" w:sz="0" w:space="0" w:color="auto"/>
                  </w:divBdr>
                </w:div>
                <w:div w:id="170617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303133">
      <w:bodyDiv w:val="1"/>
      <w:marLeft w:val="0"/>
      <w:marRight w:val="0"/>
      <w:marTop w:val="0"/>
      <w:marBottom w:val="0"/>
      <w:divBdr>
        <w:top w:val="none" w:sz="0" w:space="0" w:color="auto"/>
        <w:left w:val="none" w:sz="0" w:space="0" w:color="auto"/>
        <w:bottom w:val="none" w:sz="0" w:space="0" w:color="auto"/>
        <w:right w:val="none" w:sz="0" w:space="0" w:color="auto"/>
      </w:divBdr>
    </w:div>
    <w:div w:id="1577740795">
      <w:bodyDiv w:val="1"/>
      <w:marLeft w:val="0"/>
      <w:marRight w:val="0"/>
      <w:marTop w:val="0"/>
      <w:marBottom w:val="0"/>
      <w:divBdr>
        <w:top w:val="none" w:sz="0" w:space="0" w:color="auto"/>
        <w:left w:val="none" w:sz="0" w:space="0" w:color="auto"/>
        <w:bottom w:val="none" w:sz="0" w:space="0" w:color="auto"/>
        <w:right w:val="none" w:sz="0" w:space="0" w:color="auto"/>
      </w:divBdr>
    </w:div>
    <w:div w:id="1590626346">
      <w:bodyDiv w:val="1"/>
      <w:marLeft w:val="0"/>
      <w:marRight w:val="0"/>
      <w:marTop w:val="0"/>
      <w:marBottom w:val="0"/>
      <w:divBdr>
        <w:top w:val="none" w:sz="0" w:space="0" w:color="auto"/>
        <w:left w:val="none" w:sz="0" w:space="0" w:color="auto"/>
        <w:bottom w:val="none" w:sz="0" w:space="0" w:color="auto"/>
        <w:right w:val="none" w:sz="0" w:space="0" w:color="auto"/>
      </w:divBdr>
    </w:div>
    <w:div w:id="1610426066">
      <w:bodyDiv w:val="1"/>
      <w:marLeft w:val="0"/>
      <w:marRight w:val="0"/>
      <w:marTop w:val="0"/>
      <w:marBottom w:val="0"/>
      <w:divBdr>
        <w:top w:val="none" w:sz="0" w:space="0" w:color="auto"/>
        <w:left w:val="none" w:sz="0" w:space="0" w:color="auto"/>
        <w:bottom w:val="none" w:sz="0" w:space="0" w:color="auto"/>
        <w:right w:val="none" w:sz="0" w:space="0" w:color="auto"/>
      </w:divBdr>
    </w:div>
    <w:div w:id="1709523740">
      <w:bodyDiv w:val="1"/>
      <w:marLeft w:val="0"/>
      <w:marRight w:val="0"/>
      <w:marTop w:val="0"/>
      <w:marBottom w:val="0"/>
      <w:divBdr>
        <w:top w:val="none" w:sz="0" w:space="0" w:color="auto"/>
        <w:left w:val="none" w:sz="0" w:space="0" w:color="auto"/>
        <w:bottom w:val="none" w:sz="0" w:space="0" w:color="auto"/>
        <w:right w:val="none" w:sz="0" w:space="0" w:color="auto"/>
      </w:divBdr>
    </w:div>
    <w:div w:id="1725835966">
      <w:bodyDiv w:val="1"/>
      <w:marLeft w:val="0"/>
      <w:marRight w:val="0"/>
      <w:marTop w:val="0"/>
      <w:marBottom w:val="0"/>
      <w:divBdr>
        <w:top w:val="none" w:sz="0" w:space="0" w:color="auto"/>
        <w:left w:val="none" w:sz="0" w:space="0" w:color="auto"/>
        <w:bottom w:val="none" w:sz="0" w:space="0" w:color="auto"/>
        <w:right w:val="none" w:sz="0" w:space="0" w:color="auto"/>
      </w:divBdr>
    </w:div>
    <w:div w:id="1727874764">
      <w:bodyDiv w:val="1"/>
      <w:marLeft w:val="0"/>
      <w:marRight w:val="0"/>
      <w:marTop w:val="0"/>
      <w:marBottom w:val="0"/>
      <w:divBdr>
        <w:top w:val="none" w:sz="0" w:space="0" w:color="auto"/>
        <w:left w:val="none" w:sz="0" w:space="0" w:color="auto"/>
        <w:bottom w:val="none" w:sz="0" w:space="0" w:color="auto"/>
        <w:right w:val="none" w:sz="0" w:space="0" w:color="auto"/>
      </w:divBdr>
    </w:div>
    <w:div w:id="1729574626">
      <w:bodyDiv w:val="1"/>
      <w:marLeft w:val="0"/>
      <w:marRight w:val="0"/>
      <w:marTop w:val="0"/>
      <w:marBottom w:val="0"/>
      <w:divBdr>
        <w:top w:val="none" w:sz="0" w:space="0" w:color="auto"/>
        <w:left w:val="none" w:sz="0" w:space="0" w:color="auto"/>
        <w:bottom w:val="none" w:sz="0" w:space="0" w:color="auto"/>
        <w:right w:val="none" w:sz="0" w:space="0" w:color="auto"/>
      </w:divBdr>
    </w:div>
    <w:div w:id="1825731371">
      <w:bodyDiv w:val="1"/>
      <w:marLeft w:val="0"/>
      <w:marRight w:val="0"/>
      <w:marTop w:val="0"/>
      <w:marBottom w:val="0"/>
      <w:divBdr>
        <w:top w:val="none" w:sz="0" w:space="0" w:color="auto"/>
        <w:left w:val="none" w:sz="0" w:space="0" w:color="auto"/>
        <w:bottom w:val="none" w:sz="0" w:space="0" w:color="auto"/>
        <w:right w:val="none" w:sz="0" w:space="0" w:color="auto"/>
      </w:divBdr>
    </w:div>
    <w:div w:id="2064672428">
      <w:bodyDiv w:val="1"/>
      <w:marLeft w:val="0"/>
      <w:marRight w:val="0"/>
      <w:marTop w:val="0"/>
      <w:marBottom w:val="0"/>
      <w:divBdr>
        <w:top w:val="none" w:sz="0" w:space="0" w:color="auto"/>
        <w:left w:val="none" w:sz="0" w:space="0" w:color="auto"/>
        <w:bottom w:val="none" w:sz="0" w:space="0" w:color="auto"/>
        <w:right w:val="none" w:sz="0" w:space="0" w:color="auto"/>
      </w:divBdr>
    </w:div>
    <w:div w:id="21304688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phys.2019.08.005" TargetMode="External"/><Relationship Id="rId13" Type="http://schemas.openxmlformats.org/officeDocument/2006/relationships/hyperlink" Target="https://doi.org/10.1093/jmt/thu03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111/1471-0528.1519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conctc.2019.10037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oi.org/10.1080/08098131.2019.1630666" TargetMode="External"/><Relationship Id="rId4" Type="http://schemas.openxmlformats.org/officeDocument/2006/relationships/settings" Target="settings.xml"/><Relationship Id="rId9" Type="http://schemas.openxmlformats.org/officeDocument/2006/relationships/hyperlink" Target="https://doi.org/10.1186/s12874-018-0633-4"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DD6A79B-5A5B-B645-8880-299A9F224A65}">
  <we:reference id="wa200001011" version="1.2.0.0" store="pl-PL"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4C381-7075-B441-89B3-456C16BC3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33</Pages>
  <Words>10264</Words>
  <Characters>58478</Characters>
  <Application>Microsoft Office Word</Application>
  <DocSecurity>0</DocSecurity>
  <Lines>1570</Lines>
  <Paragraphs>658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Felicity Baker</dc:creator>
  <cp:keywords/>
  <dc:description/>
  <cp:lastModifiedBy>Blanshard, Lisa</cp:lastModifiedBy>
  <cp:revision>16</cp:revision>
  <cp:lastPrinted>2021-11-30T12:38:00Z</cp:lastPrinted>
  <dcterms:created xsi:type="dcterms:W3CDTF">2021-05-20T13:26:00Z</dcterms:created>
  <dcterms:modified xsi:type="dcterms:W3CDTF">2021-11-30T12:39:00Z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2011-05-25T00:00:00Z</vt:filetime>
  </property>
  <property fmtid="{D5CDD505-2E9C-101B-9397-08002B2CF9AE}" pid="3" name="LastSaved">
    <vt:filetime>2019-12-07T00:00:00Z</vt:filetime>
  </property>
  <property fmtid="{D5CDD505-2E9C-101B-9397-08002B2CF9AE}" pid="4" name="grammarly_documentId">
    <vt:lpwstr>documentId_3719</vt:lpwstr>
  </property>
  <property fmtid="{D5CDD505-2E9C-101B-9397-08002B2CF9AE}" pid="5" name="grammarly_documentContext">
    <vt:lpwstr>{"goals":[],"domain":"general","emotions":[],"dialect":"british"}</vt:lpwstr>
  </property>
</Properties>
</file>