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AD6B5" w14:textId="5D4A7DDC" w:rsidR="00D74ACD" w:rsidRPr="00102859" w:rsidRDefault="00001032" w:rsidP="005C34DD">
      <w:pPr>
        <w:pStyle w:val="Heading1"/>
        <w:spacing w:line="480" w:lineRule="auto"/>
        <w:rPr>
          <w:color w:val="auto"/>
        </w:rPr>
      </w:pPr>
      <w:r w:rsidRPr="00102859">
        <w:rPr>
          <w:noProof/>
          <w:color w:val="auto"/>
        </w:rPr>
        <w:t>Dismantling i</w:t>
      </w:r>
      <w:r w:rsidR="00FF1865" w:rsidRPr="00102859">
        <w:rPr>
          <w:noProof/>
          <w:color w:val="auto"/>
        </w:rPr>
        <w:t>nternet-based cognitive behavioral therapy</w:t>
      </w:r>
      <w:r w:rsidR="00ED4271" w:rsidRPr="00102859">
        <w:rPr>
          <w:noProof/>
          <w:color w:val="auto"/>
        </w:rPr>
        <w:t xml:space="preserve"> for tinnitus</w:t>
      </w:r>
      <w:r w:rsidR="00FF1865" w:rsidRPr="00102859">
        <w:rPr>
          <w:noProof/>
          <w:color w:val="auto"/>
        </w:rPr>
        <w:t xml:space="preserve">. </w:t>
      </w:r>
      <w:r w:rsidR="00647B4A" w:rsidRPr="00102859">
        <w:rPr>
          <w:noProof/>
          <w:color w:val="auto"/>
        </w:rPr>
        <w:t xml:space="preserve">The contribution of </w:t>
      </w:r>
      <w:r w:rsidR="00FF1865" w:rsidRPr="00102859">
        <w:rPr>
          <w:noProof/>
          <w:color w:val="auto"/>
        </w:rPr>
        <w:t>applied relaxation</w:t>
      </w:r>
      <w:r w:rsidRPr="00102859">
        <w:rPr>
          <w:noProof/>
          <w:color w:val="auto"/>
        </w:rPr>
        <w:t>:</w:t>
      </w:r>
      <w:r w:rsidR="00647B4A" w:rsidRPr="00102859">
        <w:rPr>
          <w:noProof/>
          <w:color w:val="auto"/>
        </w:rPr>
        <w:t xml:space="preserve"> </w:t>
      </w:r>
      <w:r w:rsidR="00FF1865" w:rsidRPr="00102859">
        <w:rPr>
          <w:noProof/>
          <w:color w:val="auto"/>
        </w:rPr>
        <w:t>A randomized controlled trial</w:t>
      </w:r>
    </w:p>
    <w:p w14:paraId="78EBBBDC" w14:textId="0D377268" w:rsidR="00D74ACD" w:rsidRPr="00102859" w:rsidRDefault="00D74ACD" w:rsidP="005C34DD">
      <w:pPr>
        <w:spacing w:line="480" w:lineRule="auto"/>
        <w:rPr>
          <w:b/>
          <w:vertAlign w:val="subscript"/>
        </w:rPr>
      </w:pPr>
      <w:proofErr w:type="spellStart"/>
      <w:r w:rsidRPr="00102859">
        <w:rPr>
          <w:b/>
        </w:rPr>
        <w:t>Eldré</w:t>
      </w:r>
      <w:proofErr w:type="spellEnd"/>
      <w:r w:rsidRPr="00102859">
        <w:rPr>
          <w:b/>
        </w:rPr>
        <w:t xml:space="preserve"> W. </w:t>
      </w:r>
      <w:proofErr w:type="spellStart"/>
      <w:r w:rsidRPr="00102859">
        <w:rPr>
          <w:b/>
        </w:rPr>
        <w:t>Beukes</w:t>
      </w:r>
      <w:proofErr w:type="gramStart"/>
      <w:r w:rsidRPr="00102859">
        <w:rPr>
          <w:b/>
        </w:rPr>
        <w:t>,</w:t>
      </w:r>
      <w:r w:rsidR="009C301D" w:rsidRPr="00102859">
        <w:rPr>
          <w:b/>
          <w:vertAlign w:val="superscript"/>
        </w:rPr>
        <w:t>a</w:t>
      </w:r>
      <w:r w:rsidRPr="00102859">
        <w:rPr>
          <w:b/>
          <w:vertAlign w:val="superscript"/>
        </w:rPr>
        <w:t>,</w:t>
      </w:r>
      <w:r w:rsidR="009C301D" w:rsidRPr="00102859">
        <w:rPr>
          <w:b/>
          <w:vertAlign w:val="superscript"/>
        </w:rPr>
        <w:t>b</w:t>
      </w:r>
      <w:proofErr w:type="spellEnd"/>
      <w:proofErr w:type="gramEnd"/>
      <w:r w:rsidRPr="00102859">
        <w:rPr>
          <w:b/>
        </w:rPr>
        <w:t xml:space="preserve"> Gerhard </w:t>
      </w:r>
      <w:proofErr w:type="spellStart"/>
      <w:r w:rsidRPr="00102859">
        <w:rPr>
          <w:b/>
        </w:rPr>
        <w:t>Andersson</w:t>
      </w:r>
      <w:r w:rsidR="00D71B4F" w:rsidRPr="00102859">
        <w:rPr>
          <w:b/>
        </w:rPr>
        <w:t>,</w:t>
      </w:r>
      <w:r w:rsidR="009C301D" w:rsidRPr="00102859">
        <w:rPr>
          <w:b/>
          <w:vertAlign w:val="superscript"/>
        </w:rPr>
        <w:t>c</w:t>
      </w:r>
      <w:r w:rsidRPr="00102859">
        <w:rPr>
          <w:b/>
          <w:vertAlign w:val="superscript"/>
        </w:rPr>
        <w:t>,</w:t>
      </w:r>
      <w:r w:rsidR="009C301D" w:rsidRPr="00102859">
        <w:rPr>
          <w:b/>
          <w:vertAlign w:val="superscript"/>
        </w:rPr>
        <w:t>d</w:t>
      </w:r>
      <w:proofErr w:type="spellEnd"/>
      <w:r w:rsidRPr="00102859">
        <w:rPr>
          <w:b/>
          <w:vertAlign w:val="superscript"/>
        </w:rPr>
        <w:t xml:space="preserve"> </w:t>
      </w:r>
      <w:r w:rsidRPr="00102859">
        <w:rPr>
          <w:b/>
        </w:rPr>
        <w:t xml:space="preserve">Marc </w:t>
      </w:r>
      <w:r w:rsidR="00E77CF2" w:rsidRPr="00102859">
        <w:rPr>
          <w:b/>
        </w:rPr>
        <w:t xml:space="preserve">A. </w:t>
      </w:r>
      <w:proofErr w:type="spellStart"/>
      <w:r w:rsidRPr="00102859">
        <w:rPr>
          <w:b/>
        </w:rPr>
        <w:t>Fagelson,</w:t>
      </w:r>
      <w:r w:rsidR="009C301D" w:rsidRPr="00102859">
        <w:rPr>
          <w:b/>
          <w:vertAlign w:val="superscript"/>
        </w:rPr>
        <w:t>e</w:t>
      </w:r>
      <w:r w:rsidRPr="00102859">
        <w:rPr>
          <w:b/>
          <w:vertAlign w:val="superscript"/>
        </w:rPr>
        <w:t>,</w:t>
      </w:r>
      <w:r w:rsidR="009C301D" w:rsidRPr="00102859">
        <w:rPr>
          <w:b/>
          <w:vertAlign w:val="superscript"/>
        </w:rPr>
        <w:t>f</w:t>
      </w:r>
      <w:proofErr w:type="spellEnd"/>
      <w:r w:rsidRPr="00102859">
        <w:rPr>
          <w:b/>
          <w:vertAlign w:val="superscript"/>
        </w:rPr>
        <w:t xml:space="preserve"> </w:t>
      </w:r>
      <w:r w:rsidRPr="00102859">
        <w:rPr>
          <w:b/>
        </w:rPr>
        <w:t xml:space="preserve">&amp; Vinaya </w:t>
      </w:r>
      <w:proofErr w:type="spellStart"/>
      <w:r w:rsidRPr="00102859">
        <w:rPr>
          <w:b/>
        </w:rPr>
        <w:t>Manchaiah</w:t>
      </w:r>
      <w:r w:rsidR="00251487" w:rsidRPr="00102859">
        <w:rPr>
          <w:b/>
          <w:vertAlign w:val="superscript"/>
        </w:rPr>
        <w:t>a,g</w:t>
      </w:r>
      <w:proofErr w:type="spellEnd"/>
    </w:p>
    <w:p w14:paraId="0692EC86" w14:textId="77777777" w:rsidR="00D74ACD" w:rsidRPr="00102859" w:rsidRDefault="00D74ACD" w:rsidP="005C34DD">
      <w:pPr>
        <w:spacing w:line="480" w:lineRule="auto"/>
        <w:rPr>
          <w:b/>
        </w:rPr>
      </w:pPr>
    </w:p>
    <w:p w14:paraId="4D887F0F" w14:textId="77777777" w:rsidR="00D74ACD" w:rsidRPr="00102859" w:rsidRDefault="00D74ACD" w:rsidP="005C34DD">
      <w:pPr>
        <w:numPr>
          <w:ilvl w:val="0"/>
          <w:numId w:val="23"/>
        </w:numPr>
        <w:spacing w:line="480" w:lineRule="auto"/>
      </w:pPr>
      <w:r w:rsidRPr="00102859">
        <w:t>Department of Speech and Hearing Sciences, Lamar University, Beaumont, Texas, USA</w:t>
      </w:r>
    </w:p>
    <w:p w14:paraId="16B9B7B8" w14:textId="459ED3AF" w:rsidR="00D74ACD" w:rsidRPr="00102859" w:rsidRDefault="00D74ACD" w:rsidP="005C34DD">
      <w:pPr>
        <w:numPr>
          <w:ilvl w:val="0"/>
          <w:numId w:val="23"/>
        </w:numPr>
        <w:spacing w:line="480" w:lineRule="auto"/>
      </w:pPr>
      <w:r w:rsidRPr="00102859">
        <w:t>Vision and Hearing Sciences</w:t>
      </w:r>
      <w:r w:rsidR="002D63FE" w:rsidRPr="00102859">
        <w:t xml:space="preserve"> Research Group</w:t>
      </w:r>
      <w:r w:rsidRPr="00102859">
        <w:t xml:space="preserve">, </w:t>
      </w:r>
      <w:r w:rsidR="002D63FE" w:rsidRPr="00102859">
        <w:t xml:space="preserve">School of Psychology and Sports Sciences, </w:t>
      </w:r>
      <w:r w:rsidRPr="00102859">
        <w:t xml:space="preserve">Anglia Ruskin University, </w:t>
      </w:r>
      <w:r w:rsidR="002D63FE" w:rsidRPr="00102859">
        <w:t>Cambridge, United Kingdom</w:t>
      </w:r>
    </w:p>
    <w:p w14:paraId="6DC9C297" w14:textId="08F87279" w:rsidR="00D74ACD" w:rsidRPr="00102859" w:rsidRDefault="00D74ACD" w:rsidP="005C34DD">
      <w:pPr>
        <w:numPr>
          <w:ilvl w:val="0"/>
          <w:numId w:val="23"/>
        </w:numPr>
        <w:spacing w:line="480" w:lineRule="auto"/>
      </w:pPr>
      <w:r w:rsidRPr="00102859">
        <w:t xml:space="preserve">Department of </w:t>
      </w:r>
      <w:proofErr w:type="spellStart"/>
      <w:r w:rsidRPr="00102859">
        <w:t>Behavioral</w:t>
      </w:r>
      <w:proofErr w:type="spellEnd"/>
      <w:r w:rsidRPr="00102859">
        <w:t xml:space="preserve"> Sciences and Learning, </w:t>
      </w:r>
      <w:r w:rsidR="0044281B" w:rsidRPr="00102859">
        <w:t xml:space="preserve">Department of Biomedical and Clinical Sciences, </w:t>
      </w:r>
      <w:r w:rsidRPr="00102859">
        <w:t>Linköping University, Linköping, Sweden</w:t>
      </w:r>
    </w:p>
    <w:p w14:paraId="703B1642" w14:textId="77777777" w:rsidR="00D74ACD" w:rsidRPr="00102859" w:rsidRDefault="00D74ACD" w:rsidP="005C34DD">
      <w:pPr>
        <w:numPr>
          <w:ilvl w:val="0"/>
          <w:numId w:val="23"/>
        </w:numPr>
        <w:spacing w:line="480" w:lineRule="auto"/>
      </w:pPr>
      <w:r w:rsidRPr="00102859">
        <w:t xml:space="preserve">Department of Clinical Neuroscience, Division of Psychiatry, </w:t>
      </w:r>
      <w:proofErr w:type="spellStart"/>
      <w:r w:rsidRPr="00102859">
        <w:t>Karolinska</w:t>
      </w:r>
      <w:proofErr w:type="spellEnd"/>
      <w:r w:rsidRPr="00102859">
        <w:t xml:space="preserve"> Institute, Stockholm, Sweden</w:t>
      </w:r>
    </w:p>
    <w:p w14:paraId="25D1E87A" w14:textId="77777777" w:rsidR="00D74ACD" w:rsidRPr="00102859" w:rsidRDefault="00D74ACD" w:rsidP="005C34DD">
      <w:pPr>
        <w:numPr>
          <w:ilvl w:val="0"/>
          <w:numId w:val="23"/>
        </w:numPr>
        <w:spacing w:line="480" w:lineRule="auto"/>
      </w:pPr>
      <w:r w:rsidRPr="00102859">
        <w:t xml:space="preserve">Department of Audiology and Speech-Language Pathology, East Tennessee State University, Johnson City, Tennessee, USA </w:t>
      </w:r>
      <w:bookmarkStart w:id="0" w:name="_GoBack"/>
      <w:bookmarkEnd w:id="0"/>
    </w:p>
    <w:p w14:paraId="00D04599" w14:textId="77777777" w:rsidR="00D74ACD" w:rsidRPr="00102859" w:rsidRDefault="00D74ACD" w:rsidP="005C34DD">
      <w:pPr>
        <w:numPr>
          <w:ilvl w:val="0"/>
          <w:numId w:val="23"/>
        </w:numPr>
        <w:spacing w:line="480" w:lineRule="auto"/>
      </w:pPr>
      <w:proofErr w:type="spellStart"/>
      <w:r w:rsidRPr="00102859">
        <w:t>Audiological</w:t>
      </w:r>
      <w:proofErr w:type="spellEnd"/>
      <w:r w:rsidRPr="00102859">
        <w:t xml:space="preserve"> Rehabilitation Laboratory, Auditory Vestibular Research Enhancement Award Program, Veterans Affairs Medical </w:t>
      </w:r>
      <w:proofErr w:type="spellStart"/>
      <w:r w:rsidRPr="00102859">
        <w:t>Center</w:t>
      </w:r>
      <w:proofErr w:type="spellEnd"/>
      <w:r w:rsidRPr="00102859">
        <w:t>, Mountain Home, Tennessee, USA</w:t>
      </w:r>
    </w:p>
    <w:p w14:paraId="510AB7AD" w14:textId="5277D4D2" w:rsidR="00D74ACD" w:rsidRPr="00102859" w:rsidRDefault="00D74ACD" w:rsidP="005C34DD">
      <w:pPr>
        <w:numPr>
          <w:ilvl w:val="0"/>
          <w:numId w:val="23"/>
        </w:numPr>
        <w:spacing w:line="480" w:lineRule="auto"/>
      </w:pPr>
      <w:r w:rsidRPr="00102859">
        <w:rPr>
          <w:rFonts w:eastAsiaTheme="minorEastAsia"/>
        </w:rPr>
        <w:t xml:space="preserve">Department of Speech and Hearing, School of Allied Health Sciences, </w:t>
      </w:r>
      <w:proofErr w:type="spellStart"/>
      <w:r w:rsidRPr="00102859">
        <w:rPr>
          <w:rFonts w:eastAsiaTheme="minorEastAsia"/>
        </w:rPr>
        <w:t>Manipal</w:t>
      </w:r>
      <w:proofErr w:type="spellEnd"/>
      <w:r w:rsidRPr="00102859">
        <w:rPr>
          <w:rFonts w:eastAsiaTheme="minorEastAsia"/>
        </w:rPr>
        <w:t xml:space="preserve"> University, </w:t>
      </w:r>
      <w:proofErr w:type="spellStart"/>
      <w:r w:rsidRPr="00102859">
        <w:rPr>
          <w:rFonts w:eastAsiaTheme="minorEastAsia"/>
        </w:rPr>
        <w:t>Manipal</w:t>
      </w:r>
      <w:proofErr w:type="spellEnd"/>
      <w:r w:rsidRPr="00102859">
        <w:rPr>
          <w:rFonts w:eastAsiaTheme="minorEastAsia"/>
        </w:rPr>
        <w:t>, Karnataka, India</w:t>
      </w:r>
    </w:p>
    <w:p w14:paraId="5A2C632A" w14:textId="73E52B28" w:rsidR="00043B04" w:rsidRPr="00102859" w:rsidRDefault="00043B04" w:rsidP="005C34DD">
      <w:pPr>
        <w:spacing w:line="480" w:lineRule="auto"/>
        <w:rPr>
          <w:rFonts w:eastAsiaTheme="minorEastAsia"/>
        </w:rPr>
      </w:pPr>
    </w:p>
    <w:p w14:paraId="39B582C3" w14:textId="0B13ACB7" w:rsidR="00043B04" w:rsidRPr="00102859" w:rsidRDefault="00043B04" w:rsidP="005C34DD">
      <w:pPr>
        <w:spacing w:line="480" w:lineRule="auto"/>
        <w:rPr>
          <w:rFonts w:eastAsiaTheme="minorEastAsia"/>
        </w:rPr>
      </w:pPr>
      <w:r w:rsidRPr="00102859">
        <w:rPr>
          <w:rFonts w:eastAsiaTheme="minorEastAsia"/>
        </w:rPr>
        <w:t>Email addresses</w:t>
      </w:r>
    </w:p>
    <w:p w14:paraId="0CD5A1F4" w14:textId="7229F71E" w:rsidR="00043B04" w:rsidRPr="00102859" w:rsidRDefault="00043B04" w:rsidP="005C34DD">
      <w:pPr>
        <w:spacing w:line="480" w:lineRule="auto"/>
        <w:rPr>
          <w:rFonts w:eastAsiaTheme="minorEastAsia"/>
        </w:rPr>
      </w:pPr>
      <w:r w:rsidRPr="00102859">
        <w:rPr>
          <w:rFonts w:eastAsiaTheme="minorEastAsia"/>
        </w:rPr>
        <w:t xml:space="preserve">E Beukes: </w:t>
      </w:r>
      <w:hyperlink r:id="rId11" w:history="1">
        <w:r w:rsidRPr="00102859">
          <w:rPr>
            <w:rStyle w:val="Hyperlink"/>
            <w:rFonts w:eastAsiaTheme="minorEastAsia"/>
            <w:color w:val="auto"/>
            <w:u w:val="none"/>
          </w:rPr>
          <w:t>ebeukes@lamar.edu</w:t>
        </w:r>
      </w:hyperlink>
    </w:p>
    <w:p w14:paraId="4EFA3B00" w14:textId="302DEB40" w:rsidR="00043B04" w:rsidRPr="00102859" w:rsidRDefault="00043B04" w:rsidP="005C34DD">
      <w:pPr>
        <w:spacing w:line="480" w:lineRule="auto"/>
        <w:rPr>
          <w:rFonts w:eastAsiaTheme="minorEastAsia"/>
        </w:rPr>
      </w:pPr>
      <w:r w:rsidRPr="00102859">
        <w:rPr>
          <w:rFonts w:eastAsiaTheme="minorEastAsia"/>
        </w:rPr>
        <w:t>M Fagelson:</w:t>
      </w:r>
      <w:r w:rsidR="00A569C6" w:rsidRPr="00102859">
        <w:rPr>
          <w:rFonts w:eastAsiaTheme="minorEastAsia"/>
        </w:rPr>
        <w:t xml:space="preserve"> FAGELSON@mail.etsu.edu</w:t>
      </w:r>
    </w:p>
    <w:p w14:paraId="57F294F0" w14:textId="62542F50" w:rsidR="00043B04" w:rsidRPr="00102859" w:rsidRDefault="00043B04" w:rsidP="005C34DD">
      <w:pPr>
        <w:spacing w:line="480" w:lineRule="auto"/>
        <w:rPr>
          <w:rFonts w:eastAsiaTheme="minorEastAsia"/>
        </w:rPr>
      </w:pPr>
      <w:r w:rsidRPr="00102859">
        <w:rPr>
          <w:rFonts w:eastAsiaTheme="minorEastAsia"/>
        </w:rPr>
        <w:t>G Andersson:</w:t>
      </w:r>
      <w:r w:rsidR="00A569C6" w:rsidRPr="00102859">
        <w:t xml:space="preserve"> </w:t>
      </w:r>
      <w:r w:rsidR="00A569C6" w:rsidRPr="00102859">
        <w:rPr>
          <w:rFonts w:eastAsiaTheme="minorEastAsia"/>
        </w:rPr>
        <w:t>gerhard.andersson@liu.se</w:t>
      </w:r>
    </w:p>
    <w:p w14:paraId="364EA7D7" w14:textId="6DEB2CFE" w:rsidR="00043B04" w:rsidRPr="00102859" w:rsidRDefault="00043B04" w:rsidP="005C34DD">
      <w:pPr>
        <w:spacing w:line="480" w:lineRule="auto"/>
      </w:pPr>
      <w:r w:rsidRPr="00102859">
        <w:rPr>
          <w:rFonts w:eastAsiaTheme="minorEastAsia"/>
        </w:rPr>
        <w:t>V Manchaiah vinaya.manchaiah@lamar.edu</w:t>
      </w:r>
    </w:p>
    <w:p w14:paraId="3F2F2FFF" w14:textId="77777777" w:rsidR="007B3A97" w:rsidRPr="00102859" w:rsidRDefault="007B3A97" w:rsidP="005A0BC2"/>
    <w:p w14:paraId="58BC2611" w14:textId="2B103EC4" w:rsidR="001B5AC7" w:rsidRPr="00102859" w:rsidRDefault="001B5AC7" w:rsidP="005C34DD">
      <w:pPr>
        <w:pStyle w:val="Heading1"/>
        <w:spacing w:line="480" w:lineRule="auto"/>
        <w:rPr>
          <w:color w:val="auto"/>
        </w:rPr>
      </w:pPr>
      <w:r w:rsidRPr="00102859">
        <w:rPr>
          <w:color w:val="auto"/>
        </w:rPr>
        <w:t>Corresponding author</w:t>
      </w:r>
    </w:p>
    <w:p w14:paraId="2B1C562D" w14:textId="77777777" w:rsidR="00874B74" w:rsidRPr="00102859" w:rsidRDefault="00874B74" w:rsidP="005C34DD">
      <w:pPr>
        <w:spacing w:line="480" w:lineRule="auto"/>
        <w:outlineLvl w:val="0"/>
      </w:pPr>
      <w:r w:rsidRPr="00102859">
        <w:rPr>
          <w:b/>
        </w:rPr>
        <w:t>Corresponding author:</w:t>
      </w:r>
      <w:r w:rsidRPr="00102859">
        <w:t xml:space="preserve">  </w:t>
      </w:r>
      <w:r w:rsidRPr="00102859">
        <w:tab/>
      </w:r>
      <w:proofErr w:type="spellStart"/>
      <w:r w:rsidRPr="00102859">
        <w:t>Dr.</w:t>
      </w:r>
      <w:proofErr w:type="spellEnd"/>
      <w:r w:rsidRPr="00102859">
        <w:t xml:space="preserve"> </w:t>
      </w:r>
      <w:proofErr w:type="spellStart"/>
      <w:r w:rsidRPr="00102859">
        <w:t>Eldré</w:t>
      </w:r>
      <w:proofErr w:type="spellEnd"/>
      <w:r w:rsidRPr="00102859">
        <w:t xml:space="preserve"> Beukes</w:t>
      </w:r>
    </w:p>
    <w:p w14:paraId="7922D06A" w14:textId="14405515" w:rsidR="00874B74" w:rsidRPr="00102859" w:rsidRDefault="00874B74" w:rsidP="005C34DD">
      <w:pPr>
        <w:spacing w:line="480" w:lineRule="auto"/>
      </w:pPr>
      <w:r w:rsidRPr="00102859">
        <w:rPr>
          <w:b/>
        </w:rPr>
        <w:t>Postal address:</w:t>
      </w:r>
      <w:r w:rsidRPr="00102859">
        <w:t xml:space="preserve"> </w:t>
      </w:r>
      <w:r w:rsidRPr="00102859">
        <w:tab/>
      </w:r>
      <w:r w:rsidRPr="00102859">
        <w:tab/>
        <w:t xml:space="preserve">Department of Speech and Hearing Sciences, </w:t>
      </w:r>
    </w:p>
    <w:p w14:paraId="47A26B11" w14:textId="77777777" w:rsidR="00874B74" w:rsidRPr="00102859" w:rsidRDefault="00874B74" w:rsidP="005C34DD">
      <w:pPr>
        <w:spacing w:line="480" w:lineRule="auto"/>
        <w:ind w:left="2160" w:firstLine="720"/>
      </w:pPr>
      <w:r w:rsidRPr="00102859">
        <w:t>Lamar University, Beaumont, Texas 77710, USA</w:t>
      </w:r>
    </w:p>
    <w:p w14:paraId="3CF24F0E" w14:textId="77777777" w:rsidR="00874B74" w:rsidRPr="00102859" w:rsidRDefault="00874B74" w:rsidP="005C34DD">
      <w:pPr>
        <w:spacing w:line="480" w:lineRule="auto"/>
        <w:rPr>
          <w:u w:val="single"/>
        </w:rPr>
      </w:pPr>
      <w:r w:rsidRPr="00102859">
        <w:rPr>
          <w:b/>
        </w:rPr>
        <w:t>Email:</w:t>
      </w:r>
      <w:r w:rsidRPr="00102859">
        <w:t xml:space="preserve"> </w:t>
      </w:r>
      <w:r w:rsidRPr="00102859">
        <w:tab/>
      </w:r>
      <w:r w:rsidRPr="00102859">
        <w:tab/>
      </w:r>
      <w:r w:rsidRPr="00102859">
        <w:tab/>
      </w:r>
      <w:r w:rsidRPr="00102859">
        <w:rPr>
          <w:u w:val="single"/>
        </w:rPr>
        <w:t>eldre.beukes@aru.ac.uk</w:t>
      </w:r>
    </w:p>
    <w:p w14:paraId="36CFAACC" w14:textId="77777777" w:rsidR="00874B74" w:rsidRPr="00102859" w:rsidRDefault="00874B74" w:rsidP="005C34DD">
      <w:pPr>
        <w:spacing w:line="480" w:lineRule="auto"/>
        <w:rPr>
          <w:b/>
        </w:rPr>
      </w:pPr>
      <w:r w:rsidRPr="00102859">
        <w:rPr>
          <w:b/>
        </w:rPr>
        <w:t xml:space="preserve">Tel: </w:t>
      </w:r>
      <w:r w:rsidRPr="00102859">
        <w:rPr>
          <w:b/>
        </w:rPr>
        <w:tab/>
      </w:r>
      <w:r w:rsidRPr="00102859">
        <w:tab/>
      </w:r>
      <w:r w:rsidRPr="00102859">
        <w:tab/>
      </w:r>
      <w:r w:rsidRPr="00102859">
        <w:tab/>
        <w:t>+1 (409) 880 8927</w:t>
      </w:r>
    </w:p>
    <w:p w14:paraId="57D81E5D" w14:textId="113F7C09" w:rsidR="00874B74" w:rsidRPr="00102859" w:rsidRDefault="00874B74" w:rsidP="005C34DD">
      <w:pPr>
        <w:spacing w:line="480" w:lineRule="auto"/>
      </w:pPr>
      <w:r w:rsidRPr="00102859">
        <w:rPr>
          <w:b/>
        </w:rPr>
        <w:t xml:space="preserve">Fax: </w:t>
      </w:r>
      <w:r w:rsidRPr="00102859">
        <w:rPr>
          <w:b/>
        </w:rPr>
        <w:tab/>
      </w:r>
      <w:r w:rsidRPr="00102859">
        <w:rPr>
          <w:b/>
        </w:rPr>
        <w:tab/>
      </w:r>
      <w:r w:rsidRPr="00102859">
        <w:rPr>
          <w:b/>
        </w:rPr>
        <w:tab/>
      </w:r>
      <w:r w:rsidRPr="00102859">
        <w:rPr>
          <w:b/>
        </w:rPr>
        <w:tab/>
      </w:r>
      <w:r w:rsidRPr="00102859">
        <w:t>+1 (409) 880 2265</w:t>
      </w:r>
    </w:p>
    <w:p w14:paraId="4B86227C" w14:textId="77777777" w:rsidR="00E37EA4" w:rsidRPr="00102859" w:rsidRDefault="00E37EA4" w:rsidP="005C34DD">
      <w:pPr>
        <w:spacing w:line="480" w:lineRule="auto"/>
        <w:rPr>
          <w:rFonts w:eastAsia="EB Garamond"/>
        </w:rPr>
      </w:pPr>
    </w:p>
    <w:p w14:paraId="38DC6093" w14:textId="29FBCB34" w:rsidR="007B3A97" w:rsidRPr="00102859" w:rsidRDefault="007B3A97" w:rsidP="005C34DD">
      <w:pPr>
        <w:pStyle w:val="Heading1"/>
        <w:spacing w:line="480" w:lineRule="auto"/>
        <w:rPr>
          <w:color w:val="auto"/>
          <w:sz w:val="28"/>
          <w:szCs w:val="28"/>
        </w:rPr>
      </w:pPr>
      <w:r w:rsidRPr="00102859">
        <w:rPr>
          <w:color w:val="auto"/>
          <w:sz w:val="28"/>
          <w:szCs w:val="28"/>
        </w:rPr>
        <w:t>Highlights</w:t>
      </w:r>
    </w:p>
    <w:p w14:paraId="7971C8F5" w14:textId="39250925" w:rsidR="007B3A97" w:rsidRPr="00102859" w:rsidRDefault="007B3A97" w:rsidP="005C34DD">
      <w:pPr>
        <w:pStyle w:val="ListParagraph"/>
        <w:numPr>
          <w:ilvl w:val="0"/>
          <w:numId w:val="25"/>
        </w:numPr>
        <w:rPr>
          <w:rFonts w:cs="Times New Roman"/>
        </w:rPr>
      </w:pPr>
      <w:r w:rsidRPr="00102859">
        <w:rPr>
          <w:rFonts w:cs="Times New Roman"/>
        </w:rPr>
        <w:t>This is the first study to dismantle the effects of internet-based cognitive behavioral therapy</w:t>
      </w:r>
      <w:r w:rsidR="0054162B" w:rsidRPr="00102859">
        <w:rPr>
          <w:rFonts w:cs="Times New Roman"/>
        </w:rPr>
        <w:t xml:space="preserve"> (ICBT)</w:t>
      </w:r>
      <w:r w:rsidRPr="00102859">
        <w:rPr>
          <w:rFonts w:cs="Times New Roman"/>
        </w:rPr>
        <w:t xml:space="preserve"> for tinnitus </w:t>
      </w:r>
    </w:p>
    <w:p w14:paraId="665AD53F" w14:textId="61E96EE9" w:rsidR="00CF7BE2" w:rsidRPr="00102859" w:rsidRDefault="004B382E" w:rsidP="005C34DD">
      <w:pPr>
        <w:pStyle w:val="ListParagraph"/>
        <w:numPr>
          <w:ilvl w:val="0"/>
          <w:numId w:val="25"/>
        </w:numPr>
        <w:rPr>
          <w:rFonts w:cs="Times New Roman"/>
        </w:rPr>
      </w:pPr>
      <w:r w:rsidRPr="00102859">
        <w:rPr>
          <w:rFonts w:cs="Times New Roman"/>
        </w:rPr>
        <w:t xml:space="preserve">Intervention effects </w:t>
      </w:r>
      <w:r w:rsidR="00C43635" w:rsidRPr="00102859">
        <w:rPr>
          <w:rFonts w:cs="Times New Roman"/>
        </w:rPr>
        <w:t xml:space="preserve">of </w:t>
      </w:r>
      <w:r w:rsidRPr="00102859">
        <w:rPr>
          <w:rFonts w:cs="Times New Roman"/>
        </w:rPr>
        <w:t xml:space="preserve">applied relaxation </w:t>
      </w:r>
      <w:r w:rsidR="00C43635" w:rsidRPr="00102859">
        <w:rPr>
          <w:rFonts w:cs="Times New Roman"/>
        </w:rPr>
        <w:t>were compared with results for full</w:t>
      </w:r>
      <w:r w:rsidR="00CF7BE2" w:rsidRPr="00102859">
        <w:rPr>
          <w:rFonts w:cs="Times New Roman"/>
        </w:rPr>
        <w:t xml:space="preserve"> ICBT</w:t>
      </w:r>
      <w:r w:rsidR="00CF7BE2" w:rsidRPr="00102859">
        <w:rPr>
          <w:rFonts w:cs="Times New Roman"/>
          <w:noProof/>
          <w:szCs w:val="24"/>
        </w:rPr>
        <w:t xml:space="preserve"> </w:t>
      </w:r>
    </w:p>
    <w:p w14:paraId="16ABB2C8" w14:textId="694E5D99" w:rsidR="0054162B" w:rsidRPr="00102859" w:rsidRDefault="00CF7BE2" w:rsidP="005C34DD">
      <w:pPr>
        <w:pStyle w:val="ListParagraph"/>
        <w:numPr>
          <w:ilvl w:val="0"/>
          <w:numId w:val="25"/>
        </w:numPr>
        <w:rPr>
          <w:rFonts w:cs="Times New Roman"/>
        </w:rPr>
      </w:pPr>
      <w:r w:rsidRPr="00102859">
        <w:rPr>
          <w:rFonts w:cs="Times New Roman"/>
        </w:rPr>
        <w:t>To identify if outcomes differ for tinnitus subgroups, t</w:t>
      </w:r>
      <w:r w:rsidR="0054162B" w:rsidRPr="00102859">
        <w:rPr>
          <w:rFonts w:cs="Times New Roman"/>
        </w:rPr>
        <w:t>hree tinnitus subgroups were compared</w:t>
      </w:r>
      <w:r w:rsidR="007C2B60" w:rsidRPr="00102859">
        <w:rPr>
          <w:rFonts w:cs="Times New Roman"/>
        </w:rPr>
        <w:t xml:space="preserve"> </w:t>
      </w:r>
    </w:p>
    <w:p w14:paraId="6D66A75D" w14:textId="0220EBB1" w:rsidR="007B3A97" w:rsidRPr="00102859" w:rsidRDefault="00CF7BE2" w:rsidP="005C34DD">
      <w:pPr>
        <w:pStyle w:val="ListParagraph"/>
        <w:numPr>
          <w:ilvl w:val="0"/>
          <w:numId w:val="25"/>
        </w:numPr>
        <w:rPr>
          <w:rFonts w:cs="Times New Roman"/>
        </w:rPr>
      </w:pPr>
      <w:r w:rsidRPr="00102859">
        <w:rPr>
          <w:rFonts w:cs="Times New Roman"/>
          <w:noProof/>
          <w:szCs w:val="24"/>
        </w:rPr>
        <w:t xml:space="preserve"> D</w:t>
      </w:r>
      <w:r w:rsidR="007B3A97" w:rsidRPr="00102859">
        <w:rPr>
          <w:rFonts w:cs="Times New Roman"/>
          <w:noProof/>
          <w:szCs w:val="24"/>
        </w:rPr>
        <w:t>ifferential effects depending on</w:t>
      </w:r>
      <w:r w:rsidR="002F013A" w:rsidRPr="00102859">
        <w:rPr>
          <w:rFonts w:cs="Times New Roman"/>
          <w:noProof/>
          <w:szCs w:val="24"/>
        </w:rPr>
        <w:t xml:space="preserve"> tinnitus</w:t>
      </w:r>
      <w:r w:rsidRPr="00102859">
        <w:rPr>
          <w:rFonts w:cs="Times New Roman"/>
          <w:noProof/>
          <w:szCs w:val="24"/>
        </w:rPr>
        <w:t xml:space="preserve"> subgroups were not identified for the subgroups selected</w:t>
      </w:r>
    </w:p>
    <w:p w14:paraId="545E1B55" w14:textId="77777777" w:rsidR="000A03FB" w:rsidRPr="00102859" w:rsidRDefault="000A03FB" w:rsidP="005C34DD">
      <w:pPr>
        <w:pStyle w:val="Heading1"/>
        <w:spacing w:line="480" w:lineRule="auto"/>
        <w:rPr>
          <w:color w:val="auto"/>
        </w:rPr>
      </w:pPr>
    </w:p>
    <w:p w14:paraId="68BCDF5B" w14:textId="5E709870" w:rsidR="00CC656C" w:rsidRPr="00102859" w:rsidRDefault="00CC656C" w:rsidP="005C34DD">
      <w:pPr>
        <w:pStyle w:val="Heading1"/>
        <w:spacing w:line="480" w:lineRule="auto"/>
        <w:rPr>
          <w:color w:val="auto"/>
        </w:rPr>
      </w:pPr>
      <w:r w:rsidRPr="00102859">
        <w:rPr>
          <w:color w:val="auto"/>
        </w:rPr>
        <w:t>Abstract</w:t>
      </w:r>
      <w:r w:rsidR="00EC43E8" w:rsidRPr="00102859">
        <w:rPr>
          <w:color w:val="auto"/>
        </w:rPr>
        <w:t xml:space="preserve"> </w:t>
      </w:r>
    </w:p>
    <w:p w14:paraId="4A74555F" w14:textId="3012D173" w:rsidR="00CB3781" w:rsidRPr="00102859" w:rsidRDefault="00CB3781" w:rsidP="005C34DD">
      <w:pPr>
        <w:spacing w:line="480" w:lineRule="auto"/>
      </w:pPr>
      <w:r w:rsidRPr="00102859">
        <w:rPr>
          <w:b/>
          <w:bCs/>
        </w:rPr>
        <w:t>Background</w:t>
      </w:r>
      <w:r w:rsidR="008761E7" w:rsidRPr="00102859">
        <w:rPr>
          <w:b/>
          <w:bCs/>
        </w:rPr>
        <w:t xml:space="preserve">: </w:t>
      </w:r>
      <w:r w:rsidR="00D378ED" w:rsidRPr="00102859">
        <w:t xml:space="preserve">Internet-based cognitive </w:t>
      </w:r>
      <w:proofErr w:type="spellStart"/>
      <w:r w:rsidR="00D378ED" w:rsidRPr="00102859">
        <w:t>behavioral</w:t>
      </w:r>
      <w:proofErr w:type="spellEnd"/>
      <w:r w:rsidR="00D378ED" w:rsidRPr="00102859">
        <w:t xml:space="preserve"> therapy</w:t>
      </w:r>
      <w:r w:rsidR="00FE397A" w:rsidRPr="00102859">
        <w:t xml:space="preserve"> (ICBT)</w:t>
      </w:r>
      <w:r w:rsidR="00607005" w:rsidRPr="00102859">
        <w:t xml:space="preserve"> for tinnitus</w:t>
      </w:r>
      <w:r w:rsidR="00D378ED" w:rsidRPr="00102859">
        <w:t xml:space="preserve"> </w:t>
      </w:r>
      <w:r w:rsidR="00D400ED" w:rsidRPr="00102859">
        <w:t xml:space="preserve">is an evidence-based intervention. </w:t>
      </w:r>
      <w:r w:rsidR="006609E5" w:rsidRPr="00102859">
        <w:t>The components of ICBT for tinnitus have</w:t>
      </w:r>
      <w:r w:rsidR="00CF7BE2" w:rsidRPr="00102859">
        <w:t>,</w:t>
      </w:r>
      <w:r w:rsidR="006609E5" w:rsidRPr="00102859">
        <w:t xml:space="preserve"> however</w:t>
      </w:r>
      <w:r w:rsidR="00CF7BE2" w:rsidRPr="00102859">
        <w:t>,</w:t>
      </w:r>
      <w:r w:rsidR="006609E5" w:rsidRPr="00102859">
        <w:t xml:space="preserve"> not been dism</w:t>
      </w:r>
      <w:r w:rsidR="000A373A" w:rsidRPr="00102859">
        <w:t>antled and thus</w:t>
      </w:r>
      <w:r w:rsidR="006609E5" w:rsidRPr="00102859">
        <w:t xml:space="preserve"> </w:t>
      </w:r>
      <w:r w:rsidR="000A373A" w:rsidRPr="00102859">
        <w:t>t</w:t>
      </w:r>
      <w:r w:rsidR="006B1EA0" w:rsidRPr="00102859">
        <w:t>he</w:t>
      </w:r>
      <w:r w:rsidR="00D400ED" w:rsidRPr="00102859">
        <w:t xml:space="preserve"> </w:t>
      </w:r>
      <w:r w:rsidR="006609E5" w:rsidRPr="00102859">
        <w:t>effectiveness</w:t>
      </w:r>
      <w:r w:rsidR="00D400ED" w:rsidRPr="00102859">
        <w:t xml:space="preserve"> of </w:t>
      </w:r>
      <w:r w:rsidR="00607005" w:rsidRPr="00102859">
        <w:t xml:space="preserve">the different therapeutic components is unknown. </w:t>
      </w:r>
      <w:r w:rsidR="007746DE" w:rsidRPr="00102859">
        <w:t>It is</w:t>
      </w:r>
      <w:r w:rsidR="00E37EA4" w:rsidRPr="00102859">
        <w:t>,</w:t>
      </w:r>
      <w:r w:rsidR="007746DE" w:rsidRPr="00102859">
        <w:t xml:space="preserve"> furthermore</w:t>
      </w:r>
      <w:r w:rsidR="00E37EA4" w:rsidRPr="00102859">
        <w:t>,</w:t>
      </w:r>
      <w:r w:rsidR="007746DE" w:rsidRPr="00102859">
        <w:t xml:space="preserve"> not know</w:t>
      </w:r>
      <w:r w:rsidR="00383433" w:rsidRPr="00102859">
        <w:t>n</w:t>
      </w:r>
      <w:r w:rsidR="007746DE" w:rsidRPr="00102859">
        <w:t xml:space="preserve"> if tinnitus</w:t>
      </w:r>
      <w:r w:rsidR="00CA0738" w:rsidRPr="00102859">
        <w:t xml:space="preserve"> </w:t>
      </w:r>
      <w:r w:rsidR="000A373A" w:rsidRPr="00102859">
        <w:t>subg</w:t>
      </w:r>
      <w:r w:rsidR="00CF7BE2" w:rsidRPr="00102859">
        <w:t>r</w:t>
      </w:r>
      <w:r w:rsidR="000A373A" w:rsidRPr="00102859">
        <w:t>oups</w:t>
      </w:r>
      <w:r w:rsidR="00CA0738" w:rsidRPr="00102859">
        <w:t xml:space="preserve"> with different </w:t>
      </w:r>
      <w:r w:rsidR="00667D3C" w:rsidRPr="00102859">
        <w:t>clinical profile</w:t>
      </w:r>
      <w:r w:rsidR="00383433" w:rsidRPr="00102859">
        <w:t>s</w:t>
      </w:r>
      <w:r w:rsidR="00CF7BE2" w:rsidRPr="00102859">
        <w:t xml:space="preserve"> respond differently to ICBT</w:t>
      </w:r>
      <w:r w:rsidR="00CA0738" w:rsidRPr="00102859">
        <w:t>.</w:t>
      </w:r>
      <w:r w:rsidR="00970A79" w:rsidRPr="00102859">
        <w:t xml:space="preserve"> </w:t>
      </w:r>
    </w:p>
    <w:p w14:paraId="6F66F55C" w14:textId="2BC112FC" w:rsidR="006B1EA0" w:rsidRPr="00102859" w:rsidRDefault="00CB3781" w:rsidP="005C34DD">
      <w:pPr>
        <w:spacing w:line="480" w:lineRule="auto"/>
        <w:rPr>
          <w:b/>
          <w:bCs/>
        </w:rPr>
      </w:pPr>
      <w:r w:rsidRPr="00102859">
        <w:rPr>
          <w:b/>
        </w:rPr>
        <w:lastRenderedPageBreak/>
        <w:t>Aims:</w:t>
      </w:r>
      <w:r w:rsidRPr="00102859">
        <w:t xml:space="preserve"> </w:t>
      </w:r>
      <w:r w:rsidR="00607005" w:rsidRPr="00102859">
        <w:t>Th</w:t>
      </w:r>
      <w:r w:rsidR="00383433" w:rsidRPr="00102859">
        <w:t>is</w:t>
      </w:r>
      <w:r w:rsidR="00347818" w:rsidRPr="00102859">
        <w:t xml:space="preserve"> dismantling</w:t>
      </w:r>
      <w:r w:rsidR="006B1EA0" w:rsidRPr="00102859">
        <w:t xml:space="preserve"> study </w:t>
      </w:r>
      <w:r w:rsidR="00383433" w:rsidRPr="00102859">
        <w:t>aimed</w:t>
      </w:r>
      <w:r w:rsidR="006B1EA0" w:rsidRPr="00102859">
        <w:t xml:space="preserve"> to </w:t>
      </w:r>
      <w:r w:rsidR="00C26917" w:rsidRPr="00102859">
        <w:t xml:space="preserve">explore the contribution of applied relaxation </w:t>
      </w:r>
      <w:r w:rsidR="00B7047C" w:rsidRPr="00102859">
        <w:t>within i</w:t>
      </w:r>
      <w:r w:rsidR="006B1EA0" w:rsidRPr="00102859">
        <w:t xml:space="preserve">nternet-based cognitive </w:t>
      </w:r>
      <w:proofErr w:type="spellStart"/>
      <w:r w:rsidR="006B1EA0" w:rsidRPr="00102859">
        <w:t>behavioral</w:t>
      </w:r>
      <w:proofErr w:type="spellEnd"/>
      <w:r w:rsidR="006B1EA0" w:rsidRPr="00102859">
        <w:t xml:space="preserve"> therapy (ICBT) </w:t>
      </w:r>
      <w:r w:rsidR="002A03A9" w:rsidRPr="00102859">
        <w:t>for</w:t>
      </w:r>
      <w:r w:rsidR="006B1EA0" w:rsidRPr="00102859">
        <w:t xml:space="preserve"> reducing tinnitus distress and comorbidities associated with tinnitus. A secondary aim was to assess whether outcomes varied for three tinnitus subgroups, namely those with significant tinnitus severity, those with low tinnitus severity</w:t>
      </w:r>
      <w:r w:rsidR="00074148" w:rsidRPr="00102859">
        <w:t>,</w:t>
      </w:r>
      <w:r w:rsidR="006B1EA0" w:rsidRPr="00102859">
        <w:t xml:space="preserve"> and those with </w:t>
      </w:r>
      <w:r w:rsidR="004009C1" w:rsidRPr="00102859">
        <w:t>significant</w:t>
      </w:r>
      <w:r w:rsidR="006B1EA0" w:rsidRPr="00102859">
        <w:t xml:space="preserve"> depression. </w:t>
      </w:r>
    </w:p>
    <w:p w14:paraId="2F317EB4" w14:textId="04A4B4B8" w:rsidR="006B1EA0" w:rsidRPr="00102859" w:rsidRDefault="006B1EA0" w:rsidP="005C34DD">
      <w:pPr>
        <w:spacing w:line="480" w:lineRule="auto"/>
        <w:rPr>
          <w:b/>
          <w:bCs/>
        </w:rPr>
      </w:pPr>
      <w:r w:rsidRPr="00102859">
        <w:rPr>
          <w:b/>
          <w:bCs/>
        </w:rPr>
        <w:t>Method</w:t>
      </w:r>
      <w:r w:rsidR="00CB3781" w:rsidRPr="00102859">
        <w:rPr>
          <w:b/>
          <w:bCs/>
        </w:rPr>
        <w:t>s</w:t>
      </w:r>
      <w:r w:rsidR="008761E7" w:rsidRPr="00102859">
        <w:rPr>
          <w:b/>
          <w:bCs/>
        </w:rPr>
        <w:t xml:space="preserve">: </w:t>
      </w:r>
      <w:r w:rsidR="00013A58" w:rsidRPr="00102859">
        <w:t>A</w:t>
      </w:r>
      <w:r w:rsidR="00074148" w:rsidRPr="00102859">
        <w:t xml:space="preserve"> parallel r</w:t>
      </w:r>
      <w:r w:rsidR="005A0BC2" w:rsidRPr="00102859">
        <w:t>andomized controlled trial</w:t>
      </w:r>
      <w:r w:rsidR="00074148" w:rsidRPr="00102859">
        <w:t xml:space="preserve"> design (n</w:t>
      </w:r>
      <w:r w:rsidR="00C310E7" w:rsidRPr="00102859">
        <w:t xml:space="preserve"> </w:t>
      </w:r>
      <w:r w:rsidR="00074148" w:rsidRPr="00102859">
        <w:t>=</w:t>
      </w:r>
      <w:r w:rsidR="00C310E7" w:rsidRPr="00102859">
        <w:t xml:space="preserve"> </w:t>
      </w:r>
      <w:r w:rsidR="00074148" w:rsidRPr="00102859">
        <w:t>126)</w:t>
      </w:r>
      <w:r w:rsidR="00013A58" w:rsidRPr="00102859">
        <w:t xml:space="preserve"> was used to compare </w:t>
      </w:r>
      <w:r w:rsidR="004976DA" w:rsidRPr="00102859">
        <w:t xml:space="preserve">audiologist-guided </w:t>
      </w:r>
      <w:r w:rsidR="00013A58" w:rsidRPr="00102859">
        <w:t>applied relaxation with the full ICBT intervention</w:t>
      </w:r>
      <w:r w:rsidR="00074148" w:rsidRPr="00102859">
        <w:t>.</w:t>
      </w:r>
      <w:r w:rsidR="00074148" w:rsidRPr="00102859">
        <w:rPr>
          <w:b/>
          <w:bCs/>
        </w:rPr>
        <w:t xml:space="preserve"> </w:t>
      </w:r>
      <w:r w:rsidR="005676D6" w:rsidRPr="00102859">
        <w:t xml:space="preserve">Recruitment was </w:t>
      </w:r>
      <w:r w:rsidR="00267926" w:rsidRPr="00102859">
        <w:t xml:space="preserve">online and </w:t>
      </w:r>
      <w:r w:rsidR="006F3C78" w:rsidRPr="00102859">
        <w:t xml:space="preserve">via the intervention platform. </w:t>
      </w:r>
      <w:r w:rsidR="00267926" w:rsidRPr="00102859">
        <w:t>As</w:t>
      </w:r>
      <w:r w:rsidRPr="00102859">
        <w:t xml:space="preserve">sessments were completed at </w:t>
      </w:r>
      <w:r w:rsidR="00C575FF" w:rsidRPr="00102859">
        <w:t>four-time points including a 2-month follow-up</w:t>
      </w:r>
      <w:r w:rsidR="00C057BD" w:rsidRPr="00102859">
        <w:t xml:space="preserve"> period.</w:t>
      </w:r>
      <w:r w:rsidR="00C575FF" w:rsidRPr="00102859">
        <w:t xml:space="preserve"> </w:t>
      </w:r>
      <w:r w:rsidRPr="00102859">
        <w:t xml:space="preserve">The primary outcome was tinnitus </w:t>
      </w:r>
      <w:r w:rsidR="00AE0805" w:rsidRPr="00102859">
        <w:t>severity</w:t>
      </w:r>
      <w:r w:rsidR="00AA0E36" w:rsidRPr="00102859">
        <w:t xml:space="preserve"> </w:t>
      </w:r>
      <w:r w:rsidRPr="00102859">
        <w:t>as measured by the Tinnitus Functional Index. Secondary outcomes were included for anxiety, depression, insomnia, negative tinnitus cognitions, health-related quality of life, hearing disability</w:t>
      </w:r>
      <w:r w:rsidR="00074148" w:rsidRPr="00102859">
        <w:t>,</w:t>
      </w:r>
      <w:r w:rsidRPr="00102859">
        <w:t xml:space="preserve"> and </w:t>
      </w:r>
      <w:proofErr w:type="spellStart"/>
      <w:r w:rsidRPr="00102859">
        <w:t>hyperacusis</w:t>
      </w:r>
      <w:proofErr w:type="spellEnd"/>
      <w:r w:rsidRPr="00102859">
        <w:t xml:space="preserve">. </w:t>
      </w:r>
      <w:r w:rsidR="00CF7BE2" w:rsidRPr="00102859">
        <w:t xml:space="preserve">Treatment engagement variables including </w:t>
      </w:r>
      <w:r w:rsidR="00383433" w:rsidRPr="00102859">
        <w:t xml:space="preserve">the </w:t>
      </w:r>
      <w:r w:rsidR="00CF7BE2" w:rsidRPr="00102859">
        <w:t>number of logins, number of modules opened</w:t>
      </w:r>
      <w:r w:rsidR="00D70293" w:rsidRPr="00102859">
        <w:t>,</w:t>
      </w:r>
      <w:r w:rsidR="00CF7BE2" w:rsidRPr="00102859">
        <w:t xml:space="preserve"> and the number of messages sent.</w:t>
      </w:r>
      <w:r w:rsidR="00DD44A3" w:rsidRPr="00102859">
        <w:t xml:space="preserve"> Both an intention-to-treat analysis and </w:t>
      </w:r>
      <w:r w:rsidR="00FA0DF4" w:rsidRPr="00102859">
        <w:t>completer’s</w:t>
      </w:r>
      <w:r w:rsidR="00DD44A3" w:rsidRPr="00102859">
        <w:t xml:space="preserve"> only analysis were undertaken.</w:t>
      </w:r>
    </w:p>
    <w:p w14:paraId="199CF12B" w14:textId="4A248553" w:rsidR="006B1EA0" w:rsidRPr="00102859" w:rsidRDefault="006B1EA0" w:rsidP="005C34DD">
      <w:pPr>
        <w:spacing w:line="480" w:lineRule="auto"/>
        <w:rPr>
          <w:b/>
          <w:bCs/>
        </w:rPr>
      </w:pPr>
      <w:r w:rsidRPr="00102859">
        <w:rPr>
          <w:b/>
          <w:bCs/>
        </w:rPr>
        <w:t>Results</w:t>
      </w:r>
      <w:r w:rsidR="008761E7" w:rsidRPr="00102859">
        <w:rPr>
          <w:b/>
          <w:bCs/>
        </w:rPr>
        <w:t xml:space="preserve">: </w:t>
      </w:r>
      <w:r w:rsidR="00B33700" w:rsidRPr="00102859">
        <w:t>Engagement was low which compromised results as the full intervention was undertaken by few participants. Both the</w:t>
      </w:r>
      <w:r w:rsidR="00ED01DE" w:rsidRPr="00102859">
        <w:t xml:space="preserve"> </w:t>
      </w:r>
      <w:r w:rsidRPr="00102859">
        <w:t xml:space="preserve">ICBT and </w:t>
      </w:r>
      <w:r w:rsidR="0052005B" w:rsidRPr="00102859">
        <w:t xml:space="preserve">applied relaxation </w:t>
      </w:r>
      <w:r w:rsidR="00AC4FBC" w:rsidRPr="00102859">
        <w:t>resulted in</w:t>
      </w:r>
      <w:r w:rsidRPr="00102859">
        <w:t xml:space="preserve"> large improvements</w:t>
      </w:r>
      <w:r w:rsidR="00813EE2" w:rsidRPr="00102859">
        <w:t xml:space="preserve"> </w:t>
      </w:r>
      <w:r w:rsidR="00AC4FBC" w:rsidRPr="00102859">
        <w:t xml:space="preserve">of </w:t>
      </w:r>
      <w:r w:rsidR="00813EE2" w:rsidRPr="00102859">
        <w:t xml:space="preserve">tinnitus </w:t>
      </w:r>
      <w:r w:rsidR="00AE0805" w:rsidRPr="00102859">
        <w:t>severity</w:t>
      </w:r>
      <w:r w:rsidRPr="00102859">
        <w:t xml:space="preserve"> (</w:t>
      </w:r>
      <w:r w:rsidR="00AC4FBC" w:rsidRPr="00102859">
        <w:t xml:space="preserve">within-group effect sizes </w:t>
      </w:r>
      <w:r w:rsidRPr="00102859">
        <w:rPr>
          <w:i/>
          <w:iCs/>
        </w:rPr>
        <w:t>d</w:t>
      </w:r>
      <w:r w:rsidRPr="00102859">
        <w:t xml:space="preserve"> = </w:t>
      </w:r>
      <w:r w:rsidR="004D6E30" w:rsidRPr="00102859">
        <w:t>0</w:t>
      </w:r>
      <w:r w:rsidRPr="00102859">
        <w:t>.</w:t>
      </w:r>
      <w:r w:rsidR="004D6E30" w:rsidRPr="00102859">
        <w:t>87</w:t>
      </w:r>
      <w:r w:rsidRPr="00102859">
        <w:t xml:space="preserve"> and 0.</w:t>
      </w:r>
      <w:r w:rsidR="004D6E30" w:rsidRPr="00102859">
        <w:t>68</w:t>
      </w:r>
      <w:r w:rsidR="00074148" w:rsidRPr="00102859">
        <w:t>,</w:t>
      </w:r>
      <w:r w:rsidRPr="00102859">
        <w:t xml:space="preserve"> respectively</w:t>
      </w:r>
      <w:r w:rsidR="00DD44A3" w:rsidRPr="00102859">
        <w:t xml:space="preserve"> for complete</w:t>
      </w:r>
      <w:r w:rsidR="00174629" w:rsidRPr="00102859">
        <w:t>r</w:t>
      </w:r>
      <w:r w:rsidR="00DD44A3" w:rsidRPr="00102859">
        <w:t>s only analysis</w:t>
      </w:r>
      <w:r w:rsidRPr="00102859">
        <w:t>), which were maintained, or further</w:t>
      </w:r>
      <w:r w:rsidR="00AC4FBC" w:rsidRPr="00102859">
        <w:t xml:space="preserve"> improved </w:t>
      </w:r>
      <w:r w:rsidRPr="00102859">
        <w:t xml:space="preserve">at follow-up. </w:t>
      </w:r>
      <w:r w:rsidR="00B33700" w:rsidRPr="00102859">
        <w:t>These</w:t>
      </w:r>
      <w:r w:rsidRPr="00102859">
        <w:t xml:space="preserve"> reductions </w:t>
      </w:r>
      <w:r w:rsidR="002A03A9" w:rsidRPr="00102859">
        <w:t xml:space="preserve">in tinnitus </w:t>
      </w:r>
      <w:r w:rsidR="00B33700" w:rsidRPr="00102859">
        <w:t>distress</w:t>
      </w:r>
      <w:r w:rsidR="002A03A9" w:rsidRPr="00102859">
        <w:t xml:space="preserve"> </w:t>
      </w:r>
      <w:r w:rsidRPr="00102859">
        <w:t>were greater for the ICBT group,</w:t>
      </w:r>
      <w:r w:rsidR="00D516D9" w:rsidRPr="00102859">
        <w:t xml:space="preserve"> with a small effect size</w:t>
      </w:r>
      <w:r w:rsidR="00FC6D42" w:rsidRPr="00102859">
        <w:t xml:space="preserve"> </w:t>
      </w:r>
      <w:r w:rsidRPr="00102859">
        <w:t>differences (</w:t>
      </w:r>
      <w:r w:rsidR="00AC4FBC" w:rsidRPr="00102859">
        <w:t xml:space="preserve">between-group </w:t>
      </w:r>
      <w:r w:rsidRPr="00102859">
        <w:rPr>
          <w:i/>
          <w:iCs/>
        </w:rPr>
        <w:t>d</w:t>
      </w:r>
      <w:r w:rsidRPr="00102859">
        <w:t xml:space="preserve"> = 0.1</w:t>
      </w:r>
      <w:r w:rsidR="004D6E30" w:rsidRPr="00102859">
        <w:t>5</w:t>
      </w:r>
      <w:r w:rsidR="00AC4FBC" w:rsidRPr="00102859">
        <w:t xml:space="preserve"> in </w:t>
      </w:r>
      <w:r w:rsidR="00AC4FBC" w:rsidRPr="00102859">
        <w:rPr>
          <w:lang w:val="en-US"/>
        </w:rPr>
        <w:t>favor</w:t>
      </w:r>
      <w:r w:rsidR="00AC4FBC" w:rsidRPr="00102859">
        <w:t xml:space="preserve"> of ICBT</w:t>
      </w:r>
      <w:r w:rsidR="00DD44A3" w:rsidRPr="00102859">
        <w:t xml:space="preserve"> for completers only analysis</w:t>
      </w:r>
      <w:r w:rsidRPr="00102859">
        <w:t xml:space="preserve">). </w:t>
      </w:r>
      <w:r w:rsidR="00B8421B" w:rsidRPr="00102859">
        <w:t>T</w:t>
      </w:r>
      <w:r w:rsidRPr="00102859">
        <w:t xml:space="preserve">innitus </w:t>
      </w:r>
      <w:r w:rsidR="00B1047F" w:rsidRPr="00102859">
        <w:t>distress</w:t>
      </w:r>
      <w:r w:rsidRPr="00102859">
        <w:t xml:space="preserve"> decreased the most </w:t>
      </w:r>
      <w:r w:rsidR="00AC4FBC" w:rsidRPr="00102859">
        <w:t xml:space="preserve">at </w:t>
      </w:r>
      <w:r w:rsidR="00F46204" w:rsidRPr="00102859">
        <w:t xml:space="preserve">post-intervention </w:t>
      </w:r>
      <w:r w:rsidRPr="00102859">
        <w:t xml:space="preserve">for </w:t>
      </w:r>
      <w:r w:rsidR="00B8421B" w:rsidRPr="00102859">
        <w:t xml:space="preserve">those </w:t>
      </w:r>
      <w:r w:rsidR="00F46204" w:rsidRPr="00102859">
        <w:t xml:space="preserve">with </w:t>
      </w:r>
      <w:r w:rsidR="004009C1" w:rsidRPr="00102859">
        <w:t>significant</w:t>
      </w:r>
      <w:r w:rsidRPr="00102859">
        <w:t xml:space="preserve"> depression </w:t>
      </w:r>
      <w:r w:rsidR="00F46204" w:rsidRPr="00102859">
        <w:t>at baseline</w:t>
      </w:r>
      <w:r w:rsidRPr="00102859">
        <w:t xml:space="preserve">. </w:t>
      </w:r>
      <w:r w:rsidR="0098259B" w:rsidRPr="00102859">
        <w:t xml:space="preserve">Both ICBT and </w:t>
      </w:r>
      <w:r w:rsidR="0052005B" w:rsidRPr="00102859">
        <w:t xml:space="preserve">applied relaxation </w:t>
      </w:r>
      <w:r w:rsidR="0098259B" w:rsidRPr="00102859">
        <w:t>contributed to</w:t>
      </w:r>
      <w:r w:rsidRPr="00102859">
        <w:t xml:space="preserve"> significant reductions </w:t>
      </w:r>
      <w:r w:rsidR="00AC4FBC" w:rsidRPr="00102859">
        <w:t xml:space="preserve">on </w:t>
      </w:r>
      <w:r w:rsidRPr="00102859">
        <w:t xml:space="preserve">most secondary outcome measures, with no group differences, except for </w:t>
      </w:r>
      <w:r w:rsidR="00AC4FBC" w:rsidRPr="00102859">
        <w:t xml:space="preserve">a </w:t>
      </w:r>
      <w:r w:rsidR="00383433" w:rsidRPr="00102859">
        <w:t>greater reduction</w:t>
      </w:r>
      <w:r w:rsidR="008D064B" w:rsidRPr="00102859">
        <w:t xml:space="preserve"> </w:t>
      </w:r>
      <w:r w:rsidR="00AC4FBC" w:rsidRPr="00102859">
        <w:t xml:space="preserve">of </w:t>
      </w:r>
      <w:proofErr w:type="spellStart"/>
      <w:r w:rsidR="008D064B" w:rsidRPr="00102859">
        <w:t>hyperacusis</w:t>
      </w:r>
      <w:proofErr w:type="spellEnd"/>
      <w:r w:rsidRPr="00102859">
        <w:t xml:space="preserve"> </w:t>
      </w:r>
      <w:r w:rsidR="00AC4FBC" w:rsidRPr="00102859">
        <w:t xml:space="preserve">in </w:t>
      </w:r>
      <w:r w:rsidRPr="00102859">
        <w:t xml:space="preserve">the ICBT </w:t>
      </w:r>
      <w:r w:rsidR="0098259B" w:rsidRPr="00102859">
        <w:t>group</w:t>
      </w:r>
      <w:r w:rsidRPr="00102859">
        <w:t xml:space="preserve">. </w:t>
      </w:r>
    </w:p>
    <w:p w14:paraId="5B183084" w14:textId="5B51A6D3" w:rsidR="00785B0E" w:rsidRPr="00102859" w:rsidRDefault="006B1EA0" w:rsidP="005C34DD">
      <w:pPr>
        <w:pStyle w:val="CommentText"/>
        <w:spacing w:line="480" w:lineRule="auto"/>
        <w:rPr>
          <w:sz w:val="24"/>
          <w:szCs w:val="24"/>
        </w:rPr>
      </w:pPr>
      <w:r w:rsidRPr="00102859">
        <w:rPr>
          <w:b/>
          <w:bCs/>
          <w:sz w:val="24"/>
          <w:szCs w:val="24"/>
        </w:rPr>
        <w:lastRenderedPageBreak/>
        <w:t>Conclusion</w:t>
      </w:r>
      <w:r w:rsidR="008761E7" w:rsidRPr="00102859">
        <w:rPr>
          <w:b/>
          <w:bCs/>
          <w:sz w:val="24"/>
          <w:szCs w:val="24"/>
        </w:rPr>
        <w:t xml:space="preserve">: </w:t>
      </w:r>
      <w:r w:rsidR="00D516D9" w:rsidRPr="00102859">
        <w:rPr>
          <w:noProof/>
          <w:sz w:val="24"/>
          <w:szCs w:val="24"/>
        </w:rPr>
        <w:t>Due to poor compliance partly attributed to the COVID-19 pandemic results were compromised. Further studies with stronger protoco</w:t>
      </w:r>
      <w:r w:rsidR="00BF670F" w:rsidRPr="00102859">
        <w:rPr>
          <w:noProof/>
          <w:sz w:val="24"/>
          <w:szCs w:val="24"/>
        </w:rPr>
        <w:t>ls are required</w:t>
      </w:r>
      <w:r w:rsidR="00785B0E" w:rsidRPr="00102859">
        <w:rPr>
          <w:noProof/>
          <w:sz w:val="24"/>
          <w:szCs w:val="24"/>
        </w:rPr>
        <w:t xml:space="preserve">. </w:t>
      </w:r>
      <w:r w:rsidR="005A0BC2" w:rsidRPr="00102859">
        <w:rPr>
          <w:noProof/>
          <w:sz w:val="24"/>
          <w:szCs w:val="24"/>
        </w:rPr>
        <w:t xml:space="preserve">The intervention’s effectivness increased with intital level of tinnitus distress; those with the highest scores at intake experienced the most substantial changes on the outcome measures. </w:t>
      </w:r>
      <w:r w:rsidR="00D516D9" w:rsidRPr="00102859">
        <w:rPr>
          <w:noProof/>
          <w:sz w:val="24"/>
          <w:szCs w:val="24"/>
        </w:rPr>
        <w:t>This may suggest tailoring of interventions according to tinnitus serverity</w:t>
      </w:r>
      <w:r w:rsidR="00785B0E" w:rsidRPr="00102859">
        <w:rPr>
          <w:noProof/>
          <w:sz w:val="24"/>
          <w:szCs w:val="24"/>
        </w:rPr>
        <w:t xml:space="preserve">. Larger samples are needed to confirm this. </w:t>
      </w:r>
    </w:p>
    <w:p w14:paraId="04AE57A5" w14:textId="4AC113F5" w:rsidR="005249AC" w:rsidRPr="00102859" w:rsidRDefault="005249AC" w:rsidP="005C34DD">
      <w:pPr>
        <w:spacing w:line="480" w:lineRule="auto"/>
        <w:rPr>
          <w:b/>
          <w:sz w:val="28"/>
          <w:szCs w:val="28"/>
        </w:rPr>
      </w:pPr>
    </w:p>
    <w:p w14:paraId="2D2FC5CC" w14:textId="77777777" w:rsidR="008761E7" w:rsidRPr="00102859" w:rsidRDefault="008761E7" w:rsidP="005C34DD">
      <w:pPr>
        <w:spacing w:line="480" w:lineRule="auto"/>
        <w:rPr>
          <w:b/>
          <w:sz w:val="28"/>
          <w:szCs w:val="28"/>
        </w:rPr>
      </w:pPr>
      <w:r w:rsidRPr="00102859">
        <w:rPr>
          <w:b/>
          <w:sz w:val="28"/>
          <w:szCs w:val="28"/>
        </w:rPr>
        <w:t>Key Words</w:t>
      </w:r>
    </w:p>
    <w:p w14:paraId="263EC2C7" w14:textId="0E266CCC" w:rsidR="008761E7" w:rsidRPr="00102859" w:rsidRDefault="008761E7" w:rsidP="005C34DD">
      <w:pPr>
        <w:spacing w:line="480" w:lineRule="auto"/>
        <w:rPr>
          <w:bCs/>
        </w:rPr>
      </w:pPr>
      <w:r w:rsidRPr="00102859">
        <w:rPr>
          <w:bCs/>
        </w:rPr>
        <w:t xml:space="preserve">Tinnitus, Internet intervention, </w:t>
      </w:r>
      <w:r w:rsidR="007B21CB" w:rsidRPr="00102859">
        <w:rPr>
          <w:bCs/>
        </w:rPr>
        <w:t xml:space="preserve">Digital therapeutics, Telehealth, </w:t>
      </w:r>
      <w:r w:rsidRPr="00102859">
        <w:rPr>
          <w:bCs/>
        </w:rPr>
        <w:t xml:space="preserve">Cognitive </w:t>
      </w:r>
      <w:proofErr w:type="spellStart"/>
      <w:r w:rsidRPr="00102859">
        <w:rPr>
          <w:bCs/>
        </w:rPr>
        <w:t>behavioral</w:t>
      </w:r>
      <w:proofErr w:type="spellEnd"/>
      <w:r w:rsidRPr="00102859">
        <w:rPr>
          <w:bCs/>
        </w:rPr>
        <w:t xml:space="preserve"> therapy</w:t>
      </w:r>
      <w:r w:rsidR="007B21CB" w:rsidRPr="00102859">
        <w:rPr>
          <w:bCs/>
        </w:rPr>
        <w:t>, Applied relaxation</w:t>
      </w:r>
    </w:p>
    <w:p w14:paraId="73289716" w14:textId="7739240B" w:rsidR="00970741" w:rsidRPr="00102859" w:rsidRDefault="00970741" w:rsidP="005C34DD">
      <w:pPr>
        <w:spacing w:line="480" w:lineRule="auto"/>
        <w:rPr>
          <w:bCs/>
        </w:rPr>
      </w:pPr>
    </w:p>
    <w:p w14:paraId="4467BDAB" w14:textId="77777777" w:rsidR="00970741" w:rsidRPr="00102859" w:rsidRDefault="00970741" w:rsidP="005C34DD">
      <w:pPr>
        <w:pStyle w:val="Heading1"/>
        <w:spacing w:line="480" w:lineRule="auto"/>
        <w:rPr>
          <w:color w:val="auto"/>
        </w:rPr>
      </w:pPr>
      <w:r w:rsidRPr="00102859">
        <w:rPr>
          <w:color w:val="auto"/>
        </w:rPr>
        <w:t>Abbreviations</w:t>
      </w:r>
    </w:p>
    <w:p w14:paraId="5AE430D2" w14:textId="77777777" w:rsidR="00970741" w:rsidRPr="00102859" w:rsidRDefault="00970741" w:rsidP="005C34DD">
      <w:pPr>
        <w:spacing w:line="480" w:lineRule="auto"/>
      </w:pPr>
      <w:r w:rsidRPr="00102859">
        <w:t>CBT: Cognitive Behavioural Therapy</w:t>
      </w:r>
    </w:p>
    <w:p w14:paraId="7F31D11C" w14:textId="77777777" w:rsidR="00970741" w:rsidRPr="00102859" w:rsidRDefault="00970741" w:rsidP="005C34DD">
      <w:pPr>
        <w:spacing w:line="480" w:lineRule="auto"/>
      </w:pPr>
      <w:r w:rsidRPr="00102859">
        <w:t xml:space="preserve">CONSORT: Consolidated Standards of Reporting Trials </w:t>
      </w:r>
    </w:p>
    <w:p w14:paraId="353023CC" w14:textId="77777777" w:rsidR="00970741" w:rsidRPr="00102859" w:rsidRDefault="00970741" w:rsidP="005C34DD">
      <w:pPr>
        <w:spacing w:line="480" w:lineRule="auto"/>
      </w:pPr>
      <w:r w:rsidRPr="00102859">
        <w:t>GAD-7: Generalized Anxiety Disorder</w:t>
      </w:r>
    </w:p>
    <w:p w14:paraId="12DA1012" w14:textId="77777777" w:rsidR="00970741" w:rsidRPr="00102859" w:rsidRDefault="00970741" w:rsidP="005C34DD">
      <w:pPr>
        <w:spacing w:line="480" w:lineRule="auto"/>
      </w:pPr>
      <w:r w:rsidRPr="00102859">
        <w:t xml:space="preserve">HHIA-S: Hearing Handicap Inventory for Adults - Screening </w:t>
      </w:r>
    </w:p>
    <w:p w14:paraId="52A7368A" w14:textId="22C3D1B9" w:rsidR="00970741" w:rsidRPr="00102859" w:rsidRDefault="00970741" w:rsidP="005C34DD">
      <w:pPr>
        <w:spacing w:line="480" w:lineRule="auto"/>
      </w:pPr>
      <w:r w:rsidRPr="00102859">
        <w:t>ICBT: Internet-based Cognitive Behavioural Therapy Intervention</w:t>
      </w:r>
    </w:p>
    <w:p w14:paraId="73E42838" w14:textId="77777777" w:rsidR="00970741" w:rsidRPr="00102859" w:rsidRDefault="00970741" w:rsidP="005C34DD">
      <w:pPr>
        <w:spacing w:line="480" w:lineRule="auto"/>
      </w:pPr>
      <w:r w:rsidRPr="00102859">
        <w:t>ISI: Insomnia Severity Index</w:t>
      </w:r>
    </w:p>
    <w:p w14:paraId="12E7CF41" w14:textId="77777777" w:rsidR="00970741" w:rsidRPr="00102859" w:rsidRDefault="00970741" w:rsidP="005C34DD">
      <w:pPr>
        <w:spacing w:line="480" w:lineRule="auto"/>
        <w:rPr>
          <w:shd w:val="clear" w:color="auto" w:fill="FFFFFF"/>
        </w:rPr>
      </w:pPr>
      <w:r w:rsidRPr="00102859">
        <w:rPr>
          <w:shd w:val="clear" w:color="auto" w:fill="FFFFFF"/>
        </w:rPr>
        <w:t>PHQ-9: Patient Health Questionnaire</w:t>
      </w:r>
    </w:p>
    <w:p w14:paraId="62069B19" w14:textId="77777777" w:rsidR="00970741" w:rsidRPr="00102859" w:rsidRDefault="00970741" w:rsidP="005C34DD">
      <w:pPr>
        <w:spacing w:line="480" w:lineRule="auto"/>
        <w:rPr>
          <w:shd w:val="clear" w:color="auto" w:fill="FFFFFF"/>
        </w:rPr>
      </w:pPr>
      <w:r w:rsidRPr="00102859">
        <w:rPr>
          <w:shd w:val="clear" w:color="auto" w:fill="FFFFFF"/>
        </w:rPr>
        <w:t>RCI: Reliable Change Index</w:t>
      </w:r>
    </w:p>
    <w:p w14:paraId="6357BB0D" w14:textId="77777777" w:rsidR="00970741" w:rsidRPr="00102859" w:rsidRDefault="00970741" w:rsidP="005C34DD">
      <w:pPr>
        <w:spacing w:line="480" w:lineRule="auto"/>
      </w:pPr>
      <w:r w:rsidRPr="00102859">
        <w:t>TFI: Tinnitus Functional Index</w:t>
      </w:r>
    </w:p>
    <w:p w14:paraId="6EC09231" w14:textId="77777777" w:rsidR="00970741" w:rsidRPr="00102859" w:rsidRDefault="00970741" w:rsidP="005C34DD">
      <w:pPr>
        <w:spacing w:line="480" w:lineRule="auto"/>
      </w:pPr>
      <w:r w:rsidRPr="00102859">
        <w:t>US: United States</w:t>
      </w:r>
    </w:p>
    <w:p w14:paraId="4F276A88" w14:textId="77777777" w:rsidR="004D1C39" w:rsidRPr="00102859" w:rsidRDefault="004D1C39" w:rsidP="005C34DD">
      <w:pPr>
        <w:spacing w:line="480" w:lineRule="auto"/>
        <w:rPr>
          <w:bCs/>
        </w:rPr>
      </w:pPr>
    </w:p>
    <w:p w14:paraId="7B37BDB1" w14:textId="2B5BB5F2" w:rsidR="00D13D24" w:rsidRPr="00102859" w:rsidRDefault="00B06975" w:rsidP="005C34DD">
      <w:pPr>
        <w:pStyle w:val="ListParagraph"/>
        <w:numPr>
          <w:ilvl w:val="0"/>
          <w:numId w:val="22"/>
        </w:numPr>
        <w:rPr>
          <w:rFonts w:cs="Times New Roman"/>
          <w:b/>
          <w:sz w:val="28"/>
          <w:szCs w:val="28"/>
        </w:rPr>
      </w:pPr>
      <w:r w:rsidRPr="00102859">
        <w:rPr>
          <w:rFonts w:cs="Times New Roman"/>
          <w:b/>
          <w:sz w:val="28"/>
          <w:szCs w:val="28"/>
        </w:rPr>
        <w:t>Introduction</w:t>
      </w:r>
    </w:p>
    <w:p w14:paraId="63FE9F6B" w14:textId="0F8617F3" w:rsidR="00F45B16" w:rsidRPr="00102859" w:rsidRDefault="00440B97" w:rsidP="005C34DD">
      <w:pPr>
        <w:spacing w:line="480" w:lineRule="auto"/>
      </w:pPr>
      <w:r w:rsidRPr="00102859">
        <w:lastRenderedPageBreak/>
        <w:t xml:space="preserve">Interventions provided for chronic </w:t>
      </w:r>
      <w:r w:rsidR="005B2993" w:rsidRPr="00102859">
        <w:t>health condition</w:t>
      </w:r>
      <w:r w:rsidR="00383433" w:rsidRPr="00102859">
        <w:t>s</w:t>
      </w:r>
      <w:r w:rsidR="005B2993" w:rsidRPr="00102859">
        <w:t xml:space="preserve"> </w:t>
      </w:r>
      <w:r w:rsidR="00D526C3" w:rsidRPr="00102859">
        <w:t xml:space="preserve">are often </w:t>
      </w:r>
      <w:r w:rsidR="005B2993" w:rsidRPr="00102859">
        <w:t>complex and lengthy</w:t>
      </w:r>
      <w:r w:rsidR="00C43436" w:rsidRPr="00102859">
        <w:t xml:space="preserve"> and</w:t>
      </w:r>
      <w:r w:rsidR="00D526C3" w:rsidRPr="00102859">
        <w:t xml:space="preserve"> can burden healthcare systems</w:t>
      </w:r>
      <w:r w:rsidR="00476989" w:rsidRPr="00102859">
        <w:t xml:space="preserve"> (Reed et al., 2019). </w:t>
      </w:r>
      <w:r w:rsidR="00FA0400" w:rsidRPr="00102859">
        <w:t>I</w:t>
      </w:r>
      <w:r w:rsidR="00137BAE" w:rsidRPr="00102859">
        <w:t xml:space="preserve">dentifying components </w:t>
      </w:r>
      <w:r w:rsidR="00FA0400" w:rsidRPr="00102859">
        <w:t xml:space="preserve">within these interventions </w:t>
      </w:r>
      <w:r w:rsidR="00137BAE" w:rsidRPr="00102859">
        <w:t>that</w:t>
      </w:r>
      <w:r w:rsidR="00FA0400" w:rsidRPr="00102859">
        <w:t xml:space="preserve"> are</w:t>
      </w:r>
      <w:r w:rsidR="00137BAE" w:rsidRPr="00102859">
        <w:t xml:space="preserve"> </w:t>
      </w:r>
      <w:r w:rsidR="00FA0400" w:rsidRPr="00102859">
        <w:rPr>
          <w:lang w:val="en-US"/>
        </w:rPr>
        <w:t>critical for behavior change</w:t>
      </w:r>
      <w:r w:rsidR="00B6135C" w:rsidRPr="00102859">
        <w:rPr>
          <w:lang w:val="en-US"/>
        </w:rPr>
        <w:t xml:space="preserve"> can help </w:t>
      </w:r>
      <w:r w:rsidR="00383433" w:rsidRPr="00102859">
        <w:rPr>
          <w:lang w:val="en-US"/>
        </w:rPr>
        <w:t xml:space="preserve">the </w:t>
      </w:r>
      <w:r w:rsidR="00020A62" w:rsidRPr="00102859">
        <w:rPr>
          <w:lang w:val="en-US"/>
        </w:rPr>
        <w:t>delivery of cost-effective interventions</w:t>
      </w:r>
      <w:r w:rsidR="00B6135C" w:rsidRPr="00102859">
        <w:rPr>
          <w:lang w:val="en-US"/>
        </w:rPr>
        <w:t xml:space="preserve">. </w:t>
      </w:r>
      <w:r w:rsidR="00FA0400" w:rsidRPr="00102859">
        <w:rPr>
          <w:lang w:val="en-US"/>
        </w:rPr>
        <w:t xml:space="preserve"> </w:t>
      </w:r>
      <w:r w:rsidR="007A630A" w:rsidRPr="00102859">
        <w:t>Dismant</w:t>
      </w:r>
      <w:r w:rsidR="00B6135C" w:rsidRPr="00102859">
        <w:t>l</w:t>
      </w:r>
      <w:r w:rsidR="007A630A" w:rsidRPr="00102859">
        <w:t>ing treatment components</w:t>
      </w:r>
      <w:r w:rsidR="00B6135C" w:rsidRPr="00102859">
        <w:t xml:space="preserve"> of complex interventions</w:t>
      </w:r>
      <w:r w:rsidR="00F20AAB" w:rsidRPr="00102859">
        <w:t xml:space="preserve"> can also refine </w:t>
      </w:r>
      <w:r w:rsidR="00383433" w:rsidRPr="00102859">
        <w:t xml:space="preserve">the </w:t>
      </w:r>
      <w:r w:rsidR="00F20AAB" w:rsidRPr="00102859">
        <w:t>understanding of how treatment works</w:t>
      </w:r>
      <w:r w:rsidR="00020A62" w:rsidRPr="00102859">
        <w:t xml:space="preserve"> and </w:t>
      </w:r>
      <w:r w:rsidR="000F6CDB" w:rsidRPr="00102859">
        <w:rPr>
          <w:noProof/>
        </w:rPr>
        <w:t xml:space="preserve">lead to improved efficacy. </w:t>
      </w:r>
      <w:r w:rsidR="006F674C" w:rsidRPr="00102859">
        <w:t xml:space="preserve">Cognitive </w:t>
      </w:r>
      <w:proofErr w:type="spellStart"/>
      <w:r w:rsidR="006F674C" w:rsidRPr="00102859">
        <w:t>behavioral</w:t>
      </w:r>
      <w:proofErr w:type="spellEnd"/>
      <w:r w:rsidR="006F674C" w:rsidRPr="00102859">
        <w:t xml:space="preserve"> therapy (CBT) is an </w:t>
      </w:r>
      <w:r w:rsidR="008F1289" w:rsidRPr="00102859">
        <w:t>evidence-based intervention applicable for a wide range of difficulties</w:t>
      </w:r>
      <w:r w:rsidR="00555EE7" w:rsidRPr="00102859">
        <w:t xml:space="preserve"> (e.g. </w:t>
      </w:r>
      <w:proofErr w:type="spellStart"/>
      <w:r w:rsidR="00555EE7" w:rsidRPr="00102859">
        <w:rPr>
          <w:shd w:val="clear" w:color="auto" w:fill="FFFFFF"/>
        </w:rPr>
        <w:t>López-López</w:t>
      </w:r>
      <w:proofErr w:type="spellEnd"/>
      <w:r w:rsidR="000864C7" w:rsidRPr="00102859">
        <w:rPr>
          <w:shd w:val="clear" w:color="auto" w:fill="FFFFFF"/>
        </w:rPr>
        <w:t xml:space="preserve"> et al., 2019; </w:t>
      </w:r>
      <w:r w:rsidR="00070A37" w:rsidRPr="00102859">
        <w:t xml:space="preserve">Tray, </w:t>
      </w:r>
      <w:proofErr w:type="spellStart"/>
      <w:r w:rsidR="00070A37" w:rsidRPr="00102859">
        <w:t>Subramaniam</w:t>
      </w:r>
      <w:proofErr w:type="spellEnd"/>
      <w:r w:rsidR="00070A37" w:rsidRPr="00102859">
        <w:t xml:space="preserve">, &amp; </w:t>
      </w:r>
      <w:proofErr w:type="spellStart"/>
      <w:proofErr w:type="gramStart"/>
      <w:r w:rsidR="00070A37" w:rsidRPr="00102859">
        <w:t>Oei</w:t>
      </w:r>
      <w:proofErr w:type="spellEnd"/>
      <w:r w:rsidR="00070A37" w:rsidRPr="00102859">
        <w:t>.,</w:t>
      </w:r>
      <w:proofErr w:type="gramEnd"/>
      <w:r w:rsidR="00070A37" w:rsidRPr="00102859">
        <w:t xml:space="preserve"> 2019)</w:t>
      </w:r>
      <w:r w:rsidR="008F1289" w:rsidRPr="00102859">
        <w:t xml:space="preserve">. </w:t>
      </w:r>
      <w:r w:rsidR="005368CF" w:rsidRPr="00102859">
        <w:t xml:space="preserve">It </w:t>
      </w:r>
      <w:r w:rsidR="00886A30" w:rsidRPr="00102859">
        <w:t>is the intervention with the most evidence of effectiveness for tinnitus</w:t>
      </w:r>
      <w:r w:rsidR="006F674C" w:rsidRPr="00102859">
        <w:t xml:space="preserve"> </w:t>
      </w:r>
      <w:r w:rsidR="00886A30" w:rsidRPr="00102859">
        <w:t>(Fuller et al., 2020; Landry et al., 2020)</w:t>
      </w:r>
      <w:r w:rsidR="00DA59B8" w:rsidRPr="00102859">
        <w:t xml:space="preserve">, </w:t>
      </w:r>
      <w:r w:rsidR="00EC35C9" w:rsidRPr="00102859">
        <w:t xml:space="preserve">defined as the sensation of sound in the absence of an external sound source. </w:t>
      </w:r>
      <w:r w:rsidR="0019072B" w:rsidRPr="00102859">
        <w:t xml:space="preserve"> </w:t>
      </w:r>
      <w:r w:rsidR="00383433" w:rsidRPr="00102859">
        <w:t>Due to its proven</w:t>
      </w:r>
      <w:r w:rsidR="007A0B54" w:rsidRPr="00102859">
        <w:t xml:space="preserve"> effectiveness, </w:t>
      </w:r>
      <w:r w:rsidR="00940726" w:rsidRPr="00102859">
        <w:t xml:space="preserve">CBT </w:t>
      </w:r>
      <w:r w:rsidR="00020A62" w:rsidRPr="00102859">
        <w:t xml:space="preserve">is advocated </w:t>
      </w:r>
      <w:r w:rsidR="00940726" w:rsidRPr="00102859">
        <w:t xml:space="preserve">in multiple </w:t>
      </w:r>
      <w:r w:rsidR="00020A62" w:rsidRPr="00102859">
        <w:t xml:space="preserve">tinnitus </w:t>
      </w:r>
      <w:r w:rsidR="00940726" w:rsidRPr="00102859">
        <w:t>clinical guidelines across the globe (</w:t>
      </w:r>
      <w:proofErr w:type="spellStart"/>
      <w:r w:rsidR="00940726" w:rsidRPr="00102859">
        <w:t>Cima</w:t>
      </w:r>
      <w:proofErr w:type="spellEnd"/>
      <w:r w:rsidR="00940726" w:rsidRPr="00102859">
        <w:t xml:space="preserve"> et al., 2019; Fuller et al., 2017; </w:t>
      </w:r>
      <w:proofErr w:type="spellStart"/>
      <w:r w:rsidR="00940726" w:rsidRPr="00102859">
        <w:t>Trunkel</w:t>
      </w:r>
      <w:proofErr w:type="spellEnd"/>
      <w:r w:rsidR="00940726" w:rsidRPr="00102859">
        <w:t xml:space="preserve"> et al., 2014)</w:t>
      </w:r>
      <w:r w:rsidR="00972E05" w:rsidRPr="00102859">
        <w:t xml:space="preserve">. </w:t>
      </w:r>
      <w:r w:rsidR="00206D2A" w:rsidRPr="00102859">
        <w:t xml:space="preserve">Despite these recommendations, </w:t>
      </w:r>
      <w:r w:rsidR="00940726" w:rsidRPr="00102859">
        <w:t>accessibility to CBT for tinnitus is costly and limited due to a shortage of healthcare providers with the expertise to provide CBT for tinnitus (Bhatt et al., 2016; Henry et al., 2019). Different protocols, such as a stepped-care approach (</w:t>
      </w:r>
      <w:proofErr w:type="spellStart"/>
      <w:r w:rsidR="00940726" w:rsidRPr="00102859">
        <w:t>Cima</w:t>
      </w:r>
      <w:proofErr w:type="spellEnd"/>
      <w:r w:rsidR="00940726" w:rsidRPr="00102859">
        <w:t xml:space="preserve"> et al., 2012) or CBT self-help approaches (Kaldo et al., 2007) have been proposed to address the lack of CBT- related resources. A guided internet-based CBT intervention for tinnitus (ICBT; </w:t>
      </w:r>
      <w:r w:rsidR="00940726" w:rsidRPr="00102859">
        <w:rPr>
          <w:noProof/>
        </w:rPr>
        <w:t>Andersson et al. 2002)</w:t>
      </w:r>
      <w:r w:rsidR="00940726" w:rsidRPr="00102859">
        <w:t xml:space="preserve"> was developed as a bridge between in-person care and self-help.</w:t>
      </w:r>
      <w:r w:rsidR="00940726" w:rsidRPr="00102859">
        <w:rPr>
          <w:noProof/>
        </w:rPr>
        <w:t xml:space="preserve"> This a</w:t>
      </w:r>
      <w:r w:rsidR="00383433" w:rsidRPr="00102859">
        <w:rPr>
          <w:noProof/>
        </w:rPr>
        <w:t>pproach enabled both support on-</w:t>
      </w:r>
      <w:r w:rsidR="00940726" w:rsidRPr="00102859">
        <w:rPr>
          <w:noProof/>
        </w:rPr>
        <w:t>demand from a professional in addition to a structured self-help program (Andersson &amp; Kaldo, 2004)</w:t>
      </w:r>
      <w:r w:rsidR="00D82740" w:rsidRPr="00102859">
        <w:rPr>
          <w:noProof/>
        </w:rPr>
        <w:t xml:space="preserve"> and </w:t>
      </w:r>
      <w:r w:rsidR="00940726" w:rsidRPr="00102859">
        <w:rPr>
          <w:noProof/>
        </w:rPr>
        <w:t xml:space="preserve">a systematic review affirmed </w:t>
      </w:r>
      <w:r w:rsidR="00383433" w:rsidRPr="00102859">
        <w:rPr>
          <w:noProof/>
        </w:rPr>
        <w:t xml:space="preserve">the </w:t>
      </w:r>
      <w:r w:rsidR="00940726" w:rsidRPr="00102859">
        <w:rPr>
          <w:noProof/>
        </w:rPr>
        <w:t>efficacy of ICBT</w:t>
      </w:r>
      <w:r w:rsidR="00020A62" w:rsidRPr="00102859">
        <w:rPr>
          <w:noProof/>
        </w:rPr>
        <w:t xml:space="preserve"> for tinnitus</w:t>
      </w:r>
      <w:r w:rsidR="00940726" w:rsidRPr="00102859">
        <w:rPr>
          <w:noProof/>
        </w:rPr>
        <w:t xml:space="preserve"> (see Beukes et al., 2019)</w:t>
      </w:r>
      <w:r w:rsidR="00D82740" w:rsidRPr="00102859">
        <w:rPr>
          <w:noProof/>
        </w:rPr>
        <w:t>.</w:t>
      </w:r>
      <w:r w:rsidR="00940726" w:rsidRPr="00102859">
        <w:rPr>
          <w:noProof/>
        </w:rPr>
        <w:t xml:space="preserve"> </w:t>
      </w:r>
    </w:p>
    <w:p w14:paraId="7452BF39" w14:textId="0D4597EA" w:rsidR="00940726" w:rsidRPr="00102859" w:rsidRDefault="00105C89" w:rsidP="005C34DD">
      <w:pPr>
        <w:spacing w:line="480" w:lineRule="auto"/>
        <w:ind w:firstLine="720"/>
        <w:rPr>
          <w:noProof/>
        </w:rPr>
      </w:pPr>
      <w:r w:rsidRPr="00102859">
        <w:rPr>
          <w:noProof/>
        </w:rPr>
        <w:t>ICBT</w:t>
      </w:r>
      <w:r w:rsidR="00383433" w:rsidRPr="00102859">
        <w:rPr>
          <w:noProof/>
        </w:rPr>
        <w:t xml:space="preserve"> is generally presented in an 8-</w:t>
      </w:r>
      <w:r w:rsidRPr="00102859">
        <w:rPr>
          <w:noProof/>
        </w:rPr>
        <w:t xml:space="preserve">week intervention, </w:t>
      </w:r>
      <w:r w:rsidR="00041F1C" w:rsidRPr="00102859">
        <w:rPr>
          <w:noProof/>
        </w:rPr>
        <w:t>thus a comprehensive intervention but</w:t>
      </w:r>
      <w:r w:rsidR="00C64295" w:rsidRPr="00102859">
        <w:rPr>
          <w:noProof/>
        </w:rPr>
        <w:t xml:space="preserve"> this length add</w:t>
      </w:r>
      <w:r w:rsidR="00020A62" w:rsidRPr="00102859">
        <w:rPr>
          <w:noProof/>
        </w:rPr>
        <w:t>s</w:t>
      </w:r>
      <w:r w:rsidR="00C64295" w:rsidRPr="00102859">
        <w:rPr>
          <w:noProof/>
        </w:rPr>
        <w:t xml:space="preserve"> to the intervention delivery costs. </w:t>
      </w:r>
      <w:r w:rsidR="00D82740" w:rsidRPr="00102859">
        <w:t>CBT therapies consist of various components. In a scoping review, 25 component themes were included within psychological therapies for tinnitus, including  tinnitus educat</w:t>
      </w:r>
      <w:r w:rsidR="00383433" w:rsidRPr="00102859">
        <w:t>ion, problem-</w:t>
      </w:r>
      <w:r w:rsidR="00D82740" w:rsidRPr="00102859">
        <w:t xml:space="preserve">solving, thought identification, thought challenging, lifestyle advice, relaxation, sound enrichment, treatment </w:t>
      </w:r>
      <w:r w:rsidR="00D82740" w:rsidRPr="00102859">
        <w:lastRenderedPageBreak/>
        <w:t xml:space="preserve">reflection (Thompson et al., 2017). </w:t>
      </w:r>
      <w:r w:rsidR="00D82740" w:rsidRPr="00102859">
        <w:rPr>
          <w:noProof/>
        </w:rPr>
        <w:t>In an attempt to improve outcomes for ICBT, Beukes et al. (2018a) investigated which specific components of the CBT intervention participants found most helpful. Interestingly, applied relaxation, which comprised a substantial part of the intervention originally developed in Sweden (Scott et al., 1985), was rated higher than any other aspect. Applied relaxation has proven effectiveness for various disorders associated with tinn</w:t>
      </w:r>
      <w:r w:rsidR="00383433" w:rsidRPr="00102859">
        <w:rPr>
          <w:noProof/>
        </w:rPr>
        <w:t>it</w:t>
      </w:r>
      <w:r w:rsidR="00D82740" w:rsidRPr="00102859">
        <w:rPr>
          <w:noProof/>
        </w:rPr>
        <w:t>us, such as anxiety (Kim &amp; Kim, 2018; Manzoni et al., 2008)</w:t>
      </w:r>
      <w:r w:rsidR="00383433" w:rsidRPr="00102859">
        <w:rPr>
          <w:noProof/>
        </w:rPr>
        <w:t>,</w:t>
      </w:r>
      <w:r w:rsidR="00D82740" w:rsidRPr="00102859">
        <w:rPr>
          <w:noProof/>
        </w:rPr>
        <w:t xml:space="preserve"> and thus applied relaxation may serve as an integral part of tinni</w:t>
      </w:r>
      <w:r w:rsidR="00383433" w:rsidRPr="00102859">
        <w:rPr>
          <w:noProof/>
        </w:rPr>
        <w:t>t</w:t>
      </w:r>
      <w:r w:rsidR="00D82740" w:rsidRPr="00102859">
        <w:rPr>
          <w:noProof/>
        </w:rPr>
        <w:t>us therapy. Relaxation therapies for tinntius have used a range of methodologies with varied outcomes. Biesinger et al. (2010) reported Qigong, a mindful exercise and active relaxation, reduced tinnitus severity. Small scale s</w:t>
      </w:r>
      <w:r w:rsidR="00383433" w:rsidRPr="00102859">
        <w:rPr>
          <w:noProof/>
        </w:rPr>
        <w:t>tudies comparing CBT and relaxa</w:t>
      </w:r>
      <w:r w:rsidR="00D82740" w:rsidRPr="00102859">
        <w:rPr>
          <w:noProof/>
        </w:rPr>
        <w:t>t</w:t>
      </w:r>
      <w:r w:rsidR="00383433" w:rsidRPr="00102859">
        <w:rPr>
          <w:noProof/>
        </w:rPr>
        <w:t>i</w:t>
      </w:r>
      <w:r w:rsidR="00D82740" w:rsidRPr="00102859">
        <w:rPr>
          <w:noProof/>
        </w:rPr>
        <w:t>on have found variable results, and for examp</w:t>
      </w:r>
      <w:r w:rsidR="00020A62" w:rsidRPr="00102859">
        <w:rPr>
          <w:noProof/>
        </w:rPr>
        <w:t>le</w:t>
      </w:r>
      <w:r w:rsidR="00383433" w:rsidRPr="00102859">
        <w:rPr>
          <w:noProof/>
        </w:rPr>
        <w:t>,</w:t>
      </w:r>
      <w:r w:rsidR="00020A62" w:rsidRPr="00102859">
        <w:rPr>
          <w:noProof/>
        </w:rPr>
        <w:t xml:space="preserve"> Davies, McKe</w:t>
      </w:r>
      <w:r w:rsidR="00D82740" w:rsidRPr="00102859">
        <w:rPr>
          <w:noProof/>
        </w:rPr>
        <w:t xml:space="preserve">nna, and Hallam (1993) were unable to conclude the efficacy of relaxation, whereas Tavakoli et al. (2019) reported both treatments effective in reducing tinnitus distress. </w:t>
      </w:r>
      <w:r w:rsidR="00940726" w:rsidRPr="00102859">
        <w:rPr>
          <w:noProof/>
        </w:rPr>
        <w:t xml:space="preserve">The efficacy of ICBT for tinnitus has generally be compared with other therapies such as ACT (Hesser et al., 2012), usual care (Beukes et al., 2018b), but not specifically with applied relaxation in isolation. </w:t>
      </w:r>
      <w:r w:rsidR="00382EC3" w:rsidRPr="00102859">
        <w:rPr>
          <w:noProof/>
        </w:rPr>
        <w:t>A study dism</w:t>
      </w:r>
      <w:r w:rsidR="00B45E6B" w:rsidRPr="00102859">
        <w:rPr>
          <w:noProof/>
        </w:rPr>
        <w:t>a</w:t>
      </w:r>
      <w:r w:rsidR="00382EC3" w:rsidRPr="00102859">
        <w:rPr>
          <w:noProof/>
        </w:rPr>
        <w:t>nt</w:t>
      </w:r>
      <w:r w:rsidR="00251CA7" w:rsidRPr="00102859">
        <w:rPr>
          <w:noProof/>
        </w:rPr>
        <w:t>l</w:t>
      </w:r>
      <w:r w:rsidR="00382EC3" w:rsidRPr="00102859">
        <w:rPr>
          <w:noProof/>
        </w:rPr>
        <w:t>ing the effects of applied relaxation within CBT is thus required.</w:t>
      </w:r>
    </w:p>
    <w:p w14:paraId="69D61E01" w14:textId="60472229" w:rsidR="00FD6FBD" w:rsidRPr="00102859" w:rsidRDefault="0074439F" w:rsidP="005C34DD">
      <w:pPr>
        <w:spacing w:line="480" w:lineRule="auto"/>
        <w:ind w:firstLine="720"/>
      </w:pPr>
      <w:r w:rsidRPr="00102859">
        <w:t xml:space="preserve">A further factor affecting </w:t>
      </w:r>
      <w:r w:rsidR="005F19E9" w:rsidRPr="00102859">
        <w:t xml:space="preserve">tinnitus </w:t>
      </w:r>
      <w:r w:rsidRPr="00102859">
        <w:t>intervention delivery is</w:t>
      </w:r>
      <w:r w:rsidR="005F19E9" w:rsidRPr="00102859">
        <w:t xml:space="preserve"> </w:t>
      </w:r>
      <w:r w:rsidR="00281257" w:rsidRPr="00102859">
        <w:t>the</w:t>
      </w:r>
      <w:r w:rsidR="00875636" w:rsidRPr="00102859">
        <w:t xml:space="preserve"> highly heterogen</w:t>
      </w:r>
      <w:r w:rsidR="00383433" w:rsidRPr="00102859">
        <w:t>e</w:t>
      </w:r>
      <w:r w:rsidR="00875636" w:rsidRPr="00102859">
        <w:t>ous</w:t>
      </w:r>
      <w:r w:rsidR="0035549C" w:rsidRPr="00102859">
        <w:t xml:space="preserve"> nature of tinnitus</w:t>
      </w:r>
      <w:r w:rsidR="00875636" w:rsidRPr="00102859">
        <w:t xml:space="preserve"> (</w:t>
      </w:r>
      <w:proofErr w:type="spellStart"/>
      <w:r w:rsidR="00875636" w:rsidRPr="00102859">
        <w:t>Cederroth</w:t>
      </w:r>
      <w:proofErr w:type="spellEnd"/>
      <w:r w:rsidR="00875636" w:rsidRPr="00102859">
        <w:t xml:space="preserve"> et al., 2019), </w:t>
      </w:r>
      <w:r w:rsidR="00E90AED" w:rsidRPr="00102859">
        <w:t xml:space="preserve">evidenced by a range of </w:t>
      </w:r>
      <w:r w:rsidR="00875636" w:rsidRPr="00102859">
        <w:t>perceptions and reactions to these sounds (Manning et al., 2019).</w:t>
      </w:r>
      <w:r w:rsidR="0061256A" w:rsidRPr="00102859">
        <w:t xml:space="preserve"> </w:t>
      </w:r>
      <w:r w:rsidR="00167BCE" w:rsidRPr="00102859">
        <w:t>For some individuals</w:t>
      </w:r>
      <w:r w:rsidR="00383433" w:rsidRPr="00102859">
        <w:t>,</w:t>
      </w:r>
      <w:r w:rsidR="00167BCE" w:rsidRPr="00102859">
        <w:t xml:space="preserve"> tinnitus is not a single symptom, as it co-occ</w:t>
      </w:r>
      <w:r w:rsidR="00383433" w:rsidRPr="00102859">
        <w:t xml:space="preserve">urs with, and can be exacerbated by </w:t>
      </w:r>
      <w:r w:rsidR="00167BCE" w:rsidRPr="00102859">
        <w:t>multiple conditions including anxiety, depression, insomnia, hearing loss, sound sensitivity</w:t>
      </w:r>
      <w:r w:rsidR="00EC74A5" w:rsidRPr="00102859">
        <w:t>,</w:t>
      </w:r>
      <w:r w:rsidR="00167BCE" w:rsidRPr="00102859">
        <w:t xml:space="preserve"> and reduced cognitive functioning (Clarke et al., 2020; Salazar et al., 2019; </w:t>
      </w:r>
      <w:proofErr w:type="spellStart"/>
      <w:r w:rsidR="00167BCE" w:rsidRPr="00102859">
        <w:t>Trevis</w:t>
      </w:r>
      <w:proofErr w:type="spellEnd"/>
      <w:r w:rsidR="00167BCE" w:rsidRPr="00102859">
        <w:t xml:space="preserve"> et al., 2018). This variability complicates tinnitus management approaches (</w:t>
      </w:r>
      <w:proofErr w:type="spellStart"/>
      <w:r w:rsidR="00167BCE" w:rsidRPr="00102859">
        <w:t>Zenner</w:t>
      </w:r>
      <w:proofErr w:type="spellEnd"/>
      <w:r w:rsidR="00167BCE" w:rsidRPr="00102859">
        <w:t xml:space="preserve"> et al. 2017). The heterogen</w:t>
      </w:r>
      <w:r w:rsidR="00383433" w:rsidRPr="00102859">
        <w:t>e</w:t>
      </w:r>
      <w:r w:rsidR="00167BCE" w:rsidRPr="00102859">
        <w:t xml:space="preserve">ous presentation of tinnitus indicates that there are </w:t>
      </w:r>
      <w:r w:rsidR="00383433" w:rsidRPr="00102859">
        <w:t>tinnitus subgroups, but there are</w:t>
      </w:r>
      <w:r w:rsidR="00167BCE" w:rsidRPr="00102859">
        <w:t xml:space="preserve"> no universally </w:t>
      </w:r>
      <w:r w:rsidR="00167BCE" w:rsidRPr="00102859">
        <w:lastRenderedPageBreak/>
        <w:t>accepted subgroups or established guidelines for tailoring tinnitus management for different subgroups (van den Berge et al., 2017).</w:t>
      </w:r>
      <w:r w:rsidR="00F55D57" w:rsidRPr="00102859">
        <w:t xml:space="preserve"> </w:t>
      </w:r>
    </w:p>
    <w:p w14:paraId="214E02D2" w14:textId="5C9FA456" w:rsidR="00344D10" w:rsidRPr="00102859" w:rsidRDefault="00383433" w:rsidP="005C34DD">
      <w:pPr>
        <w:spacing w:line="480" w:lineRule="auto"/>
        <w:ind w:firstLine="360"/>
      </w:pPr>
      <w:r w:rsidRPr="00102859">
        <w:t>To seek ways of improving outcomes</w:t>
      </w:r>
      <w:r w:rsidR="00020A62" w:rsidRPr="00102859">
        <w:t xml:space="preserve"> of ICBT, </w:t>
      </w:r>
      <w:r w:rsidR="003F7854" w:rsidRPr="00102859">
        <w:t>the aim of this study was twofold. Firstly</w:t>
      </w:r>
      <w:r w:rsidR="00020A62" w:rsidRPr="00102859">
        <w:t>,</w:t>
      </w:r>
      <w:r w:rsidR="003F7854" w:rsidRPr="00102859">
        <w:t xml:space="preserve"> to dismantle</w:t>
      </w:r>
      <w:r w:rsidR="00744F9B" w:rsidRPr="00102859">
        <w:t xml:space="preserve"> the whole ICBT package against applied relaxation</w:t>
      </w:r>
      <w:r w:rsidR="00CF72B8" w:rsidRPr="00102859">
        <w:rPr>
          <w:noProof/>
        </w:rPr>
        <w:t xml:space="preserve"> only.</w:t>
      </w:r>
      <w:r w:rsidR="00ED6E9F" w:rsidRPr="00102859">
        <w:t xml:space="preserve"> Secondly, </w:t>
      </w:r>
      <w:r w:rsidR="00344D10" w:rsidRPr="00102859">
        <w:rPr>
          <w:noProof/>
        </w:rPr>
        <w:t xml:space="preserve">to assess </w:t>
      </w:r>
      <w:r w:rsidR="00ED6E9F" w:rsidRPr="00102859">
        <w:rPr>
          <w:noProof/>
        </w:rPr>
        <w:t xml:space="preserve">the </w:t>
      </w:r>
      <w:r w:rsidR="00344D10" w:rsidRPr="00102859">
        <w:rPr>
          <w:noProof/>
        </w:rPr>
        <w:t xml:space="preserve">intervention effects across different tinnitus subgroups. </w:t>
      </w:r>
      <w:r w:rsidR="00020A62" w:rsidRPr="00102859">
        <w:rPr>
          <w:noProof/>
        </w:rPr>
        <w:t>To our</w:t>
      </w:r>
      <w:r w:rsidR="000F6CDB" w:rsidRPr="00102859">
        <w:rPr>
          <w:noProof/>
        </w:rPr>
        <w:t xml:space="preserve"> knowledge</w:t>
      </w:r>
      <w:r w:rsidR="00020A62" w:rsidRPr="00102859">
        <w:rPr>
          <w:noProof/>
        </w:rPr>
        <w:t>,</w:t>
      </w:r>
      <w:r w:rsidR="000F6CDB" w:rsidRPr="00102859">
        <w:rPr>
          <w:noProof/>
        </w:rPr>
        <w:t xml:space="preserve"> this is the first </w:t>
      </w:r>
      <w:r w:rsidR="00B97558" w:rsidRPr="00102859">
        <w:rPr>
          <w:noProof/>
        </w:rPr>
        <w:t>ICBT t</w:t>
      </w:r>
      <w:r w:rsidR="000F6CDB" w:rsidRPr="00102859">
        <w:rPr>
          <w:noProof/>
        </w:rPr>
        <w:t xml:space="preserve">rial </w:t>
      </w:r>
      <w:r w:rsidR="00B97558" w:rsidRPr="00102859">
        <w:rPr>
          <w:noProof/>
        </w:rPr>
        <w:t xml:space="preserve">to investigate </w:t>
      </w:r>
      <w:r w:rsidRPr="00102859">
        <w:rPr>
          <w:noProof/>
        </w:rPr>
        <w:t xml:space="preserve">the </w:t>
      </w:r>
      <w:r w:rsidR="000F6CDB" w:rsidRPr="00102859">
        <w:rPr>
          <w:noProof/>
        </w:rPr>
        <w:t xml:space="preserve">components of ICBT for tinnitus </w:t>
      </w:r>
      <w:r w:rsidR="003F3A17" w:rsidRPr="00102859">
        <w:rPr>
          <w:noProof/>
        </w:rPr>
        <w:t xml:space="preserve">that </w:t>
      </w:r>
      <w:r w:rsidR="000F6CDB" w:rsidRPr="00102859">
        <w:rPr>
          <w:noProof/>
        </w:rPr>
        <w:t>are most meaningful</w:t>
      </w:r>
      <w:r w:rsidR="00B97558" w:rsidRPr="00102859">
        <w:rPr>
          <w:noProof/>
        </w:rPr>
        <w:t xml:space="preserve"> and compare tinn</w:t>
      </w:r>
      <w:r w:rsidR="003F3A17" w:rsidRPr="00102859">
        <w:rPr>
          <w:noProof/>
        </w:rPr>
        <w:t>itus subgroups.</w:t>
      </w:r>
    </w:p>
    <w:p w14:paraId="00B7ABFF" w14:textId="77777777" w:rsidR="00344D10" w:rsidRPr="00102859" w:rsidRDefault="00344D10" w:rsidP="005C34DD">
      <w:pPr>
        <w:spacing w:line="480" w:lineRule="auto"/>
      </w:pPr>
    </w:p>
    <w:p w14:paraId="0D3F6BC8" w14:textId="539C20D5" w:rsidR="00A93276" w:rsidRPr="00102859" w:rsidRDefault="00697F32" w:rsidP="005C34DD">
      <w:pPr>
        <w:pStyle w:val="Heading1"/>
        <w:numPr>
          <w:ilvl w:val="0"/>
          <w:numId w:val="22"/>
        </w:numPr>
        <w:spacing w:line="480" w:lineRule="auto"/>
        <w:rPr>
          <w:color w:val="auto"/>
        </w:rPr>
      </w:pPr>
      <w:r w:rsidRPr="00102859">
        <w:rPr>
          <w:color w:val="auto"/>
        </w:rPr>
        <w:t xml:space="preserve">Material and </w:t>
      </w:r>
      <w:r w:rsidR="005B2849" w:rsidRPr="00102859">
        <w:rPr>
          <w:color w:val="auto"/>
        </w:rPr>
        <w:t>Method</w:t>
      </w:r>
      <w:r w:rsidRPr="00102859">
        <w:rPr>
          <w:color w:val="auto"/>
        </w:rPr>
        <w:t>s</w:t>
      </w:r>
    </w:p>
    <w:p w14:paraId="3288D270" w14:textId="3851986B" w:rsidR="005B2849" w:rsidRPr="00102859" w:rsidRDefault="00E66D9A" w:rsidP="005C34DD">
      <w:pPr>
        <w:spacing w:line="480" w:lineRule="auto"/>
        <w:rPr>
          <w:b/>
        </w:rPr>
      </w:pPr>
      <w:r w:rsidRPr="00102859">
        <w:rPr>
          <w:b/>
        </w:rPr>
        <w:t xml:space="preserve">2.1 </w:t>
      </w:r>
      <w:r w:rsidR="00671927" w:rsidRPr="00102859">
        <w:rPr>
          <w:b/>
        </w:rPr>
        <w:t>Trial</w:t>
      </w:r>
      <w:r w:rsidR="005B2849" w:rsidRPr="00102859">
        <w:rPr>
          <w:b/>
        </w:rPr>
        <w:t xml:space="preserve"> Design</w:t>
      </w:r>
    </w:p>
    <w:p w14:paraId="47651659" w14:textId="7B24B7B8" w:rsidR="00906AC8" w:rsidRPr="00102859" w:rsidRDefault="00E86573" w:rsidP="005C34DD">
      <w:pPr>
        <w:spacing w:line="480" w:lineRule="auto"/>
      </w:pPr>
      <w:r w:rsidRPr="00102859">
        <w:t xml:space="preserve">A randomized, prospective 2-arm intervention </w:t>
      </w:r>
      <w:r w:rsidR="00AA02E6" w:rsidRPr="00102859">
        <w:t xml:space="preserve">dismantling trial </w:t>
      </w:r>
      <w:r w:rsidRPr="00102859">
        <w:t xml:space="preserve">with a 2-month follow-up was </w:t>
      </w:r>
      <w:r w:rsidR="00020A62" w:rsidRPr="00102859">
        <w:t xml:space="preserve">undertaken </w:t>
      </w:r>
      <w:r w:rsidR="00E06DF5" w:rsidRPr="00102859">
        <w:t xml:space="preserve">online </w:t>
      </w:r>
      <w:r w:rsidR="001519C7" w:rsidRPr="00102859">
        <w:t>between May and October 2020</w:t>
      </w:r>
      <w:r w:rsidR="007425EA" w:rsidRPr="00102859">
        <w:t xml:space="preserve"> to compare the </w:t>
      </w:r>
      <w:r w:rsidR="00234AD6" w:rsidRPr="00102859">
        <w:t xml:space="preserve">effects of applied relaxation with full ICBT </w:t>
      </w:r>
      <w:r w:rsidR="007425EA" w:rsidRPr="00102859">
        <w:t>for tinnitus.</w:t>
      </w:r>
      <w:r w:rsidR="00AD63AF" w:rsidRPr="00102859">
        <w:t xml:space="preserve"> </w:t>
      </w:r>
      <w:r w:rsidR="00BF07CF" w:rsidRPr="00102859">
        <w:t>Participants were randomi</w:t>
      </w:r>
      <w:r w:rsidR="004C4CB4" w:rsidRPr="00102859">
        <w:t>z</w:t>
      </w:r>
      <w:r w:rsidR="00BF07CF" w:rsidRPr="00102859">
        <w:t>ed to</w:t>
      </w:r>
      <w:r w:rsidR="00906AC8" w:rsidRPr="00102859">
        <w:t xml:space="preserve"> the</w:t>
      </w:r>
      <w:r w:rsidR="00275655" w:rsidRPr="00102859">
        <w:t xml:space="preserve"> full</w:t>
      </w:r>
      <w:r w:rsidR="00906AC8" w:rsidRPr="00102859">
        <w:t xml:space="preserve"> </w:t>
      </w:r>
      <w:r w:rsidR="004C4CB4" w:rsidRPr="00102859">
        <w:t>I</w:t>
      </w:r>
      <w:r w:rsidR="00906AC8" w:rsidRPr="00102859">
        <w:t xml:space="preserve">CBT intervention </w:t>
      </w:r>
      <w:r w:rsidR="004F2CDF" w:rsidRPr="00102859">
        <w:t xml:space="preserve">or </w:t>
      </w:r>
      <w:r w:rsidR="0052005B" w:rsidRPr="00102859">
        <w:t>applied relaxation</w:t>
      </w:r>
      <w:r w:rsidR="00C3635E" w:rsidRPr="00102859">
        <w:t xml:space="preserve">. </w:t>
      </w:r>
      <w:r w:rsidR="000B5435" w:rsidRPr="00102859">
        <w:t xml:space="preserve">During Phase I </w:t>
      </w:r>
      <w:r w:rsidR="0027716E" w:rsidRPr="00102859">
        <w:t xml:space="preserve">(8 weeks) </w:t>
      </w:r>
      <w:r w:rsidR="000B5435" w:rsidRPr="00102859">
        <w:t>the</w:t>
      </w:r>
      <w:r w:rsidR="00906AC8" w:rsidRPr="00102859">
        <w:t xml:space="preserve"> </w:t>
      </w:r>
      <w:r w:rsidR="0027716E" w:rsidRPr="00102859">
        <w:t xml:space="preserve">ICBT </w:t>
      </w:r>
      <w:r w:rsidR="00906AC8" w:rsidRPr="00102859">
        <w:t>gr</w:t>
      </w:r>
      <w:r w:rsidR="000B5435" w:rsidRPr="00102859">
        <w:t xml:space="preserve">oup </w:t>
      </w:r>
      <w:r w:rsidR="0027716E" w:rsidRPr="00102859">
        <w:t>was provided the</w:t>
      </w:r>
      <w:r w:rsidR="000B5435" w:rsidRPr="00102859">
        <w:t xml:space="preserve"> </w:t>
      </w:r>
      <w:r w:rsidR="002E57B9" w:rsidRPr="00102859">
        <w:t xml:space="preserve">full </w:t>
      </w:r>
      <w:r w:rsidR="0027716E" w:rsidRPr="00102859">
        <w:t xml:space="preserve">CBT </w:t>
      </w:r>
      <w:r w:rsidR="000B5435" w:rsidRPr="00102859">
        <w:t>intervention</w:t>
      </w:r>
      <w:r w:rsidR="002E57B9" w:rsidRPr="00102859">
        <w:t xml:space="preserve"> and the </w:t>
      </w:r>
      <w:r w:rsidR="0052005B" w:rsidRPr="00102859">
        <w:t xml:space="preserve">applied relaxation </w:t>
      </w:r>
      <w:r w:rsidR="002E57B9" w:rsidRPr="00102859">
        <w:t xml:space="preserve">group </w:t>
      </w:r>
      <w:r w:rsidR="0027716E" w:rsidRPr="00102859">
        <w:t>received</w:t>
      </w:r>
      <w:r w:rsidR="002E57B9" w:rsidRPr="00102859">
        <w:t xml:space="preserve"> th</w:t>
      </w:r>
      <w:r w:rsidR="00EB07B4" w:rsidRPr="00102859">
        <w:t xml:space="preserve">e </w:t>
      </w:r>
      <w:r w:rsidR="00754B47" w:rsidRPr="00102859">
        <w:t>applied relaxation</w:t>
      </w:r>
      <w:r w:rsidR="00EB07B4" w:rsidRPr="00102859">
        <w:t xml:space="preserve"> section</w:t>
      </w:r>
      <w:r w:rsidR="0027716E" w:rsidRPr="00102859">
        <w:t>s</w:t>
      </w:r>
      <w:r w:rsidR="000B5435" w:rsidRPr="00102859">
        <w:t>.</w:t>
      </w:r>
      <w:r w:rsidR="002E57B9" w:rsidRPr="00102859">
        <w:t xml:space="preserve"> </w:t>
      </w:r>
      <w:r w:rsidR="000B5435" w:rsidRPr="00102859">
        <w:t>During Phase II</w:t>
      </w:r>
      <w:r w:rsidR="00A82061" w:rsidRPr="00102859">
        <w:t xml:space="preserve"> (4 weeks)</w:t>
      </w:r>
      <w:r w:rsidR="00954BEA" w:rsidRPr="00102859">
        <w:t xml:space="preserve">, </w:t>
      </w:r>
      <w:r w:rsidR="00906AC8" w:rsidRPr="00102859">
        <w:t>the</w:t>
      </w:r>
      <w:r w:rsidR="00A82061" w:rsidRPr="00102859">
        <w:t xml:space="preserve"> </w:t>
      </w:r>
      <w:r w:rsidR="0052005B" w:rsidRPr="00102859">
        <w:t xml:space="preserve">applied relaxation </w:t>
      </w:r>
      <w:r w:rsidR="00794EF7" w:rsidRPr="00102859">
        <w:t xml:space="preserve">group was provided the </w:t>
      </w:r>
      <w:r w:rsidR="009C3AD9" w:rsidRPr="00102859">
        <w:t xml:space="preserve">remaining </w:t>
      </w:r>
      <w:r w:rsidR="00794EF7" w:rsidRPr="00102859">
        <w:t>CBT components</w:t>
      </w:r>
      <w:r w:rsidR="002415BA" w:rsidRPr="00102859">
        <w:t>.</w:t>
      </w:r>
      <w:r w:rsidR="00794EF7" w:rsidRPr="00102859">
        <w:t xml:space="preserve"> </w:t>
      </w:r>
      <w:r w:rsidR="00906AC8" w:rsidRPr="00102859">
        <w:t>This study design, therefore, provided the opportunity to evaluate the intervention effects in two indepe</w:t>
      </w:r>
      <w:r w:rsidR="000B5435" w:rsidRPr="00102859">
        <w:t xml:space="preserve">ndent groups at </w:t>
      </w:r>
      <w:r w:rsidR="002A30B6" w:rsidRPr="00102859">
        <w:t xml:space="preserve">three </w:t>
      </w:r>
      <w:r w:rsidR="00BA2771" w:rsidRPr="00102859">
        <w:t>differ</w:t>
      </w:r>
      <w:r w:rsidR="005824D7" w:rsidRPr="00102859">
        <w:t>e</w:t>
      </w:r>
      <w:r w:rsidR="00BA2771" w:rsidRPr="00102859">
        <w:t>nt</w:t>
      </w:r>
      <w:r w:rsidR="000B5435" w:rsidRPr="00102859">
        <w:t xml:space="preserve"> time points.</w:t>
      </w:r>
      <w:r w:rsidR="00906AC8" w:rsidRPr="00102859">
        <w:t xml:space="preserve">  </w:t>
      </w:r>
      <w:r w:rsidR="00282DAB" w:rsidRPr="00102859">
        <w:t>No adverse effects</w:t>
      </w:r>
      <w:r w:rsidR="00A91678" w:rsidRPr="00102859">
        <w:t xml:space="preserve"> </w:t>
      </w:r>
      <w:r w:rsidR="00546CC4" w:rsidRPr="00102859">
        <w:t>were reported</w:t>
      </w:r>
      <w:r w:rsidR="00EC3415" w:rsidRPr="00102859">
        <w:t xml:space="preserve"> </w:t>
      </w:r>
      <w:r w:rsidR="00037C00" w:rsidRPr="00102859">
        <w:t xml:space="preserve">and there were no technical or privacy breaches </w:t>
      </w:r>
      <w:r w:rsidR="00EC3415" w:rsidRPr="00102859">
        <w:t>and hence no requirement to stop the study until completion.</w:t>
      </w:r>
      <w:r w:rsidR="00546CC4" w:rsidRPr="00102859">
        <w:t xml:space="preserve"> </w:t>
      </w:r>
      <w:r w:rsidR="00B00E39" w:rsidRPr="00102859">
        <w:t>There was</w:t>
      </w:r>
      <w:r w:rsidR="00546CC4" w:rsidRPr="00102859">
        <w:t xml:space="preserve"> </w:t>
      </w:r>
      <w:r w:rsidR="00383433" w:rsidRPr="00102859">
        <w:t>significant intervention down</w:t>
      </w:r>
      <w:r w:rsidR="00A91678" w:rsidRPr="00102859">
        <w:t>tim</w:t>
      </w:r>
      <w:r w:rsidR="00B00E39" w:rsidRPr="00102859">
        <w:t>e</w:t>
      </w:r>
      <w:r w:rsidR="00037C00" w:rsidRPr="00102859">
        <w:t>,</w:t>
      </w:r>
      <w:r w:rsidR="00B00E39" w:rsidRPr="00102859">
        <w:t xml:space="preserve"> </w:t>
      </w:r>
      <w:r w:rsidR="00282DAB" w:rsidRPr="00102859">
        <w:t>and there were no changes to the</w:t>
      </w:r>
      <w:r w:rsidR="000A7B6C" w:rsidRPr="00102859">
        <w:t xml:space="preserve"> protocol</w:t>
      </w:r>
      <w:r w:rsidR="00053D62" w:rsidRPr="00102859">
        <w:t>, intervention, or study outcomes</w:t>
      </w:r>
      <w:r w:rsidR="000A7B6C" w:rsidRPr="00102859">
        <w:t xml:space="preserve"> after the study commenced.</w:t>
      </w:r>
      <w:r w:rsidR="00B9533D" w:rsidRPr="00102859">
        <w:t xml:space="preserve"> The trial data is freely available on the </w:t>
      </w:r>
      <w:proofErr w:type="spellStart"/>
      <w:r w:rsidR="00B9533D" w:rsidRPr="00102859">
        <w:t>Figshare</w:t>
      </w:r>
      <w:proofErr w:type="spellEnd"/>
      <w:r w:rsidR="00B9533D" w:rsidRPr="00102859">
        <w:t xml:space="preserve"> data repository. </w:t>
      </w:r>
    </w:p>
    <w:p w14:paraId="601B4C5E" w14:textId="77777777" w:rsidR="004D1C39" w:rsidRPr="00102859" w:rsidRDefault="004D1C39" w:rsidP="005C34DD">
      <w:pPr>
        <w:spacing w:line="480" w:lineRule="auto"/>
      </w:pPr>
    </w:p>
    <w:p w14:paraId="12C85030" w14:textId="3B653ADF" w:rsidR="00A93276" w:rsidRPr="00102859" w:rsidRDefault="00E66D9A" w:rsidP="005C34DD">
      <w:pPr>
        <w:spacing w:line="480" w:lineRule="auto"/>
        <w:rPr>
          <w:b/>
          <w:bCs/>
        </w:rPr>
      </w:pPr>
      <w:r w:rsidRPr="00102859">
        <w:rPr>
          <w:b/>
          <w:bCs/>
        </w:rPr>
        <w:t xml:space="preserve">2.2 </w:t>
      </w:r>
      <w:r w:rsidR="00A93276" w:rsidRPr="00102859">
        <w:rPr>
          <w:b/>
          <w:bCs/>
        </w:rPr>
        <w:t>Ethics and Preregistration</w:t>
      </w:r>
    </w:p>
    <w:p w14:paraId="45FDF18C" w14:textId="01642300" w:rsidR="005B2849" w:rsidRPr="00102859" w:rsidRDefault="00906AC8" w:rsidP="005C34DD">
      <w:pPr>
        <w:spacing w:line="480" w:lineRule="auto"/>
      </w:pPr>
      <w:r w:rsidRPr="00102859">
        <w:lastRenderedPageBreak/>
        <w:t xml:space="preserve">This RCT </w:t>
      </w:r>
      <w:r w:rsidR="002126E4" w:rsidRPr="00102859">
        <w:t xml:space="preserve">was </w:t>
      </w:r>
      <w:r w:rsidR="00A93276" w:rsidRPr="00102859">
        <w:t>pre-</w:t>
      </w:r>
      <w:r w:rsidR="002126E4" w:rsidRPr="00102859">
        <w:t xml:space="preserve">registered </w:t>
      </w:r>
      <w:r w:rsidR="00A93276" w:rsidRPr="00102859">
        <w:t>at</w:t>
      </w:r>
      <w:r w:rsidR="002126E4" w:rsidRPr="00102859">
        <w:t xml:space="preserve"> Clinical Trials.gov: </w:t>
      </w:r>
      <w:r w:rsidR="000F5B24" w:rsidRPr="00102859">
        <w:t xml:space="preserve">clinical trial </w:t>
      </w:r>
      <w:r w:rsidR="00EE7954" w:rsidRPr="00102859">
        <w:rPr>
          <w:shd w:val="clear" w:color="auto" w:fill="FFFFFF"/>
        </w:rPr>
        <w:t>NCT04335812</w:t>
      </w:r>
      <w:r w:rsidR="002126E4" w:rsidRPr="00102859">
        <w:t xml:space="preserve"> </w:t>
      </w:r>
      <w:r w:rsidR="00141250" w:rsidRPr="00102859">
        <w:t>where the protocol is available. E</w:t>
      </w:r>
      <w:r w:rsidR="005B2849" w:rsidRPr="00102859">
        <w:t>thical approval was obtained from the Institutional Review Board at Lamar University, Beaumont, Texas, US (</w:t>
      </w:r>
      <w:r w:rsidR="00724125" w:rsidRPr="00102859">
        <w:t>IRB-FY20-200</w:t>
      </w:r>
      <w:r w:rsidR="005B2849" w:rsidRPr="00102859">
        <w:t xml:space="preserve">). </w:t>
      </w:r>
      <w:r w:rsidR="0018533D" w:rsidRPr="00102859">
        <w:t xml:space="preserve">Online informed consent was required to participate. </w:t>
      </w:r>
      <w:r w:rsidRPr="00102859">
        <w:rPr>
          <w:shd w:val="clear" w:color="auto" w:fill="FFFFFF"/>
        </w:rPr>
        <w:t>The</w:t>
      </w:r>
      <w:r w:rsidR="005B3C20" w:rsidRPr="00102859">
        <w:rPr>
          <w:shd w:val="clear" w:color="auto" w:fill="FFFFFF"/>
        </w:rPr>
        <w:t xml:space="preserve"> study was conducted and reported according to the</w:t>
      </w:r>
      <w:r w:rsidRPr="00102859">
        <w:rPr>
          <w:shd w:val="clear" w:color="auto" w:fill="FFFFFF"/>
        </w:rPr>
        <w:t xml:space="preserve"> </w:t>
      </w:r>
      <w:r w:rsidRPr="00102859">
        <w:t xml:space="preserve">Consolidated Standards of Reporting Trials (CONSORT) eHealth guidelines </w:t>
      </w:r>
      <w:sdt>
        <w:sdtPr>
          <w:id w:val="-292299006"/>
          <w:citation/>
        </w:sdtPr>
        <w:sdtEndPr/>
        <w:sdtContent>
          <w:r w:rsidR="00ED4BFF" w:rsidRPr="00102859">
            <w:fldChar w:fldCharType="begin"/>
          </w:r>
          <w:r w:rsidR="00ED4BFF" w:rsidRPr="00102859">
            <w:instrText xml:space="preserve"> CITATION Eys11 \l 2057 </w:instrText>
          </w:r>
          <w:r w:rsidR="00ED4BFF" w:rsidRPr="00102859">
            <w:fldChar w:fldCharType="separate"/>
          </w:r>
          <w:r w:rsidR="00712AF2" w:rsidRPr="00102859">
            <w:rPr>
              <w:noProof/>
            </w:rPr>
            <w:t>(Eysenbach &amp; Consort-EHEALTH Group, 2011)</w:t>
          </w:r>
          <w:r w:rsidR="00ED4BFF" w:rsidRPr="00102859">
            <w:fldChar w:fldCharType="end"/>
          </w:r>
        </w:sdtContent>
      </w:sdt>
      <w:r w:rsidR="00EF2C9B" w:rsidRPr="00102859">
        <w:t xml:space="preserve"> as found in Appendix 1.</w:t>
      </w:r>
      <w:r w:rsidRPr="00102859">
        <w:t xml:space="preserve">There were no changes to the methods or assessment measures used after the trial commenced. No harms or unintended effects were reported. </w:t>
      </w:r>
    </w:p>
    <w:p w14:paraId="05628A0C" w14:textId="77777777" w:rsidR="002A28BB" w:rsidRPr="00102859" w:rsidRDefault="002A28BB" w:rsidP="005C34DD">
      <w:pPr>
        <w:spacing w:line="480" w:lineRule="auto"/>
        <w:rPr>
          <w:shd w:val="clear" w:color="auto" w:fill="FFFFFF"/>
        </w:rPr>
      </w:pPr>
    </w:p>
    <w:p w14:paraId="22771D7A" w14:textId="5F8DE061" w:rsidR="002A28BB" w:rsidRPr="00102859" w:rsidRDefault="002A28BB" w:rsidP="005C34DD">
      <w:pPr>
        <w:pStyle w:val="ListParagraph"/>
        <w:numPr>
          <w:ilvl w:val="1"/>
          <w:numId w:val="22"/>
        </w:numPr>
        <w:autoSpaceDE w:val="0"/>
        <w:autoSpaceDN w:val="0"/>
        <w:adjustRightInd w:val="0"/>
        <w:rPr>
          <w:rFonts w:cs="Times New Roman"/>
          <w:b/>
          <w:bCs/>
        </w:rPr>
      </w:pPr>
      <w:r w:rsidRPr="00102859">
        <w:rPr>
          <w:rFonts w:cs="Times New Roman"/>
          <w:b/>
          <w:bCs/>
        </w:rPr>
        <w:t>Recruitment Strategy</w:t>
      </w:r>
    </w:p>
    <w:p w14:paraId="4EB2A0E5" w14:textId="6D045FC7" w:rsidR="002A28BB" w:rsidRPr="00102859" w:rsidRDefault="002A28BB" w:rsidP="005C34DD">
      <w:pPr>
        <w:autoSpaceDE w:val="0"/>
        <w:autoSpaceDN w:val="0"/>
        <w:adjustRightInd w:val="0"/>
        <w:spacing w:line="480" w:lineRule="auto"/>
      </w:pPr>
      <w:r w:rsidRPr="00102859">
        <w:t>The participants were recruited from the general public using a range of strategies, including promoting the study via tinnitus support groups and the American Tinnitus Association (ATA)</w:t>
      </w:r>
      <w:r w:rsidR="00E71910" w:rsidRPr="00102859">
        <w:t xml:space="preserve"> </w:t>
      </w:r>
      <w:proofErr w:type="gramStart"/>
      <w:r w:rsidR="00E71910" w:rsidRPr="00102859">
        <w:t>between 1</w:t>
      </w:r>
      <w:r w:rsidR="00044CFB" w:rsidRPr="00102859">
        <w:t xml:space="preserve"> April to 4 May 2020</w:t>
      </w:r>
      <w:proofErr w:type="gramEnd"/>
      <w:r w:rsidRPr="00102859">
        <w:t xml:space="preserve">. Further recruitment strategies included </w:t>
      </w:r>
      <w:r w:rsidR="00383433" w:rsidRPr="00102859">
        <w:t xml:space="preserve">the </w:t>
      </w:r>
      <w:r w:rsidRPr="00102859">
        <w:t>use of social media (e.g.</w:t>
      </w:r>
      <w:r w:rsidR="009337B6" w:rsidRPr="00102859">
        <w:t>,</w:t>
      </w:r>
      <w:r w:rsidRPr="00102859">
        <w:t xml:space="preserve"> Facebook and Twitter), </w:t>
      </w:r>
      <w:r w:rsidR="009337B6" w:rsidRPr="00102859">
        <w:t xml:space="preserve">and also distributing </w:t>
      </w:r>
      <w:r w:rsidRPr="00102859">
        <w:t xml:space="preserve">flyers and posters to local </w:t>
      </w:r>
      <w:r w:rsidR="009337B6" w:rsidRPr="00102859">
        <w:t xml:space="preserve">health clinics (i.e., primary care physician, audiology, ENT) and </w:t>
      </w:r>
      <w:r w:rsidRPr="00102859">
        <w:t>communities and put up in clinic</w:t>
      </w:r>
      <w:r w:rsidR="00911C64" w:rsidRPr="00102859">
        <w:t xml:space="preserve"> </w:t>
      </w:r>
      <w:r w:rsidRPr="00102859">
        <w:t>waiting rooms. Those interested were directed to the study website (</w:t>
      </w:r>
      <w:hyperlink r:id="rId12" w:history="1">
        <w:r w:rsidRPr="00102859">
          <w:rPr>
            <w:rStyle w:val="Hyperlink"/>
            <w:color w:val="auto"/>
          </w:rPr>
          <w:t>www.tacklingtinnitus.org</w:t>
        </w:r>
      </w:hyperlink>
      <w:r w:rsidRPr="00102859">
        <w:t>) where they could read more about the study</w:t>
      </w:r>
      <w:r w:rsidR="00E10263" w:rsidRPr="00102859">
        <w:t>, the university hosting the study, the research team</w:t>
      </w:r>
      <w:r w:rsidR="005426A6" w:rsidRPr="00102859">
        <w:t>,</w:t>
      </w:r>
      <w:r w:rsidRPr="00102859">
        <w:t xml:space="preserve"> and</w:t>
      </w:r>
      <w:r w:rsidR="00B74418" w:rsidRPr="00102859">
        <w:t xml:space="preserve"> how they could</w:t>
      </w:r>
      <w:r w:rsidRPr="00102859">
        <w:t xml:space="preserve"> register interest in partaking in the study. Following registration</w:t>
      </w:r>
      <w:r w:rsidR="009337B6" w:rsidRPr="00102859">
        <w:t>,</w:t>
      </w:r>
      <w:r w:rsidRPr="00102859">
        <w:t xml:space="preserve"> </w:t>
      </w:r>
      <w:r w:rsidR="005426A6" w:rsidRPr="00102859">
        <w:t xml:space="preserve">an online </w:t>
      </w:r>
      <w:r w:rsidRPr="00102859">
        <w:t>screening questionnaire</w:t>
      </w:r>
      <w:r w:rsidR="009337B6" w:rsidRPr="00102859">
        <w:t xml:space="preserve"> (i.e., baseline assessment at T0)</w:t>
      </w:r>
      <w:r w:rsidR="005426A6" w:rsidRPr="00102859">
        <w:t xml:space="preserve"> was completed. Participants</w:t>
      </w:r>
      <w:r w:rsidRPr="00102859">
        <w:t xml:space="preserve"> were informed of their right to withdraw at any stage without penalty.</w:t>
      </w:r>
    </w:p>
    <w:p w14:paraId="32265C82" w14:textId="77777777" w:rsidR="00A93276" w:rsidRPr="00102859" w:rsidRDefault="00A93276" w:rsidP="005C34DD">
      <w:pPr>
        <w:spacing w:line="480" w:lineRule="auto"/>
        <w:rPr>
          <w:b/>
          <w:bCs/>
        </w:rPr>
      </w:pPr>
    </w:p>
    <w:p w14:paraId="3963C5AD" w14:textId="037E9F8C" w:rsidR="00293DB8" w:rsidRPr="00102859" w:rsidRDefault="000B233F" w:rsidP="005C34DD">
      <w:pPr>
        <w:spacing w:line="480" w:lineRule="auto"/>
        <w:rPr>
          <w:b/>
          <w:bCs/>
        </w:rPr>
      </w:pPr>
      <w:r w:rsidRPr="00102859">
        <w:rPr>
          <w:b/>
          <w:bCs/>
        </w:rPr>
        <w:t xml:space="preserve">2.4 </w:t>
      </w:r>
      <w:r w:rsidR="00293DB8" w:rsidRPr="00102859">
        <w:rPr>
          <w:b/>
          <w:bCs/>
        </w:rPr>
        <w:t>Study Population</w:t>
      </w:r>
      <w:r w:rsidR="00293DB8" w:rsidRPr="00102859">
        <w:rPr>
          <w:b/>
          <w:bCs/>
        </w:rPr>
        <w:tab/>
      </w:r>
    </w:p>
    <w:p w14:paraId="4FB5BCE1" w14:textId="43D9F0F1" w:rsidR="00F978B8" w:rsidRPr="00102859" w:rsidRDefault="00B30A38" w:rsidP="005C34DD">
      <w:pPr>
        <w:autoSpaceDE w:val="0"/>
        <w:autoSpaceDN w:val="0"/>
        <w:adjustRightInd w:val="0"/>
        <w:spacing w:line="480" w:lineRule="auto"/>
      </w:pPr>
      <w:r w:rsidRPr="00102859">
        <w:rPr>
          <w:iCs/>
        </w:rPr>
        <w:t xml:space="preserve">The </w:t>
      </w:r>
      <w:r w:rsidRPr="00102859">
        <w:rPr>
          <w:rFonts w:eastAsiaTheme="minorHAnsi"/>
        </w:rPr>
        <w:t xml:space="preserve">eligibility </w:t>
      </w:r>
      <w:r w:rsidR="006A7041" w:rsidRPr="00102859">
        <w:rPr>
          <w:rFonts w:eastAsiaTheme="minorHAnsi"/>
          <w:i/>
        </w:rPr>
        <w:t xml:space="preserve">inclusion </w:t>
      </w:r>
      <w:r w:rsidRPr="00102859">
        <w:rPr>
          <w:rFonts w:eastAsiaTheme="minorHAnsi"/>
          <w:i/>
        </w:rPr>
        <w:t xml:space="preserve">criteria </w:t>
      </w:r>
      <w:r w:rsidR="006A7041" w:rsidRPr="00102859">
        <w:rPr>
          <w:rFonts w:eastAsiaTheme="minorHAnsi"/>
          <w:i/>
        </w:rPr>
        <w:t>included</w:t>
      </w:r>
      <w:r w:rsidR="006A7041" w:rsidRPr="00102859">
        <w:rPr>
          <w:rFonts w:eastAsiaTheme="minorHAnsi"/>
        </w:rPr>
        <w:t xml:space="preserve">: </w:t>
      </w:r>
      <w:r w:rsidR="006A7041" w:rsidRPr="00102859">
        <w:t>a</w:t>
      </w:r>
      <w:r w:rsidR="00F978B8" w:rsidRPr="00102859">
        <w:t>dults, aged 18 years and over</w:t>
      </w:r>
      <w:r w:rsidR="00B00E39" w:rsidRPr="00102859">
        <w:t>;</w:t>
      </w:r>
      <w:r w:rsidR="00F978B8" w:rsidRPr="00102859">
        <w:t xml:space="preserve"> living in the </w:t>
      </w:r>
      <w:r w:rsidR="00562D8C" w:rsidRPr="00102859">
        <w:t>US</w:t>
      </w:r>
      <w:r w:rsidR="009337B6" w:rsidRPr="00102859">
        <w:t>;</w:t>
      </w:r>
    </w:p>
    <w:p w14:paraId="51DBC9C4" w14:textId="34154F62" w:rsidR="00F978B8" w:rsidRPr="00102859" w:rsidRDefault="006A7041" w:rsidP="005C34DD">
      <w:pPr>
        <w:autoSpaceDE w:val="0"/>
        <w:autoSpaceDN w:val="0"/>
        <w:adjustRightInd w:val="0"/>
        <w:spacing w:line="480" w:lineRule="auto"/>
      </w:pPr>
      <w:r w:rsidRPr="00102859">
        <w:lastRenderedPageBreak/>
        <w:t>t</w:t>
      </w:r>
      <w:r w:rsidR="00F978B8" w:rsidRPr="00102859">
        <w:t>he ability to read and type in English</w:t>
      </w:r>
      <w:r w:rsidR="009337B6" w:rsidRPr="00102859">
        <w:t>;</w:t>
      </w:r>
      <w:r w:rsidRPr="00102859">
        <w:t xml:space="preserve"> a</w:t>
      </w:r>
      <w:r w:rsidR="00F978B8" w:rsidRPr="00102859">
        <w:t>ccess to a computer, the internet and the ability to email</w:t>
      </w:r>
      <w:r w:rsidR="009337B6" w:rsidRPr="00102859">
        <w:t>;</w:t>
      </w:r>
      <w:r w:rsidR="00F978B8" w:rsidRPr="00102859">
        <w:t xml:space="preserve"> </w:t>
      </w:r>
      <w:r w:rsidRPr="00102859">
        <w:t>e</w:t>
      </w:r>
      <w:r w:rsidR="00F978B8" w:rsidRPr="00102859">
        <w:t>xperiencing tinnitus for a minimum period of three months</w:t>
      </w:r>
      <w:r w:rsidR="009337B6" w:rsidRPr="00102859">
        <w:t>;</w:t>
      </w:r>
      <w:r w:rsidRPr="00102859">
        <w:t xml:space="preserve"> a</w:t>
      </w:r>
      <w:r w:rsidR="00F978B8" w:rsidRPr="00102859">
        <w:t>ny configuration of hearing levels (normal or any degree of hearing loss) and any use of hearing devices (using or not using hearing aids)</w:t>
      </w:r>
      <w:r w:rsidR="009337B6" w:rsidRPr="00102859">
        <w:t>; and</w:t>
      </w:r>
      <w:r w:rsidRPr="00102859">
        <w:t xml:space="preserve"> p</w:t>
      </w:r>
      <w:r w:rsidR="00F978B8" w:rsidRPr="00102859">
        <w:t>articipants were included if they described a need for a tinnitus intervention and not based on their tinnitus outcome scores.</w:t>
      </w:r>
    </w:p>
    <w:p w14:paraId="7EB12367" w14:textId="3782E4BA" w:rsidR="00F978B8" w:rsidRPr="00102859" w:rsidRDefault="006A7041" w:rsidP="004D1C39">
      <w:pPr>
        <w:autoSpaceDE w:val="0"/>
        <w:autoSpaceDN w:val="0"/>
        <w:adjustRightInd w:val="0"/>
        <w:spacing w:line="480" w:lineRule="auto"/>
        <w:ind w:firstLine="720"/>
        <w:rPr>
          <w:i/>
        </w:rPr>
      </w:pPr>
      <w:r w:rsidRPr="00102859">
        <w:rPr>
          <w:i/>
        </w:rPr>
        <w:t>The e</w:t>
      </w:r>
      <w:r w:rsidR="00F978B8" w:rsidRPr="00102859">
        <w:rPr>
          <w:i/>
        </w:rPr>
        <w:t>xclusion criteria</w:t>
      </w:r>
      <w:r w:rsidRPr="00102859">
        <w:rPr>
          <w:i/>
        </w:rPr>
        <w:t xml:space="preserve"> were r</w:t>
      </w:r>
      <w:r w:rsidR="00600D45" w:rsidRPr="00102859">
        <w:t>eporting pulsatile, objective</w:t>
      </w:r>
      <w:r w:rsidR="00383433" w:rsidRPr="00102859">
        <w:t>,</w:t>
      </w:r>
      <w:r w:rsidR="00600D45" w:rsidRPr="00102859">
        <w:t xml:space="preserve"> or unilateral tinnitus, which </w:t>
      </w:r>
      <w:r w:rsidR="0029033A" w:rsidRPr="00102859">
        <w:t xml:space="preserve">had </w:t>
      </w:r>
      <w:r w:rsidR="00600D45" w:rsidRPr="00102859">
        <w:t xml:space="preserve">not been investigated medically or tinnitus still under medical investigation; </w:t>
      </w:r>
      <w:r w:rsidR="002F1C8F" w:rsidRPr="00102859">
        <w:t>re</w:t>
      </w:r>
      <w:r w:rsidR="00F978B8" w:rsidRPr="00102859">
        <w:t>porting any major medical condition</w:t>
      </w:r>
      <w:r w:rsidR="00600D45" w:rsidRPr="00102859">
        <w:t xml:space="preserve"> or treatment</w:t>
      </w:r>
      <w:r w:rsidR="00F978B8" w:rsidRPr="00102859">
        <w:t xml:space="preserve"> that would prevent undertaking this intervention</w:t>
      </w:r>
      <w:r w:rsidR="009337B6" w:rsidRPr="00102859">
        <w:t>;</w:t>
      </w:r>
      <w:r w:rsidR="00600D45" w:rsidRPr="00102859">
        <w:t xml:space="preserve"> </w:t>
      </w:r>
      <w:r w:rsidR="009337B6" w:rsidRPr="00102859">
        <w:t>and</w:t>
      </w:r>
      <w:r w:rsidR="002F1C8F" w:rsidRPr="00102859">
        <w:rPr>
          <w:i/>
        </w:rPr>
        <w:t xml:space="preserve"> </w:t>
      </w:r>
      <w:r w:rsidR="002F1C8F" w:rsidRPr="00102859">
        <w:t>un</w:t>
      </w:r>
      <w:r w:rsidR="00F978B8" w:rsidRPr="00102859">
        <w:t>dergoing any tinnitus therapy concurrent with participation in this study.</w:t>
      </w:r>
    </w:p>
    <w:p w14:paraId="243A7056" w14:textId="3E1333A1" w:rsidR="00F978B8" w:rsidRPr="00102859" w:rsidRDefault="009514DD" w:rsidP="004D1C39">
      <w:pPr>
        <w:autoSpaceDE w:val="0"/>
        <w:autoSpaceDN w:val="0"/>
        <w:adjustRightInd w:val="0"/>
        <w:spacing w:line="480" w:lineRule="auto"/>
        <w:ind w:firstLine="720"/>
        <w:rPr>
          <w:b/>
          <w:bCs/>
          <w:i/>
          <w:iCs/>
        </w:rPr>
      </w:pPr>
      <w:r w:rsidRPr="00102859">
        <w:t xml:space="preserve">Participants were required to provide online consent to participate. </w:t>
      </w:r>
      <w:r w:rsidR="00F978B8" w:rsidRPr="00102859">
        <w:t>Eligibility was determined by a two-stage process</w:t>
      </w:r>
      <w:r w:rsidR="002F1C8F" w:rsidRPr="00102859">
        <w:t>. Firstly</w:t>
      </w:r>
      <w:r w:rsidR="005C34DD" w:rsidRPr="00102859">
        <w:t>,</w:t>
      </w:r>
      <w:r w:rsidR="002F1C8F" w:rsidRPr="00102859">
        <w:t xml:space="preserve"> participants</w:t>
      </w:r>
      <w:r w:rsidR="002F1C8F" w:rsidRPr="00102859">
        <w:rPr>
          <w:b/>
          <w:bCs/>
          <w:i/>
          <w:iCs/>
        </w:rPr>
        <w:t xml:space="preserve"> </w:t>
      </w:r>
      <w:r w:rsidR="002F1C8F" w:rsidRPr="00102859">
        <w:t>co</w:t>
      </w:r>
      <w:r w:rsidR="00F762FE" w:rsidRPr="00102859">
        <w:t>mplet</w:t>
      </w:r>
      <w:r w:rsidR="002F1C8F" w:rsidRPr="00102859">
        <w:t>ed</w:t>
      </w:r>
      <w:r w:rsidR="00F762FE" w:rsidRPr="00102859">
        <w:t xml:space="preserve"> an</w:t>
      </w:r>
      <w:r w:rsidR="00F978B8" w:rsidRPr="00102859">
        <w:t xml:space="preserve"> online screening questionnaire, which included demographic information, health and mental health-related questions, and standardized outcome measures.</w:t>
      </w:r>
      <w:r w:rsidR="002F1C8F" w:rsidRPr="00102859">
        <w:rPr>
          <w:b/>
          <w:bCs/>
          <w:i/>
          <w:iCs/>
        </w:rPr>
        <w:t xml:space="preserve"> </w:t>
      </w:r>
      <w:r w:rsidR="002F1C8F" w:rsidRPr="00102859">
        <w:t>After this</w:t>
      </w:r>
      <w:r w:rsidR="005426A6" w:rsidRPr="00102859">
        <w:t>,</w:t>
      </w:r>
      <w:r w:rsidR="002F1C8F" w:rsidRPr="00102859">
        <w:t xml:space="preserve"> a </w:t>
      </w:r>
      <w:r w:rsidR="00F978B8" w:rsidRPr="00102859">
        <w:t>telephone interview</w:t>
      </w:r>
      <w:r w:rsidR="002F1C8F" w:rsidRPr="00102859">
        <w:t xml:space="preserve"> was conducted</w:t>
      </w:r>
      <w:r w:rsidR="00F978B8" w:rsidRPr="00102859">
        <w:t xml:space="preserve"> during which the researcher rechecked </w:t>
      </w:r>
      <w:r w:rsidR="00562D8C" w:rsidRPr="00102859">
        <w:t>eligibility and</w:t>
      </w:r>
      <w:r w:rsidR="00F978B8" w:rsidRPr="00102859">
        <w:t xml:space="preserve"> provided the opportunity for potential participants to ask any questions related to the study. The study procedures were explained, and motivational interviewing was done to encourage participants to commit and engage in the intervention.</w:t>
      </w:r>
      <w:r w:rsidR="000348F9" w:rsidRPr="00102859">
        <w:rPr>
          <w:b/>
          <w:bCs/>
          <w:i/>
          <w:iCs/>
        </w:rPr>
        <w:t xml:space="preserve"> </w:t>
      </w:r>
      <w:r w:rsidR="000348F9" w:rsidRPr="00102859">
        <w:t>An</w:t>
      </w:r>
      <w:r w:rsidR="00F978B8" w:rsidRPr="00102859">
        <w:t xml:space="preserve">y participants with a score of 15 or more on the </w:t>
      </w:r>
      <w:r w:rsidR="009337B6" w:rsidRPr="00102859">
        <w:t>Patient Health Questionnaire–9 (</w:t>
      </w:r>
      <w:r w:rsidR="00F978B8" w:rsidRPr="00102859">
        <w:t>PHQ-9</w:t>
      </w:r>
      <w:r w:rsidR="009337B6" w:rsidRPr="00102859">
        <w:t>)</w:t>
      </w:r>
      <w:r w:rsidR="00F978B8" w:rsidRPr="00102859">
        <w:t xml:space="preserve"> or indicated self-harm on question 10 received a</w:t>
      </w:r>
      <w:r w:rsidR="00D257E3" w:rsidRPr="00102859">
        <w:t>n additional</w:t>
      </w:r>
      <w:r w:rsidR="00F978B8" w:rsidRPr="00102859">
        <w:t xml:space="preserve"> phone consultation from a clinical psychologist on the research team. This call ensured that </w:t>
      </w:r>
      <w:r w:rsidR="009337B6" w:rsidRPr="00102859">
        <w:t>their</w:t>
      </w:r>
      <w:r w:rsidR="00F978B8" w:rsidRPr="00102859">
        <w:t xml:space="preserve"> depression was being managed and that they had the required resources</w:t>
      </w:r>
      <w:r w:rsidR="00D257E3" w:rsidRPr="00102859">
        <w:t xml:space="preserve"> and were not in any </w:t>
      </w:r>
      <w:r w:rsidR="00B30A38" w:rsidRPr="00102859">
        <w:t>danger of self-harm</w:t>
      </w:r>
      <w:r w:rsidR="00F978B8" w:rsidRPr="00102859">
        <w:t>.</w:t>
      </w:r>
      <w:r w:rsidR="008D2E15" w:rsidRPr="00102859">
        <w:t xml:space="preserve"> If the psychologist was assured that their depression was well managed they were</w:t>
      </w:r>
      <w:r w:rsidR="00176B28" w:rsidRPr="00102859">
        <w:t xml:space="preserve"> </w:t>
      </w:r>
      <w:r w:rsidR="00D62DEE" w:rsidRPr="00102859">
        <w:t>eligible to participate in the study.</w:t>
      </w:r>
    </w:p>
    <w:p w14:paraId="0E24CFCB" w14:textId="20A016CE" w:rsidR="001F37FE" w:rsidRPr="00102859" w:rsidRDefault="00AC6315" w:rsidP="004D1C39">
      <w:pPr>
        <w:autoSpaceDE w:val="0"/>
        <w:autoSpaceDN w:val="0"/>
        <w:adjustRightInd w:val="0"/>
        <w:spacing w:line="480" w:lineRule="auto"/>
        <w:ind w:firstLine="360"/>
        <w:rPr>
          <w:rFonts w:eastAsiaTheme="minorHAnsi"/>
        </w:rPr>
      </w:pPr>
      <w:r w:rsidRPr="00102859">
        <w:rPr>
          <w:rFonts w:eastAsiaTheme="minorHAnsi"/>
        </w:rPr>
        <w:t>Participants meeting the inclusion criteria were d</w:t>
      </w:r>
      <w:r w:rsidR="001F37FE" w:rsidRPr="00102859">
        <w:rPr>
          <w:rFonts w:eastAsiaTheme="minorHAnsi"/>
        </w:rPr>
        <w:t>ivided into three subg</w:t>
      </w:r>
      <w:r w:rsidR="009337B6" w:rsidRPr="00102859">
        <w:rPr>
          <w:rFonts w:eastAsiaTheme="minorHAnsi"/>
        </w:rPr>
        <w:t>r</w:t>
      </w:r>
      <w:r w:rsidR="001F37FE" w:rsidRPr="00102859">
        <w:rPr>
          <w:rFonts w:eastAsiaTheme="minorHAnsi"/>
        </w:rPr>
        <w:t xml:space="preserve">oups. </w:t>
      </w:r>
    </w:p>
    <w:p w14:paraId="5B86E94F" w14:textId="6C48A6FD" w:rsidR="001F37FE" w:rsidRPr="00102859" w:rsidRDefault="00AE1C51" w:rsidP="005C34DD">
      <w:pPr>
        <w:pStyle w:val="ListParagraph"/>
        <w:numPr>
          <w:ilvl w:val="0"/>
          <w:numId w:val="20"/>
        </w:numPr>
        <w:autoSpaceDE w:val="0"/>
        <w:autoSpaceDN w:val="0"/>
        <w:adjustRightInd w:val="0"/>
        <w:rPr>
          <w:rFonts w:cs="Times New Roman"/>
        </w:rPr>
      </w:pPr>
      <w:r w:rsidRPr="00102859">
        <w:rPr>
          <w:rFonts w:cs="Times New Roman"/>
        </w:rPr>
        <w:lastRenderedPageBreak/>
        <w:t>Those with s</w:t>
      </w:r>
      <w:r w:rsidR="001C789A" w:rsidRPr="00102859">
        <w:rPr>
          <w:rFonts w:cs="Times New Roman"/>
        </w:rPr>
        <w:t>ignificant levels of tinnitus distress</w:t>
      </w:r>
      <w:r w:rsidRPr="00102859">
        <w:rPr>
          <w:rFonts w:cs="Times New Roman"/>
        </w:rPr>
        <w:t xml:space="preserve"> </w:t>
      </w:r>
      <w:r w:rsidR="00421C9C" w:rsidRPr="00102859">
        <w:rPr>
          <w:rFonts w:cs="Times New Roman"/>
        </w:rPr>
        <w:t xml:space="preserve">with scores of 25 or above on the Tinnitus Functional Index (TFI) </w:t>
      </w:r>
      <w:r w:rsidR="009337B6" w:rsidRPr="00102859">
        <w:rPr>
          <w:rFonts w:cs="Times New Roman"/>
        </w:rPr>
        <w:t xml:space="preserve">which was </w:t>
      </w:r>
      <w:r w:rsidR="00421C9C" w:rsidRPr="00102859">
        <w:rPr>
          <w:rFonts w:cs="Times New Roman"/>
        </w:rPr>
        <w:t xml:space="preserve">used to measure tinnitus </w:t>
      </w:r>
      <w:r w:rsidRPr="00102859">
        <w:rPr>
          <w:rFonts w:cs="Times New Roman"/>
        </w:rPr>
        <w:t>severity</w:t>
      </w:r>
      <w:r w:rsidR="009337B6" w:rsidRPr="00102859">
        <w:rPr>
          <w:rFonts w:cs="Times New Roman"/>
        </w:rPr>
        <w:t xml:space="preserve"> (i.e., high tinnitus severity group).</w:t>
      </w:r>
    </w:p>
    <w:p w14:paraId="72FE4BD0" w14:textId="4E470CCE" w:rsidR="00AE1C51" w:rsidRPr="00102859" w:rsidRDefault="00D12990" w:rsidP="005C34DD">
      <w:pPr>
        <w:pStyle w:val="ListParagraph"/>
        <w:numPr>
          <w:ilvl w:val="0"/>
          <w:numId w:val="20"/>
        </w:numPr>
        <w:autoSpaceDE w:val="0"/>
        <w:autoSpaceDN w:val="0"/>
        <w:adjustRightInd w:val="0"/>
        <w:rPr>
          <w:rFonts w:cs="Times New Roman"/>
        </w:rPr>
      </w:pPr>
      <w:r w:rsidRPr="00102859">
        <w:rPr>
          <w:rFonts w:cs="Times New Roman"/>
        </w:rPr>
        <w:t>Due to numerous participants scoring below 25 and requesting help with their tinnitus, those with low tinnitus severity (&lt;25</w:t>
      </w:r>
      <w:r w:rsidR="00D56338" w:rsidRPr="00102859">
        <w:rPr>
          <w:rFonts w:cs="Times New Roman"/>
        </w:rPr>
        <w:t xml:space="preserve"> on the TFI)</w:t>
      </w:r>
      <w:r w:rsidRPr="00102859">
        <w:rPr>
          <w:rFonts w:cs="Times New Roman"/>
        </w:rPr>
        <w:t xml:space="preserve"> were included </w:t>
      </w:r>
      <w:r w:rsidR="00F978B8" w:rsidRPr="00102859">
        <w:rPr>
          <w:rFonts w:cs="Times New Roman"/>
        </w:rPr>
        <w:t>as</w:t>
      </w:r>
      <w:r w:rsidRPr="00102859">
        <w:rPr>
          <w:rFonts w:cs="Times New Roman"/>
        </w:rPr>
        <w:t xml:space="preserve"> a separate</w:t>
      </w:r>
      <w:r w:rsidR="00255340" w:rsidRPr="00102859">
        <w:rPr>
          <w:rFonts w:cs="Times New Roman"/>
        </w:rPr>
        <w:t xml:space="preserve"> subgrou</w:t>
      </w:r>
      <w:r w:rsidR="00D56338" w:rsidRPr="00102859">
        <w:rPr>
          <w:rFonts w:cs="Times New Roman"/>
        </w:rPr>
        <w:t>p</w:t>
      </w:r>
      <w:r w:rsidR="009337B6" w:rsidRPr="00102859">
        <w:rPr>
          <w:rFonts w:cs="Times New Roman"/>
        </w:rPr>
        <w:t xml:space="preserve"> (i.e., low tinnitus severity group).</w:t>
      </w:r>
    </w:p>
    <w:p w14:paraId="3F6091B4" w14:textId="52D074CC" w:rsidR="00C179E5" w:rsidRPr="00102859" w:rsidRDefault="00C179E5" w:rsidP="005C34DD">
      <w:pPr>
        <w:pStyle w:val="ListParagraph"/>
        <w:numPr>
          <w:ilvl w:val="0"/>
          <w:numId w:val="20"/>
        </w:numPr>
        <w:autoSpaceDE w:val="0"/>
        <w:autoSpaceDN w:val="0"/>
        <w:adjustRightInd w:val="0"/>
        <w:rPr>
          <w:rFonts w:cs="Times New Roman"/>
        </w:rPr>
      </w:pPr>
      <w:r w:rsidRPr="00102859">
        <w:rPr>
          <w:rFonts w:cs="Times New Roman"/>
        </w:rPr>
        <w:t>Those with high depression scores &gt; 10 on the PHQ</w:t>
      </w:r>
      <w:r w:rsidR="009337B6" w:rsidRPr="00102859">
        <w:rPr>
          <w:rFonts w:cs="Times New Roman"/>
        </w:rPr>
        <w:t>-9</w:t>
      </w:r>
      <w:r w:rsidRPr="00102859">
        <w:rPr>
          <w:rFonts w:cs="Times New Roman"/>
        </w:rPr>
        <w:t xml:space="preserve"> </w:t>
      </w:r>
      <w:r w:rsidR="00E92079" w:rsidRPr="00102859">
        <w:rPr>
          <w:rFonts w:cs="Times New Roman"/>
        </w:rPr>
        <w:t xml:space="preserve">or </w:t>
      </w:r>
      <w:r w:rsidR="00383433" w:rsidRPr="00102859">
        <w:rPr>
          <w:rFonts w:cs="Times New Roman"/>
        </w:rPr>
        <w:t xml:space="preserve">those answering positively for </w:t>
      </w:r>
      <w:r w:rsidR="00E92079" w:rsidRPr="00102859">
        <w:rPr>
          <w:rFonts w:cs="Times New Roman"/>
        </w:rPr>
        <w:t>question 10</w:t>
      </w:r>
      <w:r w:rsidR="00383433" w:rsidRPr="00102859">
        <w:rPr>
          <w:rFonts w:cs="Times New Roman"/>
        </w:rPr>
        <w:t>,</w:t>
      </w:r>
      <w:r w:rsidR="00E92079" w:rsidRPr="00102859">
        <w:rPr>
          <w:rFonts w:cs="Times New Roman"/>
        </w:rPr>
        <w:t xml:space="preserve"> </w:t>
      </w:r>
      <w:r w:rsidR="00400F3D" w:rsidRPr="00102859">
        <w:rPr>
          <w:rFonts w:cs="Times New Roman"/>
        </w:rPr>
        <w:t xml:space="preserve">were added </w:t>
      </w:r>
      <w:r w:rsidR="00C70B6F" w:rsidRPr="00102859">
        <w:rPr>
          <w:rFonts w:cs="Times New Roman"/>
        </w:rPr>
        <w:t>a</w:t>
      </w:r>
      <w:r w:rsidR="00400F3D" w:rsidRPr="00102859">
        <w:rPr>
          <w:rFonts w:cs="Times New Roman"/>
        </w:rPr>
        <w:t>s</w:t>
      </w:r>
      <w:r w:rsidR="00C70B6F" w:rsidRPr="00102859">
        <w:rPr>
          <w:rFonts w:cs="Times New Roman"/>
        </w:rPr>
        <w:t xml:space="preserve"> </w:t>
      </w:r>
      <w:r w:rsidR="00400F3D" w:rsidRPr="00102859">
        <w:rPr>
          <w:rFonts w:cs="Times New Roman"/>
        </w:rPr>
        <w:t>a further subgroup</w:t>
      </w:r>
      <w:r w:rsidR="009337B6" w:rsidRPr="00102859">
        <w:rPr>
          <w:rFonts w:cs="Times New Roman"/>
        </w:rPr>
        <w:t xml:space="preserve"> (i.e., </w:t>
      </w:r>
      <w:r w:rsidR="00D32FA7" w:rsidRPr="00102859">
        <w:rPr>
          <w:rFonts w:cs="Times New Roman"/>
        </w:rPr>
        <w:t>significant</w:t>
      </w:r>
      <w:r w:rsidR="009337B6" w:rsidRPr="00102859">
        <w:rPr>
          <w:rFonts w:cs="Times New Roman"/>
        </w:rPr>
        <w:t xml:space="preserve"> depression group). </w:t>
      </w:r>
    </w:p>
    <w:p w14:paraId="092A93C2" w14:textId="77777777" w:rsidR="00293DB8" w:rsidRPr="00102859" w:rsidRDefault="00293DB8" w:rsidP="005C34DD">
      <w:pPr>
        <w:autoSpaceDE w:val="0"/>
        <w:autoSpaceDN w:val="0"/>
        <w:adjustRightInd w:val="0"/>
        <w:spacing w:line="480" w:lineRule="auto"/>
      </w:pPr>
    </w:p>
    <w:p w14:paraId="41732862" w14:textId="08332521" w:rsidR="00293DB8" w:rsidRPr="00102859" w:rsidRDefault="00B74F4C" w:rsidP="005C34DD">
      <w:pPr>
        <w:spacing w:line="480" w:lineRule="auto"/>
        <w:rPr>
          <w:b/>
        </w:rPr>
      </w:pPr>
      <w:r w:rsidRPr="00102859">
        <w:rPr>
          <w:b/>
        </w:rPr>
        <w:t xml:space="preserve">2.5 </w:t>
      </w:r>
      <w:r w:rsidR="00293DB8" w:rsidRPr="00102859">
        <w:rPr>
          <w:b/>
        </w:rPr>
        <w:t>Sample Size, Power</w:t>
      </w:r>
      <w:r w:rsidR="00383433" w:rsidRPr="00102859">
        <w:rPr>
          <w:b/>
        </w:rPr>
        <w:t>,</w:t>
      </w:r>
      <w:r w:rsidR="00293DB8" w:rsidRPr="00102859">
        <w:rPr>
          <w:b/>
        </w:rPr>
        <w:t xml:space="preserve"> and Attrition </w:t>
      </w:r>
    </w:p>
    <w:p w14:paraId="48B7C11F" w14:textId="7C11E557" w:rsidR="00293DB8" w:rsidRPr="00102859" w:rsidRDefault="00AB6F72" w:rsidP="005C34DD">
      <w:pPr>
        <w:spacing w:line="480" w:lineRule="auto"/>
      </w:pPr>
      <w:r w:rsidRPr="00102859">
        <w:rPr>
          <w:shd w:val="clear" w:color="auto" w:fill="FFFFFF"/>
        </w:rPr>
        <w:t xml:space="preserve">Sample size calculations were performed using the </w:t>
      </w:r>
      <w:proofErr w:type="spellStart"/>
      <w:r w:rsidRPr="00102859">
        <w:rPr>
          <w:shd w:val="clear" w:color="auto" w:fill="FFFFFF"/>
        </w:rPr>
        <w:t>SampSize</w:t>
      </w:r>
      <w:proofErr w:type="spellEnd"/>
      <w:r w:rsidRPr="00102859">
        <w:rPr>
          <w:shd w:val="clear" w:color="auto" w:fill="FFFFFF"/>
        </w:rPr>
        <w:t xml:space="preserve"> app</w:t>
      </w:r>
      <w:r w:rsidRPr="00102859">
        <w:rPr>
          <w:sz w:val="20"/>
          <w:szCs w:val="20"/>
          <w:shd w:val="clear" w:color="auto" w:fill="FFFFFF"/>
          <w:vertAlign w:val="superscript"/>
        </w:rPr>
        <w:t xml:space="preserve"> </w:t>
      </w:r>
      <w:r w:rsidRPr="00102859">
        <w:rPr>
          <w:shd w:val="clear" w:color="auto" w:fill="FFFFFF"/>
        </w:rPr>
        <w:t>for superiority parallel groups. Power was 90%; α was 0.025; and the estimated SD was 20 points, as indicated by the preceding pilot trial (Beukes et al., submitted). The mean difference was set to 13 points, as indicated during the validation of the TFI (</w:t>
      </w:r>
      <w:proofErr w:type="spellStart"/>
      <w:r w:rsidRPr="00102859">
        <w:rPr>
          <w:shd w:val="clear" w:color="auto" w:fill="FFFFFF"/>
        </w:rPr>
        <w:t>Meikle</w:t>
      </w:r>
      <w:proofErr w:type="spellEnd"/>
      <w:r w:rsidRPr="00102859">
        <w:rPr>
          <w:shd w:val="clear" w:color="auto" w:fill="FFFFFF"/>
        </w:rPr>
        <w:t xml:space="preserve"> et al., 2012) to be a clinically significant change in scores. Thus, 51 participants were required for each arm</w:t>
      </w:r>
      <w:r w:rsidR="008473E8" w:rsidRPr="00102859">
        <w:t xml:space="preserve">. </w:t>
      </w:r>
      <w:r w:rsidR="00524315" w:rsidRPr="00102859">
        <w:t>To ensure sufficient power</w:t>
      </w:r>
      <w:r w:rsidR="00AF2A7C" w:rsidRPr="00102859">
        <w:t xml:space="preserve">, calculations for the larger sample were followed with </w:t>
      </w:r>
      <w:r w:rsidR="00444473" w:rsidRPr="00102859">
        <w:t>the aim of</w:t>
      </w:r>
      <w:r w:rsidR="00524315" w:rsidRPr="00102859">
        <w:t xml:space="preserve"> rec</w:t>
      </w:r>
      <w:r w:rsidR="00B07312" w:rsidRPr="00102859">
        <w:t>ruit</w:t>
      </w:r>
      <w:r w:rsidR="00444473" w:rsidRPr="00102859">
        <w:t>ing</w:t>
      </w:r>
      <w:r w:rsidR="00B07312" w:rsidRPr="00102859">
        <w:t xml:space="preserve"> 63 participants per arm to inflate for possible </w:t>
      </w:r>
      <w:r w:rsidR="00293DB8" w:rsidRPr="00102859">
        <w:t>missing data</w:t>
      </w:r>
      <w:r w:rsidR="00AF2A7C" w:rsidRPr="00102859">
        <w:t>.</w:t>
      </w:r>
    </w:p>
    <w:p w14:paraId="4D8FB963" w14:textId="0E8ACC26" w:rsidR="00444473" w:rsidRPr="00102859" w:rsidRDefault="00444473" w:rsidP="005C34DD">
      <w:pPr>
        <w:spacing w:line="480" w:lineRule="auto"/>
      </w:pPr>
    </w:p>
    <w:p w14:paraId="4C789FFF" w14:textId="7F912C27" w:rsidR="00293DB8" w:rsidRPr="00102859" w:rsidRDefault="00B74F4C" w:rsidP="005C34DD">
      <w:pPr>
        <w:spacing w:line="480" w:lineRule="auto"/>
        <w:rPr>
          <w:b/>
        </w:rPr>
      </w:pPr>
      <w:r w:rsidRPr="00102859">
        <w:rPr>
          <w:b/>
        </w:rPr>
        <w:t xml:space="preserve">2.6 </w:t>
      </w:r>
      <w:r w:rsidR="00293DB8" w:rsidRPr="00102859">
        <w:rPr>
          <w:b/>
        </w:rPr>
        <w:t>Randomization</w:t>
      </w:r>
    </w:p>
    <w:p w14:paraId="4A9EDC64" w14:textId="74FC0888" w:rsidR="00293DB8" w:rsidRPr="00102859" w:rsidRDefault="00293DB8" w:rsidP="005C34DD">
      <w:pPr>
        <w:spacing w:line="480" w:lineRule="auto"/>
      </w:pPr>
      <w:r w:rsidRPr="00102859">
        <w:rPr>
          <w:bCs/>
        </w:rPr>
        <w:t xml:space="preserve">Participants </w:t>
      </w:r>
      <w:r w:rsidRPr="00102859">
        <w:t xml:space="preserve">meeting the inclusion </w:t>
      </w:r>
      <w:r w:rsidR="00744831" w:rsidRPr="00102859">
        <w:t>criteria</w:t>
      </w:r>
      <w:r w:rsidRPr="00102859">
        <w:t xml:space="preserve"> were randomly assigned in the ratio of 1:1 </w:t>
      </w:r>
      <w:r w:rsidR="007D7181" w:rsidRPr="00102859">
        <w:t xml:space="preserve">after being stratified for </w:t>
      </w:r>
      <w:r w:rsidR="00893CA9" w:rsidRPr="00102859">
        <w:t>tinnitus</w:t>
      </w:r>
      <w:r w:rsidR="007D7181" w:rsidRPr="00102859">
        <w:t xml:space="preserve"> (&lt;25 or </w:t>
      </w:r>
      <w:r w:rsidR="00962762" w:rsidRPr="00102859">
        <w:rPr>
          <w:shd w:val="clear" w:color="auto" w:fill="FFFFFF"/>
        </w:rPr>
        <w:t>≥</w:t>
      </w:r>
      <w:r w:rsidR="007D7181" w:rsidRPr="00102859">
        <w:t>25 on the TFI) and depression (&lt;</w:t>
      </w:r>
      <w:r w:rsidR="00893CA9" w:rsidRPr="00102859">
        <w:t xml:space="preserve">10 or </w:t>
      </w:r>
      <w:r w:rsidR="00962762" w:rsidRPr="00102859">
        <w:t xml:space="preserve"> </w:t>
      </w:r>
      <w:r w:rsidR="00962762" w:rsidRPr="00102859">
        <w:rPr>
          <w:shd w:val="clear" w:color="auto" w:fill="FFFFFF"/>
        </w:rPr>
        <w:t>≥</w:t>
      </w:r>
      <w:r w:rsidR="00893CA9" w:rsidRPr="00102859">
        <w:t xml:space="preserve">10 on the PHQ) </w:t>
      </w:r>
      <w:r w:rsidRPr="00102859">
        <w:t xml:space="preserve">and enrolled to either the </w:t>
      </w:r>
      <w:r w:rsidR="00911C64" w:rsidRPr="00102859">
        <w:t xml:space="preserve">ICBT </w:t>
      </w:r>
      <w:r w:rsidRPr="00102859">
        <w:t>or</w:t>
      </w:r>
      <w:r w:rsidR="00911C64" w:rsidRPr="00102859">
        <w:t xml:space="preserve"> </w:t>
      </w:r>
      <w:r w:rsidR="0052005B" w:rsidRPr="00102859">
        <w:t xml:space="preserve">applied relaxation </w:t>
      </w:r>
      <w:r w:rsidRPr="00102859">
        <w:t xml:space="preserve">group </w:t>
      </w:r>
      <w:r w:rsidRPr="00102859">
        <w:rPr>
          <w:bCs/>
        </w:rPr>
        <w:t>using a computer-generated randomization scheduled by an independent research assistant</w:t>
      </w:r>
      <w:r w:rsidR="00D673E6" w:rsidRPr="00102859">
        <w:rPr>
          <w:bCs/>
        </w:rPr>
        <w:t xml:space="preserve"> in blocks of varying sizes</w:t>
      </w:r>
      <w:r w:rsidRPr="00102859">
        <w:rPr>
          <w:bCs/>
        </w:rPr>
        <w:t xml:space="preserve">. </w:t>
      </w:r>
      <w:r w:rsidRPr="00102859">
        <w:t>Participants</w:t>
      </w:r>
      <w:r w:rsidR="0043263D" w:rsidRPr="00102859">
        <w:t xml:space="preserve"> and investigators could not be blinded to group allocation due to the nature of the intervention</w:t>
      </w:r>
      <w:r w:rsidR="000F2960" w:rsidRPr="00102859">
        <w:t>.</w:t>
      </w:r>
      <w:r w:rsidR="005426A6" w:rsidRPr="00102859">
        <w:t xml:space="preserve"> The researchers were however blinded during data analysis.</w:t>
      </w:r>
      <w:r w:rsidR="000F2960" w:rsidRPr="00102859">
        <w:t xml:space="preserve"> Participants</w:t>
      </w:r>
      <w:r w:rsidRPr="00102859">
        <w:t xml:space="preserve"> were </w:t>
      </w:r>
      <w:r w:rsidRPr="00102859">
        <w:lastRenderedPageBreak/>
        <w:t xml:space="preserve">informed </w:t>
      </w:r>
      <w:r w:rsidR="00EA7235" w:rsidRPr="00102859">
        <w:t xml:space="preserve">of their group allocation and </w:t>
      </w:r>
      <w:r w:rsidRPr="00102859">
        <w:t>when the intervention would commence by the principal investigator</w:t>
      </w:r>
      <w:r w:rsidR="00286F09" w:rsidRPr="00102859">
        <w:t>.</w:t>
      </w:r>
    </w:p>
    <w:p w14:paraId="24192836" w14:textId="77777777" w:rsidR="00293DB8" w:rsidRPr="00102859" w:rsidRDefault="00293DB8" w:rsidP="005C34DD">
      <w:pPr>
        <w:spacing w:line="480" w:lineRule="auto"/>
        <w:rPr>
          <w:b/>
          <w:shd w:val="clear" w:color="auto" w:fill="FFFFFF"/>
        </w:rPr>
      </w:pPr>
    </w:p>
    <w:p w14:paraId="39F9A48C" w14:textId="1E4A5AD8" w:rsidR="005B2849" w:rsidRPr="00102859" w:rsidRDefault="00B74F4C" w:rsidP="005C34DD">
      <w:pPr>
        <w:spacing w:line="480" w:lineRule="auto"/>
        <w:rPr>
          <w:b/>
          <w:shd w:val="clear" w:color="auto" w:fill="FFFFFF"/>
        </w:rPr>
      </w:pPr>
      <w:r w:rsidRPr="00102859">
        <w:rPr>
          <w:b/>
          <w:shd w:val="clear" w:color="auto" w:fill="FFFFFF"/>
        </w:rPr>
        <w:t xml:space="preserve">2.7 </w:t>
      </w:r>
      <w:r w:rsidR="005B2849" w:rsidRPr="00102859">
        <w:rPr>
          <w:b/>
          <w:shd w:val="clear" w:color="auto" w:fill="FFFFFF"/>
        </w:rPr>
        <w:t>Intervention</w:t>
      </w:r>
    </w:p>
    <w:p w14:paraId="77EA58AC" w14:textId="2B5A0B5F" w:rsidR="00B31933" w:rsidRPr="00102859" w:rsidRDefault="00EF6AE5" w:rsidP="005C34DD">
      <w:pPr>
        <w:autoSpaceDE w:val="0"/>
        <w:autoSpaceDN w:val="0"/>
        <w:adjustRightInd w:val="0"/>
        <w:spacing w:line="480" w:lineRule="auto"/>
        <w:rPr>
          <w:bCs/>
        </w:rPr>
      </w:pPr>
      <w:r w:rsidRPr="00102859">
        <w:t>The study employed a</w:t>
      </w:r>
      <w:r w:rsidR="0027090B" w:rsidRPr="00102859">
        <w:t xml:space="preserve"> structured intervention based on a CBT for tinnitus program (</w:t>
      </w:r>
      <w:r w:rsidR="0027090B" w:rsidRPr="00102859">
        <w:rPr>
          <w:noProof/>
        </w:rPr>
        <w:t>Andersson &amp; Kaldo, 2004; Beukes et al., 2021)</w:t>
      </w:r>
      <w:r w:rsidR="005426A6" w:rsidRPr="00102859">
        <w:rPr>
          <w:noProof/>
        </w:rPr>
        <w:t>. This</w:t>
      </w:r>
      <w:r w:rsidR="00BE1370" w:rsidRPr="00102859">
        <w:rPr>
          <w:noProof/>
        </w:rPr>
        <w:t xml:space="preserve"> intervention was originally developed in Sweden (Andersson et al., 2002), </w:t>
      </w:r>
      <w:r w:rsidR="003B5B1A" w:rsidRPr="00102859">
        <w:rPr>
          <w:noProof/>
        </w:rPr>
        <w:t xml:space="preserve">and was later </w:t>
      </w:r>
      <w:r w:rsidR="00BE1370" w:rsidRPr="00102859">
        <w:t xml:space="preserve">adapted into an interactive e-learning version for a UK population </w:t>
      </w:r>
      <w:sdt>
        <w:sdtPr>
          <w:id w:val="178474028"/>
          <w:citation/>
        </w:sdtPr>
        <w:sdtEndPr/>
        <w:sdtContent>
          <w:r w:rsidR="00BE1370" w:rsidRPr="00102859">
            <w:fldChar w:fldCharType="begin"/>
          </w:r>
          <w:r w:rsidR="00BE1370" w:rsidRPr="00102859">
            <w:instrText xml:space="preserve"> CITATION Beu16 \l 2057 </w:instrText>
          </w:r>
          <w:r w:rsidR="00BE1370" w:rsidRPr="00102859">
            <w:fldChar w:fldCharType="separate"/>
          </w:r>
          <w:r w:rsidR="00BE1370" w:rsidRPr="00102859">
            <w:rPr>
              <w:noProof/>
            </w:rPr>
            <w:t>(Beukes, et al., 2016)</w:t>
          </w:r>
          <w:r w:rsidR="00BE1370" w:rsidRPr="00102859">
            <w:fldChar w:fldCharType="end"/>
          </w:r>
        </w:sdtContent>
      </w:sdt>
      <w:r w:rsidRPr="00102859">
        <w:t xml:space="preserve">. </w:t>
      </w:r>
      <w:r w:rsidR="005426A6" w:rsidRPr="00102859">
        <w:t>To ensure suitability for a US population, t</w:t>
      </w:r>
      <w:r w:rsidRPr="00102859">
        <w:t xml:space="preserve">he intervention </w:t>
      </w:r>
      <w:r w:rsidR="00303AA3" w:rsidRPr="00102859">
        <w:t xml:space="preserve">was further modified with </w:t>
      </w:r>
      <w:r w:rsidR="00BE1370" w:rsidRPr="00102859">
        <w:t>linguistic and cultural adaptions</w:t>
      </w:r>
      <w:r w:rsidR="00303AA3" w:rsidRPr="00102859">
        <w:t>,</w:t>
      </w:r>
      <w:r w:rsidR="00BE1370" w:rsidRPr="00102859">
        <w:t xml:space="preserve"> </w:t>
      </w:r>
      <w:r w:rsidR="00303AA3" w:rsidRPr="00102859">
        <w:t>such as lowering the readability to below the recommended 6</w:t>
      </w:r>
      <w:r w:rsidR="00303AA3" w:rsidRPr="00102859">
        <w:rPr>
          <w:vertAlign w:val="superscript"/>
        </w:rPr>
        <w:t>th</w:t>
      </w:r>
      <w:r w:rsidR="00303AA3" w:rsidRPr="00102859">
        <w:t xml:space="preserve"> English reading grade level, </w:t>
      </w:r>
      <w:r w:rsidR="00BE1370" w:rsidRPr="00102859">
        <w:t>(Beukes et al., 2020a; Manchaiah et al., 2020b). The full program consists of 22 modules with explanatory videos, weekly homework assignments, worksheets and quizzes (Beukes et al., 2021). The intervention platform</w:t>
      </w:r>
      <w:r w:rsidR="00E424D0" w:rsidRPr="00102859">
        <w:t xml:space="preserve"> (Vlaescu et al., 2016)</w:t>
      </w:r>
      <w:r w:rsidR="00BE1370" w:rsidRPr="00102859">
        <w:t xml:space="preserve"> was housed in the US </w:t>
      </w:r>
      <w:r w:rsidR="0068523E" w:rsidRPr="00102859">
        <w:t xml:space="preserve">at </w:t>
      </w:r>
      <w:r w:rsidR="00BE1370" w:rsidRPr="00102859">
        <w:t xml:space="preserve">Lamar University to comply with the needed data protection regulations. Prior to this trial, acceptability and functionality of this intervention for a US population were ensured </w:t>
      </w:r>
      <w:sdt>
        <w:sdtPr>
          <w:id w:val="-1435125688"/>
          <w:citation/>
        </w:sdtPr>
        <w:sdtEndPr/>
        <w:sdtContent>
          <w:r w:rsidR="00BE1370" w:rsidRPr="00102859">
            <w:fldChar w:fldCharType="begin"/>
          </w:r>
          <w:r w:rsidR="00BE1370" w:rsidRPr="00102859">
            <w:instrText xml:space="preserve">CITATION Man20 \l 2057 </w:instrText>
          </w:r>
          <w:r w:rsidR="00BE1370" w:rsidRPr="00102859">
            <w:fldChar w:fldCharType="separate"/>
          </w:r>
          <w:r w:rsidR="00BE1370" w:rsidRPr="00102859">
            <w:rPr>
              <w:noProof/>
            </w:rPr>
            <w:t>(Manchaiah, et al., 2020a)</w:t>
          </w:r>
          <w:r w:rsidR="00BE1370" w:rsidRPr="00102859">
            <w:fldChar w:fldCharType="end"/>
          </w:r>
        </w:sdtContent>
      </w:sdt>
      <w:r w:rsidR="00BE1370" w:rsidRPr="00102859">
        <w:t xml:space="preserve"> and the intervention was p</w:t>
      </w:r>
      <w:r w:rsidR="00444473" w:rsidRPr="00102859">
        <w:t>iloted for a US population</w:t>
      </w:r>
      <w:r w:rsidR="00BE1370" w:rsidRPr="00102859">
        <w:t xml:space="preserve"> (Beukes et al. </w:t>
      </w:r>
      <w:proofErr w:type="spellStart"/>
      <w:r w:rsidR="00BE1370" w:rsidRPr="00102859">
        <w:t>submitted</w:t>
      </w:r>
      <w:r w:rsidR="003D64C3" w:rsidRPr="00102859">
        <w:t>A</w:t>
      </w:r>
      <w:proofErr w:type="spellEnd"/>
      <w:r w:rsidR="00BE1370" w:rsidRPr="00102859">
        <w:t>).</w:t>
      </w:r>
      <w:r w:rsidR="00B31933" w:rsidRPr="00102859">
        <w:rPr>
          <w:bCs/>
        </w:rPr>
        <w:t xml:space="preserve"> </w:t>
      </w:r>
      <w:r w:rsidR="003C44CF" w:rsidRPr="00102859">
        <w:rPr>
          <w:bCs/>
        </w:rPr>
        <w:t>G</w:t>
      </w:r>
      <w:r w:rsidR="00B31933" w:rsidRPr="00102859">
        <w:rPr>
          <w:bCs/>
        </w:rPr>
        <w:t xml:space="preserve">uidance was provided </w:t>
      </w:r>
      <w:r w:rsidR="003C44CF" w:rsidRPr="00102859">
        <w:rPr>
          <w:bCs/>
        </w:rPr>
        <w:t xml:space="preserve">by an audiologist </w:t>
      </w:r>
      <w:r w:rsidR="00B31933" w:rsidRPr="00102859">
        <w:rPr>
          <w:bCs/>
        </w:rPr>
        <w:t>throughout the intervention. This included introducing the module content, monitoring progress, providing feedback on worksheets completed, outlining the content of new modules, answering questions, and encouraging questionnaire completi</w:t>
      </w:r>
      <w:r w:rsidR="00303AA3" w:rsidRPr="00102859">
        <w:rPr>
          <w:bCs/>
        </w:rPr>
        <w:t>on</w:t>
      </w:r>
      <w:r w:rsidR="00B31933" w:rsidRPr="00102859">
        <w:rPr>
          <w:bCs/>
        </w:rPr>
        <w:t xml:space="preserve">. </w:t>
      </w:r>
      <w:r w:rsidR="00303AA3" w:rsidRPr="00102859">
        <w:rPr>
          <w:bCs/>
        </w:rPr>
        <w:t>Participants who were</w:t>
      </w:r>
      <w:r w:rsidR="00B31933" w:rsidRPr="00102859">
        <w:rPr>
          <w:bCs/>
        </w:rPr>
        <w:t xml:space="preserve"> not engaging were contacted (messages/ text/ phone) to encourage engagement and discuss possible barriers</w:t>
      </w:r>
      <w:r w:rsidR="00303AA3" w:rsidRPr="00102859">
        <w:rPr>
          <w:bCs/>
        </w:rPr>
        <w:t>, and a</w:t>
      </w:r>
      <w:r w:rsidR="00B31933" w:rsidRPr="00102859">
        <w:rPr>
          <w:bCs/>
        </w:rPr>
        <w:t xml:space="preserve">n encrypted 2-way messaging system within the </w:t>
      </w:r>
      <w:proofErr w:type="spellStart"/>
      <w:r w:rsidR="00B31933" w:rsidRPr="00102859">
        <w:rPr>
          <w:bCs/>
        </w:rPr>
        <w:t>ePlatform</w:t>
      </w:r>
      <w:proofErr w:type="spellEnd"/>
      <w:r w:rsidR="00B31933" w:rsidRPr="00102859">
        <w:rPr>
          <w:bCs/>
        </w:rPr>
        <w:t xml:space="preserve"> was used to communicate</w:t>
      </w:r>
      <w:r w:rsidR="00303AA3" w:rsidRPr="00102859">
        <w:rPr>
          <w:bCs/>
        </w:rPr>
        <w:t xml:space="preserve"> with participants</w:t>
      </w:r>
      <w:r w:rsidR="00B31933" w:rsidRPr="00102859">
        <w:rPr>
          <w:bCs/>
        </w:rPr>
        <w:t xml:space="preserve">. Although psychologists have traditionally guided CBT interventions, tinnitus management is generally delivered by </w:t>
      </w:r>
      <w:r w:rsidR="0068523E" w:rsidRPr="00102859">
        <w:rPr>
          <w:bCs/>
        </w:rPr>
        <w:t>a</w:t>
      </w:r>
      <w:r w:rsidR="00B31933" w:rsidRPr="00102859">
        <w:rPr>
          <w:bCs/>
        </w:rPr>
        <w:t>udiologists</w:t>
      </w:r>
      <w:r w:rsidR="006442C9" w:rsidRPr="00102859">
        <w:rPr>
          <w:bCs/>
        </w:rPr>
        <w:t xml:space="preserve"> (Henry et al., 2019).</w:t>
      </w:r>
      <w:r w:rsidR="00B31933" w:rsidRPr="00102859">
        <w:rPr>
          <w:bCs/>
        </w:rPr>
        <w:t xml:space="preserve"> T</w:t>
      </w:r>
      <w:r w:rsidR="00EE3624" w:rsidRPr="00102859">
        <w:rPr>
          <w:bCs/>
        </w:rPr>
        <w:t>hus</w:t>
      </w:r>
      <w:r w:rsidR="004E1C91" w:rsidRPr="00102859">
        <w:rPr>
          <w:bCs/>
        </w:rPr>
        <w:t>,</w:t>
      </w:r>
      <w:r w:rsidR="007D512B" w:rsidRPr="00102859">
        <w:rPr>
          <w:bCs/>
        </w:rPr>
        <w:t xml:space="preserve"> </w:t>
      </w:r>
      <w:r w:rsidR="00444473" w:rsidRPr="00102859">
        <w:rPr>
          <w:bCs/>
        </w:rPr>
        <w:t>an audiologist</w:t>
      </w:r>
      <w:r w:rsidR="007D512B" w:rsidRPr="00102859">
        <w:rPr>
          <w:bCs/>
        </w:rPr>
        <w:t xml:space="preserve"> provided guidance to participants</w:t>
      </w:r>
      <w:r w:rsidR="001438D7" w:rsidRPr="00102859">
        <w:rPr>
          <w:bCs/>
        </w:rPr>
        <w:t xml:space="preserve"> to</w:t>
      </w:r>
      <w:r w:rsidR="00B31933" w:rsidRPr="00102859">
        <w:rPr>
          <w:bCs/>
        </w:rPr>
        <w:t xml:space="preserve"> </w:t>
      </w:r>
      <w:r w:rsidR="00B31933" w:rsidRPr="00102859">
        <w:rPr>
          <w:bCs/>
        </w:rPr>
        <w:lastRenderedPageBreak/>
        <w:t xml:space="preserve">maintain consistency with </w:t>
      </w:r>
      <w:r w:rsidR="00703921" w:rsidRPr="00102859">
        <w:rPr>
          <w:bCs/>
        </w:rPr>
        <w:t>previous English trials</w:t>
      </w:r>
      <w:r w:rsidR="00B26AD3" w:rsidRPr="00102859">
        <w:rPr>
          <w:bCs/>
        </w:rPr>
        <w:t xml:space="preserve"> using this intervention </w:t>
      </w:r>
      <w:r w:rsidR="00B31933" w:rsidRPr="00102859">
        <w:rPr>
          <w:bCs/>
        </w:rPr>
        <w:t>(Beukes et al., 2018</w:t>
      </w:r>
      <w:r w:rsidR="00B70DC8" w:rsidRPr="00102859">
        <w:rPr>
          <w:bCs/>
        </w:rPr>
        <w:t>c</w:t>
      </w:r>
      <w:r w:rsidR="0068523E" w:rsidRPr="00102859">
        <w:rPr>
          <w:bCs/>
        </w:rPr>
        <w:t>,</w:t>
      </w:r>
      <w:r w:rsidR="00B31933" w:rsidRPr="00102859">
        <w:rPr>
          <w:bCs/>
        </w:rPr>
        <w:t xml:space="preserve"> </w:t>
      </w:r>
      <w:proofErr w:type="spellStart"/>
      <w:r w:rsidR="0068523E" w:rsidRPr="00102859">
        <w:rPr>
          <w:bCs/>
        </w:rPr>
        <w:t>S</w:t>
      </w:r>
      <w:r w:rsidR="00B31933" w:rsidRPr="00102859">
        <w:rPr>
          <w:bCs/>
        </w:rPr>
        <w:t>ubmitted</w:t>
      </w:r>
      <w:r w:rsidR="00347E4E" w:rsidRPr="00102859">
        <w:rPr>
          <w:bCs/>
        </w:rPr>
        <w:t>B</w:t>
      </w:r>
      <w:proofErr w:type="spellEnd"/>
      <w:r w:rsidR="00B31933" w:rsidRPr="00102859">
        <w:rPr>
          <w:bCs/>
        </w:rPr>
        <w:t xml:space="preserve">). </w:t>
      </w:r>
    </w:p>
    <w:p w14:paraId="20A894B8" w14:textId="430C2067" w:rsidR="005B2849" w:rsidRPr="00102859" w:rsidRDefault="0022097E" w:rsidP="005C34DD">
      <w:pPr>
        <w:spacing w:line="480" w:lineRule="auto"/>
        <w:ind w:firstLine="720"/>
      </w:pPr>
      <w:r w:rsidRPr="00102859">
        <w:rPr>
          <w:noProof/>
        </w:rPr>
        <w:t>The groups accessed</w:t>
      </w:r>
      <w:r w:rsidR="002C3843" w:rsidRPr="00102859">
        <w:rPr>
          <w:noProof/>
        </w:rPr>
        <w:t xml:space="preserve"> the intervention via a secure login</w:t>
      </w:r>
      <w:r w:rsidR="00A702A3" w:rsidRPr="00102859">
        <w:rPr>
          <w:noProof/>
        </w:rPr>
        <w:t>, each group accessing</w:t>
      </w:r>
      <w:r w:rsidRPr="00102859">
        <w:rPr>
          <w:noProof/>
        </w:rPr>
        <w:t xml:space="preserve"> different elements of the intervention </w:t>
      </w:r>
      <w:r w:rsidR="00303AA3" w:rsidRPr="00102859">
        <w:rPr>
          <w:noProof/>
        </w:rPr>
        <w:t xml:space="preserve">along </w:t>
      </w:r>
      <w:r w:rsidR="00444473" w:rsidRPr="00102859">
        <w:rPr>
          <w:noProof/>
        </w:rPr>
        <w:t xml:space="preserve">with </w:t>
      </w:r>
      <w:r w:rsidR="0027090B" w:rsidRPr="00102859">
        <w:rPr>
          <w:noProof/>
        </w:rPr>
        <w:t xml:space="preserve">different </w:t>
      </w:r>
      <w:r w:rsidR="00303AA3" w:rsidRPr="00102859">
        <w:rPr>
          <w:noProof/>
        </w:rPr>
        <w:t>schedules</w:t>
      </w:r>
      <w:r w:rsidR="005D7459" w:rsidRPr="00102859">
        <w:rPr>
          <w:noProof/>
        </w:rPr>
        <w:t xml:space="preserve"> as seen in</w:t>
      </w:r>
      <w:r w:rsidR="00615A87" w:rsidRPr="00102859">
        <w:rPr>
          <w:noProof/>
        </w:rPr>
        <w:t xml:space="preserve"> Table 1.</w:t>
      </w:r>
      <w:r w:rsidR="0027090B" w:rsidRPr="00102859">
        <w:rPr>
          <w:noProof/>
        </w:rPr>
        <w:t xml:space="preserve"> </w:t>
      </w:r>
      <w:r w:rsidR="00D87C20" w:rsidRPr="00102859">
        <w:rPr>
          <w:noProof/>
        </w:rPr>
        <w:t>Both groups were asked to spend</w:t>
      </w:r>
      <w:r w:rsidR="00444473" w:rsidRPr="00102859">
        <w:rPr>
          <w:noProof/>
        </w:rPr>
        <w:t xml:space="preserve"> around 10 minutes a day practic</w:t>
      </w:r>
      <w:r w:rsidR="00D87C20" w:rsidRPr="00102859">
        <w:rPr>
          <w:noProof/>
        </w:rPr>
        <w:t>ing the suggested exercises</w:t>
      </w:r>
      <w:r w:rsidR="00461BFA" w:rsidRPr="00102859">
        <w:rPr>
          <w:noProof/>
        </w:rPr>
        <w:t xml:space="preserve"> and completing worksheets to monitor their progress.</w:t>
      </w:r>
      <w:r w:rsidR="00D87C20" w:rsidRPr="00102859">
        <w:rPr>
          <w:noProof/>
        </w:rPr>
        <w:t xml:space="preserve"> </w:t>
      </w:r>
    </w:p>
    <w:p w14:paraId="105004AA" w14:textId="68CFAD38" w:rsidR="004D62B1" w:rsidRPr="00102859" w:rsidRDefault="004D62B1" w:rsidP="005C34DD">
      <w:pPr>
        <w:spacing w:line="480" w:lineRule="auto"/>
        <w:rPr>
          <w:bCs/>
          <w:iCs/>
        </w:rPr>
      </w:pPr>
    </w:p>
    <w:p w14:paraId="00F2F9EE" w14:textId="207F62A1" w:rsidR="00EF67B9" w:rsidRPr="00102859" w:rsidRDefault="004D62B1" w:rsidP="005C34DD">
      <w:pPr>
        <w:spacing w:line="480" w:lineRule="auto"/>
        <w:rPr>
          <w:b/>
          <w:bCs/>
          <w:iCs/>
        </w:rPr>
      </w:pPr>
      <w:r w:rsidRPr="00102859">
        <w:rPr>
          <w:b/>
          <w:bCs/>
          <w:iCs/>
        </w:rPr>
        <w:t>Table 1</w:t>
      </w:r>
      <w:r w:rsidR="00E741F5" w:rsidRPr="00102859">
        <w:rPr>
          <w:b/>
          <w:bCs/>
          <w:iCs/>
        </w:rPr>
        <w:t>.</w:t>
      </w:r>
      <w:r w:rsidR="00A241E5" w:rsidRPr="00102859">
        <w:rPr>
          <w:b/>
          <w:bCs/>
          <w:iCs/>
        </w:rPr>
        <w:t xml:space="preserve"> </w:t>
      </w:r>
      <w:r w:rsidR="00461BFA" w:rsidRPr="00102859">
        <w:rPr>
          <w:b/>
          <w:bCs/>
          <w:iCs/>
        </w:rPr>
        <w:t>The</w:t>
      </w:r>
      <w:r w:rsidR="00E741F5" w:rsidRPr="00102859">
        <w:rPr>
          <w:b/>
          <w:bCs/>
          <w:iCs/>
        </w:rPr>
        <w:t xml:space="preserve"> Intervention schedule</w:t>
      </w:r>
      <w:r w:rsidR="0080352D" w:rsidRPr="00102859">
        <w:rPr>
          <w:b/>
          <w:bCs/>
          <w:iCs/>
        </w:rPr>
        <w:t xml:space="preserve"> for each group</w:t>
      </w:r>
    </w:p>
    <w:tbl>
      <w:tblPr>
        <w:tblStyle w:val="TableGrid"/>
        <w:tblW w:w="0" w:type="auto"/>
        <w:tblLook w:val="04A0" w:firstRow="1" w:lastRow="0" w:firstColumn="1" w:lastColumn="0" w:noHBand="0" w:noVBand="1"/>
      </w:tblPr>
      <w:tblGrid>
        <w:gridCol w:w="1696"/>
        <w:gridCol w:w="3261"/>
        <w:gridCol w:w="3827"/>
      </w:tblGrid>
      <w:tr w:rsidR="00102859" w:rsidRPr="00102859" w14:paraId="2C53B5F9" w14:textId="15E643BA" w:rsidTr="004D1C39">
        <w:tc>
          <w:tcPr>
            <w:tcW w:w="1696" w:type="dxa"/>
          </w:tcPr>
          <w:p w14:paraId="48C1906B" w14:textId="0FCDD9CF" w:rsidR="00B11671" w:rsidRPr="00102859" w:rsidRDefault="00B11671" w:rsidP="005C34DD">
            <w:pPr>
              <w:spacing w:line="480" w:lineRule="auto"/>
              <w:rPr>
                <w:b/>
                <w:iCs/>
              </w:rPr>
            </w:pPr>
            <w:r w:rsidRPr="00102859">
              <w:rPr>
                <w:b/>
                <w:iCs/>
              </w:rPr>
              <w:t>Week</w:t>
            </w:r>
          </w:p>
        </w:tc>
        <w:tc>
          <w:tcPr>
            <w:tcW w:w="3261" w:type="dxa"/>
          </w:tcPr>
          <w:p w14:paraId="44CE2D17" w14:textId="1D053A43" w:rsidR="00B11671" w:rsidRPr="00102859" w:rsidRDefault="0068523E" w:rsidP="005C34DD">
            <w:pPr>
              <w:spacing w:line="480" w:lineRule="auto"/>
              <w:rPr>
                <w:b/>
                <w:iCs/>
              </w:rPr>
            </w:pPr>
            <w:r w:rsidRPr="00102859">
              <w:rPr>
                <w:b/>
                <w:iCs/>
              </w:rPr>
              <w:t>ICBT</w:t>
            </w:r>
            <w:r w:rsidR="00B11671" w:rsidRPr="00102859">
              <w:rPr>
                <w:b/>
                <w:iCs/>
              </w:rPr>
              <w:t xml:space="preserve"> </w:t>
            </w:r>
            <w:r w:rsidRPr="00102859">
              <w:rPr>
                <w:b/>
                <w:iCs/>
              </w:rPr>
              <w:t>g</w:t>
            </w:r>
            <w:r w:rsidR="00B11671" w:rsidRPr="00102859">
              <w:rPr>
                <w:b/>
                <w:iCs/>
              </w:rPr>
              <w:t>roup schedule</w:t>
            </w:r>
          </w:p>
        </w:tc>
        <w:tc>
          <w:tcPr>
            <w:tcW w:w="3827" w:type="dxa"/>
          </w:tcPr>
          <w:p w14:paraId="34A4AB7D" w14:textId="3EC4F58E" w:rsidR="00B11671" w:rsidRPr="00102859" w:rsidRDefault="004D1C39" w:rsidP="005C34DD">
            <w:pPr>
              <w:spacing w:line="480" w:lineRule="auto"/>
              <w:rPr>
                <w:b/>
                <w:iCs/>
              </w:rPr>
            </w:pPr>
            <w:r w:rsidRPr="00102859">
              <w:rPr>
                <w:b/>
                <w:iCs/>
              </w:rPr>
              <w:t xml:space="preserve">Applied relaxation </w:t>
            </w:r>
            <w:r w:rsidR="0068523E" w:rsidRPr="00102859">
              <w:rPr>
                <w:b/>
                <w:iCs/>
              </w:rPr>
              <w:t>g</w:t>
            </w:r>
            <w:r w:rsidR="00B11671" w:rsidRPr="00102859">
              <w:rPr>
                <w:b/>
                <w:iCs/>
              </w:rPr>
              <w:t xml:space="preserve">roup </w:t>
            </w:r>
            <w:r w:rsidR="0068523E" w:rsidRPr="00102859">
              <w:rPr>
                <w:b/>
                <w:iCs/>
              </w:rPr>
              <w:t>s</w:t>
            </w:r>
            <w:r w:rsidR="00B11671" w:rsidRPr="00102859">
              <w:rPr>
                <w:b/>
                <w:iCs/>
              </w:rPr>
              <w:t>chedule</w:t>
            </w:r>
          </w:p>
        </w:tc>
      </w:tr>
      <w:tr w:rsidR="00102859" w:rsidRPr="00102859" w14:paraId="088A5FBB" w14:textId="77777777" w:rsidTr="004D1C39">
        <w:tc>
          <w:tcPr>
            <w:tcW w:w="1696" w:type="dxa"/>
          </w:tcPr>
          <w:p w14:paraId="1FC74676" w14:textId="685E01BE" w:rsidR="00501002" w:rsidRPr="00102859" w:rsidRDefault="00501002" w:rsidP="005C34DD">
            <w:pPr>
              <w:spacing w:line="480" w:lineRule="auto"/>
              <w:rPr>
                <w:b/>
                <w:iCs/>
              </w:rPr>
            </w:pPr>
            <w:r w:rsidRPr="00102859">
              <w:rPr>
                <w:b/>
                <w:iCs/>
              </w:rPr>
              <w:t>Phase I</w:t>
            </w:r>
          </w:p>
        </w:tc>
        <w:tc>
          <w:tcPr>
            <w:tcW w:w="3261" w:type="dxa"/>
          </w:tcPr>
          <w:p w14:paraId="3AE6E254" w14:textId="04C43107" w:rsidR="00501002" w:rsidRPr="00102859" w:rsidRDefault="00501002" w:rsidP="005C34DD">
            <w:pPr>
              <w:spacing w:line="480" w:lineRule="auto"/>
              <w:rPr>
                <w:b/>
                <w:iCs/>
              </w:rPr>
            </w:pPr>
            <w:r w:rsidRPr="00102859">
              <w:rPr>
                <w:b/>
                <w:iCs/>
              </w:rPr>
              <w:t>22 modules</w:t>
            </w:r>
          </w:p>
        </w:tc>
        <w:tc>
          <w:tcPr>
            <w:tcW w:w="3827" w:type="dxa"/>
          </w:tcPr>
          <w:p w14:paraId="4685729A" w14:textId="66E0B927" w:rsidR="00501002" w:rsidRPr="00102859" w:rsidRDefault="00501002" w:rsidP="005C34DD">
            <w:pPr>
              <w:spacing w:line="480" w:lineRule="auto"/>
              <w:rPr>
                <w:b/>
                <w:iCs/>
              </w:rPr>
            </w:pPr>
            <w:r w:rsidRPr="00102859">
              <w:rPr>
                <w:b/>
                <w:iCs/>
              </w:rPr>
              <w:t>1</w:t>
            </w:r>
            <w:r w:rsidR="00B46337" w:rsidRPr="00102859">
              <w:rPr>
                <w:b/>
                <w:iCs/>
              </w:rPr>
              <w:t>0</w:t>
            </w:r>
            <w:r w:rsidRPr="00102859">
              <w:rPr>
                <w:b/>
                <w:iCs/>
              </w:rPr>
              <w:t xml:space="preserve"> modules</w:t>
            </w:r>
          </w:p>
        </w:tc>
      </w:tr>
      <w:tr w:rsidR="00102859" w:rsidRPr="00102859" w14:paraId="3EA3906F" w14:textId="5A7F1733" w:rsidTr="004D1C39">
        <w:tc>
          <w:tcPr>
            <w:tcW w:w="1696" w:type="dxa"/>
          </w:tcPr>
          <w:p w14:paraId="2278E9F3" w14:textId="41384B7E" w:rsidR="00B11671" w:rsidRPr="00102859" w:rsidRDefault="00B11671" w:rsidP="005C34DD">
            <w:pPr>
              <w:spacing w:line="480" w:lineRule="auto"/>
              <w:rPr>
                <w:bCs/>
                <w:iCs/>
              </w:rPr>
            </w:pPr>
            <w:r w:rsidRPr="00102859">
              <w:rPr>
                <w:bCs/>
                <w:iCs/>
              </w:rPr>
              <w:t>1</w:t>
            </w:r>
          </w:p>
        </w:tc>
        <w:tc>
          <w:tcPr>
            <w:tcW w:w="3261" w:type="dxa"/>
          </w:tcPr>
          <w:p w14:paraId="2EA31795" w14:textId="6276028C" w:rsidR="00B11671" w:rsidRPr="00102859" w:rsidRDefault="00B11671" w:rsidP="005C34DD">
            <w:pPr>
              <w:spacing w:line="480" w:lineRule="auto"/>
              <w:rPr>
                <w:bCs/>
                <w:iCs/>
              </w:rPr>
            </w:pPr>
            <w:r w:rsidRPr="00102859">
              <w:rPr>
                <w:bCs/>
                <w:iCs/>
              </w:rPr>
              <w:t>Program outline</w:t>
            </w:r>
          </w:p>
          <w:p w14:paraId="13B3D69D" w14:textId="41CC750A" w:rsidR="00B11671" w:rsidRPr="00102859" w:rsidRDefault="00B11671" w:rsidP="005C34DD">
            <w:pPr>
              <w:spacing w:line="480" w:lineRule="auto"/>
              <w:rPr>
                <w:bCs/>
                <w:iCs/>
              </w:rPr>
            </w:pPr>
            <w:r w:rsidRPr="00102859">
              <w:rPr>
                <w:bCs/>
                <w:iCs/>
              </w:rPr>
              <w:t>Tinnitus overview</w:t>
            </w:r>
          </w:p>
        </w:tc>
        <w:tc>
          <w:tcPr>
            <w:tcW w:w="3827" w:type="dxa"/>
          </w:tcPr>
          <w:p w14:paraId="2B5A100D" w14:textId="662F5EB2" w:rsidR="00B11671" w:rsidRPr="00102859" w:rsidRDefault="00B11671" w:rsidP="005C34DD">
            <w:pPr>
              <w:spacing w:line="480" w:lineRule="auto"/>
              <w:rPr>
                <w:bCs/>
                <w:iCs/>
              </w:rPr>
            </w:pPr>
            <w:r w:rsidRPr="00102859">
              <w:rPr>
                <w:bCs/>
                <w:iCs/>
              </w:rPr>
              <w:t>Program outline</w:t>
            </w:r>
          </w:p>
          <w:p w14:paraId="753CF583" w14:textId="292D7FED" w:rsidR="00B11671" w:rsidRPr="00102859" w:rsidRDefault="00B11671" w:rsidP="005C34DD">
            <w:pPr>
              <w:spacing w:line="480" w:lineRule="auto"/>
              <w:rPr>
                <w:bCs/>
                <w:iCs/>
              </w:rPr>
            </w:pPr>
            <w:r w:rsidRPr="00102859">
              <w:rPr>
                <w:bCs/>
                <w:iCs/>
              </w:rPr>
              <w:t>Tinnitus overview</w:t>
            </w:r>
          </w:p>
        </w:tc>
      </w:tr>
      <w:tr w:rsidR="00102859" w:rsidRPr="00102859" w14:paraId="0FF6666F" w14:textId="357AE0B4" w:rsidTr="004D1C39">
        <w:tc>
          <w:tcPr>
            <w:tcW w:w="1696" w:type="dxa"/>
          </w:tcPr>
          <w:p w14:paraId="23E8D741" w14:textId="27B4FA8A" w:rsidR="00B11671" w:rsidRPr="00102859" w:rsidRDefault="00B11671" w:rsidP="005C34DD">
            <w:pPr>
              <w:spacing w:line="480" w:lineRule="auto"/>
              <w:rPr>
                <w:bCs/>
                <w:iCs/>
              </w:rPr>
            </w:pPr>
            <w:r w:rsidRPr="00102859">
              <w:rPr>
                <w:bCs/>
                <w:iCs/>
              </w:rPr>
              <w:t>2</w:t>
            </w:r>
          </w:p>
        </w:tc>
        <w:tc>
          <w:tcPr>
            <w:tcW w:w="3261" w:type="dxa"/>
          </w:tcPr>
          <w:p w14:paraId="26CB09D0" w14:textId="77777777" w:rsidR="00B11671" w:rsidRPr="00102859" w:rsidRDefault="00B11671" w:rsidP="005C34DD">
            <w:pPr>
              <w:spacing w:line="480" w:lineRule="auto"/>
              <w:rPr>
                <w:bCs/>
                <w:iCs/>
              </w:rPr>
            </w:pPr>
            <w:r w:rsidRPr="00102859">
              <w:rPr>
                <w:bCs/>
                <w:iCs/>
              </w:rPr>
              <w:t>Deep relaxation</w:t>
            </w:r>
          </w:p>
          <w:p w14:paraId="0789515B" w14:textId="77777777" w:rsidR="00B11671" w:rsidRPr="00102859" w:rsidRDefault="00B11671" w:rsidP="005C34DD">
            <w:pPr>
              <w:spacing w:line="480" w:lineRule="auto"/>
              <w:rPr>
                <w:bCs/>
                <w:iCs/>
              </w:rPr>
            </w:pPr>
            <w:r w:rsidRPr="00102859">
              <w:rPr>
                <w:bCs/>
                <w:iCs/>
              </w:rPr>
              <w:t>Positive imagery</w:t>
            </w:r>
          </w:p>
          <w:p w14:paraId="3696A5CA" w14:textId="3E9CD561" w:rsidR="00B11671" w:rsidRPr="00102859" w:rsidRDefault="00B11671" w:rsidP="005C34DD">
            <w:pPr>
              <w:spacing w:line="480" w:lineRule="auto"/>
              <w:rPr>
                <w:bCs/>
                <w:iCs/>
              </w:rPr>
            </w:pPr>
            <w:r w:rsidRPr="00102859">
              <w:rPr>
                <w:bCs/>
                <w:iCs/>
              </w:rPr>
              <w:t>Sound enrichment</w:t>
            </w:r>
          </w:p>
        </w:tc>
        <w:tc>
          <w:tcPr>
            <w:tcW w:w="3827" w:type="dxa"/>
          </w:tcPr>
          <w:p w14:paraId="1F6343BE" w14:textId="2E732910" w:rsidR="00B11671" w:rsidRPr="00102859" w:rsidRDefault="00B11671" w:rsidP="005C34DD">
            <w:pPr>
              <w:spacing w:line="480" w:lineRule="auto"/>
              <w:rPr>
                <w:bCs/>
                <w:iCs/>
              </w:rPr>
            </w:pPr>
            <w:r w:rsidRPr="00102859">
              <w:rPr>
                <w:bCs/>
                <w:iCs/>
              </w:rPr>
              <w:t>Deep relaxation</w:t>
            </w:r>
          </w:p>
          <w:p w14:paraId="4C6313AB" w14:textId="0F9185FB" w:rsidR="00B11671" w:rsidRPr="00102859" w:rsidRDefault="00B11671" w:rsidP="005C34DD">
            <w:pPr>
              <w:spacing w:line="480" w:lineRule="auto"/>
              <w:rPr>
                <w:bCs/>
                <w:iCs/>
              </w:rPr>
            </w:pPr>
            <w:r w:rsidRPr="00102859">
              <w:rPr>
                <w:bCs/>
                <w:iCs/>
              </w:rPr>
              <w:t>Positive imagery</w:t>
            </w:r>
          </w:p>
        </w:tc>
      </w:tr>
      <w:tr w:rsidR="00102859" w:rsidRPr="00102859" w14:paraId="571F9B36" w14:textId="340297CF" w:rsidTr="004D1C39">
        <w:tc>
          <w:tcPr>
            <w:tcW w:w="1696" w:type="dxa"/>
          </w:tcPr>
          <w:p w14:paraId="7AC46598" w14:textId="73430171" w:rsidR="00B11671" w:rsidRPr="00102859" w:rsidRDefault="00B11671" w:rsidP="005C34DD">
            <w:pPr>
              <w:spacing w:line="480" w:lineRule="auto"/>
              <w:rPr>
                <w:bCs/>
                <w:iCs/>
              </w:rPr>
            </w:pPr>
            <w:r w:rsidRPr="00102859">
              <w:rPr>
                <w:bCs/>
                <w:iCs/>
              </w:rPr>
              <w:t>3</w:t>
            </w:r>
          </w:p>
        </w:tc>
        <w:tc>
          <w:tcPr>
            <w:tcW w:w="3261" w:type="dxa"/>
          </w:tcPr>
          <w:p w14:paraId="05AAD351" w14:textId="77777777" w:rsidR="00B11671" w:rsidRPr="00102859" w:rsidRDefault="00B11671" w:rsidP="005C34DD">
            <w:pPr>
              <w:spacing w:line="480" w:lineRule="auto"/>
              <w:rPr>
                <w:bCs/>
                <w:iCs/>
              </w:rPr>
            </w:pPr>
            <w:r w:rsidRPr="00102859">
              <w:rPr>
                <w:bCs/>
                <w:iCs/>
              </w:rPr>
              <w:t>Deep breathing</w:t>
            </w:r>
          </w:p>
          <w:p w14:paraId="279406CF" w14:textId="7EA4F1CB" w:rsidR="00B11671" w:rsidRPr="00102859" w:rsidRDefault="00B11671" w:rsidP="005C34DD">
            <w:pPr>
              <w:spacing w:line="480" w:lineRule="auto"/>
              <w:rPr>
                <w:bCs/>
                <w:iCs/>
              </w:rPr>
            </w:pPr>
            <w:r w:rsidRPr="00102859">
              <w:rPr>
                <w:bCs/>
                <w:iCs/>
              </w:rPr>
              <w:t>Views on tinnitus</w:t>
            </w:r>
          </w:p>
          <w:p w14:paraId="5B7A7E0A" w14:textId="4883557A" w:rsidR="00B11671" w:rsidRPr="00102859" w:rsidRDefault="00B11671" w:rsidP="005C34DD">
            <w:pPr>
              <w:spacing w:line="480" w:lineRule="auto"/>
              <w:rPr>
                <w:bCs/>
                <w:iCs/>
              </w:rPr>
            </w:pPr>
            <w:r w:rsidRPr="00102859">
              <w:rPr>
                <w:bCs/>
                <w:iCs/>
              </w:rPr>
              <w:t>Sleep guidelines</w:t>
            </w:r>
          </w:p>
        </w:tc>
        <w:tc>
          <w:tcPr>
            <w:tcW w:w="3827" w:type="dxa"/>
          </w:tcPr>
          <w:p w14:paraId="1FF57AF0" w14:textId="637F11C1" w:rsidR="00B11671" w:rsidRPr="00102859" w:rsidRDefault="00B11671" w:rsidP="005C34DD">
            <w:pPr>
              <w:spacing w:line="480" w:lineRule="auto"/>
              <w:rPr>
                <w:bCs/>
                <w:iCs/>
              </w:rPr>
            </w:pPr>
            <w:r w:rsidRPr="00102859">
              <w:rPr>
                <w:bCs/>
                <w:iCs/>
              </w:rPr>
              <w:t>Deep breathing</w:t>
            </w:r>
          </w:p>
          <w:p w14:paraId="05422F5C" w14:textId="573E0D74" w:rsidR="00B11671" w:rsidRPr="00102859" w:rsidRDefault="00B11671" w:rsidP="005C34DD">
            <w:pPr>
              <w:spacing w:line="480" w:lineRule="auto"/>
              <w:rPr>
                <w:bCs/>
                <w:iCs/>
              </w:rPr>
            </w:pPr>
          </w:p>
        </w:tc>
      </w:tr>
      <w:tr w:rsidR="00102859" w:rsidRPr="00102859" w14:paraId="5C9D5C43" w14:textId="7B6418B4" w:rsidTr="004D1C39">
        <w:tc>
          <w:tcPr>
            <w:tcW w:w="1696" w:type="dxa"/>
          </w:tcPr>
          <w:p w14:paraId="729248B2" w14:textId="6C9B516C" w:rsidR="00B11671" w:rsidRPr="00102859" w:rsidRDefault="00B11671" w:rsidP="005C34DD">
            <w:pPr>
              <w:spacing w:line="480" w:lineRule="auto"/>
              <w:rPr>
                <w:bCs/>
                <w:iCs/>
              </w:rPr>
            </w:pPr>
            <w:r w:rsidRPr="00102859">
              <w:rPr>
                <w:bCs/>
                <w:iCs/>
              </w:rPr>
              <w:t>4</w:t>
            </w:r>
          </w:p>
        </w:tc>
        <w:tc>
          <w:tcPr>
            <w:tcW w:w="3261" w:type="dxa"/>
          </w:tcPr>
          <w:p w14:paraId="70EE0C85" w14:textId="77777777" w:rsidR="00B11671" w:rsidRPr="00102859" w:rsidRDefault="00B11671" w:rsidP="005C34DD">
            <w:pPr>
              <w:spacing w:line="480" w:lineRule="auto"/>
              <w:rPr>
                <w:bCs/>
                <w:iCs/>
              </w:rPr>
            </w:pPr>
            <w:r w:rsidRPr="00102859">
              <w:rPr>
                <w:bCs/>
                <w:iCs/>
              </w:rPr>
              <w:t>Entire body relaxation</w:t>
            </w:r>
          </w:p>
          <w:p w14:paraId="6397F5B6" w14:textId="77777777" w:rsidR="00B11671" w:rsidRPr="00102859" w:rsidRDefault="00B11671" w:rsidP="005C34DD">
            <w:pPr>
              <w:spacing w:line="480" w:lineRule="auto"/>
              <w:rPr>
                <w:bCs/>
                <w:iCs/>
              </w:rPr>
            </w:pPr>
            <w:r w:rsidRPr="00102859">
              <w:rPr>
                <w:bCs/>
                <w:iCs/>
              </w:rPr>
              <w:t>Shifting focus</w:t>
            </w:r>
          </w:p>
          <w:p w14:paraId="70FBCBF2" w14:textId="3E0E0625" w:rsidR="00B11671" w:rsidRPr="00102859" w:rsidRDefault="00B11671" w:rsidP="005C34DD">
            <w:pPr>
              <w:spacing w:line="480" w:lineRule="auto"/>
              <w:rPr>
                <w:bCs/>
                <w:iCs/>
              </w:rPr>
            </w:pPr>
            <w:r w:rsidRPr="00102859">
              <w:rPr>
                <w:bCs/>
                <w:iCs/>
              </w:rPr>
              <w:t>Improving focus</w:t>
            </w:r>
          </w:p>
        </w:tc>
        <w:tc>
          <w:tcPr>
            <w:tcW w:w="3827" w:type="dxa"/>
          </w:tcPr>
          <w:p w14:paraId="06CC09B7" w14:textId="736EAF7D" w:rsidR="00B11671" w:rsidRPr="00102859" w:rsidRDefault="00B11671" w:rsidP="005C34DD">
            <w:pPr>
              <w:spacing w:line="480" w:lineRule="auto"/>
              <w:rPr>
                <w:bCs/>
                <w:iCs/>
              </w:rPr>
            </w:pPr>
            <w:r w:rsidRPr="00102859">
              <w:rPr>
                <w:bCs/>
                <w:iCs/>
              </w:rPr>
              <w:t>Entire body relaxation</w:t>
            </w:r>
          </w:p>
        </w:tc>
      </w:tr>
      <w:tr w:rsidR="00102859" w:rsidRPr="00102859" w14:paraId="20B0B6EB" w14:textId="114EB01E" w:rsidTr="004D1C39">
        <w:tc>
          <w:tcPr>
            <w:tcW w:w="1696" w:type="dxa"/>
          </w:tcPr>
          <w:p w14:paraId="1BE96BAE" w14:textId="1D8F825D" w:rsidR="00B11671" w:rsidRPr="00102859" w:rsidRDefault="00B11671" w:rsidP="005C34DD">
            <w:pPr>
              <w:spacing w:line="480" w:lineRule="auto"/>
              <w:rPr>
                <w:bCs/>
                <w:iCs/>
              </w:rPr>
            </w:pPr>
            <w:r w:rsidRPr="00102859">
              <w:rPr>
                <w:bCs/>
                <w:iCs/>
              </w:rPr>
              <w:t>5</w:t>
            </w:r>
          </w:p>
        </w:tc>
        <w:tc>
          <w:tcPr>
            <w:tcW w:w="3261" w:type="dxa"/>
          </w:tcPr>
          <w:p w14:paraId="0B5FA14E" w14:textId="77777777" w:rsidR="00B11671" w:rsidRPr="00102859" w:rsidRDefault="00B11671" w:rsidP="005C34DD">
            <w:pPr>
              <w:spacing w:line="480" w:lineRule="auto"/>
              <w:rPr>
                <w:bCs/>
                <w:iCs/>
              </w:rPr>
            </w:pPr>
            <w:r w:rsidRPr="00102859">
              <w:rPr>
                <w:bCs/>
                <w:iCs/>
              </w:rPr>
              <w:t>Frequent relaxation</w:t>
            </w:r>
          </w:p>
          <w:p w14:paraId="37ED5192" w14:textId="521EF0AA" w:rsidR="00B11671" w:rsidRPr="00102859" w:rsidRDefault="00B11671" w:rsidP="005C34DD">
            <w:pPr>
              <w:spacing w:line="480" w:lineRule="auto"/>
              <w:rPr>
                <w:bCs/>
                <w:iCs/>
              </w:rPr>
            </w:pPr>
            <w:r w:rsidRPr="00102859">
              <w:rPr>
                <w:bCs/>
                <w:iCs/>
              </w:rPr>
              <w:t>Though</w:t>
            </w:r>
            <w:r w:rsidR="00444473" w:rsidRPr="00102859">
              <w:rPr>
                <w:bCs/>
                <w:iCs/>
              </w:rPr>
              <w:t>t</w:t>
            </w:r>
            <w:r w:rsidRPr="00102859">
              <w:rPr>
                <w:bCs/>
                <w:iCs/>
              </w:rPr>
              <w:t xml:space="preserve"> Patterns</w:t>
            </w:r>
          </w:p>
          <w:p w14:paraId="64D4B6EB" w14:textId="2E6C63E6" w:rsidR="00B11671" w:rsidRPr="00102859" w:rsidRDefault="00B11671" w:rsidP="005C34DD">
            <w:pPr>
              <w:spacing w:line="480" w:lineRule="auto"/>
              <w:rPr>
                <w:bCs/>
                <w:iCs/>
              </w:rPr>
            </w:pPr>
            <w:r w:rsidRPr="00102859">
              <w:rPr>
                <w:bCs/>
                <w:iCs/>
              </w:rPr>
              <w:t>Increasing sound tolerance</w:t>
            </w:r>
          </w:p>
        </w:tc>
        <w:tc>
          <w:tcPr>
            <w:tcW w:w="3827" w:type="dxa"/>
          </w:tcPr>
          <w:p w14:paraId="4F7A44DD" w14:textId="7909AB08" w:rsidR="00B11671" w:rsidRPr="00102859" w:rsidRDefault="00B11671" w:rsidP="005C34DD">
            <w:pPr>
              <w:spacing w:line="480" w:lineRule="auto"/>
              <w:rPr>
                <w:bCs/>
                <w:iCs/>
              </w:rPr>
            </w:pPr>
            <w:r w:rsidRPr="00102859">
              <w:rPr>
                <w:bCs/>
                <w:iCs/>
              </w:rPr>
              <w:t>Frequent relaxation</w:t>
            </w:r>
          </w:p>
        </w:tc>
      </w:tr>
      <w:tr w:rsidR="00102859" w:rsidRPr="00102859" w14:paraId="344AD9F6" w14:textId="69278C1A" w:rsidTr="004D1C39">
        <w:tc>
          <w:tcPr>
            <w:tcW w:w="1696" w:type="dxa"/>
          </w:tcPr>
          <w:p w14:paraId="366606AD" w14:textId="2588F371" w:rsidR="00B11671" w:rsidRPr="00102859" w:rsidRDefault="00B11671" w:rsidP="005C34DD">
            <w:pPr>
              <w:spacing w:line="480" w:lineRule="auto"/>
              <w:rPr>
                <w:bCs/>
                <w:iCs/>
              </w:rPr>
            </w:pPr>
            <w:r w:rsidRPr="00102859">
              <w:rPr>
                <w:bCs/>
                <w:iCs/>
              </w:rPr>
              <w:t>6</w:t>
            </w:r>
          </w:p>
        </w:tc>
        <w:tc>
          <w:tcPr>
            <w:tcW w:w="3261" w:type="dxa"/>
          </w:tcPr>
          <w:p w14:paraId="647B591F" w14:textId="77777777" w:rsidR="00B11671" w:rsidRPr="00102859" w:rsidRDefault="00B11671" w:rsidP="005C34DD">
            <w:pPr>
              <w:spacing w:line="480" w:lineRule="auto"/>
              <w:rPr>
                <w:bCs/>
                <w:iCs/>
              </w:rPr>
            </w:pPr>
            <w:r w:rsidRPr="00102859">
              <w:rPr>
                <w:bCs/>
                <w:iCs/>
              </w:rPr>
              <w:t>Relaxing when stressed or upset</w:t>
            </w:r>
          </w:p>
          <w:p w14:paraId="56637DC9" w14:textId="77777777" w:rsidR="00B11671" w:rsidRPr="00102859" w:rsidRDefault="00B11671" w:rsidP="005C34DD">
            <w:pPr>
              <w:spacing w:line="480" w:lineRule="auto"/>
              <w:rPr>
                <w:bCs/>
                <w:iCs/>
              </w:rPr>
            </w:pPr>
            <w:r w:rsidRPr="00102859">
              <w:rPr>
                <w:bCs/>
                <w:iCs/>
              </w:rPr>
              <w:t>Challenging thoughts</w:t>
            </w:r>
          </w:p>
          <w:p w14:paraId="031AE242" w14:textId="2B11AA71" w:rsidR="00B11671" w:rsidRPr="00102859" w:rsidRDefault="00B11671" w:rsidP="005C34DD">
            <w:pPr>
              <w:spacing w:line="480" w:lineRule="auto"/>
              <w:rPr>
                <w:bCs/>
                <w:iCs/>
              </w:rPr>
            </w:pPr>
            <w:r w:rsidRPr="00102859">
              <w:rPr>
                <w:bCs/>
                <w:iCs/>
              </w:rPr>
              <w:lastRenderedPageBreak/>
              <w:t>Listening tips</w:t>
            </w:r>
          </w:p>
        </w:tc>
        <w:tc>
          <w:tcPr>
            <w:tcW w:w="3827" w:type="dxa"/>
          </w:tcPr>
          <w:p w14:paraId="3966B56D" w14:textId="17DB09B3" w:rsidR="00B11671" w:rsidRPr="00102859" w:rsidRDefault="00B11671" w:rsidP="005C34DD">
            <w:pPr>
              <w:spacing w:line="480" w:lineRule="auto"/>
              <w:rPr>
                <w:bCs/>
                <w:iCs/>
              </w:rPr>
            </w:pPr>
            <w:r w:rsidRPr="00102859">
              <w:rPr>
                <w:bCs/>
                <w:iCs/>
              </w:rPr>
              <w:lastRenderedPageBreak/>
              <w:t>Relaxing when stressed or upset</w:t>
            </w:r>
          </w:p>
        </w:tc>
      </w:tr>
      <w:tr w:rsidR="00102859" w:rsidRPr="00102859" w14:paraId="6E4775AF" w14:textId="12528741" w:rsidTr="004D1C39">
        <w:tc>
          <w:tcPr>
            <w:tcW w:w="1696" w:type="dxa"/>
          </w:tcPr>
          <w:p w14:paraId="36988829" w14:textId="11EFFEBC" w:rsidR="00B11671" w:rsidRPr="00102859" w:rsidRDefault="00B11671" w:rsidP="005C34DD">
            <w:pPr>
              <w:spacing w:line="480" w:lineRule="auto"/>
              <w:rPr>
                <w:bCs/>
                <w:iCs/>
              </w:rPr>
            </w:pPr>
            <w:r w:rsidRPr="00102859">
              <w:rPr>
                <w:bCs/>
                <w:iCs/>
              </w:rPr>
              <w:t>7</w:t>
            </w:r>
          </w:p>
        </w:tc>
        <w:tc>
          <w:tcPr>
            <w:tcW w:w="3261" w:type="dxa"/>
          </w:tcPr>
          <w:p w14:paraId="71115109" w14:textId="77777777" w:rsidR="00B11671" w:rsidRPr="00102859" w:rsidRDefault="00B11671" w:rsidP="005C34DD">
            <w:pPr>
              <w:spacing w:line="480" w:lineRule="auto"/>
              <w:rPr>
                <w:bCs/>
                <w:iCs/>
              </w:rPr>
            </w:pPr>
            <w:r w:rsidRPr="00102859">
              <w:rPr>
                <w:bCs/>
                <w:iCs/>
              </w:rPr>
              <w:t>Relaxation routine</w:t>
            </w:r>
          </w:p>
          <w:p w14:paraId="14AC65EA" w14:textId="5850748A" w:rsidR="00B11671" w:rsidRPr="00102859" w:rsidRDefault="00B11671" w:rsidP="005C34DD">
            <w:pPr>
              <w:spacing w:line="480" w:lineRule="auto"/>
              <w:rPr>
                <w:bCs/>
                <w:iCs/>
              </w:rPr>
            </w:pPr>
            <w:r w:rsidRPr="00102859">
              <w:rPr>
                <w:bCs/>
                <w:iCs/>
              </w:rPr>
              <w:t>Listening to tinnitus</w:t>
            </w:r>
          </w:p>
        </w:tc>
        <w:tc>
          <w:tcPr>
            <w:tcW w:w="3827" w:type="dxa"/>
          </w:tcPr>
          <w:p w14:paraId="34CE6D64" w14:textId="1FD5B924" w:rsidR="00B11671" w:rsidRPr="00102859" w:rsidRDefault="00B11671" w:rsidP="005C34DD">
            <w:pPr>
              <w:spacing w:line="480" w:lineRule="auto"/>
              <w:rPr>
                <w:bCs/>
                <w:iCs/>
              </w:rPr>
            </w:pPr>
            <w:r w:rsidRPr="00102859">
              <w:rPr>
                <w:bCs/>
                <w:iCs/>
              </w:rPr>
              <w:t>Being mindful</w:t>
            </w:r>
          </w:p>
        </w:tc>
      </w:tr>
      <w:tr w:rsidR="00102859" w:rsidRPr="00102859" w14:paraId="388327B8" w14:textId="068E22DF" w:rsidTr="004D1C39">
        <w:tc>
          <w:tcPr>
            <w:tcW w:w="1696" w:type="dxa"/>
          </w:tcPr>
          <w:p w14:paraId="3C555C57" w14:textId="62B19EC4" w:rsidR="00B11671" w:rsidRPr="00102859" w:rsidRDefault="00B11671" w:rsidP="005C34DD">
            <w:pPr>
              <w:spacing w:line="480" w:lineRule="auto"/>
              <w:rPr>
                <w:bCs/>
                <w:iCs/>
              </w:rPr>
            </w:pPr>
            <w:r w:rsidRPr="00102859">
              <w:rPr>
                <w:bCs/>
                <w:iCs/>
              </w:rPr>
              <w:t>8</w:t>
            </w:r>
          </w:p>
        </w:tc>
        <w:tc>
          <w:tcPr>
            <w:tcW w:w="3261" w:type="dxa"/>
          </w:tcPr>
          <w:p w14:paraId="23FEDC47" w14:textId="77777777" w:rsidR="00B11671" w:rsidRPr="00102859" w:rsidRDefault="00B11671" w:rsidP="005C34DD">
            <w:pPr>
              <w:spacing w:line="480" w:lineRule="auto"/>
              <w:rPr>
                <w:bCs/>
                <w:iCs/>
              </w:rPr>
            </w:pPr>
            <w:r w:rsidRPr="00102859">
              <w:rPr>
                <w:bCs/>
                <w:iCs/>
              </w:rPr>
              <w:t>Summary</w:t>
            </w:r>
          </w:p>
          <w:p w14:paraId="31C44182" w14:textId="4B5A5811" w:rsidR="00B11671" w:rsidRPr="00102859" w:rsidRDefault="00B11671" w:rsidP="005C34DD">
            <w:pPr>
              <w:spacing w:line="480" w:lineRule="auto"/>
              <w:rPr>
                <w:bCs/>
                <w:iCs/>
              </w:rPr>
            </w:pPr>
            <w:r w:rsidRPr="00102859">
              <w:rPr>
                <w:bCs/>
                <w:iCs/>
              </w:rPr>
              <w:t>Future planning</w:t>
            </w:r>
          </w:p>
        </w:tc>
        <w:tc>
          <w:tcPr>
            <w:tcW w:w="3827" w:type="dxa"/>
          </w:tcPr>
          <w:p w14:paraId="5111F224" w14:textId="4AF0030B" w:rsidR="00B11671" w:rsidRPr="00102859" w:rsidRDefault="00B11671" w:rsidP="005C34DD">
            <w:pPr>
              <w:spacing w:line="480" w:lineRule="auto"/>
              <w:rPr>
                <w:bCs/>
                <w:iCs/>
              </w:rPr>
            </w:pPr>
            <w:r w:rsidRPr="00102859">
              <w:rPr>
                <w:bCs/>
                <w:iCs/>
              </w:rPr>
              <w:t>Relaxation routine</w:t>
            </w:r>
          </w:p>
        </w:tc>
      </w:tr>
      <w:tr w:rsidR="00102859" w:rsidRPr="00102859" w14:paraId="05E97A29" w14:textId="77777777" w:rsidTr="002A03A9">
        <w:tc>
          <w:tcPr>
            <w:tcW w:w="8784" w:type="dxa"/>
            <w:gridSpan w:val="3"/>
          </w:tcPr>
          <w:p w14:paraId="0066E19A" w14:textId="546EB9C1" w:rsidR="00501002" w:rsidRPr="00102859" w:rsidRDefault="00501002" w:rsidP="005C34DD">
            <w:pPr>
              <w:spacing w:line="480" w:lineRule="auto"/>
              <w:rPr>
                <w:b/>
                <w:iCs/>
              </w:rPr>
            </w:pPr>
            <w:r w:rsidRPr="00102859">
              <w:rPr>
                <w:b/>
                <w:iCs/>
              </w:rPr>
              <w:t>Phase II</w:t>
            </w:r>
          </w:p>
        </w:tc>
      </w:tr>
      <w:tr w:rsidR="00102859" w:rsidRPr="00102859" w14:paraId="4C1EA8F4" w14:textId="42EEFEE4" w:rsidTr="004D1C39">
        <w:tc>
          <w:tcPr>
            <w:tcW w:w="1696" w:type="dxa"/>
          </w:tcPr>
          <w:p w14:paraId="39B1CDA6" w14:textId="5324AAB1" w:rsidR="00B11671" w:rsidRPr="00102859" w:rsidRDefault="00B11671" w:rsidP="005C34DD">
            <w:pPr>
              <w:spacing w:line="480" w:lineRule="auto"/>
              <w:rPr>
                <w:bCs/>
                <w:iCs/>
              </w:rPr>
            </w:pPr>
            <w:r w:rsidRPr="00102859">
              <w:rPr>
                <w:bCs/>
                <w:iCs/>
              </w:rPr>
              <w:t>9</w:t>
            </w:r>
          </w:p>
        </w:tc>
        <w:tc>
          <w:tcPr>
            <w:tcW w:w="3261" w:type="dxa"/>
          </w:tcPr>
          <w:p w14:paraId="752B3C22" w14:textId="514C02CC" w:rsidR="00B11671" w:rsidRPr="00102859" w:rsidRDefault="00B11671" w:rsidP="005C34DD">
            <w:pPr>
              <w:spacing w:line="480" w:lineRule="auto"/>
              <w:rPr>
                <w:bCs/>
                <w:iCs/>
              </w:rPr>
            </w:pPr>
            <w:r w:rsidRPr="00102859">
              <w:rPr>
                <w:bCs/>
                <w:iCs/>
              </w:rPr>
              <w:t>N/A</w:t>
            </w:r>
          </w:p>
        </w:tc>
        <w:tc>
          <w:tcPr>
            <w:tcW w:w="3827" w:type="dxa"/>
          </w:tcPr>
          <w:p w14:paraId="3D7CA5A2" w14:textId="0829DA0F" w:rsidR="00B11671" w:rsidRPr="00102859" w:rsidRDefault="00B11671" w:rsidP="005C34DD">
            <w:pPr>
              <w:spacing w:line="480" w:lineRule="auto"/>
              <w:rPr>
                <w:bCs/>
                <w:iCs/>
              </w:rPr>
            </w:pPr>
            <w:r w:rsidRPr="00102859">
              <w:rPr>
                <w:bCs/>
                <w:iCs/>
              </w:rPr>
              <w:t>Views on tinnitus</w:t>
            </w:r>
          </w:p>
          <w:p w14:paraId="66F45F7D" w14:textId="77777777" w:rsidR="00B11671" w:rsidRPr="00102859" w:rsidRDefault="00B11671" w:rsidP="005C34DD">
            <w:pPr>
              <w:spacing w:line="480" w:lineRule="auto"/>
              <w:rPr>
                <w:bCs/>
                <w:iCs/>
              </w:rPr>
            </w:pPr>
            <w:r w:rsidRPr="00102859">
              <w:rPr>
                <w:bCs/>
                <w:iCs/>
              </w:rPr>
              <w:t>Thought patterns</w:t>
            </w:r>
          </w:p>
          <w:p w14:paraId="16AED499" w14:textId="60E8DDCD" w:rsidR="00B11671" w:rsidRPr="00102859" w:rsidRDefault="0052005B" w:rsidP="005C34DD">
            <w:pPr>
              <w:spacing w:line="480" w:lineRule="auto"/>
              <w:rPr>
                <w:bCs/>
                <w:iCs/>
              </w:rPr>
            </w:pPr>
            <w:r w:rsidRPr="00102859">
              <w:rPr>
                <w:bCs/>
                <w:iCs/>
              </w:rPr>
              <w:t>Sound enrichment</w:t>
            </w:r>
          </w:p>
        </w:tc>
      </w:tr>
      <w:tr w:rsidR="00102859" w:rsidRPr="00102859" w14:paraId="3B1278A3" w14:textId="71A01046" w:rsidTr="004D1C39">
        <w:tc>
          <w:tcPr>
            <w:tcW w:w="1696" w:type="dxa"/>
          </w:tcPr>
          <w:p w14:paraId="03CDD823" w14:textId="02FC4D73" w:rsidR="00B11671" w:rsidRPr="00102859" w:rsidRDefault="00B11671" w:rsidP="005C34DD">
            <w:pPr>
              <w:spacing w:line="480" w:lineRule="auto"/>
              <w:rPr>
                <w:bCs/>
                <w:iCs/>
              </w:rPr>
            </w:pPr>
            <w:r w:rsidRPr="00102859">
              <w:rPr>
                <w:bCs/>
                <w:iCs/>
              </w:rPr>
              <w:t>10</w:t>
            </w:r>
          </w:p>
        </w:tc>
        <w:tc>
          <w:tcPr>
            <w:tcW w:w="3261" w:type="dxa"/>
          </w:tcPr>
          <w:p w14:paraId="0AE95F08" w14:textId="545CBB30" w:rsidR="00B11671" w:rsidRPr="00102859" w:rsidRDefault="00B11671" w:rsidP="005C34DD">
            <w:pPr>
              <w:spacing w:line="480" w:lineRule="auto"/>
              <w:rPr>
                <w:bCs/>
                <w:iCs/>
              </w:rPr>
            </w:pPr>
            <w:r w:rsidRPr="00102859">
              <w:rPr>
                <w:bCs/>
                <w:iCs/>
              </w:rPr>
              <w:t>N/A</w:t>
            </w:r>
          </w:p>
        </w:tc>
        <w:tc>
          <w:tcPr>
            <w:tcW w:w="3827" w:type="dxa"/>
          </w:tcPr>
          <w:p w14:paraId="43989E75" w14:textId="5BE5B7A3" w:rsidR="0052005B" w:rsidRPr="00102859" w:rsidRDefault="0052005B" w:rsidP="005C34DD">
            <w:pPr>
              <w:spacing w:line="480" w:lineRule="auto"/>
              <w:rPr>
                <w:bCs/>
                <w:iCs/>
              </w:rPr>
            </w:pPr>
            <w:r w:rsidRPr="00102859">
              <w:rPr>
                <w:bCs/>
                <w:iCs/>
              </w:rPr>
              <w:t>Sleep guidelines</w:t>
            </w:r>
          </w:p>
          <w:p w14:paraId="1230B65E" w14:textId="77777777" w:rsidR="00B11671" w:rsidRPr="00102859" w:rsidRDefault="00B11671" w:rsidP="005C34DD">
            <w:pPr>
              <w:spacing w:line="480" w:lineRule="auto"/>
              <w:rPr>
                <w:bCs/>
                <w:iCs/>
              </w:rPr>
            </w:pPr>
            <w:r w:rsidRPr="00102859">
              <w:rPr>
                <w:bCs/>
                <w:iCs/>
              </w:rPr>
              <w:t>Challenging thoughts</w:t>
            </w:r>
          </w:p>
          <w:p w14:paraId="35EF5EBE" w14:textId="222B8566" w:rsidR="00B11671" w:rsidRPr="00102859" w:rsidRDefault="00B11671" w:rsidP="005C34DD">
            <w:pPr>
              <w:spacing w:line="480" w:lineRule="auto"/>
              <w:rPr>
                <w:bCs/>
                <w:iCs/>
              </w:rPr>
            </w:pPr>
            <w:r w:rsidRPr="00102859">
              <w:rPr>
                <w:bCs/>
                <w:iCs/>
              </w:rPr>
              <w:t>Improving focus</w:t>
            </w:r>
          </w:p>
        </w:tc>
      </w:tr>
      <w:tr w:rsidR="00102859" w:rsidRPr="00102859" w14:paraId="581423A3" w14:textId="7A0F54F6" w:rsidTr="004D1C39">
        <w:tc>
          <w:tcPr>
            <w:tcW w:w="1696" w:type="dxa"/>
          </w:tcPr>
          <w:p w14:paraId="77476003" w14:textId="74708DA8" w:rsidR="00B11671" w:rsidRPr="00102859" w:rsidRDefault="00B11671" w:rsidP="005C34DD">
            <w:pPr>
              <w:spacing w:line="480" w:lineRule="auto"/>
              <w:rPr>
                <w:bCs/>
                <w:iCs/>
              </w:rPr>
            </w:pPr>
            <w:r w:rsidRPr="00102859">
              <w:rPr>
                <w:bCs/>
                <w:iCs/>
              </w:rPr>
              <w:t>11</w:t>
            </w:r>
          </w:p>
        </w:tc>
        <w:tc>
          <w:tcPr>
            <w:tcW w:w="3261" w:type="dxa"/>
          </w:tcPr>
          <w:p w14:paraId="083B5CE3" w14:textId="0485FC01" w:rsidR="00B11671" w:rsidRPr="00102859" w:rsidRDefault="00B11671" w:rsidP="005C34DD">
            <w:pPr>
              <w:spacing w:line="480" w:lineRule="auto"/>
              <w:rPr>
                <w:bCs/>
                <w:iCs/>
              </w:rPr>
            </w:pPr>
            <w:r w:rsidRPr="00102859">
              <w:rPr>
                <w:bCs/>
                <w:iCs/>
              </w:rPr>
              <w:t>N/A</w:t>
            </w:r>
          </w:p>
        </w:tc>
        <w:tc>
          <w:tcPr>
            <w:tcW w:w="3827" w:type="dxa"/>
          </w:tcPr>
          <w:p w14:paraId="5AB3833E" w14:textId="028577A7" w:rsidR="0052005B" w:rsidRPr="00102859" w:rsidRDefault="0052005B" w:rsidP="005C34DD">
            <w:pPr>
              <w:spacing w:line="480" w:lineRule="auto"/>
              <w:rPr>
                <w:bCs/>
                <w:iCs/>
              </w:rPr>
            </w:pPr>
            <w:r w:rsidRPr="00102859">
              <w:rPr>
                <w:bCs/>
                <w:iCs/>
              </w:rPr>
              <w:t>Shifting focus</w:t>
            </w:r>
          </w:p>
          <w:p w14:paraId="1FDEE347" w14:textId="441452A6" w:rsidR="00B11671" w:rsidRPr="00102859" w:rsidRDefault="00B11671" w:rsidP="005C34DD">
            <w:pPr>
              <w:spacing w:line="480" w:lineRule="auto"/>
              <w:rPr>
                <w:bCs/>
                <w:iCs/>
              </w:rPr>
            </w:pPr>
            <w:r w:rsidRPr="00102859">
              <w:rPr>
                <w:bCs/>
                <w:iCs/>
              </w:rPr>
              <w:t>Listening to tinnitus</w:t>
            </w:r>
          </w:p>
          <w:p w14:paraId="68672570" w14:textId="44C1DEC1" w:rsidR="00B11671" w:rsidRPr="00102859" w:rsidRDefault="00B11671" w:rsidP="005C34DD">
            <w:pPr>
              <w:spacing w:line="480" w:lineRule="auto"/>
              <w:rPr>
                <w:bCs/>
                <w:iCs/>
              </w:rPr>
            </w:pPr>
            <w:r w:rsidRPr="00102859">
              <w:rPr>
                <w:bCs/>
                <w:iCs/>
              </w:rPr>
              <w:t>Increasing sound tolerance</w:t>
            </w:r>
          </w:p>
        </w:tc>
      </w:tr>
      <w:tr w:rsidR="00B11671" w:rsidRPr="00102859" w14:paraId="0ED37EBC" w14:textId="2C63C478" w:rsidTr="004D1C39">
        <w:tc>
          <w:tcPr>
            <w:tcW w:w="1696" w:type="dxa"/>
          </w:tcPr>
          <w:p w14:paraId="0A087140" w14:textId="5B16D229" w:rsidR="00B11671" w:rsidRPr="00102859" w:rsidRDefault="00B11671" w:rsidP="005C34DD">
            <w:pPr>
              <w:spacing w:line="480" w:lineRule="auto"/>
              <w:rPr>
                <w:bCs/>
                <w:iCs/>
              </w:rPr>
            </w:pPr>
            <w:r w:rsidRPr="00102859">
              <w:rPr>
                <w:bCs/>
                <w:iCs/>
              </w:rPr>
              <w:t>12</w:t>
            </w:r>
          </w:p>
        </w:tc>
        <w:tc>
          <w:tcPr>
            <w:tcW w:w="3261" w:type="dxa"/>
          </w:tcPr>
          <w:p w14:paraId="00ED5E06" w14:textId="2321647E" w:rsidR="00B11671" w:rsidRPr="00102859" w:rsidRDefault="00B11671" w:rsidP="005C34DD">
            <w:pPr>
              <w:spacing w:line="480" w:lineRule="auto"/>
              <w:rPr>
                <w:bCs/>
                <w:iCs/>
              </w:rPr>
            </w:pPr>
            <w:r w:rsidRPr="00102859">
              <w:rPr>
                <w:bCs/>
                <w:iCs/>
              </w:rPr>
              <w:t>N/A</w:t>
            </w:r>
          </w:p>
        </w:tc>
        <w:tc>
          <w:tcPr>
            <w:tcW w:w="3827" w:type="dxa"/>
          </w:tcPr>
          <w:p w14:paraId="3FBBAC50" w14:textId="51AC4CF3" w:rsidR="00B11671" w:rsidRPr="00102859" w:rsidRDefault="00B11671" w:rsidP="005C34DD">
            <w:pPr>
              <w:spacing w:line="480" w:lineRule="auto"/>
              <w:rPr>
                <w:bCs/>
                <w:iCs/>
              </w:rPr>
            </w:pPr>
            <w:r w:rsidRPr="00102859">
              <w:rPr>
                <w:bCs/>
                <w:iCs/>
              </w:rPr>
              <w:t>Listening tips</w:t>
            </w:r>
          </w:p>
          <w:p w14:paraId="59365F06" w14:textId="2BE9B46E" w:rsidR="00B11671" w:rsidRPr="00102859" w:rsidRDefault="00B11671" w:rsidP="005C34DD">
            <w:pPr>
              <w:spacing w:line="480" w:lineRule="auto"/>
              <w:rPr>
                <w:bCs/>
                <w:iCs/>
              </w:rPr>
            </w:pPr>
            <w:r w:rsidRPr="00102859">
              <w:rPr>
                <w:bCs/>
                <w:iCs/>
              </w:rPr>
              <w:t>Summary</w:t>
            </w:r>
          </w:p>
          <w:p w14:paraId="2D3CC161" w14:textId="15E84605" w:rsidR="00B11671" w:rsidRPr="00102859" w:rsidRDefault="00B11671" w:rsidP="005C34DD">
            <w:pPr>
              <w:spacing w:line="480" w:lineRule="auto"/>
              <w:rPr>
                <w:bCs/>
                <w:iCs/>
              </w:rPr>
            </w:pPr>
            <w:r w:rsidRPr="00102859">
              <w:rPr>
                <w:bCs/>
                <w:iCs/>
              </w:rPr>
              <w:t>Future planning</w:t>
            </w:r>
          </w:p>
        </w:tc>
      </w:tr>
    </w:tbl>
    <w:p w14:paraId="20215E65" w14:textId="77777777" w:rsidR="005B2849" w:rsidRPr="00102859" w:rsidRDefault="005B2849" w:rsidP="005C34DD">
      <w:pPr>
        <w:autoSpaceDE w:val="0"/>
        <w:autoSpaceDN w:val="0"/>
        <w:adjustRightInd w:val="0"/>
        <w:spacing w:line="480" w:lineRule="auto"/>
        <w:rPr>
          <w:bCs/>
        </w:rPr>
      </w:pPr>
    </w:p>
    <w:p w14:paraId="3B2F0862" w14:textId="57DBA770" w:rsidR="005B2849" w:rsidRPr="00102859" w:rsidRDefault="00A474B4" w:rsidP="005C34DD">
      <w:pPr>
        <w:autoSpaceDE w:val="0"/>
        <w:autoSpaceDN w:val="0"/>
        <w:adjustRightInd w:val="0"/>
        <w:spacing w:line="480" w:lineRule="auto"/>
        <w:rPr>
          <w:b/>
        </w:rPr>
      </w:pPr>
      <w:r w:rsidRPr="00102859">
        <w:rPr>
          <w:b/>
        </w:rPr>
        <w:t xml:space="preserve">2.8 </w:t>
      </w:r>
      <w:r w:rsidR="005B2849" w:rsidRPr="00102859">
        <w:rPr>
          <w:b/>
        </w:rPr>
        <w:t>Outcome</w:t>
      </w:r>
      <w:r w:rsidR="0068523E" w:rsidRPr="00102859">
        <w:rPr>
          <w:b/>
        </w:rPr>
        <w:t xml:space="preserve"> Measures</w:t>
      </w:r>
      <w:r w:rsidR="005B2849" w:rsidRPr="00102859">
        <w:rPr>
          <w:b/>
        </w:rPr>
        <w:t xml:space="preserve"> </w:t>
      </w:r>
    </w:p>
    <w:p w14:paraId="41BB4BED" w14:textId="601CBDF6" w:rsidR="00472F00" w:rsidRPr="00102859" w:rsidRDefault="00341B18" w:rsidP="005C34DD">
      <w:pPr>
        <w:autoSpaceDE w:val="0"/>
        <w:autoSpaceDN w:val="0"/>
        <w:adjustRightInd w:val="0"/>
        <w:spacing w:line="480" w:lineRule="auto"/>
        <w:rPr>
          <w:rFonts w:eastAsiaTheme="minorHAnsi"/>
        </w:rPr>
      </w:pPr>
      <w:r w:rsidRPr="00102859">
        <w:rPr>
          <w:rFonts w:eastAsiaTheme="minorHAnsi"/>
        </w:rPr>
        <w:t>Data</w:t>
      </w:r>
      <w:r w:rsidR="00596067" w:rsidRPr="00102859">
        <w:rPr>
          <w:rFonts w:eastAsiaTheme="minorHAnsi"/>
        </w:rPr>
        <w:t xml:space="preserve"> </w:t>
      </w:r>
      <w:r w:rsidRPr="00102859">
        <w:rPr>
          <w:rFonts w:eastAsiaTheme="minorHAnsi"/>
        </w:rPr>
        <w:t>were collected online at</w:t>
      </w:r>
      <w:r w:rsidR="00F26B10" w:rsidRPr="00102859">
        <w:rPr>
          <w:rFonts w:eastAsiaTheme="minorHAnsi"/>
        </w:rPr>
        <w:t xml:space="preserve"> </w:t>
      </w:r>
      <w:r w:rsidR="0068523E" w:rsidRPr="00102859">
        <w:t>baseline</w:t>
      </w:r>
      <w:r w:rsidR="005426A6" w:rsidRPr="00102859">
        <w:t xml:space="preserve"> (T0);</w:t>
      </w:r>
      <w:r w:rsidR="00F26B10" w:rsidRPr="00102859">
        <w:t xml:space="preserve"> </w:t>
      </w:r>
      <w:r w:rsidR="00596067" w:rsidRPr="00102859">
        <w:t xml:space="preserve">after the </w:t>
      </w:r>
      <w:r w:rsidR="00E20BCD" w:rsidRPr="00102859">
        <w:t>ICBT</w:t>
      </w:r>
      <w:r w:rsidR="00596067" w:rsidRPr="00102859">
        <w:t xml:space="preserve"> group completed the full </w:t>
      </w:r>
      <w:r w:rsidR="00227078" w:rsidRPr="00102859">
        <w:t xml:space="preserve">ICBT </w:t>
      </w:r>
      <w:r w:rsidR="00596067" w:rsidRPr="00102859">
        <w:t xml:space="preserve">intervention and the </w:t>
      </w:r>
      <w:r w:rsidR="00B74F4C" w:rsidRPr="00102859">
        <w:t xml:space="preserve">applied relaxation </w:t>
      </w:r>
      <w:r w:rsidR="00596067" w:rsidRPr="00102859">
        <w:t>group completed only the relaxation part</w:t>
      </w:r>
      <w:r w:rsidR="005426A6" w:rsidRPr="00102859">
        <w:t xml:space="preserve"> (T1)</w:t>
      </w:r>
      <w:r w:rsidR="00A474B4" w:rsidRPr="00102859">
        <w:t>;</w:t>
      </w:r>
      <w:r w:rsidR="009E29A3" w:rsidRPr="00102859">
        <w:t xml:space="preserve"> </w:t>
      </w:r>
      <w:r w:rsidR="008F7F25" w:rsidRPr="00102859">
        <w:t>for the</w:t>
      </w:r>
      <w:r w:rsidR="00197716" w:rsidRPr="00102859">
        <w:t xml:space="preserve"> </w:t>
      </w:r>
      <w:r w:rsidR="00A474B4" w:rsidRPr="00102859">
        <w:t xml:space="preserve">applied relaxation </w:t>
      </w:r>
      <w:r w:rsidR="00197716" w:rsidRPr="00102859">
        <w:t xml:space="preserve">group </w:t>
      </w:r>
      <w:r w:rsidR="008F7F25" w:rsidRPr="00102859">
        <w:t xml:space="preserve">after they </w:t>
      </w:r>
      <w:r w:rsidR="00197716" w:rsidRPr="00102859">
        <w:t>completed the full ICBT intervention</w:t>
      </w:r>
      <w:r w:rsidR="00BF35E1" w:rsidRPr="00102859">
        <w:t xml:space="preserve"> and compar</w:t>
      </w:r>
      <w:r w:rsidR="008F7F25" w:rsidRPr="00102859">
        <w:t>ed</w:t>
      </w:r>
      <w:r w:rsidR="00BF35E1" w:rsidRPr="00102859">
        <w:t xml:space="preserve"> the</w:t>
      </w:r>
      <w:r w:rsidR="00F928A5" w:rsidRPr="00102859">
        <w:t xml:space="preserve"> T1 results for the ICBT group</w:t>
      </w:r>
      <w:r w:rsidR="005426A6" w:rsidRPr="00102859">
        <w:t xml:space="preserve"> (T2)</w:t>
      </w:r>
      <w:r w:rsidR="00A474B4" w:rsidRPr="00102859">
        <w:t xml:space="preserve">; </w:t>
      </w:r>
      <w:r w:rsidR="0068523E" w:rsidRPr="00102859">
        <w:t>and a</w:t>
      </w:r>
      <w:r w:rsidR="003D6594" w:rsidRPr="00102859">
        <w:t xml:space="preserve">t </w:t>
      </w:r>
      <w:r w:rsidR="00444473" w:rsidRPr="00102859">
        <w:t>2-month post-</w:t>
      </w:r>
      <w:r w:rsidR="00472F00" w:rsidRPr="00102859">
        <w:t xml:space="preserve">intervention for </w:t>
      </w:r>
      <w:r w:rsidR="00F928A5" w:rsidRPr="00102859">
        <w:t>both</w:t>
      </w:r>
      <w:r w:rsidR="00472F00" w:rsidRPr="00102859">
        <w:t xml:space="preserve"> group</w:t>
      </w:r>
      <w:r w:rsidR="00F928A5" w:rsidRPr="00102859">
        <w:t>s</w:t>
      </w:r>
      <w:r w:rsidR="005426A6" w:rsidRPr="00102859">
        <w:t xml:space="preserve"> (T3)</w:t>
      </w:r>
      <w:r w:rsidR="00227078" w:rsidRPr="00102859">
        <w:t>.</w:t>
      </w:r>
    </w:p>
    <w:p w14:paraId="0D3DE95B" w14:textId="67EF0FF3" w:rsidR="00341B18" w:rsidRPr="00102859" w:rsidRDefault="00341B18" w:rsidP="005C34DD">
      <w:pPr>
        <w:autoSpaceDE w:val="0"/>
        <w:autoSpaceDN w:val="0"/>
        <w:adjustRightInd w:val="0"/>
        <w:spacing w:line="480" w:lineRule="auto"/>
        <w:rPr>
          <w:b/>
        </w:rPr>
      </w:pPr>
    </w:p>
    <w:p w14:paraId="5943C979" w14:textId="4EF6403B" w:rsidR="005D0529" w:rsidRPr="00102859" w:rsidRDefault="005D0529" w:rsidP="005C34DD">
      <w:pPr>
        <w:autoSpaceDE w:val="0"/>
        <w:autoSpaceDN w:val="0"/>
        <w:adjustRightInd w:val="0"/>
        <w:spacing w:line="480" w:lineRule="auto"/>
        <w:rPr>
          <w:bCs/>
        </w:rPr>
      </w:pPr>
      <w:r w:rsidRPr="00102859">
        <w:rPr>
          <w:bCs/>
        </w:rPr>
        <w:t>A demographic questionna</w:t>
      </w:r>
      <w:r w:rsidR="0050156F" w:rsidRPr="00102859">
        <w:rPr>
          <w:bCs/>
        </w:rPr>
        <w:t>ire was used to establish health-related and tinnitus-specific information</w:t>
      </w:r>
      <w:r w:rsidR="00C51586" w:rsidRPr="00102859">
        <w:rPr>
          <w:bCs/>
        </w:rPr>
        <w:t xml:space="preserve"> at baseline</w:t>
      </w:r>
      <w:r w:rsidR="005F5114" w:rsidRPr="00102859">
        <w:rPr>
          <w:bCs/>
        </w:rPr>
        <w:t xml:space="preserve"> (T0)</w:t>
      </w:r>
      <w:r w:rsidR="00C51586" w:rsidRPr="00102859">
        <w:rPr>
          <w:bCs/>
        </w:rPr>
        <w:t>.</w:t>
      </w:r>
      <w:r w:rsidR="00444473" w:rsidRPr="00102859">
        <w:rPr>
          <w:bCs/>
        </w:rPr>
        <w:t xml:space="preserve"> A</w:t>
      </w:r>
      <w:r w:rsidR="005F5114" w:rsidRPr="00102859">
        <w:rPr>
          <w:bCs/>
        </w:rPr>
        <w:t xml:space="preserve"> series of primary and secondary outcome measures were </w:t>
      </w:r>
      <w:r w:rsidR="005F5114" w:rsidRPr="00102859">
        <w:rPr>
          <w:bCs/>
        </w:rPr>
        <w:lastRenderedPageBreak/>
        <w:t>administered at baseline as well as during post-intervention</w:t>
      </w:r>
      <w:r w:rsidR="00893CA9" w:rsidRPr="00102859">
        <w:rPr>
          <w:bCs/>
        </w:rPr>
        <w:t>.</w:t>
      </w:r>
      <w:r w:rsidR="006C064C" w:rsidRPr="00102859">
        <w:rPr>
          <w:bCs/>
        </w:rPr>
        <w:t xml:space="preserve"> </w:t>
      </w:r>
      <w:r w:rsidR="006C064C" w:rsidRPr="00102859">
        <w:rPr>
          <w:lang w:val="en-NZ"/>
        </w:rPr>
        <w:t>Although not all measures are validated for online use, results should be comparable as equivalent psychometric properties have been</w:t>
      </w:r>
      <w:r w:rsidR="007D2D42" w:rsidRPr="00102859">
        <w:rPr>
          <w:lang w:val="en-NZ"/>
        </w:rPr>
        <w:t xml:space="preserve"> previously</w:t>
      </w:r>
      <w:r w:rsidR="006C064C" w:rsidRPr="00102859">
        <w:rPr>
          <w:lang w:val="en-NZ"/>
        </w:rPr>
        <w:t xml:space="preserve"> reported</w:t>
      </w:r>
      <w:r w:rsidR="007D2D42" w:rsidRPr="00102859">
        <w:rPr>
          <w:lang w:val="en-NZ"/>
        </w:rPr>
        <w:t xml:space="preserve"> (</w:t>
      </w:r>
      <w:proofErr w:type="spellStart"/>
      <w:r w:rsidR="007D2D42" w:rsidRPr="00102859">
        <w:rPr>
          <w:shd w:val="clear" w:color="auto" w:fill="FFFFFF"/>
        </w:rPr>
        <w:t>Thorén</w:t>
      </w:r>
      <w:proofErr w:type="spellEnd"/>
      <w:r w:rsidR="007D2D42" w:rsidRPr="00102859">
        <w:rPr>
          <w:shd w:val="clear" w:color="auto" w:fill="FFFFFF"/>
        </w:rPr>
        <w:t xml:space="preserve">, Andersson, and </w:t>
      </w:r>
      <w:proofErr w:type="spellStart"/>
      <w:r w:rsidR="007D2D42" w:rsidRPr="00102859">
        <w:rPr>
          <w:shd w:val="clear" w:color="auto" w:fill="FFFFFF"/>
        </w:rPr>
        <w:t>Lunner</w:t>
      </w:r>
      <w:proofErr w:type="spellEnd"/>
      <w:r w:rsidR="007D2D42" w:rsidRPr="00102859">
        <w:rPr>
          <w:shd w:val="clear" w:color="auto" w:fill="FFFFFF"/>
        </w:rPr>
        <w:t>, 2012).</w:t>
      </w:r>
    </w:p>
    <w:p w14:paraId="617AD190" w14:textId="77777777" w:rsidR="0050156F" w:rsidRPr="00102859" w:rsidRDefault="0050156F" w:rsidP="005C34DD">
      <w:pPr>
        <w:autoSpaceDE w:val="0"/>
        <w:autoSpaceDN w:val="0"/>
        <w:adjustRightInd w:val="0"/>
        <w:spacing w:line="480" w:lineRule="auto"/>
        <w:rPr>
          <w:b/>
        </w:rPr>
      </w:pPr>
    </w:p>
    <w:p w14:paraId="16615A37" w14:textId="694889D2" w:rsidR="005B2849" w:rsidRPr="00102859" w:rsidRDefault="00A474B4" w:rsidP="005C34DD">
      <w:pPr>
        <w:spacing w:line="480" w:lineRule="auto"/>
        <w:rPr>
          <w:b/>
          <w:bCs/>
          <w:i/>
          <w:iCs/>
        </w:rPr>
      </w:pPr>
      <w:r w:rsidRPr="00102859">
        <w:rPr>
          <w:b/>
          <w:bCs/>
          <w:i/>
          <w:iCs/>
        </w:rPr>
        <w:t xml:space="preserve">2.8.1 </w:t>
      </w:r>
      <w:r w:rsidR="005B2849" w:rsidRPr="00102859">
        <w:rPr>
          <w:b/>
          <w:bCs/>
          <w:i/>
          <w:iCs/>
        </w:rPr>
        <w:t xml:space="preserve">Primary </w:t>
      </w:r>
      <w:r w:rsidR="006902D2" w:rsidRPr="00102859">
        <w:rPr>
          <w:b/>
          <w:bCs/>
          <w:i/>
          <w:iCs/>
        </w:rPr>
        <w:t>O</w:t>
      </w:r>
      <w:r w:rsidR="005B2849" w:rsidRPr="00102859">
        <w:rPr>
          <w:b/>
          <w:bCs/>
          <w:i/>
          <w:iCs/>
        </w:rPr>
        <w:t xml:space="preserve">utcome </w:t>
      </w:r>
      <w:r w:rsidR="006902D2" w:rsidRPr="00102859">
        <w:rPr>
          <w:b/>
          <w:bCs/>
          <w:i/>
          <w:iCs/>
        </w:rPr>
        <w:t>M</w:t>
      </w:r>
      <w:r w:rsidR="005B2849" w:rsidRPr="00102859">
        <w:rPr>
          <w:b/>
          <w:bCs/>
          <w:i/>
          <w:iCs/>
        </w:rPr>
        <w:t>easure</w:t>
      </w:r>
    </w:p>
    <w:p w14:paraId="2FCEB5D1" w14:textId="254093A1" w:rsidR="005B2849" w:rsidRPr="00102859" w:rsidRDefault="00084F15" w:rsidP="005C34DD">
      <w:pPr>
        <w:spacing w:line="480" w:lineRule="auto"/>
      </w:pPr>
      <w:r w:rsidRPr="00102859">
        <w:t>The primary outcome measure was t</w:t>
      </w:r>
      <w:r w:rsidR="005B2849" w:rsidRPr="00102859">
        <w:t>innitus severity as measured by the TFI</w:t>
      </w:r>
      <w:r w:rsidR="005F5114" w:rsidRPr="00102859">
        <w:t xml:space="preserve"> (</w:t>
      </w:r>
      <w:proofErr w:type="spellStart"/>
      <w:r w:rsidR="005B2849" w:rsidRPr="00102859">
        <w:rPr>
          <w:noProof/>
        </w:rPr>
        <w:t>Meikle</w:t>
      </w:r>
      <w:proofErr w:type="spellEnd"/>
      <w:r w:rsidR="005B2849" w:rsidRPr="00102859">
        <w:rPr>
          <w:noProof/>
        </w:rPr>
        <w:t xml:space="preserve"> et al., 2012)</w:t>
      </w:r>
      <w:r w:rsidR="005B2849" w:rsidRPr="00102859">
        <w:t xml:space="preserve">. </w:t>
      </w:r>
      <w:r w:rsidRPr="00102859">
        <w:t>It</w:t>
      </w:r>
      <w:r w:rsidR="005B2849" w:rsidRPr="00102859">
        <w:t xml:space="preserve"> was selected over other tinnitus questionnaires as it was specifically developed to measure tinnitus severity and assess responsiveness to treatment and for comparison purposes with similar trials in the </w:t>
      </w:r>
      <w:r w:rsidR="005F5114" w:rsidRPr="00102859">
        <w:t xml:space="preserve">UK and the </w:t>
      </w:r>
      <w:r w:rsidR="0095608D" w:rsidRPr="00102859">
        <w:t>US (Beukes</w:t>
      </w:r>
      <w:r w:rsidR="0030443D" w:rsidRPr="00102859">
        <w:t xml:space="preserve"> et al.</w:t>
      </w:r>
      <w:r w:rsidR="0095608D" w:rsidRPr="00102859">
        <w:t xml:space="preserve">, </w:t>
      </w:r>
      <w:r w:rsidR="005F5114" w:rsidRPr="00102859">
        <w:t>2017, 2018</w:t>
      </w:r>
      <w:r w:rsidR="00B70DC8" w:rsidRPr="00102859">
        <w:t>b</w:t>
      </w:r>
      <w:r w:rsidR="005F5114" w:rsidRPr="00102859">
        <w:t>, 2018</w:t>
      </w:r>
      <w:r w:rsidR="00B70DC8" w:rsidRPr="00102859">
        <w:t>c</w:t>
      </w:r>
      <w:r w:rsidR="005F5114" w:rsidRPr="00102859">
        <w:t xml:space="preserve">, </w:t>
      </w:r>
      <w:proofErr w:type="spellStart"/>
      <w:proofErr w:type="gramStart"/>
      <w:r w:rsidR="0095608D" w:rsidRPr="00102859">
        <w:t>submitted</w:t>
      </w:r>
      <w:r w:rsidR="005426A6" w:rsidRPr="00102859">
        <w:t>B</w:t>
      </w:r>
      <w:proofErr w:type="spellEnd"/>
      <w:proofErr w:type="gramEnd"/>
      <w:r w:rsidR="0095608D" w:rsidRPr="00102859">
        <w:t>)</w:t>
      </w:r>
      <w:r w:rsidR="00045EC6" w:rsidRPr="00102859">
        <w:t>.</w:t>
      </w:r>
    </w:p>
    <w:p w14:paraId="2821D17E" w14:textId="77777777" w:rsidR="005B2849" w:rsidRPr="00102859" w:rsidRDefault="005B2849" w:rsidP="005C34DD">
      <w:pPr>
        <w:spacing w:line="480" w:lineRule="auto"/>
      </w:pPr>
    </w:p>
    <w:p w14:paraId="00889E4D" w14:textId="37674593" w:rsidR="00217895" w:rsidRPr="00102859" w:rsidRDefault="00A474B4" w:rsidP="005C34DD">
      <w:pPr>
        <w:spacing w:line="480" w:lineRule="auto"/>
        <w:rPr>
          <w:b/>
          <w:bCs/>
          <w:i/>
          <w:iCs/>
        </w:rPr>
      </w:pPr>
      <w:r w:rsidRPr="00102859">
        <w:rPr>
          <w:b/>
          <w:bCs/>
          <w:i/>
          <w:iCs/>
        </w:rPr>
        <w:t xml:space="preserve">2.8.2 </w:t>
      </w:r>
      <w:r w:rsidR="005B2849" w:rsidRPr="00102859">
        <w:rPr>
          <w:b/>
          <w:bCs/>
          <w:i/>
          <w:iCs/>
        </w:rPr>
        <w:t xml:space="preserve">Secondary </w:t>
      </w:r>
      <w:r w:rsidR="006902D2" w:rsidRPr="00102859">
        <w:rPr>
          <w:b/>
          <w:bCs/>
          <w:i/>
          <w:iCs/>
        </w:rPr>
        <w:t>O</w:t>
      </w:r>
      <w:r w:rsidR="005B2849" w:rsidRPr="00102859">
        <w:rPr>
          <w:b/>
          <w:bCs/>
          <w:i/>
          <w:iCs/>
        </w:rPr>
        <w:t xml:space="preserve">utcome </w:t>
      </w:r>
      <w:r w:rsidR="006902D2" w:rsidRPr="00102859">
        <w:rPr>
          <w:b/>
          <w:bCs/>
          <w:i/>
          <w:iCs/>
        </w:rPr>
        <w:t>M</w:t>
      </w:r>
      <w:r w:rsidR="005B2849" w:rsidRPr="00102859">
        <w:rPr>
          <w:b/>
          <w:bCs/>
          <w:i/>
          <w:iCs/>
        </w:rPr>
        <w:t>easures</w:t>
      </w:r>
    </w:p>
    <w:p w14:paraId="52EDCD45" w14:textId="1777C553" w:rsidR="00217895" w:rsidRPr="00102859" w:rsidRDefault="00217895" w:rsidP="005C34DD">
      <w:pPr>
        <w:autoSpaceDE w:val="0"/>
        <w:autoSpaceDN w:val="0"/>
        <w:adjustRightInd w:val="0"/>
        <w:spacing w:line="480" w:lineRule="auto"/>
        <w:rPr>
          <w:rFonts w:eastAsiaTheme="minorHAnsi"/>
        </w:rPr>
      </w:pPr>
      <w:r w:rsidRPr="00102859">
        <w:rPr>
          <w:rFonts w:eastAsiaTheme="minorHAnsi"/>
        </w:rPr>
        <w:t>The following secondary measures were incorporated to assess commonly reported</w:t>
      </w:r>
    </w:p>
    <w:p w14:paraId="6E1FA0D9" w14:textId="77777777" w:rsidR="00046C3F" w:rsidRPr="00102859" w:rsidRDefault="00217895" w:rsidP="005C34DD">
      <w:pPr>
        <w:autoSpaceDE w:val="0"/>
        <w:autoSpaceDN w:val="0"/>
        <w:adjustRightInd w:val="0"/>
        <w:spacing w:line="480" w:lineRule="auto"/>
        <w:rPr>
          <w:rFonts w:eastAsiaTheme="minorHAnsi"/>
        </w:rPr>
      </w:pPr>
      <w:proofErr w:type="gramStart"/>
      <w:r w:rsidRPr="00102859">
        <w:rPr>
          <w:rFonts w:eastAsiaTheme="minorHAnsi"/>
        </w:rPr>
        <w:t>tinnitus-related</w:t>
      </w:r>
      <w:proofErr w:type="gramEnd"/>
      <w:r w:rsidRPr="00102859">
        <w:rPr>
          <w:rFonts w:eastAsiaTheme="minorHAnsi"/>
        </w:rPr>
        <w:t xml:space="preserve"> difficulties: </w:t>
      </w:r>
    </w:p>
    <w:p w14:paraId="248C8847" w14:textId="6578B8E6" w:rsidR="00046C3F" w:rsidRPr="00102859" w:rsidRDefault="00046C3F" w:rsidP="005C34DD">
      <w:pPr>
        <w:pStyle w:val="ListParagraph"/>
        <w:numPr>
          <w:ilvl w:val="0"/>
          <w:numId w:val="13"/>
        </w:numPr>
        <w:autoSpaceDE w:val="0"/>
        <w:autoSpaceDN w:val="0"/>
        <w:adjustRightInd w:val="0"/>
        <w:ind w:left="357" w:hanging="357"/>
        <w:rPr>
          <w:rFonts w:cs="Times New Roman"/>
        </w:rPr>
      </w:pPr>
      <w:r w:rsidRPr="00102859">
        <w:rPr>
          <w:rFonts w:cs="Times New Roman"/>
        </w:rPr>
        <w:t>T</w:t>
      </w:r>
      <w:r w:rsidR="00217895" w:rsidRPr="00102859">
        <w:rPr>
          <w:rFonts w:cs="Times New Roman"/>
        </w:rPr>
        <w:t>he Generalized Anxiety Disorder–7</w:t>
      </w:r>
      <w:r w:rsidR="00C93550" w:rsidRPr="00102859">
        <w:rPr>
          <w:rFonts w:cs="Times New Roman"/>
        </w:rPr>
        <w:t xml:space="preserve"> </w:t>
      </w:r>
      <w:r w:rsidR="00C93550" w:rsidRPr="00102859">
        <w:rPr>
          <w:rFonts w:eastAsia="Times New Roman" w:cs="Times New Roman"/>
          <w:noProof/>
          <w:shd w:val="clear" w:color="auto" w:fill="FFFFFF"/>
          <w:lang w:eastAsia="en-GB"/>
        </w:rPr>
        <w:t>(GAD-7</w:t>
      </w:r>
      <w:r w:rsidR="000C796C" w:rsidRPr="00102859">
        <w:rPr>
          <w:rFonts w:eastAsia="Times New Roman" w:cs="Times New Roman"/>
          <w:noProof/>
          <w:shd w:val="clear" w:color="auto" w:fill="FFFFFF"/>
          <w:lang w:eastAsia="en-GB"/>
        </w:rPr>
        <w:t>;</w:t>
      </w:r>
      <w:r w:rsidR="00C93550" w:rsidRPr="00102859">
        <w:rPr>
          <w:rFonts w:eastAsia="Times New Roman" w:cs="Times New Roman"/>
          <w:noProof/>
          <w:shd w:val="clear" w:color="auto" w:fill="FFFFFF"/>
          <w:lang w:eastAsia="en-GB"/>
        </w:rPr>
        <w:t xml:space="preserve"> Spitzer</w:t>
      </w:r>
      <w:r w:rsidR="000C796C" w:rsidRPr="00102859">
        <w:rPr>
          <w:rFonts w:eastAsia="Times New Roman" w:cs="Times New Roman"/>
          <w:noProof/>
          <w:shd w:val="clear" w:color="auto" w:fill="FFFFFF"/>
          <w:lang w:eastAsia="en-GB"/>
        </w:rPr>
        <w:t xml:space="preserve"> </w:t>
      </w:r>
      <w:r w:rsidR="00C93550" w:rsidRPr="00102859">
        <w:rPr>
          <w:rFonts w:eastAsia="Times New Roman" w:cs="Times New Roman"/>
          <w:noProof/>
          <w:shd w:val="clear" w:color="auto" w:fill="FFFFFF"/>
          <w:lang w:eastAsia="en-GB"/>
        </w:rPr>
        <w:t>et al., 2006)</w:t>
      </w:r>
      <w:r w:rsidR="00C93550" w:rsidRPr="00102859">
        <w:rPr>
          <w:rFonts w:cs="Times New Roman"/>
          <w:noProof/>
          <w:shd w:val="clear" w:color="auto" w:fill="FFFFFF"/>
        </w:rPr>
        <w:t xml:space="preserve"> </w:t>
      </w:r>
      <w:r w:rsidR="00217895" w:rsidRPr="00102859">
        <w:rPr>
          <w:rFonts w:cs="Times New Roman"/>
        </w:rPr>
        <w:t>assessed symptoms</w:t>
      </w:r>
      <w:r w:rsidR="003C4FA8" w:rsidRPr="00102859">
        <w:rPr>
          <w:rFonts w:cs="Times New Roman"/>
        </w:rPr>
        <w:t xml:space="preserve"> </w:t>
      </w:r>
      <w:r w:rsidR="00217895" w:rsidRPr="00102859">
        <w:rPr>
          <w:rFonts w:cs="Times New Roman"/>
        </w:rPr>
        <w:t>of generalized anxiety disorder</w:t>
      </w:r>
      <w:r w:rsidR="00DC3F0D" w:rsidRPr="00102859">
        <w:rPr>
          <w:rFonts w:cs="Times New Roman"/>
        </w:rPr>
        <w:t>.</w:t>
      </w:r>
      <w:r w:rsidR="00217895" w:rsidRPr="00102859">
        <w:rPr>
          <w:rFonts w:cs="Times New Roman"/>
        </w:rPr>
        <w:t xml:space="preserve"> </w:t>
      </w:r>
    </w:p>
    <w:p w14:paraId="5F99B01A" w14:textId="62CEEBBF" w:rsidR="00046C3F" w:rsidRPr="00102859" w:rsidRDefault="003C4FA8" w:rsidP="005C34DD">
      <w:pPr>
        <w:pStyle w:val="ListParagraph"/>
        <w:numPr>
          <w:ilvl w:val="0"/>
          <w:numId w:val="13"/>
        </w:numPr>
        <w:autoSpaceDE w:val="0"/>
        <w:autoSpaceDN w:val="0"/>
        <w:adjustRightInd w:val="0"/>
        <w:ind w:left="357" w:hanging="357"/>
        <w:rPr>
          <w:rFonts w:cs="Times New Roman"/>
        </w:rPr>
      </w:pPr>
      <w:r w:rsidRPr="00102859">
        <w:rPr>
          <w:rFonts w:cs="Times New Roman"/>
        </w:rPr>
        <w:t>T</w:t>
      </w:r>
      <w:r w:rsidR="00217895" w:rsidRPr="00102859">
        <w:rPr>
          <w:rFonts w:cs="Times New Roman"/>
        </w:rPr>
        <w:t xml:space="preserve">he </w:t>
      </w:r>
      <w:r w:rsidR="00046C3F" w:rsidRPr="00102859">
        <w:rPr>
          <w:rFonts w:eastAsia="Times New Roman" w:cs="Times New Roman"/>
          <w:noProof/>
          <w:shd w:val="clear" w:color="auto" w:fill="FFFFFF"/>
          <w:lang w:eastAsia="en-GB"/>
        </w:rPr>
        <w:t>PHQ-9</w:t>
      </w:r>
      <w:r w:rsidR="000C796C" w:rsidRPr="00102859">
        <w:rPr>
          <w:rFonts w:eastAsia="Times New Roman" w:cs="Times New Roman"/>
          <w:noProof/>
          <w:shd w:val="clear" w:color="auto" w:fill="FFFFFF"/>
          <w:lang w:eastAsia="en-GB"/>
        </w:rPr>
        <w:t xml:space="preserve"> (</w:t>
      </w:r>
      <w:r w:rsidR="00046C3F" w:rsidRPr="00102859">
        <w:rPr>
          <w:rFonts w:eastAsia="Times New Roman" w:cs="Times New Roman"/>
          <w:noProof/>
          <w:shd w:val="clear" w:color="auto" w:fill="FFFFFF"/>
          <w:lang w:eastAsia="en-GB"/>
        </w:rPr>
        <w:t>Spitzer, Kroenke, Williams, 1999)</w:t>
      </w:r>
      <w:r w:rsidR="00046C3F" w:rsidRPr="00102859">
        <w:rPr>
          <w:rFonts w:cs="Times New Roman"/>
          <w:noProof/>
          <w:shd w:val="clear" w:color="auto" w:fill="FFFFFF"/>
        </w:rPr>
        <w:t xml:space="preserve"> </w:t>
      </w:r>
      <w:r w:rsidR="00217895" w:rsidRPr="00102859">
        <w:rPr>
          <w:rFonts w:cs="Times New Roman"/>
        </w:rPr>
        <w:t>indicated symptoms of depression</w:t>
      </w:r>
      <w:r w:rsidR="00DC3F0D" w:rsidRPr="00102859">
        <w:rPr>
          <w:rFonts w:cs="Times New Roman"/>
        </w:rPr>
        <w:t>.</w:t>
      </w:r>
    </w:p>
    <w:p w14:paraId="525C7A79" w14:textId="77777777" w:rsidR="000C796C" w:rsidRPr="00102859" w:rsidRDefault="000C796C" w:rsidP="005C34DD">
      <w:pPr>
        <w:pStyle w:val="ListParagraph"/>
        <w:numPr>
          <w:ilvl w:val="0"/>
          <w:numId w:val="13"/>
        </w:numPr>
        <w:autoSpaceDE w:val="0"/>
        <w:autoSpaceDN w:val="0"/>
        <w:adjustRightInd w:val="0"/>
        <w:ind w:left="357" w:hanging="357"/>
        <w:rPr>
          <w:rFonts w:cs="Times New Roman"/>
        </w:rPr>
      </w:pPr>
      <w:r w:rsidRPr="00102859">
        <w:rPr>
          <w:rFonts w:cs="Times New Roman"/>
        </w:rPr>
        <w:t xml:space="preserve">The Insomnia Severity Index </w:t>
      </w:r>
      <w:r w:rsidRPr="00102859">
        <w:rPr>
          <w:rFonts w:cs="Times New Roman"/>
          <w:noProof/>
        </w:rPr>
        <w:t>(ISI; Bastien, Vallières, &amp; Morin, 2001)</w:t>
      </w:r>
      <w:r w:rsidRPr="00102859">
        <w:rPr>
          <w:rFonts w:cs="Times New Roman"/>
        </w:rPr>
        <w:t xml:space="preserve"> assessed the presence of insomnia.</w:t>
      </w:r>
    </w:p>
    <w:p w14:paraId="3D9871D9" w14:textId="7A0AC615" w:rsidR="00685453" w:rsidRPr="00102859" w:rsidRDefault="00685453" w:rsidP="005C34DD">
      <w:pPr>
        <w:pStyle w:val="ListParagraph"/>
        <w:numPr>
          <w:ilvl w:val="0"/>
          <w:numId w:val="13"/>
        </w:numPr>
        <w:autoSpaceDE w:val="0"/>
        <w:autoSpaceDN w:val="0"/>
        <w:adjustRightInd w:val="0"/>
        <w:ind w:left="357" w:hanging="357"/>
        <w:rPr>
          <w:rFonts w:cs="Times New Roman"/>
        </w:rPr>
      </w:pPr>
      <w:r w:rsidRPr="00102859">
        <w:rPr>
          <w:rFonts w:cs="Times New Roman"/>
        </w:rPr>
        <w:t xml:space="preserve">The </w:t>
      </w:r>
      <w:r w:rsidR="003C4FA8" w:rsidRPr="00102859">
        <w:rPr>
          <w:rFonts w:cs="Times New Roman"/>
        </w:rPr>
        <w:t xml:space="preserve">Tinnitus Cognitions Questionnaire </w:t>
      </w:r>
      <w:r w:rsidR="003C4FA8" w:rsidRPr="00102859">
        <w:rPr>
          <w:rFonts w:cs="Times New Roman"/>
          <w:noProof/>
        </w:rPr>
        <w:t>(TCQ; Wilson &amp; Henry, 1998) was used to measure negative tinnitus cognitions</w:t>
      </w:r>
      <w:r w:rsidR="00DC3F0D" w:rsidRPr="00102859">
        <w:rPr>
          <w:rFonts w:cs="Times New Roman"/>
          <w:noProof/>
        </w:rPr>
        <w:t>.</w:t>
      </w:r>
    </w:p>
    <w:p w14:paraId="4BC5DEA1" w14:textId="2B6B7B18" w:rsidR="00046C3F" w:rsidRPr="00102859" w:rsidRDefault="00046C3F" w:rsidP="005C34DD">
      <w:pPr>
        <w:pStyle w:val="ListParagraph"/>
        <w:numPr>
          <w:ilvl w:val="0"/>
          <w:numId w:val="13"/>
        </w:numPr>
        <w:autoSpaceDE w:val="0"/>
        <w:autoSpaceDN w:val="0"/>
        <w:adjustRightInd w:val="0"/>
        <w:ind w:left="357" w:hanging="357"/>
        <w:rPr>
          <w:rFonts w:cs="Times New Roman"/>
        </w:rPr>
      </w:pPr>
      <w:r w:rsidRPr="00102859">
        <w:rPr>
          <w:rFonts w:cs="Times New Roman"/>
        </w:rPr>
        <w:t>T</w:t>
      </w:r>
      <w:r w:rsidR="00217895" w:rsidRPr="00102859">
        <w:rPr>
          <w:rFonts w:cs="Times New Roman"/>
          <w:szCs w:val="24"/>
        </w:rPr>
        <w:t>he</w:t>
      </w:r>
      <w:r w:rsidRPr="00102859">
        <w:rPr>
          <w:rFonts w:cs="Times New Roman"/>
        </w:rPr>
        <w:t xml:space="preserve"> EQ-5D-</w:t>
      </w:r>
      <w:r w:rsidR="00A872ED" w:rsidRPr="00102859">
        <w:rPr>
          <w:rFonts w:cs="Times New Roman"/>
        </w:rPr>
        <w:t>5</w:t>
      </w:r>
      <w:r w:rsidRPr="00102859">
        <w:rPr>
          <w:rFonts w:cs="Times New Roman"/>
        </w:rPr>
        <w:t>L (</w:t>
      </w:r>
      <w:proofErr w:type="spellStart"/>
      <w:r w:rsidRPr="00102859">
        <w:rPr>
          <w:rFonts w:cs="Times New Roman"/>
        </w:rPr>
        <w:t>Herdman</w:t>
      </w:r>
      <w:proofErr w:type="spellEnd"/>
      <w:r w:rsidRPr="00102859">
        <w:rPr>
          <w:rFonts w:cs="Times New Roman"/>
        </w:rPr>
        <w:t xml:space="preserve"> et al., 2011</w:t>
      </w:r>
      <w:r w:rsidR="00A872ED" w:rsidRPr="00102859">
        <w:rPr>
          <w:rFonts w:cs="Times New Roman"/>
        </w:rPr>
        <w:t xml:space="preserve">) measured </w:t>
      </w:r>
      <w:r w:rsidR="006902D2" w:rsidRPr="00102859">
        <w:rPr>
          <w:rFonts w:cs="Times New Roman"/>
        </w:rPr>
        <w:t xml:space="preserve">general </w:t>
      </w:r>
      <w:r w:rsidR="00A872ED" w:rsidRPr="00102859">
        <w:rPr>
          <w:rFonts w:cs="Times New Roman"/>
        </w:rPr>
        <w:t>health</w:t>
      </w:r>
      <w:r w:rsidR="000C796C" w:rsidRPr="00102859">
        <w:rPr>
          <w:rFonts w:cs="Times New Roman"/>
        </w:rPr>
        <w:t>-</w:t>
      </w:r>
      <w:r w:rsidR="00A872ED" w:rsidRPr="00102859">
        <w:rPr>
          <w:rFonts w:cs="Times New Roman"/>
        </w:rPr>
        <w:t>related quality of life</w:t>
      </w:r>
      <w:r w:rsidR="00DC3F0D" w:rsidRPr="00102859">
        <w:rPr>
          <w:rFonts w:cs="Times New Roman"/>
        </w:rPr>
        <w:t>.</w:t>
      </w:r>
    </w:p>
    <w:p w14:paraId="25D590CE" w14:textId="5A158EB6" w:rsidR="00C51586" w:rsidRPr="00102859" w:rsidRDefault="00466F3D" w:rsidP="005C34DD">
      <w:pPr>
        <w:pStyle w:val="ListParagraph"/>
        <w:numPr>
          <w:ilvl w:val="0"/>
          <w:numId w:val="13"/>
        </w:numPr>
        <w:autoSpaceDE w:val="0"/>
        <w:autoSpaceDN w:val="0"/>
        <w:adjustRightInd w:val="0"/>
        <w:ind w:left="357" w:hanging="357"/>
        <w:rPr>
          <w:rFonts w:cs="Times New Roman"/>
          <w:b/>
          <w:i/>
          <w:iCs/>
          <w:shd w:val="clear" w:color="auto" w:fill="FFFFFF"/>
        </w:rPr>
      </w:pPr>
      <w:r w:rsidRPr="00102859">
        <w:rPr>
          <w:rFonts w:cs="Times New Roman"/>
        </w:rPr>
        <w:t>T</w:t>
      </w:r>
      <w:r w:rsidR="00217895" w:rsidRPr="00102859">
        <w:rPr>
          <w:rFonts w:cs="Times New Roman"/>
          <w:szCs w:val="24"/>
        </w:rPr>
        <w:t>he</w:t>
      </w:r>
      <w:r w:rsidR="00217895" w:rsidRPr="00102859">
        <w:rPr>
          <w:rFonts w:cs="Times New Roman"/>
        </w:rPr>
        <w:t xml:space="preserve"> </w:t>
      </w:r>
      <w:r w:rsidRPr="00102859">
        <w:rPr>
          <w:rFonts w:cs="Times New Roman"/>
        </w:rPr>
        <w:t>Tinnitus and Hearing Survey</w:t>
      </w:r>
      <w:r w:rsidR="00EF0861" w:rsidRPr="00102859">
        <w:rPr>
          <w:rFonts w:cs="Times New Roman"/>
        </w:rPr>
        <w:t xml:space="preserve"> </w:t>
      </w:r>
      <w:r w:rsidR="00EF0861" w:rsidRPr="00102859">
        <w:rPr>
          <w:rFonts w:cs="Times New Roman"/>
          <w:noProof/>
          <w:szCs w:val="24"/>
        </w:rPr>
        <w:t>(THS; Henry</w:t>
      </w:r>
      <w:r w:rsidR="00D82299" w:rsidRPr="00102859">
        <w:rPr>
          <w:rFonts w:cs="Times New Roman"/>
          <w:noProof/>
          <w:szCs w:val="24"/>
        </w:rPr>
        <w:t xml:space="preserve"> </w:t>
      </w:r>
      <w:r w:rsidR="00EF0861" w:rsidRPr="00102859">
        <w:rPr>
          <w:rFonts w:cs="Times New Roman"/>
          <w:noProof/>
          <w:szCs w:val="24"/>
        </w:rPr>
        <w:t>et al., 2015)</w:t>
      </w:r>
      <w:r w:rsidR="00EF0861" w:rsidRPr="00102859">
        <w:rPr>
          <w:rFonts w:cs="Times New Roman"/>
          <w:noProof/>
        </w:rPr>
        <w:t xml:space="preserve"> </w:t>
      </w:r>
      <w:r w:rsidR="00EF0861" w:rsidRPr="00102859">
        <w:rPr>
          <w:rFonts w:cs="Times New Roman"/>
        </w:rPr>
        <w:t xml:space="preserve">was used as a short measure </w:t>
      </w:r>
      <w:r w:rsidR="004C0F92" w:rsidRPr="00102859">
        <w:rPr>
          <w:rFonts w:cs="Times New Roman"/>
        </w:rPr>
        <w:t xml:space="preserve">to identify participants’ </w:t>
      </w:r>
      <w:r w:rsidR="00EF0861" w:rsidRPr="00102859">
        <w:rPr>
          <w:rFonts w:cs="Times New Roman"/>
        </w:rPr>
        <w:t>tinnitus</w:t>
      </w:r>
      <w:r w:rsidR="00595B00" w:rsidRPr="00102859">
        <w:rPr>
          <w:rFonts w:cs="Times New Roman"/>
        </w:rPr>
        <w:t xml:space="preserve"> severity</w:t>
      </w:r>
      <w:r w:rsidR="00EF0861" w:rsidRPr="00102859">
        <w:rPr>
          <w:rFonts w:cs="Times New Roman"/>
        </w:rPr>
        <w:t xml:space="preserve">, hearing </w:t>
      </w:r>
      <w:r w:rsidR="00685453" w:rsidRPr="00102859">
        <w:rPr>
          <w:rFonts w:cs="Times New Roman"/>
        </w:rPr>
        <w:t>disability</w:t>
      </w:r>
      <w:r w:rsidR="000C796C" w:rsidRPr="00102859">
        <w:rPr>
          <w:rFonts w:cs="Times New Roman"/>
        </w:rPr>
        <w:t>,</w:t>
      </w:r>
      <w:r w:rsidR="00685453" w:rsidRPr="00102859">
        <w:rPr>
          <w:rFonts w:cs="Times New Roman"/>
        </w:rPr>
        <w:t xml:space="preserve"> and </w:t>
      </w:r>
      <w:proofErr w:type="spellStart"/>
      <w:r w:rsidR="00685453" w:rsidRPr="00102859">
        <w:rPr>
          <w:rFonts w:cs="Times New Roman"/>
        </w:rPr>
        <w:t>hyperacu</w:t>
      </w:r>
      <w:r w:rsidR="003C4FA8" w:rsidRPr="00102859">
        <w:rPr>
          <w:rFonts w:cs="Times New Roman"/>
        </w:rPr>
        <w:t>s</w:t>
      </w:r>
      <w:r w:rsidR="00685453" w:rsidRPr="00102859">
        <w:rPr>
          <w:rFonts w:cs="Times New Roman"/>
        </w:rPr>
        <w:t>is</w:t>
      </w:r>
      <w:proofErr w:type="spellEnd"/>
      <w:r w:rsidR="00DC3F0D" w:rsidRPr="00102859">
        <w:rPr>
          <w:rFonts w:cs="Times New Roman"/>
        </w:rPr>
        <w:t>.</w:t>
      </w:r>
    </w:p>
    <w:p w14:paraId="493DC23E" w14:textId="77777777" w:rsidR="005B2849" w:rsidRPr="00102859" w:rsidRDefault="005B2849" w:rsidP="005C34DD">
      <w:pPr>
        <w:pStyle w:val="Default"/>
        <w:spacing w:line="480" w:lineRule="auto"/>
        <w:rPr>
          <w:rFonts w:ascii="Times New Roman" w:hAnsi="Times New Roman" w:cs="Times New Roman"/>
          <w:color w:val="auto"/>
          <w:lang w:val="en-US"/>
        </w:rPr>
      </w:pPr>
    </w:p>
    <w:p w14:paraId="6151A5B4" w14:textId="52CE71C7" w:rsidR="005B2849" w:rsidRPr="00102859" w:rsidRDefault="00597E82" w:rsidP="005C34DD">
      <w:pPr>
        <w:spacing w:line="480" w:lineRule="auto"/>
        <w:rPr>
          <w:b/>
          <w:bCs/>
          <w:shd w:val="clear" w:color="auto" w:fill="FFFFFF"/>
        </w:rPr>
      </w:pPr>
      <w:r w:rsidRPr="00102859">
        <w:rPr>
          <w:b/>
          <w:bCs/>
          <w:shd w:val="clear" w:color="auto" w:fill="FFFFFF"/>
        </w:rPr>
        <w:t xml:space="preserve">2.9 </w:t>
      </w:r>
      <w:r w:rsidR="005B2849" w:rsidRPr="00102859">
        <w:rPr>
          <w:b/>
          <w:bCs/>
          <w:shd w:val="clear" w:color="auto" w:fill="FFFFFF"/>
        </w:rPr>
        <w:t>Intervention Variables</w:t>
      </w:r>
    </w:p>
    <w:p w14:paraId="4F9D167A" w14:textId="439A17FF" w:rsidR="00492C37" w:rsidRPr="00102859" w:rsidRDefault="005B2849" w:rsidP="005C34DD">
      <w:pPr>
        <w:autoSpaceDE w:val="0"/>
        <w:autoSpaceDN w:val="0"/>
        <w:adjustRightInd w:val="0"/>
        <w:spacing w:line="480" w:lineRule="auto"/>
      </w:pPr>
      <w:r w:rsidRPr="00102859">
        <w:lastRenderedPageBreak/>
        <w:t>Intervention compliance was assessed by determining retention rates and compliance in completing outcome questionnaires. Intervention engagement was assessed by the number of lo</w:t>
      </w:r>
      <w:r w:rsidR="005426A6" w:rsidRPr="00102859">
        <w:t>gins, the number of modules opened</w:t>
      </w:r>
      <w:r w:rsidRPr="00102859">
        <w:t xml:space="preserve">, and the number of messages sent during the intervention. </w:t>
      </w:r>
    </w:p>
    <w:p w14:paraId="302C162E" w14:textId="77777777" w:rsidR="005B2849" w:rsidRPr="00102859" w:rsidRDefault="005B2849" w:rsidP="005C34DD">
      <w:pPr>
        <w:pStyle w:val="Default"/>
        <w:spacing w:line="480" w:lineRule="auto"/>
        <w:rPr>
          <w:rFonts w:ascii="Times New Roman" w:hAnsi="Times New Roman" w:cs="Times New Roman"/>
          <w:color w:val="auto"/>
          <w:lang w:val="en-US"/>
        </w:rPr>
      </w:pPr>
    </w:p>
    <w:p w14:paraId="11B3DA5C" w14:textId="42A3DC10" w:rsidR="005B2849" w:rsidRPr="00102859" w:rsidRDefault="00597E82" w:rsidP="005C34DD">
      <w:pPr>
        <w:spacing w:line="480" w:lineRule="auto"/>
        <w:rPr>
          <w:b/>
        </w:rPr>
      </w:pPr>
      <w:r w:rsidRPr="00102859">
        <w:rPr>
          <w:b/>
        </w:rPr>
        <w:t xml:space="preserve">2.10 </w:t>
      </w:r>
      <w:r w:rsidR="00236E64" w:rsidRPr="00102859">
        <w:rPr>
          <w:b/>
        </w:rPr>
        <w:t xml:space="preserve">Data </w:t>
      </w:r>
      <w:r w:rsidR="005B2849" w:rsidRPr="00102859">
        <w:rPr>
          <w:b/>
        </w:rPr>
        <w:t>Analysis</w:t>
      </w:r>
    </w:p>
    <w:p w14:paraId="7696CD91" w14:textId="319958BA" w:rsidR="00DD44A3" w:rsidRPr="00102859" w:rsidRDefault="005B2849" w:rsidP="00DD44A3">
      <w:pPr>
        <w:autoSpaceDE w:val="0"/>
        <w:autoSpaceDN w:val="0"/>
        <w:adjustRightInd w:val="0"/>
        <w:spacing w:line="480" w:lineRule="auto"/>
      </w:pPr>
      <w:r w:rsidRPr="00102859">
        <w:t xml:space="preserve">Statistical analyses </w:t>
      </w:r>
      <w:r w:rsidR="006758D4" w:rsidRPr="00102859">
        <w:t>were</w:t>
      </w:r>
      <w:r w:rsidR="004C2083" w:rsidRPr="00102859">
        <w:t xml:space="preserve"> </w:t>
      </w:r>
      <w:r w:rsidRPr="00102859">
        <w:t xml:space="preserve">performed using the Statistical Package for Social Sciences (SPSS) version 26.0. </w:t>
      </w:r>
      <w:r w:rsidR="009A6ACD" w:rsidRPr="00102859">
        <w:t>All statistical tests were 2-tailed with an alpha set to .05.</w:t>
      </w:r>
      <w:r w:rsidR="000C6D1E" w:rsidRPr="00102859">
        <w:t xml:space="preserve"> </w:t>
      </w:r>
      <w:r w:rsidR="00B073D5" w:rsidRPr="00102859">
        <w:t>For transparency,</w:t>
      </w:r>
      <w:r w:rsidR="009A1751" w:rsidRPr="00102859">
        <w:t xml:space="preserve"> both an intention-to-treat </w:t>
      </w:r>
      <w:r w:rsidR="00DD44A3" w:rsidRPr="00102859">
        <w:t xml:space="preserve">approach including all participants, </w:t>
      </w:r>
      <w:r w:rsidR="009A1751" w:rsidRPr="00102859">
        <w:t xml:space="preserve">and </w:t>
      </w:r>
      <w:r w:rsidR="00DD44A3" w:rsidRPr="00102859">
        <w:t xml:space="preserve">a </w:t>
      </w:r>
      <w:r w:rsidR="009A1751" w:rsidRPr="00102859">
        <w:t>completer</w:t>
      </w:r>
      <w:r w:rsidR="00DD44A3" w:rsidRPr="00102859">
        <w:t>s-</w:t>
      </w:r>
      <w:r w:rsidR="009A1751" w:rsidRPr="00102859">
        <w:t>only analysis was undertaken for comparison purposes.</w:t>
      </w:r>
      <w:r w:rsidR="00DD44A3" w:rsidRPr="00102859">
        <w:t xml:space="preserve"> </w:t>
      </w:r>
      <w:r w:rsidR="00DD44A3" w:rsidRPr="00102859">
        <w:rPr>
          <w:shd w:val="clear" w:color="auto" w:fill="FFFFFF"/>
        </w:rPr>
        <w:t>For</w:t>
      </w:r>
      <w:r w:rsidR="00B073D5" w:rsidRPr="00102859">
        <w:rPr>
          <w:shd w:val="clear" w:color="auto" w:fill="FFFFFF"/>
        </w:rPr>
        <w:t xml:space="preserve"> the intention-to-treat model</w:t>
      </w:r>
      <w:r w:rsidR="00DD44A3" w:rsidRPr="00102859">
        <w:rPr>
          <w:shd w:val="clear" w:color="auto" w:fill="FFFFFF"/>
        </w:rPr>
        <w:t xml:space="preserve">, an imputation analysis was undertaken. </w:t>
      </w:r>
      <w:r w:rsidR="00DD44A3" w:rsidRPr="00102859">
        <w:t xml:space="preserve">Missing data were handled through multiple imputations using the </w:t>
      </w:r>
      <w:r w:rsidR="00DD44A3" w:rsidRPr="00102859">
        <w:rPr>
          <w:rStyle w:val="Emphasis"/>
          <w:rFonts w:eastAsiaTheme="minorEastAsia"/>
          <w:bCs/>
          <w:shd w:val="clear" w:color="auto" w:fill="FFFFFF"/>
        </w:rPr>
        <w:t>Markov Chain Monte Carlo</w:t>
      </w:r>
      <w:r w:rsidR="00DD44A3" w:rsidRPr="00102859">
        <w:t xml:space="preserve"> approach.</w:t>
      </w:r>
      <w:r w:rsidR="00DD44A3" w:rsidRPr="00102859">
        <w:rPr>
          <w:b/>
        </w:rPr>
        <w:t xml:space="preserve"> </w:t>
      </w:r>
      <w:r w:rsidR="00DD44A3" w:rsidRPr="00102859">
        <w:rPr>
          <w:bCs/>
        </w:rPr>
        <w:t xml:space="preserve">The analysis thus included all participants at each time point. </w:t>
      </w:r>
    </w:p>
    <w:p w14:paraId="0F992031" w14:textId="6EADD2C8" w:rsidR="00694DDE" w:rsidRPr="00102859" w:rsidRDefault="005B2849" w:rsidP="005C34DD">
      <w:pPr>
        <w:spacing w:line="480" w:lineRule="auto"/>
        <w:ind w:firstLine="720"/>
      </w:pPr>
      <w:r w:rsidRPr="00102859">
        <w:t>The primary study outcome</w:t>
      </w:r>
      <w:r w:rsidR="004C2083" w:rsidRPr="00102859">
        <w:t xml:space="preserve"> </w:t>
      </w:r>
      <w:r w:rsidR="006758D4" w:rsidRPr="00102859">
        <w:t>was</w:t>
      </w:r>
      <w:r w:rsidR="00B1052E" w:rsidRPr="00102859">
        <w:t xml:space="preserve"> a change in TFI score between groups at</w:t>
      </w:r>
      <w:r w:rsidR="00785F7C" w:rsidRPr="00102859">
        <w:t xml:space="preserve"> </w:t>
      </w:r>
      <w:r w:rsidR="00E25A94" w:rsidRPr="00102859">
        <w:t>post-intervention (</w:t>
      </w:r>
      <w:r w:rsidR="00B1052E" w:rsidRPr="00102859">
        <w:t>T1</w:t>
      </w:r>
      <w:r w:rsidR="00E25A94" w:rsidRPr="00102859">
        <w:t>)</w:t>
      </w:r>
      <w:r w:rsidR="00D90BE7" w:rsidRPr="00102859">
        <w:t>.</w:t>
      </w:r>
      <w:r w:rsidR="008766B5" w:rsidRPr="00102859">
        <w:t xml:space="preserve"> Secondary study outcomes w</w:t>
      </w:r>
      <w:r w:rsidR="00236E64" w:rsidRPr="00102859">
        <w:t>ere</w:t>
      </w:r>
      <w:r w:rsidR="008766B5" w:rsidRPr="00102859">
        <w:t xml:space="preserve"> change</w:t>
      </w:r>
      <w:r w:rsidR="00236E64" w:rsidRPr="00102859">
        <w:t>s</w:t>
      </w:r>
      <w:r w:rsidR="008766B5" w:rsidRPr="00102859">
        <w:t xml:space="preserve"> in secondary outcomes between groups at T1</w:t>
      </w:r>
      <w:r w:rsidR="00236E64" w:rsidRPr="00102859">
        <w:t>.</w:t>
      </w:r>
      <w:r w:rsidR="00D90BE7" w:rsidRPr="00102859">
        <w:t xml:space="preserve"> </w:t>
      </w:r>
      <w:r w:rsidR="006B33AF" w:rsidRPr="00102859">
        <w:t xml:space="preserve">According to recommendations for statistical analysis of internet interventions </w:t>
      </w:r>
      <w:sdt>
        <w:sdtPr>
          <w:id w:val="-1096863276"/>
          <w:citation/>
        </w:sdtPr>
        <w:sdtEndPr/>
        <w:sdtContent>
          <w:r w:rsidR="006B33AF" w:rsidRPr="00102859">
            <w:fldChar w:fldCharType="begin"/>
          </w:r>
          <w:r w:rsidR="006B33AF" w:rsidRPr="00102859">
            <w:instrText xml:space="preserve"> CITATION Hes15 \l 2057 </w:instrText>
          </w:r>
          <w:r w:rsidR="006B33AF" w:rsidRPr="00102859">
            <w:fldChar w:fldCharType="separate"/>
          </w:r>
          <w:r w:rsidR="006B33AF" w:rsidRPr="00102859">
            <w:rPr>
              <w:noProof/>
            </w:rPr>
            <w:t>(Hesser, 2015)</w:t>
          </w:r>
          <w:r w:rsidR="006B33AF" w:rsidRPr="00102859">
            <w:fldChar w:fldCharType="end"/>
          </w:r>
        </w:sdtContent>
      </w:sdt>
      <w:r w:rsidR="006B33AF" w:rsidRPr="00102859">
        <w:t xml:space="preserve"> effect sizes, </w:t>
      </w:r>
      <w:r w:rsidR="00AC6195" w:rsidRPr="00102859">
        <w:t>L</w:t>
      </w:r>
      <w:r w:rsidR="006B33AF" w:rsidRPr="00102859">
        <w:t xml:space="preserve">inear </w:t>
      </w:r>
      <w:r w:rsidR="00AC6195" w:rsidRPr="00102859">
        <w:t>M</w:t>
      </w:r>
      <w:r w:rsidR="006B33AF" w:rsidRPr="00102859">
        <w:t xml:space="preserve">ixed </w:t>
      </w:r>
      <w:r w:rsidR="00AC6195" w:rsidRPr="00102859">
        <w:t>E</w:t>
      </w:r>
      <w:r w:rsidR="006B33AF" w:rsidRPr="00102859">
        <w:t xml:space="preserve">ffects </w:t>
      </w:r>
      <w:r w:rsidR="00AC6195" w:rsidRPr="00102859">
        <w:t>M</w:t>
      </w:r>
      <w:r w:rsidR="006B33AF" w:rsidRPr="00102859">
        <w:t>odels</w:t>
      </w:r>
      <w:r w:rsidR="00236E64" w:rsidRPr="00102859">
        <w:t xml:space="preserve"> (LMM)</w:t>
      </w:r>
      <w:r w:rsidR="00874A5A" w:rsidRPr="00102859">
        <w:t>, and</w:t>
      </w:r>
      <w:r w:rsidR="006B33AF" w:rsidRPr="00102859">
        <w:t xml:space="preserve"> </w:t>
      </w:r>
      <w:r w:rsidR="00874A5A" w:rsidRPr="00102859">
        <w:t xml:space="preserve">the </w:t>
      </w:r>
      <w:r w:rsidR="00236E64" w:rsidRPr="00102859">
        <w:t>R</w:t>
      </w:r>
      <w:r w:rsidR="00874A5A" w:rsidRPr="00102859">
        <w:t xml:space="preserve">eliable </w:t>
      </w:r>
      <w:r w:rsidR="00236E64" w:rsidRPr="00102859">
        <w:t>C</w:t>
      </w:r>
      <w:r w:rsidR="00874A5A" w:rsidRPr="00102859">
        <w:t xml:space="preserve">hange </w:t>
      </w:r>
      <w:r w:rsidR="00236E64" w:rsidRPr="00102859">
        <w:t>I</w:t>
      </w:r>
      <w:r w:rsidR="00874A5A" w:rsidRPr="00102859">
        <w:t xml:space="preserve">ndex </w:t>
      </w:r>
      <w:r w:rsidR="00236E64" w:rsidRPr="00102859">
        <w:t xml:space="preserve">(RCI) </w:t>
      </w:r>
      <w:r w:rsidR="00444473" w:rsidRPr="00102859">
        <w:t>was</w:t>
      </w:r>
      <w:r w:rsidR="006B33AF" w:rsidRPr="00102859">
        <w:t xml:space="preserve"> used to assess the outcomes</w:t>
      </w:r>
      <w:r w:rsidR="00874A5A" w:rsidRPr="00102859">
        <w:t xml:space="preserve">. </w:t>
      </w:r>
      <w:r w:rsidR="00017BF0" w:rsidRPr="00102859">
        <w:t>C</w:t>
      </w:r>
      <w:r w:rsidR="00293DB8" w:rsidRPr="00102859">
        <w:t>hange</w:t>
      </w:r>
      <w:r w:rsidR="00017BF0" w:rsidRPr="00102859">
        <w:t>s</w:t>
      </w:r>
      <w:r w:rsidR="00293DB8" w:rsidRPr="00102859">
        <w:t xml:space="preserve"> from baseline to post-intervention</w:t>
      </w:r>
      <w:r w:rsidR="004C2083" w:rsidRPr="00102859">
        <w:t xml:space="preserve"> </w:t>
      </w:r>
      <w:r w:rsidR="006758D4" w:rsidRPr="00102859">
        <w:t>w</w:t>
      </w:r>
      <w:r w:rsidR="00017BF0" w:rsidRPr="00102859">
        <w:t>ere</w:t>
      </w:r>
      <w:r w:rsidR="004C2083" w:rsidRPr="00102859">
        <w:t xml:space="preserve"> compared</w:t>
      </w:r>
      <w:r w:rsidRPr="00102859">
        <w:t xml:space="preserve"> </w:t>
      </w:r>
      <w:r w:rsidR="00017BF0" w:rsidRPr="00102859">
        <w:t xml:space="preserve">within and </w:t>
      </w:r>
      <w:r w:rsidR="00DE5410" w:rsidRPr="00102859">
        <w:t xml:space="preserve">between groups </w:t>
      </w:r>
      <w:r w:rsidR="00293DB8" w:rsidRPr="00102859">
        <w:t xml:space="preserve">using </w:t>
      </w:r>
      <w:r w:rsidRPr="00102859">
        <w:t xml:space="preserve">the </w:t>
      </w:r>
      <w:r w:rsidR="00CC2916" w:rsidRPr="00102859">
        <w:t>standardized mean differences</w:t>
      </w:r>
      <w:r w:rsidR="00EF6E77" w:rsidRPr="00102859">
        <w:t xml:space="preserve"> (Cohen’s </w:t>
      </w:r>
      <w:r w:rsidR="00EF6E77" w:rsidRPr="00102859">
        <w:rPr>
          <w:i/>
          <w:iCs/>
        </w:rPr>
        <w:t>d</w:t>
      </w:r>
      <w:r w:rsidR="00EF6E77" w:rsidRPr="00102859">
        <w:t>) f</w:t>
      </w:r>
      <w:r w:rsidRPr="00102859">
        <w:t>or all primary and secondary outcomes</w:t>
      </w:r>
      <w:r w:rsidR="00C86373" w:rsidRPr="00102859">
        <w:t xml:space="preserve"> using the observed data</w:t>
      </w:r>
      <w:r w:rsidRPr="00102859">
        <w:t>.</w:t>
      </w:r>
      <w:r w:rsidR="00785F7C" w:rsidRPr="00102859">
        <w:t xml:space="preserve"> </w:t>
      </w:r>
      <w:r w:rsidR="00694DDE" w:rsidRPr="00102859">
        <w:rPr>
          <w:shd w:val="clear" w:color="auto" w:fill="FFFFFF"/>
        </w:rPr>
        <w:t>Effect sizes of </w:t>
      </w:r>
      <w:r w:rsidR="00694DDE" w:rsidRPr="00102859">
        <w:rPr>
          <w:rStyle w:val="Emphasis"/>
          <w:shd w:val="clear" w:color="auto" w:fill="FFFFFF"/>
        </w:rPr>
        <w:t>d</w:t>
      </w:r>
      <w:r w:rsidR="00694DDE" w:rsidRPr="00102859">
        <w:rPr>
          <w:shd w:val="clear" w:color="auto" w:fill="FFFFFF"/>
        </w:rPr>
        <w:t> = 0.20 represent small effect sizes; those of </w:t>
      </w:r>
      <w:r w:rsidR="00694DDE" w:rsidRPr="00102859">
        <w:rPr>
          <w:rStyle w:val="Emphasis"/>
          <w:shd w:val="clear" w:color="auto" w:fill="FFFFFF"/>
        </w:rPr>
        <w:t>d</w:t>
      </w:r>
      <w:r w:rsidR="00694DDE" w:rsidRPr="00102859">
        <w:rPr>
          <w:shd w:val="clear" w:color="auto" w:fill="FFFFFF"/>
        </w:rPr>
        <w:t> = 0.50, medium effect sizes; and those equal or greater than </w:t>
      </w:r>
      <w:r w:rsidR="00694DDE" w:rsidRPr="00102859">
        <w:rPr>
          <w:rStyle w:val="Emphasis"/>
          <w:shd w:val="clear" w:color="auto" w:fill="FFFFFF"/>
        </w:rPr>
        <w:t>d</w:t>
      </w:r>
      <w:r w:rsidR="00694DDE" w:rsidRPr="00102859">
        <w:rPr>
          <w:shd w:val="clear" w:color="auto" w:fill="FFFFFF"/>
        </w:rPr>
        <w:t> = 0.80, large effect sizes </w:t>
      </w:r>
      <w:sdt>
        <w:sdtPr>
          <w:rPr>
            <w:shd w:val="clear" w:color="auto" w:fill="FFFFFF"/>
          </w:rPr>
          <w:id w:val="-1368052648"/>
          <w:citation/>
        </w:sdtPr>
        <w:sdtEndPr/>
        <w:sdtContent>
          <w:r w:rsidR="00694DDE" w:rsidRPr="00102859">
            <w:rPr>
              <w:shd w:val="clear" w:color="auto" w:fill="FFFFFF"/>
            </w:rPr>
            <w:fldChar w:fldCharType="begin"/>
          </w:r>
          <w:r w:rsidR="00694DDE" w:rsidRPr="00102859">
            <w:rPr>
              <w:shd w:val="clear" w:color="auto" w:fill="FFFFFF"/>
            </w:rPr>
            <w:instrText xml:space="preserve"> CITATION Coh92 \l 2057 </w:instrText>
          </w:r>
          <w:r w:rsidR="00694DDE" w:rsidRPr="00102859">
            <w:rPr>
              <w:shd w:val="clear" w:color="auto" w:fill="FFFFFF"/>
            </w:rPr>
            <w:fldChar w:fldCharType="separate"/>
          </w:r>
          <w:r w:rsidR="00694DDE" w:rsidRPr="00102859">
            <w:rPr>
              <w:noProof/>
              <w:shd w:val="clear" w:color="auto" w:fill="FFFFFF"/>
            </w:rPr>
            <w:t>(Cohen, 1992)</w:t>
          </w:r>
          <w:r w:rsidR="00694DDE" w:rsidRPr="00102859">
            <w:rPr>
              <w:shd w:val="clear" w:color="auto" w:fill="FFFFFF"/>
            </w:rPr>
            <w:fldChar w:fldCharType="end"/>
          </w:r>
        </w:sdtContent>
      </w:sdt>
      <w:r w:rsidR="00694DDE" w:rsidRPr="00102859">
        <w:rPr>
          <w:shd w:val="clear" w:color="auto" w:fill="FFFFFF"/>
        </w:rPr>
        <w:t>.</w:t>
      </w:r>
      <w:r w:rsidR="00694DDE" w:rsidRPr="00102859">
        <w:t xml:space="preserve"> </w:t>
      </w:r>
    </w:p>
    <w:p w14:paraId="4D205876" w14:textId="03523D65" w:rsidR="00F325AB" w:rsidRPr="00102859" w:rsidRDefault="003917FF" w:rsidP="005C34DD">
      <w:pPr>
        <w:spacing w:line="480" w:lineRule="auto"/>
        <w:ind w:firstLine="720"/>
      </w:pPr>
      <w:r w:rsidRPr="00102859">
        <w:t xml:space="preserve">The </w:t>
      </w:r>
      <w:r w:rsidR="00236E64" w:rsidRPr="00102859">
        <w:t>LMM</w:t>
      </w:r>
      <w:r w:rsidR="00B342BA" w:rsidRPr="00102859">
        <w:t xml:space="preserve">, which provided unbiased results in the presence of missing data (using all available data) was applied to </w:t>
      </w:r>
      <w:proofErr w:type="spellStart"/>
      <w:r w:rsidR="00B342BA" w:rsidRPr="00102859">
        <w:t>analy</w:t>
      </w:r>
      <w:r w:rsidR="009A100C" w:rsidRPr="00102859">
        <w:t>z</w:t>
      </w:r>
      <w:r w:rsidR="00B342BA" w:rsidRPr="00102859">
        <w:t>e</w:t>
      </w:r>
      <w:proofErr w:type="spellEnd"/>
      <w:r w:rsidR="00B342BA" w:rsidRPr="00102859">
        <w:t xml:space="preserve"> the intervention effect </w:t>
      </w:r>
      <w:r w:rsidR="00CC2916" w:rsidRPr="00102859">
        <w:t>accounting</w:t>
      </w:r>
      <w:r w:rsidR="00B342BA" w:rsidRPr="00102859">
        <w:t xml:space="preserve"> for </w:t>
      </w:r>
      <w:r w:rsidR="00CC2916" w:rsidRPr="00102859">
        <w:t>the repeated measurements.</w:t>
      </w:r>
      <w:r w:rsidR="00B342BA" w:rsidRPr="00102859">
        <w:t xml:space="preserve"> </w:t>
      </w:r>
      <w:r w:rsidR="000A27BD" w:rsidRPr="00102859">
        <w:t xml:space="preserve">An </w:t>
      </w:r>
      <w:r w:rsidR="009A100C" w:rsidRPr="00102859">
        <w:t>unstructured repeated effect</w:t>
      </w:r>
      <w:r w:rsidR="000A27BD" w:rsidRPr="00102859">
        <w:t xml:space="preserve"> and identify random effects covariance structure provided the best model fit </w:t>
      </w:r>
      <w:r w:rsidR="00E71F53" w:rsidRPr="00102859">
        <w:t xml:space="preserve">based on the </w:t>
      </w:r>
      <w:proofErr w:type="spellStart"/>
      <w:r w:rsidR="00E71F53" w:rsidRPr="00102859">
        <w:t>Akaike’s</w:t>
      </w:r>
      <w:proofErr w:type="spellEnd"/>
      <w:r w:rsidR="00E71F53" w:rsidRPr="00102859">
        <w:t xml:space="preserve"> Information </w:t>
      </w:r>
      <w:r w:rsidR="000F5AED" w:rsidRPr="00102859">
        <w:t>C</w:t>
      </w:r>
      <w:r w:rsidR="00E71F53" w:rsidRPr="00102859">
        <w:t>riterion</w:t>
      </w:r>
      <w:r w:rsidR="00236E64" w:rsidRPr="00102859">
        <w:t xml:space="preserve"> (AIC)</w:t>
      </w:r>
      <w:r w:rsidR="00E71F53" w:rsidRPr="00102859">
        <w:t xml:space="preserve">. </w:t>
      </w:r>
      <w:r w:rsidR="00E71F53" w:rsidRPr="00102859">
        <w:lastRenderedPageBreak/>
        <w:t>T</w:t>
      </w:r>
      <w:r w:rsidR="000A27BD" w:rsidRPr="00102859">
        <w:t>ime was treated as a repeated and fixed effect. Restricted maximum likelihood estimation was applied</w:t>
      </w:r>
      <w:r w:rsidR="001B5D30" w:rsidRPr="00102859">
        <w:t>.</w:t>
      </w:r>
      <w:r w:rsidR="000A27BD" w:rsidRPr="00102859">
        <w:t xml:space="preserve"> </w:t>
      </w:r>
      <w:r w:rsidR="001B5D30" w:rsidRPr="00102859">
        <w:t>The Type III F test sums of squares from the LMM are presented.</w:t>
      </w:r>
      <w:r w:rsidR="007B6AF0" w:rsidRPr="00102859">
        <w:t xml:space="preserve"> As a sensitivity analysis</w:t>
      </w:r>
      <w:r w:rsidRPr="00102859">
        <w:t>,</w:t>
      </w:r>
      <w:r w:rsidR="001B5D30" w:rsidRPr="00102859">
        <w:t xml:space="preserve"> </w:t>
      </w:r>
      <w:r w:rsidR="000A27BD" w:rsidRPr="00102859">
        <w:t xml:space="preserve">baseline tinnitus severity </w:t>
      </w:r>
      <w:r w:rsidR="001B5D30" w:rsidRPr="00102859">
        <w:t>w</w:t>
      </w:r>
      <w:r w:rsidR="000A27BD" w:rsidRPr="00102859">
        <w:t xml:space="preserve">as </w:t>
      </w:r>
      <w:r w:rsidR="007B6AF0" w:rsidRPr="00102859">
        <w:t xml:space="preserve">initially added as </w:t>
      </w:r>
      <w:r w:rsidR="000A27BD" w:rsidRPr="00102859">
        <w:t>a cov</w:t>
      </w:r>
      <w:r w:rsidR="00F325AB" w:rsidRPr="00102859">
        <w:t>ariate</w:t>
      </w:r>
      <w:r w:rsidR="00444473" w:rsidRPr="00102859">
        <w:t xml:space="preserve">. As it </w:t>
      </w:r>
      <w:r w:rsidR="00F325AB" w:rsidRPr="00102859">
        <w:t>had no</w:t>
      </w:r>
      <w:r w:rsidR="00BB2359" w:rsidRPr="00102859">
        <w:t xml:space="preserve"> significant e</w:t>
      </w:r>
      <w:r w:rsidR="00F325AB" w:rsidRPr="00102859">
        <w:t>ffect on the results</w:t>
      </w:r>
      <w:r w:rsidR="00444473" w:rsidRPr="00102859">
        <w:t>, it</w:t>
      </w:r>
      <w:r w:rsidR="00BE6D41" w:rsidRPr="00102859">
        <w:t xml:space="preserve"> </w:t>
      </w:r>
      <w:r w:rsidR="00F325AB" w:rsidRPr="00102859">
        <w:t>was removed from</w:t>
      </w:r>
      <w:r w:rsidR="00BB2359" w:rsidRPr="00102859">
        <w:t xml:space="preserve"> the model. </w:t>
      </w:r>
      <w:r w:rsidR="004170A3" w:rsidRPr="00102859">
        <w:t>S</w:t>
      </w:r>
      <w:r w:rsidR="00444473" w:rsidRPr="00102859">
        <w:t>ubgroup analysis was</w:t>
      </w:r>
      <w:r w:rsidR="004170A3" w:rsidRPr="00102859">
        <w:t xml:space="preserve"> performed for the three pre-defined subgroups to compare outcomes between them.</w:t>
      </w:r>
    </w:p>
    <w:p w14:paraId="29ED6EFF" w14:textId="63D25ED4" w:rsidR="00AC161A" w:rsidRPr="00102859" w:rsidRDefault="00AC161A" w:rsidP="005C34DD">
      <w:pPr>
        <w:spacing w:line="480" w:lineRule="auto"/>
        <w:ind w:firstLine="720"/>
      </w:pPr>
      <w:r w:rsidRPr="00102859">
        <w:t xml:space="preserve">The RCI </w:t>
      </w:r>
      <w:sdt>
        <w:sdtPr>
          <w:id w:val="1057827428"/>
          <w:citation/>
        </w:sdtPr>
        <w:sdtEndPr/>
        <w:sdtContent>
          <w:r w:rsidRPr="00102859">
            <w:fldChar w:fldCharType="begin"/>
          </w:r>
          <w:r w:rsidRPr="00102859">
            <w:instrText xml:space="preserve"> CITATION Jac911 \l 2057 </w:instrText>
          </w:r>
          <w:r w:rsidRPr="00102859">
            <w:fldChar w:fldCharType="separate"/>
          </w:r>
          <w:r w:rsidRPr="00102859">
            <w:rPr>
              <w:noProof/>
            </w:rPr>
            <w:t>(Jacobson &amp; Truax, 1991)</w:t>
          </w:r>
          <w:r w:rsidRPr="00102859">
            <w:fldChar w:fldCharType="end"/>
          </w:r>
        </w:sdtContent>
      </w:sdt>
      <w:r w:rsidRPr="00102859">
        <w:t xml:space="preserve"> was used as a</w:t>
      </w:r>
      <w:r w:rsidR="00D34782" w:rsidRPr="00102859">
        <w:t xml:space="preserve"> standa</w:t>
      </w:r>
      <w:r w:rsidR="00E21C35" w:rsidRPr="00102859">
        <w:t>rdized way</w:t>
      </w:r>
      <w:r w:rsidRPr="00102859">
        <w:t xml:space="preserve"> of calculating clinical significance for the TFI as the primary outcome. This was calculated using the mean </w:t>
      </w:r>
      <w:proofErr w:type="spellStart"/>
      <w:r w:rsidRPr="00102859">
        <w:t>pretest-posttest</w:t>
      </w:r>
      <w:proofErr w:type="spellEnd"/>
      <w:r w:rsidRPr="00102859">
        <w:t xml:space="preserve"> score difference, the </w:t>
      </w:r>
      <w:proofErr w:type="spellStart"/>
      <w:r w:rsidRPr="00102859">
        <w:t>pretreatment</w:t>
      </w:r>
      <w:proofErr w:type="spellEnd"/>
      <w:r w:rsidRPr="00102859">
        <w:t xml:space="preserve"> standard deviation</w:t>
      </w:r>
      <w:r w:rsidR="003E4EB3" w:rsidRPr="00102859">
        <w:t xml:space="preserve"> (26.00</w:t>
      </w:r>
      <w:r w:rsidR="00DF791A" w:rsidRPr="00102859">
        <w:t>)</w:t>
      </w:r>
      <w:r w:rsidRPr="00102859">
        <w:t>, and a test-retest reliability coefficient of 0.78, and as reported in the validation study (</w:t>
      </w:r>
      <w:proofErr w:type="spellStart"/>
      <w:r w:rsidRPr="00102859">
        <w:t>Meikle</w:t>
      </w:r>
      <w:proofErr w:type="spellEnd"/>
      <w:r w:rsidRPr="00102859">
        <w:t xml:space="preserve"> et al</w:t>
      </w:r>
      <w:r w:rsidR="00236E64" w:rsidRPr="00102859">
        <w:t>.</w:t>
      </w:r>
      <w:r w:rsidRPr="00102859">
        <w:t xml:space="preserve">, 2012). </w:t>
      </w:r>
    </w:p>
    <w:p w14:paraId="6C8856AD" w14:textId="77777777" w:rsidR="004D73B7" w:rsidRPr="00102859" w:rsidRDefault="004D73B7" w:rsidP="005C34DD">
      <w:pPr>
        <w:spacing w:line="480" w:lineRule="auto"/>
        <w:rPr>
          <w:shd w:val="clear" w:color="auto" w:fill="FFFFFF"/>
        </w:rPr>
      </w:pPr>
    </w:p>
    <w:p w14:paraId="67575485" w14:textId="1E05F9C7" w:rsidR="005B2849" w:rsidRPr="00102859" w:rsidRDefault="00597E82" w:rsidP="005C34DD">
      <w:pPr>
        <w:spacing w:line="480" w:lineRule="auto"/>
        <w:rPr>
          <w:b/>
          <w:bCs/>
          <w:i/>
          <w:iCs/>
        </w:rPr>
      </w:pPr>
      <w:r w:rsidRPr="00102859">
        <w:rPr>
          <w:b/>
          <w:bCs/>
          <w:i/>
          <w:iCs/>
        </w:rPr>
        <w:t xml:space="preserve">2.10.1 </w:t>
      </w:r>
      <w:r w:rsidR="005B2849" w:rsidRPr="00102859">
        <w:rPr>
          <w:b/>
          <w:bCs/>
          <w:i/>
          <w:iCs/>
        </w:rPr>
        <w:t xml:space="preserve">Sample </w:t>
      </w:r>
      <w:r w:rsidR="00EA56D5" w:rsidRPr="00102859">
        <w:rPr>
          <w:b/>
          <w:bCs/>
          <w:i/>
          <w:iCs/>
        </w:rPr>
        <w:t>C</w:t>
      </w:r>
      <w:r w:rsidR="005B2849" w:rsidRPr="00102859">
        <w:rPr>
          <w:b/>
          <w:bCs/>
          <w:i/>
          <w:iCs/>
        </w:rPr>
        <w:t xml:space="preserve">haracteristics </w:t>
      </w:r>
    </w:p>
    <w:p w14:paraId="07D6533B" w14:textId="5D56723B" w:rsidR="00AE7D82" w:rsidRPr="00102859" w:rsidRDefault="005B2849" w:rsidP="005C34DD">
      <w:pPr>
        <w:spacing w:line="480" w:lineRule="auto"/>
      </w:pPr>
      <w:r w:rsidRPr="00102859">
        <w:t xml:space="preserve">Descriptive statistics including gender, age, </w:t>
      </w:r>
      <w:r w:rsidR="00926C43" w:rsidRPr="00102859">
        <w:t>ethnicity</w:t>
      </w:r>
      <w:r w:rsidR="008C49A8" w:rsidRPr="00102859">
        <w:t>, race,</w:t>
      </w:r>
      <w:r w:rsidR="00926C43" w:rsidRPr="00102859">
        <w:t xml:space="preserve"> </w:t>
      </w:r>
      <w:r w:rsidRPr="00102859">
        <w:t xml:space="preserve">tinnitus duration, hearing aid use, and professionals consulted, </w:t>
      </w:r>
      <w:r w:rsidR="008C49A8" w:rsidRPr="00102859">
        <w:t xml:space="preserve">ease of computer use, veteran status, </w:t>
      </w:r>
      <w:r w:rsidR="00926C43" w:rsidRPr="00102859">
        <w:t>education</w:t>
      </w:r>
      <w:r w:rsidR="00444473" w:rsidRPr="00102859">
        <w:t>,</w:t>
      </w:r>
      <w:r w:rsidR="00926C43" w:rsidRPr="00102859">
        <w:t xml:space="preserve"> and employment status </w:t>
      </w:r>
      <w:r w:rsidRPr="00102859">
        <w:t xml:space="preserve">were used to describe the sample. The mean and standard deviation were reported for each outcome measure at each time point. Descriptive statistics were also used to </w:t>
      </w:r>
      <w:r w:rsidR="007B3DC3" w:rsidRPr="00102859">
        <w:t xml:space="preserve">assess </w:t>
      </w:r>
      <w:r w:rsidR="00962E12" w:rsidRPr="00102859">
        <w:t>the sample and</w:t>
      </w:r>
      <w:r w:rsidRPr="00102859">
        <w:t xml:space="preserve"> intervention engagement including the n</w:t>
      </w:r>
      <w:r w:rsidR="00CA4B87" w:rsidRPr="00102859">
        <w:t>umber of logins and modules opened</w:t>
      </w:r>
      <w:r w:rsidRPr="00102859">
        <w:t xml:space="preserve">. </w:t>
      </w:r>
      <w:r w:rsidR="00027516" w:rsidRPr="00102859">
        <w:t xml:space="preserve">A </w:t>
      </w:r>
      <w:r w:rsidR="000F5AED" w:rsidRPr="00102859">
        <w:t>C</w:t>
      </w:r>
      <w:r w:rsidR="00027516" w:rsidRPr="00102859">
        <w:t>hi-</w:t>
      </w:r>
      <w:r w:rsidR="000F5AED" w:rsidRPr="00102859">
        <w:t>squ</w:t>
      </w:r>
      <w:r w:rsidR="00027516" w:rsidRPr="00102859">
        <w:t xml:space="preserve">are test of independence was used to </w:t>
      </w:r>
      <w:r w:rsidR="00E66499" w:rsidRPr="00102859">
        <w:t>identify</w:t>
      </w:r>
      <w:r w:rsidR="00027516" w:rsidRPr="00102859">
        <w:t xml:space="preserve"> group differences regarding engagement and compliance rates.</w:t>
      </w:r>
    </w:p>
    <w:p w14:paraId="749ADB70" w14:textId="77777777" w:rsidR="004D1C39" w:rsidRPr="00102859" w:rsidRDefault="004D1C39" w:rsidP="005C34DD">
      <w:pPr>
        <w:spacing w:line="480" w:lineRule="auto"/>
      </w:pPr>
    </w:p>
    <w:p w14:paraId="114FF333" w14:textId="77777777" w:rsidR="0083342B" w:rsidRPr="00102859" w:rsidRDefault="0083342B" w:rsidP="005C34DD">
      <w:pPr>
        <w:pStyle w:val="ListParagraph"/>
        <w:numPr>
          <w:ilvl w:val="0"/>
          <w:numId w:val="22"/>
        </w:numPr>
        <w:rPr>
          <w:rFonts w:cs="Times New Roman"/>
          <w:b/>
          <w:bCs/>
          <w:sz w:val="28"/>
          <w:szCs w:val="28"/>
        </w:rPr>
      </w:pPr>
      <w:r w:rsidRPr="00102859">
        <w:rPr>
          <w:rFonts w:cs="Times New Roman"/>
          <w:b/>
          <w:bCs/>
          <w:sz w:val="28"/>
          <w:szCs w:val="28"/>
        </w:rPr>
        <w:t>Results</w:t>
      </w:r>
    </w:p>
    <w:p w14:paraId="4331A659" w14:textId="77777777" w:rsidR="0083342B" w:rsidRPr="00102859" w:rsidRDefault="0083342B" w:rsidP="005C34DD">
      <w:pPr>
        <w:spacing w:line="480" w:lineRule="auto"/>
        <w:rPr>
          <w:b/>
        </w:rPr>
      </w:pPr>
      <w:r w:rsidRPr="00102859">
        <w:rPr>
          <w:b/>
        </w:rPr>
        <w:t>3.1 Participant Characteristics</w:t>
      </w:r>
    </w:p>
    <w:p w14:paraId="62C76E5C" w14:textId="4004B44C" w:rsidR="0083342B" w:rsidRPr="00102859" w:rsidRDefault="0083342B" w:rsidP="005C34DD">
      <w:pPr>
        <w:spacing w:line="480" w:lineRule="auto"/>
      </w:pPr>
      <w:r w:rsidRPr="00102859">
        <w:t>A total of 126 screened participants met the eligibility criteria and were randomly assigned to the ICBT (n = 63) and applied relaxation groups (n = 63) as seen in Figure 1. There was no estimated difference in baseline tinnitus severity between the groups (</w:t>
      </w:r>
      <w:r w:rsidRPr="00102859">
        <w:rPr>
          <w:i/>
          <w:iCs/>
        </w:rPr>
        <w:t xml:space="preserve">p </w:t>
      </w:r>
      <w:r w:rsidRPr="00102859">
        <w:t>= .92). Of the total sample</w:t>
      </w:r>
      <w:r w:rsidR="00444473" w:rsidRPr="00102859">
        <w:t>,</w:t>
      </w:r>
      <w:r w:rsidRPr="00102859">
        <w:t xml:space="preserve"> 51% were female and 49% male with a mean age of 57 (SD: 12) years and most </w:t>
      </w:r>
      <w:r w:rsidRPr="00102859">
        <w:lastRenderedPageBreak/>
        <w:t>participants (91%) indicated that they were frequent comp</w:t>
      </w:r>
      <w:r w:rsidR="0043799A" w:rsidRPr="00102859">
        <w:t>uter and internet users (Table 2</w:t>
      </w:r>
      <w:r w:rsidRPr="00102859">
        <w:t xml:space="preserve">). The groups were well matched although there were more females in the ICBT group (59%) compared with 40% in the applied relaxation group and the duration of tinnitus was shorter in the ICBT group (10 years) compared with 15 years for the applied relaxation group. To assess the effect of tinnitus subgroups, participants were subdivided into three groups: </w:t>
      </w:r>
    </w:p>
    <w:p w14:paraId="17E1AAF2" w14:textId="77777777" w:rsidR="0083342B" w:rsidRPr="00102859" w:rsidRDefault="0083342B" w:rsidP="005C34DD">
      <w:pPr>
        <w:pStyle w:val="ListParagraph"/>
        <w:numPr>
          <w:ilvl w:val="0"/>
          <w:numId w:val="16"/>
        </w:numPr>
        <w:ind w:left="714" w:hanging="357"/>
        <w:rPr>
          <w:rFonts w:cs="Times New Roman"/>
        </w:rPr>
      </w:pPr>
      <w:r w:rsidRPr="00102859">
        <w:rPr>
          <w:rFonts w:cs="Times New Roman"/>
        </w:rPr>
        <w:t>High depression group: Those with high depression scores (i.e., above 15) or indicating a positive response to question 10 of suicidal inclination in PHQ-9: 49/126 (39%).</w:t>
      </w:r>
    </w:p>
    <w:p w14:paraId="4767D27E" w14:textId="77777777" w:rsidR="0083342B" w:rsidRPr="00102859" w:rsidRDefault="0083342B" w:rsidP="005C34DD">
      <w:pPr>
        <w:pStyle w:val="ListParagraph"/>
        <w:numPr>
          <w:ilvl w:val="0"/>
          <w:numId w:val="16"/>
        </w:numPr>
        <w:ind w:left="714" w:hanging="357"/>
        <w:rPr>
          <w:rFonts w:cs="Times New Roman"/>
        </w:rPr>
      </w:pPr>
      <w:r w:rsidRPr="00102859">
        <w:rPr>
          <w:rFonts w:cs="Times New Roman"/>
        </w:rPr>
        <w:t>High tinnitus severity group: Participants with TFI scores of 25 or greater indicating the need for a clinical intervention: 45/126 (36%).</w:t>
      </w:r>
    </w:p>
    <w:p w14:paraId="4000BDC4" w14:textId="77777777" w:rsidR="0083342B" w:rsidRPr="00102859" w:rsidRDefault="0083342B" w:rsidP="005C34DD">
      <w:pPr>
        <w:pStyle w:val="ListParagraph"/>
        <w:numPr>
          <w:ilvl w:val="0"/>
          <w:numId w:val="16"/>
        </w:numPr>
        <w:ind w:left="714" w:hanging="357"/>
        <w:rPr>
          <w:rFonts w:cs="Times New Roman"/>
        </w:rPr>
      </w:pPr>
      <w:r w:rsidRPr="00102859">
        <w:rPr>
          <w:rFonts w:cs="Times New Roman"/>
        </w:rPr>
        <w:t>Low tinnitus severity group: Those with low TFI scores below 25 identifying that they needed help with their tinnitus: 32/126 (25%).</w:t>
      </w:r>
    </w:p>
    <w:p w14:paraId="3D394ABD" w14:textId="77777777" w:rsidR="0083342B" w:rsidRPr="00102859" w:rsidRDefault="0083342B" w:rsidP="005C34DD">
      <w:pPr>
        <w:spacing w:line="480" w:lineRule="auto"/>
      </w:pPr>
    </w:p>
    <w:p w14:paraId="6108C8DE" w14:textId="2ACA0892" w:rsidR="005C34DD" w:rsidRPr="00102859" w:rsidRDefault="005C34DD" w:rsidP="005C34DD">
      <w:pPr>
        <w:spacing w:line="480" w:lineRule="auto"/>
      </w:pPr>
      <w:r w:rsidRPr="00102859">
        <w:t>This intervention commenced in May 2020. This timing was unfortunate as it coincided with the peak of the COVID-19 pandemic. Some participants reported became ill, struggling to adjust emotionally, or finding the required lifestyle changes difficult</w:t>
      </w:r>
      <w:r w:rsidR="004D1C39" w:rsidRPr="00102859">
        <w:t>,</w:t>
      </w:r>
      <w:r w:rsidRPr="00102859">
        <w:t xml:space="preserve"> which could directly impact on the trial.</w:t>
      </w:r>
    </w:p>
    <w:p w14:paraId="1E95D950" w14:textId="6A73953C" w:rsidR="0083342B" w:rsidRPr="00102859" w:rsidRDefault="0083342B" w:rsidP="005C34DD">
      <w:pPr>
        <w:spacing w:line="480" w:lineRule="auto"/>
      </w:pPr>
    </w:p>
    <w:p w14:paraId="6F312118" w14:textId="02F1A2C5" w:rsidR="004D1C39" w:rsidRPr="00102859" w:rsidRDefault="004D1C39" w:rsidP="005C34DD">
      <w:pPr>
        <w:spacing w:line="480" w:lineRule="auto"/>
      </w:pPr>
      <w:r w:rsidRPr="00102859">
        <w:t>[Insert Figure 1 here]</w:t>
      </w:r>
    </w:p>
    <w:p w14:paraId="7D436EF7" w14:textId="77777777" w:rsidR="004D1C39" w:rsidRPr="00102859" w:rsidRDefault="004D1C39" w:rsidP="005C34DD">
      <w:pPr>
        <w:spacing w:line="480" w:lineRule="auto"/>
      </w:pPr>
    </w:p>
    <w:p w14:paraId="21DF44FF" w14:textId="00DF38AC" w:rsidR="0083342B" w:rsidRPr="00102859" w:rsidRDefault="0083342B" w:rsidP="004D1C39">
      <w:pPr>
        <w:pStyle w:val="Caption"/>
        <w:spacing w:after="0" w:line="480" w:lineRule="auto"/>
        <w:rPr>
          <w:rFonts w:ascii="Times New Roman" w:hAnsi="Times New Roman" w:cs="Times New Roman"/>
          <w:b/>
          <w:i w:val="0"/>
          <w:color w:val="auto"/>
          <w:sz w:val="24"/>
          <w:szCs w:val="24"/>
          <w:lang w:val="en-US"/>
        </w:rPr>
      </w:pPr>
      <w:r w:rsidRPr="00102859">
        <w:rPr>
          <w:rFonts w:ascii="Times New Roman" w:hAnsi="Times New Roman" w:cs="Times New Roman"/>
          <w:b/>
          <w:i w:val="0"/>
          <w:color w:val="auto"/>
          <w:sz w:val="24"/>
          <w:szCs w:val="24"/>
          <w:lang w:val="en-US"/>
        </w:rPr>
        <w:t>Table 2. Demographical characteristics of the participants</w:t>
      </w:r>
      <w:r w:rsidR="004D1C39" w:rsidRPr="00102859">
        <w:rPr>
          <w:rFonts w:ascii="Times New Roman" w:hAnsi="Times New Roman" w:cs="Times New Roman"/>
          <w:b/>
          <w:i w:val="0"/>
          <w:color w:val="auto"/>
          <w:sz w:val="24"/>
          <w:szCs w:val="24"/>
          <w:lang w:val="en-US"/>
        </w:rPr>
        <w:t xml:space="preserve">  </w:t>
      </w:r>
    </w:p>
    <w:tbl>
      <w:tblPr>
        <w:tblStyle w:val="PlainTable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62"/>
        <w:gridCol w:w="2039"/>
        <w:gridCol w:w="2039"/>
        <w:gridCol w:w="2282"/>
      </w:tblGrid>
      <w:tr w:rsidR="00102859" w:rsidRPr="00102859" w14:paraId="57EF6167" w14:textId="77777777" w:rsidTr="00CF7B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D66A35C" w14:textId="77777777" w:rsidR="0083342B" w:rsidRPr="00102859" w:rsidRDefault="0083342B" w:rsidP="005C34DD">
            <w:pPr>
              <w:spacing w:line="480" w:lineRule="auto"/>
              <w:rPr>
                <w:sz w:val="24"/>
                <w:szCs w:val="24"/>
              </w:rPr>
            </w:pPr>
            <w:r w:rsidRPr="00102859">
              <w:rPr>
                <w:sz w:val="24"/>
                <w:szCs w:val="24"/>
              </w:rPr>
              <w:t>Category</w:t>
            </w:r>
          </w:p>
        </w:tc>
        <w:tc>
          <w:tcPr>
            <w:tcW w:w="1862" w:type="dxa"/>
          </w:tcPr>
          <w:p w14:paraId="3595C728" w14:textId="77777777" w:rsidR="0083342B" w:rsidRPr="00102859" w:rsidRDefault="0083342B" w:rsidP="005C34DD">
            <w:pPr>
              <w:spacing w:line="480" w:lineRule="auto"/>
              <w:cnfStyle w:val="100000000000" w:firstRow="1" w:lastRow="0" w:firstColumn="0" w:lastColumn="0" w:oddVBand="0" w:evenVBand="0" w:oddHBand="0" w:evenHBand="0" w:firstRowFirstColumn="0" w:firstRowLastColumn="0" w:lastRowFirstColumn="0" w:lastRowLastColumn="0"/>
              <w:rPr>
                <w:sz w:val="24"/>
                <w:szCs w:val="24"/>
              </w:rPr>
            </w:pPr>
            <w:r w:rsidRPr="00102859">
              <w:rPr>
                <w:sz w:val="24"/>
                <w:szCs w:val="24"/>
              </w:rPr>
              <w:t>Description</w:t>
            </w:r>
          </w:p>
        </w:tc>
        <w:tc>
          <w:tcPr>
            <w:tcW w:w="2039" w:type="dxa"/>
          </w:tcPr>
          <w:p w14:paraId="4E060EFD" w14:textId="77777777" w:rsidR="0083342B" w:rsidRPr="00102859" w:rsidRDefault="0083342B" w:rsidP="005C34DD">
            <w:pPr>
              <w:spacing w:line="480" w:lineRule="auto"/>
              <w:cnfStyle w:val="100000000000" w:firstRow="1" w:lastRow="0" w:firstColumn="0" w:lastColumn="0" w:oddVBand="0" w:evenVBand="0" w:oddHBand="0" w:evenHBand="0" w:firstRowFirstColumn="0" w:firstRowLastColumn="0" w:lastRowFirstColumn="0" w:lastRowLastColumn="0"/>
              <w:rPr>
                <w:sz w:val="24"/>
                <w:szCs w:val="24"/>
              </w:rPr>
            </w:pPr>
            <w:r w:rsidRPr="00102859">
              <w:rPr>
                <w:sz w:val="24"/>
                <w:szCs w:val="24"/>
              </w:rPr>
              <w:t xml:space="preserve">ICBT group </w:t>
            </w:r>
          </w:p>
          <w:p w14:paraId="5979E85C" w14:textId="77777777" w:rsidR="0083342B" w:rsidRPr="00102859" w:rsidRDefault="0083342B" w:rsidP="005C34DD">
            <w:pPr>
              <w:spacing w:line="480" w:lineRule="auto"/>
              <w:cnfStyle w:val="100000000000" w:firstRow="1" w:lastRow="0" w:firstColumn="0" w:lastColumn="0" w:oddVBand="0" w:evenVBand="0" w:oddHBand="0" w:evenHBand="0" w:firstRowFirstColumn="0" w:firstRowLastColumn="0" w:lastRowFirstColumn="0" w:lastRowLastColumn="0"/>
              <w:rPr>
                <w:sz w:val="24"/>
                <w:szCs w:val="24"/>
              </w:rPr>
            </w:pPr>
            <w:r w:rsidRPr="00102859">
              <w:rPr>
                <w:sz w:val="24"/>
                <w:szCs w:val="24"/>
              </w:rPr>
              <w:t xml:space="preserve">(n = 63) </w:t>
            </w:r>
          </w:p>
        </w:tc>
        <w:tc>
          <w:tcPr>
            <w:tcW w:w="2039" w:type="dxa"/>
          </w:tcPr>
          <w:p w14:paraId="34D3F334" w14:textId="77777777" w:rsidR="0083342B" w:rsidRPr="00102859" w:rsidRDefault="0083342B" w:rsidP="005C34DD">
            <w:pPr>
              <w:spacing w:line="480" w:lineRule="auto"/>
              <w:cnfStyle w:val="100000000000" w:firstRow="1" w:lastRow="0" w:firstColumn="0" w:lastColumn="0" w:oddVBand="0" w:evenVBand="0" w:oddHBand="0" w:evenHBand="0" w:firstRowFirstColumn="0" w:firstRowLastColumn="0" w:lastRowFirstColumn="0" w:lastRowLastColumn="0"/>
              <w:rPr>
                <w:sz w:val="24"/>
                <w:szCs w:val="24"/>
              </w:rPr>
            </w:pPr>
            <w:r w:rsidRPr="00102859">
              <w:rPr>
                <w:sz w:val="24"/>
                <w:szCs w:val="24"/>
              </w:rPr>
              <w:t xml:space="preserve">IRA group </w:t>
            </w:r>
          </w:p>
          <w:p w14:paraId="4225ED4E" w14:textId="77777777" w:rsidR="0083342B" w:rsidRPr="00102859" w:rsidRDefault="0083342B" w:rsidP="005C34DD">
            <w:pPr>
              <w:spacing w:line="480" w:lineRule="auto"/>
              <w:cnfStyle w:val="100000000000" w:firstRow="1" w:lastRow="0" w:firstColumn="0" w:lastColumn="0" w:oddVBand="0" w:evenVBand="0" w:oddHBand="0" w:evenHBand="0" w:firstRowFirstColumn="0" w:firstRowLastColumn="0" w:lastRowFirstColumn="0" w:lastRowLastColumn="0"/>
              <w:rPr>
                <w:sz w:val="24"/>
                <w:szCs w:val="24"/>
              </w:rPr>
            </w:pPr>
            <w:r w:rsidRPr="00102859">
              <w:rPr>
                <w:sz w:val="24"/>
                <w:szCs w:val="24"/>
              </w:rPr>
              <w:t xml:space="preserve">(n = 63) </w:t>
            </w:r>
          </w:p>
        </w:tc>
        <w:tc>
          <w:tcPr>
            <w:tcW w:w="2282" w:type="dxa"/>
          </w:tcPr>
          <w:p w14:paraId="440D93E4" w14:textId="77777777" w:rsidR="0083342B" w:rsidRPr="00102859" w:rsidRDefault="0083342B" w:rsidP="005C34DD">
            <w:pPr>
              <w:spacing w:line="480" w:lineRule="auto"/>
              <w:cnfStyle w:val="100000000000" w:firstRow="1" w:lastRow="0" w:firstColumn="0" w:lastColumn="0" w:oddVBand="0" w:evenVBand="0" w:oddHBand="0" w:evenHBand="0" w:firstRowFirstColumn="0" w:firstRowLastColumn="0" w:lastRowFirstColumn="0" w:lastRowLastColumn="0"/>
              <w:rPr>
                <w:sz w:val="24"/>
                <w:szCs w:val="24"/>
              </w:rPr>
            </w:pPr>
            <w:r w:rsidRPr="00102859">
              <w:rPr>
                <w:sz w:val="24"/>
                <w:szCs w:val="24"/>
              </w:rPr>
              <w:t>Overall (n = 126)</w:t>
            </w:r>
          </w:p>
        </w:tc>
      </w:tr>
      <w:tr w:rsidR="00102859" w:rsidRPr="00102859" w14:paraId="611CE2DF" w14:textId="77777777" w:rsidTr="00CF7B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5788283" w14:textId="77777777" w:rsidR="0083342B" w:rsidRPr="00102859" w:rsidRDefault="0083342B" w:rsidP="005C34DD">
            <w:pPr>
              <w:spacing w:line="480" w:lineRule="auto"/>
              <w:rPr>
                <w:sz w:val="24"/>
                <w:szCs w:val="24"/>
              </w:rPr>
            </w:pPr>
            <w:r w:rsidRPr="00102859">
              <w:rPr>
                <w:sz w:val="24"/>
                <w:szCs w:val="24"/>
              </w:rPr>
              <w:t>Gender</w:t>
            </w:r>
          </w:p>
        </w:tc>
        <w:tc>
          <w:tcPr>
            <w:tcW w:w="1862" w:type="dxa"/>
          </w:tcPr>
          <w:p w14:paraId="4B33AA1D"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Male</w:t>
            </w:r>
          </w:p>
          <w:p w14:paraId="1812022A"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Female</w:t>
            </w:r>
          </w:p>
        </w:tc>
        <w:tc>
          <w:tcPr>
            <w:tcW w:w="2039" w:type="dxa"/>
          </w:tcPr>
          <w:p w14:paraId="05E9C0C1"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26 (41%)</w:t>
            </w:r>
          </w:p>
          <w:p w14:paraId="73946821"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37 (59%)</w:t>
            </w:r>
          </w:p>
        </w:tc>
        <w:tc>
          <w:tcPr>
            <w:tcW w:w="2039" w:type="dxa"/>
          </w:tcPr>
          <w:p w14:paraId="1F6BA6C9"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38 (60%)</w:t>
            </w:r>
          </w:p>
          <w:p w14:paraId="7FEA3CF7"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25 (40%)</w:t>
            </w:r>
          </w:p>
        </w:tc>
        <w:tc>
          <w:tcPr>
            <w:tcW w:w="2282" w:type="dxa"/>
          </w:tcPr>
          <w:p w14:paraId="5831C8AA"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 xml:space="preserve"> 64 (51%)</w:t>
            </w:r>
          </w:p>
          <w:p w14:paraId="08EC0232"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 xml:space="preserve"> 62 (49%)</w:t>
            </w:r>
          </w:p>
        </w:tc>
      </w:tr>
      <w:tr w:rsidR="00102859" w:rsidRPr="00102859" w14:paraId="63870BB4" w14:textId="77777777" w:rsidTr="00CF7BE2">
        <w:tc>
          <w:tcPr>
            <w:cnfStyle w:val="001000000000" w:firstRow="0" w:lastRow="0" w:firstColumn="1" w:lastColumn="0" w:oddVBand="0" w:evenVBand="0" w:oddHBand="0" w:evenHBand="0" w:firstRowFirstColumn="0" w:firstRowLastColumn="0" w:lastRowFirstColumn="0" w:lastRowLastColumn="0"/>
            <w:tcW w:w="1696" w:type="dxa"/>
          </w:tcPr>
          <w:p w14:paraId="2C387362" w14:textId="77777777" w:rsidR="0083342B" w:rsidRPr="00102859" w:rsidRDefault="0083342B" w:rsidP="005C34DD">
            <w:pPr>
              <w:spacing w:line="480" w:lineRule="auto"/>
              <w:rPr>
                <w:sz w:val="24"/>
                <w:szCs w:val="24"/>
              </w:rPr>
            </w:pPr>
            <w:r w:rsidRPr="00102859">
              <w:rPr>
                <w:sz w:val="24"/>
                <w:szCs w:val="24"/>
              </w:rPr>
              <w:lastRenderedPageBreak/>
              <w:t xml:space="preserve">Age </w:t>
            </w:r>
          </w:p>
        </w:tc>
        <w:tc>
          <w:tcPr>
            <w:tcW w:w="1862" w:type="dxa"/>
          </w:tcPr>
          <w:p w14:paraId="0CAF3F6F"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Mean years</w:t>
            </w:r>
            <w:r w:rsidRPr="00102859">
              <w:rPr>
                <w:i/>
                <w:sz w:val="24"/>
                <w:szCs w:val="24"/>
              </w:rPr>
              <w:t xml:space="preserve"> </w:t>
            </w:r>
            <w:r w:rsidRPr="00102859">
              <w:rPr>
                <w:sz w:val="24"/>
                <w:szCs w:val="24"/>
              </w:rPr>
              <w:t>(SD)</w:t>
            </w:r>
          </w:p>
          <w:p w14:paraId="3A214E15"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Range</w:t>
            </w:r>
          </w:p>
        </w:tc>
        <w:tc>
          <w:tcPr>
            <w:tcW w:w="2039" w:type="dxa"/>
          </w:tcPr>
          <w:p w14:paraId="2ABD3D6B"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55 (13)</w:t>
            </w:r>
          </w:p>
          <w:p w14:paraId="38E9F7C8"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 xml:space="preserve"> 25</w:t>
            </w:r>
            <w:r w:rsidRPr="00102859">
              <w:rPr>
                <w:sz w:val="24"/>
                <w:szCs w:val="24"/>
                <w:shd w:val="clear" w:color="auto" w:fill="FFFFFF"/>
              </w:rPr>
              <w:t xml:space="preserve">–79 </w:t>
            </w:r>
            <w:r w:rsidRPr="00102859">
              <w:rPr>
                <w:sz w:val="24"/>
                <w:szCs w:val="24"/>
              </w:rPr>
              <w:t>years</w:t>
            </w:r>
          </w:p>
        </w:tc>
        <w:tc>
          <w:tcPr>
            <w:tcW w:w="2039" w:type="dxa"/>
          </w:tcPr>
          <w:p w14:paraId="02D37932"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57 (13)</w:t>
            </w:r>
          </w:p>
          <w:p w14:paraId="05DD15DC"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 xml:space="preserve"> 26</w:t>
            </w:r>
            <w:r w:rsidRPr="00102859">
              <w:rPr>
                <w:sz w:val="24"/>
                <w:szCs w:val="24"/>
                <w:shd w:val="clear" w:color="auto" w:fill="FFFFFF"/>
              </w:rPr>
              <w:t xml:space="preserve">–81 </w:t>
            </w:r>
            <w:r w:rsidRPr="00102859">
              <w:rPr>
                <w:sz w:val="24"/>
                <w:szCs w:val="24"/>
              </w:rPr>
              <w:t>years</w:t>
            </w:r>
          </w:p>
        </w:tc>
        <w:tc>
          <w:tcPr>
            <w:tcW w:w="2282" w:type="dxa"/>
          </w:tcPr>
          <w:p w14:paraId="0D9C503A"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56 (13)</w:t>
            </w:r>
          </w:p>
          <w:p w14:paraId="40BE6720"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 xml:space="preserve"> 25</w:t>
            </w:r>
            <w:r w:rsidRPr="00102859">
              <w:rPr>
                <w:sz w:val="24"/>
                <w:szCs w:val="24"/>
                <w:shd w:val="clear" w:color="auto" w:fill="FFFFFF"/>
              </w:rPr>
              <w:t>–</w:t>
            </w:r>
            <w:r w:rsidRPr="00102859">
              <w:rPr>
                <w:sz w:val="24"/>
                <w:szCs w:val="24"/>
              </w:rPr>
              <w:t>81 years</w:t>
            </w:r>
          </w:p>
        </w:tc>
      </w:tr>
      <w:tr w:rsidR="00102859" w:rsidRPr="00102859" w14:paraId="265106D4" w14:textId="77777777" w:rsidTr="00CF7B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ED8EF14" w14:textId="77777777" w:rsidR="0083342B" w:rsidRPr="00102859" w:rsidRDefault="0083342B" w:rsidP="005C34DD">
            <w:pPr>
              <w:spacing w:line="480" w:lineRule="auto"/>
              <w:rPr>
                <w:sz w:val="24"/>
                <w:szCs w:val="24"/>
              </w:rPr>
            </w:pPr>
            <w:r w:rsidRPr="00102859">
              <w:rPr>
                <w:sz w:val="24"/>
                <w:szCs w:val="24"/>
              </w:rPr>
              <w:t>Tinnitus duration</w:t>
            </w:r>
          </w:p>
        </w:tc>
        <w:tc>
          <w:tcPr>
            <w:tcW w:w="1862" w:type="dxa"/>
          </w:tcPr>
          <w:p w14:paraId="7358A150"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Mean years (SD)</w:t>
            </w:r>
          </w:p>
          <w:p w14:paraId="2A316C1B"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b/>
                <w:sz w:val="24"/>
                <w:szCs w:val="24"/>
              </w:rPr>
            </w:pPr>
            <w:r w:rsidRPr="00102859">
              <w:rPr>
                <w:sz w:val="24"/>
                <w:szCs w:val="24"/>
              </w:rPr>
              <w:t>Range</w:t>
            </w:r>
          </w:p>
        </w:tc>
        <w:tc>
          <w:tcPr>
            <w:tcW w:w="2039" w:type="dxa"/>
          </w:tcPr>
          <w:p w14:paraId="450D0CF8"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 xml:space="preserve">10 (11) </w:t>
            </w:r>
          </w:p>
          <w:p w14:paraId="20B752AC"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8 months to 52 years</w:t>
            </w:r>
          </w:p>
        </w:tc>
        <w:tc>
          <w:tcPr>
            <w:tcW w:w="2039" w:type="dxa"/>
          </w:tcPr>
          <w:p w14:paraId="33EB5C63"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15 (14)</w:t>
            </w:r>
          </w:p>
          <w:p w14:paraId="67441BE0"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3 months to  60 years</w:t>
            </w:r>
          </w:p>
        </w:tc>
        <w:tc>
          <w:tcPr>
            <w:tcW w:w="2282" w:type="dxa"/>
          </w:tcPr>
          <w:p w14:paraId="3AEE5F61"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 xml:space="preserve"> 12 (12)</w:t>
            </w:r>
          </w:p>
          <w:p w14:paraId="65CDE181"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3 months to  60 years</w:t>
            </w:r>
          </w:p>
        </w:tc>
      </w:tr>
      <w:tr w:rsidR="00102859" w:rsidRPr="00102859" w14:paraId="67353032" w14:textId="77777777" w:rsidTr="00CF7BE2">
        <w:tc>
          <w:tcPr>
            <w:cnfStyle w:val="001000000000" w:firstRow="0" w:lastRow="0" w:firstColumn="1" w:lastColumn="0" w:oddVBand="0" w:evenVBand="0" w:oddHBand="0" w:evenHBand="0" w:firstRowFirstColumn="0" w:firstRowLastColumn="0" w:lastRowFirstColumn="0" w:lastRowLastColumn="0"/>
            <w:tcW w:w="1696" w:type="dxa"/>
          </w:tcPr>
          <w:p w14:paraId="0D7FBB40" w14:textId="77777777" w:rsidR="0083342B" w:rsidRPr="00102859" w:rsidRDefault="0083342B" w:rsidP="005C34DD">
            <w:pPr>
              <w:spacing w:line="480" w:lineRule="auto"/>
            </w:pPr>
            <w:r w:rsidRPr="00102859">
              <w:rPr>
                <w:sz w:val="24"/>
                <w:szCs w:val="24"/>
              </w:rPr>
              <w:t>Ethnicity</w:t>
            </w:r>
          </w:p>
        </w:tc>
        <w:tc>
          <w:tcPr>
            <w:tcW w:w="1862" w:type="dxa"/>
          </w:tcPr>
          <w:p w14:paraId="783F3D9E"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Hispanic/ Latino</w:t>
            </w:r>
          </w:p>
          <w:p w14:paraId="2D2BDF85"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Not-Hispanic/ Latino</w:t>
            </w:r>
          </w:p>
        </w:tc>
        <w:tc>
          <w:tcPr>
            <w:tcW w:w="2039" w:type="dxa"/>
          </w:tcPr>
          <w:p w14:paraId="072AB462"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t>4 (6%)</w:t>
            </w:r>
          </w:p>
          <w:p w14:paraId="5F9D8108"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pPr>
          </w:p>
          <w:p w14:paraId="0C56B686" w14:textId="0361F26A"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t>59 (94%)</w:t>
            </w:r>
          </w:p>
        </w:tc>
        <w:tc>
          <w:tcPr>
            <w:tcW w:w="2039" w:type="dxa"/>
          </w:tcPr>
          <w:p w14:paraId="75A4D884"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t>4 (6%)</w:t>
            </w:r>
          </w:p>
          <w:p w14:paraId="2F3D7EA6"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pPr>
          </w:p>
          <w:p w14:paraId="501335BD" w14:textId="74C7C780"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t>59 (94%)</w:t>
            </w:r>
          </w:p>
        </w:tc>
        <w:tc>
          <w:tcPr>
            <w:tcW w:w="2282" w:type="dxa"/>
          </w:tcPr>
          <w:p w14:paraId="0C01822F"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t>8 (6%)</w:t>
            </w:r>
          </w:p>
          <w:p w14:paraId="137C99C9"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pPr>
          </w:p>
          <w:p w14:paraId="30EBF57B" w14:textId="26869130"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t>118 (94%)</w:t>
            </w:r>
          </w:p>
        </w:tc>
      </w:tr>
      <w:tr w:rsidR="00102859" w:rsidRPr="00102859" w14:paraId="5B4DBC62" w14:textId="77777777" w:rsidTr="00CF7B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E86D70F" w14:textId="77777777" w:rsidR="0083342B" w:rsidRPr="00102859" w:rsidRDefault="0083342B" w:rsidP="005C34DD">
            <w:pPr>
              <w:spacing w:line="480" w:lineRule="auto"/>
            </w:pPr>
            <w:r w:rsidRPr="00102859">
              <w:rPr>
                <w:sz w:val="24"/>
                <w:szCs w:val="24"/>
              </w:rPr>
              <w:t>Race</w:t>
            </w:r>
          </w:p>
        </w:tc>
        <w:tc>
          <w:tcPr>
            <w:tcW w:w="1862" w:type="dxa"/>
          </w:tcPr>
          <w:p w14:paraId="15F5660B"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American Indian / Alaska Native</w:t>
            </w:r>
          </w:p>
          <w:p w14:paraId="025876C3"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Asian</w:t>
            </w:r>
          </w:p>
          <w:p w14:paraId="16D0C440"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Native Hawaiian or Pacific Islanders</w:t>
            </w:r>
          </w:p>
          <w:p w14:paraId="62058193"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t>Black or African American</w:t>
            </w:r>
          </w:p>
          <w:p w14:paraId="0848C956"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White</w:t>
            </w:r>
          </w:p>
          <w:p w14:paraId="6B608F0D"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rPr>
                <w:sz w:val="24"/>
                <w:szCs w:val="24"/>
              </w:rPr>
              <w:t>More than One Race</w:t>
            </w:r>
          </w:p>
        </w:tc>
        <w:tc>
          <w:tcPr>
            <w:tcW w:w="2039" w:type="dxa"/>
          </w:tcPr>
          <w:p w14:paraId="725CE95E"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0</w:t>
            </w:r>
          </w:p>
          <w:p w14:paraId="7171C0E5"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0</w:t>
            </w:r>
          </w:p>
          <w:p w14:paraId="3401F3DF"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1 (1%)</w:t>
            </w:r>
          </w:p>
          <w:p w14:paraId="49F59464"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p>
          <w:p w14:paraId="3469C1CD"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pPr>
          </w:p>
          <w:p w14:paraId="6D4AAD1F" w14:textId="6BA502CF"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0</w:t>
            </w:r>
          </w:p>
          <w:p w14:paraId="64E07492"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p>
          <w:p w14:paraId="25984295"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pPr>
          </w:p>
          <w:p w14:paraId="11E4FE0D" w14:textId="0ECE90DE"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3 (5%)</w:t>
            </w:r>
          </w:p>
          <w:p w14:paraId="18F2F99D" w14:textId="709F9D2C"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56 (89%)</w:t>
            </w:r>
          </w:p>
          <w:p w14:paraId="56B5C6AA"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pPr>
          </w:p>
          <w:p w14:paraId="3C5EBB0D" w14:textId="17ACAEAC"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3 (5%)</w:t>
            </w:r>
          </w:p>
        </w:tc>
        <w:tc>
          <w:tcPr>
            <w:tcW w:w="2039" w:type="dxa"/>
          </w:tcPr>
          <w:p w14:paraId="193AB259"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0</w:t>
            </w:r>
          </w:p>
          <w:p w14:paraId="7BD8C4E3"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0</w:t>
            </w:r>
          </w:p>
          <w:p w14:paraId="46064062"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1 (1%)</w:t>
            </w:r>
          </w:p>
          <w:p w14:paraId="78E0DC9E"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p>
          <w:p w14:paraId="684AB3C4"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pPr>
          </w:p>
          <w:p w14:paraId="657CA49D" w14:textId="1AEF4585"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0</w:t>
            </w:r>
          </w:p>
          <w:p w14:paraId="735ABB9D"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pPr>
          </w:p>
          <w:p w14:paraId="0FCE1727"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pPr>
          </w:p>
          <w:p w14:paraId="706A6674" w14:textId="573E65A4"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2 (3%)</w:t>
            </w:r>
          </w:p>
          <w:p w14:paraId="3CE96D59"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58 (93%)</w:t>
            </w:r>
          </w:p>
          <w:p w14:paraId="0ECCAEE1"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pPr>
          </w:p>
          <w:p w14:paraId="6214B6E3" w14:textId="063DE025"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2 (3%)</w:t>
            </w:r>
          </w:p>
        </w:tc>
        <w:tc>
          <w:tcPr>
            <w:tcW w:w="2282" w:type="dxa"/>
          </w:tcPr>
          <w:p w14:paraId="4FB90E36"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0</w:t>
            </w:r>
          </w:p>
          <w:p w14:paraId="09630F1A"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0</w:t>
            </w:r>
          </w:p>
          <w:p w14:paraId="384717FC"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2 (1%)</w:t>
            </w:r>
          </w:p>
          <w:p w14:paraId="1A6FF996"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p>
          <w:p w14:paraId="620D544D"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pPr>
          </w:p>
          <w:p w14:paraId="54C6BD91" w14:textId="150B000B"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0</w:t>
            </w:r>
          </w:p>
          <w:p w14:paraId="676347DA"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p>
          <w:p w14:paraId="1ACE0FED"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pPr>
          </w:p>
          <w:p w14:paraId="66C870C7" w14:textId="329F0D4D"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5 (4%)</w:t>
            </w:r>
          </w:p>
          <w:p w14:paraId="329B626D"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114 (91%)</w:t>
            </w:r>
          </w:p>
          <w:p w14:paraId="6AA00D6A"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pPr>
          </w:p>
          <w:p w14:paraId="0E1BCB2A" w14:textId="04EF47BF"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t>5 (4%)</w:t>
            </w:r>
          </w:p>
        </w:tc>
      </w:tr>
      <w:tr w:rsidR="00102859" w:rsidRPr="00102859" w14:paraId="4117DAD1" w14:textId="77777777" w:rsidTr="00CF7BE2">
        <w:tc>
          <w:tcPr>
            <w:cnfStyle w:val="001000000000" w:firstRow="0" w:lastRow="0" w:firstColumn="1" w:lastColumn="0" w:oddVBand="0" w:evenVBand="0" w:oddHBand="0" w:evenHBand="0" w:firstRowFirstColumn="0" w:firstRowLastColumn="0" w:lastRowFirstColumn="0" w:lastRowLastColumn="0"/>
            <w:tcW w:w="1696" w:type="dxa"/>
          </w:tcPr>
          <w:p w14:paraId="5040E94C" w14:textId="77777777" w:rsidR="0083342B" w:rsidRPr="00102859" w:rsidRDefault="0083342B" w:rsidP="005C34DD">
            <w:pPr>
              <w:spacing w:line="480" w:lineRule="auto"/>
            </w:pPr>
            <w:r w:rsidRPr="00102859">
              <w:rPr>
                <w:sz w:val="24"/>
                <w:szCs w:val="24"/>
              </w:rPr>
              <w:t>Highest educational level</w:t>
            </w:r>
          </w:p>
        </w:tc>
        <w:tc>
          <w:tcPr>
            <w:tcW w:w="1862" w:type="dxa"/>
          </w:tcPr>
          <w:p w14:paraId="6542DF73"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High School</w:t>
            </w:r>
          </w:p>
          <w:p w14:paraId="51832C9F"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College/ vocational training</w:t>
            </w:r>
          </w:p>
          <w:p w14:paraId="3053B48B"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University degree</w:t>
            </w:r>
          </w:p>
        </w:tc>
        <w:tc>
          <w:tcPr>
            <w:tcW w:w="2039" w:type="dxa"/>
          </w:tcPr>
          <w:p w14:paraId="1641F7BD"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5 (8%)</w:t>
            </w:r>
          </w:p>
          <w:p w14:paraId="7BC9CCD2"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18 (29%)</w:t>
            </w:r>
          </w:p>
          <w:p w14:paraId="59243E20"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p>
          <w:p w14:paraId="774DA17E"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p>
          <w:p w14:paraId="07C39937" w14:textId="40C8ED8A"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40 (63%)</w:t>
            </w:r>
          </w:p>
        </w:tc>
        <w:tc>
          <w:tcPr>
            <w:tcW w:w="2039" w:type="dxa"/>
          </w:tcPr>
          <w:p w14:paraId="75D98F72"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5 (8%)</w:t>
            </w:r>
          </w:p>
          <w:p w14:paraId="3660F8A8"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20 (32%)</w:t>
            </w:r>
          </w:p>
          <w:p w14:paraId="6E3ECBD8"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p>
          <w:p w14:paraId="4A59C70A"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p>
          <w:p w14:paraId="413022C4" w14:textId="3B3DBBC8"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38 (60%)</w:t>
            </w:r>
          </w:p>
        </w:tc>
        <w:tc>
          <w:tcPr>
            <w:tcW w:w="2282" w:type="dxa"/>
          </w:tcPr>
          <w:p w14:paraId="6EB29BF5"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10 (8%)</w:t>
            </w:r>
          </w:p>
          <w:p w14:paraId="5515EF47"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38 (30%)</w:t>
            </w:r>
          </w:p>
          <w:p w14:paraId="423F325A"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p>
          <w:p w14:paraId="74E1C0EB"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p>
          <w:p w14:paraId="45895893" w14:textId="434CD059"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78 (62%)</w:t>
            </w:r>
          </w:p>
        </w:tc>
      </w:tr>
      <w:tr w:rsidR="00102859" w:rsidRPr="00102859" w14:paraId="6775DEC2" w14:textId="77777777" w:rsidTr="00CF7B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B324E7B" w14:textId="77777777" w:rsidR="0083342B" w:rsidRPr="00102859" w:rsidRDefault="0083342B" w:rsidP="005C34DD">
            <w:pPr>
              <w:spacing w:line="480" w:lineRule="auto"/>
            </w:pPr>
            <w:r w:rsidRPr="00102859">
              <w:rPr>
                <w:sz w:val="24"/>
                <w:szCs w:val="24"/>
              </w:rPr>
              <w:lastRenderedPageBreak/>
              <w:t>Employment</w:t>
            </w:r>
          </w:p>
        </w:tc>
        <w:tc>
          <w:tcPr>
            <w:tcW w:w="1862" w:type="dxa"/>
          </w:tcPr>
          <w:p w14:paraId="63F99441" w14:textId="1A401A28" w:rsidR="0083342B" w:rsidRPr="00102859" w:rsidRDefault="00444473"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Entry-</w:t>
            </w:r>
            <w:r w:rsidR="0083342B" w:rsidRPr="00102859">
              <w:rPr>
                <w:sz w:val="24"/>
                <w:szCs w:val="24"/>
              </w:rPr>
              <w:t>level or unskilled work</w:t>
            </w:r>
          </w:p>
          <w:p w14:paraId="78B97E11"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Skilled or professional</w:t>
            </w:r>
          </w:p>
          <w:p w14:paraId="7F26470F"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Retired</w:t>
            </w:r>
          </w:p>
          <w:p w14:paraId="7A81186F"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rPr>
                <w:sz w:val="24"/>
                <w:szCs w:val="24"/>
              </w:rPr>
              <w:t>Not working</w:t>
            </w:r>
          </w:p>
        </w:tc>
        <w:tc>
          <w:tcPr>
            <w:tcW w:w="2039" w:type="dxa"/>
          </w:tcPr>
          <w:p w14:paraId="4593629E"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0</w:t>
            </w:r>
          </w:p>
          <w:p w14:paraId="423B30D3"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p>
          <w:p w14:paraId="63D4338E"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p>
          <w:p w14:paraId="73CCD7EE" w14:textId="5CFCA85F"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33 (52%)</w:t>
            </w:r>
          </w:p>
          <w:p w14:paraId="1484B807"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26 (41%)</w:t>
            </w:r>
          </w:p>
          <w:p w14:paraId="4294B40B"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rPr>
                <w:sz w:val="24"/>
                <w:szCs w:val="24"/>
              </w:rPr>
              <w:t>4 (6%)</w:t>
            </w:r>
          </w:p>
        </w:tc>
        <w:tc>
          <w:tcPr>
            <w:tcW w:w="2039" w:type="dxa"/>
          </w:tcPr>
          <w:p w14:paraId="5DCBD91E"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3 (5%)</w:t>
            </w:r>
          </w:p>
          <w:p w14:paraId="70554CE8"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p>
          <w:p w14:paraId="23645D5B"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p>
          <w:p w14:paraId="13744789" w14:textId="444197AB"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36 (57%)</w:t>
            </w:r>
          </w:p>
          <w:p w14:paraId="6EE911EE"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17 (27%)</w:t>
            </w:r>
          </w:p>
          <w:p w14:paraId="7E61DC61"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rPr>
                <w:sz w:val="24"/>
                <w:szCs w:val="24"/>
              </w:rPr>
              <w:t>7 (11%)</w:t>
            </w:r>
          </w:p>
        </w:tc>
        <w:tc>
          <w:tcPr>
            <w:tcW w:w="2282" w:type="dxa"/>
          </w:tcPr>
          <w:p w14:paraId="0B507E6F"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3 (2%)</w:t>
            </w:r>
          </w:p>
          <w:p w14:paraId="2A0F3248"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p>
          <w:p w14:paraId="7C9ABD6A"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p>
          <w:p w14:paraId="2408B259" w14:textId="5870DB52"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69 (55%)</w:t>
            </w:r>
          </w:p>
          <w:p w14:paraId="7CAED107"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43 (34%)</w:t>
            </w:r>
          </w:p>
          <w:p w14:paraId="5995EB6F"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rPr>
                <w:sz w:val="24"/>
                <w:szCs w:val="24"/>
              </w:rPr>
              <w:t>11 (9%)</w:t>
            </w:r>
          </w:p>
        </w:tc>
      </w:tr>
      <w:tr w:rsidR="00102859" w:rsidRPr="00102859" w14:paraId="02FEF960" w14:textId="77777777" w:rsidTr="00CF7BE2">
        <w:tc>
          <w:tcPr>
            <w:cnfStyle w:val="001000000000" w:firstRow="0" w:lastRow="0" w:firstColumn="1" w:lastColumn="0" w:oddVBand="0" w:evenVBand="0" w:oddHBand="0" w:evenHBand="0" w:firstRowFirstColumn="0" w:firstRowLastColumn="0" w:lastRowFirstColumn="0" w:lastRowLastColumn="0"/>
            <w:tcW w:w="1696" w:type="dxa"/>
          </w:tcPr>
          <w:p w14:paraId="2FEFA5B9" w14:textId="77777777" w:rsidR="0083342B" w:rsidRPr="00102859" w:rsidRDefault="0083342B" w:rsidP="005C34DD">
            <w:pPr>
              <w:spacing w:line="480" w:lineRule="auto"/>
            </w:pPr>
            <w:r w:rsidRPr="00102859">
              <w:rPr>
                <w:sz w:val="24"/>
                <w:szCs w:val="24"/>
              </w:rPr>
              <w:t>All professionals seen</w:t>
            </w:r>
          </w:p>
        </w:tc>
        <w:tc>
          <w:tcPr>
            <w:tcW w:w="1862" w:type="dxa"/>
          </w:tcPr>
          <w:p w14:paraId="17B57D9B"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Primary Care Physician</w:t>
            </w:r>
          </w:p>
          <w:p w14:paraId="28A05D28"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ENT Physician</w:t>
            </w:r>
          </w:p>
          <w:p w14:paraId="2B2283B3"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Audiologist</w:t>
            </w:r>
          </w:p>
        </w:tc>
        <w:tc>
          <w:tcPr>
            <w:tcW w:w="2039" w:type="dxa"/>
          </w:tcPr>
          <w:p w14:paraId="3B6DAC55"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p>
          <w:p w14:paraId="66233E65" w14:textId="49F447A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25 (40%)</w:t>
            </w:r>
          </w:p>
          <w:p w14:paraId="711D96C2"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38 (60%)</w:t>
            </w:r>
          </w:p>
          <w:p w14:paraId="172D8A2A"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38 (60%)</w:t>
            </w:r>
          </w:p>
        </w:tc>
        <w:tc>
          <w:tcPr>
            <w:tcW w:w="2039" w:type="dxa"/>
          </w:tcPr>
          <w:p w14:paraId="1EE0A3A9"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p>
          <w:p w14:paraId="491A2022" w14:textId="0A8EAF1D"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31 (49%)</w:t>
            </w:r>
          </w:p>
          <w:p w14:paraId="0A4F9F02"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32 (51%)</w:t>
            </w:r>
          </w:p>
          <w:p w14:paraId="2B93BD5C"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41 (65%)</w:t>
            </w:r>
          </w:p>
        </w:tc>
        <w:tc>
          <w:tcPr>
            <w:tcW w:w="2282" w:type="dxa"/>
          </w:tcPr>
          <w:p w14:paraId="40A74A73" w14:textId="77777777" w:rsidR="0043799A" w:rsidRPr="00102859" w:rsidRDefault="0043799A"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p>
          <w:p w14:paraId="5DD43DA6" w14:textId="69F6EB21"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56 (44%)</w:t>
            </w:r>
          </w:p>
          <w:p w14:paraId="324DF13B"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70 (56%)</w:t>
            </w:r>
          </w:p>
          <w:p w14:paraId="732C3BCC"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79 (63%)</w:t>
            </w:r>
          </w:p>
        </w:tc>
      </w:tr>
      <w:tr w:rsidR="00102859" w:rsidRPr="00102859" w14:paraId="202611ED" w14:textId="77777777" w:rsidTr="00CF7B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AB17985" w14:textId="77777777" w:rsidR="0083342B" w:rsidRPr="00102859" w:rsidRDefault="0083342B" w:rsidP="005C34DD">
            <w:pPr>
              <w:spacing w:line="480" w:lineRule="auto"/>
              <w:rPr>
                <w:sz w:val="24"/>
                <w:szCs w:val="24"/>
              </w:rPr>
            </w:pPr>
            <w:r w:rsidRPr="00102859">
              <w:rPr>
                <w:sz w:val="24"/>
                <w:szCs w:val="24"/>
              </w:rPr>
              <w:t>Veterans</w:t>
            </w:r>
          </w:p>
          <w:p w14:paraId="558FAC26" w14:textId="77777777" w:rsidR="0083342B" w:rsidRPr="00102859" w:rsidRDefault="0083342B" w:rsidP="005C34DD">
            <w:pPr>
              <w:spacing w:line="480" w:lineRule="auto"/>
            </w:pPr>
            <w:r w:rsidRPr="00102859">
              <w:rPr>
                <w:sz w:val="24"/>
                <w:szCs w:val="24"/>
              </w:rPr>
              <w:t>Duration in the military service</w:t>
            </w:r>
          </w:p>
        </w:tc>
        <w:tc>
          <w:tcPr>
            <w:tcW w:w="1862" w:type="dxa"/>
          </w:tcPr>
          <w:p w14:paraId="03CC0D8F"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Number</w:t>
            </w:r>
          </w:p>
          <w:p w14:paraId="4630D062"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rPr>
                <w:sz w:val="24"/>
                <w:szCs w:val="24"/>
              </w:rPr>
              <w:t>Service duration mean (SD; range) in years</w:t>
            </w:r>
          </w:p>
        </w:tc>
        <w:tc>
          <w:tcPr>
            <w:tcW w:w="2039" w:type="dxa"/>
          </w:tcPr>
          <w:p w14:paraId="6593FD90"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p>
          <w:p w14:paraId="62EA181B" w14:textId="1E38013B" w:rsidR="0083342B"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7 (11%)</w:t>
            </w:r>
          </w:p>
          <w:p w14:paraId="49ABAC8F"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rPr>
                <w:sz w:val="24"/>
                <w:szCs w:val="24"/>
              </w:rPr>
              <w:t>14 (11; 2</w:t>
            </w:r>
            <w:r w:rsidRPr="00102859">
              <w:rPr>
                <w:sz w:val="24"/>
                <w:szCs w:val="24"/>
                <w:shd w:val="clear" w:color="auto" w:fill="FFFFFF"/>
              </w:rPr>
              <w:t>–32</w:t>
            </w:r>
            <w:r w:rsidRPr="00102859">
              <w:rPr>
                <w:sz w:val="24"/>
                <w:szCs w:val="24"/>
              </w:rPr>
              <w:t>)</w:t>
            </w:r>
          </w:p>
        </w:tc>
        <w:tc>
          <w:tcPr>
            <w:tcW w:w="2039" w:type="dxa"/>
          </w:tcPr>
          <w:p w14:paraId="01B93FCA"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p>
          <w:p w14:paraId="768D3273" w14:textId="38C53CC6" w:rsidR="0083342B"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9 (14%)</w:t>
            </w:r>
          </w:p>
          <w:p w14:paraId="21D55832"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rPr>
                <w:sz w:val="24"/>
                <w:szCs w:val="24"/>
              </w:rPr>
              <w:t>4 (2; 1.5</w:t>
            </w:r>
            <w:r w:rsidRPr="00102859">
              <w:rPr>
                <w:sz w:val="24"/>
                <w:szCs w:val="24"/>
                <w:shd w:val="clear" w:color="auto" w:fill="FFFFFF"/>
              </w:rPr>
              <w:t>–</w:t>
            </w:r>
            <w:r w:rsidRPr="00102859">
              <w:rPr>
                <w:sz w:val="24"/>
                <w:szCs w:val="24"/>
              </w:rPr>
              <w:t>8)</w:t>
            </w:r>
          </w:p>
        </w:tc>
        <w:tc>
          <w:tcPr>
            <w:tcW w:w="2282" w:type="dxa"/>
          </w:tcPr>
          <w:p w14:paraId="6AB2A275" w14:textId="77777777" w:rsidR="0043799A"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p>
          <w:p w14:paraId="2D57B1F0" w14:textId="50D3DC2E" w:rsidR="0083342B" w:rsidRPr="00102859" w:rsidRDefault="0043799A" w:rsidP="005C34DD">
            <w:pPr>
              <w:spacing w:line="480" w:lineRule="auto"/>
              <w:cnfStyle w:val="000000100000" w:firstRow="0" w:lastRow="0" w:firstColumn="0" w:lastColumn="0" w:oddVBand="0" w:evenVBand="0" w:oddHBand="1" w:evenHBand="0" w:firstRowFirstColumn="0" w:firstRowLastColumn="0" w:lastRowFirstColumn="0" w:lastRowLastColumn="0"/>
              <w:rPr>
                <w:sz w:val="24"/>
                <w:szCs w:val="24"/>
              </w:rPr>
            </w:pPr>
            <w:r w:rsidRPr="00102859">
              <w:rPr>
                <w:sz w:val="24"/>
                <w:szCs w:val="24"/>
              </w:rPr>
              <w:t xml:space="preserve">16 (13%) </w:t>
            </w:r>
          </w:p>
          <w:p w14:paraId="18521616" w14:textId="77777777" w:rsidR="0083342B" w:rsidRPr="00102859" w:rsidRDefault="0083342B" w:rsidP="005C34DD">
            <w:pPr>
              <w:spacing w:line="480" w:lineRule="auto"/>
              <w:cnfStyle w:val="000000100000" w:firstRow="0" w:lastRow="0" w:firstColumn="0" w:lastColumn="0" w:oddVBand="0" w:evenVBand="0" w:oddHBand="1" w:evenHBand="0" w:firstRowFirstColumn="0" w:firstRowLastColumn="0" w:lastRowFirstColumn="0" w:lastRowLastColumn="0"/>
            </w:pPr>
            <w:r w:rsidRPr="00102859">
              <w:rPr>
                <w:sz w:val="24"/>
                <w:szCs w:val="24"/>
              </w:rPr>
              <w:t xml:space="preserve">8 (9; </w:t>
            </w:r>
            <w:r w:rsidRPr="00102859">
              <w:rPr>
                <w:sz w:val="24"/>
                <w:szCs w:val="24"/>
                <w:shd w:val="clear" w:color="auto" w:fill="FFFFFF"/>
              </w:rPr>
              <w:t>1.5–</w:t>
            </w:r>
            <w:r w:rsidRPr="00102859">
              <w:rPr>
                <w:sz w:val="24"/>
                <w:szCs w:val="24"/>
              </w:rPr>
              <w:t xml:space="preserve">32) </w:t>
            </w:r>
          </w:p>
        </w:tc>
      </w:tr>
      <w:tr w:rsidR="00102859" w:rsidRPr="00102859" w14:paraId="6785B770" w14:textId="77777777" w:rsidTr="00CF7BE2">
        <w:tc>
          <w:tcPr>
            <w:cnfStyle w:val="001000000000" w:firstRow="0" w:lastRow="0" w:firstColumn="1" w:lastColumn="0" w:oddVBand="0" w:evenVBand="0" w:oddHBand="0" w:evenHBand="0" w:firstRowFirstColumn="0" w:firstRowLastColumn="0" w:lastRowFirstColumn="0" w:lastRowLastColumn="0"/>
            <w:tcW w:w="1696" w:type="dxa"/>
          </w:tcPr>
          <w:p w14:paraId="6F8A72F5" w14:textId="77777777" w:rsidR="0083342B" w:rsidRPr="00102859" w:rsidRDefault="0083342B" w:rsidP="005C34DD">
            <w:pPr>
              <w:spacing w:line="480" w:lineRule="auto"/>
            </w:pPr>
            <w:r w:rsidRPr="00102859">
              <w:rPr>
                <w:sz w:val="24"/>
                <w:szCs w:val="24"/>
              </w:rPr>
              <w:t>Ease of using a computer</w:t>
            </w:r>
          </w:p>
        </w:tc>
        <w:tc>
          <w:tcPr>
            <w:tcW w:w="1862" w:type="dxa"/>
          </w:tcPr>
          <w:p w14:paraId="2D69143F"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Limited skills</w:t>
            </w:r>
          </w:p>
          <w:p w14:paraId="333A7673"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Basic skills</w:t>
            </w:r>
          </w:p>
          <w:p w14:paraId="64DEF124"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Frequent user</w:t>
            </w:r>
          </w:p>
        </w:tc>
        <w:tc>
          <w:tcPr>
            <w:tcW w:w="2039" w:type="dxa"/>
          </w:tcPr>
          <w:p w14:paraId="57D5EA56"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2 (3%)</w:t>
            </w:r>
          </w:p>
          <w:p w14:paraId="448BD389"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5 (8%)</w:t>
            </w:r>
          </w:p>
          <w:p w14:paraId="433F16FF"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56 (89%)</w:t>
            </w:r>
          </w:p>
        </w:tc>
        <w:tc>
          <w:tcPr>
            <w:tcW w:w="2039" w:type="dxa"/>
          </w:tcPr>
          <w:p w14:paraId="66620183"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1 (2%)</w:t>
            </w:r>
          </w:p>
          <w:p w14:paraId="58E0E65D"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3 (5%)</w:t>
            </w:r>
          </w:p>
          <w:p w14:paraId="46F26D94"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59 (94%)</w:t>
            </w:r>
          </w:p>
        </w:tc>
        <w:tc>
          <w:tcPr>
            <w:tcW w:w="2282" w:type="dxa"/>
          </w:tcPr>
          <w:p w14:paraId="5D62A0E7"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3 (2%)</w:t>
            </w:r>
          </w:p>
          <w:p w14:paraId="2BC3AB77"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rPr>
                <w:sz w:val="24"/>
                <w:szCs w:val="24"/>
              </w:rPr>
            </w:pPr>
            <w:r w:rsidRPr="00102859">
              <w:rPr>
                <w:sz w:val="24"/>
                <w:szCs w:val="24"/>
              </w:rPr>
              <w:t>8 (6%)</w:t>
            </w:r>
          </w:p>
          <w:p w14:paraId="0C95BD24" w14:textId="77777777" w:rsidR="0083342B" w:rsidRPr="00102859" w:rsidRDefault="0083342B" w:rsidP="005C34DD">
            <w:pPr>
              <w:spacing w:line="480" w:lineRule="auto"/>
              <w:cnfStyle w:val="000000000000" w:firstRow="0" w:lastRow="0" w:firstColumn="0" w:lastColumn="0" w:oddVBand="0" w:evenVBand="0" w:oddHBand="0" w:evenHBand="0" w:firstRowFirstColumn="0" w:firstRowLastColumn="0" w:lastRowFirstColumn="0" w:lastRowLastColumn="0"/>
            </w:pPr>
            <w:r w:rsidRPr="00102859">
              <w:rPr>
                <w:sz w:val="24"/>
                <w:szCs w:val="24"/>
              </w:rPr>
              <w:t>115 (91%)</w:t>
            </w:r>
          </w:p>
        </w:tc>
      </w:tr>
    </w:tbl>
    <w:p w14:paraId="5A4016BB" w14:textId="15978D16" w:rsidR="004D1C39" w:rsidRPr="00102859" w:rsidRDefault="004D1C39" w:rsidP="005C34DD">
      <w:pPr>
        <w:spacing w:line="480" w:lineRule="auto"/>
        <w:rPr>
          <w:b/>
          <w:bCs/>
        </w:rPr>
      </w:pPr>
    </w:p>
    <w:p w14:paraId="658F8420" w14:textId="5C0BFD52" w:rsidR="0083342B" w:rsidRPr="00102859" w:rsidRDefault="0083342B" w:rsidP="005C34DD">
      <w:pPr>
        <w:spacing w:line="480" w:lineRule="auto"/>
        <w:rPr>
          <w:b/>
          <w:bCs/>
        </w:rPr>
      </w:pPr>
      <w:r w:rsidRPr="00102859">
        <w:rPr>
          <w:b/>
          <w:bCs/>
        </w:rPr>
        <w:t>3.2 Retention, Compliance</w:t>
      </w:r>
      <w:r w:rsidR="00444473" w:rsidRPr="00102859">
        <w:rPr>
          <w:b/>
          <w:bCs/>
        </w:rPr>
        <w:t>,</w:t>
      </w:r>
      <w:r w:rsidRPr="00102859">
        <w:rPr>
          <w:b/>
          <w:bCs/>
        </w:rPr>
        <w:t xml:space="preserve"> and Engagement</w:t>
      </w:r>
    </w:p>
    <w:p w14:paraId="4DCCA800" w14:textId="13804C6D" w:rsidR="0083342B" w:rsidRPr="00102859" w:rsidRDefault="0083342B" w:rsidP="005C34DD">
      <w:pPr>
        <w:spacing w:line="480" w:lineRule="auto"/>
      </w:pPr>
      <w:r w:rsidRPr="00102859">
        <w:t>Overall compliance for completing the outcome measures was low with 32 to 50% completion rates for the ICBT group and 37 to 47% completion for the</w:t>
      </w:r>
      <w:r w:rsidR="0043799A" w:rsidRPr="00102859">
        <w:t xml:space="preserve"> applied relaxation </w:t>
      </w:r>
      <w:r w:rsidRPr="00102859">
        <w:t>group (Figure 2). There were no significant between-group completion rates [</w:t>
      </w:r>
      <w:r w:rsidR="0043799A" w:rsidRPr="00102859">
        <w:rPr>
          <w:i/>
        </w:rPr>
        <w:t>X</w:t>
      </w:r>
      <w:r w:rsidRPr="00102859">
        <w:rPr>
          <w:vertAlign w:val="superscript"/>
        </w:rPr>
        <w:t>2</w:t>
      </w:r>
      <w:r w:rsidRPr="00102859">
        <w:t xml:space="preserve"> = (3, N = 159) = .46,</w:t>
      </w:r>
      <w:r w:rsidRPr="00102859">
        <w:rPr>
          <w:i/>
        </w:rPr>
        <w:t xml:space="preserve"> p</w:t>
      </w:r>
      <w:r w:rsidRPr="00102859">
        <w:t xml:space="preserve"> = .79]. </w:t>
      </w:r>
      <w:r w:rsidR="008C4A6A" w:rsidRPr="00102859">
        <w:t>Due to this low compliance, the sample size of 51 was not achieved at post intervention. Thus, the study was underpowered which needs to be considered during result interpretation.</w:t>
      </w:r>
    </w:p>
    <w:p w14:paraId="5CEB2518" w14:textId="53C34F54" w:rsidR="0083342B" w:rsidRPr="00102859" w:rsidRDefault="0083342B" w:rsidP="004D1C39">
      <w:pPr>
        <w:spacing w:line="480" w:lineRule="auto"/>
        <w:ind w:firstLine="720"/>
      </w:pPr>
      <w:r w:rsidRPr="00102859">
        <w:lastRenderedPageBreak/>
        <w:t xml:space="preserve">Intervention engagement was low but varied considerably among participants, although there were no significant differences between the ICBT and </w:t>
      </w:r>
      <w:r w:rsidR="0043799A" w:rsidRPr="00102859">
        <w:t xml:space="preserve">applied relaxation </w:t>
      </w:r>
      <w:r w:rsidRPr="00102859">
        <w:t>groups [</w:t>
      </w:r>
      <w:r w:rsidR="0043799A" w:rsidRPr="00102859">
        <w:rPr>
          <w:i/>
        </w:rPr>
        <w:t>X</w:t>
      </w:r>
      <w:r w:rsidRPr="00102859" w:rsidDel="003B5B1A">
        <w:rPr>
          <w:i/>
        </w:rPr>
        <w:t xml:space="preserve"> </w:t>
      </w:r>
      <w:r w:rsidRPr="00102859">
        <w:rPr>
          <w:vertAlign w:val="superscript"/>
        </w:rPr>
        <w:t>2</w:t>
      </w:r>
      <w:r w:rsidRPr="00102859">
        <w:t xml:space="preserve"> = (1, N = 190) = 0.53,</w:t>
      </w:r>
      <w:r w:rsidRPr="00102859">
        <w:rPr>
          <w:i/>
        </w:rPr>
        <w:t xml:space="preserve"> p</w:t>
      </w:r>
      <w:r w:rsidRPr="00102859">
        <w:t xml:space="preserve"> </w:t>
      </w:r>
      <w:r w:rsidR="0043799A" w:rsidRPr="00102859">
        <w:t>= .77] as seen in Figure 2</w:t>
      </w:r>
      <w:r w:rsidRPr="00102859">
        <w:t xml:space="preserve">. On average 70% of the ICBT group and 65% of the </w:t>
      </w:r>
      <w:r w:rsidR="0043799A" w:rsidRPr="00102859">
        <w:t xml:space="preserve">applied relaxation </w:t>
      </w:r>
      <w:r w:rsidRPr="00102859">
        <w:t xml:space="preserve">group logged into the platform; 60% </w:t>
      </w:r>
      <w:r w:rsidR="0043799A" w:rsidRPr="00102859">
        <w:t xml:space="preserve">from the ICBT group and 55% of </w:t>
      </w:r>
      <w:r w:rsidRPr="00102859">
        <w:t xml:space="preserve">the </w:t>
      </w:r>
      <w:r w:rsidR="0043799A" w:rsidRPr="00102859">
        <w:t>applied relaxation group opened</w:t>
      </w:r>
      <w:r w:rsidRPr="00102859">
        <w:t xml:space="preserve"> at least one module, and 28% from the ICBT group and 34% fr</w:t>
      </w:r>
      <w:r w:rsidR="0043799A" w:rsidRPr="00102859">
        <w:t>om the applied relaxation</w:t>
      </w:r>
      <w:r w:rsidRPr="00102859">
        <w:t xml:space="preserve"> group sent at least one message.</w:t>
      </w:r>
    </w:p>
    <w:p w14:paraId="0E5FAF70" w14:textId="766D1517" w:rsidR="0083342B" w:rsidRPr="00102859" w:rsidRDefault="0083342B" w:rsidP="004D1C39">
      <w:pPr>
        <w:spacing w:line="480" w:lineRule="auto"/>
        <w:ind w:firstLine="360"/>
      </w:pPr>
      <w:r w:rsidRPr="00102859">
        <w:t>When compa</w:t>
      </w:r>
      <w:r w:rsidR="0043799A" w:rsidRPr="00102859">
        <w:t>ring the subgroups (see Figure 2</w:t>
      </w:r>
      <w:r w:rsidRPr="00102859">
        <w:t xml:space="preserve">), it was seen that that engagement varied as those with TFI scores &gt; 25 were the most engaged and those with low TFI scores &lt; 25 were the least engaged, although these differences were not significantly different between groups (logins </w:t>
      </w:r>
      <w:r w:rsidRPr="00102859">
        <w:rPr>
          <w:i/>
          <w:iCs/>
        </w:rPr>
        <w:t>p</w:t>
      </w:r>
      <w:r w:rsidRPr="00102859">
        <w:t xml:space="preserve"> = .71; modules </w:t>
      </w:r>
      <w:r w:rsidRPr="00102859">
        <w:rPr>
          <w:i/>
          <w:iCs/>
        </w:rPr>
        <w:t>p</w:t>
      </w:r>
      <w:r w:rsidRPr="00102859">
        <w:t xml:space="preserve"> = .10, messages </w:t>
      </w:r>
      <w:r w:rsidRPr="00102859">
        <w:rPr>
          <w:i/>
          <w:iCs/>
        </w:rPr>
        <w:t>p</w:t>
      </w:r>
      <w:r w:rsidRPr="00102859">
        <w:t xml:space="preserve"> = .71).</w:t>
      </w:r>
    </w:p>
    <w:p w14:paraId="10553DEB" w14:textId="59BD506B" w:rsidR="007E0CF8" w:rsidRPr="00102859" w:rsidRDefault="007E0CF8" w:rsidP="005C34DD">
      <w:pPr>
        <w:spacing w:line="480" w:lineRule="auto"/>
      </w:pPr>
    </w:p>
    <w:p w14:paraId="1B9D8230" w14:textId="4CD0E656" w:rsidR="00B9533D" w:rsidRPr="00102859" w:rsidRDefault="00B9533D" w:rsidP="00B9533D">
      <w:pPr>
        <w:spacing w:line="480" w:lineRule="auto"/>
      </w:pPr>
      <w:r w:rsidRPr="00102859">
        <w:t>[Insert Figure 2 here]</w:t>
      </w:r>
    </w:p>
    <w:p w14:paraId="69A4E9F3" w14:textId="77777777" w:rsidR="0083342B" w:rsidRPr="00102859" w:rsidRDefault="0083342B" w:rsidP="005C34DD">
      <w:pPr>
        <w:spacing w:line="480" w:lineRule="auto"/>
      </w:pPr>
    </w:p>
    <w:p w14:paraId="76B002F7" w14:textId="0F1DAD26" w:rsidR="0083342B" w:rsidRPr="00102859" w:rsidRDefault="0083342B" w:rsidP="005C34DD">
      <w:pPr>
        <w:pStyle w:val="ListParagraph"/>
        <w:numPr>
          <w:ilvl w:val="1"/>
          <w:numId w:val="22"/>
        </w:numPr>
        <w:rPr>
          <w:rFonts w:cs="Times New Roman"/>
          <w:b/>
        </w:rPr>
      </w:pPr>
      <w:r w:rsidRPr="00102859">
        <w:rPr>
          <w:rFonts w:cs="Times New Roman"/>
          <w:b/>
        </w:rPr>
        <w:t xml:space="preserve">Dismantling the </w:t>
      </w:r>
      <w:r w:rsidR="00296FD6" w:rsidRPr="00102859">
        <w:rPr>
          <w:rFonts w:cs="Times New Roman"/>
          <w:b/>
        </w:rPr>
        <w:t>E</w:t>
      </w:r>
      <w:r w:rsidRPr="00102859">
        <w:rPr>
          <w:rFonts w:cs="Times New Roman"/>
          <w:b/>
        </w:rPr>
        <w:t xml:space="preserve">ffects of </w:t>
      </w:r>
      <w:r w:rsidR="00296FD6" w:rsidRPr="00102859">
        <w:rPr>
          <w:rFonts w:cs="Times New Roman"/>
          <w:b/>
        </w:rPr>
        <w:t>A</w:t>
      </w:r>
      <w:r w:rsidRPr="00102859">
        <w:rPr>
          <w:rFonts w:cs="Times New Roman"/>
          <w:b/>
        </w:rPr>
        <w:t xml:space="preserve">pplied </w:t>
      </w:r>
      <w:r w:rsidR="00296FD6" w:rsidRPr="00102859">
        <w:rPr>
          <w:rFonts w:cs="Times New Roman"/>
          <w:b/>
        </w:rPr>
        <w:t>R</w:t>
      </w:r>
      <w:r w:rsidRPr="00102859">
        <w:rPr>
          <w:rFonts w:cs="Times New Roman"/>
          <w:b/>
        </w:rPr>
        <w:t xml:space="preserve">elaxation </w:t>
      </w:r>
      <w:r w:rsidR="00296FD6" w:rsidRPr="00102859">
        <w:rPr>
          <w:rFonts w:cs="Times New Roman"/>
          <w:b/>
        </w:rPr>
        <w:t>C</w:t>
      </w:r>
      <w:r w:rsidRPr="00102859">
        <w:rPr>
          <w:rFonts w:cs="Times New Roman"/>
          <w:b/>
        </w:rPr>
        <w:t xml:space="preserve">ompared with ICBT in Reducing Tinnitus Severity </w:t>
      </w:r>
    </w:p>
    <w:p w14:paraId="596EA8F4" w14:textId="32395A55" w:rsidR="0083342B" w:rsidRPr="00102859" w:rsidRDefault="0083342B" w:rsidP="005C34DD">
      <w:pPr>
        <w:spacing w:line="480" w:lineRule="auto"/>
      </w:pPr>
      <w:r w:rsidRPr="00102859">
        <w:t>Both groups showed a significant reduction in tinnitus severity over time with large within-group</w:t>
      </w:r>
      <w:r w:rsidR="0043799A" w:rsidRPr="00102859">
        <w:t xml:space="preserve"> effect </w:t>
      </w:r>
      <w:r w:rsidR="005017B5" w:rsidRPr="00102859">
        <w:t xml:space="preserve">sizes </w:t>
      </w:r>
      <w:r w:rsidR="00421439" w:rsidRPr="00102859">
        <w:t>for both analysis protocols</w:t>
      </w:r>
      <w:r w:rsidR="005017B5" w:rsidRPr="00102859">
        <w:t xml:space="preserve"> (Table 3, Figure 3)</w:t>
      </w:r>
      <w:r w:rsidRPr="00102859">
        <w:t>. At po</w:t>
      </w:r>
      <w:r w:rsidR="00444473" w:rsidRPr="00102859">
        <w:t>st-intervention (T1) the within-</w:t>
      </w:r>
      <w:r w:rsidRPr="00102859">
        <w:t>group effect size was greater for the ICBT group (</w:t>
      </w:r>
      <w:r w:rsidRPr="00102859">
        <w:rPr>
          <w:i/>
        </w:rPr>
        <w:t>d</w:t>
      </w:r>
      <w:r w:rsidRPr="00102859">
        <w:t xml:space="preserve"> = </w:t>
      </w:r>
      <w:r w:rsidR="00C373B6" w:rsidRPr="00102859">
        <w:t>0</w:t>
      </w:r>
      <w:r w:rsidRPr="00102859">
        <w:t>.</w:t>
      </w:r>
      <w:r w:rsidR="00C373B6" w:rsidRPr="00102859">
        <w:t>87</w:t>
      </w:r>
      <w:r w:rsidR="00FA0DF4" w:rsidRPr="00102859">
        <w:t xml:space="preserve"> for complete</w:t>
      </w:r>
      <w:r w:rsidR="00174629" w:rsidRPr="00102859">
        <w:t>r</w:t>
      </w:r>
      <w:r w:rsidR="00FA0DF4" w:rsidRPr="00102859">
        <w:t>s analysis</w:t>
      </w:r>
      <w:r w:rsidRPr="00102859">
        <w:t xml:space="preserve">) compared to the </w:t>
      </w:r>
      <w:r w:rsidRPr="00102859">
        <w:rPr>
          <w:rFonts w:eastAsiaTheme="minorHAnsi"/>
        </w:rPr>
        <w:t xml:space="preserve">applied relaxation </w:t>
      </w:r>
      <w:r w:rsidRPr="00102859">
        <w:t>group (</w:t>
      </w:r>
      <w:r w:rsidRPr="00102859">
        <w:rPr>
          <w:i/>
        </w:rPr>
        <w:t>d</w:t>
      </w:r>
      <w:r w:rsidRPr="00102859">
        <w:t xml:space="preserve"> = 0.</w:t>
      </w:r>
      <w:r w:rsidR="00C373B6" w:rsidRPr="00102859">
        <w:t>6</w:t>
      </w:r>
      <w:r w:rsidRPr="00102859">
        <w:t>8</w:t>
      </w:r>
      <w:r w:rsidR="00FA0DF4" w:rsidRPr="00102859">
        <w:t xml:space="preserve"> for complete</w:t>
      </w:r>
      <w:r w:rsidR="00174629" w:rsidRPr="00102859">
        <w:t>r</w:t>
      </w:r>
      <w:r w:rsidR="00FA0DF4" w:rsidRPr="00102859">
        <w:t>s analysis</w:t>
      </w:r>
      <w:r w:rsidRPr="00102859">
        <w:t>) with no between-group difference (</w:t>
      </w:r>
      <w:r w:rsidRPr="00102859">
        <w:rPr>
          <w:i/>
        </w:rPr>
        <w:t>d</w:t>
      </w:r>
      <w:r w:rsidRPr="00102859">
        <w:t xml:space="preserve"> = 0.1</w:t>
      </w:r>
      <w:r w:rsidR="00D516D9" w:rsidRPr="00102859">
        <w:t>5, CI -0.37 to 0.66</w:t>
      </w:r>
      <w:r w:rsidR="00FA0DF4" w:rsidRPr="00102859">
        <w:t xml:space="preserve"> for complete</w:t>
      </w:r>
      <w:r w:rsidR="00174629" w:rsidRPr="00102859">
        <w:t>r</w:t>
      </w:r>
      <w:r w:rsidR="00FA0DF4" w:rsidRPr="00102859">
        <w:t>s analysis</w:t>
      </w:r>
      <w:r w:rsidRPr="00102859">
        <w:t xml:space="preserve">). The test of fixed effects (Table 4) indicated that only the intercept and slope revealed significant changes in tinnitus severity. The estimated difference in tinnitus severity was not significant between the groups at any time point. The model indicated an estimated baseline to 2-month follow-up mean difference of 24 points (CI: 18 to 30) after undertaking the intervention with an estimated TFI score of 25 at follow-up (CI: 23 to 27). </w:t>
      </w:r>
    </w:p>
    <w:p w14:paraId="13512F04" w14:textId="167EB095" w:rsidR="0083342B" w:rsidRPr="00102859" w:rsidRDefault="0083342B" w:rsidP="007E0CF8">
      <w:pPr>
        <w:spacing w:line="480" w:lineRule="auto"/>
        <w:ind w:firstLine="720"/>
        <w:rPr>
          <w:rFonts w:eastAsiaTheme="minorHAnsi"/>
        </w:rPr>
      </w:pPr>
      <w:r w:rsidRPr="00102859">
        <w:lastRenderedPageBreak/>
        <w:t xml:space="preserve">There was considerable individual variability resulting in </w:t>
      </w:r>
      <w:r w:rsidRPr="00102859">
        <w:rPr>
          <w:shd w:val="clear" w:color="auto" w:fill="FFFFFF"/>
        </w:rPr>
        <w:t xml:space="preserve">large standard deviations. This resulted in a large reliable change criterion of 33.80 required to achieve clinical significance. This criterion was met or exceeded by 20 (32%) of the ICBT group </w:t>
      </w:r>
      <w:r w:rsidRPr="00102859">
        <w:rPr>
          <w:rFonts w:eastAsiaTheme="minorHAnsi"/>
        </w:rPr>
        <w:t>and 17 (27%) from the applied relaxation group at T1 (after the ICBT group had access to the full CBT and the applied relaxation group had only the relaxation components). At 2 month follow-up</w:t>
      </w:r>
      <w:r w:rsidR="007E0CF8" w:rsidRPr="00102859">
        <w:rPr>
          <w:rFonts w:eastAsiaTheme="minorHAnsi"/>
        </w:rPr>
        <w:t>,</w:t>
      </w:r>
      <w:r w:rsidRPr="00102859">
        <w:rPr>
          <w:rFonts w:eastAsiaTheme="minorHAnsi"/>
        </w:rPr>
        <w:t xml:space="preserve"> this criterion was met or exceeded by 19 (30%) from the ICBT group and 17 (27%) from the applied relaxation group. </w:t>
      </w:r>
    </w:p>
    <w:p w14:paraId="1A96F8D6" w14:textId="31B1B3EA" w:rsidR="0083342B" w:rsidRPr="00102859" w:rsidRDefault="0083342B" w:rsidP="004D1C39">
      <w:pPr>
        <w:spacing w:line="480" w:lineRule="auto"/>
        <w:ind w:firstLine="720"/>
        <w:rPr>
          <w:rFonts w:eastAsiaTheme="minorHAnsi"/>
        </w:rPr>
      </w:pPr>
      <w:r w:rsidRPr="00102859">
        <w:rPr>
          <w:rFonts w:eastAsiaTheme="minorHAnsi"/>
        </w:rPr>
        <w:t xml:space="preserve">As a comparison, when using a criterion of 13 point difference in scores as suggested by </w:t>
      </w:r>
      <w:proofErr w:type="spellStart"/>
      <w:r w:rsidRPr="00102859">
        <w:rPr>
          <w:rFonts w:eastAsiaTheme="minorHAnsi"/>
        </w:rPr>
        <w:t>Meikle</w:t>
      </w:r>
      <w:proofErr w:type="spellEnd"/>
      <w:r w:rsidRPr="00102859">
        <w:rPr>
          <w:rFonts w:eastAsiaTheme="minorHAnsi"/>
        </w:rPr>
        <w:t xml:space="preserve"> et al. (2012) to represent a meaningful difference across TFI administrations, 37 (59%) of the ICBT group and 35 (56%) of the </w:t>
      </w:r>
      <w:r w:rsidR="0043799A" w:rsidRPr="00102859">
        <w:t xml:space="preserve">applied relaxation </w:t>
      </w:r>
      <w:r w:rsidRPr="00102859">
        <w:rPr>
          <w:rFonts w:eastAsiaTheme="minorHAnsi"/>
        </w:rPr>
        <w:t xml:space="preserve">group experienced </w:t>
      </w:r>
      <w:r w:rsidR="007E0CF8" w:rsidRPr="00102859">
        <w:rPr>
          <w:rFonts w:eastAsiaTheme="minorHAnsi"/>
        </w:rPr>
        <w:t xml:space="preserve">a </w:t>
      </w:r>
      <w:r w:rsidRPr="00102859">
        <w:rPr>
          <w:rFonts w:eastAsiaTheme="minorHAnsi"/>
        </w:rPr>
        <w:t>significant change in tinnitus effe</w:t>
      </w:r>
      <w:r w:rsidR="007E0CF8" w:rsidRPr="00102859">
        <w:rPr>
          <w:rFonts w:eastAsiaTheme="minorHAnsi"/>
        </w:rPr>
        <w:t xml:space="preserve">cts at T1. At 2 month follow-up, </w:t>
      </w:r>
      <w:r w:rsidRPr="00102859">
        <w:rPr>
          <w:rFonts w:eastAsiaTheme="minorHAnsi"/>
        </w:rPr>
        <w:t>the change was observed for 41 (65%) from the ICBT group and 39 (62%) from the applied relaxation group.</w:t>
      </w:r>
    </w:p>
    <w:p w14:paraId="2CD4DC3F" w14:textId="44E843A0" w:rsidR="0083342B" w:rsidRPr="00102859" w:rsidRDefault="0083342B" w:rsidP="007E0CF8">
      <w:pPr>
        <w:spacing w:line="480" w:lineRule="auto"/>
        <w:ind w:firstLine="720"/>
      </w:pPr>
      <w:r w:rsidRPr="00102859">
        <w:rPr>
          <w:lang w:val="en"/>
        </w:rPr>
        <w:t>Similar to the results of the primary outcome, the THS tinnitus secondary measure indicate</w:t>
      </w:r>
      <w:r w:rsidRPr="00102859">
        <w:rPr>
          <w:rFonts w:eastAsiaTheme="minorHAnsi"/>
        </w:rPr>
        <w:t>d a medium effect size for both groups. Although this was larger for the ICBT group (</w:t>
      </w:r>
      <w:r w:rsidRPr="00102859">
        <w:rPr>
          <w:rFonts w:eastAsiaTheme="minorHAnsi"/>
          <w:i/>
        </w:rPr>
        <w:t>d</w:t>
      </w:r>
      <w:r w:rsidRPr="00102859">
        <w:rPr>
          <w:rFonts w:eastAsiaTheme="minorHAnsi"/>
        </w:rPr>
        <w:t xml:space="preserve"> = 0.</w:t>
      </w:r>
      <w:r w:rsidR="00D516D9" w:rsidRPr="00102859">
        <w:rPr>
          <w:rFonts w:eastAsiaTheme="minorHAnsi"/>
        </w:rPr>
        <w:t>82</w:t>
      </w:r>
      <w:r w:rsidR="00FA0DF4" w:rsidRPr="00102859">
        <w:rPr>
          <w:rFonts w:eastAsiaTheme="minorHAnsi"/>
        </w:rPr>
        <w:t xml:space="preserve"> </w:t>
      </w:r>
      <w:r w:rsidR="00FA0DF4" w:rsidRPr="00102859">
        <w:t>for complete</w:t>
      </w:r>
      <w:r w:rsidR="00174629" w:rsidRPr="00102859">
        <w:t>r</w:t>
      </w:r>
      <w:r w:rsidR="00FA0DF4" w:rsidRPr="00102859">
        <w:t>s analysis</w:t>
      </w:r>
      <w:r w:rsidRPr="00102859">
        <w:rPr>
          <w:rFonts w:eastAsiaTheme="minorHAnsi"/>
        </w:rPr>
        <w:t>) compared with the applied relaxation group (</w:t>
      </w:r>
      <w:r w:rsidRPr="00102859">
        <w:rPr>
          <w:rFonts w:eastAsiaTheme="minorHAnsi"/>
          <w:i/>
        </w:rPr>
        <w:t>d</w:t>
      </w:r>
      <w:r w:rsidRPr="00102859">
        <w:rPr>
          <w:rFonts w:eastAsiaTheme="minorHAnsi"/>
        </w:rPr>
        <w:t xml:space="preserve"> = 0.6</w:t>
      </w:r>
      <w:r w:rsidR="00286457" w:rsidRPr="00102859">
        <w:rPr>
          <w:rFonts w:eastAsiaTheme="minorHAnsi"/>
        </w:rPr>
        <w:t>1</w:t>
      </w:r>
      <w:r w:rsidR="00FA0DF4" w:rsidRPr="00102859">
        <w:rPr>
          <w:rFonts w:eastAsiaTheme="minorHAnsi"/>
        </w:rPr>
        <w:t xml:space="preserve"> </w:t>
      </w:r>
      <w:r w:rsidR="00FA0DF4" w:rsidRPr="00102859">
        <w:t>for complete</w:t>
      </w:r>
      <w:r w:rsidR="00174629" w:rsidRPr="00102859">
        <w:t>r</w:t>
      </w:r>
      <w:r w:rsidR="00FA0DF4" w:rsidRPr="00102859">
        <w:t>s analysis</w:t>
      </w:r>
      <w:r w:rsidRPr="00102859">
        <w:rPr>
          <w:rFonts w:eastAsiaTheme="minorHAnsi"/>
        </w:rPr>
        <w:t>), there were no between</w:t>
      </w:r>
      <w:r w:rsidR="007E0CF8" w:rsidRPr="00102859">
        <w:rPr>
          <w:rFonts w:eastAsiaTheme="minorHAnsi"/>
        </w:rPr>
        <w:t>-</w:t>
      </w:r>
      <w:r w:rsidRPr="00102859">
        <w:rPr>
          <w:rFonts w:eastAsiaTheme="minorHAnsi"/>
        </w:rPr>
        <w:t>group differences (</w:t>
      </w:r>
      <w:r w:rsidRPr="00102859">
        <w:rPr>
          <w:rFonts w:eastAsiaTheme="minorHAnsi"/>
          <w:i/>
        </w:rPr>
        <w:t>d</w:t>
      </w:r>
      <w:r w:rsidRPr="00102859">
        <w:rPr>
          <w:rFonts w:eastAsiaTheme="minorHAnsi"/>
        </w:rPr>
        <w:t xml:space="preserve"> = 0.</w:t>
      </w:r>
      <w:r w:rsidR="00286457" w:rsidRPr="00102859">
        <w:rPr>
          <w:rFonts w:eastAsiaTheme="minorHAnsi"/>
        </w:rPr>
        <w:t>1</w:t>
      </w:r>
      <w:r w:rsidRPr="00102859">
        <w:rPr>
          <w:rFonts w:eastAsiaTheme="minorHAnsi"/>
        </w:rPr>
        <w:t>2; CI: -0.</w:t>
      </w:r>
      <w:r w:rsidR="00286457" w:rsidRPr="00102859">
        <w:rPr>
          <w:rFonts w:eastAsiaTheme="minorHAnsi"/>
        </w:rPr>
        <w:t>41</w:t>
      </w:r>
      <w:r w:rsidRPr="00102859">
        <w:rPr>
          <w:rFonts w:eastAsiaTheme="minorHAnsi"/>
        </w:rPr>
        <w:t xml:space="preserve"> to 0.6</w:t>
      </w:r>
      <w:r w:rsidR="00286457" w:rsidRPr="00102859">
        <w:rPr>
          <w:rFonts w:eastAsiaTheme="minorHAnsi"/>
        </w:rPr>
        <w:t>5</w:t>
      </w:r>
      <w:r w:rsidR="00FA0DF4" w:rsidRPr="00102859">
        <w:rPr>
          <w:rFonts w:eastAsiaTheme="minorHAnsi"/>
        </w:rPr>
        <w:t xml:space="preserve"> </w:t>
      </w:r>
      <w:r w:rsidR="00FA0DF4" w:rsidRPr="00102859">
        <w:t>for complete</w:t>
      </w:r>
      <w:r w:rsidR="00174629" w:rsidRPr="00102859">
        <w:t>r</w:t>
      </w:r>
      <w:r w:rsidR="00FA0DF4" w:rsidRPr="00102859">
        <w:t>s analysis</w:t>
      </w:r>
      <w:r w:rsidRPr="00102859">
        <w:rPr>
          <w:rFonts w:eastAsiaTheme="minorHAnsi"/>
        </w:rPr>
        <w:t xml:space="preserve">). As for the TFI, </w:t>
      </w:r>
      <w:r w:rsidRPr="00102859">
        <w:t>the test of fixed effects (Table 4) indicated that only the intercept and slope had significant effects on the changes in tinnitus severity.</w:t>
      </w:r>
      <w:r w:rsidRPr="00102859">
        <w:rPr>
          <w:rFonts w:eastAsiaTheme="minorHAnsi"/>
        </w:rPr>
        <w:t xml:space="preserve"> </w:t>
      </w:r>
    </w:p>
    <w:p w14:paraId="22D1FFD9" w14:textId="2A784AAC" w:rsidR="00B9533D" w:rsidRPr="00102859" w:rsidRDefault="00B9533D" w:rsidP="00B9533D">
      <w:pPr>
        <w:spacing w:line="480" w:lineRule="auto"/>
      </w:pPr>
      <w:r w:rsidRPr="00102859">
        <w:t>[Insert Figure 3 here]</w:t>
      </w:r>
    </w:p>
    <w:p w14:paraId="08B1C125" w14:textId="0925364C" w:rsidR="00B9533D" w:rsidRPr="00102859" w:rsidRDefault="00B9533D" w:rsidP="005C34DD">
      <w:pPr>
        <w:spacing w:line="480" w:lineRule="auto"/>
      </w:pPr>
    </w:p>
    <w:p w14:paraId="3B7D3544" w14:textId="674F57D4" w:rsidR="0083342B" w:rsidRPr="00102859" w:rsidRDefault="0083342B" w:rsidP="005C34DD">
      <w:pPr>
        <w:spacing w:line="480" w:lineRule="auto"/>
        <w:rPr>
          <w:b/>
        </w:rPr>
      </w:pPr>
      <w:r w:rsidRPr="00102859">
        <w:rPr>
          <w:b/>
        </w:rPr>
        <w:t xml:space="preserve">3.4 Comparison of Changes in Tinnitus Severity for </w:t>
      </w:r>
      <w:r w:rsidR="00B662CA" w:rsidRPr="00102859">
        <w:rPr>
          <w:b/>
        </w:rPr>
        <w:t>E</w:t>
      </w:r>
      <w:r w:rsidRPr="00102859">
        <w:rPr>
          <w:b/>
        </w:rPr>
        <w:t>ach Subgroup</w:t>
      </w:r>
    </w:p>
    <w:p w14:paraId="4D713B0F" w14:textId="69EC5ED6" w:rsidR="0083342B" w:rsidRPr="00102859" w:rsidRDefault="0083342B" w:rsidP="005C34DD">
      <w:pPr>
        <w:spacing w:line="480" w:lineRule="auto"/>
      </w:pPr>
      <w:r w:rsidRPr="00102859">
        <w:t>Tinnitus severity changed significantly between sub-grou</w:t>
      </w:r>
      <w:r w:rsidR="0043799A" w:rsidRPr="00102859">
        <w:t>ps over time as seen in Figure 4</w:t>
      </w:r>
      <w:r w:rsidRPr="00102859">
        <w:t xml:space="preserve">. </w:t>
      </w:r>
      <w:r w:rsidR="00903A79" w:rsidRPr="00102859">
        <w:t xml:space="preserve">The Test of Fixed effects indicated significant intercept, time, group, and time-by-group interactions (all </w:t>
      </w:r>
      <w:r w:rsidR="00903A79" w:rsidRPr="00102859">
        <w:rPr>
          <w:i/>
          <w:iCs/>
        </w:rPr>
        <w:t>p</w:t>
      </w:r>
      <w:r w:rsidR="00903A79" w:rsidRPr="00102859">
        <w:t xml:space="preserve"> &lt; .001*) as tinnitus severity decreased for those with high depression and for those with tinnitus severity above 25 points, whereas tinnitus severity increased compared </w:t>
      </w:r>
      <w:r w:rsidR="00903A79" w:rsidRPr="00102859">
        <w:lastRenderedPageBreak/>
        <w:t>with their baseline scores for those with low tinnitus severity (under 25 points), possibly due to regression to the mean effects.</w:t>
      </w:r>
    </w:p>
    <w:p w14:paraId="1CDC9DEB" w14:textId="3A978220" w:rsidR="0083342B" w:rsidRPr="00102859" w:rsidRDefault="0083342B" w:rsidP="005C34DD">
      <w:pPr>
        <w:spacing w:line="480" w:lineRule="auto"/>
      </w:pPr>
    </w:p>
    <w:p w14:paraId="2764A0C4" w14:textId="4BA4156F" w:rsidR="00B9533D" w:rsidRPr="00102859" w:rsidRDefault="00B9533D" w:rsidP="00B9533D">
      <w:pPr>
        <w:spacing w:line="480" w:lineRule="auto"/>
      </w:pPr>
      <w:r w:rsidRPr="00102859">
        <w:t>[Insert Figure 4 here]</w:t>
      </w:r>
    </w:p>
    <w:p w14:paraId="6167DEDD" w14:textId="77777777" w:rsidR="00B9533D" w:rsidRPr="00102859" w:rsidRDefault="00B9533D" w:rsidP="005C34DD">
      <w:pPr>
        <w:spacing w:line="480" w:lineRule="auto"/>
        <w:sectPr w:rsidR="00B9533D" w:rsidRPr="00102859" w:rsidSect="00791284">
          <w:headerReference w:type="even" r:id="rId13"/>
          <w:headerReference w:type="default" r:id="rId14"/>
          <w:type w:val="continuous"/>
          <w:pgSz w:w="11900" w:h="16840"/>
          <w:pgMar w:top="1440" w:right="1440" w:bottom="1440" w:left="1440" w:header="708" w:footer="708" w:gutter="0"/>
          <w:lnNumType w:countBy="1" w:restart="continuous"/>
          <w:cols w:space="708"/>
          <w:docGrid w:linePitch="360"/>
        </w:sectPr>
      </w:pPr>
    </w:p>
    <w:p w14:paraId="4FAC1704" w14:textId="49D8D6C1" w:rsidR="00345A8A" w:rsidRPr="00102859" w:rsidRDefault="000B7084" w:rsidP="005C34DD">
      <w:pPr>
        <w:spacing w:line="480" w:lineRule="auto"/>
        <w:rPr>
          <w:b/>
          <w:bCs/>
        </w:rPr>
      </w:pPr>
      <w:r w:rsidRPr="00102859">
        <w:rPr>
          <w:b/>
          <w:bCs/>
        </w:rPr>
        <w:lastRenderedPageBreak/>
        <w:t>Table 3</w:t>
      </w:r>
      <w:r w:rsidR="00345A8A" w:rsidRPr="00102859">
        <w:rPr>
          <w:b/>
          <w:bCs/>
        </w:rPr>
        <w:t xml:space="preserve">. Outcome measures at each </w:t>
      </w:r>
      <w:r w:rsidR="00B2080B" w:rsidRPr="00102859">
        <w:rPr>
          <w:b/>
          <w:bCs/>
        </w:rPr>
        <w:t>time point</w:t>
      </w:r>
      <w:r w:rsidR="0067192A" w:rsidRPr="00102859">
        <w:rPr>
          <w:b/>
          <w:bCs/>
        </w:rPr>
        <w:t xml:space="preserve"> </w:t>
      </w:r>
      <w:r w:rsidR="00647CA5" w:rsidRPr="00102859">
        <w:rPr>
          <w:b/>
          <w:bCs/>
        </w:rPr>
        <w:t xml:space="preserve">comparing </w:t>
      </w:r>
      <w:r w:rsidR="005E0F97" w:rsidRPr="00102859">
        <w:rPr>
          <w:b/>
          <w:bCs/>
        </w:rPr>
        <w:t>completers-only</w:t>
      </w:r>
      <w:r w:rsidR="00647CA5" w:rsidRPr="00102859">
        <w:rPr>
          <w:b/>
          <w:bCs/>
        </w:rPr>
        <w:t xml:space="preserve"> and imputation</w:t>
      </w:r>
      <w:r w:rsidR="003442D1" w:rsidRPr="00102859">
        <w:rPr>
          <w:b/>
          <w:bCs/>
        </w:rPr>
        <w:t xml:space="preserve"> analysis</w:t>
      </w:r>
      <w:r w:rsidR="006D2ED8" w:rsidRPr="00102859">
        <w:rPr>
          <w:b/>
          <w:bCs/>
        </w:rPr>
        <w:t xml:space="preserve"> </w:t>
      </w:r>
    </w:p>
    <w:tbl>
      <w:tblPr>
        <w:tblStyle w:val="TableGrid"/>
        <w:tblW w:w="14596" w:type="dxa"/>
        <w:tblLook w:val="04A0" w:firstRow="1" w:lastRow="0" w:firstColumn="1" w:lastColumn="0" w:noHBand="0" w:noVBand="1"/>
      </w:tblPr>
      <w:tblGrid>
        <w:gridCol w:w="1484"/>
        <w:gridCol w:w="1216"/>
        <w:gridCol w:w="1229"/>
        <w:gridCol w:w="1878"/>
        <w:gridCol w:w="1418"/>
        <w:gridCol w:w="1280"/>
        <w:gridCol w:w="959"/>
        <w:gridCol w:w="2013"/>
        <w:gridCol w:w="3119"/>
      </w:tblGrid>
      <w:tr w:rsidR="00102859" w:rsidRPr="00102859" w14:paraId="043D7625" w14:textId="20A012D7" w:rsidTr="00B406F4">
        <w:tc>
          <w:tcPr>
            <w:tcW w:w="1484" w:type="dxa"/>
          </w:tcPr>
          <w:p w14:paraId="4CDD0031" w14:textId="67863F5D" w:rsidR="00E40862" w:rsidRPr="00102859" w:rsidRDefault="00E40862" w:rsidP="00E40862">
            <w:pPr>
              <w:spacing w:line="480" w:lineRule="auto"/>
              <w:rPr>
                <w:b/>
              </w:rPr>
            </w:pPr>
            <w:r w:rsidRPr="00102859">
              <w:rPr>
                <w:b/>
                <w:sz w:val="24"/>
                <w:szCs w:val="24"/>
              </w:rPr>
              <w:t>Outcome measure and</w:t>
            </w:r>
          </w:p>
        </w:tc>
        <w:tc>
          <w:tcPr>
            <w:tcW w:w="1216" w:type="dxa"/>
          </w:tcPr>
          <w:p w14:paraId="17FBC1C8" w14:textId="35D2397F" w:rsidR="00E40862" w:rsidRPr="00102859" w:rsidRDefault="00E40862" w:rsidP="00E40862">
            <w:pPr>
              <w:spacing w:line="480" w:lineRule="auto"/>
              <w:rPr>
                <w:b/>
                <w:sz w:val="24"/>
                <w:szCs w:val="24"/>
              </w:rPr>
            </w:pPr>
            <w:r w:rsidRPr="00102859">
              <w:rPr>
                <w:b/>
                <w:sz w:val="24"/>
                <w:szCs w:val="24"/>
              </w:rPr>
              <w:t>Group allocation</w:t>
            </w:r>
          </w:p>
        </w:tc>
        <w:tc>
          <w:tcPr>
            <w:tcW w:w="1229" w:type="dxa"/>
          </w:tcPr>
          <w:p w14:paraId="3045DA84" w14:textId="77777777" w:rsidR="00E40862" w:rsidRPr="00102859" w:rsidRDefault="00E40862" w:rsidP="00E40862">
            <w:pPr>
              <w:spacing w:line="480" w:lineRule="auto"/>
              <w:rPr>
                <w:b/>
                <w:sz w:val="24"/>
                <w:szCs w:val="24"/>
              </w:rPr>
            </w:pPr>
            <w:r w:rsidRPr="00102859">
              <w:rPr>
                <w:b/>
                <w:sz w:val="24"/>
                <w:szCs w:val="24"/>
              </w:rPr>
              <w:t>T0: Pre-treatment (baseline)</w:t>
            </w:r>
          </w:p>
        </w:tc>
        <w:tc>
          <w:tcPr>
            <w:tcW w:w="1878" w:type="dxa"/>
          </w:tcPr>
          <w:p w14:paraId="4945B7D7" w14:textId="38EE901D" w:rsidR="00E40862" w:rsidRPr="00102859" w:rsidRDefault="00E40862" w:rsidP="00E40862">
            <w:pPr>
              <w:spacing w:line="480" w:lineRule="auto"/>
              <w:rPr>
                <w:b/>
                <w:sz w:val="24"/>
                <w:szCs w:val="24"/>
              </w:rPr>
            </w:pPr>
            <w:r w:rsidRPr="00102859">
              <w:rPr>
                <w:b/>
                <w:sz w:val="24"/>
                <w:szCs w:val="24"/>
              </w:rPr>
              <w:t>Analysis protocol</w:t>
            </w:r>
          </w:p>
        </w:tc>
        <w:tc>
          <w:tcPr>
            <w:tcW w:w="1418" w:type="dxa"/>
          </w:tcPr>
          <w:p w14:paraId="02DCD106" w14:textId="2DA37B04" w:rsidR="00E40862" w:rsidRPr="00102859" w:rsidRDefault="00E40862" w:rsidP="00B76C05">
            <w:pPr>
              <w:spacing w:line="480" w:lineRule="auto"/>
              <w:rPr>
                <w:b/>
                <w:sz w:val="24"/>
                <w:szCs w:val="24"/>
              </w:rPr>
            </w:pPr>
            <w:r w:rsidRPr="00102859">
              <w:rPr>
                <w:b/>
                <w:sz w:val="24"/>
                <w:szCs w:val="24"/>
              </w:rPr>
              <w:t xml:space="preserve">T1: </w:t>
            </w:r>
            <w:r w:rsidR="00B76C05" w:rsidRPr="00102859">
              <w:rPr>
                <w:b/>
                <w:sz w:val="24"/>
                <w:szCs w:val="24"/>
              </w:rPr>
              <w:t>Post ICBT for ICBT group and relaxation for</w:t>
            </w:r>
            <w:r w:rsidRPr="00102859">
              <w:rPr>
                <w:b/>
                <w:sz w:val="24"/>
                <w:szCs w:val="24"/>
              </w:rPr>
              <w:t xml:space="preserve"> </w:t>
            </w:r>
            <w:r w:rsidR="00B406F4" w:rsidRPr="00102859">
              <w:rPr>
                <w:b/>
                <w:sz w:val="24"/>
                <w:szCs w:val="24"/>
              </w:rPr>
              <w:t xml:space="preserve">relaxation </w:t>
            </w:r>
            <w:r w:rsidRPr="00102859">
              <w:rPr>
                <w:b/>
                <w:sz w:val="24"/>
                <w:szCs w:val="24"/>
              </w:rPr>
              <w:t xml:space="preserve">group </w:t>
            </w:r>
          </w:p>
        </w:tc>
        <w:tc>
          <w:tcPr>
            <w:tcW w:w="1280" w:type="dxa"/>
          </w:tcPr>
          <w:p w14:paraId="6C4B8933" w14:textId="612F9604" w:rsidR="00E40862" w:rsidRPr="00102859" w:rsidRDefault="00E40862" w:rsidP="00E40862">
            <w:pPr>
              <w:spacing w:line="480" w:lineRule="auto"/>
              <w:rPr>
                <w:b/>
                <w:sz w:val="24"/>
                <w:szCs w:val="24"/>
              </w:rPr>
            </w:pPr>
            <w:r w:rsidRPr="00102859">
              <w:rPr>
                <w:b/>
                <w:sz w:val="24"/>
                <w:szCs w:val="24"/>
              </w:rPr>
              <w:t>T2: Post full ICBT treatment for both groups</w:t>
            </w:r>
          </w:p>
        </w:tc>
        <w:tc>
          <w:tcPr>
            <w:tcW w:w="959" w:type="dxa"/>
          </w:tcPr>
          <w:p w14:paraId="0B1C1658" w14:textId="48075AB3" w:rsidR="00E40862" w:rsidRPr="00102859" w:rsidRDefault="00E40862" w:rsidP="00E40862">
            <w:pPr>
              <w:spacing w:line="480" w:lineRule="auto"/>
              <w:rPr>
                <w:b/>
              </w:rPr>
            </w:pPr>
            <w:r w:rsidRPr="00102859">
              <w:rPr>
                <w:b/>
                <w:sz w:val="24"/>
                <w:szCs w:val="24"/>
              </w:rPr>
              <w:t>T3: 2-month follow-up for both groups</w:t>
            </w:r>
          </w:p>
        </w:tc>
        <w:tc>
          <w:tcPr>
            <w:tcW w:w="2013" w:type="dxa"/>
          </w:tcPr>
          <w:p w14:paraId="463BA330" w14:textId="08E7A13E" w:rsidR="00E40862" w:rsidRPr="00102859" w:rsidRDefault="00E40862" w:rsidP="00E40862">
            <w:pPr>
              <w:spacing w:line="480" w:lineRule="auto"/>
              <w:rPr>
                <w:b/>
              </w:rPr>
            </w:pPr>
            <w:r w:rsidRPr="00102859">
              <w:rPr>
                <w:b/>
              </w:rPr>
              <w:t xml:space="preserve">Within-group </w:t>
            </w:r>
          </w:p>
          <w:p w14:paraId="4AAF6021" w14:textId="25A61B6A" w:rsidR="00E40862" w:rsidRPr="00102859" w:rsidRDefault="00E40862" w:rsidP="00E40862">
            <w:pPr>
              <w:spacing w:line="480" w:lineRule="auto"/>
              <w:rPr>
                <w:b/>
              </w:rPr>
            </w:pPr>
            <w:r w:rsidRPr="00102859">
              <w:rPr>
                <w:b/>
                <w:sz w:val="24"/>
                <w:szCs w:val="24"/>
              </w:rPr>
              <w:t xml:space="preserve">Cohen’s </w:t>
            </w:r>
            <w:r w:rsidRPr="00102859">
              <w:rPr>
                <w:b/>
                <w:i/>
                <w:sz w:val="24"/>
                <w:szCs w:val="24"/>
              </w:rPr>
              <w:t>d</w:t>
            </w:r>
            <w:r w:rsidRPr="00102859">
              <w:rPr>
                <w:b/>
                <w:sz w:val="24"/>
                <w:szCs w:val="24"/>
              </w:rPr>
              <w:t xml:space="preserve"> (95% confidence intervals) at T1</w:t>
            </w:r>
          </w:p>
        </w:tc>
        <w:tc>
          <w:tcPr>
            <w:tcW w:w="3119" w:type="dxa"/>
          </w:tcPr>
          <w:p w14:paraId="04359461" w14:textId="21921976" w:rsidR="00E40862" w:rsidRPr="00102859" w:rsidRDefault="00E40862" w:rsidP="00E40862">
            <w:pPr>
              <w:spacing w:line="480" w:lineRule="auto"/>
              <w:rPr>
                <w:b/>
              </w:rPr>
            </w:pPr>
            <w:r w:rsidRPr="00102859">
              <w:rPr>
                <w:b/>
                <w:sz w:val="24"/>
                <w:szCs w:val="24"/>
              </w:rPr>
              <w:t xml:space="preserve">Between-group Cohen’s </w:t>
            </w:r>
            <w:r w:rsidRPr="00102859">
              <w:rPr>
                <w:b/>
                <w:i/>
                <w:sz w:val="24"/>
                <w:szCs w:val="24"/>
              </w:rPr>
              <w:t>d</w:t>
            </w:r>
            <w:r w:rsidRPr="00102859">
              <w:rPr>
                <w:b/>
                <w:sz w:val="24"/>
                <w:szCs w:val="24"/>
              </w:rPr>
              <w:t xml:space="preserve"> (95% confidence intervals)</w:t>
            </w:r>
          </w:p>
        </w:tc>
      </w:tr>
      <w:tr w:rsidR="00102859" w:rsidRPr="00102859" w14:paraId="3246046B" w14:textId="799E9EDD" w:rsidTr="00B406F4">
        <w:tc>
          <w:tcPr>
            <w:tcW w:w="1484" w:type="dxa"/>
            <w:vMerge w:val="restart"/>
          </w:tcPr>
          <w:p w14:paraId="2AE459FB" w14:textId="58495781" w:rsidR="00B76C05" w:rsidRPr="00102859" w:rsidRDefault="00B76C05" w:rsidP="00E40862">
            <w:pPr>
              <w:spacing w:line="480" w:lineRule="auto"/>
            </w:pPr>
            <w:r w:rsidRPr="00102859">
              <w:rPr>
                <w:b/>
                <w:bCs/>
                <w:sz w:val="24"/>
                <w:szCs w:val="24"/>
              </w:rPr>
              <w:t>Tinnitus Functional Index (TFI)</w:t>
            </w:r>
          </w:p>
        </w:tc>
        <w:tc>
          <w:tcPr>
            <w:tcW w:w="1216" w:type="dxa"/>
            <w:vMerge w:val="restart"/>
          </w:tcPr>
          <w:p w14:paraId="08C549B0" w14:textId="531D6CD0" w:rsidR="00B76C05" w:rsidRPr="00102859" w:rsidRDefault="00B76C05" w:rsidP="00E40862">
            <w:pPr>
              <w:spacing w:line="480" w:lineRule="auto"/>
              <w:rPr>
                <w:sz w:val="24"/>
                <w:szCs w:val="24"/>
              </w:rPr>
            </w:pPr>
            <w:r w:rsidRPr="00102859">
              <w:rPr>
                <w:sz w:val="24"/>
                <w:szCs w:val="24"/>
              </w:rPr>
              <w:t>ICBT group</w:t>
            </w:r>
          </w:p>
        </w:tc>
        <w:tc>
          <w:tcPr>
            <w:tcW w:w="1229" w:type="dxa"/>
            <w:vMerge w:val="restart"/>
          </w:tcPr>
          <w:p w14:paraId="13A890D9" w14:textId="2D48AC04" w:rsidR="00B76C05" w:rsidRPr="00102859" w:rsidRDefault="00B76C05" w:rsidP="00E40862">
            <w:pPr>
              <w:spacing w:line="480" w:lineRule="auto"/>
              <w:rPr>
                <w:sz w:val="24"/>
                <w:szCs w:val="24"/>
              </w:rPr>
            </w:pPr>
            <w:r w:rsidRPr="00102859">
              <w:rPr>
                <w:sz w:val="24"/>
                <w:szCs w:val="24"/>
              </w:rPr>
              <w:t>50.52 (26.65)</w:t>
            </w:r>
          </w:p>
          <w:p w14:paraId="44C9993E" w14:textId="77777777" w:rsidR="00B76C05" w:rsidRPr="00102859" w:rsidRDefault="00B76C05" w:rsidP="00E40862">
            <w:pPr>
              <w:spacing w:line="480" w:lineRule="auto"/>
              <w:rPr>
                <w:sz w:val="24"/>
                <w:szCs w:val="24"/>
              </w:rPr>
            </w:pPr>
          </w:p>
        </w:tc>
        <w:tc>
          <w:tcPr>
            <w:tcW w:w="1878" w:type="dxa"/>
          </w:tcPr>
          <w:p w14:paraId="54321E81" w14:textId="77777777" w:rsidR="00B76C05" w:rsidRPr="00102859" w:rsidRDefault="00B76C05" w:rsidP="00E40862">
            <w:pPr>
              <w:spacing w:line="480" w:lineRule="auto"/>
              <w:jc w:val="both"/>
              <w:rPr>
                <w:sz w:val="24"/>
                <w:szCs w:val="24"/>
              </w:rPr>
            </w:pPr>
            <w:r w:rsidRPr="00102859">
              <w:rPr>
                <w:bCs/>
                <w:sz w:val="24"/>
                <w:szCs w:val="24"/>
              </w:rPr>
              <w:t>Completers analysis</w:t>
            </w:r>
          </w:p>
          <w:p w14:paraId="15713790" w14:textId="29AFB150" w:rsidR="00B76C05" w:rsidRPr="00102859" w:rsidRDefault="00B76C05" w:rsidP="00E40862">
            <w:pPr>
              <w:spacing w:line="480" w:lineRule="auto"/>
              <w:rPr>
                <w:sz w:val="24"/>
                <w:szCs w:val="24"/>
              </w:rPr>
            </w:pPr>
          </w:p>
        </w:tc>
        <w:tc>
          <w:tcPr>
            <w:tcW w:w="1418" w:type="dxa"/>
          </w:tcPr>
          <w:p w14:paraId="17166AF9" w14:textId="358A4B22" w:rsidR="00B76C05" w:rsidRPr="00102859" w:rsidRDefault="00B76C05" w:rsidP="00E40862">
            <w:pPr>
              <w:spacing w:line="480" w:lineRule="auto"/>
              <w:rPr>
                <w:sz w:val="24"/>
                <w:szCs w:val="24"/>
              </w:rPr>
            </w:pPr>
            <w:r w:rsidRPr="00102859">
              <w:rPr>
                <w:sz w:val="24"/>
                <w:szCs w:val="24"/>
              </w:rPr>
              <w:t>28.95 (20.75)</w:t>
            </w:r>
          </w:p>
        </w:tc>
        <w:tc>
          <w:tcPr>
            <w:tcW w:w="1280" w:type="dxa"/>
          </w:tcPr>
          <w:p w14:paraId="2B023B00" w14:textId="02112480" w:rsidR="00B76C05" w:rsidRPr="00102859" w:rsidRDefault="00B76C05" w:rsidP="00E40862">
            <w:pPr>
              <w:spacing w:line="480" w:lineRule="auto"/>
              <w:rPr>
                <w:sz w:val="24"/>
                <w:szCs w:val="24"/>
              </w:rPr>
            </w:pPr>
            <w:r w:rsidRPr="00102859">
              <w:rPr>
                <w:sz w:val="24"/>
                <w:szCs w:val="24"/>
              </w:rPr>
              <w:t>28.95 (20.75)</w:t>
            </w:r>
          </w:p>
        </w:tc>
        <w:tc>
          <w:tcPr>
            <w:tcW w:w="959" w:type="dxa"/>
          </w:tcPr>
          <w:p w14:paraId="5D3659C3" w14:textId="66B200C3" w:rsidR="00B76C05" w:rsidRPr="00102859" w:rsidRDefault="00B76C05" w:rsidP="00E40862">
            <w:pPr>
              <w:spacing w:line="480" w:lineRule="auto"/>
            </w:pPr>
            <w:r w:rsidRPr="00102859">
              <w:rPr>
                <w:sz w:val="24"/>
                <w:szCs w:val="24"/>
              </w:rPr>
              <w:t>27.16 (20.78)</w:t>
            </w:r>
          </w:p>
        </w:tc>
        <w:tc>
          <w:tcPr>
            <w:tcW w:w="2013" w:type="dxa"/>
          </w:tcPr>
          <w:p w14:paraId="4849512E" w14:textId="64951FF5" w:rsidR="00B76C05" w:rsidRPr="00102859" w:rsidRDefault="00B76C05" w:rsidP="00E40862">
            <w:pPr>
              <w:spacing w:line="480" w:lineRule="auto"/>
            </w:pPr>
            <w:r w:rsidRPr="00102859">
              <w:t>0.87 [0.41 to 1.31]</w:t>
            </w:r>
          </w:p>
        </w:tc>
        <w:tc>
          <w:tcPr>
            <w:tcW w:w="3119" w:type="dxa"/>
            <w:vMerge w:val="restart"/>
          </w:tcPr>
          <w:p w14:paraId="5FDA7846" w14:textId="17AD5A8F" w:rsidR="00B76C05" w:rsidRPr="00102859" w:rsidRDefault="00B76C05" w:rsidP="00E40862">
            <w:pPr>
              <w:spacing w:line="480" w:lineRule="auto"/>
              <w:jc w:val="both"/>
              <w:rPr>
                <w:b/>
                <w:sz w:val="24"/>
                <w:szCs w:val="24"/>
              </w:rPr>
            </w:pPr>
            <w:r w:rsidRPr="00102859">
              <w:rPr>
                <w:b/>
                <w:bCs/>
                <w:sz w:val="24"/>
                <w:szCs w:val="24"/>
              </w:rPr>
              <w:t>Completers analysis</w:t>
            </w:r>
          </w:p>
          <w:p w14:paraId="641196FD" w14:textId="77777777" w:rsidR="00B76C05" w:rsidRPr="00102859" w:rsidRDefault="00B76C05" w:rsidP="004D0901">
            <w:pPr>
              <w:spacing w:line="480" w:lineRule="auto"/>
              <w:rPr>
                <w:sz w:val="24"/>
                <w:szCs w:val="24"/>
              </w:rPr>
            </w:pPr>
            <w:r w:rsidRPr="00102859">
              <w:rPr>
                <w:sz w:val="24"/>
                <w:szCs w:val="24"/>
              </w:rPr>
              <w:t>At T1: 0.15 [-0.37 to 0.66]</w:t>
            </w:r>
          </w:p>
          <w:p w14:paraId="11DA4D97" w14:textId="77777777" w:rsidR="00B76C05" w:rsidRPr="00102859" w:rsidRDefault="00B76C05" w:rsidP="004D0901">
            <w:pPr>
              <w:spacing w:line="480" w:lineRule="auto"/>
              <w:rPr>
                <w:sz w:val="24"/>
                <w:szCs w:val="24"/>
              </w:rPr>
            </w:pPr>
            <w:r w:rsidRPr="00102859">
              <w:rPr>
                <w:sz w:val="24"/>
                <w:szCs w:val="24"/>
              </w:rPr>
              <w:t>At T2: 0.08 [-0.43 to 0.59]</w:t>
            </w:r>
          </w:p>
          <w:p w14:paraId="49C4F969" w14:textId="7EDF5FFC" w:rsidR="00B76C05" w:rsidRPr="00102859" w:rsidRDefault="00B76C05" w:rsidP="004D0901">
            <w:pPr>
              <w:spacing w:line="480" w:lineRule="auto"/>
            </w:pPr>
            <w:r w:rsidRPr="00102859">
              <w:rPr>
                <w:sz w:val="24"/>
                <w:szCs w:val="24"/>
              </w:rPr>
              <w:t>At T3: -0.19 [-0.79 to 0.43]</w:t>
            </w:r>
          </w:p>
        </w:tc>
      </w:tr>
      <w:tr w:rsidR="00102859" w:rsidRPr="00102859" w14:paraId="06487E0A" w14:textId="26D67C31" w:rsidTr="0085238F">
        <w:tc>
          <w:tcPr>
            <w:tcW w:w="1484" w:type="dxa"/>
            <w:vMerge/>
          </w:tcPr>
          <w:p w14:paraId="017215D3" w14:textId="5BD8F076" w:rsidR="00B76C05" w:rsidRPr="00102859" w:rsidRDefault="00B76C05" w:rsidP="00B406F4">
            <w:pPr>
              <w:spacing w:line="480" w:lineRule="auto"/>
            </w:pPr>
          </w:p>
        </w:tc>
        <w:tc>
          <w:tcPr>
            <w:tcW w:w="1216" w:type="dxa"/>
            <w:vMerge/>
          </w:tcPr>
          <w:p w14:paraId="3B505057" w14:textId="69297C58" w:rsidR="00B76C05" w:rsidRPr="00102859" w:rsidRDefault="00B76C05" w:rsidP="00B406F4">
            <w:pPr>
              <w:spacing w:line="480" w:lineRule="auto"/>
            </w:pPr>
          </w:p>
        </w:tc>
        <w:tc>
          <w:tcPr>
            <w:tcW w:w="1229" w:type="dxa"/>
            <w:vMerge/>
          </w:tcPr>
          <w:p w14:paraId="1326DBFF" w14:textId="77777777" w:rsidR="00B76C05" w:rsidRPr="00102859" w:rsidRDefault="00B76C05" w:rsidP="00B406F4">
            <w:pPr>
              <w:spacing w:line="480" w:lineRule="auto"/>
            </w:pPr>
          </w:p>
        </w:tc>
        <w:tc>
          <w:tcPr>
            <w:tcW w:w="1878" w:type="dxa"/>
            <w:shd w:val="clear" w:color="auto" w:fill="F2F2F2" w:themeFill="background1" w:themeFillShade="F2"/>
          </w:tcPr>
          <w:p w14:paraId="368FB112" w14:textId="39BFF947" w:rsidR="00B76C05" w:rsidRPr="00102859" w:rsidRDefault="00B76C05" w:rsidP="00B406F4">
            <w:pPr>
              <w:spacing w:line="480" w:lineRule="auto"/>
              <w:rPr>
                <w:sz w:val="24"/>
                <w:szCs w:val="24"/>
              </w:rPr>
            </w:pPr>
            <w:r w:rsidRPr="00102859">
              <w:rPr>
                <w:bCs/>
                <w:sz w:val="24"/>
                <w:szCs w:val="24"/>
              </w:rPr>
              <w:t>Imputation analysis</w:t>
            </w:r>
          </w:p>
        </w:tc>
        <w:tc>
          <w:tcPr>
            <w:tcW w:w="1418" w:type="dxa"/>
            <w:shd w:val="clear" w:color="auto" w:fill="F2F2F2" w:themeFill="background1" w:themeFillShade="F2"/>
          </w:tcPr>
          <w:p w14:paraId="54D27690" w14:textId="7D8FD9AF" w:rsidR="00B76C05" w:rsidRPr="00102859" w:rsidRDefault="00B76C05" w:rsidP="00B406F4">
            <w:pPr>
              <w:spacing w:line="480" w:lineRule="auto"/>
            </w:pPr>
            <w:r w:rsidRPr="00102859">
              <w:rPr>
                <w:sz w:val="24"/>
                <w:szCs w:val="24"/>
              </w:rPr>
              <w:t>28.89 (14.56)</w:t>
            </w:r>
          </w:p>
        </w:tc>
        <w:tc>
          <w:tcPr>
            <w:tcW w:w="1280" w:type="dxa"/>
            <w:shd w:val="clear" w:color="auto" w:fill="F2F2F2" w:themeFill="background1" w:themeFillShade="F2"/>
          </w:tcPr>
          <w:p w14:paraId="291B639B" w14:textId="129EF993" w:rsidR="00B76C05" w:rsidRPr="00102859" w:rsidRDefault="00B76C05" w:rsidP="00B406F4">
            <w:pPr>
              <w:spacing w:line="480" w:lineRule="auto"/>
            </w:pPr>
            <w:r w:rsidRPr="00102859">
              <w:rPr>
                <w:sz w:val="24"/>
                <w:szCs w:val="24"/>
              </w:rPr>
              <w:t>29.46 (14.61)</w:t>
            </w:r>
          </w:p>
        </w:tc>
        <w:tc>
          <w:tcPr>
            <w:tcW w:w="959" w:type="dxa"/>
            <w:shd w:val="clear" w:color="auto" w:fill="F2F2F2" w:themeFill="background1" w:themeFillShade="F2"/>
          </w:tcPr>
          <w:p w14:paraId="1AC8FD5D" w14:textId="77D93E90" w:rsidR="00B76C05" w:rsidRPr="00102859" w:rsidRDefault="00B76C05" w:rsidP="00B406F4">
            <w:pPr>
              <w:spacing w:line="480" w:lineRule="auto"/>
            </w:pPr>
            <w:r w:rsidRPr="00102859">
              <w:t>26.94 (11.86)</w:t>
            </w:r>
          </w:p>
        </w:tc>
        <w:tc>
          <w:tcPr>
            <w:tcW w:w="2013" w:type="dxa"/>
            <w:shd w:val="clear" w:color="auto" w:fill="F2F2F2" w:themeFill="background1" w:themeFillShade="F2"/>
          </w:tcPr>
          <w:p w14:paraId="17A73FD5" w14:textId="29905188" w:rsidR="00B76C05" w:rsidRPr="00102859" w:rsidRDefault="00B76C05" w:rsidP="00B406F4">
            <w:pPr>
              <w:spacing w:line="480" w:lineRule="auto"/>
            </w:pPr>
            <w:r w:rsidRPr="00102859">
              <w:t>1.10 [0.63 to 1.37]</w:t>
            </w:r>
          </w:p>
        </w:tc>
        <w:tc>
          <w:tcPr>
            <w:tcW w:w="3119" w:type="dxa"/>
            <w:vMerge/>
          </w:tcPr>
          <w:p w14:paraId="61AF12BA" w14:textId="2E2B7AA9" w:rsidR="00B76C05" w:rsidRPr="00102859" w:rsidRDefault="00B76C05" w:rsidP="00B406F4">
            <w:pPr>
              <w:spacing w:line="480" w:lineRule="auto"/>
            </w:pPr>
          </w:p>
        </w:tc>
      </w:tr>
      <w:tr w:rsidR="00102859" w:rsidRPr="00102859" w14:paraId="5180D084" w14:textId="75FF7810" w:rsidTr="00B406F4">
        <w:trPr>
          <w:trHeight w:val="2156"/>
        </w:trPr>
        <w:tc>
          <w:tcPr>
            <w:tcW w:w="1484" w:type="dxa"/>
            <w:vMerge/>
          </w:tcPr>
          <w:p w14:paraId="70A1C83D" w14:textId="44464ABC" w:rsidR="00B76C05" w:rsidRPr="00102859" w:rsidRDefault="00B76C05" w:rsidP="00B406F4">
            <w:pPr>
              <w:spacing w:line="480" w:lineRule="auto"/>
            </w:pPr>
          </w:p>
        </w:tc>
        <w:tc>
          <w:tcPr>
            <w:tcW w:w="1216" w:type="dxa"/>
            <w:vMerge w:val="restart"/>
          </w:tcPr>
          <w:p w14:paraId="43244EB1" w14:textId="1BB45807" w:rsidR="00B76C05" w:rsidRPr="00102859" w:rsidRDefault="00B76C05" w:rsidP="00B406F4">
            <w:pPr>
              <w:spacing w:line="480" w:lineRule="auto"/>
              <w:rPr>
                <w:sz w:val="24"/>
                <w:szCs w:val="24"/>
              </w:rPr>
            </w:pPr>
            <w:r w:rsidRPr="00102859">
              <w:t xml:space="preserve">Applied relaxation </w:t>
            </w:r>
            <w:r w:rsidRPr="00102859">
              <w:rPr>
                <w:sz w:val="24"/>
                <w:szCs w:val="24"/>
              </w:rPr>
              <w:t>group</w:t>
            </w:r>
          </w:p>
        </w:tc>
        <w:tc>
          <w:tcPr>
            <w:tcW w:w="1229" w:type="dxa"/>
            <w:vMerge w:val="restart"/>
          </w:tcPr>
          <w:p w14:paraId="62EBC3A0" w14:textId="7A20A2B5" w:rsidR="00B76C05" w:rsidRPr="00102859" w:rsidRDefault="00B76C05" w:rsidP="00B406F4">
            <w:pPr>
              <w:spacing w:line="480" w:lineRule="auto"/>
              <w:rPr>
                <w:sz w:val="24"/>
                <w:szCs w:val="24"/>
              </w:rPr>
            </w:pPr>
            <w:r w:rsidRPr="00102859">
              <w:rPr>
                <w:sz w:val="24"/>
                <w:szCs w:val="24"/>
              </w:rPr>
              <w:t>48.70 (25.51)</w:t>
            </w:r>
          </w:p>
          <w:p w14:paraId="09BCBD7A" w14:textId="77777777" w:rsidR="00B76C05" w:rsidRPr="00102859" w:rsidRDefault="00B76C05" w:rsidP="00B406F4">
            <w:pPr>
              <w:spacing w:line="480" w:lineRule="auto"/>
              <w:rPr>
                <w:sz w:val="24"/>
                <w:szCs w:val="24"/>
              </w:rPr>
            </w:pPr>
          </w:p>
        </w:tc>
        <w:tc>
          <w:tcPr>
            <w:tcW w:w="1878" w:type="dxa"/>
          </w:tcPr>
          <w:p w14:paraId="717CA8C4" w14:textId="77777777" w:rsidR="00B76C05" w:rsidRPr="00102859" w:rsidRDefault="00B76C05" w:rsidP="00B406F4">
            <w:pPr>
              <w:spacing w:line="480" w:lineRule="auto"/>
              <w:jc w:val="both"/>
              <w:rPr>
                <w:sz w:val="24"/>
                <w:szCs w:val="24"/>
              </w:rPr>
            </w:pPr>
            <w:r w:rsidRPr="00102859">
              <w:rPr>
                <w:bCs/>
                <w:sz w:val="24"/>
                <w:szCs w:val="24"/>
              </w:rPr>
              <w:t>Completers analysis</w:t>
            </w:r>
          </w:p>
          <w:p w14:paraId="0021874F" w14:textId="067BDC60" w:rsidR="00B76C05" w:rsidRPr="00102859" w:rsidRDefault="00B76C05" w:rsidP="00B406F4">
            <w:pPr>
              <w:spacing w:line="480" w:lineRule="auto"/>
            </w:pPr>
          </w:p>
        </w:tc>
        <w:tc>
          <w:tcPr>
            <w:tcW w:w="1418" w:type="dxa"/>
          </w:tcPr>
          <w:p w14:paraId="0C684ECE" w14:textId="268CBC53" w:rsidR="00B76C05" w:rsidRPr="00102859" w:rsidRDefault="00B76C05" w:rsidP="00B406F4">
            <w:pPr>
              <w:spacing w:line="480" w:lineRule="auto"/>
              <w:rPr>
                <w:sz w:val="24"/>
                <w:szCs w:val="24"/>
              </w:rPr>
            </w:pPr>
            <w:r w:rsidRPr="00102859">
              <w:rPr>
                <w:sz w:val="24"/>
                <w:szCs w:val="24"/>
              </w:rPr>
              <w:t>32.13 (21.38)</w:t>
            </w:r>
          </w:p>
        </w:tc>
        <w:tc>
          <w:tcPr>
            <w:tcW w:w="1280" w:type="dxa"/>
          </w:tcPr>
          <w:p w14:paraId="63B50F7E" w14:textId="65D3BB1E" w:rsidR="00B76C05" w:rsidRPr="00102859" w:rsidRDefault="00B76C05" w:rsidP="00B406F4">
            <w:pPr>
              <w:spacing w:line="480" w:lineRule="auto"/>
              <w:rPr>
                <w:sz w:val="24"/>
                <w:szCs w:val="24"/>
              </w:rPr>
            </w:pPr>
            <w:r w:rsidRPr="00102859">
              <w:rPr>
                <w:sz w:val="24"/>
                <w:szCs w:val="24"/>
              </w:rPr>
              <w:t>30.66 (23.45)</w:t>
            </w:r>
          </w:p>
        </w:tc>
        <w:tc>
          <w:tcPr>
            <w:tcW w:w="959" w:type="dxa"/>
          </w:tcPr>
          <w:p w14:paraId="567ED0E5" w14:textId="4096B1FA" w:rsidR="00B76C05" w:rsidRPr="00102859" w:rsidRDefault="00B76C05" w:rsidP="00B406F4">
            <w:pPr>
              <w:spacing w:line="480" w:lineRule="auto"/>
            </w:pPr>
            <w:r w:rsidRPr="00102859">
              <w:t>23.81 (9.87)</w:t>
            </w:r>
          </w:p>
        </w:tc>
        <w:tc>
          <w:tcPr>
            <w:tcW w:w="2013" w:type="dxa"/>
          </w:tcPr>
          <w:p w14:paraId="0EB17DB7" w14:textId="22E19CBA" w:rsidR="00B76C05" w:rsidRPr="00102859" w:rsidRDefault="00B76C05" w:rsidP="00B406F4">
            <w:pPr>
              <w:spacing w:line="480" w:lineRule="auto"/>
            </w:pPr>
            <w:r w:rsidRPr="00102859">
              <w:t xml:space="preserve">0.68 [0.22 to </w:t>
            </w:r>
          </w:p>
          <w:p w14:paraId="46EB34DC" w14:textId="77777777" w:rsidR="00B76C05" w:rsidRPr="00102859" w:rsidRDefault="00B76C05" w:rsidP="00B406F4">
            <w:pPr>
              <w:spacing w:line="480" w:lineRule="auto"/>
            </w:pPr>
            <w:r w:rsidRPr="00102859">
              <w:t>1.13]</w:t>
            </w:r>
          </w:p>
          <w:p w14:paraId="34FA9E9C" w14:textId="4D6D8356" w:rsidR="00B76C05" w:rsidRPr="00102859" w:rsidRDefault="00B76C05" w:rsidP="00B406F4">
            <w:pPr>
              <w:spacing w:line="480" w:lineRule="auto"/>
            </w:pPr>
          </w:p>
        </w:tc>
        <w:tc>
          <w:tcPr>
            <w:tcW w:w="3119" w:type="dxa"/>
            <w:vMerge w:val="restart"/>
          </w:tcPr>
          <w:p w14:paraId="378E6584" w14:textId="77777777" w:rsidR="00B76C05" w:rsidRPr="00102859" w:rsidRDefault="00B76C05" w:rsidP="00B406F4">
            <w:pPr>
              <w:spacing w:line="480" w:lineRule="auto"/>
              <w:rPr>
                <w:b/>
                <w:bCs/>
                <w:sz w:val="24"/>
                <w:szCs w:val="24"/>
              </w:rPr>
            </w:pPr>
            <w:r w:rsidRPr="00102859">
              <w:rPr>
                <w:b/>
                <w:bCs/>
                <w:sz w:val="24"/>
                <w:szCs w:val="24"/>
              </w:rPr>
              <w:t>Imputation analysis</w:t>
            </w:r>
          </w:p>
          <w:p w14:paraId="713E847B" w14:textId="77777777" w:rsidR="00B76C05" w:rsidRPr="00102859" w:rsidRDefault="00B76C05" w:rsidP="00B406F4">
            <w:pPr>
              <w:spacing w:line="480" w:lineRule="auto"/>
              <w:rPr>
                <w:sz w:val="24"/>
                <w:szCs w:val="24"/>
              </w:rPr>
            </w:pPr>
            <w:r w:rsidRPr="00102859">
              <w:rPr>
                <w:sz w:val="24"/>
                <w:szCs w:val="24"/>
              </w:rPr>
              <w:t>At T1: 0.19 [-0.16 to 0.54]</w:t>
            </w:r>
          </w:p>
          <w:p w14:paraId="066D67E9" w14:textId="77777777" w:rsidR="00B76C05" w:rsidRPr="00102859" w:rsidRDefault="00B76C05" w:rsidP="00B406F4">
            <w:pPr>
              <w:spacing w:line="480" w:lineRule="auto"/>
              <w:rPr>
                <w:sz w:val="24"/>
                <w:szCs w:val="24"/>
              </w:rPr>
            </w:pPr>
            <w:r w:rsidRPr="00102859">
              <w:rPr>
                <w:sz w:val="24"/>
                <w:szCs w:val="24"/>
              </w:rPr>
              <w:t>At T2: 0.07 [0.28 to 0.42]</w:t>
            </w:r>
          </w:p>
          <w:p w14:paraId="61F0528D" w14:textId="2E3807A0" w:rsidR="00B76C05" w:rsidRPr="00102859" w:rsidRDefault="00B76C05" w:rsidP="00B406F4">
            <w:pPr>
              <w:spacing w:line="480" w:lineRule="auto"/>
              <w:rPr>
                <w:b/>
              </w:rPr>
            </w:pPr>
            <w:r w:rsidRPr="00102859">
              <w:rPr>
                <w:sz w:val="24"/>
                <w:szCs w:val="24"/>
              </w:rPr>
              <w:t>At T3: -0.29 [-0.64 to 0.07]</w:t>
            </w:r>
          </w:p>
        </w:tc>
      </w:tr>
      <w:tr w:rsidR="00102859" w:rsidRPr="00102859" w14:paraId="0C2D4412" w14:textId="48E1BD28" w:rsidTr="0085238F">
        <w:tc>
          <w:tcPr>
            <w:tcW w:w="1484" w:type="dxa"/>
            <w:vMerge/>
          </w:tcPr>
          <w:p w14:paraId="7BC7C580" w14:textId="1B0F3605" w:rsidR="00B76C05" w:rsidRPr="00102859" w:rsidRDefault="00B76C05" w:rsidP="00B406F4">
            <w:pPr>
              <w:spacing w:line="480" w:lineRule="auto"/>
            </w:pPr>
          </w:p>
        </w:tc>
        <w:tc>
          <w:tcPr>
            <w:tcW w:w="1216" w:type="dxa"/>
            <w:vMerge/>
          </w:tcPr>
          <w:p w14:paraId="39F0C180" w14:textId="77777777" w:rsidR="00B76C05" w:rsidRPr="00102859" w:rsidRDefault="00B76C05" w:rsidP="00B406F4">
            <w:pPr>
              <w:spacing w:line="480" w:lineRule="auto"/>
            </w:pPr>
          </w:p>
        </w:tc>
        <w:tc>
          <w:tcPr>
            <w:tcW w:w="1229" w:type="dxa"/>
            <w:vMerge/>
          </w:tcPr>
          <w:p w14:paraId="643C2B08" w14:textId="77777777" w:rsidR="00B76C05" w:rsidRPr="00102859" w:rsidRDefault="00B76C05" w:rsidP="00B406F4">
            <w:pPr>
              <w:spacing w:line="480" w:lineRule="auto"/>
            </w:pPr>
          </w:p>
        </w:tc>
        <w:tc>
          <w:tcPr>
            <w:tcW w:w="1878" w:type="dxa"/>
            <w:shd w:val="clear" w:color="auto" w:fill="F2F2F2" w:themeFill="background1" w:themeFillShade="F2"/>
          </w:tcPr>
          <w:p w14:paraId="734BC272" w14:textId="213F4230" w:rsidR="00B76C05" w:rsidRPr="00102859" w:rsidRDefault="00B76C05" w:rsidP="00B406F4">
            <w:pPr>
              <w:spacing w:line="480" w:lineRule="auto"/>
            </w:pPr>
            <w:r w:rsidRPr="00102859">
              <w:rPr>
                <w:bCs/>
                <w:sz w:val="24"/>
                <w:szCs w:val="24"/>
              </w:rPr>
              <w:t>Imputation analysis</w:t>
            </w:r>
          </w:p>
        </w:tc>
        <w:tc>
          <w:tcPr>
            <w:tcW w:w="1418" w:type="dxa"/>
            <w:shd w:val="clear" w:color="auto" w:fill="F2F2F2" w:themeFill="background1" w:themeFillShade="F2"/>
          </w:tcPr>
          <w:p w14:paraId="3C6F88E0" w14:textId="0CFB7013" w:rsidR="00B76C05" w:rsidRPr="00102859" w:rsidRDefault="00B76C05" w:rsidP="00B406F4">
            <w:pPr>
              <w:spacing w:line="480" w:lineRule="auto"/>
            </w:pPr>
            <w:r w:rsidRPr="00102859">
              <w:rPr>
                <w:sz w:val="24"/>
                <w:szCs w:val="24"/>
              </w:rPr>
              <w:t>31.62 (14.52)</w:t>
            </w:r>
          </w:p>
        </w:tc>
        <w:tc>
          <w:tcPr>
            <w:tcW w:w="1280" w:type="dxa"/>
            <w:shd w:val="clear" w:color="auto" w:fill="F2F2F2" w:themeFill="background1" w:themeFillShade="F2"/>
          </w:tcPr>
          <w:p w14:paraId="1DE2BDC9" w14:textId="250733B0" w:rsidR="00B76C05" w:rsidRPr="00102859" w:rsidRDefault="00B76C05" w:rsidP="00B406F4">
            <w:pPr>
              <w:spacing w:line="480" w:lineRule="auto"/>
            </w:pPr>
            <w:r w:rsidRPr="00102859">
              <w:rPr>
                <w:sz w:val="24"/>
                <w:szCs w:val="24"/>
              </w:rPr>
              <w:t>30.54 (16.17)</w:t>
            </w:r>
          </w:p>
        </w:tc>
        <w:tc>
          <w:tcPr>
            <w:tcW w:w="959" w:type="dxa"/>
            <w:shd w:val="clear" w:color="auto" w:fill="F2F2F2" w:themeFill="background1" w:themeFillShade="F2"/>
          </w:tcPr>
          <w:p w14:paraId="1E979BA4" w14:textId="54A6CF4E" w:rsidR="00B76C05" w:rsidRPr="00102859" w:rsidRDefault="00B76C05" w:rsidP="00B406F4">
            <w:pPr>
              <w:spacing w:line="480" w:lineRule="auto"/>
            </w:pPr>
            <w:r w:rsidRPr="00102859">
              <w:t>23.81 (9.87)</w:t>
            </w:r>
          </w:p>
        </w:tc>
        <w:tc>
          <w:tcPr>
            <w:tcW w:w="2013" w:type="dxa"/>
            <w:shd w:val="clear" w:color="auto" w:fill="F2F2F2" w:themeFill="background1" w:themeFillShade="F2"/>
          </w:tcPr>
          <w:p w14:paraId="1BB1B9B0" w14:textId="1628D1B9" w:rsidR="00B76C05" w:rsidRPr="00102859" w:rsidRDefault="00B76C05" w:rsidP="00B406F4">
            <w:pPr>
              <w:spacing w:line="480" w:lineRule="auto"/>
            </w:pPr>
            <w:r w:rsidRPr="00102859">
              <w:t>0.82 [0.45 to 1.18]</w:t>
            </w:r>
          </w:p>
        </w:tc>
        <w:tc>
          <w:tcPr>
            <w:tcW w:w="3119" w:type="dxa"/>
            <w:vMerge/>
          </w:tcPr>
          <w:p w14:paraId="7193BE19" w14:textId="77777777" w:rsidR="00B76C05" w:rsidRPr="00102859" w:rsidRDefault="00B76C05" w:rsidP="00B406F4">
            <w:pPr>
              <w:spacing w:line="480" w:lineRule="auto"/>
            </w:pPr>
          </w:p>
        </w:tc>
      </w:tr>
      <w:tr w:rsidR="00102859" w:rsidRPr="00102859" w14:paraId="1D184218" w14:textId="33114E5D" w:rsidTr="00B406F4">
        <w:tc>
          <w:tcPr>
            <w:tcW w:w="1484" w:type="dxa"/>
            <w:vMerge w:val="restart"/>
          </w:tcPr>
          <w:p w14:paraId="270A9C07" w14:textId="1E35A2B8" w:rsidR="00B406F4" w:rsidRPr="00102859" w:rsidRDefault="00B406F4" w:rsidP="00B406F4">
            <w:pPr>
              <w:spacing w:line="480" w:lineRule="auto"/>
            </w:pPr>
            <w:r w:rsidRPr="00102859">
              <w:rPr>
                <w:b/>
                <w:sz w:val="24"/>
                <w:szCs w:val="24"/>
              </w:rPr>
              <w:t>Anxiety (GAD-7)</w:t>
            </w:r>
          </w:p>
        </w:tc>
        <w:tc>
          <w:tcPr>
            <w:tcW w:w="1216" w:type="dxa"/>
            <w:vMerge w:val="restart"/>
          </w:tcPr>
          <w:p w14:paraId="775CE316" w14:textId="4AEDFCDE" w:rsidR="00B406F4" w:rsidRPr="00102859" w:rsidRDefault="00B406F4" w:rsidP="00B406F4">
            <w:pPr>
              <w:spacing w:line="480" w:lineRule="auto"/>
              <w:rPr>
                <w:sz w:val="24"/>
                <w:szCs w:val="24"/>
              </w:rPr>
            </w:pPr>
            <w:r w:rsidRPr="00102859">
              <w:rPr>
                <w:sz w:val="24"/>
                <w:szCs w:val="24"/>
              </w:rPr>
              <w:t>ICBT group</w:t>
            </w:r>
          </w:p>
        </w:tc>
        <w:tc>
          <w:tcPr>
            <w:tcW w:w="1229" w:type="dxa"/>
            <w:vMerge w:val="restart"/>
          </w:tcPr>
          <w:p w14:paraId="4180B34F" w14:textId="635C2610" w:rsidR="00B406F4" w:rsidRPr="00102859" w:rsidRDefault="00B406F4" w:rsidP="00B406F4">
            <w:pPr>
              <w:spacing w:line="480" w:lineRule="auto"/>
              <w:rPr>
                <w:sz w:val="24"/>
                <w:szCs w:val="24"/>
              </w:rPr>
            </w:pPr>
            <w:r w:rsidRPr="00102859">
              <w:rPr>
                <w:sz w:val="24"/>
                <w:szCs w:val="24"/>
              </w:rPr>
              <w:t>9.19 (6.39)</w:t>
            </w:r>
          </w:p>
          <w:p w14:paraId="016BC255" w14:textId="77777777" w:rsidR="00B406F4" w:rsidRPr="00102859" w:rsidRDefault="00B406F4" w:rsidP="00B406F4">
            <w:pPr>
              <w:spacing w:line="480" w:lineRule="auto"/>
              <w:rPr>
                <w:sz w:val="24"/>
                <w:szCs w:val="24"/>
              </w:rPr>
            </w:pPr>
          </w:p>
        </w:tc>
        <w:tc>
          <w:tcPr>
            <w:tcW w:w="1878" w:type="dxa"/>
          </w:tcPr>
          <w:p w14:paraId="04CA76B2" w14:textId="77777777" w:rsidR="00B406F4" w:rsidRPr="00102859" w:rsidRDefault="00B406F4" w:rsidP="00B406F4">
            <w:pPr>
              <w:spacing w:line="480" w:lineRule="auto"/>
              <w:jc w:val="both"/>
              <w:rPr>
                <w:sz w:val="24"/>
                <w:szCs w:val="24"/>
              </w:rPr>
            </w:pPr>
            <w:r w:rsidRPr="00102859">
              <w:rPr>
                <w:bCs/>
                <w:sz w:val="24"/>
                <w:szCs w:val="24"/>
              </w:rPr>
              <w:t>Completers analysis</w:t>
            </w:r>
          </w:p>
          <w:p w14:paraId="443C3246" w14:textId="728C6059" w:rsidR="00B406F4" w:rsidRPr="00102859" w:rsidRDefault="00B406F4" w:rsidP="00B406F4">
            <w:pPr>
              <w:spacing w:line="480" w:lineRule="auto"/>
            </w:pPr>
          </w:p>
        </w:tc>
        <w:tc>
          <w:tcPr>
            <w:tcW w:w="1418" w:type="dxa"/>
          </w:tcPr>
          <w:p w14:paraId="237A1A7C" w14:textId="13BC9210" w:rsidR="00B406F4" w:rsidRPr="00102859" w:rsidRDefault="00B406F4" w:rsidP="00B406F4">
            <w:pPr>
              <w:spacing w:line="480" w:lineRule="auto"/>
              <w:rPr>
                <w:sz w:val="24"/>
                <w:szCs w:val="24"/>
              </w:rPr>
            </w:pPr>
            <w:r w:rsidRPr="00102859">
              <w:rPr>
                <w:sz w:val="24"/>
                <w:szCs w:val="24"/>
              </w:rPr>
              <w:t>4.48 (4.17)</w:t>
            </w:r>
          </w:p>
        </w:tc>
        <w:tc>
          <w:tcPr>
            <w:tcW w:w="1280" w:type="dxa"/>
          </w:tcPr>
          <w:p w14:paraId="1E56C9FF" w14:textId="69C5091E" w:rsidR="00B406F4" w:rsidRPr="00102859" w:rsidRDefault="00B406F4" w:rsidP="00B406F4">
            <w:pPr>
              <w:spacing w:line="480" w:lineRule="auto"/>
              <w:rPr>
                <w:sz w:val="24"/>
                <w:szCs w:val="24"/>
              </w:rPr>
            </w:pPr>
            <w:r w:rsidRPr="00102859">
              <w:rPr>
                <w:sz w:val="24"/>
                <w:szCs w:val="24"/>
              </w:rPr>
              <w:t>4.48 (4.17)</w:t>
            </w:r>
          </w:p>
        </w:tc>
        <w:tc>
          <w:tcPr>
            <w:tcW w:w="959" w:type="dxa"/>
          </w:tcPr>
          <w:p w14:paraId="65CFF62F" w14:textId="6C14C9E9" w:rsidR="00B406F4" w:rsidRPr="00102859" w:rsidRDefault="00B406F4" w:rsidP="00B406F4">
            <w:pPr>
              <w:spacing w:line="480" w:lineRule="auto"/>
            </w:pPr>
            <w:r w:rsidRPr="00102859">
              <w:t>4.68 (4.75)</w:t>
            </w:r>
          </w:p>
        </w:tc>
        <w:tc>
          <w:tcPr>
            <w:tcW w:w="2013" w:type="dxa"/>
          </w:tcPr>
          <w:p w14:paraId="5BC6CA1F" w14:textId="6D8839F3" w:rsidR="00B406F4" w:rsidRPr="00102859" w:rsidRDefault="00B76C05" w:rsidP="00B406F4">
            <w:pPr>
              <w:spacing w:line="480" w:lineRule="auto"/>
            </w:pPr>
            <w:r w:rsidRPr="00102859">
              <w:t>0.81 [0.35 to 1.26]</w:t>
            </w:r>
          </w:p>
        </w:tc>
        <w:tc>
          <w:tcPr>
            <w:tcW w:w="3119" w:type="dxa"/>
            <w:vMerge w:val="restart"/>
          </w:tcPr>
          <w:p w14:paraId="5DBACEB3" w14:textId="6647A4A1" w:rsidR="00B406F4" w:rsidRPr="00102859" w:rsidRDefault="00B406F4" w:rsidP="00B406F4">
            <w:pPr>
              <w:spacing w:line="480" w:lineRule="auto"/>
              <w:jc w:val="both"/>
              <w:rPr>
                <w:b/>
                <w:sz w:val="24"/>
                <w:szCs w:val="24"/>
              </w:rPr>
            </w:pPr>
            <w:r w:rsidRPr="00102859">
              <w:rPr>
                <w:b/>
                <w:bCs/>
                <w:sz w:val="24"/>
                <w:szCs w:val="24"/>
              </w:rPr>
              <w:t>Completers analysis</w:t>
            </w:r>
          </w:p>
          <w:p w14:paraId="39D1FA39" w14:textId="77777777" w:rsidR="00B406F4" w:rsidRPr="00102859" w:rsidRDefault="00B406F4" w:rsidP="00B406F4">
            <w:pPr>
              <w:spacing w:line="480" w:lineRule="auto"/>
              <w:rPr>
                <w:sz w:val="24"/>
                <w:szCs w:val="24"/>
              </w:rPr>
            </w:pPr>
            <w:r w:rsidRPr="00102859">
              <w:rPr>
                <w:sz w:val="24"/>
                <w:szCs w:val="24"/>
              </w:rPr>
              <w:t>At T1: 0.15 [-0.37 to 0.67]</w:t>
            </w:r>
          </w:p>
          <w:p w14:paraId="477921CA" w14:textId="77777777" w:rsidR="00B406F4" w:rsidRPr="00102859" w:rsidRDefault="00B406F4" w:rsidP="00B406F4">
            <w:pPr>
              <w:spacing w:line="480" w:lineRule="auto"/>
              <w:rPr>
                <w:sz w:val="24"/>
                <w:szCs w:val="24"/>
              </w:rPr>
            </w:pPr>
            <w:r w:rsidRPr="00102859">
              <w:rPr>
                <w:sz w:val="24"/>
                <w:szCs w:val="24"/>
              </w:rPr>
              <w:t>At T2: 0.08 [-0.49 to 0.64]</w:t>
            </w:r>
          </w:p>
          <w:p w14:paraId="5B52586C" w14:textId="0D122E5C" w:rsidR="00B406F4" w:rsidRPr="00102859" w:rsidRDefault="00B406F4" w:rsidP="00B406F4">
            <w:pPr>
              <w:spacing w:line="480" w:lineRule="auto"/>
              <w:rPr>
                <w:b/>
              </w:rPr>
            </w:pPr>
            <w:r w:rsidRPr="00102859">
              <w:rPr>
                <w:sz w:val="24"/>
                <w:szCs w:val="24"/>
              </w:rPr>
              <w:t>At T3: -0.23 [-0.83 to 0.39]</w:t>
            </w:r>
          </w:p>
          <w:p w14:paraId="0313E1D7" w14:textId="3CA84396" w:rsidR="00B406F4" w:rsidRPr="00102859" w:rsidRDefault="00B406F4" w:rsidP="00B406F4">
            <w:pPr>
              <w:spacing w:line="480" w:lineRule="auto"/>
            </w:pPr>
          </w:p>
        </w:tc>
      </w:tr>
      <w:tr w:rsidR="00102859" w:rsidRPr="00102859" w14:paraId="390B2901" w14:textId="7C289415" w:rsidTr="0085238F">
        <w:tc>
          <w:tcPr>
            <w:tcW w:w="1484" w:type="dxa"/>
            <w:vMerge/>
          </w:tcPr>
          <w:p w14:paraId="5FBD52F4" w14:textId="01C75751" w:rsidR="00376EEF" w:rsidRPr="00102859" w:rsidRDefault="00376EEF" w:rsidP="00376EEF">
            <w:pPr>
              <w:spacing w:line="480" w:lineRule="auto"/>
            </w:pPr>
          </w:p>
        </w:tc>
        <w:tc>
          <w:tcPr>
            <w:tcW w:w="1216" w:type="dxa"/>
            <w:vMerge/>
          </w:tcPr>
          <w:p w14:paraId="7D245153" w14:textId="77777777" w:rsidR="00376EEF" w:rsidRPr="00102859" w:rsidRDefault="00376EEF" w:rsidP="00376EEF">
            <w:pPr>
              <w:spacing w:line="480" w:lineRule="auto"/>
            </w:pPr>
          </w:p>
        </w:tc>
        <w:tc>
          <w:tcPr>
            <w:tcW w:w="1229" w:type="dxa"/>
            <w:vMerge/>
          </w:tcPr>
          <w:p w14:paraId="7550D290" w14:textId="77777777" w:rsidR="00376EEF" w:rsidRPr="00102859" w:rsidRDefault="00376EEF" w:rsidP="00376EEF">
            <w:pPr>
              <w:spacing w:line="480" w:lineRule="auto"/>
            </w:pPr>
          </w:p>
        </w:tc>
        <w:tc>
          <w:tcPr>
            <w:tcW w:w="1878" w:type="dxa"/>
            <w:shd w:val="clear" w:color="auto" w:fill="F2F2F2" w:themeFill="background1" w:themeFillShade="F2"/>
          </w:tcPr>
          <w:p w14:paraId="38AAD06E" w14:textId="5EE97131" w:rsidR="00376EEF" w:rsidRPr="00102859" w:rsidRDefault="00376EEF" w:rsidP="00376EEF">
            <w:pPr>
              <w:spacing w:line="480" w:lineRule="auto"/>
            </w:pPr>
            <w:r w:rsidRPr="00102859">
              <w:rPr>
                <w:bCs/>
                <w:sz w:val="24"/>
                <w:szCs w:val="24"/>
              </w:rPr>
              <w:t>Imputation analysis</w:t>
            </w:r>
          </w:p>
        </w:tc>
        <w:tc>
          <w:tcPr>
            <w:tcW w:w="1418" w:type="dxa"/>
            <w:shd w:val="clear" w:color="auto" w:fill="F2F2F2" w:themeFill="background1" w:themeFillShade="F2"/>
          </w:tcPr>
          <w:p w14:paraId="0C0AD804" w14:textId="195C55FB" w:rsidR="00376EEF" w:rsidRPr="00102859" w:rsidRDefault="00376EEF" w:rsidP="00376EEF">
            <w:pPr>
              <w:spacing w:line="480" w:lineRule="auto"/>
            </w:pPr>
            <w:r w:rsidRPr="00102859">
              <w:rPr>
                <w:sz w:val="24"/>
                <w:szCs w:val="24"/>
              </w:rPr>
              <w:t>4.51 (3.16)</w:t>
            </w:r>
          </w:p>
        </w:tc>
        <w:tc>
          <w:tcPr>
            <w:tcW w:w="1280" w:type="dxa"/>
            <w:shd w:val="clear" w:color="auto" w:fill="F2F2F2" w:themeFill="background1" w:themeFillShade="F2"/>
          </w:tcPr>
          <w:p w14:paraId="170DD2F1" w14:textId="065B3DA7" w:rsidR="00376EEF" w:rsidRPr="00102859" w:rsidRDefault="00376EEF" w:rsidP="00376EEF">
            <w:pPr>
              <w:spacing w:line="480" w:lineRule="auto"/>
            </w:pPr>
            <w:r w:rsidRPr="00102859">
              <w:rPr>
                <w:sz w:val="24"/>
                <w:szCs w:val="24"/>
              </w:rPr>
              <w:t>4.58 (3.19)</w:t>
            </w:r>
          </w:p>
        </w:tc>
        <w:tc>
          <w:tcPr>
            <w:tcW w:w="959" w:type="dxa"/>
            <w:shd w:val="clear" w:color="auto" w:fill="F2F2F2" w:themeFill="background1" w:themeFillShade="F2"/>
          </w:tcPr>
          <w:p w14:paraId="086237F4" w14:textId="7558DD5F" w:rsidR="00376EEF" w:rsidRPr="00102859" w:rsidRDefault="00376EEF" w:rsidP="00376EEF">
            <w:pPr>
              <w:spacing w:line="480" w:lineRule="auto"/>
            </w:pPr>
            <w:r w:rsidRPr="00102859">
              <w:t>4.67 (3.33)</w:t>
            </w:r>
          </w:p>
        </w:tc>
        <w:tc>
          <w:tcPr>
            <w:tcW w:w="2013" w:type="dxa"/>
            <w:shd w:val="clear" w:color="auto" w:fill="F2F2F2" w:themeFill="background1" w:themeFillShade="F2"/>
          </w:tcPr>
          <w:p w14:paraId="6C349A2A" w14:textId="4C5B1B75" w:rsidR="00376EEF" w:rsidRPr="00102859" w:rsidRDefault="00376EEF" w:rsidP="00376EEF">
            <w:pPr>
              <w:spacing w:line="480" w:lineRule="auto"/>
            </w:pPr>
            <w:r w:rsidRPr="00102859">
              <w:t>0.93 [0.56 to 1.29]</w:t>
            </w:r>
          </w:p>
        </w:tc>
        <w:tc>
          <w:tcPr>
            <w:tcW w:w="3119" w:type="dxa"/>
            <w:vMerge/>
          </w:tcPr>
          <w:p w14:paraId="187D3E43" w14:textId="77777777" w:rsidR="00376EEF" w:rsidRPr="00102859" w:rsidRDefault="00376EEF" w:rsidP="00376EEF">
            <w:pPr>
              <w:spacing w:line="480" w:lineRule="auto"/>
            </w:pPr>
          </w:p>
        </w:tc>
      </w:tr>
      <w:tr w:rsidR="00102859" w:rsidRPr="00102859" w14:paraId="3486912A" w14:textId="76D72CFB" w:rsidTr="00B406F4">
        <w:tc>
          <w:tcPr>
            <w:tcW w:w="1484" w:type="dxa"/>
            <w:vMerge/>
          </w:tcPr>
          <w:p w14:paraId="117F6B89" w14:textId="328411A5" w:rsidR="00376EEF" w:rsidRPr="00102859" w:rsidRDefault="00376EEF" w:rsidP="00376EEF">
            <w:pPr>
              <w:spacing w:line="480" w:lineRule="auto"/>
            </w:pPr>
          </w:p>
        </w:tc>
        <w:tc>
          <w:tcPr>
            <w:tcW w:w="1216" w:type="dxa"/>
            <w:vMerge w:val="restart"/>
          </w:tcPr>
          <w:p w14:paraId="46AC50D6" w14:textId="03231091" w:rsidR="00376EEF" w:rsidRPr="00102859" w:rsidRDefault="00376EEF" w:rsidP="00376EEF">
            <w:pPr>
              <w:spacing w:line="480" w:lineRule="auto"/>
              <w:rPr>
                <w:sz w:val="24"/>
                <w:szCs w:val="24"/>
              </w:rPr>
            </w:pPr>
            <w:r w:rsidRPr="00102859">
              <w:t xml:space="preserve">Applied relaxation </w:t>
            </w:r>
            <w:r w:rsidRPr="00102859">
              <w:rPr>
                <w:sz w:val="24"/>
                <w:szCs w:val="24"/>
              </w:rPr>
              <w:t>group</w:t>
            </w:r>
          </w:p>
        </w:tc>
        <w:tc>
          <w:tcPr>
            <w:tcW w:w="1229" w:type="dxa"/>
            <w:vMerge w:val="restart"/>
          </w:tcPr>
          <w:p w14:paraId="5BA5EB78" w14:textId="4193DCBC" w:rsidR="00376EEF" w:rsidRPr="00102859" w:rsidRDefault="00376EEF" w:rsidP="00376EEF">
            <w:pPr>
              <w:spacing w:line="480" w:lineRule="auto"/>
              <w:rPr>
                <w:sz w:val="24"/>
                <w:szCs w:val="24"/>
              </w:rPr>
            </w:pPr>
            <w:r w:rsidRPr="00102859">
              <w:rPr>
                <w:sz w:val="24"/>
                <w:szCs w:val="24"/>
              </w:rPr>
              <w:t>7.75 (6.77)</w:t>
            </w:r>
          </w:p>
          <w:p w14:paraId="0747509C" w14:textId="77777777" w:rsidR="00376EEF" w:rsidRPr="00102859" w:rsidRDefault="00376EEF" w:rsidP="00376EEF">
            <w:pPr>
              <w:spacing w:line="480" w:lineRule="auto"/>
              <w:rPr>
                <w:sz w:val="24"/>
                <w:szCs w:val="24"/>
              </w:rPr>
            </w:pPr>
          </w:p>
        </w:tc>
        <w:tc>
          <w:tcPr>
            <w:tcW w:w="1878" w:type="dxa"/>
          </w:tcPr>
          <w:p w14:paraId="380F6493" w14:textId="77777777" w:rsidR="00376EEF" w:rsidRPr="00102859" w:rsidRDefault="00376EEF" w:rsidP="00376EEF">
            <w:pPr>
              <w:spacing w:line="480" w:lineRule="auto"/>
              <w:jc w:val="both"/>
              <w:rPr>
                <w:sz w:val="24"/>
                <w:szCs w:val="24"/>
              </w:rPr>
            </w:pPr>
            <w:r w:rsidRPr="00102859">
              <w:rPr>
                <w:bCs/>
                <w:sz w:val="24"/>
                <w:szCs w:val="24"/>
              </w:rPr>
              <w:t>Completers analysis</w:t>
            </w:r>
          </w:p>
          <w:p w14:paraId="338825E9" w14:textId="4210D249" w:rsidR="00376EEF" w:rsidRPr="00102859" w:rsidRDefault="00376EEF" w:rsidP="00376EEF">
            <w:pPr>
              <w:spacing w:line="480" w:lineRule="auto"/>
            </w:pPr>
          </w:p>
        </w:tc>
        <w:tc>
          <w:tcPr>
            <w:tcW w:w="1418" w:type="dxa"/>
          </w:tcPr>
          <w:p w14:paraId="5FAF31EA" w14:textId="48886499" w:rsidR="00376EEF" w:rsidRPr="00102859" w:rsidRDefault="00376EEF" w:rsidP="00376EEF">
            <w:pPr>
              <w:spacing w:line="480" w:lineRule="auto"/>
              <w:rPr>
                <w:sz w:val="24"/>
                <w:szCs w:val="24"/>
              </w:rPr>
            </w:pPr>
            <w:r w:rsidRPr="00102859">
              <w:rPr>
                <w:sz w:val="24"/>
                <w:szCs w:val="24"/>
              </w:rPr>
              <w:t>5.21 (5.62)</w:t>
            </w:r>
          </w:p>
        </w:tc>
        <w:tc>
          <w:tcPr>
            <w:tcW w:w="1280" w:type="dxa"/>
          </w:tcPr>
          <w:p w14:paraId="212B1910" w14:textId="04702206" w:rsidR="00376EEF" w:rsidRPr="00102859" w:rsidRDefault="00376EEF" w:rsidP="00376EEF">
            <w:pPr>
              <w:spacing w:line="480" w:lineRule="auto"/>
              <w:rPr>
                <w:sz w:val="24"/>
                <w:szCs w:val="24"/>
              </w:rPr>
            </w:pPr>
            <w:r w:rsidRPr="00102859">
              <w:rPr>
                <w:sz w:val="24"/>
                <w:szCs w:val="24"/>
              </w:rPr>
              <w:t>4.86 (5.84)</w:t>
            </w:r>
          </w:p>
        </w:tc>
        <w:tc>
          <w:tcPr>
            <w:tcW w:w="959" w:type="dxa"/>
          </w:tcPr>
          <w:p w14:paraId="2BD13B63" w14:textId="4A8E5819" w:rsidR="00376EEF" w:rsidRPr="00102859" w:rsidRDefault="00376EEF" w:rsidP="00376EEF">
            <w:pPr>
              <w:spacing w:line="480" w:lineRule="auto"/>
            </w:pPr>
            <w:r w:rsidRPr="00102859">
              <w:t>3.70 (3.88)</w:t>
            </w:r>
          </w:p>
        </w:tc>
        <w:tc>
          <w:tcPr>
            <w:tcW w:w="2013" w:type="dxa"/>
          </w:tcPr>
          <w:p w14:paraId="64F95B94" w14:textId="3F297062" w:rsidR="00376EEF" w:rsidRPr="00102859" w:rsidRDefault="00376EEF" w:rsidP="00376EEF">
            <w:pPr>
              <w:spacing w:line="480" w:lineRule="auto"/>
            </w:pPr>
            <w:r w:rsidRPr="00102859">
              <w:t>0.39 [-0.21 to 0.84]</w:t>
            </w:r>
          </w:p>
        </w:tc>
        <w:tc>
          <w:tcPr>
            <w:tcW w:w="3119" w:type="dxa"/>
            <w:vMerge w:val="restart"/>
          </w:tcPr>
          <w:p w14:paraId="5D7935AF" w14:textId="660F05BC" w:rsidR="00376EEF" w:rsidRPr="00102859" w:rsidRDefault="00376EEF" w:rsidP="00376EEF">
            <w:pPr>
              <w:spacing w:line="480" w:lineRule="auto"/>
            </w:pPr>
            <w:r w:rsidRPr="00102859">
              <w:rPr>
                <w:b/>
                <w:bCs/>
                <w:sz w:val="24"/>
                <w:szCs w:val="24"/>
              </w:rPr>
              <w:t>Imputation analysis</w:t>
            </w:r>
            <w:r w:rsidRPr="00102859">
              <w:rPr>
                <w:sz w:val="24"/>
                <w:szCs w:val="24"/>
              </w:rPr>
              <w:t xml:space="preserve"> </w:t>
            </w:r>
          </w:p>
          <w:p w14:paraId="7F26D04B" w14:textId="77777777" w:rsidR="00376EEF" w:rsidRPr="00102859" w:rsidRDefault="00376EEF" w:rsidP="00376EEF">
            <w:pPr>
              <w:spacing w:line="480" w:lineRule="auto"/>
              <w:rPr>
                <w:sz w:val="24"/>
                <w:szCs w:val="24"/>
              </w:rPr>
            </w:pPr>
            <w:r w:rsidRPr="00102859">
              <w:rPr>
                <w:sz w:val="24"/>
                <w:szCs w:val="24"/>
              </w:rPr>
              <w:t>At T1: 0.20 [-0.15 to 0.55]</w:t>
            </w:r>
          </w:p>
          <w:p w14:paraId="0F11D073" w14:textId="77777777" w:rsidR="00376EEF" w:rsidRPr="00102859" w:rsidRDefault="00376EEF" w:rsidP="00376EEF">
            <w:pPr>
              <w:spacing w:line="480" w:lineRule="auto"/>
              <w:rPr>
                <w:sz w:val="24"/>
                <w:szCs w:val="24"/>
              </w:rPr>
            </w:pPr>
            <w:r w:rsidRPr="00102859">
              <w:rPr>
                <w:sz w:val="24"/>
                <w:szCs w:val="24"/>
              </w:rPr>
              <w:t>At T2: 0.02 [-0.33 to 0.37]</w:t>
            </w:r>
          </w:p>
          <w:p w14:paraId="5B2215EA" w14:textId="64C8B70B" w:rsidR="00376EEF" w:rsidRPr="00102859" w:rsidRDefault="00376EEF" w:rsidP="00376EEF">
            <w:pPr>
              <w:spacing w:line="480" w:lineRule="auto"/>
            </w:pPr>
            <w:r w:rsidRPr="00102859">
              <w:rPr>
                <w:sz w:val="24"/>
                <w:szCs w:val="24"/>
              </w:rPr>
              <w:t>At T3: -0.29 [-0.64 to 0.07]</w:t>
            </w:r>
          </w:p>
        </w:tc>
      </w:tr>
      <w:tr w:rsidR="00102859" w:rsidRPr="00102859" w14:paraId="1ACDB1CC" w14:textId="0D13D0AB" w:rsidTr="0085238F">
        <w:tc>
          <w:tcPr>
            <w:tcW w:w="1484" w:type="dxa"/>
            <w:vMerge/>
          </w:tcPr>
          <w:p w14:paraId="23E8CDD0" w14:textId="4DDDA863" w:rsidR="00376EEF" w:rsidRPr="00102859" w:rsidRDefault="00376EEF" w:rsidP="00376EEF">
            <w:pPr>
              <w:spacing w:line="480" w:lineRule="auto"/>
            </w:pPr>
          </w:p>
        </w:tc>
        <w:tc>
          <w:tcPr>
            <w:tcW w:w="1216" w:type="dxa"/>
            <w:vMerge/>
          </w:tcPr>
          <w:p w14:paraId="352C70D7" w14:textId="77777777" w:rsidR="00376EEF" w:rsidRPr="00102859" w:rsidRDefault="00376EEF" w:rsidP="00376EEF">
            <w:pPr>
              <w:spacing w:line="480" w:lineRule="auto"/>
            </w:pPr>
          </w:p>
        </w:tc>
        <w:tc>
          <w:tcPr>
            <w:tcW w:w="1229" w:type="dxa"/>
            <w:vMerge/>
          </w:tcPr>
          <w:p w14:paraId="04F1BE80" w14:textId="77777777" w:rsidR="00376EEF" w:rsidRPr="00102859" w:rsidRDefault="00376EEF" w:rsidP="00376EEF">
            <w:pPr>
              <w:spacing w:line="480" w:lineRule="auto"/>
            </w:pPr>
          </w:p>
        </w:tc>
        <w:tc>
          <w:tcPr>
            <w:tcW w:w="1878" w:type="dxa"/>
            <w:shd w:val="clear" w:color="auto" w:fill="F2F2F2" w:themeFill="background1" w:themeFillShade="F2"/>
          </w:tcPr>
          <w:p w14:paraId="4925F889" w14:textId="285675EB" w:rsidR="00376EEF" w:rsidRPr="00102859" w:rsidRDefault="00376EEF" w:rsidP="00376EEF">
            <w:pPr>
              <w:spacing w:line="480" w:lineRule="auto"/>
            </w:pPr>
            <w:r w:rsidRPr="00102859">
              <w:rPr>
                <w:bCs/>
                <w:sz w:val="24"/>
                <w:szCs w:val="24"/>
              </w:rPr>
              <w:t>Imputation analysis</w:t>
            </w:r>
          </w:p>
        </w:tc>
        <w:tc>
          <w:tcPr>
            <w:tcW w:w="1418" w:type="dxa"/>
            <w:shd w:val="clear" w:color="auto" w:fill="F2F2F2" w:themeFill="background1" w:themeFillShade="F2"/>
          </w:tcPr>
          <w:p w14:paraId="50BC76E9" w14:textId="0170C47D" w:rsidR="00376EEF" w:rsidRPr="00102859" w:rsidRDefault="00376EEF" w:rsidP="00376EEF">
            <w:pPr>
              <w:spacing w:line="480" w:lineRule="auto"/>
            </w:pPr>
            <w:r w:rsidRPr="00102859">
              <w:rPr>
                <w:sz w:val="24"/>
                <w:szCs w:val="24"/>
              </w:rPr>
              <w:t>5.23 (4.02)</w:t>
            </w:r>
          </w:p>
        </w:tc>
        <w:tc>
          <w:tcPr>
            <w:tcW w:w="1280" w:type="dxa"/>
            <w:shd w:val="clear" w:color="auto" w:fill="F2F2F2" w:themeFill="background1" w:themeFillShade="F2"/>
          </w:tcPr>
          <w:p w14:paraId="692AABFF" w14:textId="5E2E9C24" w:rsidR="00376EEF" w:rsidRPr="00102859" w:rsidRDefault="00376EEF" w:rsidP="00376EEF">
            <w:pPr>
              <w:spacing w:line="480" w:lineRule="auto"/>
            </w:pPr>
            <w:r w:rsidRPr="00102859">
              <w:rPr>
                <w:sz w:val="24"/>
                <w:szCs w:val="24"/>
              </w:rPr>
              <w:t>4.65 (4.21)</w:t>
            </w:r>
          </w:p>
        </w:tc>
        <w:tc>
          <w:tcPr>
            <w:tcW w:w="959" w:type="dxa"/>
            <w:shd w:val="clear" w:color="auto" w:fill="F2F2F2" w:themeFill="background1" w:themeFillShade="F2"/>
          </w:tcPr>
          <w:p w14:paraId="2515504C" w14:textId="3D28FBC7" w:rsidR="00376EEF" w:rsidRPr="00102859" w:rsidRDefault="00376EEF" w:rsidP="00376EEF">
            <w:pPr>
              <w:spacing w:line="480" w:lineRule="auto"/>
            </w:pPr>
            <w:r w:rsidRPr="00102859">
              <w:t>3.79 (2.80)</w:t>
            </w:r>
          </w:p>
        </w:tc>
        <w:tc>
          <w:tcPr>
            <w:tcW w:w="2013" w:type="dxa"/>
            <w:shd w:val="clear" w:color="auto" w:fill="F2F2F2" w:themeFill="background1" w:themeFillShade="F2"/>
          </w:tcPr>
          <w:p w14:paraId="120311C7" w14:textId="7F4C2C8F" w:rsidR="00376EEF" w:rsidRPr="00102859" w:rsidRDefault="00376EEF" w:rsidP="00376EEF">
            <w:pPr>
              <w:spacing w:line="480" w:lineRule="auto"/>
            </w:pPr>
            <w:r w:rsidRPr="00102859">
              <w:t>0.45 [0.10 to 0.80]</w:t>
            </w:r>
          </w:p>
        </w:tc>
        <w:tc>
          <w:tcPr>
            <w:tcW w:w="3119" w:type="dxa"/>
            <w:vMerge/>
          </w:tcPr>
          <w:p w14:paraId="25020F37" w14:textId="77777777" w:rsidR="00376EEF" w:rsidRPr="00102859" w:rsidRDefault="00376EEF" w:rsidP="00376EEF">
            <w:pPr>
              <w:spacing w:line="480" w:lineRule="auto"/>
            </w:pPr>
          </w:p>
        </w:tc>
      </w:tr>
      <w:tr w:rsidR="00102859" w:rsidRPr="00102859" w14:paraId="78EB8B7E" w14:textId="7A4C9443" w:rsidTr="00B406F4">
        <w:tc>
          <w:tcPr>
            <w:tcW w:w="1484" w:type="dxa"/>
            <w:vMerge w:val="restart"/>
          </w:tcPr>
          <w:p w14:paraId="694ACBBB" w14:textId="5431385D" w:rsidR="00376EEF" w:rsidRPr="00102859" w:rsidRDefault="00376EEF" w:rsidP="00376EEF">
            <w:pPr>
              <w:spacing w:line="480" w:lineRule="auto"/>
            </w:pPr>
            <w:r w:rsidRPr="00102859">
              <w:rPr>
                <w:b/>
                <w:sz w:val="24"/>
                <w:szCs w:val="24"/>
              </w:rPr>
              <w:lastRenderedPageBreak/>
              <w:t>Depression (PHQ-9)</w:t>
            </w:r>
          </w:p>
        </w:tc>
        <w:tc>
          <w:tcPr>
            <w:tcW w:w="1216" w:type="dxa"/>
            <w:vMerge w:val="restart"/>
          </w:tcPr>
          <w:p w14:paraId="6225ADD6" w14:textId="19E46030" w:rsidR="00376EEF" w:rsidRPr="00102859" w:rsidRDefault="00376EEF" w:rsidP="00376EEF">
            <w:pPr>
              <w:spacing w:line="480" w:lineRule="auto"/>
              <w:rPr>
                <w:b/>
                <w:sz w:val="24"/>
                <w:szCs w:val="24"/>
              </w:rPr>
            </w:pPr>
            <w:r w:rsidRPr="00102859">
              <w:rPr>
                <w:sz w:val="24"/>
                <w:szCs w:val="24"/>
              </w:rPr>
              <w:t>ICBT group</w:t>
            </w:r>
          </w:p>
        </w:tc>
        <w:tc>
          <w:tcPr>
            <w:tcW w:w="1229" w:type="dxa"/>
          </w:tcPr>
          <w:p w14:paraId="5A8AD3A4" w14:textId="269C049F" w:rsidR="00376EEF" w:rsidRPr="00102859" w:rsidRDefault="00376EEF" w:rsidP="00376EEF">
            <w:pPr>
              <w:spacing w:line="480" w:lineRule="auto"/>
              <w:rPr>
                <w:sz w:val="24"/>
                <w:szCs w:val="24"/>
              </w:rPr>
            </w:pPr>
            <w:r w:rsidRPr="00102859">
              <w:rPr>
                <w:sz w:val="24"/>
                <w:szCs w:val="24"/>
              </w:rPr>
              <w:t>9.10 (7.14)</w:t>
            </w:r>
          </w:p>
          <w:p w14:paraId="1AE61FCF" w14:textId="77777777" w:rsidR="00376EEF" w:rsidRPr="00102859" w:rsidRDefault="00376EEF" w:rsidP="00376EEF">
            <w:pPr>
              <w:spacing w:line="480" w:lineRule="auto"/>
              <w:rPr>
                <w:sz w:val="24"/>
                <w:szCs w:val="24"/>
              </w:rPr>
            </w:pPr>
          </w:p>
        </w:tc>
        <w:tc>
          <w:tcPr>
            <w:tcW w:w="1878" w:type="dxa"/>
          </w:tcPr>
          <w:p w14:paraId="2AFAA274" w14:textId="77777777" w:rsidR="00376EEF" w:rsidRPr="00102859" w:rsidRDefault="00376EEF" w:rsidP="00376EEF">
            <w:pPr>
              <w:spacing w:line="480" w:lineRule="auto"/>
              <w:jc w:val="both"/>
              <w:rPr>
                <w:sz w:val="24"/>
                <w:szCs w:val="24"/>
              </w:rPr>
            </w:pPr>
            <w:r w:rsidRPr="00102859">
              <w:rPr>
                <w:bCs/>
                <w:sz w:val="24"/>
                <w:szCs w:val="24"/>
              </w:rPr>
              <w:t>Completers analysis</w:t>
            </w:r>
          </w:p>
          <w:p w14:paraId="1D20CF0B" w14:textId="6B5F227D" w:rsidR="00376EEF" w:rsidRPr="00102859" w:rsidRDefault="00376EEF" w:rsidP="00376EEF">
            <w:pPr>
              <w:spacing w:line="480" w:lineRule="auto"/>
            </w:pPr>
          </w:p>
        </w:tc>
        <w:tc>
          <w:tcPr>
            <w:tcW w:w="1418" w:type="dxa"/>
          </w:tcPr>
          <w:p w14:paraId="1E317345" w14:textId="23235280" w:rsidR="00376EEF" w:rsidRPr="00102859" w:rsidRDefault="00376EEF" w:rsidP="00376EEF">
            <w:pPr>
              <w:spacing w:line="480" w:lineRule="auto"/>
              <w:rPr>
                <w:sz w:val="24"/>
                <w:szCs w:val="24"/>
              </w:rPr>
            </w:pPr>
            <w:r w:rsidRPr="00102859">
              <w:rPr>
                <w:sz w:val="24"/>
                <w:szCs w:val="24"/>
              </w:rPr>
              <w:t>4.32 (3.95)</w:t>
            </w:r>
          </w:p>
        </w:tc>
        <w:tc>
          <w:tcPr>
            <w:tcW w:w="1280" w:type="dxa"/>
          </w:tcPr>
          <w:p w14:paraId="62C1E724" w14:textId="14953DEC" w:rsidR="00376EEF" w:rsidRPr="00102859" w:rsidRDefault="00376EEF" w:rsidP="00376EEF">
            <w:pPr>
              <w:spacing w:line="480" w:lineRule="auto"/>
              <w:rPr>
                <w:sz w:val="24"/>
                <w:szCs w:val="24"/>
              </w:rPr>
            </w:pPr>
            <w:r w:rsidRPr="00102859">
              <w:rPr>
                <w:sz w:val="24"/>
                <w:szCs w:val="24"/>
              </w:rPr>
              <w:t>4.32 (3.95)</w:t>
            </w:r>
          </w:p>
        </w:tc>
        <w:tc>
          <w:tcPr>
            <w:tcW w:w="959" w:type="dxa"/>
          </w:tcPr>
          <w:p w14:paraId="0C26D64B" w14:textId="6617AA57" w:rsidR="00376EEF" w:rsidRPr="00102859" w:rsidRDefault="00376EEF" w:rsidP="00376EEF">
            <w:pPr>
              <w:spacing w:line="480" w:lineRule="auto"/>
            </w:pPr>
            <w:r w:rsidRPr="00102859">
              <w:t>4.12 (4.40)</w:t>
            </w:r>
          </w:p>
        </w:tc>
        <w:tc>
          <w:tcPr>
            <w:tcW w:w="2013" w:type="dxa"/>
          </w:tcPr>
          <w:p w14:paraId="163004B2" w14:textId="0BC9B867" w:rsidR="00376EEF" w:rsidRPr="00102859" w:rsidRDefault="00376EEF" w:rsidP="00376EEF">
            <w:pPr>
              <w:spacing w:line="480" w:lineRule="auto"/>
            </w:pPr>
            <w:r w:rsidRPr="00102859">
              <w:t>0.75 [0.29 to 1.21]</w:t>
            </w:r>
          </w:p>
        </w:tc>
        <w:tc>
          <w:tcPr>
            <w:tcW w:w="3119" w:type="dxa"/>
            <w:vMerge w:val="restart"/>
          </w:tcPr>
          <w:p w14:paraId="18104DB6" w14:textId="271F7E3A" w:rsidR="00376EEF" w:rsidRPr="00102859" w:rsidRDefault="00376EEF" w:rsidP="00376EEF">
            <w:pPr>
              <w:spacing w:line="480" w:lineRule="auto"/>
              <w:jc w:val="both"/>
              <w:rPr>
                <w:b/>
                <w:bCs/>
                <w:sz w:val="24"/>
                <w:szCs w:val="24"/>
              </w:rPr>
            </w:pPr>
            <w:r w:rsidRPr="00102859">
              <w:rPr>
                <w:b/>
                <w:bCs/>
                <w:sz w:val="24"/>
                <w:szCs w:val="24"/>
              </w:rPr>
              <w:t>Completers analysis</w:t>
            </w:r>
          </w:p>
          <w:p w14:paraId="18004ADF" w14:textId="77777777" w:rsidR="00376EEF" w:rsidRPr="00102859" w:rsidRDefault="00376EEF" w:rsidP="00376EEF">
            <w:pPr>
              <w:spacing w:line="480" w:lineRule="auto"/>
              <w:rPr>
                <w:sz w:val="24"/>
                <w:szCs w:val="24"/>
              </w:rPr>
            </w:pPr>
            <w:r w:rsidRPr="00102859">
              <w:rPr>
                <w:sz w:val="24"/>
                <w:szCs w:val="24"/>
              </w:rPr>
              <w:t>At T1: 0.14 [-0.38 to 0.67]</w:t>
            </w:r>
          </w:p>
          <w:p w14:paraId="5E451637" w14:textId="77777777" w:rsidR="00376EEF" w:rsidRPr="00102859" w:rsidRDefault="00376EEF" w:rsidP="00376EEF">
            <w:pPr>
              <w:spacing w:line="480" w:lineRule="auto"/>
              <w:rPr>
                <w:sz w:val="24"/>
                <w:szCs w:val="24"/>
              </w:rPr>
            </w:pPr>
            <w:r w:rsidRPr="00102859">
              <w:rPr>
                <w:sz w:val="24"/>
                <w:szCs w:val="24"/>
              </w:rPr>
              <w:t>At T2: 0.15 [-0.38 to 0.37]</w:t>
            </w:r>
          </w:p>
          <w:p w14:paraId="7E3A39AE" w14:textId="1B722794" w:rsidR="00376EEF" w:rsidRPr="00102859" w:rsidRDefault="00376EEF" w:rsidP="00376EEF">
            <w:pPr>
              <w:spacing w:line="480" w:lineRule="auto"/>
              <w:jc w:val="both"/>
              <w:rPr>
                <w:b/>
                <w:sz w:val="24"/>
                <w:szCs w:val="24"/>
              </w:rPr>
            </w:pPr>
            <w:r w:rsidRPr="00102859">
              <w:rPr>
                <w:sz w:val="24"/>
                <w:szCs w:val="24"/>
              </w:rPr>
              <w:t>At T3: 0.34 [-0.21 to 0.90]</w:t>
            </w:r>
          </w:p>
          <w:p w14:paraId="0FCF4942" w14:textId="21F5224A" w:rsidR="00376EEF" w:rsidRPr="00102859" w:rsidRDefault="00376EEF" w:rsidP="00376EEF">
            <w:pPr>
              <w:spacing w:line="480" w:lineRule="auto"/>
            </w:pPr>
          </w:p>
        </w:tc>
      </w:tr>
      <w:tr w:rsidR="00102859" w:rsidRPr="00102859" w14:paraId="2A9B9681" w14:textId="1696B0DB" w:rsidTr="0085238F">
        <w:tc>
          <w:tcPr>
            <w:tcW w:w="1484" w:type="dxa"/>
            <w:vMerge/>
          </w:tcPr>
          <w:p w14:paraId="76CDC0BB" w14:textId="56F18D61" w:rsidR="00C50065" w:rsidRPr="00102859" w:rsidRDefault="00C50065" w:rsidP="00C50065">
            <w:pPr>
              <w:spacing w:line="480" w:lineRule="auto"/>
            </w:pPr>
          </w:p>
        </w:tc>
        <w:tc>
          <w:tcPr>
            <w:tcW w:w="1216" w:type="dxa"/>
            <w:vMerge/>
          </w:tcPr>
          <w:p w14:paraId="4E67AC83" w14:textId="77777777" w:rsidR="00C50065" w:rsidRPr="00102859" w:rsidRDefault="00C50065" w:rsidP="00C50065">
            <w:pPr>
              <w:spacing w:line="480" w:lineRule="auto"/>
            </w:pPr>
          </w:p>
        </w:tc>
        <w:tc>
          <w:tcPr>
            <w:tcW w:w="1229" w:type="dxa"/>
          </w:tcPr>
          <w:p w14:paraId="7A51EAB0" w14:textId="54AFE7C4" w:rsidR="00C50065" w:rsidRPr="00102859" w:rsidRDefault="00C50065" w:rsidP="00C50065">
            <w:pPr>
              <w:spacing w:line="480" w:lineRule="auto"/>
            </w:pPr>
          </w:p>
        </w:tc>
        <w:tc>
          <w:tcPr>
            <w:tcW w:w="1878" w:type="dxa"/>
            <w:shd w:val="clear" w:color="auto" w:fill="F2F2F2" w:themeFill="background1" w:themeFillShade="F2"/>
          </w:tcPr>
          <w:p w14:paraId="33A55E9F" w14:textId="6C370B90"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6A2BB6D3" w14:textId="7A04227F" w:rsidR="00C50065" w:rsidRPr="00102859" w:rsidRDefault="00C50065" w:rsidP="00C50065">
            <w:pPr>
              <w:spacing w:line="480" w:lineRule="auto"/>
            </w:pPr>
            <w:r w:rsidRPr="00102859">
              <w:rPr>
                <w:sz w:val="24"/>
                <w:szCs w:val="24"/>
              </w:rPr>
              <w:t>4.50 (2.87)</w:t>
            </w:r>
          </w:p>
        </w:tc>
        <w:tc>
          <w:tcPr>
            <w:tcW w:w="1280" w:type="dxa"/>
            <w:shd w:val="clear" w:color="auto" w:fill="F2F2F2" w:themeFill="background1" w:themeFillShade="F2"/>
          </w:tcPr>
          <w:p w14:paraId="2A11BE48" w14:textId="6D3D2CD5" w:rsidR="00C50065" w:rsidRPr="00102859" w:rsidRDefault="00C50065" w:rsidP="00C50065">
            <w:pPr>
              <w:spacing w:line="480" w:lineRule="auto"/>
            </w:pPr>
            <w:r w:rsidRPr="00102859">
              <w:rPr>
                <w:sz w:val="24"/>
                <w:szCs w:val="24"/>
              </w:rPr>
              <w:t>4.29 (2.94)</w:t>
            </w:r>
          </w:p>
        </w:tc>
        <w:tc>
          <w:tcPr>
            <w:tcW w:w="959" w:type="dxa"/>
            <w:shd w:val="clear" w:color="auto" w:fill="F2F2F2" w:themeFill="background1" w:themeFillShade="F2"/>
          </w:tcPr>
          <w:p w14:paraId="05BD8CC7" w14:textId="66AC3E87" w:rsidR="00C50065" w:rsidRPr="00102859" w:rsidRDefault="00C50065" w:rsidP="00C50065">
            <w:pPr>
              <w:spacing w:line="480" w:lineRule="auto"/>
            </w:pPr>
            <w:r w:rsidRPr="00102859">
              <w:t>3.80 (2.81)</w:t>
            </w:r>
          </w:p>
        </w:tc>
        <w:tc>
          <w:tcPr>
            <w:tcW w:w="2013" w:type="dxa"/>
            <w:shd w:val="clear" w:color="auto" w:fill="F2F2F2" w:themeFill="background1" w:themeFillShade="F2"/>
          </w:tcPr>
          <w:p w14:paraId="2F3BF7BB" w14:textId="290C373D" w:rsidR="00C50065" w:rsidRPr="00102859" w:rsidRDefault="00C50065" w:rsidP="00C50065">
            <w:pPr>
              <w:spacing w:line="480" w:lineRule="auto"/>
            </w:pPr>
            <w:r w:rsidRPr="00102859">
              <w:t>0.85 [0.48 to 1.2]</w:t>
            </w:r>
          </w:p>
        </w:tc>
        <w:tc>
          <w:tcPr>
            <w:tcW w:w="3119" w:type="dxa"/>
            <w:vMerge/>
          </w:tcPr>
          <w:p w14:paraId="71C2A56F" w14:textId="77777777" w:rsidR="00C50065" w:rsidRPr="00102859" w:rsidRDefault="00C50065" w:rsidP="00C50065">
            <w:pPr>
              <w:spacing w:line="480" w:lineRule="auto"/>
            </w:pPr>
          </w:p>
        </w:tc>
      </w:tr>
      <w:tr w:rsidR="00102859" w:rsidRPr="00102859" w14:paraId="55AC810A" w14:textId="57832108" w:rsidTr="00B406F4">
        <w:tc>
          <w:tcPr>
            <w:tcW w:w="1484" w:type="dxa"/>
            <w:vMerge/>
          </w:tcPr>
          <w:p w14:paraId="0905C652" w14:textId="5F81B521" w:rsidR="00376EEF" w:rsidRPr="00102859" w:rsidRDefault="00376EEF" w:rsidP="00376EEF">
            <w:pPr>
              <w:spacing w:line="480" w:lineRule="auto"/>
            </w:pPr>
          </w:p>
        </w:tc>
        <w:tc>
          <w:tcPr>
            <w:tcW w:w="1216" w:type="dxa"/>
            <w:vMerge w:val="restart"/>
          </w:tcPr>
          <w:p w14:paraId="7F5354FC" w14:textId="2E785197" w:rsidR="00376EEF" w:rsidRPr="00102859" w:rsidRDefault="00376EEF" w:rsidP="00376EEF">
            <w:pPr>
              <w:spacing w:line="480" w:lineRule="auto"/>
              <w:rPr>
                <w:sz w:val="24"/>
                <w:szCs w:val="24"/>
              </w:rPr>
            </w:pPr>
            <w:r w:rsidRPr="00102859">
              <w:t xml:space="preserve">Applied relaxation </w:t>
            </w:r>
            <w:r w:rsidRPr="00102859">
              <w:rPr>
                <w:sz w:val="24"/>
                <w:szCs w:val="24"/>
              </w:rPr>
              <w:t>group</w:t>
            </w:r>
          </w:p>
        </w:tc>
        <w:tc>
          <w:tcPr>
            <w:tcW w:w="1229" w:type="dxa"/>
            <w:vMerge w:val="restart"/>
          </w:tcPr>
          <w:p w14:paraId="3AF03D43" w14:textId="41670887" w:rsidR="00376EEF" w:rsidRPr="00102859" w:rsidRDefault="00376EEF" w:rsidP="00376EEF">
            <w:pPr>
              <w:spacing w:line="480" w:lineRule="auto"/>
              <w:rPr>
                <w:sz w:val="24"/>
                <w:szCs w:val="24"/>
              </w:rPr>
            </w:pPr>
            <w:r w:rsidRPr="00102859">
              <w:rPr>
                <w:sz w:val="24"/>
                <w:szCs w:val="24"/>
              </w:rPr>
              <w:t>9.17 (7.12)</w:t>
            </w:r>
          </w:p>
          <w:p w14:paraId="2D6AF49B" w14:textId="77777777" w:rsidR="00376EEF" w:rsidRPr="00102859" w:rsidRDefault="00376EEF" w:rsidP="00376EEF">
            <w:pPr>
              <w:spacing w:line="480" w:lineRule="auto"/>
              <w:rPr>
                <w:sz w:val="24"/>
                <w:szCs w:val="24"/>
              </w:rPr>
            </w:pPr>
          </w:p>
        </w:tc>
        <w:tc>
          <w:tcPr>
            <w:tcW w:w="1878" w:type="dxa"/>
          </w:tcPr>
          <w:p w14:paraId="2A466DA5" w14:textId="77777777" w:rsidR="00376EEF" w:rsidRPr="00102859" w:rsidRDefault="00376EEF" w:rsidP="00376EEF">
            <w:pPr>
              <w:spacing w:line="480" w:lineRule="auto"/>
              <w:jc w:val="both"/>
              <w:rPr>
                <w:sz w:val="24"/>
                <w:szCs w:val="24"/>
              </w:rPr>
            </w:pPr>
            <w:r w:rsidRPr="00102859">
              <w:rPr>
                <w:bCs/>
                <w:sz w:val="24"/>
                <w:szCs w:val="24"/>
              </w:rPr>
              <w:t>Completers analysis</w:t>
            </w:r>
          </w:p>
          <w:p w14:paraId="177C047E" w14:textId="28CFE8C4" w:rsidR="00376EEF" w:rsidRPr="00102859" w:rsidRDefault="00376EEF" w:rsidP="00376EEF">
            <w:pPr>
              <w:spacing w:line="480" w:lineRule="auto"/>
            </w:pPr>
          </w:p>
        </w:tc>
        <w:tc>
          <w:tcPr>
            <w:tcW w:w="1418" w:type="dxa"/>
          </w:tcPr>
          <w:p w14:paraId="78B72FDA" w14:textId="6CBC8660" w:rsidR="00376EEF" w:rsidRPr="00102859" w:rsidRDefault="00376EEF" w:rsidP="00376EEF">
            <w:pPr>
              <w:spacing w:line="480" w:lineRule="auto"/>
              <w:rPr>
                <w:sz w:val="24"/>
                <w:szCs w:val="24"/>
              </w:rPr>
            </w:pPr>
            <w:r w:rsidRPr="00102859">
              <w:rPr>
                <w:sz w:val="24"/>
                <w:szCs w:val="24"/>
              </w:rPr>
              <w:t>4.96 (5.07)</w:t>
            </w:r>
          </w:p>
        </w:tc>
        <w:tc>
          <w:tcPr>
            <w:tcW w:w="1280" w:type="dxa"/>
          </w:tcPr>
          <w:p w14:paraId="26B3AB11" w14:textId="79358B10" w:rsidR="00376EEF" w:rsidRPr="00102859" w:rsidRDefault="00376EEF" w:rsidP="00376EEF">
            <w:pPr>
              <w:spacing w:line="480" w:lineRule="auto"/>
              <w:rPr>
                <w:sz w:val="24"/>
                <w:szCs w:val="24"/>
              </w:rPr>
            </w:pPr>
            <w:r w:rsidRPr="00102859">
              <w:rPr>
                <w:sz w:val="24"/>
                <w:szCs w:val="24"/>
              </w:rPr>
              <w:t>5.04 (5.70)</w:t>
            </w:r>
          </w:p>
        </w:tc>
        <w:tc>
          <w:tcPr>
            <w:tcW w:w="959" w:type="dxa"/>
          </w:tcPr>
          <w:p w14:paraId="31E990E2" w14:textId="4EA927A0" w:rsidR="00376EEF" w:rsidRPr="00102859" w:rsidRDefault="00376EEF" w:rsidP="00376EEF">
            <w:pPr>
              <w:spacing w:line="480" w:lineRule="auto"/>
              <w:rPr>
                <w:sz w:val="24"/>
                <w:szCs w:val="24"/>
              </w:rPr>
            </w:pPr>
            <w:r w:rsidRPr="00102859">
              <w:rPr>
                <w:sz w:val="24"/>
                <w:szCs w:val="24"/>
              </w:rPr>
              <w:t>3.35 (4.17)</w:t>
            </w:r>
          </w:p>
        </w:tc>
        <w:tc>
          <w:tcPr>
            <w:tcW w:w="2013" w:type="dxa"/>
          </w:tcPr>
          <w:p w14:paraId="3E141BE1" w14:textId="6838A0E7" w:rsidR="00376EEF" w:rsidRPr="00102859" w:rsidRDefault="00376EEF" w:rsidP="00376EEF">
            <w:pPr>
              <w:spacing w:line="480" w:lineRule="auto"/>
            </w:pPr>
            <w:r w:rsidRPr="00102859">
              <w:t>0.64 [0.19 to 1.10]</w:t>
            </w:r>
          </w:p>
        </w:tc>
        <w:tc>
          <w:tcPr>
            <w:tcW w:w="3119" w:type="dxa"/>
            <w:vMerge w:val="restart"/>
          </w:tcPr>
          <w:p w14:paraId="6D89BF77" w14:textId="77777777" w:rsidR="00376EEF" w:rsidRPr="00102859" w:rsidRDefault="00376EEF" w:rsidP="00376EEF">
            <w:pPr>
              <w:spacing w:line="480" w:lineRule="auto"/>
              <w:rPr>
                <w:sz w:val="24"/>
                <w:szCs w:val="24"/>
              </w:rPr>
            </w:pPr>
            <w:r w:rsidRPr="00102859">
              <w:rPr>
                <w:b/>
                <w:bCs/>
                <w:sz w:val="24"/>
                <w:szCs w:val="24"/>
              </w:rPr>
              <w:t>Imputation analysis</w:t>
            </w:r>
            <w:r w:rsidRPr="00102859">
              <w:rPr>
                <w:sz w:val="24"/>
                <w:szCs w:val="24"/>
              </w:rPr>
              <w:t xml:space="preserve"> At T1: 0.20 [-0.15 to 0.55]</w:t>
            </w:r>
          </w:p>
          <w:p w14:paraId="5883239A" w14:textId="77777777" w:rsidR="00376EEF" w:rsidRPr="00102859" w:rsidRDefault="00376EEF" w:rsidP="00376EEF">
            <w:pPr>
              <w:spacing w:line="480" w:lineRule="auto"/>
              <w:rPr>
                <w:sz w:val="24"/>
                <w:szCs w:val="24"/>
              </w:rPr>
            </w:pPr>
            <w:r w:rsidRPr="00102859">
              <w:rPr>
                <w:sz w:val="24"/>
                <w:szCs w:val="24"/>
              </w:rPr>
              <w:t>At T2: 0.15 [-0.20 to 0.50]</w:t>
            </w:r>
          </w:p>
          <w:p w14:paraId="21EAFBD5" w14:textId="1CB38815" w:rsidR="00376EEF" w:rsidRPr="00102859" w:rsidRDefault="00376EEF" w:rsidP="00376EEF">
            <w:pPr>
              <w:spacing w:line="480" w:lineRule="auto"/>
            </w:pPr>
            <w:r w:rsidRPr="00102859">
              <w:rPr>
                <w:sz w:val="24"/>
                <w:szCs w:val="24"/>
              </w:rPr>
              <w:t>At T3: -0.08 [-0.43 to 0.27]</w:t>
            </w:r>
          </w:p>
        </w:tc>
      </w:tr>
      <w:tr w:rsidR="00102859" w:rsidRPr="00102859" w14:paraId="42B3ABDA" w14:textId="4B140DBB" w:rsidTr="0085238F">
        <w:tc>
          <w:tcPr>
            <w:tcW w:w="1484" w:type="dxa"/>
            <w:vMerge/>
          </w:tcPr>
          <w:p w14:paraId="3BCA175C" w14:textId="78B8E510" w:rsidR="00C50065" w:rsidRPr="00102859" w:rsidRDefault="00C50065" w:rsidP="00C50065">
            <w:pPr>
              <w:spacing w:line="480" w:lineRule="auto"/>
            </w:pPr>
          </w:p>
        </w:tc>
        <w:tc>
          <w:tcPr>
            <w:tcW w:w="1216" w:type="dxa"/>
            <w:vMerge/>
          </w:tcPr>
          <w:p w14:paraId="52EF08E6" w14:textId="77777777" w:rsidR="00C50065" w:rsidRPr="00102859" w:rsidRDefault="00C50065" w:rsidP="00C50065">
            <w:pPr>
              <w:spacing w:line="480" w:lineRule="auto"/>
            </w:pPr>
          </w:p>
        </w:tc>
        <w:tc>
          <w:tcPr>
            <w:tcW w:w="1229" w:type="dxa"/>
            <w:vMerge/>
          </w:tcPr>
          <w:p w14:paraId="37354FA6" w14:textId="77777777" w:rsidR="00C50065" w:rsidRPr="00102859" w:rsidRDefault="00C50065" w:rsidP="00C50065">
            <w:pPr>
              <w:spacing w:line="480" w:lineRule="auto"/>
            </w:pPr>
          </w:p>
        </w:tc>
        <w:tc>
          <w:tcPr>
            <w:tcW w:w="1878" w:type="dxa"/>
            <w:shd w:val="clear" w:color="auto" w:fill="F2F2F2" w:themeFill="background1" w:themeFillShade="F2"/>
          </w:tcPr>
          <w:p w14:paraId="133D62F5" w14:textId="08ACE9A0"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350A07B4" w14:textId="794C8488" w:rsidR="00C50065" w:rsidRPr="00102859" w:rsidRDefault="00C50065" w:rsidP="00C50065">
            <w:pPr>
              <w:spacing w:line="480" w:lineRule="auto"/>
            </w:pPr>
            <w:r w:rsidRPr="00102859">
              <w:rPr>
                <w:sz w:val="24"/>
                <w:szCs w:val="24"/>
              </w:rPr>
              <w:t>5.16 (3.79)</w:t>
            </w:r>
          </w:p>
        </w:tc>
        <w:tc>
          <w:tcPr>
            <w:tcW w:w="1280" w:type="dxa"/>
            <w:shd w:val="clear" w:color="auto" w:fill="F2F2F2" w:themeFill="background1" w:themeFillShade="F2"/>
          </w:tcPr>
          <w:p w14:paraId="5CD64ECB" w14:textId="211834A9" w:rsidR="00C50065" w:rsidRPr="00102859" w:rsidRDefault="00C50065" w:rsidP="00C50065">
            <w:pPr>
              <w:spacing w:line="480" w:lineRule="auto"/>
            </w:pPr>
            <w:r w:rsidRPr="00102859">
              <w:rPr>
                <w:sz w:val="24"/>
                <w:szCs w:val="24"/>
              </w:rPr>
              <w:t>4.89 (4.08)</w:t>
            </w:r>
          </w:p>
        </w:tc>
        <w:tc>
          <w:tcPr>
            <w:tcW w:w="959" w:type="dxa"/>
            <w:shd w:val="clear" w:color="auto" w:fill="F2F2F2" w:themeFill="background1" w:themeFillShade="F2"/>
          </w:tcPr>
          <w:p w14:paraId="2499A9C0" w14:textId="451BC99A" w:rsidR="00C50065" w:rsidRPr="00102859" w:rsidRDefault="00C50065" w:rsidP="00C50065">
            <w:pPr>
              <w:spacing w:line="480" w:lineRule="auto"/>
            </w:pPr>
            <w:r w:rsidRPr="00102859">
              <w:rPr>
                <w:sz w:val="24"/>
                <w:szCs w:val="24"/>
              </w:rPr>
              <w:t>3.58 (2.95)</w:t>
            </w:r>
          </w:p>
        </w:tc>
        <w:tc>
          <w:tcPr>
            <w:tcW w:w="2013" w:type="dxa"/>
            <w:shd w:val="clear" w:color="auto" w:fill="F2F2F2" w:themeFill="background1" w:themeFillShade="F2"/>
          </w:tcPr>
          <w:p w14:paraId="6733A0FB" w14:textId="407CA403" w:rsidR="00C50065" w:rsidRPr="00102859" w:rsidRDefault="00C50065" w:rsidP="00C50065">
            <w:pPr>
              <w:spacing w:line="480" w:lineRule="auto"/>
            </w:pPr>
            <w:r w:rsidRPr="00102859">
              <w:t>0.70 [0.18 to 0.34]</w:t>
            </w:r>
          </w:p>
        </w:tc>
        <w:tc>
          <w:tcPr>
            <w:tcW w:w="3119" w:type="dxa"/>
            <w:vMerge/>
          </w:tcPr>
          <w:p w14:paraId="312A8D48" w14:textId="77777777" w:rsidR="00C50065" w:rsidRPr="00102859" w:rsidRDefault="00C50065" w:rsidP="00C50065">
            <w:pPr>
              <w:spacing w:line="480" w:lineRule="auto"/>
            </w:pPr>
          </w:p>
        </w:tc>
      </w:tr>
      <w:tr w:rsidR="00102859" w:rsidRPr="00102859" w14:paraId="51DDE645" w14:textId="754A2705" w:rsidTr="00B406F4">
        <w:tc>
          <w:tcPr>
            <w:tcW w:w="1484" w:type="dxa"/>
            <w:vMerge w:val="restart"/>
          </w:tcPr>
          <w:p w14:paraId="6B5E0D5D" w14:textId="5FCB1363" w:rsidR="00376EEF" w:rsidRPr="00102859" w:rsidRDefault="00376EEF" w:rsidP="00376EEF">
            <w:pPr>
              <w:spacing w:line="480" w:lineRule="auto"/>
            </w:pPr>
            <w:r w:rsidRPr="00102859">
              <w:rPr>
                <w:b/>
                <w:sz w:val="24"/>
                <w:szCs w:val="24"/>
              </w:rPr>
              <w:t>Insomnia (ISI)</w:t>
            </w:r>
          </w:p>
        </w:tc>
        <w:tc>
          <w:tcPr>
            <w:tcW w:w="1216" w:type="dxa"/>
            <w:vMerge w:val="restart"/>
          </w:tcPr>
          <w:p w14:paraId="75F5FFD2" w14:textId="410EAF0B" w:rsidR="00376EEF" w:rsidRPr="00102859" w:rsidRDefault="00376EEF" w:rsidP="00376EEF">
            <w:pPr>
              <w:spacing w:line="480" w:lineRule="auto"/>
              <w:rPr>
                <w:b/>
                <w:sz w:val="24"/>
                <w:szCs w:val="24"/>
              </w:rPr>
            </w:pPr>
            <w:r w:rsidRPr="00102859">
              <w:rPr>
                <w:sz w:val="24"/>
                <w:szCs w:val="24"/>
              </w:rPr>
              <w:t>ICBT group</w:t>
            </w:r>
          </w:p>
        </w:tc>
        <w:tc>
          <w:tcPr>
            <w:tcW w:w="1229" w:type="dxa"/>
            <w:vMerge w:val="restart"/>
          </w:tcPr>
          <w:p w14:paraId="796424EE" w14:textId="00CD7795" w:rsidR="00376EEF" w:rsidRPr="00102859" w:rsidRDefault="00376EEF" w:rsidP="00376EEF">
            <w:pPr>
              <w:spacing w:line="480" w:lineRule="auto"/>
              <w:rPr>
                <w:sz w:val="24"/>
                <w:szCs w:val="24"/>
              </w:rPr>
            </w:pPr>
            <w:r w:rsidRPr="00102859">
              <w:rPr>
                <w:sz w:val="24"/>
                <w:szCs w:val="24"/>
              </w:rPr>
              <w:t>12.25 (7.70)</w:t>
            </w:r>
          </w:p>
          <w:p w14:paraId="11E9B23A" w14:textId="77777777" w:rsidR="00376EEF" w:rsidRPr="00102859" w:rsidRDefault="00376EEF" w:rsidP="00376EEF">
            <w:pPr>
              <w:spacing w:line="480" w:lineRule="auto"/>
              <w:rPr>
                <w:sz w:val="24"/>
                <w:szCs w:val="24"/>
              </w:rPr>
            </w:pPr>
          </w:p>
        </w:tc>
        <w:tc>
          <w:tcPr>
            <w:tcW w:w="1878" w:type="dxa"/>
          </w:tcPr>
          <w:p w14:paraId="34878EE8" w14:textId="77777777" w:rsidR="00376EEF" w:rsidRPr="00102859" w:rsidRDefault="00376EEF" w:rsidP="00376EEF">
            <w:pPr>
              <w:spacing w:line="480" w:lineRule="auto"/>
              <w:jc w:val="both"/>
              <w:rPr>
                <w:sz w:val="24"/>
                <w:szCs w:val="24"/>
              </w:rPr>
            </w:pPr>
            <w:r w:rsidRPr="00102859">
              <w:rPr>
                <w:bCs/>
                <w:sz w:val="24"/>
                <w:szCs w:val="24"/>
              </w:rPr>
              <w:t>Completers analysis</w:t>
            </w:r>
          </w:p>
          <w:p w14:paraId="502C3DD0" w14:textId="79E4D79B" w:rsidR="00376EEF" w:rsidRPr="00102859" w:rsidRDefault="00376EEF" w:rsidP="00376EEF">
            <w:pPr>
              <w:spacing w:line="480" w:lineRule="auto"/>
            </w:pPr>
          </w:p>
        </w:tc>
        <w:tc>
          <w:tcPr>
            <w:tcW w:w="1418" w:type="dxa"/>
          </w:tcPr>
          <w:p w14:paraId="094EF860" w14:textId="08EB9127" w:rsidR="00376EEF" w:rsidRPr="00102859" w:rsidRDefault="00376EEF" w:rsidP="00376EEF">
            <w:pPr>
              <w:spacing w:line="480" w:lineRule="auto"/>
              <w:rPr>
                <w:sz w:val="24"/>
                <w:szCs w:val="24"/>
              </w:rPr>
            </w:pPr>
            <w:r w:rsidRPr="00102859">
              <w:rPr>
                <w:sz w:val="24"/>
                <w:szCs w:val="24"/>
              </w:rPr>
              <w:t>7.46 (5.80)</w:t>
            </w:r>
          </w:p>
        </w:tc>
        <w:tc>
          <w:tcPr>
            <w:tcW w:w="1280" w:type="dxa"/>
          </w:tcPr>
          <w:p w14:paraId="1D200670" w14:textId="17AB80AE" w:rsidR="00376EEF" w:rsidRPr="00102859" w:rsidRDefault="00376EEF" w:rsidP="00376EEF">
            <w:pPr>
              <w:spacing w:line="480" w:lineRule="auto"/>
              <w:rPr>
                <w:sz w:val="24"/>
                <w:szCs w:val="24"/>
              </w:rPr>
            </w:pPr>
            <w:r w:rsidRPr="00102859">
              <w:rPr>
                <w:sz w:val="24"/>
                <w:szCs w:val="24"/>
              </w:rPr>
              <w:t>7.46 (5.80)</w:t>
            </w:r>
          </w:p>
        </w:tc>
        <w:tc>
          <w:tcPr>
            <w:tcW w:w="959" w:type="dxa"/>
          </w:tcPr>
          <w:p w14:paraId="622AFD9A" w14:textId="56E7EADD" w:rsidR="00376EEF" w:rsidRPr="00102859" w:rsidRDefault="00376EEF" w:rsidP="00376EEF">
            <w:pPr>
              <w:spacing w:line="480" w:lineRule="auto"/>
              <w:rPr>
                <w:sz w:val="24"/>
                <w:szCs w:val="24"/>
              </w:rPr>
            </w:pPr>
            <w:r w:rsidRPr="00102859">
              <w:rPr>
                <w:sz w:val="24"/>
                <w:szCs w:val="24"/>
              </w:rPr>
              <w:t>6.33 (6.08)</w:t>
            </w:r>
          </w:p>
        </w:tc>
        <w:tc>
          <w:tcPr>
            <w:tcW w:w="2013" w:type="dxa"/>
          </w:tcPr>
          <w:p w14:paraId="1EC8DB72" w14:textId="4F0E0ABC" w:rsidR="00376EEF" w:rsidRPr="00102859" w:rsidRDefault="00376EEF" w:rsidP="00376EEF">
            <w:pPr>
              <w:spacing w:line="480" w:lineRule="auto"/>
            </w:pPr>
            <w:r w:rsidRPr="00102859">
              <w:t>0.67 [0.22 to 1.12]</w:t>
            </w:r>
          </w:p>
        </w:tc>
        <w:tc>
          <w:tcPr>
            <w:tcW w:w="3119" w:type="dxa"/>
            <w:vMerge w:val="restart"/>
          </w:tcPr>
          <w:p w14:paraId="736E1B14" w14:textId="57F277E2" w:rsidR="00376EEF" w:rsidRPr="00102859" w:rsidRDefault="00376EEF" w:rsidP="00376EEF">
            <w:pPr>
              <w:spacing w:line="480" w:lineRule="auto"/>
              <w:jc w:val="both"/>
              <w:rPr>
                <w:b/>
                <w:bCs/>
                <w:sz w:val="24"/>
                <w:szCs w:val="24"/>
              </w:rPr>
            </w:pPr>
            <w:r w:rsidRPr="00102859">
              <w:rPr>
                <w:b/>
                <w:bCs/>
                <w:sz w:val="24"/>
                <w:szCs w:val="24"/>
              </w:rPr>
              <w:t>Completers analysis</w:t>
            </w:r>
          </w:p>
          <w:p w14:paraId="029EDBB4" w14:textId="77777777" w:rsidR="00376EEF" w:rsidRPr="00102859" w:rsidRDefault="00376EEF" w:rsidP="00376EEF">
            <w:pPr>
              <w:spacing w:line="480" w:lineRule="auto"/>
              <w:rPr>
                <w:sz w:val="24"/>
                <w:szCs w:val="24"/>
              </w:rPr>
            </w:pPr>
            <w:r w:rsidRPr="00102859">
              <w:rPr>
                <w:sz w:val="24"/>
                <w:szCs w:val="24"/>
              </w:rPr>
              <w:t xml:space="preserve">At T1: 0.24 [-0.29 to 0.76] </w:t>
            </w:r>
          </w:p>
          <w:p w14:paraId="235F4CE1" w14:textId="77777777" w:rsidR="00376EEF" w:rsidRPr="00102859" w:rsidRDefault="00376EEF" w:rsidP="00376EEF">
            <w:pPr>
              <w:spacing w:line="480" w:lineRule="auto"/>
              <w:rPr>
                <w:bCs/>
                <w:sz w:val="24"/>
                <w:szCs w:val="24"/>
              </w:rPr>
            </w:pPr>
            <w:r w:rsidRPr="00102859">
              <w:rPr>
                <w:bCs/>
                <w:sz w:val="24"/>
                <w:szCs w:val="24"/>
              </w:rPr>
              <w:t>At T2: 0.17 [-0.36 to 0.69]</w:t>
            </w:r>
          </w:p>
          <w:p w14:paraId="0BEDF5A4" w14:textId="1A1507F8" w:rsidR="00376EEF" w:rsidRPr="00102859" w:rsidRDefault="00376EEF" w:rsidP="00376EEF">
            <w:pPr>
              <w:spacing w:line="480" w:lineRule="auto"/>
              <w:jc w:val="both"/>
              <w:rPr>
                <w:b/>
                <w:sz w:val="24"/>
                <w:szCs w:val="24"/>
              </w:rPr>
            </w:pPr>
            <w:r w:rsidRPr="00102859">
              <w:rPr>
                <w:sz w:val="24"/>
                <w:szCs w:val="24"/>
              </w:rPr>
              <w:t>At T3: 0.15 [-0.50 to 0.80]</w:t>
            </w:r>
          </w:p>
          <w:p w14:paraId="30BA221A" w14:textId="64425531" w:rsidR="00376EEF" w:rsidRPr="00102859" w:rsidRDefault="00376EEF" w:rsidP="00376EEF">
            <w:pPr>
              <w:spacing w:line="480" w:lineRule="auto"/>
            </w:pPr>
          </w:p>
        </w:tc>
      </w:tr>
      <w:tr w:rsidR="00102859" w:rsidRPr="00102859" w14:paraId="3E5B31A7" w14:textId="6EB7EBD9" w:rsidTr="0085238F">
        <w:tc>
          <w:tcPr>
            <w:tcW w:w="1484" w:type="dxa"/>
            <w:vMerge/>
          </w:tcPr>
          <w:p w14:paraId="235E5D63" w14:textId="16F84F7C" w:rsidR="00C50065" w:rsidRPr="00102859" w:rsidRDefault="00C50065" w:rsidP="00C50065">
            <w:pPr>
              <w:spacing w:line="480" w:lineRule="auto"/>
            </w:pPr>
          </w:p>
        </w:tc>
        <w:tc>
          <w:tcPr>
            <w:tcW w:w="1216" w:type="dxa"/>
            <w:vMerge/>
          </w:tcPr>
          <w:p w14:paraId="763152D0" w14:textId="77777777" w:rsidR="00C50065" w:rsidRPr="00102859" w:rsidRDefault="00C50065" w:rsidP="00C50065">
            <w:pPr>
              <w:spacing w:line="480" w:lineRule="auto"/>
            </w:pPr>
          </w:p>
        </w:tc>
        <w:tc>
          <w:tcPr>
            <w:tcW w:w="1229" w:type="dxa"/>
            <w:vMerge/>
          </w:tcPr>
          <w:p w14:paraId="5D42EA13" w14:textId="77777777" w:rsidR="00C50065" w:rsidRPr="00102859" w:rsidRDefault="00C50065" w:rsidP="00C50065">
            <w:pPr>
              <w:spacing w:line="480" w:lineRule="auto"/>
            </w:pPr>
          </w:p>
        </w:tc>
        <w:tc>
          <w:tcPr>
            <w:tcW w:w="1878" w:type="dxa"/>
            <w:shd w:val="clear" w:color="auto" w:fill="F2F2F2" w:themeFill="background1" w:themeFillShade="F2"/>
          </w:tcPr>
          <w:p w14:paraId="6B1AC61F" w14:textId="7A6B6688"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7D2F90B0" w14:textId="27D452ED" w:rsidR="00C50065" w:rsidRPr="00102859" w:rsidRDefault="00C50065" w:rsidP="00C50065">
            <w:pPr>
              <w:spacing w:line="480" w:lineRule="auto"/>
            </w:pPr>
            <w:r w:rsidRPr="00102859">
              <w:rPr>
                <w:sz w:val="24"/>
                <w:szCs w:val="24"/>
              </w:rPr>
              <w:t>7.81 (4.33)</w:t>
            </w:r>
          </w:p>
        </w:tc>
        <w:tc>
          <w:tcPr>
            <w:tcW w:w="1280" w:type="dxa"/>
            <w:shd w:val="clear" w:color="auto" w:fill="F2F2F2" w:themeFill="background1" w:themeFillShade="F2"/>
          </w:tcPr>
          <w:p w14:paraId="24CEB2D7" w14:textId="177E1069" w:rsidR="00C50065" w:rsidRPr="00102859" w:rsidRDefault="00C50065" w:rsidP="00C50065">
            <w:pPr>
              <w:spacing w:line="480" w:lineRule="auto"/>
            </w:pPr>
            <w:r w:rsidRPr="00102859">
              <w:rPr>
                <w:sz w:val="24"/>
                <w:szCs w:val="24"/>
              </w:rPr>
              <w:t>7.47 (4.11)</w:t>
            </w:r>
          </w:p>
        </w:tc>
        <w:tc>
          <w:tcPr>
            <w:tcW w:w="959" w:type="dxa"/>
            <w:shd w:val="clear" w:color="auto" w:fill="F2F2F2" w:themeFill="background1" w:themeFillShade="F2"/>
          </w:tcPr>
          <w:p w14:paraId="28AFA22C" w14:textId="5A485C77" w:rsidR="00C50065" w:rsidRPr="00102859" w:rsidRDefault="00C50065" w:rsidP="00C50065">
            <w:pPr>
              <w:spacing w:line="480" w:lineRule="auto"/>
            </w:pPr>
            <w:r w:rsidRPr="00102859">
              <w:rPr>
                <w:sz w:val="24"/>
                <w:szCs w:val="24"/>
              </w:rPr>
              <w:t>5.87 (3.58)</w:t>
            </w:r>
          </w:p>
        </w:tc>
        <w:tc>
          <w:tcPr>
            <w:tcW w:w="2013" w:type="dxa"/>
            <w:shd w:val="clear" w:color="auto" w:fill="F2F2F2" w:themeFill="background1" w:themeFillShade="F2"/>
          </w:tcPr>
          <w:p w14:paraId="4A807D7E" w14:textId="40AE5122" w:rsidR="00C50065" w:rsidRPr="00102859" w:rsidRDefault="00C50065" w:rsidP="00C50065">
            <w:pPr>
              <w:spacing w:line="480" w:lineRule="auto"/>
            </w:pPr>
            <w:r w:rsidRPr="00102859">
              <w:t>0.71 [0.35 to 1.01]</w:t>
            </w:r>
          </w:p>
        </w:tc>
        <w:tc>
          <w:tcPr>
            <w:tcW w:w="3119" w:type="dxa"/>
            <w:vMerge/>
          </w:tcPr>
          <w:p w14:paraId="245AF0E4" w14:textId="77777777" w:rsidR="00C50065" w:rsidRPr="00102859" w:rsidRDefault="00C50065" w:rsidP="00C50065">
            <w:pPr>
              <w:spacing w:line="480" w:lineRule="auto"/>
            </w:pPr>
          </w:p>
        </w:tc>
      </w:tr>
      <w:tr w:rsidR="00102859" w:rsidRPr="00102859" w14:paraId="10A46646" w14:textId="15862B23" w:rsidTr="00B406F4">
        <w:tc>
          <w:tcPr>
            <w:tcW w:w="1484" w:type="dxa"/>
            <w:vMerge/>
          </w:tcPr>
          <w:p w14:paraId="01DEC95E" w14:textId="165D27F2" w:rsidR="00C50065" w:rsidRPr="00102859" w:rsidRDefault="00C50065" w:rsidP="00C50065">
            <w:pPr>
              <w:spacing w:line="480" w:lineRule="auto"/>
            </w:pPr>
          </w:p>
        </w:tc>
        <w:tc>
          <w:tcPr>
            <w:tcW w:w="1216" w:type="dxa"/>
            <w:vMerge w:val="restart"/>
          </w:tcPr>
          <w:p w14:paraId="48D7C7D2" w14:textId="0057BB05" w:rsidR="00C50065" w:rsidRPr="00102859" w:rsidRDefault="00C50065" w:rsidP="00C50065">
            <w:pPr>
              <w:spacing w:line="480" w:lineRule="auto"/>
              <w:rPr>
                <w:sz w:val="24"/>
                <w:szCs w:val="24"/>
              </w:rPr>
            </w:pPr>
            <w:r w:rsidRPr="00102859">
              <w:t xml:space="preserve">Applied relaxation </w:t>
            </w:r>
            <w:r w:rsidRPr="00102859">
              <w:rPr>
                <w:sz w:val="24"/>
                <w:szCs w:val="24"/>
              </w:rPr>
              <w:t>group</w:t>
            </w:r>
          </w:p>
        </w:tc>
        <w:tc>
          <w:tcPr>
            <w:tcW w:w="1229" w:type="dxa"/>
            <w:vMerge w:val="restart"/>
          </w:tcPr>
          <w:p w14:paraId="1919AC91" w14:textId="6240FC4A" w:rsidR="00C50065" w:rsidRPr="00102859" w:rsidRDefault="00C50065" w:rsidP="00C50065">
            <w:pPr>
              <w:spacing w:line="480" w:lineRule="auto"/>
              <w:rPr>
                <w:sz w:val="24"/>
                <w:szCs w:val="24"/>
              </w:rPr>
            </w:pPr>
            <w:r w:rsidRPr="00102859">
              <w:rPr>
                <w:sz w:val="24"/>
                <w:szCs w:val="24"/>
              </w:rPr>
              <w:t>11.90 (7.45)</w:t>
            </w:r>
          </w:p>
          <w:p w14:paraId="08FDF206" w14:textId="77777777" w:rsidR="00C50065" w:rsidRPr="00102859" w:rsidRDefault="00C50065" w:rsidP="00C50065">
            <w:pPr>
              <w:spacing w:line="480" w:lineRule="auto"/>
              <w:rPr>
                <w:sz w:val="24"/>
                <w:szCs w:val="24"/>
              </w:rPr>
            </w:pPr>
          </w:p>
        </w:tc>
        <w:tc>
          <w:tcPr>
            <w:tcW w:w="1878" w:type="dxa"/>
          </w:tcPr>
          <w:p w14:paraId="6B464A4B" w14:textId="77777777" w:rsidR="00C50065" w:rsidRPr="00102859" w:rsidRDefault="00C50065" w:rsidP="00C50065">
            <w:pPr>
              <w:spacing w:line="480" w:lineRule="auto"/>
              <w:jc w:val="both"/>
              <w:rPr>
                <w:sz w:val="24"/>
                <w:szCs w:val="24"/>
              </w:rPr>
            </w:pPr>
            <w:r w:rsidRPr="00102859">
              <w:rPr>
                <w:bCs/>
                <w:sz w:val="24"/>
                <w:szCs w:val="24"/>
              </w:rPr>
              <w:t>Completers analysis</w:t>
            </w:r>
          </w:p>
          <w:p w14:paraId="07B2FCDF" w14:textId="4925572B" w:rsidR="00C50065" w:rsidRPr="00102859" w:rsidRDefault="00C50065" w:rsidP="00C50065">
            <w:pPr>
              <w:spacing w:line="480" w:lineRule="auto"/>
            </w:pPr>
          </w:p>
        </w:tc>
        <w:tc>
          <w:tcPr>
            <w:tcW w:w="1418" w:type="dxa"/>
          </w:tcPr>
          <w:p w14:paraId="0C0A9F05" w14:textId="42DBDCD0" w:rsidR="00C50065" w:rsidRPr="00102859" w:rsidRDefault="00C50065" w:rsidP="00C50065">
            <w:pPr>
              <w:spacing w:line="480" w:lineRule="auto"/>
              <w:rPr>
                <w:sz w:val="24"/>
                <w:szCs w:val="24"/>
              </w:rPr>
            </w:pPr>
            <w:r w:rsidRPr="00102859">
              <w:rPr>
                <w:sz w:val="24"/>
                <w:szCs w:val="24"/>
              </w:rPr>
              <w:t>8.93 (6.50)</w:t>
            </w:r>
          </w:p>
        </w:tc>
        <w:tc>
          <w:tcPr>
            <w:tcW w:w="1280" w:type="dxa"/>
          </w:tcPr>
          <w:p w14:paraId="592E7F48" w14:textId="7C92DDCC" w:rsidR="00C50065" w:rsidRPr="00102859" w:rsidRDefault="00C50065" w:rsidP="00C50065">
            <w:pPr>
              <w:spacing w:line="480" w:lineRule="auto"/>
              <w:rPr>
                <w:sz w:val="24"/>
                <w:szCs w:val="24"/>
              </w:rPr>
            </w:pPr>
            <w:r w:rsidRPr="00102859">
              <w:rPr>
                <w:sz w:val="24"/>
                <w:szCs w:val="24"/>
              </w:rPr>
              <w:t>8.43 (5.93)</w:t>
            </w:r>
          </w:p>
        </w:tc>
        <w:tc>
          <w:tcPr>
            <w:tcW w:w="959" w:type="dxa"/>
          </w:tcPr>
          <w:p w14:paraId="1E99B0AE" w14:textId="2CF7ABE3" w:rsidR="00C50065" w:rsidRPr="00102859" w:rsidRDefault="00C50065" w:rsidP="00C50065">
            <w:pPr>
              <w:spacing w:line="480" w:lineRule="auto"/>
              <w:rPr>
                <w:sz w:val="24"/>
                <w:szCs w:val="24"/>
              </w:rPr>
            </w:pPr>
            <w:r w:rsidRPr="00102859">
              <w:rPr>
                <w:sz w:val="24"/>
                <w:szCs w:val="24"/>
              </w:rPr>
              <w:t>7.13 (5.00)</w:t>
            </w:r>
          </w:p>
        </w:tc>
        <w:tc>
          <w:tcPr>
            <w:tcW w:w="2013" w:type="dxa"/>
          </w:tcPr>
          <w:p w14:paraId="025C2EAC" w14:textId="6F8D2F51" w:rsidR="00C50065" w:rsidRPr="00102859" w:rsidRDefault="00C50065" w:rsidP="00C50065">
            <w:pPr>
              <w:spacing w:line="480" w:lineRule="auto"/>
            </w:pPr>
            <w:r w:rsidRPr="00102859">
              <w:t>0.41 [-0.04 to 0.86]</w:t>
            </w:r>
          </w:p>
        </w:tc>
        <w:tc>
          <w:tcPr>
            <w:tcW w:w="3119" w:type="dxa"/>
            <w:vMerge w:val="restart"/>
          </w:tcPr>
          <w:p w14:paraId="39A9CF0B" w14:textId="77777777" w:rsidR="00C50065" w:rsidRPr="00102859" w:rsidRDefault="00C50065" w:rsidP="00C50065">
            <w:pPr>
              <w:spacing w:line="480" w:lineRule="auto"/>
              <w:rPr>
                <w:b/>
                <w:bCs/>
                <w:sz w:val="24"/>
                <w:szCs w:val="24"/>
              </w:rPr>
            </w:pPr>
            <w:r w:rsidRPr="00102859">
              <w:rPr>
                <w:b/>
                <w:bCs/>
                <w:sz w:val="24"/>
                <w:szCs w:val="24"/>
              </w:rPr>
              <w:t>Imputation analysis</w:t>
            </w:r>
          </w:p>
          <w:p w14:paraId="012045AD" w14:textId="77777777" w:rsidR="00C50065" w:rsidRPr="00102859" w:rsidRDefault="00C50065" w:rsidP="00C50065">
            <w:pPr>
              <w:spacing w:line="480" w:lineRule="auto"/>
              <w:rPr>
                <w:sz w:val="24"/>
                <w:szCs w:val="24"/>
              </w:rPr>
            </w:pPr>
            <w:r w:rsidRPr="00102859">
              <w:rPr>
                <w:sz w:val="24"/>
                <w:szCs w:val="24"/>
              </w:rPr>
              <w:t xml:space="preserve">At T1: 0.27 [-0.08 to 0.62] </w:t>
            </w:r>
          </w:p>
          <w:p w14:paraId="4E1DA76F" w14:textId="77777777" w:rsidR="00C50065" w:rsidRPr="00102859" w:rsidRDefault="00C50065" w:rsidP="00C50065">
            <w:pPr>
              <w:spacing w:line="480" w:lineRule="auto"/>
              <w:rPr>
                <w:b/>
                <w:bCs/>
                <w:sz w:val="24"/>
                <w:szCs w:val="24"/>
              </w:rPr>
            </w:pPr>
            <w:r w:rsidRPr="00102859">
              <w:rPr>
                <w:b/>
                <w:bCs/>
                <w:sz w:val="24"/>
                <w:szCs w:val="24"/>
              </w:rPr>
              <w:t>At T2: 0.45 [0.13 to 0.76]*</w:t>
            </w:r>
          </w:p>
          <w:p w14:paraId="731C7515" w14:textId="62AD1FE5" w:rsidR="00C50065" w:rsidRPr="00102859" w:rsidRDefault="00C50065" w:rsidP="00C50065">
            <w:pPr>
              <w:spacing w:line="480" w:lineRule="auto"/>
            </w:pPr>
            <w:r w:rsidRPr="00102859">
              <w:rPr>
                <w:sz w:val="24"/>
                <w:szCs w:val="24"/>
              </w:rPr>
              <w:t xml:space="preserve">At T3: 0.00 [-0.31 to 0.31] </w:t>
            </w:r>
          </w:p>
          <w:p w14:paraId="6AD97CE5" w14:textId="18F1690C" w:rsidR="00C50065" w:rsidRPr="00102859" w:rsidRDefault="00C50065" w:rsidP="00C50065">
            <w:pPr>
              <w:spacing w:line="480" w:lineRule="auto"/>
            </w:pPr>
          </w:p>
        </w:tc>
      </w:tr>
      <w:tr w:rsidR="00102859" w:rsidRPr="00102859" w14:paraId="7EC0689F" w14:textId="4F6072AE" w:rsidTr="0085238F">
        <w:tc>
          <w:tcPr>
            <w:tcW w:w="1484" w:type="dxa"/>
            <w:vMerge/>
          </w:tcPr>
          <w:p w14:paraId="616D6BF2" w14:textId="37771C80" w:rsidR="00C50065" w:rsidRPr="00102859" w:rsidRDefault="00C50065" w:rsidP="00C50065">
            <w:pPr>
              <w:spacing w:line="480" w:lineRule="auto"/>
            </w:pPr>
          </w:p>
        </w:tc>
        <w:tc>
          <w:tcPr>
            <w:tcW w:w="1216" w:type="dxa"/>
            <w:vMerge/>
          </w:tcPr>
          <w:p w14:paraId="3DD31E8C" w14:textId="77777777" w:rsidR="00C50065" w:rsidRPr="00102859" w:rsidRDefault="00C50065" w:rsidP="00C50065">
            <w:pPr>
              <w:spacing w:line="480" w:lineRule="auto"/>
            </w:pPr>
          </w:p>
        </w:tc>
        <w:tc>
          <w:tcPr>
            <w:tcW w:w="1229" w:type="dxa"/>
            <w:vMerge/>
          </w:tcPr>
          <w:p w14:paraId="6747AF75" w14:textId="77777777" w:rsidR="00C50065" w:rsidRPr="00102859" w:rsidRDefault="00C50065" w:rsidP="00C50065">
            <w:pPr>
              <w:spacing w:line="480" w:lineRule="auto"/>
            </w:pPr>
          </w:p>
        </w:tc>
        <w:tc>
          <w:tcPr>
            <w:tcW w:w="1878" w:type="dxa"/>
            <w:shd w:val="clear" w:color="auto" w:fill="F2F2F2" w:themeFill="background1" w:themeFillShade="F2"/>
          </w:tcPr>
          <w:p w14:paraId="44230A19" w14:textId="2163C069"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0F473ED2" w14:textId="15078720" w:rsidR="00C50065" w:rsidRPr="00102859" w:rsidRDefault="00C50065" w:rsidP="00C50065">
            <w:pPr>
              <w:spacing w:line="480" w:lineRule="auto"/>
            </w:pPr>
            <w:r w:rsidRPr="00102859">
              <w:rPr>
                <w:sz w:val="24"/>
                <w:szCs w:val="24"/>
              </w:rPr>
              <w:t>9.03 (4.71)</w:t>
            </w:r>
          </w:p>
        </w:tc>
        <w:tc>
          <w:tcPr>
            <w:tcW w:w="1280" w:type="dxa"/>
            <w:shd w:val="clear" w:color="auto" w:fill="F2F2F2" w:themeFill="background1" w:themeFillShade="F2"/>
          </w:tcPr>
          <w:p w14:paraId="3B41BAAF" w14:textId="5CD79543" w:rsidR="00C50065" w:rsidRPr="00102859" w:rsidRDefault="00C50065" w:rsidP="00C50065">
            <w:pPr>
              <w:spacing w:line="480" w:lineRule="auto"/>
            </w:pPr>
            <w:r w:rsidRPr="00102859">
              <w:rPr>
                <w:sz w:val="24"/>
                <w:szCs w:val="24"/>
              </w:rPr>
              <w:t>8.51 (4.40)</w:t>
            </w:r>
          </w:p>
        </w:tc>
        <w:tc>
          <w:tcPr>
            <w:tcW w:w="959" w:type="dxa"/>
            <w:shd w:val="clear" w:color="auto" w:fill="F2F2F2" w:themeFill="background1" w:themeFillShade="F2"/>
          </w:tcPr>
          <w:p w14:paraId="63A38E7C" w14:textId="558625D9" w:rsidR="00C50065" w:rsidRPr="00102859" w:rsidRDefault="00C50065" w:rsidP="00C50065">
            <w:pPr>
              <w:spacing w:line="480" w:lineRule="auto"/>
            </w:pPr>
            <w:r w:rsidRPr="00102859">
              <w:rPr>
                <w:sz w:val="24"/>
                <w:szCs w:val="24"/>
              </w:rPr>
              <w:t>6.90 (3.31)</w:t>
            </w:r>
          </w:p>
        </w:tc>
        <w:tc>
          <w:tcPr>
            <w:tcW w:w="2013" w:type="dxa"/>
            <w:shd w:val="clear" w:color="auto" w:fill="F2F2F2" w:themeFill="background1" w:themeFillShade="F2"/>
          </w:tcPr>
          <w:p w14:paraId="0E5C1C90" w14:textId="01FEA745" w:rsidR="00C50065" w:rsidRPr="00102859" w:rsidRDefault="00C50065" w:rsidP="00C50065">
            <w:pPr>
              <w:spacing w:line="480" w:lineRule="auto"/>
            </w:pPr>
            <w:r w:rsidRPr="00102859">
              <w:t>0.46 [0.10 to 0.81]</w:t>
            </w:r>
          </w:p>
        </w:tc>
        <w:tc>
          <w:tcPr>
            <w:tcW w:w="3119" w:type="dxa"/>
            <w:vMerge/>
          </w:tcPr>
          <w:p w14:paraId="5BDCBAF1" w14:textId="77777777" w:rsidR="00C50065" w:rsidRPr="00102859" w:rsidRDefault="00C50065" w:rsidP="00C50065">
            <w:pPr>
              <w:spacing w:line="480" w:lineRule="auto"/>
            </w:pPr>
          </w:p>
        </w:tc>
      </w:tr>
      <w:tr w:rsidR="00102859" w:rsidRPr="00102859" w14:paraId="42538751" w14:textId="7B5CEDB5" w:rsidTr="00B406F4">
        <w:tc>
          <w:tcPr>
            <w:tcW w:w="1484" w:type="dxa"/>
            <w:vMerge w:val="restart"/>
          </w:tcPr>
          <w:p w14:paraId="3A396D6C" w14:textId="0B2ABF6E" w:rsidR="00C50065" w:rsidRPr="00102859" w:rsidRDefault="00C50065" w:rsidP="00C50065">
            <w:pPr>
              <w:spacing w:line="480" w:lineRule="auto"/>
            </w:pPr>
            <w:r w:rsidRPr="00102859">
              <w:rPr>
                <w:b/>
                <w:sz w:val="24"/>
                <w:szCs w:val="24"/>
              </w:rPr>
              <w:t>Health-related quality of life (EQ-5D-5L)</w:t>
            </w:r>
          </w:p>
        </w:tc>
        <w:tc>
          <w:tcPr>
            <w:tcW w:w="1216" w:type="dxa"/>
            <w:vMerge w:val="restart"/>
          </w:tcPr>
          <w:p w14:paraId="7B56B1ED" w14:textId="16A7B0E1" w:rsidR="00C50065" w:rsidRPr="00102859" w:rsidRDefault="00C50065" w:rsidP="00C50065">
            <w:pPr>
              <w:spacing w:line="480" w:lineRule="auto"/>
              <w:rPr>
                <w:b/>
                <w:sz w:val="24"/>
                <w:szCs w:val="24"/>
              </w:rPr>
            </w:pPr>
            <w:r w:rsidRPr="00102859">
              <w:rPr>
                <w:sz w:val="24"/>
                <w:szCs w:val="24"/>
              </w:rPr>
              <w:t>ICBT group</w:t>
            </w:r>
          </w:p>
        </w:tc>
        <w:tc>
          <w:tcPr>
            <w:tcW w:w="1229" w:type="dxa"/>
            <w:vMerge w:val="restart"/>
          </w:tcPr>
          <w:p w14:paraId="47F4C982" w14:textId="72013241" w:rsidR="00C50065" w:rsidRPr="00102859" w:rsidRDefault="00C50065" w:rsidP="00C50065">
            <w:pPr>
              <w:spacing w:line="480" w:lineRule="auto"/>
              <w:rPr>
                <w:sz w:val="24"/>
                <w:szCs w:val="24"/>
              </w:rPr>
            </w:pPr>
            <w:r w:rsidRPr="00102859">
              <w:rPr>
                <w:sz w:val="24"/>
                <w:szCs w:val="24"/>
              </w:rPr>
              <w:t>8.22 (3.17)</w:t>
            </w:r>
          </w:p>
          <w:p w14:paraId="14E3562C" w14:textId="77777777" w:rsidR="00C50065" w:rsidRPr="00102859" w:rsidRDefault="00C50065" w:rsidP="00C50065">
            <w:pPr>
              <w:spacing w:line="480" w:lineRule="auto"/>
              <w:rPr>
                <w:sz w:val="24"/>
                <w:szCs w:val="24"/>
              </w:rPr>
            </w:pPr>
          </w:p>
        </w:tc>
        <w:tc>
          <w:tcPr>
            <w:tcW w:w="1878" w:type="dxa"/>
          </w:tcPr>
          <w:p w14:paraId="2AB20B37" w14:textId="77777777" w:rsidR="00C50065" w:rsidRPr="00102859" w:rsidRDefault="00C50065" w:rsidP="00C50065">
            <w:pPr>
              <w:spacing w:line="480" w:lineRule="auto"/>
              <w:jc w:val="both"/>
              <w:rPr>
                <w:sz w:val="24"/>
                <w:szCs w:val="24"/>
              </w:rPr>
            </w:pPr>
            <w:r w:rsidRPr="00102859">
              <w:rPr>
                <w:bCs/>
                <w:sz w:val="24"/>
                <w:szCs w:val="24"/>
              </w:rPr>
              <w:t>Completers analysis</w:t>
            </w:r>
          </w:p>
          <w:p w14:paraId="47645B15" w14:textId="5E03AFE3" w:rsidR="00C50065" w:rsidRPr="00102859" w:rsidRDefault="00C50065" w:rsidP="00C50065">
            <w:pPr>
              <w:spacing w:line="480" w:lineRule="auto"/>
            </w:pPr>
          </w:p>
        </w:tc>
        <w:tc>
          <w:tcPr>
            <w:tcW w:w="1418" w:type="dxa"/>
          </w:tcPr>
          <w:p w14:paraId="37364EE8" w14:textId="503CCBD4" w:rsidR="00C50065" w:rsidRPr="00102859" w:rsidRDefault="00C50065" w:rsidP="00C50065">
            <w:pPr>
              <w:spacing w:line="480" w:lineRule="auto"/>
              <w:rPr>
                <w:sz w:val="24"/>
                <w:szCs w:val="24"/>
              </w:rPr>
            </w:pPr>
            <w:r w:rsidRPr="00102859">
              <w:rPr>
                <w:sz w:val="24"/>
                <w:szCs w:val="24"/>
              </w:rPr>
              <w:t>7.11 (1.95)</w:t>
            </w:r>
          </w:p>
        </w:tc>
        <w:tc>
          <w:tcPr>
            <w:tcW w:w="1280" w:type="dxa"/>
          </w:tcPr>
          <w:p w14:paraId="3124CE43" w14:textId="422C5E5D" w:rsidR="00C50065" w:rsidRPr="00102859" w:rsidRDefault="00C50065" w:rsidP="00C50065">
            <w:pPr>
              <w:spacing w:line="480" w:lineRule="auto"/>
              <w:rPr>
                <w:sz w:val="24"/>
                <w:szCs w:val="24"/>
              </w:rPr>
            </w:pPr>
            <w:r w:rsidRPr="00102859">
              <w:rPr>
                <w:sz w:val="24"/>
                <w:szCs w:val="24"/>
              </w:rPr>
              <w:t>7.11 (1.95)</w:t>
            </w:r>
          </w:p>
        </w:tc>
        <w:tc>
          <w:tcPr>
            <w:tcW w:w="959" w:type="dxa"/>
          </w:tcPr>
          <w:p w14:paraId="5D31C20D" w14:textId="430EE009" w:rsidR="00C50065" w:rsidRPr="00102859" w:rsidRDefault="00C50065" w:rsidP="00C50065">
            <w:pPr>
              <w:spacing w:line="480" w:lineRule="auto"/>
            </w:pPr>
            <w:r w:rsidRPr="00102859">
              <w:t>6.67 (1.63)</w:t>
            </w:r>
          </w:p>
        </w:tc>
        <w:tc>
          <w:tcPr>
            <w:tcW w:w="2013" w:type="dxa"/>
          </w:tcPr>
          <w:p w14:paraId="0E4DA310" w14:textId="319DF029" w:rsidR="00C50065" w:rsidRPr="00102859" w:rsidRDefault="00C50065" w:rsidP="00C50065">
            <w:pPr>
              <w:spacing w:line="480" w:lineRule="auto"/>
            </w:pPr>
            <w:r w:rsidRPr="00102859">
              <w:t>0.39 [-0.07 to 0.84]</w:t>
            </w:r>
          </w:p>
        </w:tc>
        <w:tc>
          <w:tcPr>
            <w:tcW w:w="3119" w:type="dxa"/>
            <w:vMerge w:val="restart"/>
          </w:tcPr>
          <w:p w14:paraId="093745C7" w14:textId="521A7B82" w:rsidR="00C50065" w:rsidRPr="00102859" w:rsidRDefault="00C50065" w:rsidP="00C50065">
            <w:pPr>
              <w:spacing w:line="480" w:lineRule="auto"/>
              <w:jc w:val="both"/>
              <w:rPr>
                <w:b/>
                <w:bCs/>
                <w:sz w:val="24"/>
                <w:szCs w:val="24"/>
              </w:rPr>
            </w:pPr>
            <w:r w:rsidRPr="00102859">
              <w:rPr>
                <w:b/>
                <w:bCs/>
                <w:sz w:val="24"/>
                <w:szCs w:val="24"/>
              </w:rPr>
              <w:t>Completers analysis</w:t>
            </w:r>
          </w:p>
          <w:p w14:paraId="22ECF480" w14:textId="77777777" w:rsidR="00C50065" w:rsidRPr="00102859" w:rsidRDefault="00C50065" w:rsidP="00C50065">
            <w:pPr>
              <w:spacing w:line="480" w:lineRule="auto"/>
              <w:rPr>
                <w:sz w:val="24"/>
                <w:szCs w:val="24"/>
              </w:rPr>
            </w:pPr>
            <w:r w:rsidRPr="00102859">
              <w:rPr>
                <w:sz w:val="24"/>
                <w:szCs w:val="24"/>
              </w:rPr>
              <w:t>At T1: 0.26 [-0.27 to 0.79]</w:t>
            </w:r>
          </w:p>
          <w:p w14:paraId="776C867F" w14:textId="77777777" w:rsidR="00C50065" w:rsidRPr="00102859" w:rsidRDefault="00C50065" w:rsidP="00C50065">
            <w:pPr>
              <w:spacing w:line="480" w:lineRule="auto"/>
              <w:rPr>
                <w:sz w:val="24"/>
                <w:szCs w:val="24"/>
              </w:rPr>
            </w:pPr>
            <w:r w:rsidRPr="00102859">
              <w:rPr>
                <w:sz w:val="24"/>
                <w:szCs w:val="24"/>
              </w:rPr>
              <w:t>At T2: 0.33 [-0.20 to 0.87]</w:t>
            </w:r>
          </w:p>
          <w:p w14:paraId="5D00F8BE" w14:textId="1970B897" w:rsidR="00C50065" w:rsidRPr="00102859" w:rsidRDefault="00C50065" w:rsidP="00C50065">
            <w:pPr>
              <w:spacing w:line="480" w:lineRule="auto"/>
              <w:jc w:val="both"/>
              <w:rPr>
                <w:b/>
                <w:sz w:val="24"/>
                <w:szCs w:val="24"/>
              </w:rPr>
            </w:pPr>
            <w:r w:rsidRPr="00102859">
              <w:rPr>
                <w:sz w:val="24"/>
                <w:szCs w:val="24"/>
              </w:rPr>
              <w:t>At T3: 0.39 [-0.27 to 1.05]</w:t>
            </w:r>
          </w:p>
          <w:p w14:paraId="3A86D054" w14:textId="2F0C6FD3" w:rsidR="00C50065" w:rsidRPr="00102859" w:rsidRDefault="00C50065" w:rsidP="00C50065">
            <w:pPr>
              <w:spacing w:line="480" w:lineRule="auto"/>
            </w:pPr>
          </w:p>
        </w:tc>
      </w:tr>
      <w:tr w:rsidR="00102859" w:rsidRPr="00102859" w14:paraId="0F4564E1" w14:textId="521171C4" w:rsidTr="0085238F">
        <w:tc>
          <w:tcPr>
            <w:tcW w:w="1484" w:type="dxa"/>
            <w:vMerge/>
          </w:tcPr>
          <w:p w14:paraId="22C2757D" w14:textId="2DD3CE4B" w:rsidR="00C50065" w:rsidRPr="00102859" w:rsidRDefault="00C50065" w:rsidP="00C50065">
            <w:pPr>
              <w:spacing w:line="480" w:lineRule="auto"/>
            </w:pPr>
          </w:p>
        </w:tc>
        <w:tc>
          <w:tcPr>
            <w:tcW w:w="1216" w:type="dxa"/>
            <w:vMerge/>
          </w:tcPr>
          <w:p w14:paraId="1922126E" w14:textId="77777777" w:rsidR="00C50065" w:rsidRPr="00102859" w:rsidRDefault="00C50065" w:rsidP="00C50065">
            <w:pPr>
              <w:spacing w:line="480" w:lineRule="auto"/>
            </w:pPr>
          </w:p>
        </w:tc>
        <w:tc>
          <w:tcPr>
            <w:tcW w:w="1229" w:type="dxa"/>
            <w:vMerge/>
          </w:tcPr>
          <w:p w14:paraId="4B29CD84" w14:textId="77777777" w:rsidR="00C50065" w:rsidRPr="00102859" w:rsidRDefault="00C50065" w:rsidP="00C50065">
            <w:pPr>
              <w:spacing w:line="480" w:lineRule="auto"/>
            </w:pPr>
          </w:p>
        </w:tc>
        <w:tc>
          <w:tcPr>
            <w:tcW w:w="1878" w:type="dxa"/>
            <w:shd w:val="clear" w:color="auto" w:fill="F2F2F2" w:themeFill="background1" w:themeFillShade="F2"/>
          </w:tcPr>
          <w:p w14:paraId="1DBE2CB4" w14:textId="7DC8C918"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23C5B083" w14:textId="22EAF706" w:rsidR="00C50065" w:rsidRPr="00102859" w:rsidRDefault="00C50065" w:rsidP="00C50065">
            <w:pPr>
              <w:spacing w:line="480" w:lineRule="auto"/>
            </w:pPr>
            <w:r w:rsidRPr="00102859">
              <w:rPr>
                <w:sz w:val="24"/>
                <w:szCs w:val="24"/>
              </w:rPr>
              <w:t>7.26 (1.52)</w:t>
            </w:r>
          </w:p>
        </w:tc>
        <w:tc>
          <w:tcPr>
            <w:tcW w:w="1280" w:type="dxa"/>
            <w:shd w:val="clear" w:color="auto" w:fill="F2F2F2" w:themeFill="background1" w:themeFillShade="F2"/>
          </w:tcPr>
          <w:p w14:paraId="72115120" w14:textId="2B136A16" w:rsidR="00C50065" w:rsidRPr="00102859" w:rsidRDefault="00C50065" w:rsidP="00C50065">
            <w:pPr>
              <w:spacing w:line="480" w:lineRule="auto"/>
            </w:pPr>
            <w:r w:rsidRPr="00102859">
              <w:rPr>
                <w:sz w:val="24"/>
                <w:szCs w:val="24"/>
              </w:rPr>
              <w:t>7.08 (1.65)</w:t>
            </w:r>
          </w:p>
        </w:tc>
        <w:tc>
          <w:tcPr>
            <w:tcW w:w="959" w:type="dxa"/>
            <w:shd w:val="clear" w:color="auto" w:fill="F2F2F2" w:themeFill="background1" w:themeFillShade="F2"/>
          </w:tcPr>
          <w:p w14:paraId="1D623A07" w14:textId="22D99DB8" w:rsidR="00C50065" w:rsidRPr="00102859" w:rsidRDefault="00C50065" w:rsidP="00C50065">
            <w:pPr>
              <w:spacing w:line="480" w:lineRule="auto"/>
            </w:pPr>
            <w:r w:rsidRPr="00102859">
              <w:t>6.78 (1.18)</w:t>
            </w:r>
          </w:p>
        </w:tc>
        <w:tc>
          <w:tcPr>
            <w:tcW w:w="2013" w:type="dxa"/>
            <w:shd w:val="clear" w:color="auto" w:fill="F2F2F2" w:themeFill="background1" w:themeFillShade="F2"/>
          </w:tcPr>
          <w:p w14:paraId="5A7D2D72" w14:textId="0C38E57E" w:rsidR="00C50065" w:rsidRPr="00102859" w:rsidRDefault="00C50065" w:rsidP="00C50065">
            <w:pPr>
              <w:spacing w:line="480" w:lineRule="auto"/>
            </w:pPr>
            <w:r w:rsidRPr="00102859">
              <w:t>0.39 [0.03 to 0.74]</w:t>
            </w:r>
          </w:p>
        </w:tc>
        <w:tc>
          <w:tcPr>
            <w:tcW w:w="3119" w:type="dxa"/>
            <w:vMerge/>
          </w:tcPr>
          <w:p w14:paraId="4A086B74" w14:textId="77777777" w:rsidR="00C50065" w:rsidRPr="00102859" w:rsidRDefault="00C50065" w:rsidP="00C50065">
            <w:pPr>
              <w:spacing w:line="480" w:lineRule="auto"/>
            </w:pPr>
          </w:p>
        </w:tc>
      </w:tr>
      <w:tr w:rsidR="00102859" w:rsidRPr="00102859" w14:paraId="2AE43363" w14:textId="49C18C1E" w:rsidTr="00B406F4">
        <w:tc>
          <w:tcPr>
            <w:tcW w:w="1484" w:type="dxa"/>
            <w:vMerge/>
          </w:tcPr>
          <w:p w14:paraId="31E75644" w14:textId="5C113E0F" w:rsidR="00C50065" w:rsidRPr="00102859" w:rsidRDefault="00C50065" w:rsidP="00C50065">
            <w:pPr>
              <w:spacing w:line="480" w:lineRule="auto"/>
            </w:pPr>
          </w:p>
        </w:tc>
        <w:tc>
          <w:tcPr>
            <w:tcW w:w="1216" w:type="dxa"/>
            <w:vMerge w:val="restart"/>
          </w:tcPr>
          <w:p w14:paraId="197B1647" w14:textId="1530CD19" w:rsidR="00C50065" w:rsidRPr="00102859" w:rsidRDefault="00C50065" w:rsidP="00C50065">
            <w:pPr>
              <w:spacing w:line="480" w:lineRule="auto"/>
              <w:rPr>
                <w:sz w:val="24"/>
                <w:szCs w:val="24"/>
              </w:rPr>
            </w:pPr>
            <w:r w:rsidRPr="00102859">
              <w:t xml:space="preserve">Applied relaxation </w:t>
            </w:r>
            <w:r w:rsidRPr="00102859">
              <w:rPr>
                <w:sz w:val="24"/>
                <w:szCs w:val="24"/>
              </w:rPr>
              <w:t>group</w:t>
            </w:r>
          </w:p>
        </w:tc>
        <w:tc>
          <w:tcPr>
            <w:tcW w:w="1229" w:type="dxa"/>
            <w:vMerge w:val="restart"/>
          </w:tcPr>
          <w:p w14:paraId="38B397D2" w14:textId="679C3713" w:rsidR="00C50065" w:rsidRPr="00102859" w:rsidRDefault="00C50065" w:rsidP="00C50065">
            <w:pPr>
              <w:spacing w:line="480" w:lineRule="auto"/>
              <w:rPr>
                <w:sz w:val="24"/>
                <w:szCs w:val="24"/>
              </w:rPr>
            </w:pPr>
            <w:r w:rsidRPr="00102859">
              <w:rPr>
                <w:sz w:val="24"/>
                <w:szCs w:val="24"/>
              </w:rPr>
              <w:t>8.41 (3.16)</w:t>
            </w:r>
          </w:p>
        </w:tc>
        <w:tc>
          <w:tcPr>
            <w:tcW w:w="1878" w:type="dxa"/>
          </w:tcPr>
          <w:p w14:paraId="41EC3EDE" w14:textId="77777777" w:rsidR="00C50065" w:rsidRPr="00102859" w:rsidRDefault="00C50065" w:rsidP="00C50065">
            <w:pPr>
              <w:spacing w:line="480" w:lineRule="auto"/>
              <w:jc w:val="both"/>
              <w:rPr>
                <w:sz w:val="24"/>
                <w:szCs w:val="24"/>
              </w:rPr>
            </w:pPr>
            <w:r w:rsidRPr="00102859">
              <w:rPr>
                <w:bCs/>
                <w:sz w:val="24"/>
                <w:szCs w:val="24"/>
              </w:rPr>
              <w:t>Completers analysis</w:t>
            </w:r>
          </w:p>
          <w:p w14:paraId="06A8EAD7" w14:textId="4981F9EB" w:rsidR="00C50065" w:rsidRPr="00102859" w:rsidRDefault="00C50065" w:rsidP="00C50065">
            <w:pPr>
              <w:spacing w:line="480" w:lineRule="auto"/>
            </w:pPr>
          </w:p>
        </w:tc>
        <w:tc>
          <w:tcPr>
            <w:tcW w:w="1418" w:type="dxa"/>
          </w:tcPr>
          <w:p w14:paraId="5016BC37" w14:textId="49EF9160" w:rsidR="00C50065" w:rsidRPr="00102859" w:rsidRDefault="00C50065" w:rsidP="00C50065">
            <w:pPr>
              <w:spacing w:line="480" w:lineRule="auto"/>
              <w:rPr>
                <w:sz w:val="24"/>
                <w:szCs w:val="24"/>
              </w:rPr>
            </w:pPr>
            <w:r w:rsidRPr="00102859">
              <w:rPr>
                <w:sz w:val="24"/>
                <w:szCs w:val="24"/>
              </w:rPr>
              <w:t>7.71 (2.55)</w:t>
            </w:r>
          </w:p>
        </w:tc>
        <w:tc>
          <w:tcPr>
            <w:tcW w:w="1280" w:type="dxa"/>
          </w:tcPr>
          <w:p w14:paraId="030A73C6" w14:textId="7A04C019" w:rsidR="00C50065" w:rsidRPr="00102859" w:rsidRDefault="00C50065" w:rsidP="00C50065">
            <w:pPr>
              <w:spacing w:line="480" w:lineRule="auto"/>
              <w:rPr>
                <w:sz w:val="24"/>
                <w:szCs w:val="24"/>
              </w:rPr>
            </w:pPr>
            <w:r w:rsidRPr="00102859">
              <w:rPr>
                <w:sz w:val="24"/>
                <w:szCs w:val="24"/>
              </w:rPr>
              <w:t>8.11 (3.73)</w:t>
            </w:r>
          </w:p>
        </w:tc>
        <w:tc>
          <w:tcPr>
            <w:tcW w:w="959" w:type="dxa"/>
          </w:tcPr>
          <w:p w14:paraId="0BD8B194" w14:textId="44F4BFCD" w:rsidR="00C50065" w:rsidRPr="00102859" w:rsidRDefault="00C50065" w:rsidP="00C50065">
            <w:pPr>
              <w:spacing w:line="480" w:lineRule="auto"/>
            </w:pPr>
            <w:r w:rsidRPr="00102859">
              <w:t>7.65 (2.93)</w:t>
            </w:r>
          </w:p>
        </w:tc>
        <w:tc>
          <w:tcPr>
            <w:tcW w:w="2013" w:type="dxa"/>
          </w:tcPr>
          <w:p w14:paraId="7909D770" w14:textId="02D5B86F" w:rsidR="00C50065" w:rsidRPr="00102859" w:rsidRDefault="00C50065" w:rsidP="00C50065">
            <w:pPr>
              <w:spacing w:line="480" w:lineRule="auto"/>
            </w:pPr>
            <w:r w:rsidRPr="00102859">
              <w:t>0.17 [-0.28 to 0.62]</w:t>
            </w:r>
          </w:p>
        </w:tc>
        <w:tc>
          <w:tcPr>
            <w:tcW w:w="3119" w:type="dxa"/>
            <w:vMerge w:val="restart"/>
          </w:tcPr>
          <w:p w14:paraId="1C9A60F4" w14:textId="2A7EFEA2" w:rsidR="00C50065" w:rsidRPr="00102859" w:rsidRDefault="00C50065" w:rsidP="00C50065">
            <w:pPr>
              <w:spacing w:line="480" w:lineRule="auto"/>
              <w:rPr>
                <w:sz w:val="24"/>
                <w:szCs w:val="24"/>
              </w:rPr>
            </w:pPr>
            <w:r w:rsidRPr="00102859">
              <w:rPr>
                <w:b/>
                <w:bCs/>
                <w:sz w:val="24"/>
                <w:szCs w:val="24"/>
              </w:rPr>
              <w:t>Imputation analysis</w:t>
            </w:r>
            <w:r w:rsidRPr="00102859">
              <w:rPr>
                <w:sz w:val="24"/>
                <w:szCs w:val="24"/>
              </w:rPr>
              <w:t xml:space="preserve"> </w:t>
            </w:r>
          </w:p>
          <w:p w14:paraId="13A441AA" w14:textId="77777777" w:rsidR="00C50065" w:rsidRPr="00102859" w:rsidRDefault="00C50065" w:rsidP="00C50065">
            <w:pPr>
              <w:spacing w:line="480" w:lineRule="auto"/>
              <w:rPr>
                <w:sz w:val="24"/>
                <w:szCs w:val="24"/>
              </w:rPr>
            </w:pPr>
            <w:r w:rsidRPr="00102859">
              <w:rPr>
                <w:sz w:val="24"/>
                <w:szCs w:val="24"/>
              </w:rPr>
              <w:t>At T1: 0.25 [-0.11 to 0.60]</w:t>
            </w:r>
          </w:p>
          <w:p w14:paraId="1F77C60A" w14:textId="77777777" w:rsidR="00C50065" w:rsidRPr="00102859" w:rsidRDefault="00C50065" w:rsidP="00C50065">
            <w:pPr>
              <w:spacing w:line="480" w:lineRule="auto"/>
              <w:rPr>
                <w:sz w:val="24"/>
                <w:szCs w:val="24"/>
              </w:rPr>
            </w:pPr>
            <w:r w:rsidRPr="00102859">
              <w:rPr>
                <w:sz w:val="24"/>
                <w:szCs w:val="24"/>
              </w:rPr>
              <w:t>At T2: 0.10 [-0.21 to 0.42]</w:t>
            </w:r>
          </w:p>
          <w:p w14:paraId="37E94325" w14:textId="251E4459" w:rsidR="00C50065" w:rsidRPr="00102859" w:rsidRDefault="00C50065" w:rsidP="00C50065">
            <w:pPr>
              <w:spacing w:line="480" w:lineRule="auto"/>
            </w:pPr>
            <w:r w:rsidRPr="00102859">
              <w:rPr>
                <w:sz w:val="24"/>
                <w:szCs w:val="24"/>
              </w:rPr>
              <w:t>At T3: 0.05 [-0.27 to 0.36]</w:t>
            </w:r>
          </w:p>
        </w:tc>
      </w:tr>
      <w:tr w:rsidR="00102859" w:rsidRPr="00102859" w14:paraId="469A711D" w14:textId="23317D23" w:rsidTr="0085238F">
        <w:tc>
          <w:tcPr>
            <w:tcW w:w="1484" w:type="dxa"/>
            <w:vMerge/>
          </w:tcPr>
          <w:p w14:paraId="4B70C449" w14:textId="1A8531D7" w:rsidR="00C50065" w:rsidRPr="00102859" w:rsidRDefault="00C50065" w:rsidP="00C50065">
            <w:pPr>
              <w:spacing w:line="480" w:lineRule="auto"/>
            </w:pPr>
          </w:p>
        </w:tc>
        <w:tc>
          <w:tcPr>
            <w:tcW w:w="1216" w:type="dxa"/>
            <w:vMerge/>
          </w:tcPr>
          <w:p w14:paraId="40271211" w14:textId="77777777" w:rsidR="00C50065" w:rsidRPr="00102859" w:rsidRDefault="00C50065" w:rsidP="00C50065">
            <w:pPr>
              <w:spacing w:line="480" w:lineRule="auto"/>
            </w:pPr>
          </w:p>
        </w:tc>
        <w:tc>
          <w:tcPr>
            <w:tcW w:w="1229" w:type="dxa"/>
            <w:vMerge/>
          </w:tcPr>
          <w:p w14:paraId="35ECDF15" w14:textId="77777777" w:rsidR="00C50065" w:rsidRPr="00102859" w:rsidRDefault="00C50065" w:rsidP="00C50065">
            <w:pPr>
              <w:spacing w:line="480" w:lineRule="auto"/>
            </w:pPr>
          </w:p>
        </w:tc>
        <w:tc>
          <w:tcPr>
            <w:tcW w:w="1878" w:type="dxa"/>
            <w:shd w:val="clear" w:color="auto" w:fill="F2F2F2" w:themeFill="background1" w:themeFillShade="F2"/>
          </w:tcPr>
          <w:p w14:paraId="5B36F85A" w14:textId="51F132E0"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66E278B9" w14:textId="2FD56878" w:rsidR="00C50065" w:rsidRPr="00102859" w:rsidRDefault="00C50065" w:rsidP="00C50065">
            <w:pPr>
              <w:spacing w:line="480" w:lineRule="auto"/>
            </w:pPr>
            <w:r w:rsidRPr="00102859">
              <w:rPr>
                <w:sz w:val="24"/>
                <w:szCs w:val="24"/>
              </w:rPr>
              <w:t>7.70 (2.01)</w:t>
            </w:r>
          </w:p>
        </w:tc>
        <w:tc>
          <w:tcPr>
            <w:tcW w:w="1280" w:type="dxa"/>
            <w:shd w:val="clear" w:color="auto" w:fill="F2F2F2" w:themeFill="background1" w:themeFillShade="F2"/>
          </w:tcPr>
          <w:p w14:paraId="193E3DDB" w14:textId="2915860F" w:rsidR="00C50065" w:rsidRPr="00102859" w:rsidRDefault="00C50065" w:rsidP="00C50065">
            <w:pPr>
              <w:spacing w:line="480" w:lineRule="auto"/>
            </w:pPr>
            <w:r w:rsidRPr="00102859">
              <w:rPr>
                <w:sz w:val="24"/>
                <w:szCs w:val="24"/>
              </w:rPr>
              <w:t>7.89 (2.69)</w:t>
            </w:r>
          </w:p>
        </w:tc>
        <w:tc>
          <w:tcPr>
            <w:tcW w:w="959" w:type="dxa"/>
            <w:shd w:val="clear" w:color="auto" w:fill="F2F2F2" w:themeFill="background1" w:themeFillShade="F2"/>
          </w:tcPr>
          <w:p w14:paraId="03D7BC93" w14:textId="39C4A559" w:rsidR="00C50065" w:rsidRPr="00102859" w:rsidRDefault="00C50065" w:rsidP="00C50065">
            <w:pPr>
              <w:spacing w:line="480" w:lineRule="auto"/>
            </w:pPr>
            <w:r w:rsidRPr="00102859">
              <w:t>7.52 (2.18)</w:t>
            </w:r>
          </w:p>
        </w:tc>
        <w:tc>
          <w:tcPr>
            <w:tcW w:w="2013" w:type="dxa"/>
            <w:shd w:val="clear" w:color="auto" w:fill="F2F2F2" w:themeFill="background1" w:themeFillShade="F2"/>
          </w:tcPr>
          <w:p w14:paraId="2CBC15BB" w14:textId="6E9E8214" w:rsidR="00C50065" w:rsidRPr="00102859" w:rsidRDefault="00C50065" w:rsidP="00C50065">
            <w:pPr>
              <w:spacing w:line="480" w:lineRule="auto"/>
            </w:pPr>
            <w:r w:rsidRPr="00102859">
              <w:t>0.27 [-0.08 to 0.62]</w:t>
            </w:r>
          </w:p>
        </w:tc>
        <w:tc>
          <w:tcPr>
            <w:tcW w:w="3119" w:type="dxa"/>
            <w:vMerge/>
          </w:tcPr>
          <w:p w14:paraId="1FAA9E8D" w14:textId="77777777" w:rsidR="00C50065" w:rsidRPr="00102859" w:rsidRDefault="00C50065" w:rsidP="00C50065">
            <w:pPr>
              <w:spacing w:line="480" w:lineRule="auto"/>
            </w:pPr>
          </w:p>
        </w:tc>
      </w:tr>
      <w:tr w:rsidR="00102859" w:rsidRPr="00102859" w14:paraId="3406BAD3" w14:textId="2BA19D97" w:rsidTr="00B406F4">
        <w:tc>
          <w:tcPr>
            <w:tcW w:w="1484" w:type="dxa"/>
            <w:vMerge w:val="restart"/>
          </w:tcPr>
          <w:p w14:paraId="4484CF62" w14:textId="70685C01" w:rsidR="00C50065" w:rsidRPr="00102859" w:rsidRDefault="00C50065" w:rsidP="00C50065">
            <w:pPr>
              <w:spacing w:line="480" w:lineRule="auto"/>
            </w:pPr>
            <w:r w:rsidRPr="00102859">
              <w:rPr>
                <w:b/>
                <w:sz w:val="24"/>
                <w:szCs w:val="24"/>
              </w:rPr>
              <w:lastRenderedPageBreak/>
              <w:t>Health-related quality of life (EQ-5D-5L) VAS scores</w:t>
            </w:r>
          </w:p>
        </w:tc>
        <w:tc>
          <w:tcPr>
            <w:tcW w:w="1216" w:type="dxa"/>
            <w:vMerge w:val="restart"/>
          </w:tcPr>
          <w:p w14:paraId="086B7805" w14:textId="3F1FDD97" w:rsidR="00C50065" w:rsidRPr="00102859" w:rsidRDefault="00C50065" w:rsidP="00C50065">
            <w:pPr>
              <w:spacing w:line="480" w:lineRule="auto"/>
              <w:rPr>
                <w:b/>
                <w:sz w:val="24"/>
                <w:szCs w:val="24"/>
              </w:rPr>
            </w:pPr>
            <w:r w:rsidRPr="00102859">
              <w:rPr>
                <w:sz w:val="24"/>
                <w:szCs w:val="24"/>
              </w:rPr>
              <w:t>ICBT group</w:t>
            </w:r>
          </w:p>
        </w:tc>
        <w:tc>
          <w:tcPr>
            <w:tcW w:w="1229" w:type="dxa"/>
            <w:vMerge w:val="restart"/>
          </w:tcPr>
          <w:p w14:paraId="1DE7FC75" w14:textId="2B79FA5E" w:rsidR="00C50065" w:rsidRPr="00102859" w:rsidRDefault="00C50065" w:rsidP="00C50065">
            <w:pPr>
              <w:spacing w:line="480" w:lineRule="auto"/>
              <w:rPr>
                <w:sz w:val="24"/>
                <w:szCs w:val="24"/>
              </w:rPr>
            </w:pPr>
            <w:r w:rsidRPr="00102859">
              <w:rPr>
                <w:sz w:val="24"/>
                <w:szCs w:val="24"/>
              </w:rPr>
              <w:t>75.43 (15.92)</w:t>
            </w:r>
          </w:p>
          <w:p w14:paraId="67CCE786" w14:textId="4FDAF7F8" w:rsidR="00C50065" w:rsidRPr="00102859" w:rsidRDefault="00C50065" w:rsidP="00C50065">
            <w:pPr>
              <w:spacing w:line="480" w:lineRule="auto"/>
              <w:rPr>
                <w:sz w:val="24"/>
                <w:szCs w:val="24"/>
              </w:rPr>
            </w:pPr>
          </w:p>
        </w:tc>
        <w:tc>
          <w:tcPr>
            <w:tcW w:w="1878" w:type="dxa"/>
          </w:tcPr>
          <w:p w14:paraId="6E0A10C1" w14:textId="77777777" w:rsidR="00C50065" w:rsidRPr="00102859" w:rsidRDefault="00C50065" w:rsidP="00C50065">
            <w:pPr>
              <w:spacing w:line="480" w:lineRule="auto"/>
              <w:jc w:val="both"/>
              <w:rPr>
                <w:sz w:val="24"/>
                <w:szCs w:val="24"/>
              </w:rPr>
            </w:pPr>
            <w:r w:rsidRPr="00102859">
              <w:rPr>
                <w:bCs/>
                <w:sz w:val="24"/>
                <w:szCs w:val="24"/>
              </w:rPr>
              <w:t>Completers analysis</w:t>
            </w:r>
          </w:p>
          <w:p w14:paraId="7A889F7A" w14:textId="465655B9" w:rsidR="00C50065" w:rsidRPr="00102859" w:rsidRDefault="00C50065" w:rsidP="00C50065">
            <w:pPr>
              <w:spacing w:line="480" w:lineRule="auto"/>
            </w:pPr>
          </w:p>
        </w:tc>
        <w:tc>
          <w:tcPr>
            <w:tcW w:w="1418" w:type="dxa"/>
          </w:tcPr>
          <w:p w14:paraId="7A5303EA" w14:textId="1655F444" w:rsidR="00C50065" w:rsidRPr="00102859" w:rsidRDefault="00C50065" w:rsidP="00C50065">
            <w:pPr>
              <w:spacing w:line="480" w:lineRule="auto"/>
              <w:rPr>
                <w:sz w:val="24"/>
                <w:szCs w:val="24"/>
              </w:rPr>
            </w:pPr>
            <w:r w:rsidRPr="00102859">
              <w:rPr>
                <w:sz w:val="24"/>
                <w:szCs w:val="24"/>
              </w:rPr>
              <w:t>78.15 (17.51)</w:t>
            </w:r>
          </w:p>
        </w:tc>
        <w:tc>
          <w:tcPr>
            <w:tcW w:w="1280" w:type="dxa"/>
          </w:tcPr>
          <w:p w14:paraId="2E5BBE0A" w14:textId="61DB4F21" w:rsidR="00C50065" w:rsidRPr="00102859" w:rsidRDefault="00C50065" w:rsidP="00C50065">
            <w:pPr>
              <w:spacing w:line="480" w:lineRule="auto"/>
              <w:rPr>
                <w:sz w:val="24"/>
                <w:szCs w:val="24"/>
              </w:rPr>
            </w:pPr>
            <w:r w:rsidRPr="00102859">
              <w:rPr>
                <w:sz w:val="24"/>
                <w:szCs w:val="24"/>
              </w:rPr>
              <w:t>78.15 (17.51)</w:t>
            </w:r>
          </w:p>
        </w:tc>
        <w:tc>
          <w:tcPr>
            <w:tcW w:w="959" w:type="dxa"/>
          </w:tcPr>
          <w:p w14:paraId="7701F6C8" w14:textId="611E66DD" w:rsidR="00C50065" w:rsidRPr="00102859" w:rsidRDefault="00C50065" w:rsidP="00C50065">
            <w:pPr>
              <w:spacing w:line="480" w:lineRule="auto"/>
            </w:pPr>
            <w:r w:rsidRPr="00102859">
              <w:t>85.87 (6.91)</w:t>
            </w:r>
          </w:p>
        </w:tc>
        <w:tc>
          <w:tcPr>
            <w:tcW w:w="2013" w:type="dxa"/>
          </w:tcPr>
          <w:p w14:paraId="332C8793" w14:textId="53CCC114" w:rsidR="00C50065" w:rsidRPr="00102859" w:rsidRDefault="00C50065" w:rsidP="00C50065">
            <w:pPr>
              <w:spacing w:line="480" w:lineRule="auto"/>
            </w:pPr>
            <w:r w:rsidRPr="00102859">
              <w:t>0.17 [-0.29 to 0.62]</w:t>
            </w:r>
          </w:p>
        </w:tc>
        <w:tc>
          <w:tcPr>
            <w:tcW w:w="3119" w:type="dxa"/>
            <w:vMerge w:val="restart"/>
          </w:tcPr>
          <w:p w14:paraId="5E38C234" w14:textId="77777777" w:rsidR="00C50065" w:rsidRPr="00102859" w:rsidRDefault="00C50065" w:rsidP="00C50065">
            <w:pPr>
              <w:spacing w:line="480" w:lineRule="auto"/>
              <w:jc w:val="both"/>
              <w:rPr>
                <w:b/>
                <w:sz w:val="24"/>
                <w:szCs w:val="24"/>
              </w:rPr>
            </w:pPr>
            <w:r w:rsidRPr="00102859">
              <w:rPr>
                <w:b/>
                <w:bCs/>
                <w:sz w:val="24"/>
                <w:szCs w:val="24"/>
              </w:rPr>
              <w:t>Completers analysis</w:t>
            </w:r>
          </w:p>
          <w:p w14:paraId="1A41D1D2" w14:textId="77777777" w:rsidR="00C50065" w:rsidRPr="00102859" w:rsidRDefault="00C50065" w:rsidP="00C50065">
            <w:pPr>
              <w:spacing w:line="480" w:lineRule="auto"/>
              <w:rPr>
                <w:sz w:val="24"/>
                <w:szCs w:val="24"/>
              </w:rPr>
            </w:pPr>
            <w:r w:rsidRPr="00102859">
              <w:rPr>
                <w:sz w:val="24"/>
                <w:szCs w:val="24"/>
              </w:rPr>
              <w:t>At T1: -0.10 [-0.63 to 0.43]</w:t>
            </w:r>
          </w:p>
          <w:p w14:paraId="341DE95C" w14:textId="77777777" w:rsidR="00C50065" w:rsidRPr="00102859" w:rsidRDefault="00C50065" w:rsidP="00C50065">
            <w:pPr>
              <w:spacing w:line="480" w:lineRule="auto"/>
              <w:rPr>
                <w:sz w:val="24"/>
                <w:szCs w:val="24"/>
              </w:rPr>
            </w:pPr>
            <w:r w:rsidRPr="00102859">
              <w:rPr>
                <w:sz w:val="24"/>
                <w:szCs w:val="24"/>
              </w:rPr>
              <w:t>At T2: 0.10 [-0.43 to 0.63]</w:t>
            </w:r>
          </w:p>
          <w:p w14:paraId="560E3E9A" w14:textId="498E3A88" w:rsidR="00C50065" w:rsidRPr="00102859" w:rsidRDefault="00C50065" w:rsidP="00C50065">
            <w:pPr>
              <w:spacing w:line="480" w:lineRule="auto"/>
            </w:pPr>
            <w:r w:rsidRPr="00102859">
              <w:rPr>
                <w:b/>
                <w:sz w:val="24"/>
                <w:szCs w:val="24"/>
              </w:rPr>
              <w:t>At T3: 0.78 [0.11 to 1.45]</w:t>
            </w:r>
          </w:p>
        </w:tc>
      </w:tr>
      <w:tr w:rsidR="00102859" w:rsidRPr="00102859" w14:paraId="31813C48" w14:textId="04C08A5B" w:rsidTr="0085238F">
        <w:tc>
          <w:tcPr>
            <w:tcW w:w="1484" w:type="dxa"/>
            <w:vMerge/>
          </w:tcPr>
          <w:p w14:paraId="54B81E1C" w14:textId="15AAC824" w:rsidR="00C50065" w:rsidRPr="00102859" w:rsidRDefault="00C50065" w:rsidP="00C50065">
            <w:pPr>
              <w:spacing w:line="480" w:lineRule="auto"/>
            </w:pPr>
          </w:p>
        </w:tc>
        <w:tc>
          <w:tcPr>
            <w:tcW w:w="1216" w:type="dxa"/>
            <w:vMerge/>
          </w:tcPr>
          <w:p w14:paraId="366800D9" w14:textId="77777777" w:rsidR="00C50065" w:rsidRPr="00102859" w:rsidRDefault="00C50065" w:rsidP="00C50065">
            <w:pPr>
              <w:spacing w:line="480" w:lineRule="auto"/>
            </w:pPr>
          </w:p>
        </w:tc>
        <w:tc>
          <w:tcPr>
            <w:tcW w:w="1229" w:type="dxa"/>
            <w:vMerge/>
          </w:tcPr>
          <w:p w14:paraId="4EF55528" w14:textId="2F6D0176" w:rsidR="00C50065" w:rsidRPr="00102859" w:rsidRDefault="00C50065" w:rsidP="00C50065">
            <w:pPr>
              <w:spacing w:line="480" w:lineRule="auto"/>
            </w:pPr>
          </w:p>
        </w:tc>
        <w:tc>
          <w:tcPr>
            <w:tcW w:w="1878" w:type="dxa"/>
            <w:shd w:val="clear" w:color="auto" w:fill="F2F2F2" w:themeFill="background1" w:themeFillShade="F2"/>
          </w:tcPr>
          <w:p w14:paraId="34D0AE95" w14:textId="20032B72"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44C655CE" w14:textId="033465F6" w:rsidR="00C50065" w:rsidRPr="00102859" w:rsidRDefault="00C50065" w:rsidP="00C50065">
            <w:pPr>
              <w:spacing w:line="480" w:lineRule="auto"/>
              <w:jc w:val="center"/>
            </w:pPr>
            <w:r w:rsidRPr="00102859">
              <w:rPr>
                <w:sz w:val="24"/>
                <w:szCs w:val="24"/>
              </w:rPr>
              <w:t>77.94 (11.68)</w:t>
            </w:r>
          </w:p>
        </w:tc>
        <w:tc>
          <w:tcPr>
            <w:tcW w:w="1280" w:type="dxa"/>
            <w:shd w:val="clear" w:color="auto" w:fill="F2F2F2" w:themeFill="background1" w:themeFillShade="F2"/>
          </w:tcPr>
          <w:p w14:paraId="07D6AB36" w14:textId="0C383ED9" w:rsidR="00C50065" w:rsidRPr="00102859" w:rsidRDefault="00C50065" w:rsidP="00C50065">
            <w:pPr>
              <w:spacing w:line="480" w:lineRule="auto"/>
            </w:pPr>
            <w:r w:rsidRPr="00102859">
              <w:rPr>
                <w:sz w:val="24"/>
                <w:szCs w:val="24"/>
              </w:rPr>
              <w:t>77.98 (11.78)</w:t>
            </w:r>
          </w:p>
        </w:tc>
        <w:tc>
          <w:tcPr>
            <w:tcW w:w="959" w:type="dxa"/>
            <w:shd w:val="clear" w:color="auto" w:fill="F2F2F2" w:themeFill="background1" w:themeFillShade="F2"/>
          </w:tcPr>
          <w:p w14:paraId="5172F542" w14:textId="64CFD250" w:rsidR="00C50065" w:rsidRPr="00102859" w:rsidRDefault="00C50065" w:rsidP="00C50065">
            <w:pPr>
              <w:spacing w:line="480" w:lineRule="auto"/>
            </w:pPr>
            <w:r w:rsidRPr="00102859">
              <w:t>86.17 (4.18)</w:t>
            </w:r>
          </w:p>
        </w:tc>
        <w:tc>
          <w:tcPr>
            <w:tcW w:w="2013" w:type="dxa"/>
            <w:shd w:val="clear" w:color="auto" w:fill="F2F2F2" w:themeFill="background1" w:themeFillShade="F2"/>
          </w:tcPr>
          <w:p w14:paraId="6EC5B36D" w14:textId="3CC9AD1E" w:rsidR="00C50065" w:rsidRPr="00102859" w:rsidRDefault="00C50065" w:rsidP="00C50065">
            <w:pPr>
              <w:spacing w:line="480" w:lineRule="auto"/>
            </w:pPr>
            <w:r w:rsidRPr="00102859">
              <w:t>0.18 [-0.17 to 0.53]</w:t>
            </w:r>
          </w:p>
        </w:tc>
        <w:tc>
          <w:tcPr>
            <w:tcW w:w="3119" w:type="dxa"/>
            <w:vMerge/>
          </w:tcPr>
          <w:p w14:paraId="7CAB6E6C" w14:textId="77777777" w:rsidR="00C50065" w:rsidRPr="00102859" w:rsidRDefault="00C50065" w:rsidP="00C50065">
            <w:pPr>
              <w:spacing w:line="480" w:lineRule="auto"/>
            </w:pPr>
          </w:p>
        </w:tc>
      </w:tr>
      <w:tr w:rsidR="00102859" w:rsidRPr="00102859" w14:paraId="23A32D32" w14:textId="0E04F9E0" w:rsidTr="00B406F4">
        <w:tc>
          <w:tcPr>
            <w:tcW w:w="1484" w:type="dxa"/>
            <w:vMerge/>
          </w:tcPr>
          <w:p w14:paraId="04B7EE96" w14:textId="75AE454B" w:rsidR="00C50065" w:rsidRPr="00102859" w:rsidRDefault="00C50065" w:rsidP="00C50065">
            <w:pPr>
              <w:spacing w:line="480" w:lineRule="auto"/>
            </w:pPr>
          </w:p>
        </w:tc>
        <w:tc>
          <w:tcPr>
            <w:tcW w:w="1216" w:type="dxa"/>
            <w:vMerge w:val="restart"/>
          </w:tcPr>
          <w:p w14:paraId="013A11B0" w14:textId="719A0549" w:rsidR="00C50065" w:rsidRPr="00102859" w:rsidRDefault="00C50065" w:rsidP="00C50065">
            <w:pPr>
              <w:spacing w:line="480" w:lineRule="auto"/>
              <w:rPr>
                <w:sz w:val="24"/>
                <w:szCs w:val="24"/>
              </w:rPr>
            </w:pPr>
            <w:r w:rsidRPr="00102859">
              <w:t xml:space="preserve">Applied relaxation </w:t>
            </w:r>
            <w:r w:rsidRPr="00102859">
              <w:rPr>
                <w:sz w:val="24"/>
                <w:szCs w:val="24"/>
              </w:rPr>
              <w:t>group</w:t>
            </w:r>
          </w:p>
        </w:tc>
        <w:tc>
          <w:tcPr>
            <w:tcW w:w="1229" w:type="dxa"/>
            <w:vMerge w:val="restart"/>
          </w:tcPr>
          <w:p w14:paraId="2BC54908" w14:textId="6EDF2212" w:rsidR="00C50065" w:rsidRPr="00102859" w:rsidRDefault="00C50065" w:rsidP="00C50065">
            <w:pPr>
              <w:spacing w:line="480" w:lineRule="auto"/>
              <w:rPr>
                <w:sz w:val="24"/>
                <w:szCs w:val="24"/>
              </w:rPr>
            </w:pPr>
            <w:r w:rsidRPr="00102859">
              <w:rPr>
                <w:sz w:val="24"/>
                <w:szCs w:val="24"/>
              </w:rPr>
              <w:t>72.59 (17.00)</w:t>
            </w:r>
          </w:p>
          <w:p w14:paraId="4A8F854F" w14:textId="77777777" w:rsidR="00C50065" w:rsidRPr="00102859" w:rsidRDefault="00C50065" w:rsidP="00C50065">
            <w:pPr>
              <w:spacing w:line="480" w:lineRule="auto"/>
              <w:rPr>
                <w:sz w:val="24"/>
                <w:szCs w:val="24"/>
              </w:rPr>
            </w:pPr>
          </w:p>
        </w:tc>
        <w:tc>
          <w:tcPr>
            <w:tcW w:w="1878" w:type="dxa"/>
          </w:tcPr>
          <w:p w14:paraId="6D3A7760" w14:textId="77777777" w:rsidR="00C50065" w:rsidRPr="00102859" w:rsidRDefault="00C50065" w:rsidP="00C50065">
            <w:pPr>
              <w:spacing w:line="480" w:lineRule="auto"/>
              <w:jc w:val="both"/>
              <w:rPr>
                <w:sz w:val="24"/>
                <w:szCs w:val="24"/>
              </w:rPr>
            </w:pPr>
            <w:r w:rsidRPr="00102859">
              <w:rPr>
                <w:bCs/>
                <w:sz w:val="24"/>
                <w:szCs w:val="24"/>
              </w:rPr>
              <w:t>Completers analysis</w:t>
            </w:r>
          </w:p>
          <w:p w14:paraId="01020BE8" w14:textId="306AA724" w:rsidR="00C50065" w:rsidRPr="00102859" w:rsidRDefault="00C50065" w:rsidP="00C50065">
            <w:pPr>
              <w:spacing w:line="480" w:lineRule="auto"/>
            </w:pPr>
          </w:p>
        </w:tc>
        <w:tc>
          <w:tcPr>
            <w:tcW w:w="1418" w:type="dxa"/>
          </w:tcPr>
          <w:p w14:paraId="57B99119" w14:textId="4CDE236E" w:rsidR="00C50065" w:rsidRPr="00102859" w:rsidRDefault="00C50065" w:rsidP="00C50065">
            <w:pPr>
              <w:spacing w:line="480" w:lineRule="auto"/>
              <w:rPr>
                <w:sz w:val="24"/>
                <w:szCs w:val="24"/>
              </w:rPr>
            </w:pPr>
            <w:r w:rsidRPr="00102859">
              <w:rPr>
                <w:sz w:val="24"/>
                <w:szCs w:val="24"/>
              </w:rPr>
              <w:t>79.71 (12.14)</w:t>
            </w:r>
          </w:p>
        </w:tc>
        <w:tc>
          <w:tcPr>
            <w:tcW w:w="1280" w:type="dxa"/>
          </w:tcPr>
          <w:p w14:paraId="79671F4C" w14:textId="28FD96CD" w:rsidR="00C50065" w:rsidRPr="00102859" w:rsidRDefault="00C50065" w:rsidP="00C50065">
            <w:pPr>
              <w:spacing w:line="480" w:lineRule="auto"/>
              <w:rPr>
                <w:sz w:val="24"/>
                <w:szCs w:val="24"/>
              </w:rPr>
            </w:pPr>
            <w:r w:rsidRPr="00102859">
              <w:rPr>
                <w:sz w:val="24"/>
                <w:szCs w:val="24"/>
              </w:rPr>
              <w:t>76.43 (15.79)</w:t>
            </w:r>
          </w:p>
        </w:tc>
        <w:tc>
          <w:tcPr>
            <w:tcW w:w="959" w:type="dxa"/>
          </w:tcPr>
          <w:p w14:paraId="1CE8D6CD" w14:textId="3CDC01C5" w:rsidR="00C50065" w:rsidRPr="00102859" w:rsidRDefault="00C50065" w:rsidP="00C50065">
            <w:pPr>
              <w:spacing w:line="480" w:lineRule="auto"/>
            </w:pPr>
            <w:r w:rsidRPr="00102859">
              <w:t>78.22 (11.29)</w:t>
            </w:r>
          </w:p>
        </w:tc>
        <w:tc>
          <w:tcPr>
            <w:tcW w:w="2013" w:type="dxa"/>
          </w:tcPr>
          <w:p w14:paraId="6DD18C09" w14:textId="00D7E664" w:rsidR="00C50065" w:rsidRPr="00102859" w:rsidRDefault="00C50065" w:rsidP="00C50065">
            <w:pPr>
              <w:spacing w:line="480" w:lineRule="auto"/>
            </w:pPr>
            <w:r w:rsidRPr="00102859">
              <w:t>0.45 [0.00 to 0.90]</w:t>
            </w:r>
          </w:p>
        </w:tc>
        <w:tc>
          <w:tcPr>
            <w:tcW w:w="3119" w:type="dxa"/>
            <w:vMerge w:val="restart"/>
          </w:tcPr>
          <w:p w14:paraId="0B6ABA92" w14:textId="218C97E6" w:rsidR="00C50065" w:rsidRPr="00102859" w:rsidRDefault="00C50065" w:rsidP="00C50065">
            <w:pPr>
              <w:spacing w:line="480" w:lineRule="auto"/>
              <w:rPr>
                <w:sz w:val="24"/>
                <w:szCs w:val="24"/>
              </w:rPr>
            </w:pPr>
            <w:r w:rsidRPr="00102859">
              <w:rPr>
                <w:b/>
                <w:bCs/>
                <w:sz w:val="24"/>
                <w:szCs w:val="24"/>
              </w:rPr>
              <w:t>Imputation analysis</w:t>
            </w:r>
            <w:r w:rsidRPr="00102859">
              <w:rPr>
                <w:sz w:val="24"/>
                <w:szCs w:val="24"/>
              </w:rPr>
              <w:t xml:space="preserve"> </w:t>
            </w:r>
          </w:p>
          <w:p w14:paraId="53296CC6" w14:textId="77777777" w:rsidR="00C50065" w:rsidRPr="00102859" w:rsidRDefault="00C50065" w:rsidP="00C50065">
            <w:pPr>
              <w:spacing w:line="480" w:lineRule="auto"/>
              <w:rPr>
                <w:sz w:val="24"/>
                <w:szCs w:val="24"/>
              </w:rPr>
            </w:pPr>
            <w:r w:rsidRPr="00102859">
              <w:rPr>
                <w:sz w:val="24"/>
                <w:szCs w:val="24"/>
              </w:rPr>
              <w:t>At T1: -0.19 [-0.53 to 0.17]</w:t>
            </w:r>
          </w:p>
          <w:p w14:paraId="773EC463" w14:textId="77777777" w:rsidR="00C50065" w:rsidRPr="00102859" w:rsidRDefault="00C50065" w:rsidP="00C50065">
            <w:pPr>
              <w:spacing w:line="480" w:lineRule="auto"/>
              <w:rPr>
                <w:sz w:val="24"/>
                <w:szCs w:val="24"/>
              </w:rPr>
            </w:pPr>
            <w:r w:rsidRPr="00102859">
              <w:rPr>
                <w:sz w:val="24"/>
                <w:szCs w:val="24"/>
              </w:rPr>
              <w:t>At T2: 0.23 [-0.09 to 0.54]</w:t>
            </w:r>
          </w:p>
          <w:p w14:paraId="29AC1CF6" w14:textId="3E010FB6" w:rsidR="00C50065" w:rsidRPr="00102859" w:rsidRDefault="00C50065" w:rsidP="00C50065">
            <w:pPr>
              <w:spacing w:line="480" w:lineRule="auto"/>
            </w:pPr>
            <w:r w:rsidRPr="00102859">
              <w:rPr>
                <w:sz w:val="24"/>
                <w:szCs w:val="24"/>
              </w:rPr>
              <w:t>At T3: -0.15 [-0.46 to 0.16]</w:t>
            </w:r>
          </w:p>
          <w:p w14:paraId="48D874BA" w14:textId="5F7DA118" w:rsidR="00C50065" w:rsidRPr="00102859" w:rsidRDefault="00C50065" w:rsidP="00C50065">
            <w:pPr>
              <w:spacing w:line="480" w:lineRule="auto"/>
            </w:pPr>
          </w:p>
        </w:tc>
      </w:tr>
      <w:tr w:rsidR="00102859" w:rsidRPr="00102859" w14:paraId="47D90594" w14:textId="5F0171FB" w:rsidTr="0085238F">
        <w:tc>
          <w:tcPr>
            <w:tcW w:w="1484" w:type="dxa"/>
            <w:vMerge/>
          </w:tcPr>
          <w:p w14:paraId="598C3D7A" w14:textId="55719116" w:rsidR="00C50065" w:rsidRPr="00102859" w:rsidRDefault="00C50065" w:rsidP="00C50065">
            <w:pPr>
              <w:spacing w:line="480" w:lineRule="auto"/>
            </w:pPr>
          </w:p>
        </w:tc>
        <w:tc>
          <w:tcPr>
            <w:tcW w:w="1216" w:type="dxa"/>
            <w:vMerge/>
          </w:tcPr>
          <w:p w14:paraId="741F6023" w14:textId="77777777" w:rsidR="00C50065" w:rsidRPr="00102859" w:rsidRDefault="00C50065" w:rsidP="00C50065">
            <w:pPr>
              <w:spacing w:line="480" w:lineRule="auto"/>
            </w:pPr>
          </w:p>
        </w:tc>
        <w:tc>
          <w:tcPr>
            <w:tcW w:w="1229" w:type="dxa"/>
            <w:vMerge/>
          </w:tcPr>
          <w:p w14:paraId="72B8115A" w14:textId="77777777" w:rsidR="00C50065" w:rsidRPr="00102859" w:rsidRDefault="00C50065" w:rsidP="00C50065">
            <w:pPr>
              <w:spacing w:line="480" w:lineRule="auto"/>
            </w:pPr>
          </w:p>
        </w:tc>
        <w:tc>
          <w:tcPr>
            <w:tcW w:w="1878" w:type="dxa"/>
            <w:shd w:val="clear" w:color="auto" w:fill="F2F2F2" w:themeFill="background1" w:themeFillShade="F2"/>
          </w:tcPr>
          <w:p w14:paraId="1A7EA69A" w14:textId="2616A54E"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07CA33FF" w14:textId="631BEF62" w:rsidR="00C50065" w:rsidRPr="00102859" w:rsidRDefault="00C50065" w:rsidP="00C50065">
            <w:pPr>
              <w:spacing w:line="480" w:lineRule="auto"/>
            </w:pPr>
            <w:r w:rsidRPr="00102859">
              <w:rPr>
                <w:sz w:val="24"/>
                <w:szCs w:val="24"/>
              </w:rPr>
              <w:t>79.83 (8.36)</w:t>
            </w:r>
          </w:p>
        </w:tc>
        <w:tc>
          <w:tcPr>
            <w:tcW w:w="1280" w:type="dxa"/>
            <w:shd w:val="clear" w:color="auto" w:fill="F2F2F2" w:themeFill="background1" w:themeFillShade="F2"/>
          </w:tcPr>
          <w:p w14:paraId="73396D23" w14:textId="41BB685B" w:rsidR="00C50065" w:rsidRPr="00102859" w:rsidRDefault="00C50065" w:rsidP="00C50065">
            <w:pPr>
              <w:spacing w:line="480" w:lineRule="auto"/>
            </w:pPr>
            <w:r w:rsidRPr="00102859">
              <w:rPr>
                <w:sz w:val="24"/>
                <w:szCs w:val="24"/>
              </w:rPr>
              <w:t>76.72 (10.83)</w:t>
            </w:r>
          </w:p>
        </w:tc>
        <w:tc>
          <w:tcPr>
            <w:tcW w:w="959" w:type="dxa"/>
            <w:shd w:val="clear" w:color="auto" w:fill="F2F2F2" w:themeFill="background1" w:themeFillShade="F2"/>
          </w:tcPr>
          <w:p w14:paraId="7D1CDE0F" w14:textId="4D9F3829" w:rsidR="00C50065" w:rsidRPr="00102859" w:rsidRDefault="00C50065" w:rsidP="00C50065">
            <w:pPr>
              <w:spacing w:line="480" w:lineRule="auto"/>
            </w:pPr>
            <w:r w:rsidRPr="00102859">
              <w:t>77.96 (7.24)</w:t>
            </w:r>
          </w:p>
        </w:tc>
        <w:tc>
          <w:tcPr>
            <w:tcW w:w="2013" w:type="dxa"/>
            <w:shd w:val="clear" w:color="auto" w:fill="F2F2F2" w:themeFill="background1" w:themeFillShade="F2"/>
          </w:tcPr>
          <w:p w14:paraId="5EC85E5D" w14:textId="0DF90A8E" w:rsidR="00C50065" w:rsidRPr="00102859" w:rsidRDefault="00C50065" w:rsidP="00C50065">
            <w:pPr>
              <w:spacing w:line="480" w:lineRule="auto"/>
            </w:pPr>
            <w:r w:rsidRPr="00102859">
              <w:t>0.54 [0.18 to 0.89]</w:t>
            </w:r>
          </w:p>
        </w:tc>
        <w:tc>
          <w:tcPr>
            <w:tcW w:w="3119" w:type="dxa"/>
            <w:vMerge/>
          </w:tcPr>
          <w:p w14:paraId="27F47F8C" w14:textId="77777777" w:rsidR="00C50065" w:rsidRPr="00102859" w:rsidRDefault="00C50065" w:rsidP="00C50065">
            <w:pPr>
              <w:spacing w:line="480" w:lineRule="auto"/>
            </w:pPr>
          </w:p>
        </w:tc>
      </w:tr>
      <w:tr w:rsidR="00102859" w:rsidRPr="00102859" w14:paraId="1D1F9E8A" w14:textId="0BEECBE4" w:rsidTr="00B406F4">
        <w:tc>
          <w:tcPr>
            <w:tcW w:w="1484" w:type="dxa"/>
            <w:vMerge w:val="restart"/>
          </w:tcPr>
          <w:p w14:paraId="5254F973" w14:textId="48EED89E" w:rsidR="00C50065" w:rsidRPr="00102859" w:rsidRDefault="00C50065" w:rsidP="00C50065">
            <w:pPr>
              <w:spacing w:line="480" w:lineRule="auto"/>
            </w:pPr>
            <w:r w:rsidRPr="00102859">
              <w:rPr>
                <w:b/>
                <w:sz w:val="24"/>
                <w:szCs w:val="24"/>
              </w:rPr>
              <w:t>Tinnitus score from THS</w:t>
            </w:r>
          </w:p>
        </w:tc>
        <w:tc>
          <w:tcPr>
            <w:tcW w:w="1216" w:type="dxa"/>
          </w:tcPr>
          <w:p w14:paraId="69404B88" w14:textId="09C47F51" w:rsidR="00C50065" w:rsidRPr="00102859" w:rsidRDefault="00C50065" w:rsidP="00C50065">
            <w:pPr>
              <w:spacing w:line="480" w:lineRule="auto"/>
              <w:rPr>
                <w:sz w:val="24"/>
                <w:szCs w:val="24"/>
              </w:rPr>
            </w:pPr>
            <w:r w:rsidRPr="00102859">
              <w:rPr>
                <w:sz w:val="24"/>
                <w:szCs w:val="24"/>
              </w:rPr>
              <w:t>ICBT group</w:t>
            </w:r>
          </w:p>
        </w:tc>
        <w:tc>
          <w:tcPr>
            <w:tcW w:w="1229" w:type="dxa"/>
          </w:tcPr>
          <w:p w14:paraId="629E9837" w14:textId="560FB755" w:rsidR="00C50065" w:rsidRPr="00102859" w:rsidRDefault="00C50065" w:rsidP="00C50065">
            <w:pPr>
              <w:spacing w:line="480" w:lineRule="auto"/>
              <w:rPr>
                <w:sz w:val="24"/>
                <w:szCs w:val="24"/>
              </w:rPr>
            </w:pPr>
            <w:r w:rsidRPr="00102859">
              <w:rPr>
                <w:sz w:val="24"/>
                <w:szCs w:val="24"/>
              </w:rPr>
              <w:t>6.29 (5.70)</w:t>
            </w:r>
          </w:p>
          <w:p w14:paraId="794260D3" w14:textId="77777777" w:rsidR="00C50065" w:rsidRPr="00102859" w:rsidRDefault="00C50065" w:rsidP="00C50065">
            <w:pPr>
              <w:spacing w:line="480" w:lineRule="auto"/>
              <w:rPr>
                <w:sz w:val="24"/>
                <w:szCs w:val="24"/>
              </w:rPr>
            </w:pPr>
          </w:p>
        </w:tc>
        <w:tc>
          <w:tcPr>
            <w:tcW w:w="1878" w:type="dxa"/>
          </w:tcPr>
          <w:p w14:paraId="64B68E53" w14:textId="77777777" w:rsidR="00C50065" w:rsidRPr="00102859" w:rsidRDefault="00C50065" w:rsidP="00C50065">
            <w:pPr>
              <w:spacing w:line="480" w:lineRule="auto"/>
              <w:jc w:val="both"/>
              <w:rPr>
                <w:sz w:val="24"/>
                <w:szCs w:val="24"/>
              </w:rPr>
            </w:pPr>
            <w:r w:rsidRPr="00102859">
              <w:rPr>
                <w:bCs/>
                <w:sz w:val="24"/>
                <w:szCs w:val="24"/>
              </w:rPr>
              <w:t>Completers analysis</w:t>
            </w:r>
          </w:p>
          <w:p w14:paraId="322A0076" w14:textId="2B3863FE" w:rsidR="00C50065" w:rsidRPr="00102859" w:rsidRDefault="00C50065" w:rsidP="00C50065">
            <w:pPr>
              <w:spacing w:line="480" w:lineRule="auto"/>
            </w:pPr>
          </w:p>
        </w:tc>
        <w:tc>
          <w:tcPr>
            <w:tcW w:w="1418" w:type="dxa"/>
          </w:tcPr>
          <w:p w14:paraId="6FF12802" w14:textId="3DF3199A" w:rsidR="00C50065" w:rsidRPr="00102859" w:rsidRDefault="00C50065" w:rsidP="00C50065">
            <w:pPr>
              <w:spacing w:line="480" w:lineRule="auto"/>
              <w:rPr>
                <w:sz w:val="24"/>
                <w:szCs w:val="24"/>
              </w:rPr>
            </w:pPr>
            <w:r w:rsidRPr="00102859">
              <w:rPr>
                <w:sz w:val="24"/>
                <w:szCs w:val="24"/>
              </w:rPr>
              <w:t>2.85 (2.66)</w:t>
            </w:r>
          </w:p>
        </w:tc>
        <w:tc>
          <w:tcPr>
            <w:tcW w:w="1280" w:type="dxa"/>
          </w:tcPr>
          <w:p w14:paraId="2FBA70E0" w14:textId="4F8A04A5" w:rsidR="00C50065" w:rsidRPr="00102859" w:rsidRDefault="00C50065" w:rsidP="00C50065">
            <w:pPr>
              <w:spacing w:line="480" w:lineRule="auto"/>
              <w:rPr>
                <w:sz w:val="24"/>
                <w:szCs w:val="24"/>
              </w:rPr>
            </w:pPr>
            <w:r w:rsidRPr="00102859">
              <w:rPr>
                <w:sz w:val="24"/>
                <w:szCs w:val="24"/>
              </w:rPr>
              <w:t>2.85 (2.66)</w:t>
            </w:r>
          </w:p>
        </w:tc>
        <w:tc>
          <w:tcPr>
            <w:tcW w:w="959" w:type="dxa"/>
          </w:tcPr>
          <w:p w14:paraId="5DD4F6EA" w14:textId="14AF6E1D" w:rsidR="00C50065" w:rsidRPr="00102859" w:rsidRDefault="00C50065" w:rsidP="00C50065">
            <w:pPr>
              <w:spacing w:line="480" w:lineRule="auto"/>
            </w:pPr>
            <w:r w:rsidRPr="00102859">
              <w:t>2.07 (2.12)</w:t>
            </w:r>
          </w:p>
        </w:tc>
        <w:tc>
          <w:tcPr>
            <w:tcW w:w="2013" w:type="dxa"/>
          </w:tcPr>
          <w:p w14:paraId="0A159E11" w14:textId="7FD57926" w:rsidR="00C50065" w:rsidRPr="00102859" w:rsidRDefault="00C50065" w:rsidP="00C50065">
            <w:pPr>
              <w:spacing w:line="480" w:lineRule="auto"/>
            </w:pPr>
            <w:r w:rsidRPr="00102859">
              <w:t>0.82 [0.35 to 1.29]</w:t>
            </w:r>
          </w:p>
        </w:tc>
        <w:tc>
          <w:tcPr>
            <w:tcW w:w="3119" w:type="dxa"/>
            <w:vMerge w:val="restart"/>
          </w:tcPr>
          <w:p w14:paraId="2AC4556D" w14:textId="3ECD5372" w:rsidR="00C50065" w:rsidRPr="00102859" w:rsidRDefault="00C50065" w:rsidP="00C50065">
            <w:pPr>
              <w:spacing w:line="480" w:lineRule="auto"/>
              <w:jc w:val="both"/>
              <w:rPr>
                <w:b/>
                <w:bCs/>
                <w:sz w:val="24"/>
                <w:szCs w:val="24"/>
              </w:rPr>
            </w:pPr>
            <w:r w:rsidRPr="00102859">
              <w:rPr>
                <w:b/>
                <w:bCs/>
                <w:sz w:val="24"/>
                <w:szCs w:val="24"/>
              </w:rPr>
              <w:t>Completers analysis</w:t>
            </w:r>
          </w:p>
          <w:p w14:paraId="7183C180" w14:textId="77777777" w:rsidR="00C50065" w:rsidRPr="00102859" w:rsidRDefault="00C50065" w:rsidP="00C50065">
            <w:pPr>
              <w:spacing w:line="480" w:lineRule="auto"/>
              <w:rPr>
                <w:sz w:val="24"/>
                <w:szCs w:val="24"/>
              </w:rPr>
            </w:pPr>
            <w:r w:rsidRPr="00102859">
              <w:rPr>
                <w:sz w:val="24"/>
                <w:szCs w:val="24"/>
              </w:rPr>
              <w:t>At T1: 0.12 [-0.41 to 0.65]</w:t>
            </w:r>
          </w:p>
          <w:p w14:paraId="66A34315" w14:textId="77777777" w:rsidR="00C50065" w:rsidRPr="00102859" w:rsidRDefault="00C50065" w:rsidP="00C50065">
            <w:pPr>
              <w:spacing w:line="480" w:lineRule="auto"/>
              <w:rPr>
                <w:sz w:val="24"/>
                <w:szCs w:val="24"/>
              </w:rPr>
            </w:pPr>
            <w:r w:rsidRPr="00102859">
              <w:rPr>
                <w:sz w:val="24"/>
                <w:szCs w:val="24"/>
              </w:rPr>
              <w:t>At T2: 0.16 [-0.37 to 0.69]</w:t>
            </w:r>
          </w:p>
          <w:p w14:paraId="66071EB8" w14:textId="205178F0" w:rsidR="00C50065" w:rsidRPr="00102859" w:rsidRDefault="00C50065" w:rsidP="00C50065">
            <w:pPr>
              <w:spacing w:line="480" w:lineRule="auto"/>
              <w:jc w:val="both"/>
              <w:rPr>
                <w:b/>
                <w:sz w:val="24"/>
                <w:szCs w:val="24"/>
              </w:rPr>
            </w:pPr>
            <w:r w:rsidRPr="00102859">
              <w:rPr>
                <w:sz w:val="24"/>
                <w:szCs w:val="24"/>
              </w:rPr>
              <w:t>At T3: 0.25 [-0.40 to 0.90]</w:t>
            </w:r>
          </w:p>
          <w:p w14:paraId="38167CDF" w14:textId="2ABA522A" w:rsidR="00C50065" w:rsidRPr="00102859" w:rsidRDefault="00C50065" w:rsidP="00C50065">
            <w:pPr>
              <w:spacing w:line="480" w:lineRule="auto"/>
            </w:pPr>
          </w:p>
        </w:tc>
      </w:tr>
      <w:tr w:rsidR="00102859" w:rsidRPr="00102859" w14:paraId="29ADA66B" w14:textId="2BF26779" w:rsidTr="0085238F">
        <w:tc>
          <w:tcPr>
            <w:tcW w:w="1484" w:type="dxa"/>
            <w:vMerge/>
          </w:tcPr>
          <w:p w14:paraId="4F98B252" w14:textId="546D4AA5" w:rsidR="00C50065" w:rsidRPr="00102859" w:rsidRDefault="00C50065" w:rsidP="00C50065">
            <w:pPr>
              <w:spacing w:line="480" w:lineRule="auto"/>
            </w:pPr>
          </w:p>
        </w:tc>
        <w:tc>
          <w:tcPr>
            <w:tcW w:w="1216" w:type="dxa"/>
          </w:tcPr>
          <w:p w14:paraId="2FFDD69F" w14:textId="58A754A2" w:rsidR="00C50065" w:rsidRPr="00102859" w:rsidRDefault="00C50065" w:rsidP="00C50065">
            <w:pPr>
              <w:spacing w:line="480" w:lineRule="auto"/>
            </w:pPr>
          </w:p>
        </w:tc>
        <w:tc>
          <w:tcPr>
            <w:tcW w:w="1229" w:type="dxa"/>
          </w:tcPr>
          <w:p w14:paraId="381F5BA4" w14:textId="77777777" w:rsidR="00C50065" w:rsidRPr="00102859" w:rsidRDefault="00C50065" w:rsidP="00C50065">
            <w:pPr>
              <w:spacing w:line="480" w:lineRule="auto"/>
            </w:pPr>
          </w:p>
        </w:tc>
        <w:tc>
          <w:tcPr>
            <w:tcW w:w="1878" w:type="dxa"/>
            <w:shd w:val="clear" w:color="auto" w:fill="F2F2F2" w:themeFill="background1" w:themeFillShade="F2"/>
          </w:tcPr>
          <w:p w14:paraId="260B802A" w14:textId="4A7EEA7B"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2240A014" w14:textId="51DC9796" w:rsidR="00C50065" w:rsidRPr="00102859" w:rsidRDefault="00C50065" w:rsidP="00C50065">
            <w:pPr>
              <w:spacing w:line="480" w:lineRule="auto"/>
            </w:pPr>
            <w:r w:rsidRPr="00102859">
              <w:rPr>
                <w:sz w:val="24"/>
                <w:szCs w:val="24"/>
              </w:rPr>
              <w:t>3.03 (2.03)</w:t>
            </w:r>
          </w:p>
        </w:tc>
        <w:tc>
          <w:tcPr>
            <w:tcW w:w="1280" w:type="dxa"/>
            <w:shd w:val="clear" w:color="auto" w:fill="F2F2F2" w:themeFill="background1" w:themeFillShade="F2"/>
          </w:tcPr>
          <w:p w14:paraId="2449EA6C" w14:textId="16B041B1" w:rsidR="00C50065" w:rsidRPr="00102859" w:rsidRDefault="00C50065" w:rsidP="00C50065">
            <w:pPr>
              <w:spacing w:line="480" w:lineRule="auto"/>
            </w:pPr>
            <w:r w:rsidRPr="00102859">
              <w:rPr>
                <w:sz w:val="24"/>
                <w:szCs w:val="24"/>
              </w:rPr>
              <w:t>2.99 (2.05)</w:t>
            </w:r>
          </w:p>
        </w:tc>
        <w:tc>
          <w:tcPr>
            <w:tcW w:w="959" w:type="dxa"/>
            <w:shd w:val="clear" w:color="auto" w:fill="F2F2F2" w:themeFill="background1" w:themeFillShade="F2"/>
          </w:tcPr>
          <w:p w14:paraId="42B2EBD4" w14:textId="02D4E1DF" w:rsidR="00C50065" w:rsidRPr="00102859" w:rsidRDefault="00C50065" w:rsidP="00C50065">
            <w:pPr>
              <w:spacing w:line="480" w:lineRule="auto"/>
            </w:pPr>
            <w:r w:rsidRPr="00102859">
              <w:t>1.92 (1.48)</w:t>
            </w:r>
          </w:p>
        </w:tc>
        <w:tc>
          <w:tcPr>
            <w:tcW w:w="2013" w:type="dxa"/>
            <w:shd w:val="clear" w:color="auto" w:fill="F2F2F2" w:themeFill="background1" w:themeFillShade="F2"/>
          </w:tcPr>
          <w:p w14:paraId="650FC962" w14:textId="75DA742A" w:rsidR="00C50065" w:rsidRPr="00102859" w:rsidRDefault="00C50065" w:rsidP="00C50065">
            <w:pPr>
              <w:spacing w:line="480" w:lineRule="auto"/>
            </w:pPr>
            <w:r w:rsidRPr="00102859">
              <w:t>0.76 [0.40 to 1.12]</w:t>
            </w:r>
          </w:p>
        </w:tc>
        <w:tc>
          <w:tcPr>
            <w:tcW w:w="3119" w:type="dxa"/>
            <w:vMerge/>
          </w:tcPr>
          <w:p w14:paraId="3BD9089A" w14:textId="77777777" w:rsidR="00C50065" w:rsidRPr="00102859" w:rsidRDefault="00C50065" w:rsidP="00C50065">
            <w:pPr>
              <w:spacing w:line="480" w:lineRule="auto"/>
            </w:pPr>
          </w:p>
        </w:tc>
      </w:tr>
      <w:tr w:rsidR="00102859" w:rsidRPr="00102859" w14:paraId="06199656" w14:textId="667F9631" w:rsidTr="00B406F4">
        <w:tc>
          <w:tcPr>
            <w:tcW w:w="1484" w:type="dxa"/>
            <w:vMerge/>
          </w:tcPr>
          <w:p w14:paraId="38DB3913" w14:textId="43A42377" w:rsidR="00C50065" w:rsidRPr="00102859" w:rsidRDefault="00C50065" w:rsidP="00C50065">
            <w:pPr>
              <w:spacing w:line="480" w:lineRule="auto"/>
            </w:pPr>
          </w:p>
        </w:tc>
        <w:tc>
          <w:tcPr>
            <w:tcW w:w="1216" w:type="dxa"/>
            <w:vMerge w:val="restart"/>
          </w:tcPr>
          <w:p w14:paraId="6111C968" w14:textId="1107DDF3" w:rsidR="00C50065" w:rsidRPr="00102859" w:rsidRDefault="00C50065" w:rsidP="00C50065">
            <w:pPr>
              <w:spacing w:line="480" w:lineRule="auto"/>
              <w:rPr>
                <w:sz w:val="24"/>
                <w:szCs w:val="24"/>
              </w:rPr>
            </w:pPr>
            <w:r w:rsidRPr="00102859">
              <w:t xml:space="preserve">Applied relaxation </w:t>
            </w:r>
            <w:r w:rsidRPr="00102859">
              <w:rPr>
                <w:sz w:val="24"/>
                <w:szCs w:val="24"/>
              </w:rPr>
              <w:t>group</w:t>
            </w:r>
          </w:p>
        </w:tc>
        <w:tc>
          <w:tcPr>
            <w:tcW w:w="1229" w:type="dxa"/>
            <w:vMerge w:val="restart"/>
          </w:tcPr>
          <w:p w14:paraId="02687A3E" w14:textId="51150CB3" w:rsidR="00C50065" w:rsidRPr="00102859" w:rsidRDefault="00C50065" w:rsidP="00C50065">
            <w:pPr>
              <w:spacing w:line="480" w:lineRule="auto"/>
              <w:rPr>
                <w:sz w:val="24"/>
                <w:szCs w:val="24"/>
              </w:rPr>
            </w:pPr>
            <w:r w:rsidRPr="00102859">
              <w:rPr>
                <w:sz w:val="24"/>
                <w:szCs w:val="24"/>
              </w:rPr>
              <w:t>5.79 (4.55)</w:t>
            </w:r>
          </w:p>
          <w:p w14:paraId="7D265FBB" w14:textId="77777777" w:rsidR="00C50065" w:rsidRPr="00102859" w:rsidRDefault="00C50065" w:rsidP="00C50065">
            <w:pPr>
              <w:spacing w:line="480" w:lineRule="auto"/>
              <w:rPr>
                <w:sz w:val="24"/>
                <w:szCs w:val="24"/>
              </w:rPr>
            </w:pPr>
          </w:p>
        </w:tc>
        <w:tc>
          <w:tcPr>
            <w:tcW w:w="1878" w:type="dxa"/>
          </w:tcPr>
          <w:p w14:paraId="4991064C" w14:textId="77777777" w:rsidR="00C50065" w:rsidRPr="00102859" w:rsidRDefault="00C50065" w:rsidP="00C50065">
            <w:pPr>
              <w:spacing w:line="480" w:lineRule="auto"/>
              <w:jc w:val="both"/>
              <w:rPr>
                <w:sz w:val="24"/>
                <w:szCs w:val="24"/>
              </w:rPr>
            </w:pPr>
            <w:r w:rsidRPr="00102859">
              <w:rPr>
                <w:bCs/>
                <w:sz w:val="24"/>
                <w:szCs w:val="24"/>
              </w:rPr>
              <w:t>Completers analysis</w:t>
            </w:r>
          </w:p>
          <w:p w14:paraId="43E55F5B" w14:textId="52A6097C" w:rsidR="00C50065" w:rsidRPr="00102859" w:rsidRDefault="00C50065" w:rsidP="00C50065">
            <w:pPr>
              <w:spacing w:line="480" w:lineRule="auto"/>
            </w:pPr>
          </w:p>
        </w:tc>
        <w:tc>
          <w:tcPr>
            <w:tcW w:w="1418" w:type="dxa"/>
          </w:tcPr>
          <w:p w14:paraId="07BC50FF" w14:textId="74999B3D" w:rsidR="00C50065" w:rsidRPr="00102859" w:rsidRDefault="00C50065" w:rsidP="00C50065">
            <w:pPr>
              <w:spacing w:line="480" w:lineRule="auto"/>
              <w:rPr>
                <w:sz w:val="24"/>
                <w:szCs w:val="24"/>
              </w:rPr>
            </w:pPr>
            <w:r w:rsidRPr="00102859">
              <w:rPr>
                <w:sz w:val="24"/>
                <w:szCs w:val="24"/>
              </w:rPr>
              <w:t>3.21 (3.32)</w:t>
            </w:r>
          </w:p>
        </w:tc>
        <w:tc>
          <w:tcPr>
            <w:tcW w:w="1280" w:type="dxa"/>
          </w:tcPr>
          <w:p w14:paraId="5373B083" w14:textId="67717603" w:rsidR="00C50065" w:rsidRPr="00102859" w:rsidRDefault="00C50065" w:rsidP="00C50065">
            <w:pPr>
              <w:spacing w:line="480" w:lineRule="auto"/>
              <w:rPr>
                <w:sz w:val="24"/>
                <w:szCs w:val="24"/>
              </w:rPr>
            </w:pPr>
            <w:r w:rsidRPr="00102859">
              <w:rPr>
                <w:sz w:val="24"/>
                <w:szCs w:val="24"/>
              </w:rPr>
              <w:t>3.36 (3.68)</w:t>
            </w:r>
          </w:p>
        </w:tc>
        <w:tc>
          <w:tcPr>
            <w:tcW w:w="959" w:type="dxa"/>
          </w:tcPr>
          <w:p w14:paraId="3156C9C2" w14:textId="3A407560" w:rsidR="00C50065" w:rsidRPr="00102859" w:rsidRDefault="00C50065" w:rsidP="00C50065">
            <w:pPr>
              <w:spacing w:line="480" w:lineRule="auto"/>
            </w:pPr>
            <w:r w:rsidRPr="00102859">
              <w:t>2.78 (3.19)</w:t>
            </w:r>
          </w:p>
        </w:tc>
        <w:tc>
          <w:tcPr>
            <w:tcW w:w="2013" w:type="dxa"/>
          </w:tcPr>
          <w:p w14:paraId="5E65B969" w14:textId="36144B93" w:rsidR="00C50065" w:rsidRPr="00102859" w:rsidRDefault="00C50065" w:rsidP="00C50065">
            <w:pPr>
              <w:spacing w:line="480" w:lineRule="auto"/>
            </w:pPr>
            <w:r w:rsidRPr="00102859">
              <w:t>0.61 [0.16 to 1.07]</w:t>
            </w:r>
          </w:p>
        </w:tc>
        <w:tc>
          <w:tcPr>
            <w:tcW w:w="3119" w:type="dxa"/>
            <w:vMerge w:val="restart"/>
          </w:tcPr>
          <w:p w14:paraId="03200EF4" w14:textId="77777777" w:rsidR="00C50065" w:rsidRPr="00102859" w:rsidRDefault="00C50065" w:rsidP="00C50065">
            <w:pPr>
              <w:spacing w:line="480" w:lineRule="auto"/>
              <w:rPr>
                <w:b/>
                <w:bCs/>
                <w:sz w:val="24"/>
                <w:szCs w:val="24"/>
              </w:rPr>
            </w:pPr>
            <w:r w:rsidRPr="00102859">
              <w:rPr>
                <w:b/>
                <w:bCs/>
                <w:sz w:val="24"/>
                <w:szCs w:val="24"/>
              </w:rPr>
              <w:t>Imputation analysis</w:t>
            </w:r>
          </w:p>
          <w:p w14:paraId="6BDD04EB" w14:textId="77777777" w:rsidR="00C50065" w:rsidRPr="00102859" w:rsidRDefault="00C50065" w:rsidP="00C50065">
            <w:pPr>
              <w:spacing w:line="480" w:lineRule="auto"/>
              <w:rPr>
                <w:sz w:val="24"/>
                <w:szCs w:val="24"/>
              </w:rPr>
            </w:pPr>
            <w:r w:rsidRPr="00102859">
              <w:rPr>
                <w:sz w:val="24"/>
                <w:szCs w:val="24"/>
              </w:rPr>
              <w:t>At T1: 0.27 [-0.08 to 0.62]</w:t>
            </w:r>
          </w:p>
          <w:p w14:paraId="1912A1FC" w14:textId="77777777" w:rsidR="00C50065" w:rsidRPr="00102859" w:rsidRDefault="00C50065" w:rsidP="00C50065">
            <w:pPr>
              <w:spacing w:line="480" w:lineRule="auto"/>
              <w:rPr>
                <w:sz w:val="24"/>
                <w:szCs w:val="24"/>
              </w:rPr>
            </w:pPr>
            <w:r w:rsidRPr="00102859">
              <w:rPr>
                <w:sz w:val="24"/>
                <w:szCs w:val="24"/>
              </w:rPr>
              <w:t>At T2: 0.24 [-0.07 to 0.55]</w:t>
            </w:r>
          </w:p>
          <w:p w14:paraId="5868DA15" w14:textId="7ADD08B3" w:rsidR="00C50065" w:rsidRPr="00102859" w:rsidRDefault="00C50065" w:rsidP="00C50065">
            <w:pPr>
              <w:spacing w:line="480" w:lineRule="auto"/>
              <w:rPr>
                <w:sz w:val="24"/>
                <w:szCs w:val="24"/>
              </w:rPr>
            </w:pPr>
            <w:r w:rsidRPr="00102859">
              <w:rPr>
                <w:sz w:val="24"/>
                <w:szCs w:val="24"/>
              </w:rPr>
              <w:t xml:space="preserve">At T3: -0.06 [-0.37 to 0.25] </w:t>
            </w:r>
          </w:p>
          <w:p w14:paraId="65A9BD67" w14:textId="07B049B2" w:rsidR="00C50065" w:rsidRPr="00102859" w:rsidRDefault="00C50065" w:rsidP="00C50065">
            <w:pPr>
              <w:spacing w:line="480" w:lineRule="auto"/>
            </w:pPr>
          </w:p>
        </w:tc>
      </w:tr>
      <w:tr w:rsidR="00102859" w:rsidRPr="00102859" w14:paraId="17FC893D" w14:textId="4F256E48" w:rsidTr="0085238F">
        <w:tc>
          <w:tcPr>
            <w:tcW w:w="1484" w:type="dxa"/>
            <w:vMerge/>
          </w:tcPr>
          <w:p w14:paraId="3C91EF27" w14:textId="167232D1" w:rsidR="00C50065" w:rsidRPr="00102859" w:rsidRDefault="00C50065" w:rsidP="00C50065">
            <w:pPr>
              <w:spacing w:line="480" w:lineRule="auto"/>
            </w:pPr>
          </w:p>
        </w:tc>
        <w:tc>
          <w:tcPr>
            <w:tcW w:w="1216" w:type="dxa"/>
            <w:vMerge/>
          </w:tcPr>
          <w:p w14:paraId="4590781F" w14:textId="65251D44" w:rsidR="00C50065" w:rsidRPr="00102859" w:rsidRDefault="00C50065" w:rsidP="00C50065">
            <w:pPr>
              <w:spacing w:line="480" w:lineRule="auto"/>
            </w:pPr>
          </w:p>
        </w:tc>
        <w:tc>
          <w:tcPr>
            <w:tcW w:w="1229" w:type="dxa"/>
            <w:vMerge/>
          </w:tcPr>
          <w:p w14:paraId="525D05A4" w14:textId="77777777" w:rsidR="00C50065" w:rsidRPr="00102859" w:rsidRDefault="00C50065" w:rsidP="00C50065">
            <w:pPr>
              <w:spacing w:line="480" w:lineRule="auto"/>
            </w:pPr>
          </w:p>
        </w:tc>
        <w:tc>
          <w:tcPr>
            <w:tcW w:w="1878" w:type="dxa"/>
            <w:shd w:val="clear" w:color="auto" w:fill="F2F2F2" w:themeFill="background1" w:themeFillShade="F2"/>
          </w:tcPr>
          <w:p w14:paraId="55AE5040" w14:textId="228B8FC1"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1B4981C4" w14:textId="13BEFB6F" w:rsidR="00C50065" w:rsidRPr="00102859" w:rsidRDefault="00C50065" w:rsidP="00C50065">
            <w:pPr>
              <w:spacing w:line="480" w:lineRule="auto"/>
            </w:pPr>
            <w:r w:rsidRPr="00102859">
              <w:rPr>
                <w:sz w:val="24"/>
                <w:szCs w:val="24"/>
              </w:rPr>
              <w:t>3.69 (2.80)</w:t>
            </w:r>
          </w:p>
        </w:tc>
        <w:tc>
          <w:tcPr>
            <w:tcW w:w="1280" w:type="dxa"/>
            <w:shd w:val="clear" w:color="auto" w:fill="F2F2F2" w:themeFill="background1" w:themeFillShade="F2"/>
          </w:tcPr>
          <w:p w14:paraId="6E03FFDC" w14:textId="20C08181" w:rsidR="00C50065" w:rsidRPr="00102859" w:rsidRDefault="00C50065" w:rsidP="00C50065">
            <w:pPr>
              <w:spacing w:line="480" w:lineRule="auto"/>
            </w:pPr>
            <w:r w:rsidRPr="00102859">
              <w:rPr>
                <w:sz w:val="24"/>
                <w:szCs w:val="24"/>
              </w:rPr>
              <w:t>3.46 (2.82)</w:t>
            </w:r>
          </w:p>
        </w:tc>
        <w:tc>
          <w:tcPr>
            <w:tcW w:w="959" w:type="dxa"/>
            <w:shd w:val="clear" w:color="auto" w:fill="F2F2F2" w:themeFill="background1" w:themeFillShade="F2"/>
          </w:tcPr>
          <w:p w14:paraId="2A7B9BF3" w14:textId="143503D6" w:rsidR="00C50065" w:rsidRPr="00102859" w:rsidRDefault="00C50065" w:rsidP="00C50065">
            <w:pPr>
              <w:spacing w:line="480" w:lineRule="auto"/>
            </w:pPr>
            <w:r w:rsidRPr="00102859">
              <w:t>2.87 (2.24)</w:t>
            </w:r>
          </w:p>
        </w:tc>
        <w:tc>
          <w:tcPr>
            <w:tcW w:w="2013" w:type="dxa"/>
            <w:shd w:val="clear" w:color="auto" w:fill="F2F2F2" w:themeFill="background1" w:themeFillShade="F2"/>
          </w:tcPr>
          <w:p w14:paraId="0C54458A" w14:textId="7D14D064" w:rsidR="00C50065" w:rsidRPr="00102859" w:rsidRDefault="00C50065" w:rsidP="00C50065">
            <w:pPr>
              <w:spacing w:line="480" w:lineRule="auto"/>
            </w:pPr>
            <w:r w:rsidRPr="00102859">
              <w:t>0.56 [0.20 to 0.91]</w:t>
            </w:r>
          </w:p>
        </w:tc>
        <w:tc>
          <w:tcPr>
            <w:tcW w:w="3119" w:type="dxa"/>
            <w:vMerge/>
          </w:tcPr>
          <w:p w14:paraId="6BAA1071" w14:textId="6F13C979" w:rsidR="00C50065" w:rsidRPr="00102859" w:rsidRDefault="00C50065" w:rsidP="00C50065">
            <w:pPr>
              <w:spacing w:line="480" w:lineRule="auto"/>
            </w:pPr>
          </w:p>
        </w:tc>
      </w:tr>
      <w:tr w:rsidR="00102859" w:rsidRPr="00102859" w14:paraId="696F5417" w14:textId="0CAD56F9" w:rsidTr="00B406F4">
        <w:tc>
          <w:tcPr>
            <w:tcW w:w="1484" w:type="dxa"/>
            <w:vMerge w:val="restart"/>
          </w:tcPr>
          <w:p w14:paraId="71005C73" w14:textId="4F2C99CB" w:rsidR="00C50065" w:rsidRPr="00102859" w:rsidRDefault="00C50065" w:rsidP="00C50065">
            <w:pPr>
              <w:spacing w:line="480" w:lineRule="auto"/>
            </w:pPr>
            <w:r w:rsidRPr="00102859">
              <w:rPr>
                <w:b/>
                <w:sz w:val="24"/>
                <w:szCs w:val="24"/>
              </w:rPr>
              <w:t>Hearing disability (THS)</w:t>
            </w:r>
          </w:p>
        </w:tc>
        <w:tc>
          <w:tcPr>
            <w:tcW w:w="1216" w:type="dxa"/>
            <w:vMerge w:val="restart"/>
          </w:tcPr>
          <w:p w14:paraId="7DA0D1D7" w14:textId="041D3ED6" w:rsidR="00C50065" w:rsidRPr="00102859" w:rsidRDefault="00C50065" w:rsidP="00C50065">
            <w:pPr>
              <w:spacing w:line="480" w:lineRule="auto"/>
              <w:rPr>
                <w:sz w:val="24"/>
                <w:szCs w:val="24"/>
              </w:rPr>
            </w:pPr>
            <w:r w:rsidRPr="00102859">
              <w:rPr>
                <w:sz w:val="24"/>
                <w:szCs w:val="24"/>
              </w:rPr>
              <w:t>ICBT group</w:t>
            </w:r>
          </w:p>
        </w:tc>
        <w:tc>
          <w:tcPr>
            <w:tcW w:w="1229" w:type="dxa"/>
            <w:vMerge w:val="restart"/>
          </w:tcPr>
          <w:p w14:paraId="1D9F119B" w14:textId="26D623AC" w:rsidR="00C50065" w:rsidRPr="00102859" w:rsidRDefault="00C50065" w:rsidP="00C50065">
            <w:pPr>
              <w:spacing w:line="480" w:lineRule="auto"/>
              <w:rPr>
                <w:sz w:val="24"/>
                <w:szCs w:val="24"/>
              </w:rPr>
            </w:pPr>
            <w:r w:rsidRPr="00102859">
              <w:rPr>
                <w:sz w:val="24"/>
                <w:szCs w:val="24"/>
              </w:rPr>
              <w:t>5.94 (5.06)</w:t>
            </w:r>
          </w:p>
          <w:p w14:paraId="7A731B61" w14:textId="77777777" w:rsidR="00C50065" w:rsidRPr="00102859" w:rsidRDefault="00C50065" w:rsidP="00C50065">
            <w:pPr>
              <w:spacing w:line="480" w:lineRule="auto"/>
              <w:rPr>
                <w:sz w:val="24"/>
                <w:szCs w:val="24"/>
              </w:rPr>
            </w:pPr>
          </w:p>
        </w:tc>
        <w:tc>
          <w:tcPr>
            <w:tcW w:w="1878" w:type="dxa"/>
          </w:tcPr>
          <w:p w14:paraId="1085500E" w14:textId="77777777" w:rsidR="00C50065" w:rsidRPr="00102859" w:rsidRDefault="00C50065" w:rsidP="00C50065">
            <w:pPr>
              <w:spacing w:line="480" w:lineRule="auto"/>
              <w:jc w:val="both"/>
              <w:rPr>
                <w:sz w:val="24"/>
                <w:szCs w:val="24"/>
              </w:rPr>
            </w:pPr>
            <w:r w:rsidRPr="00102859">
              <w:rPr>
                <w:bCs/>
                <w:sz w:val="24"/>
                <w:szCs w:val="24"/>
              </w:rPr>
              <w:t>Completers analysis</w:t>
            </w:r>
          </w:p>
          <w:p w14:paraId="3A0D4577" w14:textId="7944A4CA" w:rsidR="00C50065" w:rsidRPr="00102859" w:rsidRDefault="00C50065" w:rsidP="00C50065">
            <w:pPr>
              <w:spacing w:line="480" w:lineRule="auto"/>
            </w:pPr>
          </w:p>
        </w:tc>
        <w:tc>
          <w:tcPr>
            <w:tcW w:w="1418" w:type="dxa"/>
          </w:tcPr>
          <w:p w14:paraId="502548F7" w14:textId="7615B6A8" w:rsidR="00C50065" w:rsidRPr="00102859" w:rsidRDefault="00C50065" w:rsidP="00C50065">
            <w:pPr>
              <w:spacing w:line="480" w:lineRule="auto"/>
              <w:rPr>
                <w:sz w:val="24"/>
                <w:szCs w:val="24"/>
              </w:rPr>
            </w:pPr>
            <w:r w:rsidRPr="00102859">
              <w:rPr>
                <w:sz w:val="24"/>
                <w:szCs w:val="24"/>
              </w:rPr>
              <w:t>4.59 (4.01)</w:t>
            </w:r>
          </w:p>
        </w:tc>
        <w:tc>
          <w:tcPr>
            <w:tcW w:w="1280" w:type="dxa"/>
          </w:tcPr>
          <w:p w14:paraId="0F479A88" w14:textId="1A93A376" w:rsidR="00C50065" w:rsidRPr="00102859" w:rsidRDefault="00C50065" w:rsidP="00C50065">
            <w:pPr>
              <w:spacing w:line="480" w:lineRule="auto"/>
              <w:rPr>
                <w:sz w:val="24"/>
                <w:szCs w:val="24"/>
              </w:rPr>
            </w:pPr>
            <w:r w:rsidRPr="00102859">
              <w:rPr>
                <w:sz w:val="24"/>
                <w:szCs w:val="24"/>
              </w:rPr>
              <w:t>4.59 (4.01)</w:t>
            </w:r>
          </w:p>
        </w:tc>
        <w:tc>
          <w:tcPr>
            <w:tcW w:w="959" w:type="dxa"/>
          </w:tcPr>
          <w:p w14:paraId="19ED8959" w14:textId="6812B7C7" w:rsidR="00C50065" w:rsidRPr="00102859" w:rsidRDefault="00C50065" w:rsidP="00C50065">
            <w:pPr>
              <w:spacing w:line="480" w:lineRule="auto"/>
            </w:pPr>
            <w:r w:rsidRPr="00102859">
              <w:t>3.13 (2.36)</w:t>
            </w:r>
          </w:p>
        </w:tc>
        <w:tc>
          <w:tcPr>
            <w:tcW w:w="2013" w:type="dxa"/>
          </w:tcPr>
          <w:p w14:paraId="1C05E1F2" w14:textId="7817623F" w:rsidR="00C50065" w:rsidRPr="00102859" w:rsidRDefault="00C50065" w:rsidP="00C50065">
            <w:pPr>
              <w:spacing w:line="480" w:lineRule="auto"/>
            </w:pPr>
            <w:r w:rsidRPr="00102859">
              <w:t>0.29 [-0.17 to 0.05]</w:t>
            </w:r>
          </w:p>
        </w:tc>
        <w:tc>
          <w:tcPr>
            <w:tcW w:w="3119" w:type="dxa"/>
            <w:vMerge w:val="restart"/>
          </w:tcPr>
          <w:p w14:paraId="1CDB6064" w14:textId="77777777" w:rsidR="00C50065" w:rsidRPr="00102859" w:rsidRDefault="00C50065" w:rsidP="00C50065">
            <w:pPr>
              <w:spacing w:line="480" w:lineRule="auto"/>
              <w:jc w:val="both"/>
              <w:rPr>
                <w:b/>
                <w:sz w:val="24"/>
                <w:szCs w:val="24"/>
              </w:rPr>
            </w:pPr>
            <w:r w:rsidRPr="00102859">
              <w:rPr>
                <w:b/>
                <w:bCs/>
                <w:sz w:val="24"/>
                <w:szCs w:val="24"/>
              </w:rPr>
              <w:t>Completers analysis</w:t>
            </w:r>
          </w:p>
          <w:p w14:paraId="0578ACE3" w14:textId="77777777" w:rsidR="00C50065" w:rsidRPr="00102859" w:rsidRDefault="00C50065" w:rsidP="00C50065">
            <w:pPr>
              <w:spacing w:line="480" w:lineRule="auto"/>
              <w:rPr>
                <w:sz w:val="24"/>
                <w:szCs w:val="24"/>
              </w:rPr>
            </w:pPr>
            <w:r w:rsidRPr="00102859">
              <w:rPr>
                <w:sz w:val="24"/>
                <w:szCs w:val="24"/>
              </w:rPr>
              <w:t>At T1: -0.22 [-0.75 to 0.31]</w:t>
            </w:r>
          </w:p>
          <w:p w14:paraId="018D2735" w14:textId="77777777" w:rsidR="00C50065" w:rsidRPr="00102859" w:rsidRDefault="00C50065" w:rsidP="00C50065">
            <w:pPr>
              <w:spacing w:line="480" w:lineRule="auto"/>
              <w:rPr>
                <w:sz w:val="24"/>
                <w:szCs w:val="24"/>
              </w:rPr>
            </w:pPr>
            <w:r w:rsidRPr="00102859">
              <w:rPr>
                <w:sz w:val="24"/>
                <w:szCs w:val="24"/>
              </w:rPr>
              <w:t xml:space="preserve">At T2: 0.03 [-0.50 to 0.56] </w:t>
            </w:r>
          </w:p>
          <w:p w14:paraId="44436931" w14:textId="671FEF4F" w:rsidR="00C50065" w:rsidRPr="00102859" w:rsidRDefault="00C50065" w:rsidP="00C50065">
            <w:pPr>
              <w:spacing w:line="480" w:lineRule="auto"/>
            </w:pPr>
            <w:r w:rsidRPr="00102859">
              <w:rPr>
                <w:sz w:val="24"/>
                <w:szCs w:val="24"/>
              </w:rPr>
              <w:t>At T3: 0.48 [-0.18 to 1.14]</w:t>
            </w:r>
          </w:p>
        </w:tc>
      </w:tr>
      <w:tr w:rsidR="00102859" w:rsidRPr="00102859" w14:paraId="7BF74900" w14:textId="7863B907" w:rsidTr="0085238F">
        <w:tc>
          <w:tcPr>
            <w:tcW w:w="1484" w:type="dxa"/>
            <w:vMerge/>
          </w:tcPr>
          <w:p w14:paraId="10233C37" w14:textId="151C41DC" w:rsidR="00C50065" w:rsidRPr="00102859" w:rsidRDefault="00C50065" w:rsidP="00C50065">
            <w:pPr>
              <w:spacing w:line="480" w:lineRule="auto"/>
            </w:pPr>
          </w:p>
        </w:tc>
        <w:tc>
          <w:tcPr>
            <w:tcW w:w="1216" w:type="dxa"/>
            <w:vMerge/>
          </w:tcPr>
          <w:p w14:paraId="32C9D236" w14:textId="07364DE7" w:rsidR="00C50065" w:rsidRPr="00102859" w:rsidRDefault="00C50065" w:rsidP="00C50065">
            <w:pPr>
              <w:spacing w:line="480" w:lineRule="auto"/>
            </w:pPr>
          </w:p>
        </w:tc>
        <w:tc>
          <w:tcPr>
            <w:tcW w:w="1229" w:type="dxa"/>
            <w:vMerge/>
          </w:tcPr>
          <w:p w14:paraId="03923F5B" w14:textId="77777777" w:rsidR="00C50065" w:rsidRPr="00102859" w:rsidRDefault="00C50065" w:rsidP="00C50065">
            <w:pPr>
              <w:spacing w:line="480" w:lineRule="auto"/>
            </w:pPr>
          </w:p>
        </w:tc>
        <w:tc>
          <w:tcPr>
            <w:tcW w:w="1878" w:type="dxa"/>
            <w:shd w:val="clear" w:color="auto" w:fill="F2F2F2" w:themeFill="background1" w:themeFillShade="F2"/>
          </w:tcPr>
          <w:p w14:paraId="1C954274" w14:textId="2C466CDE"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25231F0E" w14:textId="713FCBA5" w:rsidR="00C50065" w:rsidRPr="00102859" w:rsidRDefault="00C50065" w:rsidP="00C50065">
            <w:pPr>
              <w:spacing w:line="480" w:lineRule="auto"/>
            </w:pPr>
            <w:r w:rsidRPr="00102859">
              <w:rPr>
                <w:sz w:val="24"/>
                <w:szCs w:val="24"/>
              </w:rPr>
              <w:t>4.58 (3.07)</w:t>
            </w:r>
          </w:p>
        </w:tc>
        <w:tc>
          <w:tcPr>
            <w:tcW w:w="1280" w:type="dxa"/>
            <w:shd w:val="clear" w:color="auto" w:fill="F2F2F2" w:themeFill="background1" w:themeFillShade="F2"/>
          </w:tcPr>
          <w:p w14:paraId="4F6B176E" w14:textId="37746510" w:rsidR="00C50065" w:rsidRPr="00102859" w:rsidRDefault="00C50065" w:rsidP="00C50065">
            <w:pPr>
              <w:spacing w:line="480" w:lineRule="auto"/>
            </w:pPr>
            <w:r w:rsidRPr="00102859">
              <w:rPr>
                <w:sz w:val="24"/>
                <w:szCs w:val="24"/>
              </w:rPr>
              <w:t>4.76 (2.98)</w:t>
            </w:r>
          </w:p>
        </w:tc>
        <w:tc>
          <w:tcPr>
            <w:tcW w:w="959" w:type="dxa"/>
            <w:shd w:val="clear" w:color="auto" w:fill="F2F2F2" w:themeFill="background1" w:themeFillShade="F2"/>
          </w:tcPr>
          <w:p w14:paraId="5A6EAB67" w14:textId="0755F4DA" w:rsidR="00C50065" w:rsidRPr="00102859" w:rsidRDefault="00C50065" w:rsidP="00C50065">
            <w:pPr>
              <w:spacing w:line="480" w:lineRule="auto"/>
            </w:pPr>
            <w:r w:rsidRPr="00102859">
              <w:t>3.08 (1.61)</w:t>
            </w:r>
          </w:p>
        </w:tc>
        <w:tc>
          <w:tcPr>
            <w:tcW w:w="2013" w:type="dxa"/>
            <w:shd w:val="clear" w:color="auto" w:fill="F2F2F2" w:themeFill="background1" w:themeFillShade="F2"/>
          </w:tcPr>
          <w:p w14:paraId="7569EEB3" w14:textId="733DFE01" w:rsidR="00C50065" w:rsidRPr="00102859" w:rsidRDefault="00C50065" w:rsidP="00C50065">
            <w:pPr>
              <w:spacing w:line="480" w:lineRule="auto"/>
            </w:pPr>
            <w:r w:rsidRPr="00102859">
              <w:t>0.32 [-0.03 to 0.67]</w:t>
            </w:r>
          </w:p>
        </w:tc>
        <w:tc>
          <w:tcPr>
            <w:tcW w:w="3119" w:type="dxa"/>
            <w:vMerge/>
          </w:tcPr>
          <w:p w14:paraId="6511B215" w14:textId="77777777" w:rsidR="00C50065" w:rsidRPr="00102859" w:rsidRDefault="00C50065" w:rsidP="00C50065">
            <w:pPr>
              <w:spacing w:line="480" w:lineRule="auto"/>
            </w:pPr>
          </w:p>
        </w:tc>
      </w:tr>
      <w:tr w:rsidR="00102859" w:rsidRPr="00102859" w14:paraId="011ECBEB" w14:textId="79150582" w:rsidTr="00B406F4">
        <w:tc>
          <w:tcPr>
            <w:tcW w:w="1484" w:type="dxa"/>
            <w:vMerge/>
          </w:tcPr>
          <w:p w14:paraId="3756BE49" w14:textId="2A6A65E4" w:rsidR="00C50065" w:rsidRPr="00102859" w:rsidRDefault="00C50065" w:rsidP="00C50065">
            <w:pPr>
              <w:spacing w:line="480" w:lineRule="auto"/>
            </w:pPr>
          </w:p>
        </w:tc>
        <w:tc>
          <w:tcPr>
            <w:tcW w:w="1216" w:type="dxa"/>
          </w:tcPr>
          <w:p w14:paraId="6EF9E386" w14:textId="138F15A4" w:rsidR="00C50065" w:rsidRPr="00102859" w:rsidRDefault="00C50065" w:rsidP="00C50065">
            <w:pPr>
              <w:spacing w:line="480" w:lineRule="auto"/>
              <w:rPr>
                <w:sz w:val="24"/>
                <w:szCs w:val="24"/>
              </w:rPr>
            </w:pPr>
            <w:r w:rsidRPr="00102859">
              <w:t xml:space="preserve">Applied relaxation </w:t>
            </w:r>
            <w:r w:rsidRPr="00102859">
              <w:rPr>
                <w:sz w:val="24"/>
                <w:szCs w:val="24"/>
              </w:rPr>
              <w:t>group</w:t>
            </w:r>
          </w:p>
        </w:tc>
        <w:tc>
          <w:tcPr>
            <w:tcW w:w="1229" w:type="dxa"/>
          </w:tcPr>
          <w:p w14:paraId="039A7E79" w14:textId="6275894D" w:rsidR="00C50065" w:rsidRPr="00102859" w:rsidRDefault="00C50065" w:rsidP="00C50065">
            <w:pPr>
              <w:spacing w:line="480" w:lineRule="auto"/>
              <w:rPr>
                <w:sz w:val="24"/>
                <w:szCs w:val="24"/>
              </w:rPr>
            </w:pPr>
            <w:r w:rsidRPr="00102859">
              <w:rPr>
                <w:sz w:val="24"/>
                <w:szCs w:val="24"/>
              </w:rPr>
              <w:t>6.19 (4.84)</w:t>
            </w:r>
          </w:p>
          <w:p w14:paraId="58F2A5EC" w14:textId="77777777" w:rsidR="00C50065" w:rsidRPr="00102859" w:rsidRDefault="00C50065" w:rsidP="00C50065">
            <w:pPr>
              <w:spacing w:line="480" w:lineRule="auto"/>
              <w:rPr>
                <w:sz w:val="24"/>
                <w:szCs w:val="24"/>
              </w:rPr>
            </w:pPr>
          </w:p>
        </w:tc>
        <w:tc>
          <w:tcPr>
            <w:tcW w:w="1878" w:type="dxa"/>
          </w:tcPr>
          <w:p w14:paraId="170D333C" w14:textId="77777777" w:rsidR="00C50065" w:rsidRPr="00102859" w:rsidRDefault="00C50065" w:rsidP="00C50065">
            <w:pPr>
              <w:spacing w:line="480" w:lineRule="auto"/>
              <w:jc w:val="both"/>
              <w:rPr>
                <w:sz w:val="24"/>
                <w:szCs w:val="24"/>
              </w:rPr>
            </w:pPr>
            <w:r w:rsidRPr="00102859">
              <w:rPr>
                <w:bCs/>
                <w:sz w:val="24"/>
                <w:szCs w:val="24"/>
              </w:rPr>
              <w:t>Completers analysis</w:t>
            </w:r>
          </w:p>
          <w:p w14:paraId="0C2BB7AE" w14:textId="364B2D70" w:rsidR="00C50065" w:rsidRPr="00102859" w:rsidRDefault="00C50065" w:rsidP="00C50065">
            <w:pPr>
              <w:spacing w:line="480" w:lineRule="auto"/>
            </w:pPr>
          </w:p>
        </w:tc>
        <w:tc>
          <w:tcPr>
            <w:tcW w:w="1418" w:type="dxa"/>
          </w:tcPr>
          <w:p w14:paraId="3A6472B8" w14:textId="0C4347F2" w:rsidR="00C50065" w:rsidRPr="00102859" w:rsidRDefault="00C50065" w:rsidP="00C50065">
            <w:pPr>
              <w:spacing w:line="480" w:lineRule="auto"/>
              <w:rPr>
                <w:sz w:val="24"/>
                <w:szCs w:val="24"/>
              </w:rPr>
            </w:pPr>
            <w:r w:rsidRPr="00102859">
              <w:rPr>
                <w:sz w:val="24"/>
                <w:szCs w:val="24"/>
              </w:rPr>
              <w:t xml:space="preserve">3.75 (3.70)  </w:t>
            </w:r>
          </w:p>
        </w:tc>
        <w:tc>
          <w:tcPr>
            <w:tcW w:w="1280" w:type="dxa"/>
          </w:tcPr>
          <w:p w14:paraId="084784DA" w14:textId="79F0B168" w:rsidR="00C50065" w:rsidRPr="00102859" w:rsidRDefault="00C50065" w:rsidP="00C50065">
            <w:pPr>
              <w:spacing w:line="480" w:lineRule="auto"/>
              <w:rPr>
                <w:sz w:val="24"/>
                <w:szCs w:val="24"/>
              </w:rPr>
            </w:pPr>
            <w:r w:rsidRPr="00102859">
              <w:rPr>
                <w:sz w:val="24"/>
                <w:szCs w:val="24"/>
              </w:rPr>
              <w:t>4.71 (4.32)</w:t>
            </w:r>
          </w:p>
        </w:tc>
        <w:tc>
          <w:tcPr>
            <w:tcW w:w="959" w:type="dxa"/>
          </w:tcPr>
          <w:p w14:paraId="0BE3CF8C" w14:textId="52A33943" w:rsidR="00C50065" w:rsidRPr="00102859" w:rsidRDefault="00C50065" w:rsidP="00C50065">
            <w:pPr>
              <w:spacing w:line="480" w:lineRule="auto"/>
            </w:pPr>
            <w:r w:rsidRPr="00102859">
              <w:t>4.65 (3.59)</w:t>
            </w:r>
          </w:p>
        </w:tc>
        <w:tc>
          <w:tcPr>
            <w:tcW w:w="2013" w:type="dxa"/>
          </w:tcPr>
          <w:p w14:paraId="051F4FDD" w14:textId="2D2CCABC" w:rsidR="00C50065" w:rsidRPr="00102859" w:rsidRDefault="00C50065" w:rsidP="00C50065">
            <w:pPr>
              <w:spacing w:line="480" w:lineRule="auto"/>
            </w:pPr>
            <w:r w:rsidRPr="00102859">
              <w:t>0.54 [0.09 to 0.99]</w:t>
            </w:r>
          </w:p>
        </w:tc>
        <w:tc>
          <w:tcPr>
            <w:tcW w:w="3119" w:type="dxa"/>
            <w:vMerge w:val="restart"/>
          </w:tcPr>
          <w:p w14:paraId="277A2968" w14:textId="702E6519" w:rsidR="00C50065" w:rsidRPr="00102859" w:rsidRDefault="00C50065" w:rsidP="00C50065">
            <w:pPr>
              <w:spacing w:line="480" w:lineRule="auto"/>
              <w:rPr>
                <w:sz w:val="24"/>
                <w:szCs w:val="24"/>
              </w:rPr>
            </w:pPr>
            <w:r w:rsidRPr="00102859">
              <w:rPr>
                <w:b/>
                <w:bCs/>
                <w:sz w:val="24"/>
                <w:szCs w:val="24"/>
              </w:rPr>
              <w:t>Imputation analysis</w:t>
            </w:r>
            <w:r w:rsidRPr="00102859">
              <w:rPr>
                <w:sz w:val="24"/>
                <w:szCs w:val="24"/>
              </w:rPr>
              <w:t xml:space="preserve"> </w:t>
            </w:r>
          </w:p>
          <w:p w14:paraId="70999B46" w14:textId="77777777" w:rsidR="00C50065" w:rsidRPr="00102859" w:rsidRDefault="00C50065" w:rsidP="00C50065">
            <w:pPr>
              <w:spacing w:line="480" w:lineRule="auto"/>
              <w:rPr>
                <w:sz w:val="24"/>
                <w:szCs w:val="24"/>
              </w:rPr>
            </w:pPr>
            <w:r w:rsidRPr="00102859">
              <w:rPr>
                <w:sz w:val="24"/>
                <w:szCs w:val="24"/>
              </w:rPr>
              <w:t>At T1: -0.30 [-0.65 to 0.05]</w:t>
            </w:r>
          </w:p>
          <w:p w14:paraId="4FE6CFB4" w14:textId="77777777" w:rsidR="00C50065" w:rsidRPr="00102859" w:rsidRDefault="00C50065" w:rsidP="00C50065">
            <w:pPr>
              <w:spacing w:line="480" w:lineRule="auto"/>
              <w:rPr>
                <w:sz w:val="24"/>
                <w:szCs w:val="24"/>
              </w:rPr>
            </w:pPr>
            <w:r w:rsidRPr="00102859">
              <w:rPr>
                <w:sz w:val="24"/>
                <w:szCs w:val="24"/>
              </w:rPr>
              <w:t xml:space="preserve">At T2: 0.28 [-0.03 to 0.59] </w:t>
            </w:r>
          </w:p>
          <w:p w14:paraId="25288F56" w14:textId="2C6AAD82" w:rsidR="00C50065" w:rsidRPr="00102859" w:rsidRDefault="00C50065" w:rsidP="00C50065">
            <w:pPr>
              <w:spacing w:line="480" w:lineRule="auto"/>
            </w:pPr>
            <w:r w:rsidRPr="00102859">
              <w:rPr>
                <w:sz w:val="24"/>
                <w:szCs w:val="24"/>
              </w:rPr>
              <w:t>At T3: -0.11 [-0.42 to 0.20]</w:t>
            </w:r>
          </w:p>
        </w:tc>
      </w:tr>
      <w:tr w:rsidR="00102859" w:rsidRPr="00102859" w14:paraId="469A2F87" w14:textId="355F86B3" w:rsidTr="0085238F">
        <w:tc>
          <w:tcPr>
            <w:tcW w:w="1484" w:type="dxa"/>
            <w:vMerge/>
          </w:tcPr>
          <w:p w14:paraId="49C8F63D" w14:textId="3DBD95E8" w:rsidR="00C50065" w:rsidRPr="00102859" w:rsidRDefault="00C50065" w:rsidP="00C50065">
            <w:pPr>
              <w:spacing w:line="480" w:lineRule="auto"/>
            </w:pPr>
          </w:p>
        </w:tc>
        <w:tc>
          <w:tcPr>
            <w:tcW w:w="1216" w:type="dxa"/>
          </w:tcPr>
          <w:p w14:paraId="3D9B57CE" w14:textId="7426F80D" w:rsidR="00C50065" w:rsidRPr="00102859" w:rsidRDefault="00C50065" w:rsidP="00C50065">
            <w:pPr>
              <w:spacing w:line="480" w:lineRule="auto"/>
            </w:pPr>
          </w:p>
        </w:tc>
        <w:tc>
          <w:tcPr>
            <w:tcW w:w="1229" w:type="dxa"/>
          </w:tcPr>
          <w:p w14:paraId="0B8444EB" w14:textId="77777777" w:rsidR="00C50065" w:rsidRPr="00102859" w:rsidRDefault="00C50065" w:rsidP="00C50065">
            <w:pPr>
              <w:spacing w:line="480" w:lineRule="auto"/>
            </w:pPr>
          </w:p>
        </w:tc>
        <w:tc>
          <w:tcPr>
            <w:tcW w:w="1878" w:type="dxa"/>
            <w:shd w:val="clear" w:color="auto" w:fill="F2F2F2" w:themeFill="background1" w:themeFillShade="F2"/>
          </w:tcPr>
          <w:p w14:paraId="6C549EFF" w14:textId="70734276"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05647C40" w14:textId="1FD5DF3E" w:rsidR="00C50065" w:rsidRPr="00102859" w:rsidRDefault="00C50065" w:rsidP="00C50065">
            <w:pPr>
              <w:spacing w:line="480" w:lineRule="auto"/>
            </w:pPr>
            <w:r w:rsidRPr="00102859">
              <w:rPr>
                <w:sz w:val="24"/>
                <w:szCs w:val="24"/>
              </w:rPr>
              <w:t xml:space="preserve">3.69 (2.80)  </w:t>
            </w:r>
          </w:p>
        </w:tc>
        <w:tc>
          <w:tcPr>
            <w:tcW w:w="1280" w:type="dxa"/>
            <w:shd w:val="clear" w:color="auto" w:fill="F2F2F2" w:themeFill="background1" w:themeFillShade="F2"/>
          </w:tcPr>
          <w:p w14:paraId="7AFF4E08" w14:textId="6AE21826" w:rsidR="00C50065" w:rsidRPr="00102859" w:rsidRDefault="00C50065" w:rsidP="00C50065">
            <w:pPr>
              <w:spacing w:line="480" w:lineRule="auto"/>
            </w:pPr>
            <w:r w:rsidRPr="00102859">
              <w:rPr>
                <w:sz w:val="24"/>
                <w:szCs w:val="24"/>
              </w:rPr>
              <w:t>4.63 (3.21)</w:t>
            </w:r>
          </w:p>
        </w:tc>
        <w:tc>
          <w:tcPr>
            <w:tcW w:w="959" w:type="dxa"/>
            <w:shd w:val="clear" w:color="auto" w:fill="F2F2F2" w:themeFill="background1" w:themeFillShade="F2"/>
          </w:tcPr>
          <w:p w14:paraId="2F617E3F" w14:textId="7EC566B5" w:rsidR="00C50065" w:rsidRPr="00102859" w:rsidRDefault="00C50065" w:rsidP="00C50065">
            <w:pPr>
              <w:spacing w:line="480" w:lineRule="auto"/>
            </w:pPr>
            <w:r w:rsidRPr="00102859">
              <w:t>4.25 (2.57)</w:t>
            </w:r>
          </w:p>
        </w:tc>
        <w:tc>
          <w:tcPr>
            <w:tcW w:w="2013" w:type="dxa"/>
            <w:shd w:val="clear" w:color="auto" w:fill="F2F2F2" w:themeFill="background1" w:themeFillShade="F2"/>
          </w:tcPr>
          <w:p w14:paraId="6DAAA573" w14:textId="685085B9" w:rsidR="00C50065" w:rsidRPr="00102859" w:rsidRDefault="00C50065" w:rsidP="00C50065">
            <w:pPr>
              <w:spacing w:line="480" w:lineRule="auto"/>
            </w:pPr>
            <w:r w:rsidRPr="00102859">
              <w:t>0.63 [0.27 to 0.99]</w:t>
            </w:r>
          </w:p>
        </w:tc>
        <w:tc>
          <w:tcPr>
            <w:tcW w:w="3119" w:type="dxa"/>
            <w:vMerge/>
          </w:tcPr>
          <w:p w14:paraId="3A40F6D1" w14:textId="77777777" w:rsidR="00C50065" w:rsidRPr="00102859" w:rsidRDefault="00C50065" w:rsidP="00C50065">
            <w:pPr>
              <w:spacing w:line="480" w:lineRule="auto"/>
            </w:pPr>
          </w:p>
        </w:tc>
      </w:tr>
      <w:tr w:rsidR="00102859" w:rsidRPr="00102859" w14:paraId="0A029F00" w14:textId="1D1DBE07" w:rsidTr="00B406F4">
        <w:tc>
          <w:tcPr>
            <w:tcW w:w="1484" w:type="dxa"/>
            <w:vMerge w:val="restart"/>
          </w:tcPr>
          <w:p w14:paraId="6B4DA9B5" w14:textId="5A61784A" w:rsidR="00C50065" w:rsidRPr="00102859" w:rsidRDefault="00C50065" w:rsidP="00C50065">
            <w:pPr>
              <w:spacing w:line="480" w:lineRule="auto"/>
            </w:pPr>
            <w:proofErr w:type="spellStart"/>
            <w:r w:rsidRPr="00102859">
              <w:rPr>
                <w:b/>
                <w:sz w:val="24"/>
                <w:szCs w:val="24"/>
              </w:rPr>
              <w:lastRenderedPageBreak/>
              <w:t>Hyperacusis</w:t>
            </w:r>
            <w:proofErr w:type="spellEnd"/>
            <w:r w:rsidRPr="00102859">
              <w:rPr>
                <w:b/>
                <w:sz w:val="24"/>
                <w:szCs w:val="24"/>
              </w:rPr>
              <w:t xml:space="preserve"> (THS)</w:t>
            </w:r>
          </w:p>
          <w:p w14:paraId="6A7275E0" w14:textId="23EB74A5" w:rsidR="00C50065" w:rsidRPr="00102859" w:rsidRDefault="00C50065" w:rsidP="00C50065">
            <w:pPr>
              <w:spacing w:line="480" w:lineRule="auto"/>
            </w:pPr>
          </w:p>
        </w:tc>
        <w:tc>
          <w:tcPr>
            <w:tcW w:w="1216" w:type="dxa"/>
            <w:vMerge w:val="restart"/>
          </w:tcPr>
          <w:p w14:paraId="59444184" w14:textId="6167E96A" w:rsidR="00C50065" w:rsidRPr="00102859" w:rsidRDefault="00C50065" w:rsidP="00C50065">
            <w:pPr>
              <w:spacing w:line="480" w:lineRule="auto"/>
              <w:rPr>
                <w:sz w:val="24"/>
                <w:szCs w:val="24"/>
              </w:rPr>
            </w:pPr>
            <w:r w:rsidRPr="00102859">
              <w:rPr>
                <w:sz w:val="24"/>
                <w:szCs w:val="24"/>
              </w:rPr>
              <w:t>ICBT group</w:t>
            </w:r>
          </w:p>
        </w:tc>
        <w:tc>
          <w:tcPr>
            <w:tcW w:w="1229" w:type="dxa"/>
            <w:vMerge w:val="restart"/>
          </w:tcPr>
          <w:p w14:paraId="2A925280" w14:textId="0A46A5DD" w:rsidR="00C50065" w:rsidRPr="00102859" w:rsidRDefault="00C50065" w:rsidP="00C50065">
            <w:pPr>
              <w:spacing w:line="480" w:lineRule="auto"/>
              <w:rPr>
                <w:sz w:val="24"/>
                <w:szCs w:val="24"/>
              </w:rPr>
            </w:pPr>
            <w:r w:rsidRPr="00102859">
              <w:rPr>
                <w:sz w:val="24"/>
                <w:szCs w:val="24"/>
              </w:rPr>
              <w:t>1.22 (1.30)</w:t>
            </w:r>
          </w:p>
          <w:p w14:paraId="4A73C168" w14:textId="77777777" w:rsidR="00C50065" w:rsidRPr="00102859" w:rsidRDefault="00C50065" w:rsidP="00C50065">
            <w:pPr>
              <w:spacing w:line="480" w:lineRule="auto"/>
              <w:rPr>
                <w:sz w:val="24"/>
                <w:szCs w:val="24"/>
              </w:rPr>
            </w:pPr>
          </w:p>
        </w:tc>
        <w:tc>
          <w:tcPr>
            <w:tcW w:w="1878" w:type="dxa"/>
          </w:tcPr>
          <w:p w14:paraId="3342062B" w14:textId="77777777" w:rsidR="00C50065" w:rsidRPr="00102859" w:rsidRDefault="00C50065" w:rsidP="00C50065">
            <w:pPr>
              <w:spacing w:line="480" w:lineRule="auto"/>
              <w:jc w:val="both"/>
              <w:rPr>
                <w:sz w:val="24"/>
                <w:szCs w:val="24"/>
              </w:rPr>
            </w:pPr>
            <w:r w:rsidRPr="00102859">
              <w:rPr>
                <w:bCs/>
                <w:sz w:val="24"/>
                <w:szCs w:val="24"/>
              </w:rPr>
              <w:t>Completers analysis</w:t>
            </w:r>
          </w:p>
          <w:p w14:paraId="1674083A" w14:textId="59356156" w:rsidR="00C50065" w:rsidRPr="00102859" w:rsidRDefault="00C50065" w:rsidP="00C50065">
            <w:pPr>
              <w:spacing w:line="480" w:lineRule="auto"/>
            </w:pPr>
          </w:p>
        </w:tc>
        <w:tc>
          <w:tcPr>
            <w:tcW w:w="1418" w:type="dxa"/>
          </w:tcPr>
          <w:p w14:paraId="14CE72E5" w14:textId="22C2639B" w:rsidR="00C50065" w:rsidRPr="00102859" w:rsidRDefault="00C50065" w:rsidP="00C50065">
            <w:pPr>
              <w:spacing w:line="480" w:lineRule="auto"/>
              <w:rPr>
                <w:sz w:val="24"/>
                <w:szCs w:val="24"/>
              </w:rPr>
            </w:pPr>
            <w:r w:rsidRPr="00102859">
              <w:rPr>
                <w:sz w:val="24"/>
                <w:szCs w:val="24"/>
              </w:rPr>
              <w:t>.67 (1.07)</w:t>
            </w:r>
          </w:p>
        </w:tc>
        <w:tc>
          <w:tcPr>
            <w:tcW w:w="1280" w:type="dxa"/>
          </w:tcPr>
          <w:p w14:paraId="46E5E755" w14:textId="620FE4D7" w:rsidR="00C50065" w:rsidRPr="00102859" w:rsidRDefault="00C50065" w:rsidP="00C50065">
            <w:pPr>
              <w:spacing w:line="480" w:lineRule="auto"/>
              <w:rPr>
                <w:sz w:val="24"/>
                <w:szCs w:val="24"/>
              </w:rPr>
            </w:pPr>
            <w:r w:rsidRPr="00102859">
              <w:rPr>
                <w:sz w:val="24"/>
                <w:szCs w:val="24"/>
              </w:rPr>
              <w:t>.67 (1.07)</w:t>
            </w:r>
          </w:p>
        </w:tc>
        <w:tc>
          <w:tcPr>
            <w:tcW w:w="959" w:type="dxa"/>
          </w:tcPr>
          <w:p w14:paraId="6B604F1E" w14:textId="4BCD2E01" w:rsidR="00C50065" w:rsidRPr="00102859" w:rsidRDefault="00C50065" w:rsidP="00C50065">
            <w:pPr>
              <w:spacing w:line="480" w:lineRule="auto"/>
            </w:pPr>
            <w:r w:rsidRPr="00102859">
              <w:t>.47 (.74)</w:t>
            </w:r>
          </w:p>
        </w:tc>
        <w:tc>
          <w:tcPr>
            <w:tcW w:w="2013" w:type="dxa"/>
          </w:tcPr>
          <w:p w14:paraId="22A963F1" w14:textId="07561B7A" w:rsidR="00C50065" w:rsidRPr="00102859" w:rsidRDefault="00C50065" w:rsidP="00C50065">
            <w:pPr>
              <w:spacing w:line="480" w:lineRule="auto"/>
              <w:rPr>
                <w:b/>
              </w:rPr>
            </w:pPr>
            <w:r w:rsidRPr="00102859">
              <w:t>0.44 [-0.01 to 0.90]</w:t>
            </w:r>
          </w:p>
        </w:tc>
        <w:tc>
          <w:tcPr>
            <w:tcW w:w="3119" w:type="dxa"/>
            <w:vMerge w:val="restart"/>
          </w:tcPr>
          <w:p w14:paraId="4BCE6036" w14:textId="21B7AD6C" w:rsidR="00C50065" w:rsidRPr="00102859" w:rsidRDefault="00C50065" w:rsidP="00C50065">
            <w:pPr>
              <w:spacing w:line="480" w:lineRule="auto"/>
              <w:jc w:val="both"/>
              <w:rPr>
                <w:b/>
                <w:bCs/>
                <w:sz w:val="24"/>
                <w:szCs w:val="24"/>
              </w:rPr>
            </w:pPr>
            <w:r w:rsidRPr="00102859">
              <w:rPr>
                <w:b/>
                <w:bCs/>
                <w:sz w:val="24"/>
                <w:szCs w:val="24"/>
              </w:rPr>
              <w:t>Completers analysis</w:t>
            </w:r>
          </w:p>
          <w:p w14:paraId="62531700" w14:textId="77777777" w:rsidR="00C50065" w:rsidRPr="00102859" w:rsidRDefault="00C50065" w:rsidP="00C50065">
            <w:pPr>
              <w:spacing w:line="480" w:lineRule="auto"/>
              <w:rPr>
                <w:sz w:val="24"/>
                <w:szCs w:val="24"/>
              </w:rPr>
            </w:pPr>
            <w:r w:rsidRPr="00102859">
              <w:rPr>
                <w:sz w:val="24"/>
                <w:szCs w:val="24"/>
              </w:rPr>
              <w:t>At T1: 0.27 [-0.27 to 0.80]</w:t>
            </w:r>
          </w:p>
          <w:p w14:paraId="28A64DDE" w14:textId="77777777" w:rsidR="00C50065" w:rsidRPr="00102859" w:rsidRDefault="00C50065" w:rsidP="00C50065">
            <w:pPr>
              <w:spacing w:line="480" w:lineRule="auto"/>
              <w:rPr>
                <w:sz w:val="24"/>
                <w:szCs w:val="24"/>
              </w:rPr>
            </w:pPr>
            <w:r w:rsidRPr="00102859">
              <w:rPr>
                <w:sz w:val="24"/>
                <w:szCs w:val="24"/>
              </w:rPr>
              <w:t>At T2: 0.25 [-0.28 to 0.78]</w:t>
            </w:r>
          </w:p>
          <w:p w14:paraId="1E84CFCB" w14:textId="0F060296" w:rsidR="00C50065" w:rsidRPr="00102859" w:rsidRDefault="00C50065" w:rsidP="00C50065">
            <w:pPr>
              <w:spacing w:line="480" w:lineRule="auto"/>
              <w:jc w:val="both"/>
              <w:rPr>
                <w:b/>
                <w:sz w:val="24"/>
                <w:szCs w:val="24"/>
              </w:rPr>
            </w:pPr>
            <w:r w:rsidRPr="00102859">
              <w:rPr>
                <w:sz w:val="24"/>
                <w:szCs w:val="24"/>
              </w:rPr>
              <w:t>At T3: 0.46 [-0.20 to 1.12]</w:t>
            </w:r>
          </w:p>
          <w:p w14:paraId="59087508" w14:textId="2F25DB79" w:rsidR="00C50065" w:rsidRPr="00102859" w:rsidRDefault="00C50065" w:rsidP="00C50065">
            <w:pPr>
              <w:spacing w:line="480" w:lineRule="auto"/>
            </w:pPr>
          </w:p>
        </w:tc>
      </w:tr>
      <w:tr w:rsidR="00102859" w:rsidRPr="00102859" w14:paraId="53D8733C" w14:textId="33F1F323" w:rsidTr="0085238F">
        <w:tc>
          <w:tcPr>
            <w:tcW w:w="1484" w:type="dxa"/>
            <w:vMerge/>
          </w:tcPr>
          <w:p w14:paraId="1257FC55" w14:textId="77777777" w:rsidR="00C50065" w:rsidRPr="00102859" w:rsidRDefault="00C50065" w:rsidP="00C50065">
            <w:pPr>
              <w:spacing w:line="480" w:lineRule="auto"/>
            </w:pPr>
          </w:p>
        </w:tc>
        <w:tc>
          <w:tcPr>
            <w:tcW w:w="1216" w:type="dxa"/>
            <w:vMerge/>
          </w:tcPr>
          <w:p w14:paraId="5478002D" w14:textId="61E7BFB8" w:rsidR="00C50065" w:rsidRPr="00102859" w:rsidRDefault="00C50065" w:rsidP="00C50065">
            <w:pPr>
              <w:spacing w:line="480" w:lineRule="auto"/>
            </w:pPr>
          </w:p>
        </w:tc>
        <w:tc>
          <w:tcPr>
            <w:tcW w:w="1229" w:type="dxa"/>
            <w:vMerge/>
          </w:tcPr>
          <w:p w14:paraId="1AAB9A23" w14:textId="77777777" w:rsidR="00C50065" w:rsidRPr="00102859" w:rsidRDefault="00C50065" w:rsidP="00C50065">
            <w:pPr>
              <w:spacing w:line="480" w:lineRule="auto"/>
            </w:pPr>
          </w:p>
        </w:tc>
        <w:tc>
          <w:tcPr>
            <w:tcW w:w="1878" w:type="dxa"/>
            <w:shd w:val="clear" w:color="auto" w:fill="F2F2F2" w:themeFill="background1" w:themeFillShade="F2"/>
          </w:tcPr>
          <w:p w14:paraId="4444F7BF" w14:textId="7E5F4258"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24E13BB8" w14:textId="0DAA20F1" w:rsidR="00C50065" w:rsidRPr="00102859" w:rsidRDefault="00C50065" w:rsidP="00C50065">
            <w:pPr>
              <w:spacing w:line="480" w:lineRule="auto"/>
            </w:pPr>
            <w:r w:rsidRPr="00102859">
              <w:rPr>
                <w:sz w:val="24"/>
                <w:szCs w:val="24"/>
              </w:rPr>
              <w:t>.77 (.93)</w:t>
            </w:r>
          </w:p>
        </w:tc>
        <w:tc>
          <w:tcPr>
            <w:tcW w:w="1280" w:type="dxa"/>
            <w:shd w:val="clear" w:color="auto" w:fill="F2F2F2" w:themeFill="background1" w:themeFillShade="F2"/>
          </w:tcPr>
          <w:p w14:paraId="6FBCD9CF" w14:textId="52BE68A2" w:rsidR="00C50065" w:rsidRPr="00102859" w:rsidRDefault="00C50065" w:rsidP="00C50065">
            <w:pPr>
              <w:spacing w:line="480" w:lineRule="auto"/>
            </w:pPr>
            <w:r w:rsidRPr="00102859">
              <w:rPr>
                <w:sz w:val="24"/>
                <w:szCs w:val="24"/>
              </w:rPr>
              <w:t>.8 (.92)</w:t>
            </w:r>
          </w:p>
        </w:tc>
        <w:tc>
          <w:tcPr>
            <w:tcW w:w="959" w:type="dxa"/>
            <w:shd w:val="clear" w:color="auto" w:fill="F2F2F2" w:themeFill="background1" w:themeFillShade="F2"/>
          </w:tcPr>
          <w:p w14:paraId="3AFCBD7B" w14:textId="6DC0F9B2" w:rsidR="00C50065" w:rsidRPr="00102859" w:rsidRDefault="00C50065" w:rsidP="00C50065">
            <w:pPr>
              <w:spacing w:line="480" w:lineRule="auto"/>
            </w:pPr>
            <w:r w:rsidRPr="00102859">
              <w:t>.61 (.69)</w:t>
            </w:r>
          </w:p>
        </w:tc>
        <w:tc>
          <w:tcPr>
            <w:tcW w:w="2013" w:type="dxa"/>
            <w:shd w:val="clear" w:color="auto" w:fill="F2F2F2" w:themeFill="background1" w:themeFillShade="F2"/>
          </w:tcPr>
          <w:p w14:paraId="034A48D3" w14:textId="02407899" w:rsidR="00C50065" w:rsidRPr="00102859" w:rsidRDefault="00C50065" w:rsidP="00C50065">
            <w:pPr>
              <w:spacing w:line="480" w:lineRule="auto"/>
            </w:pPr>
            <w:r w:rsidRPr="00102859">
              <w:t>0.4 [0.04 to 0.75]</w:t>
            </w:r>
          </w:p>
        </w:tc>
        <w:tc>
          <w:tcPr>
            <w:tcW w:w="3119" w:type="dxa"/>
            <w:vMerge/>
          </w:tcPr>
          <w:p w14:paraId="42D8F6A6" w14:textId="77777777" w:rsidR="00C50065" w:rsidRPr="00102859" w:rsidRDefault="00C50065" w:rsidP="00C50065">
            <w:pPr>
              <w:spacing w:line="480" w:lineRule="auto"/>
            </w:pPr>
          </w:p>
        </w:tc>
      </w:tr>
      <w:tr w:rsidR="00102859" w:rsidRPr="00102859" w14:paraId="3C03CE58" w14:textId="4D1B0E34" w:rsidTr="00B406F4">
        <w:tc>
          <w:tcPr>
            <w:tcW w:w="1484" w:type="dxa"/>
            <w:vMerge/>
          </w:tcPr>
          <w:p w14:paraId="54A71A76" w14:textId="4F630A56" w:rsidR="00C50065" w:rsidRPr="00102859" w:rsidRDefault="00C50065" w:rsidP="00C50065">
            <w:pPr>
              <w:spacing w:line="480" w:lineRule="auto"/>
            </w:pPr>
          </w:p>
        </w:tc>
        <w:tc>
          <w:tcPr>
            <w:tcW w:w="1216" w:type="dxa"/>
            <w:vMerge w:val="restart"/>
          </w:tcPr>
          <w:p w14:paraId="219A76C7" w14:textId="7040D536" w:rsidR="00C50065" w:rsidRPr="00102859" w:rsidRDefault="00C50065" w:rsidP="00C50065">
            <w:pPr>
              <w:spacing w:line="480" w:lineRule="auto"/>
              <w:rPr>
                <w:sz w:val="24"/>
                <w:szCs w:val="24"/>
              </w:rPr>
            </w:pPr>
            <w:r w:rsidRPr="00102859">
              <w:t xml:space="preserve">Applied relaxation </w:t>
            </w:r>
            <w:r w:rsidRPr="00102859">
              <w:rPr>
                <w:sz w:val="24"/>
                <w:szCs w:val="24"/>
              </w:rPr>
              <w:t>group</w:t>
            </w:r>
          </w:p>
        </w:tc>
        <w:tc>
          <w:tcPr>
            <w:tcW w:w="1229" w:type="dxa"/>
            <w:vMerge w:val="restart"/>
          </w:tcPr>
          <w:p w14:paraId="3DCB777A" w14:textId="0BE55870" w:rsidR="00C50065" w:rsidRPr="00102859" w:rsidRDefault="00C50065" w:rsidP="00C50065">
            <w:pPr>
              <w:spacing w:line="480" w:lineRule="auto"/>
              <w:rPr>
                <w:sz w:val="24"/>
                <w:szCs w:val="24"/>
              </w:rPr>
            </w:pPr>
            <w:r w:rsidRPr="00102859">
              <w:rPr>
                <w:sz w:val="24"/>
                <w:szCs w:val="24"/>
              </w:rPr>
              <w:t>1.17 (1.40)</w:t>
            </w:r>
          </w:p>
          <w:p w14:paraId="41B34C3A" w14:textId="77777777" w:rsidR="00C50065" w:rsidRPr="00102859" w:rsidRDefault="00C50065" w:rsidP="00C50065">
            <w:pPr>
              <w:spacing w:line="480" w:lineRule="auto"/>
              <w:rPr>
                <w:sz w:val="24"/>
                <w:szCs w:val="24"/>
              </w:rPr>
            </w:pPr>
          </w:p>
        </w:tc>
        <w:tc>
          <w:tcPr>
            <w:tcW w:w="1878" w:type="dxa"/>
          </w:tcPr>
          <w:p w14:paraId="764F8990" w14:textId="77777777" w:rsidR="00C50065" w:rsidRPr="00102859" w:rsidRDefault="00C50065" w:rsidP="00C50065">
            <w:pPr>
              <w:spacing w:line="480" w:lineRule="auto"/>
              <w:jc w:val="both"/>
              <w:rPr>
                <w:sz w:val="24"/>
                <w:szCs w:val="24"/>
              </w:rPr>
            </w:pPr>
            <w:r w:rsidRPr="00102859">
              <w:rPr>
                <w:bCs/>
                <w:sz w:val="24"/>
                <w:szCs w:val="24"/>
              </w:rPr>
              <w:t>Completers analysis</w:t>
            </w:r>
          </w:p>
          <w:p w14:paraId="2AD2A313" w14:textId="2EFA941D" w:rsidR="00C50065" w:rsidRPr="00102859" w:rsidRDefault="00C50065" w:rsidP="00C50065">
            <w:pPr>
              <w:spacing w:line="480" w:lineRule="auto"/>
            </w:pPr>
          </w:p>
        </w:tc>
        <w:tc>
          <w:tcPr>
            <w:tcW w:w="1418" w:type="dxa"/>
          </w:tcPr>
          <w:p w14:paraId="4BDD7BC6" w14:textId="66D8EB95" w:rsidR="00C50065" w:rsidRPr="00102859" w:rsidRDefault="00C50065" w:rsidP="00C50065">
            <w:pPr>
              <w:spacing w:line="480" w:lineRule="auto"/>
              <w:rPr>
                <w:sz w:val="24"/>
                <w:szCs w:val="24"/>
              </w:rPr>
            </w:pPr>
            <w:r w:rsidRPr="00102859">
              <w:rPr>
                <w:sz w:val="24"/>
                <w:szCs w:val="24"/>
              </w:rPr>
              <w:t>1.00 (1.39)</w:t>
            </w:r>
          </w:p>
        </w:tc>
        <w:tc>
          <w:tcPr>
            <w:tcW w:w="1280" w:type="dxa"/>
          </w:tcPr>
          <w:p w14:paraId="25E0BAC8" w14:textId="2D222143" w:rsidR="00C50065" w:rsidRPr="00102859" w:rsidRDefault="00C50065" w:rsidP="00C50065">
            <w:pPr>
              <w:spacing w:line="480" w:lineRule="auto"/>
              <w:rPr>
                <w:sz w:val="24"/>
                <w:szCs w:val="24"/>
              </w:rPr>
            </w:pPr>
            <w:r w:rsidRPr="00102859">
              <w:rPr>
                <w:sz w:val="24"/>
                <w:szCs w:val="24"/>
              </w:rPr>
              <w:t>.96 (1.23)</w:t>
            </w:r>
          </w:p>
        </w:tc>
        <w:tc>
          <w:tcPr>
            <w:tcW w:w="959" w:type="dxa"/>
          </w:tcPr>
          <w:p w14:paraId="62DD8E7A" w14:textId="1914F702" w:rsidR="00C50065" w:rsidRPr="00102859" w:rsidRDefault="00C50065" w:rsidP="00C50065">
            <w:pPr>
              <w:spacing w:line="480" w:lineRule="auto"/>
            </w:pPr>
            <w:r w:rsidRPr="00102859">
              <w:t>.91 (1.08)</w:t>
            </w:r>
          </w:p>
        </w:tc>
        <w:tc>
          <w:tcPr>
            <w:tcW w:w="2013" w:type="dxa"/>
          </w:tcPr>
          <w:p w14:paraId="2BE4CED1" w14:textId="55100436" w:rsidR="00C50065" w:rsidRPr="00102859" w:rsidRDefault="00C50065" w:rsidP="00C50065">
            <w:pPr>
              <w:spacing w:line="480" w:lineRule="auto"/>
            </w:pPr>
            <w:r w:rsidRPr="00102859">
              <w:t>0.06 [-0.38 to 0.51</w:t>
            </w:r>
          </w:p>
        </w:tc>
        <w:tc>
          <w:tcPr>
            <w:tcW w:w="3119" w:type="dxa"/>
            <w:vMerge w:val="restart"/>
          </w:tcPr>
          <w:p w14:paraId="588F1CA3" w14:textId="77777777" w:rsidR="00C50065" w:rsidRPr="00102859" w:rsidRDefault="00C50065" w:rsidP="00C50065">
            <w:pPr>
              <w:spacing w:line="480" w:lineRule="auto"/>
              <w:jc w:val="both"/>
              <w:rPr>
                <w:b/>
                <w:sz w:val="24"/>
                <w:szCs w:val="24"/>
              </w:rPr>
            </w:pPr>
            <w:r w:rsidRPr="00102859">
              <w:rPr>
                <w:b/>
                <w:bCs/>
                <w:sz w:val="24"/>
                <w:szCs w:val="24"/>
              </w:rPr>
              <w:t>Imputation analysis</w:t>
            </w:r>
          </w:p>
          <w:p w14:paraId="1144EE78" w14:textId="77777777" w:rsidR="00C50065" w:rsidRPr="00102859" w:rsidRDefault="00C50065" w:rsidP="00C50065">
            <w:pPr>
              <w:spacing w:line="480" w:lineRule="auto"/>
              <w:rPr>
                <w:b/>
                <w:sz w:val="24"/>
                <w:szCs w:val="24"/>
              </w:rPr>
            </w:pPr>
            <w:r w:rsidRPr="00102859">
              <w:rPr>
                <w:b/>
                <w:sz w:val="24"/>
                <w:szCs w:val="24"/>
              </w:rPr>
              <w:t>At T1: 0.37 [0.01 to 0.72]*</w:t>
            </w:r>
          </w:p>
          <w:p w14:paraId="1C7D394D" w14:textId="77777777" w:rsidR="00C50065" w:rsidRPr="00102859" w:rsidRDefault="00C50065" w:rsidP="00C50065">
            <w:pPr>
              <w:spacing w:line="480" w:lineRule="auto"/>
              <w:rPr>
                <w:sz w:val="24"/>
                <w:szCs w:val="24"/>
              </w:rPr>
            </w:pPr>
            <w:r w:rsidRPr="00102859">
              <w:rPr>
                <w:sz w:val="24"/>
                <w:szCs w:val="24"/>
              </w:rPr>
              <w:t>At T2: 0.23 [-0.12 to 0.58]</w:t>
            </w:r>
          </w:p>
          <w:p w14:paraId="23BA049F" w14:textId="097F35D5" w:rsidR="00C50065" w:rsidRPr="00102859" w:rsidRDefault="00C50065" w:rsidP="00C50065">
            <w:pPr>
              <w:spacing w:line="480" w:lineRule="auto"/>
            </w:pPr>
            <w:r w:rsidRPr="00102859">
              <w:rPr>
                <w:b/>
                <w:sz w:val="24"/>
                <w:szCs w:val="24"/>
              </w:rPr>
              <w:t>At T3: 0.45 [0.09 to 0.80]*</w:t>
            </w:r>
          </w:p>
        </w:tc>
      </w:tr>
      <w:tr w:rsidR="00102859" w:rsidRPr="00102859" w14:paraId="5D069E15" w14:textId="2DFD526F" w:rsidTr="0085238F">
        <w:tc>
          <w:tcPr>
            <w:tcW w:w="1484" w:type="dxa"/>
            <w:vMerge/>
          </w:tcPr>
          <w:p w14:paraId="2FAE48F9" w14:textId="62B1AB93" w:rsidR="00C50065" w:rsidRPr="00102859" w:rsidRDefault="00C50065" w:rsidP="00C50065">
            <w:pPr>
              <w:spacing w:line="480" w:lineRule="auto"/>
            </w:pPr>
          </w:p>
        </w:tc>
        <w:tc>
          <w:tcPr>
            <w:tcW w:w="1216" w:type="dxa"/>
            <w:vMerge/>
          </w:tcPr>
          <w:p w14:paraId="4C32501F" w14:textId="37E2D935" w:rsidR="00C50065" w:rsidRPr="00102859" w:rsidRDefault="00C50065" w:rsidP="00C50065">
            <w:pPr>
              <w:spacing w:line="480" w:lineRule="auto"/>
            </w:pPr>
          </w:p>
        </w:tc>
        <w:tc>
          <w:tcPr>
            <w:tcW w:w="1229" w:type="dxa"/>
            <w:vMerge/>
          </w:tcPr>
          <w:p w14:paraId="4138A308" w14:textId="77777777" w:rsidR="00C50065" w:rsidRPr="00102859" w:rsidRDefault="00C50065" w:rsidP="00C50065">
            <w:pPr>
              <w:spacing w:line="480" w:lineRule="auto"/>
            </w:pPr>
          </w:p>
        </w:tc>
        <w:tc>
          <w:tcPr>
            <w:tcW w:w="1878" w:type="dxa"/>
            <w:shd w:val="clear" w:color="auto" w:fill="F2F2F2" w:themeFill="background1" w:themeFillShade="F2"/>
          </w:tcPr>
          <w:p w14:paraId="34D347B8" w14:textId="3435429A"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28732135" w14:textId="6F6C73D7" w:rsidR="00C50065" w:rsidRPr="00102859" w:rsidRDefault="00C50065" w:rsidP="00C50065">
            <w:pPr>
              <w:spacing w:line="480" w:lineRule="auto"/>
            </w:pPr>
            <w:r w:rsidRPr="00102859">
              <w:rPr>
                <w:sz w:val="24"/>
                <w:szCs w:val="24"/>
              </w:rPr>
              <w:t>1.17 (1.23)</w:t>
            </w:r>
          </w:p>
        </w:tc>
        <w:tc>
          <w:tcPr>
            <w:tcW w:w="1280" w:type="dxa"/>
            <w:shd w:val="clear" w:color="auto" w:fill="F2F2F2" w:themeFill="background1" w:themeFillShade="F2"/>
          </w:tcPr>
          <w:p w14:paraId="63CDAD0B" w14:textId="2EA4F199" w:rsidR="00C50065" w:rsidRPr="00102859" w:rsidRDefault="00C50065" w:rsidP="00C50065">
            <w:pPr>
              <w:spacing w:line="480" w:lineRule="auto"/>
            </w:pPr>
            <w:r w:rsidRPr="00102859">
              <w:rPr>
                <w:sz w:val="24"/>
                <w:szCs w:val="24"/>
              </w:rPr>
              <w:t>1.02 (.98)</w:t>
            </w:r>
          </w:p>
        </w:tc>
        <w:tc>
          <w:tcPr>
            <w:tcW w:w="959" w:type="dxa"/>
            <w:shd w:val="clear" w:color="auto" w:fill="F2F2F2" w:themeFill="background1" w:themeFillShade="F2"/>
          </w:tcPr>
          <w:p w14:paraId="64746113" w14:textId="08D5430B" w:rsidR="00C50065" w:rsidRPr="00102859" w:rsidRDefault="00C50065" w:rsidP="00C50065">
            <w:pPr>
              <w:spacing w:line="480" w:lineRule="auto"/>
            </w:pPr>
            <w:r w:rsidRPr="00102859">
              <w:t>.99 (.97)</w:t>
            </w:r>
          </w:p>
        </w:tc>
        <w:tc>
          <w:tcPr>
            <w:tcW w:w="2013" w:type="dxa"/>
            <w:shd w:val="clear" w:color="auto" w:fill="F2F2F2" w:themeFill="background1" w:themeFillShade="F2"/>
          </w:tcPr>
          <w:p w14:paraId="72AFCADE" w14:textId="3CE4E516" w:rsidR="00C50065" w:rsidRPr="00102859" w:rsidRDefault="00C50065" w:rsidP="00C50065">
            <w:pPr>
              <w:spacing w:line="480" w:lineRule="auto"/>
            </w:pPr>
            <w:r w:rsidRPr="00102859">
              <w:t>0.00 [-0.35 to 0.35]</w:t>
            </w:r>
          </w:p>
        </w:tc>
        <w:tc>
          <w:tcPr>
            <w:tcW w:w="3119" w:type="dxa"/>
            <w:vMerge/>
          </w:tcPr>
          <w:p w14:paraId="424F5B27" w14:textId="77777777" w:rsidR="00C50065" w:rsidRPr="00102859" w:rsidRDefault="00C50065" w:rsidP="00C50065">
            <w:pPr>
              <w:spacing w:line="480" w:lineRule="auto"/>
            </w:pPr>
          </w:p>
        </w:tc>
      </w:tr>
      <w:tr w:rsidR="00102859" w:rsidRPr="00102859" w14:paraId="071F3CA9" w14:textId="03A363F0" w:rsidTr="00B406F4">
        <w:tc>
          <w:tcPr>
            <w:tcW w:w="1484" w:type="dxa"/>
            <w:vMerge w:val="restart"/>
          </w:tcPr>
          <w:p w14:paraId="7966F97C" w14:textId="1776A000" w:rsidR="00C50065" w:rsidRPr="00102859" w:rsidRDefault="00C50065" w:rsidP="00C50065">
            <w:pPr>
              <w:spacing w:line="480" w:lineRule="auto"/>
            </w:pPr>
            <w:r w:rsidRPr="00102859">
              <w:rPr>
                <w:b/>
                <w:sz w:val="24"/>
                <w:szCs w:val="24"/>
              </w:rPr>
              <w:t>Tinnitus cognitions (TCQ)</w:t>
            </w:r>
          </w:p>
          <w:p w14:paraId="45ED43AB" w14:textId="5EBAE590" w:rsidR="00C50065" w:rsidRPr="00102859" w:rsidRDefault="00C50065" w:rsidP="00C50065">
            <w:pPr>
              <w:spacing w:line="480" w:lineRule="auto"/>
            </w:pPr>
          </w:p>
        </w:tc>
        <w:tc>
          <w:tcPr>
            <w:tcW w:w="1216" w:type="dxa"/>
          </w:tcPr>
          <w:p w14:paraId="2CBF5AC1" w14:textId="442E7938" w:rsidR="00C50065" w:rsidRPr="00102859" w:rsidRDefault="00C50065" w:rsidP="00C50065">
            <w:pPr>
              <w:spacing w:line="480" w:lineRule="auto"/>
              <w:rPr>
                <w:sz w:val="24"/>
                <w:szCs w:val="24"/>
              </w:rPr>
            </w:pPr>
            <w:r w:rsidRPr="00102859">
              <w:rPr>
                <w:sz w:val="24"/>
                <w:szCs w:val="24"/>
              </w:rPr>
              <w:t>ICBT group</w:t>
            </w:r>
          </w:p>
        </w:tc>
        <w:tc>
          <w:tcPr>
            <w:tcW w:w="1229" w:type="dxa"/>
          </w:tcPr>
          <w:p w14:paraId="440957BC" w14:textId="43C9F786" w:rsidR="00C50065" w:rsidRPr="00102859" w:rsidRDefault="00C50065" w:rsidP="00C50065">
            <w:pPr>
              <w:spacing w:line="480" w:lineRule="auto"/>
              <w:rPr>
                <w:sz w:val="24"/>
                <w:szCs w:val="24"/>
              </w:rPr>
            </w:pPr>
            <w:r w:rsidRPr="00102859">
              <w:rPr>
                <w:sz w:val="24"/>
                <w:szCs w:val="24"/>
              </w:rPr>
              <w:t>42.52 (18.58)</w:t>
            </w:r>
          </w:p>
        </w:tc>
        <w:tc>
          <w:tcPr>
            <w:tcW w:w="1878" w:type="dxa"/>
          </w:tcPr>
          <w:p w14:paraId="3DEB53D4" w14:textId="77777777" w:rsidR="00C50065" w:rsidRPr="00102859" w:rsidRDefault="00C50065" w:rsidP="00C50065">
            <w:pPr>
              <w:spacing w:line="480" w:lineRule="auto"/>
              <w:jc w:val="both"/>
              <w:rPr>
                <w:sz w:val="24"/>
                <w:szCs w:val="24"/>
              </w:rPr>
            </w:pPr>
            <w:r w:rsidRPr="00102859">
              <w:rPr>
                <w:bCs/>
                <w:sz w:val="24"/>
                <w:szCs w:val="24"/>
              </w:rPr>
              <w:t>Completers analysis</w:t>
            </w:r>
          </w:p>
          <w:p w14:paraId="274C5220" w14:textId="53CF4DF4" w:rsidR="00C50065" w:rsidRPr="00102859" w:rsidRDefault="00C50065" w:rsidP="00C50065">
            <w:pPr>
              <w:spacing w:line="480" w:lineRule="auto"/>
            </w:pPr>
          </w:p>
        </w:tc>
        <w:tc>
          <w:tcPr>
            <w:tcW w:w="1418" w:type="dxa"/>
          </w:tcPr>
          <w:p w14:paraId="47990277" w14:textId="0D12DA45" w:rsidR="00C50065" w:rsidRPr="00102859" w:rsidRDefault="00C50065" w:rsidP="00C50065">
            <w:pPr>
              <w:spacing w:line="480" w:lineRule="auto"/>
              <w:rPr>
                <w:sz w:val="24"/>
                <w:szCs w:val="24"/>
              </w:rPr>
            </w:pPr>
            <w:r w:rsidRPr="00102859">
              <w:rPr>
                <w:sz w:val="24"/>
                <w:szCs w:val="24"/>
              </w:rPr>
              <w:t>27.26 (20.17)</w:t>
            </w:r>
          </w:p>
        </w:tc>
        <w:tc>
          <w:tcPr>
            <w:tcW w:w="1280" w:type="dxa"/>
          </w:tcPr>
          <w:p w14:paraId="31A8A83C" w14:textId="32E44345" w:rsidR="00C50065" w:rsidRPr="00102859" w:rsidRDefault="00C50065" w:rsidP="00C50065">
            <w:pPr>
              <w:spacing w:line="480" w:lineRule="auto"/>
              <w:rPr>
                <w:sz w:val="24"/>
                <w:szCs w:val="24"/>
              </w:rPr>
            </w:pPr>
            <w:r w:rsidRPr="00102859">
              <w:rPr>
                <w:sz w:val="24"/>
                <w:szCs w:val="24"/>
              </w:rPr>
              <w:t>27.26 (20.17)</w:t>
            </w:r>
          </w:p>
        </w:tc>
        <w:tc>
          <w:tcPr>
            <w:tcW w:w="959" w:type="dxa"/>
          </w:tcPr>
          <w:p w14:paraId="0A3F8954" w14:textId="6C77B527" w:rsidR="00C50065" w:rsidRPr="00102859" w:rsidRDefault="00C50065" w:rsidP="00C50065">
            <w:pPr>
              <w:spacing w:line="480" w:lineRule="auto"/>
            </w:pPr>
            <w:r w:rsidRPr="00102859">
              <w:t>23.07 (17.54)</w:t>
            </w:r>
          </w:p>
        </w:tc>
        <w:tc>
          <w:tcPr>
            <w:tcW w:w="2013" w:type="dxa"/>
          </w:tcPr>
          <w:p w14:paraId="510FB22C" w14:textId="14E9BFA4" w:rsidR="00C50065" w:rsidRPr="00102859" w:rsidRDefault="00C50065" w:rsidP="00C50065">
            <w:pPr>
              <w:spacing w:line="480" w:lineRule="auto"/>
            </w:pPr>
            <w:r w:rsidRPr="00102859">
              <w:t>0.80 [0.33 to 1.27]</w:t>
            </w:r>
          </w:p>
        </w:tc>
        <w:tc>
          <w:tcPr>
            <w:tcW w:w="3119" w:type="dxa"/>
            <w:vMerge w:val="restart"/>
          </w:tcPr>
          <w:p w14:paraId="3816E7DC" w14:textId="77777777" w:rsidR="00C50065" w:rsidRPr="00102859" w:rsidRDefault="00C50065" w:rsidP="00C50065">
            <w:pPr>
              <w:spacing w:line="480" w:lineRule="auto"/>
              <w:rPr>
                <w:b/>
                <w:bCs/>
                <w:sz w:val="24"/>
                <w:szCs w:val="24"/>
              </w:rPr>
            </w:pPr>
            <w:r w:rsidRPr="00102859">
              <w:rPr>
                <w:b/>
                <w:bCs/>
                <w:sz w:val="24"/>
                <w:szCs w:val="24"/>
              </w:rPr>
              <w:t>Completers analysis</w:t>
            </w:r>
          </w:p>
          <w:p w14:paraId="13599AC1" w14:textId="77777777" w:rsidR="00C50065" w:rsidRPr="00102859" w:rsidRDefault="00C50065" w:rsidP="00C50065">
            <w:pPr>
              <w:spacing w:line="480" w:lineRule="auto"/>
              <w:rPr>
                <w:sz w:val="24"/>
                <w:szCs w:val="24"/>
              </w:rPr>
            </w:pPr>
            <w:r w:rsidRPr="00102859">
              <w:rPr>
                <w:sz w:val="24"/>
                <w:szCs w:val="24"/>
              </w:rPr>
              <w:t>At T1: 0.18 [-0.35 to 0.71]</w:t>
            </w:r>
          </w:p>
          <w:p w14:paraId="6F92897F" w14:textId="77777777" w:rsidR="00C50065" w:rsidRPr="00102859" w:rsidRDefault="00C50065" w:rsidP="00C50065">
            <w:pPr>
              <w:spacing w:line="480" w:lineRule="auto"/>
              <w:rPr>
                <w:sz w:val="24"/>
                <w:szCs w:val="24"/>
              </w:rPr>
            </w:pPr>
            <w:r w:rsidRPr="00102859">
              <w:rPr>
                <w:sz w:val="24"/>
                <w:szCs w:val="24"/>
              </w:rPr>
              <w:t>At T2: 0.09 [-0.44 to 0.617]</w:t>
            </w:r>
          </w:p>
          <w:p w14:paraId="243281E7" w14:textId="42CEED69" w:rsidR="00C50065" w:rsidRPr="00102859" w:rsidRDefault="00C50065" w:rsidP="00C50065">
            <w:pPr>
              <w:spacing w:line="480" w:lineRule="auto"/>
            </w:pPr>
            <w:r w:rsidRPr="00102859">
              <w:rPr>
                <w:sz w:val="24"/>
                <w:szCs w:val="24"/>
              </w:rPr>
              <w:t xml:space="preserve">At T3: </w:t>
            </w:r>
            <w:r w:rsidRPr="00102859">
              <w:t>0.14 [-0.52 to 0.79]</w:t>
            </w:r>
          </w:p>
        </w:tc>
      </w:tr>
      <w:tr w:rsidR="00102859" w:rsidRPr="00102859" w14:paraId="1DC79904" w14:textId="45374750" w:rsidTr="004669E4">
        <w:tc>
          <w:tcPr>
            <w:tcW w:w="1484" w:type="dxa"/>
            <w:vMerge/>
          </w:tcPr>
          <w:p w14:paraId="7F769612" w14:textId="3C188D19" w:rsidR="00C50065" w:rsidRPr="00102859" w:rsidRDefault="00C50065" w:rsidP="00C50065">
            <w:pPr>
              <w:spacing w:line="480" w:lineRule="auto"/>
            </w:pPr>
          </w:p>
        </w:tc>
        <w:tc>
          <w:tcPr>
            <w:tcW w:w="1216" w:type="dxa"/>
          </w:tcPr>
          <w:p w14:paraId="03682AC0" w14:textId="251D31B2" w:rsidR="00C50065" w:rsidRPr="00102859" w:rsidRDefault="00C50065" w:rsidP="00C50065">
            <w:pPr>
              <w:spacing w:line="480" w:lineRule="auto"/>
            </w:pPr>
          </w:p>
        </w:tc>
        <w:tc>
          <w:tcPr>
            <w:tcW w:w="1229" w:type="dxa"/>
          </w:tcPr>
          <w:p w14:paraId="4E3CC51E" w14:textId="77777777" w:rsidR="00C50065" w:rsidRPr="00102859" w:rsidRDefault="00C50065" w:rsidP="00C50065">
            <w:pPr>
              <w:spacing w:line="480" w:lineRule="auto"/>
            </w:pPr>
          </w:p>
        </w:tc>
        <w:tc>
          <w:tcPr>
            <w:tcW w:w="1878" w:type="dxa"/>
            <w:shd w:val="clear" w:color="auto" w:fill="F2F2F2" w:themeFill="background1" w:themeFillShade="F2"/>
          </w:tcPr>
          <w:p w14:paraId="0C62E0AD" w14:textId="07FBB73F"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4851F8FB" w14:textId="1E22EC09" w:rsidR="00C50065" w:rsidRPr="00102859" w:rsidRDefault="00C50065" w:rsidP="00C50065">
            <w:pPr>
              <w:spacing w:line="480" w:lineRule="auto"/>
            </w:pPr>
            <w:r w:rsidRPr="00102859">
              <w:rPr>
                <w:sz w:val="24"/>
                <w:szCs w:val="24"/>
              </w:rPr>
              <w:t>26.95 (13.45)</w:t>
            </w:r>
          </w:p>
        </w:tc>
        <w:tc>
          <w:tcPr>
            <w:tcW w:w="1280" w:type="dxa"/>
            <w:shd w:val="clear" w:color="auto" w:fill="F2F2F2" w:themeFill="background1" w:themeFillShade="F2"/>
          </w:tcPr>
          <w:p w14:paraId="0BC98E80" w14:textId="3CC5CB71" w:rsidR="00C50065" w:rsidRPr="00102859" w:rsidRDefault="00C50065" w:rsidP="00C50065">
            <w:pPr>
              <w:spacing w:line="480" w:lineRule="auto"/>
            </w:pPr>
            <w:r w:rsidRPr="00102859">
              <w:rPr>
                <w:sz w:val="24"/>
                <w:szCs w:val="24"/>
              </w:rPr>
              <w:t>27.46 (13.45)</w:t>
            </w:r>
          </w:p>
        </w:tc>
        <w:tc>
          <w:tcPr>
            <w:tcW w:w="959" w:type="dxa"/>
            <w:shd w:val="clear" w:color="auto" w:fill="F2F2F2" w:themeFill="background1" w:themeFillShade="F2"/>
          </w:tcPr>
          <w:p w14:paraId="4E6C8BC2" w14:textId="0B1A9468" w:rsidR="00C50065" w:rsidRPr="00102859" w:rsidRDefault="00C50065" w:rsidP="00C50065">
            <w:pPr>
              <w:spacing w:line="480" w:lineRule="auto"/>
            </w:pPr>
            <w:r w:rsidRPr="00102859">
              <w:t>23.66 (9.19)</w:t>
            </w:r>
          </w:p>
        </w:tc>
        <w:tc>
          <w:tcPr>
            <w:tcW w:w="2013" w:type="dxa"/>
            <w:shd w:val="clear" w:color="auto" w:fill="F2F2F2" w:themeFill="background1" w:themeFillShade="F2"/>
          </w:tcPr>
          <w:p w14:paraId="1BB5854D" w14:textId="0F2F5003" w:rsidR="00C50065" w:rsidRPr="00102859" w:rsidRDefault="00C50065" w:rsidP="00C50065">
            <w:pPr>
              <w:spacing w:line="480" w:lineRule="auto"/>
            </w:pPr>
            <w:r w:rsidRPr="00102859">
              <w:t>0.96 [0.59 to 1.32]</w:t>
            </w:r>
          </w:p>
        </w:tc>
        <w:tc>
          <w:tcPr>
            <w:tcW w:w="3119" w:type="dxa"/>
            <w:vMerge/>
          </w:tcPr>
          <w:p w14:paraId="26213AEE" w14:textId="77777777" w:rsidR="00C50065" w:rsidRPr="00102859" w:rsidRDefault="00C50065" w:rsidP="00C50065">
            <w:pPr>
              <w:spacing w:line="480" w:lineRule="auto"/>
            </w:pPr>
          </w:p>
        </w:tc>
      </w:tr>
      <w:tr w:rsidR="00102859" w:rsidRPr="00102859" w14:paraId="016021CA" w14:textId="376F0B03" w:rsidTr="00B406F4">
        <w:tc>
          <w:tcPr>
            <w:tcW w:w="1484" w:type="dxa"/>
            <w:vMerge/>
          </w:tcPr>
          <w:p w14:paraId="3E2C1640" w14:textId="3022010A" w:rsidR="00C50065" w:rsidRPr="00102859" w:rsidRDefault="00C50065" w:rsidP="00C50065">
            <w:pPr>
              <w:spacing w:line="480" w:lineRule="auto"/>
            </w:pPr>
          </w:p>
        </w:tc>
        <w:tc>
          <w:tcPr>
            <w:tcW w:w="1216" w:type="dxa"/>
          </w:tcPr>
          <w:p w14:paraId="5466DB7C" w14:textId="3CFE9F3A" w:rsidR="00C50065" w:rsidRPr="00102859" w:rsidRDefault="00C50065" w:rsidP="00C50065">
            <w:pPr>
              <w:spacing w:line="480" w:lineRule="auto"/>
              <w:rPr>
                <w:sz w:val="24"/>
                <w:szCs w:val="24"/>
              </w:rPr>
            </w:pPr>
            <w:r w:rsidRPr="00102859">
              <w:t xml:space="preserve">Applied relaxation </w:t>
            </w:r>
            <w:r w:rsidRPr="00102859">
              <w:rPr>
                <w:sz w:val="24"/>
                <w:szCs w:val="24"/>
              </w:rPr>
              <w:t>group</w:t>
            </w:r>
          </w:p>
        </w:tc>
        <w:tc>
          <w:tcPr>
            <w:tcW w:w="1229" w:type="dxa"/>
          </w:tcPr>
          <w:p w14:paraId="08FF17D1" w14:textId="300F54D1" w:rsidR="00C50065" w:rsidRPr="00102859" w:rsidRDefault="00C50065" w:rsidP="00C50065">
            <w:pPr>
              <w:spacing w:line="480" w:lineRule="auto"/>
              <w:rPr>
                <w:sz w:val="24"/>
                <w:szCs w:val="24"/>
              </w:rPr>
            </w:pPr>
            <w:r w:rsidRPr="00102859">
              <w:rPr>
                <w:sz w:val="24"/>
                <w:szCs w:val="24"/>
              </w:rPr>
              <w:t>44.67 (20.43)</w:t>
            </w:r>
          </w:p>
        </w:tc>
        <w:tc>
          <w:tcPr>
            <w:tcW w:w="1878" w:type="dxa"/>
          </w:tcPr>
          <w:p w14:paraId="285F1F31" w14:textId="77777777" w:rsidR="00C50065" w:rsidRPr="00102859" w:rsidRDefault="00C50065" w:rsidP="00C50065">
            <w:pPr>
              <w:spacing w:line="480" w:lineRule="auto"/>
              <w:jc w:val="both"/>
              <w:rPr>
                <w:sz w:val="24"/>
                <w:szCs w:val="24"/>
              </w:rPr>
            </w:pPr>
            <w:r w:rsidRPr="00102859">
              <w:rPr>
                <w:bCs/>
                <w:sz w:val="24"/>
                <w:szCs w:val="24"/>
              </w:rPr>
              <w:t>Completers analysis</w:t>
            </w:r>
          </w:p>
          <w:p w14:paraId="35BFF373" w14:textId="7FAF05EA" w:rsidR="00C50065" w:rsidRPr="00102859" w:rsidRDefault="00C50065" w:rsidP="00C50065">
            <w:pPr>
              <w:spacing w:line="480" w:lineRule="auto"/>
            </w:pPr>
          </w:p>
        </w:tc>
        <w:tc>
          <w:tcPr>
            <w:tcW w:w="1418" w:type="dxa"/>
          </w:tcPr>
          <w:p w14:paraId="0E029947" w14:textId="4A623CB6" w:rsidR="00C50065" w:rsidRPr="00102859" w:rsidRDefault="00C50065" w:rsidP="00C50065">
            <w:pPr>
              <w:spacing w:line="480" w:lineRule="auto"/>
              <w:rPr>
                <w:sz w:val="24"/>
                <w:szCs w:val="24"/>
              </w:rPr>
            </w:pPr>
            <w:r w:rsidRPr="00102859">
              <w:rPr>
                <w:sz w:val="24"/>
                <w:szCs w:val="24"/>
              </w:rPr>
              <w:t>30.96 (20.03)</w:t>
            </w:r>
          </w:p>
        </w:tc>
        <w:tc>
          <w:tcPr>
            <w:tcW w:w="1280" w:type="dxa"/>
          </w:tcPr>
          <w:p w14:paraId="14BEEF32" w14:textId="16995AFC" w:rsidR="00C50065" w:rsidRPr="00102859" w:rsidRDefault="00C50065" w:rsidP="00C50065">
            <w:pPr>
              <w:spacing w:line="480" w:lineRule="auto"/>
              <w:rPr>
                <w:sz w:val="24"/>
                <w:szCs w:val="24"/>
              </w:rPr>
            </w:pPr>
            <w:r w:rsidRPr="00102859">
              <w:rPr>
                <w:sz w:val="24"/>
                <w:szCs w:val="24"/>
              </w:rPr>
              <w:t>28.93 (17.81)</w:t>
            </w:r>
          </w:p>
        </w:tc>
        <w:tc>
          <w:tcPr>
            <w:tcW w:w="959" w:type="dxa"/>
          </w:tcPr>
          <w:p w14:paraId="7F1D4C7E" w14:textId="725A5E06" w:rsidR="00C50065" w:rsidRPr="00102859" w:rsidRDefault="00C50065" w:rsidP="00C50065">
            <w:pPr>
              <w:spacing w:line="480" w:lineRule="auto"/>
            </w:pPr>
            <w:r w:rsidRPr="00102859">
              <w:t>25.30 (15.84)</w:t>
            </w:r>
          </w:p>
        </w:tc>
        <w:tc>
          <w:tcPr>
            <w:tcW w:w="2013" w:type="dxa"/>
          </w:tcPr>
          <w:p w14:paraId="48F5DAB4" w14:textId="4EB44800" w:rsidR="00C50065" w:rsidRPr="00102859" w:rsidRDefault="00C50065" w:rsidP="00C50065">
            <w:pPr>
              <w:spacing w:line="480" w:lineRule="auto"/>
            </w:pPr>
            <w:r w:rsidRPr="00102859">
              <w:t>0.67 [0.22 to 1.13]</w:t>
            </w:r>
          </w:p>
        </w:tc>
        <w:tc>
          <w:tcPr>
            <w:tcW w:w="3119" w:type="dxa"/>
            <w:vMerge w:val="restart"/>
          </w:tcPr>
          <w:p w14:paraId="126788EF" w14:textId="48A57CF7" w:rsidR="00C50065" w:rsidRPr="00102859" w:rsidRDefault="00C50065" w:rsidP="00C50065">
            <w:pPr>
              <w:spacing w:line="480" w:lineRule="auto"/>
              <w:jc w:val="both"/>
              <w:rPr>
                <w:b/>
                <w:sz w:val="24"/>
                <w:szCs w:val="24"/>
              </w:rPr>
            </w:pPr>
            <w:r w:rsidRPr="00102859">
              <w:rPr>
                <w:b/>
                <w:bCs/>
                <w:sz w:val="24"/>
                <w:szCs w:val="24"/>
              </w:rPr>
              <w:t>Imputation analysis</w:t>
            </w:r>
          </w:p>
          <w:p w14:paraId="78DE95B3" w14:textId="77777777" w:rsidR="00C50065" w:rsidRPr="00102859" w:rsidRDefault="00C50065" w:rsidP="00C50065">
            <w:pPr>
              <w:spacing w:line="480" w:lineRule="auto"/>
              <w:rPr>
                <w:sz w:val="24"/>
                <w:szCs w:val="24"/>
              </w:rPr>
            </w:pPr>
            <w:r w:rsidRPr="00102859">
              <w:rPr>
                <w:sz w:val="24"/>
                <w:szCs w:val="24"/>
              </w:rPr>
              <w:t>At T1: 0.30 [-0.05 to 0.65]</w:t>
            </w:r>
          </w:p>
          <w:p w14:paraId="0E21FEDF" w14:textId="77777777" w:rsidR="00C50065" w:rsidRPr="00102859" w:rsidRDefault="00C50065" w:rsidP="00C50065">
            <w:pPr>
              <w:spacing w:line="480" w:lineRule="auto"/>
              <w:rPr>
                <w:sz w:val="24"/>
                <w:szCs w:val="24"/>
              </w:rPr>
            </w:pPr>
            <w:r w:rsidRPr="00102859">
              <w:rPr>
                <w:sz w:val="24"/>
                <w:szCs w:val="24"/>
              </w:rPr>
              <w:t>At T2: 0.25 [-0.06 to 0.56]</w:t>
            </w:r>
          </w:p>
          <w:p w14:paraId="44CA61B4" w14:textId="77135DB3" w:rsidR="00C50065" w:rsidRPr="00102859" w:rsidRDefault="00C50065" w:rsidP="00C50065">
            <w:pPr>
              <w:spacing w:line="480" w:lineRule="auto"/>
            </w:pPr>
            <w:r w:rsidRPr="00102859">
              <w:rPr>
                <w:sz w:val="24"/>
                <w:szCs w:val="24"/>
              </w:rPr>
              <w:t>At T3: -0.03 [-0.34 to 0.28]</w:t>
            </w:r>
          </w:p>
        </w:tc>
      </w:tr>
      <w:tr w:rsidR="00102859" w:rsidRPr="00102859" w14:paraId="2BA27F3D" w14:textId="54787357" w:rsidTr="0085238F">
        <w:tc>
          <w:tcPr>
            <w:tcW w:w="1484" w:type="dxa"/>
            <w:vMerge/>
          </w:tcPr>
          <w:p w14:paraId="0AF788D3" w14:textId="55BCFFF5" w:rsidR="00C50065" w:rsidRPr="00102859" w:rsidRDefault="00C50065" w:rsidP="00C50065">
            <w:pPr>
              <w:spacing w:line="480" w:lineRule="auto"/>
            </w:pPr>
          </w:p>
        </w:tc>
        <w:tc>
          <w:tcPr>
            <w:tcW w:w="1216" w:type="dxa"/>
          </w:tcPr>
          <w:p w14:paraId="5548C5F7" w14:textId="6F2E4BFB" w:rsidR="00C50065" w:rsidRPr="00102859" w:rsidRDefault="00C50065" w:rsidP="00C50065">
            <w:pPr>
              <w:spacing w:line="480" w:lineRule="auto"/>
            </w:pPr>
          </w:p>
        </w:tc>
        <w:tc>
          <w:tcPr>
            <w:tcW w:w="1229" w:type="dxa"/>
          </w:tcPr>
          <w:p w14:paraId="63DF813A" w14:textId="77777777" w:rsidR="00C50065" w:rsidRPr="00102859" w:rsidRDefault="00C50065" w:rsidP="00C50065">
            <w:pPr>
              <w:spacing w:line="480" w:lineRule="auto"/>
            </w:pPr>
          </w:p>
        </w:tc>
        <w:tc>
          <w:tcPr>
            <w:tcW w:w="1878" w:type="dxa"/>
            <w:shd w:val="clear" w:color="auto" w:fill="F2F2F2" w:themeFill="background1" w:themeFillShade="F2"/>
          </w:tcPr>
          <w:p w14:paraId="106D6883" w14:textId="643C6F2B" w:rsidR="00C50065" w:rsidRPr="00102859" w:rsidRDefault="00C50065" w:rsidP="00C50065">
            <w:pPr>
              <w:spacing w:line="480" w:lineRule="auto"/>
            </w:pPr>
            <w:r w:rsidRPr="00102859">
              <w:rPr>
                <w:bCs/>
                <w:sz w:val="24"/>
                <w:szCs w:val="24"/>
              </w:rPr>
              <w:t>Imputation analysis</w:t>
            </w:r>
          </w:p>
        </w:tc>
        <w:tc>
          <w:tcPr>
            <w:tcW w:w="1418" w:type="dxa"/>
            <w:shd w:val="clear" w:color="auto" w:fill="F2F2F2" w:themeFill="background1" w:themeFillShade="F2"/>
          </w:tcPr>
          <w:p w14:paraId="504F2648" w14:textId="664068B1" w:rsidR="00C50065" w:rsidRPr="00102859" w:rsidRDefault="00C50065" w:rsidP="00C50065">
            <w:pPr>
              <w:spacing w:line="480" w:lineRule="auto"/>
            </w:pPr>
            <w:r w:rsidRPr="00102859">
              <w:rPr>
                <w:sz w:val="24"/>
                <w:szCs w:val="24"/>
              </w:rPr>
              <w:t>31.01 (13.49)</w:t>
            </w:r>
          </w:p>
        </w:tc>
        <w:tc>
          <w:tcPr>
            <w:tcW w:w="1280" w:type="dxa"/>
            <w:shd w:val="clear" w:color="auto" w:fill="F2F2F2" w:themeFill="background1" w:themeFillShade="F2"/>
          </w:tcPr>
          <w:p w14:paraId="077C76F2" w14:textId="4FFD4A9B" w:rsidR="00C50065" w:rsidRPr="00102859" w:rsidRDefault="00C50065" w:rsidP="00C50065">
            <w:pPr>
              <w:spacing w:line="480" w:lineRule="auto"/>
            </w:pPr>
            <w:r w:rsidRPr="00102859">
              <w:rPr>
                <w:sz w:val="24"/>
                <w:szCs w:val="24"/>
              </w:rPr>
              <w:t>28.91 (12.12)</w:t>
            </w:r>
          </w:p>
        </w:tc>
        <w:tc>
          <w:tcPr>
            <w:tcW w:w="959" w:type="dxa"/>
            <w:shd w:val="clear" w:color="auto" w:fill="F2F2F2" w:themeFill="background1" w:themeFillShade="F2"/>
          </w:tcPr>
          <w:p w14:paraId="4CEBCCC6" w14:textId="43240343" w:rsidR="00C50065" w:rsidRPr="00102859" w:rsidRDefault="00C50065" w:rsidP="00C50065">
            <w:pPr>
              <w:spacing w:line="480" w:lineRule="auto"/>
            </w:pPr>
            <w:r w:rsidRPr="00102859">
              <w:t>26.05 (10.10)</w:t>
            </w:r>
          </w:p>
        </w:tc>
        <w:tc>
          <w:tcPr>
            <w:tcW w:w="2013" w:type="dxa"/>
            <w:shd w:val="clear" w:color="auto" w:fill="F2F2F2" w:themeFill="background1" w:themeFillShade="F2"/>
          </w:tcPr>
          <w:p w14:paraId="77845AF6" w14:textId="41FF034C" w:rsidR="00C50065" w:rsidRPr="00102859" w:rsidRDefault="00C50065" w:rsidP="00C50065">
            <w:pPr>
              <w:spacing w:line="480" w:lineRule="auto"/>
            </w:pPr>
            <w:r w:rsidRPr="00102859">
              <w:t>0.79 [0.42 to 1.15]</w:t>
            </w:r>
          </w:p>
        </w:tc>
        <w:tc>
          <w:tcPr>
            <w:tcW w:w="3119" w:type="dxa"/>
            <w:vMerge/>
          </w:tcPr>
          <w:p w14:paraId="6861D015" w14:textId="613FABC5" w:rsidR="00C50065" w:rsidRPr="00102859" w:rsidRDefault="00C50065" w:rsidP="00C50065">
            <w:pPr>
              <w:spacing w:line="480" w:lineRule="auto"/>
            </w:pPr>
          </w:p>
        </w:tc>
      </w:tr>
    </w:tbl>
    <w:p w14:paraId="212B165C" w14:textId="35130C40" w:rsidR="00345A8A" w:rsidRPr="00102859" w:rsidRDefault="00345A8A" w:rsidP="005C34DD">
      <w:pPr>
        <w:spacing w:line="480" w:lineRule="auto"/>
      </w:pPr>
    </w:p>
    <w:p w14:paraId="4018F4CE" w14:textId="1C3F8EF6" w:rsidR="00DF0067" w:rsidRPr="00102859" w:rsidRDefault="00DF0067" w:rsidP="005C34DD">
      <w:pPr>
        <w:spacing w:line="480" w:lineRule="auto"/>
      </w:pPr>
    </w:p>
    <w:p w14:paraId="17055568" w14:textId="673616AF" w:rsidR="00204D1F" w:rsidRPr="00102859" w:rsidRDefault="00204D1F" w:rsidP="005C34DD">
      <w:pPr>
        <w:spacing w:line="480" w:lineRule="auto"/>
        <w:rPr>
          <w:b/>
          <w:bCs/>
        </w:rPr>
      </w:pPr>
      <w:r w:rsidRPr="00102859">
        <w:rPr>
          <w:b/>
          <w:bCs/>
        </w:rPr>
        <w:t>Table 4: Random intercept mixed model results</w:t>
      </w:r>
      <w:r w:rsidR="004C267E" w:rsidRPr="00102859">
        <w:rPr>
          <w:b/>
          <w:bCs/>
        </w:rPr>
        <w:t xml:space="preserve"> using results from the imputation data</w:t>
      </w:r>
      <w:r w:rsidR="00E33E41" w:rsidRPr="00102859">
        <w:rPr>
          <w:b/>
          <w:bCs/>
        </w:rPr>
        <w:t xml:space="preserve"> comparing the full ICBT group and</w:t>
      </w:r>
      <w:r w:rsidR="007E0CF8" w:rsidRPr="00102859">
        <w:rPr>
          <w:b/>
          <w:bCs/>
        </w:rPr>
        <w:t xml:space="preserve"> applied</w:t>
      </w:r>
      <w:r w:rsidR="00E33E41" w:rsidRPr="00102859">
        <w:rPr>
          <w:b/>
          <w:bCs/>
        </w:rPr>
        <w:t xml:space="preserve"> </w:t>
      </w:r>
      <w:r w:rsidR="007E0CF8" w:rsidRPr="00102859">
        <w:rPr>
          <w:b/>
          <w:bCs/>
        </w:rPr>
        <w:t xml:space="preserve">relaxation </w:t>
      </w:r>
      <w:r w:rsidR="00E33E41" w:rsidRPr="00102859">
        <w:rPr>
          <w:b/>
          <w:bCs/>
        </w:rPr>
        <w:t>group</w:t>
      </w:r>
      <w:r w:rsidR="00F51D43" w:rsidRPr="00102859">
        <w:rPr>
          <w:b/>
          <w:bCs/>
        </w:rPr>
        <w:t>. Significant results (</w:t>
      </w:r>
      <w:r w:rsidR="00F51D43" w:rsidRPr="00102859">
        <w:rPr>
          <w:b/>
          <w:bCs/>
          <w:i/>
        </w:rPr>
        <w:t>p</w:t>
      </w:r>
      <w:r w:rsidR="00F51D43" w:rsidRPr="00102859">
        <w:rPr>
          <w:b/>
          <w:bCs/>
        </w:rPr>
        <w:t xml:space="preserve"> &lt; .05</w:t>
      </w:r>
      <w:r w:rsidR="00227A39" w:rsidRPr="00102859">
        <w:rPr>
          <w:b/>
          <w:bCs/>
        </w:rPr>
        <w:t>)</w:t>
      </w:r>
      <w:r w:rsidR="00F51D43" w:rsidRPr="00102859">
        <w:rPr>
          <w:b/>
          <w:bCs/>
        </w:rPr>
        <w:t xml:space="preserve"> in bold and end with a *</w:t>
      </w:r>
      <w:r w:rsidR="00E3658F" w:rsidRPr="00102859">
        <w:rPr>
          <w:b/>
          <w:bCs/>
        </w:rPr>
        <w:t>.</w:t>
      </w:r>
    </w:p>
    <w:tbl>
      <w:tblPr>
        <w:tblStyle w:val="TableGrid"/>
        <w:tblW w:w="13940" w:type="dxa"/>
        <w:tblInd w:w="10" w:type="dxa"/>
        <w:tblLook w:val="04A0" w:firstRow="1" w:lastRow="0" w:firstColumn="1" w:lastColumn="0" w:noHBand="0" w:noVBand="1"/>
      </w:tblPr>
      <w:tblGrid>
        <w:gridCol w:w="1305"/>
        <w:gridCol w:w="1272"/>
        <w:gridCol w:w="1248"/>
        <w:gridCol w:w="1248"/>
        <w:gridCol w:w="1252"/>
        <w:gridCol w:w="1248"/>
        <w:gridCol w:w="1248"/>
        <w:gridCol w:w="1248"/>
        <w:gridCol w:w="1248"/>
        <w:gridCol w:w="1344"/>
        <w:gridCol w:w="1279"/>
      </w:tblGrid>
      <w:tr w:rsidR="00102859" w:rsidRPr="00102859" w14:paraId="533EF029" w14:textId="77777777" w:rsidTr="00174629">
        <w:tc>
          <w:tcPr>
            <w:tcW w:w="1304" w:type="dxa"/>
          </w:tcPr>
          <w:p w14:paraId="1BAE5C47" w14:textId="05108BD1" w:rsidR="00227A39" w:rsidRPr="00102859" w:rsidRDefault="00227A39" w:rsidP="005C34DD">
            <w:pPr>
              <w:spacing w:line="480" w:lineRule="auto"/>
              <w:rPr>
                <w:b/>
              </w:rPr>
            </w:pPr>
            <w:r w:rsidRPr="00102859">
              <w:rPr>
                <w:b/>
                <w:sz w:val="24"/>
                <w:szCs w:val="24"/>
              </w:rPr>
              <w:t>Outcome predictor</w:t>
            </w:r>
          </w:p>
        </w:tc>
        <w:tc>
          <w:tcPr>
            <w:tcW w:w="12636" w:type="dxa"/>
            <w:gridSpan w:val="10"/>
          </w:tcPr>
          <w:p w14:paraId="0649AB58" w14:textId="5A12A6B9" w:rsidR="00227A39" w:rsidRPr="00102859" w:rsidRDefault="00227A39" w:rsidP="005C34DD">
            <w:pPr>
              <w:spacing w:line="480" w:lineRule="auto"/>
              <w:rPr>
                <w:b/>
              </w:rPr>
            </w:pPr>
            <w:r w:rsidRPr="00102859">
              <w:rPr>
                <w:b/>
                <w:sz w:val="24"/>
                <w:szCs w:val="24"/>
              </w:rPr>
              <w:t>Type III Test of Fixed Effects</w:t>
            </w:r>
          </w:p>
        </w:tc>
      </w:tr>
      <w:tr w:rsidR="00102859" w:rsidRPr="00102859" w14:paraId="678F82C4" w14:textId="77777777" w:rsidTr="00174629">
        <w:tc>
          <w:tcPr>
            <w:tcW w:w="1304" w:type="dxa"/>
          </w:tcPr>
          <w:p w14:paraId="1AD41C73" w14:textId="77777777" w:rsidR="007F2B1C" w:rsidRPr="00102859" w:rsidRDefault="007F2B1C" w:rsidP="005C34DD">
            <w:pPr>
              <w:spacing w:line="480" w:lineRule="auto"/>
              <w:rPr>
                <w:b/>
                <w:sz w:val="24"/>
                <w:szCs w:val="24"/>
              </w:rPr>
            </w:pPr>
          </w:p>
        </w:tc>
        <w:tc>
          <w:tcPr>
            <w:tcW w:w="1269" w:type="dxa"/>
          </w:tcPr>
          <w:p w14:paraId="5654206C" w14:textId="77777777" w:rsidR="007F2B1C" w:rsidRPr="00102859" w:rsidRDefault="007F2B1C" w:rsidP="005C34DD">
            <w:pPr>
              <w:spacing w:line="480" w:lineRule="auto"/>
              <w:rPr>
                <w:b/>
                <w:sz w:val="24"/>
                <w:szCs w:val="24"/>
              </w:rPr>
            </w:pPr>
            <w:r w:rsidRPr="00102859">
              <w:rPr>
                <w:b/>
                <w:sz w:val="24"/>
                <w:szCs w:val="24"/>
              </w:rPr>
              <w:t>Tinnitus</w:t>
            </w:r>
          </w:p>
        </w:tc>
        <w:tc>
          <w:tcPr>
            <w:tcW w:w="1245" w:type="dxa"/>
          </w:tcPr>
          <w:p w14:paraId="746CB55C" w14:textId="77777777" w:rsidR="007F2B1C" w:rsidRPr="00102859" w:rsidRDefault="007F2B1C" w:rsidP="005C34DD">
            <w:pPr>
              <w:spacing w:line="480" w:lineRule="auto"/>
              <w:rPr>
                <w:b/>
                <w:sz w:val="24"/>
                <w:szCs w:val="24"/>
              </w:rPr>
            </w:pPr>
            <w:r w:rsidRPr="00102859">
              <w:rPr>
                <w:b/>
                <w:sz w:val="24"/>
                <w:szCs w:val="24"/>
              </w:rPr>
              <w:t>Anxiety</w:t>
            </w:r>
          </w:p>
        </w:tc>
        <w:tc>
          <w:tcPr>
            <w:tcW w:w="1256" w:type="dxa"/>
          </w:tcPr>
          <w:p w14:paraId="09767A5E" w14:textId="77777777" w:rsidR="007F2B1C" w:rsidRPr="00102859" w:rsidRDefault="007F2B1C" w:rsidP="005C34DD">
            <w:pPr>
              <w:spacing w:line="480" w:lineRule="auto"/>
              <w:rPr>
                <w:b/>
                <w:sz w:val="24"/>
                <w:szCs w:val="24"/>
              </w:rPr>
            </w:pPr>
            <w:r w:rsidRPr="00102859">
              <w:rPr>
                <w:b/>
                <w:sz w:val="24"/>
                <w:szCs w:val="24"/>
              </w:rPr>
              <w:t>Depression</w:t>
            </w:r>
          </w:p>
        </w:tc>
        <w:tc>
          <w:tcPr>
            <w:tcW w:w="1256" w:type="dxa"/>
          </w:tcPr>
          <w:p w14:paraId="21412A03" w14:textId="77777777" w:rsidR="007F2B1C" w:rsidRPr="00102859" w:rsidRDefault="007F2B1C" w:rsidP="005C34DD">
            <w:pPr>
              <w:spacing w:line="480" w:lineRule="auto"/>
              <w:rPr>
                <w:b/>
                <w:sz w:val="24"/>
                <w:szCs w:val="24"/>
              </w:rPr>
            </w:pPr>
            <w:r w:rsidRPr="00102859">
              <w:rPr>
                <w:b/>
                <w:sz w:val="24"/>
                <w:szCs w:val="24"/>
              </w:rPr>
              <w:t>Insomnia</w:t>
            </w:r>
          </w:p>
        </w:tc>
        <w:tc>
          <w:tcPr>
            <w:tcW w:w="1256" w:type="dxa"/>
          </w:tcPr>
          <w:p w14:paraId="5BF581F7" w14:textId="12CCAC00" w:rsidR="007F2B1C" w:rsidRPr="00102859" w:rsidRDefault="007F2B1C" w:rsidP="005C34DD">
            <w:pPr>
              <w:spacing w:line="480" w:lineRule="auto"/>
              <w:rPr>
                <w:b/>
                <w:sz w:val="24"/>
                <w:szCs w:val="24"/>
              </w:rPr>
            </w:pPr>
            <w:r w:rsidRPr="00102859">
              <w:rPr>
                <w:b/>
                <w:sz w:val="24"/>
                <w:szCs w:val="24"/>
              </w:rPr>
              <w:t>EQ-5D</w:t>
            </w:r>
            <w:r w:rsidR="001C5D1A" w:rsidRPr="00102859">
              <w:rPr>
                <w:b/>
                <w:sz w:val="24"/>
                <w:szCs w:val="24"/>
              </w:rPr>
              <w:t>-5L</w:t>
            </w:r>
          </w:p>
        </w:tc>
        <w:tc>
          <w:tcPr>
            <w:tcW w:w="1256" w:type="dxa"/>
          </w:tcPr>
          <w:p w14:paraId="7487C881" w14:textId="30A8F7F8" w:rsidR="007F2B1C" w:rsidRPr="00102859" w:rsidRDefault="001C5D1A" w:rsidP="005C34DD">
            <w:pPr>
              <w:spacing w:line="480" w:lineRule="auto"/>
              <w:rPr>
                <w:b/>
                <w:sz w:val="24"/>
                <w:szCs w:val="24"/>
              </w:rPr>
            </w:pPr>
            <w:r w:rsidRPr="00102859">
              <w:rPr>
                <w:b/>
                <w:sz w:val="24"/>
                <w:szCs w:val="24"/>
              </w:rPr>
              <w:t>EQ-5D</w:t>
            </w:r>
            <w:r w:rsidR="00AC31C9" w:rsidRPr="00102859">
              <w:rPr>
                <w:b/>
                <w:sz w:val="24"/>
                <w:szCs w:val="24"/>
              </w:rPr>
              <w:t>-</w:t>
            </w:r>
            <w:r w:rsidR="007F2B1C" w:rsidRPr="00102859">
              <w:rPr>
                <w:b/>
                <w:sz w:val="24"/>
                <w:szCs w:val="24"/>
              </w:rPr>
              <w:t>VAS</w:t>
            </w:r>
          </w:p>
        </w:tc>
        <w:tc>
          <w:tcPr>
            <w:tcW w:w="1256" w:type="dxa"/>
          </w:tcPr>
          <w:p w14:paraId="0FC0CC73" w14:textId="77777777" w:rsidR="007F2B1C" w:rsidRPr="00102859" w:rsidRDefault="007F2B1C" w:rsidP="005C34DD">
            <w:pPr>
              <w:spacing w:line="480" w:lineRule="auto"/>
              <w:rPr>
                <w:b/>
              </w:rPr>
            </w:pPr>
            <w:r w:rsidRPr="00102859">
              <w:rPr>
                <w:b/>
              </w:rPr>
              <w:t>THS_</w:t>
            </w:r>
          </w:p>
          <w:p w14:paraId="7BF68C0F" w14:textId="5EFFA098" w:rsidR="007F2B1C" w:rsidRPr="00102859" w:rsidRDefault="007F2B1C" w:rsidP="005C34DD">
            <w:pPr>
              <w:spacing w:line="480" w:lineRule="auto"/>
              <w:rPr>
                <w:b/>
              </w:rPr>
            </w:pPr>
            <w:r w:rsidRPr="00102859">
              <w:rPr>
                <w:b/>
              </w:rPr>
              <w:t>Tinnitus</w:t>
            </w:r>
          </w:p>
        </w:tc>
        <w:tc>
          <w:tcPr>
            <w:tcW w:w="1245" w:type="dxa"/>
          </w:tcPr>
          <w:p w14:paraId="353AC32C" w14:textId="5491E477" w:rsidR="007F2B1C" w:rsidRPr="00102859" w:rsidRDefault="007F2B1C" w:rsidP="005C34DD">
            <w:pPr>
              <w:spacing w:line="480" w:lineRule="auto"/>
              <w:rPr>
                <w:b/>
                <w:sz w:val="24"/>
                <w:szCs w:val="24"/>
              </w:rPr>
            </w:pPr>
            <w:r w:rsidRPr="00102859">
              <w:rPr>
                <w:b/>
                <w:sz w:val="24"/>
                <w:szCs w:val="24"/>
              </w:rPr>
              <w:t>Hearing disability</w:t>
            </w:r>
          </w:p>
        </w:tc>
        <w:tc>
          <w:tcPr>
            <w:tcW w:w="1341" w:type="dxa"/>
          </w:tcPr>
          <w:p w14:paraId="2A5E362B" w14:textId="77777777" w:rsidR="007F2B1C" w:rsidRPr="00102859" w:rsidRDefault="007F2B1C" w:rsidP="005C34DD">
            <w:pPr>
              <w:spacing w:line="480" w:lineRule="auto"/>
              <w:rPr>
                <w:b/>
                <w:sz w:val="24"/>
                <w:szCs w:val="24"/>
              </w:rPr>
            </w:pPr>
            <w:proofErr w:type="spellStart"/>
            <w:r w:rsidRPr="00102859">
              <w:rPr>
                <w:b/>
                <w:sz w:val="24"/>
                <w:szCs w:val="24"/>
              </w:rPr>
              <w:t>Hyperacusis</w:t>
            </w:r>
            <w:proofErr w:type="spellEnd"/>
          </w:p>
        </w:tc>
        <w:tc>
          <w:tcPr>
            <w:tcW w:w="1256" w:type="dxa"/>
          </w:tcPr>
          <w:p w14:paraId="7B50D886" w14:textId="65FA182D" w:rsidR="007F2B1C" w:rsidRPr="00102859" w:rsidRDefault="007F2B1C" w:rsidP="005C34DD">
            <w:pPr>
              <w:spacing w:line="480" w:lineRule="auto"/>
              <w:rPr>
                <w:b/>
                <w:sz w:val="24"/>
                <w:szCs w:val="24"/>
              </w:rPr>
            </w:pPr>
            <w:r w:rsidRPr="00102859">
              <w:rPr>
                <w:b/>
                <w:sz w:val="24"/>
                <w:szCs w:val="24"/>
              </w:rPr>
              <w:t>Tinnitus cognitions</w:t>
            </w:r>
          </w:p>
        </w:tc>
      </w:tr>
      <w:tr w:rsidR="00102859" w:rsidRPr="00102859" w14:paraId="03B23078" w14:textId="77777777" w:rsidTr="00174629">
        <w:tc>
          <w:tcPr>
            <w:tcW w:w="1304" w:type="dxa"/>
          </w:tcPr>
          <w:p w14:paraId="41807947" w14:textId="7CF7450E" w:rsidR="002F4F73" w:rsidRPr="00102859" w:rsidRDefault="002F4F73" w:rsidP="002F4F73">
            <w:pPr>
              <w:spacing w:line="480" w:lineRule="auto"/>
            </w:pPr>
            <w:r w:rsidRPr="00102859">
              <w:rPr>
                <w:sz w:val="24"/>
                <w:szCs w:val="24"/>
              </w:rPr>
              <w:t>Intercept</w:t>
            </w:r>
            <w:r w:rsidR="00174629" w:rsidRPr="00102859">
              <w:rPr>
                <w:sz w:val="24"/>
                <w:szCs w:val="24"/>
              </w:rPr>
              <w:t xml:space="preserve">: for </w:t>
            </w:r>
            <w:r w:rsidR="00174629" w:rsidRPr="00102859">
              <w:rPr>
                <w:sz w:val="24"/>
                <w:szCs w:val="24"/>
              </w:rPr>
              <w:lastRenderedPageBreak/>
              <w:t>completers analysis</w:t>
            </w:r>
          </w:p>
        </w:tc>
        <w:tc>
          <w:tcPr>
            <w:tcW w:w="1269" w:type="dxa"/>
          </w:tcPr>
          <w:p w14:paraId="78B97F11" w14:textId="32AD1C34" w:rsidR="002F4F73" w:rsidRPr="00102859" w:rsidRDefault="002F4F73" w:rsidP="002F4F73">
            <w:pPr>
              <w:spacing w:line="480" w:lineRule="auto"/>
              <w:rPr>
                <w:bCs/>
              </w:rPr>
            </w:pPr>
            <w:r w:rsidRPr="00102859">
              <w:rPr>
                <w:bCs/>
                <w:i/>
              </w:rPr>
              <w:lastRenderedPageBreak/>
              <w:t>F</w:t>
            </w:r>
            <w:r w:rsidRPr="00102859">
              <w:rPr>
                <w:bCs/>
              </w:rPr>
              <w:t xml:space="preserve">(1,135.889) = </w:t>
            </w:r>
            <w:r w:rsidRPr="00102859">
              <w:rPr>
                <w:bCs/>
              </w:rPr>
              <w:lastRenderedPageBreak/>
              <w:t>279.812,</w:t>
            </w:r>
            <w:r w:rsidRPr="00102859">
              <w:rPr>
                <w:bCs/>
                <w:i/>
              </w:rPr>
              <w:t xml:space="preserve"> p</w:t>
            </w:r>
            <w:r w:rsidRPr="00102859">
              <w:rPr>
                <w:bCs/>
              </w:rPr>
              <w:t xml:space="preserve"> &lt; .001*</w:t>
            </w:r>
          </w:p>
        </w:tc>
        <w:tc>
          <w:tcPr>
            <w:tcW w:w="1245" w:type="dxa"/>
          </w:tcPr>
          <w:p w14:paraId="7F4CAD0D" w14:textId="7A670C55" w:rsidR="002F4F73" w:rsidRPr="00102859" w:rsidRDefault="002F4F73" w:rsidP="002F4F73">
            <w:pPr>
              <w:spacing w:line="480" w:lineRule="auto"/>
              <w:rPr>
                <w:bCs/>
              </w:rPr>
            </w:pPr>
            <w:r w:rsidRPr="00102859">
              <w:rPr>
                <w:bCs/>
                <w:i/>
              </w:rPr>
              <w:lastRenderedPageBreak/>
              <w:t>F</w:t>
            </w:r>
            <w:r w:rsidRPr="00102859">
              <w:rPr>
                <w:bCs/>
              </w:rPr>
              <w:t xml:space="preserve">(1,137.907) = </w:t>
            </w:r>
            <w:r w:rsidRPr="00102859">
              <w:rPr>
                <w:bCs/>
              </w:rPr>
              <w:lastRenderedPageBreak/>
              <w:t>137.540,</w:t>
            </w:r>
            <w:r w:rsidRPr="00102859">
              <w:rPr>
                <w:bCs/>
                <w:i/>
              </w:rPr>
              <w:t xml:space="preserve"> p</w:t>
            </w:r>
            <w:r w:rsidRPr="00102859">
              <w:rPr>
                <w:bCs/>
              </w:rPr>
              <w:t xml:space="preserve"> &lt; .001*</w:t>
            </w:r>
          </w:p>
        </w:tc>
        <w:tc>
          <w:tcPr>
            <w:tcW w:w="1256" w:type="dxa"/>
          </w:tcPr>
          <w:p w14:paraId="3B97D1EB" w14:textId="3FBCE771" w:rsidR="002F4F73" w:rsidRPr="00102859" w:rsidRDefault="002F4F73" w:rsidP="002F4F73">
            <w:pPr>
              <w:spacing w:line="480" w:lineRule="auto"/>
              <w:rPr>
                <w:bCs/>
              </w:rPr>
            </w:pPr>
            <w:r w:rsidRPr="00102859">
              <w:rPr>
                <w:bCs/>
                <w:i/>
              </w:rPr>
              <w:lastRenderedPageBreak/>
              <w:t>F</w:t>
            </w:r>
            <w:r w:rsidRPr="00102859">
              <w:rPr>
                <w:bCs/>
              </w:rPr>
              <w:t xml:space="preserve">(1,136.156) = </w:t>
            </w:r>
            <w:r w:rsidRPr="00102859">
              <w:rPr>
                <w:bCs/>
              </w:rPr>
              <w:lastRenderedPageBreak/>
              <w:t>128.012,</w:t>
            </w:r>
            <w:r w:rsidRPr="00102859">
              <w:rPr>
                <w:bCs/>
                <w:i/>
              </w:rPr>
              <w:t xml:space="preserve"> p</w:t>
            </w:r>
            <w:r w:rsidRPr="00102859">
              <w:rPr>
                <w:bCs/>
              </w:rPr>
              <w:t xml:space="preserve"> &lt; .001*</w:t>
            </w:r>
          </w:p>
        </w:tc>
        <w:tc>
          <w:tcPr>
            <w:tcW w:w="1256" w:type="dxa"/>
          </w:tcPr>
          <w:p w14:paraId="4A5D0A80" w14:textId="4785265A" w:rsidR="002F4F73" w:rsidRPr="00102859" w:rsidRDefault="002F4F73" w:rsidP="002F4F73">
            <w:pPr>
              <w:spacing w:line="480" w:lineRule="auto"/>
              <w:rPr>
                <w:bCs/>
              </w:rPr>
            </w:pPr>
            <w:r w:rsidRPr="00102859">
              <w:rPr>
                <w:bCs/>
                <w:i/>
              </w:rPr>
              <w:lastRenderedPageBreak/>
              <w:t>F</w:t>
            </w:r>
            <w:r w:rsidRPr="00102859">
              <w:rPr>
                <w:bCs/>
              </w:rPr>
              <w:t xml:space="preserve">(1,139.383) = </w:t>
            </w:r>
            <w:r w:rsidRPr="00102859">
              <w:rPr>
                <w:bCs/>
              </w:rPr>
              <w:lastRenderedPageBreak/>
              <w:t>212.545,</w:t>
            </w:r>
            <w:r w:rsidRPr="00102859">
              <w:rPr>
                <w:bCs/>
                <w:i/>
              </w:rPr>
              <w:t xml:space="preserve"> p</w:t>
            </w:r>
            <w:r w:rsidRPr="00102859">
              <w:rPr>
                <w:bCs/>
              </w:rPr>
              <w:t xml:space="preserve"> &lt; .001*</w:t>
            </w:r>
          </w:p>
        </w:tc>
        <w:tc>
          <w:tcPr>
            <w:tcW w:w="1256" w:type="dxa"/>
          </w:tcPr>
          <w:p w14:paraId="6E689A14" w14:textId="72FF9789" w:rsidR="002F4F73" w:rsidRPr="00102859" w:rsidRDefault="002F4F73" w:rsidP="00496D9C">
            <w:pPr>
              <w:spacing w:line="480" w:lineRule="auto"/>
              <w:rPr>
                <w:bCs/>
              </w:rPr>
            </w:pPr>
            <w:r w:rsidRPr="00102859">
              <w:rPr>
                <w:bCs/>
                <w:i/>
              </w:rPr>
              <w:lastRenderedPageBreak/>
              <w:t>F</w:t>
            </w:r>
            <w:r w:rsidRPr="00102859">
              <w:rPr>
                <w:bCs/>
              </w:rPr>
              <w:t>(1,</w:t>
            </w:r>
            <w:r w:rsidR="00496D9C" w:rsidRPr="00102859">
              <w:rPr>
                <w:bCs/>
              </w:rPr>
              <w:t>137.975</w:t>
            </w:r>
            <w:r w:rsidRPr="00102859">
              <w:rPr>
                <w:bCs/>
              </w:rPr>
              <w:t xml:space="preserve">) = </w:t>
            </w:r>
            <w:r w:rsidR="00496D9C" w:rsidRPr="00102859">
              <w:rPr>
                <w:bCs/>
              </w:rPr>
              <w:lastRenderedPageBreak/>
              <w:t>815.462</w:t>
            </w:r>
            <w:r w:rsidRPr="00102859">
              <w:rPr>
                <w:bCs/>
              </w:rPr>
              <w:t>,</w:t>
            </w:r>
            <w:r w:rsidRPr="00102859">
              <w:rPr>
                <w:bCs/>
                <w:i/>
              </w:rPr>
              <w:t xml:space="preserve"> p</w:t>
            </w:r>
            <w:r w:rsidRPr="00102859">
              <w:rPr>
                <w:bCs/>
              </w:rPr>
              <w:t xml:space="preserve"> &lt; .001*</w:t>
            </w:r>
          </w:p>
        </w:tc>
        <w:tc>
          <w:tcPr>
            <w:tcW w:w="1256" w:type="dxa"/>
          </w:tcPr>
          <w:p w14:paraId="3DEBD957" w14:textId="5556F866" w:rsidR="002F4F73" w:rsidRPr="00102859" w:rsidRDefault="002F4F73" w:rsidP="002F4F73">
            <w:pPr>
              <w:spacing w:line="480" w:lineRule="auto"/>
              <w:rPr>
                <w:bCs/>
              </w:rPr>
            </w:pPr>
            <w:r w:rsidRPr="00102859">
              <w:rPr>
                <w:bCs/>
                <w:i/>
              </w:rPr>
              <w:lastRenderedPageBreak/>
              <w:t>F</w:t>
            </w:r>
            <w:r w:rsidRPr="00102859">
              <w:rPr>
                <w:bCs/>
              </w:rPr>
              <w:t>(1,</w:t>
            </w:r>
            <w:r w:rsidR="00366AA4" w:rsidRPr="00102859">
              <w:rPr>
                <w:bCs/>
              </w:rPr>
              <w:t>145.346</w:t>
            </w:r>
            <w:r w:rsidRPr="00102859">
              <w:rPr>
                <w:bCs/>
              </w:rPr>
              <w:t xml:space="preserve">) = </w:t>
            </w:r>
            <w:r w:rsidRPr="00102859">
              <w:rPr>
                <w:bCs/>
              </w:rPr>
              <w:lastRenderedPageBreak/>
              <w:t>280</w:t>
            </w:r>
            <w:r w:rsidR="00366AA4" w:rsidRPr="00102859">
              <w:rPr>
                <w:bCs/>
              </w:rPr>
              <w:t>5</w:t>
            </w:r>
            <w:r w:rsidRPr="00102859">
              <w:rPr>
                <w:bCs/>
              </w:rPr>
              <w:t>.</w:t>
            </w:r>
            <w:r w:rsidR="00366AA4" w:rsidRPr="00102859">
              <w:rPr>
                <w:bCs/>
              </w:rPr>
              <w:t>553</w:t>
            </w:r>
            <w:r w:rsidRPr="00102859">
              <w:rPr>
                <w:bCs/>
              </w:rPr>
              <w:t>,</w:t>
            </w:r>
            <w:r w:rsidRPr="00102859">
              <w:rPr>
                <w:bCs/>
                <w:i/>
              </w:rPr>
              <w:t xml:space="preserve"> p</w:t>
            </w:r>
            <w:r w:rsidRPr="00102859">
              <w:rPr>
                <w:bCs/>
              </w:rPr>
              <w:t xml:space="preserve"> &lt; .001*</w:t>
            </w:r>
          </w:p>
        </w:tc>
        <w:tc>
          <w:tcPr>
            <w:tcW w:w="1256" w:type="dxa"/>
          </w:tcPr>
          <w:p w14:paraId="1683569B" w14:textId="4BC89D98" w:rsidR="002F4F73" w:rsidRPr="00102859" w:rsidRDefault="002F4F73" w:rsidP="002F4F73">
            <w:pPr>
              <w:spacing w:line="480" w:lineRule="auto"/>
              <w:rPr>
                <w:bCs/>
                <w:i/>
              </w:rPr>
            </w:pPr>
            <w:r w:rsidRPr="00102859">
              <w:rPr>
                <w:bCs/>
                <w:i/>
              </w:rPr>
              <w:lastRenderedPageBreak/>
              <w:t>F</w:t>
            </w:r>
            <w:r w:rsidRPr="00102859">
              <w:rPr>
                <w:bCs/>
              </w:rPr>
              <w:t>(1,1</w:t>
            </w:r>
            <w:r w:rsidR="00E65F5F" w:rsidRPr="00102859">
              <w:rPr>
                <w:bCs/>
              </w:rPr>
              <w:t>39</w:t>
            </w:r>
            <w:r w:rsidRPr="00102859">
              <w:rPr>
                <w:bCs/>
              </w:rPr>
              <w:t>.</w:t>
            </w:r>
            <w:r w:rsidR="00E65F5F" w:rsidRPr="00102859">
              <w:rPr>
                <w:bCs/>
              </w:rPr>
              <w:t>395</w:t>
            </w:r>
            <w:r w:rsidRPr="00102859">
              <w:rPr>
                <w:bCs/>
              </w:rPr>
              <w:t xml:space="preserve">) = </w:t>
            </w:r>
            <w:r w:rsidR="00E65F5F" w:rsidRPr="00102859">
              <w:rPr>
                <w:bCs/>
              </w:rPr>
              <w:lastRenderedPageBreak/>
              <w:t>1</w:t>
            </w:r>
            <w:r w:rsidRPr="00102859">
              <w:rPr>
                <w:bCs/>
              </w:rPr>
              <w:t>26.</w:t>
            </w:r>
            <w:r w:rsidR="00E65F5F" w:rsidRPr="00102859">
              <w:rPr>
                <w:bCs/>
              </w:rPr>
              <w:t>098</w:t>
            </w:r>
            <w:r w:rsidRPr="00102859">
              <w:rPr>
                <w:bCs/>
              </w:rPr>
              <w:t>,</w:t>
            </w:r>
            <w:r w:rsidRPr="00102859">
              <w:rPr>
                <w:bCs/>
                <w:i/>
              </w:rPr>
              <w:t xml:space="preserve"> p</w:t>
            </w:r>
            <w:r w:rsidRPr="00102859">
              <w:rPr>
                <w:bCs/>
              </w:rPr>
              <w:t xml:space="preserve"> &lt; .001*</w:t>
            </w:r>
          </w:p>
        </w:tc>
        <w:tc>
          <w:tcPr>
            <w:tcW w:w="1245" w:type="dxa"/>
          </w:tcPr>
          <w:p w14:paraId="71546B2B" w14:textId="00B1AEDC" w:rsidR="002F4F73" w:rsidRPr="00102859" w:rsidRDefault="002F4F73" w:rsidP="00E65F5F">
            <w:pPr>
              <w:spacing w:line="480" w:lineRule="auto"/>
              <w:rPr>
                <w:bCs/>
              </w:rPr>
            </w:pPr>
            <w:r w:rsidRPr="00102859">
              <w:rPr>
                <w:bCs/>
                <w:i/>
              </w:rPr>
              <w:lastRenderedPageBreak/>
              <w:t>F</w:t>
            </w:r>
            <w:r w:rsidRPr="00102859">
              <w:rPr>
                <w:bCs/>
              </w:rPr>
              <w:t>(1,</w:t>
            </w:r>
            <w:r w:rsidR="00E65F5F" w:rsidRPr="00102859">
              <w:rPr>
                <w:bCs/>
              </w:rPr>
              <w:t>139.287</w:t>
            </w:r>
            <w:r w:rsidRPr="00102859">
              <w:rPr>
                <w:bCs/>
              </w:rPr>
              <w:t xml:space="preserve">) = </w:t>
            </w:r>
            <w:r w:rsidR="00E65F5F" w:rsidRPr="00102859">
              <w:rPr>
                <w:bCs/>
              </w:rPr>
              <w:lastRenderedPageBreak/>
              <w:t>121.851</w:t>
            </w:r>
            <w:r w:rsidRPr="00102859">
              <w:rPr>
                <w:bCs/>
              </w:rPr>
              <w:t>,</w:t>
            </w:r>
            <w:r w:rsidRPr="00102859">
              <w:rPr>
                <w:bCs/>
                <w:i/>
              </w:rPr>
              <w:t xml:space="preserve"> p</w:t>
            </w:r>
            <w:r w:rsidRPr="00102859">
              <w:rPr>
                <w:bCs/>
              </w:rPr>
              <w:t xml:space="preserve"> &lt; .001*</w:t>
            </w:r>
          </w:p>
        </w:tc>
        <w:tc>
          <w:tcPr>
            <w:tcW w:w="1341" w:type="dxa"/>
          </w:tcPr>
          <w:p w14:paraId="4EA03B8B" w14:textId="2953FB20" w:rsidR="002F4F73" w:rsidRPr="00102859" w:rsidRDefault="002F4F73" w:rsidP="005626BE">
            <w:pPr>
              <w:spacing w:line="480" w:lineRule="auto"/>
              <w:rPr>
                <w:bCs/>
              </w:rPr>
            </w:pPr>
            <w:r w:rsidRPr="00102859">
              <w:rPr>
                <w:bCs/>
                <w:i/>
              </w:rPr>
              <w:lastRenderedPageBreak/>
              <w:t>F</w:t>
            </w:r>
            <w:r w:rsidRPr="00102859">
              <w:rPr>
                <w:bCs/>
              </w:rPr>
              <w:t>(1,</w:t>
            </w:r>
            <w:r w:rsidR="005626BE" w:rsidRPr="00102859">
              <w:rPr>
                <w:bCs/>
              </w:rPr>
              <w:t>139.838</w:t>
            </w:r>
            <w:r w:rsidRPr="00102859">
              <w:rPr>
                <w:bCs/>
              </w:rPr>
              <w:t xml:space="preserve">) = </w:t>
            </w:r>
            <w:r w:rsidR="005626BE" w:rsidRPr="00102859">
              <w:rPr>
                <w:bCs/>
              </w:rPr>
              <w:t>71.98</w:t>
            </w:r>
            <w:r w:rsidRPr="00102859">
              <w:rPr>
                <w:bCs/>
              </w:rPr>
              <w:t>,</w:t>
            </w:r>
            <w:r w:rsidRPr="00102859">
              <w:rPr>
                <w:bCs/>
                <w:i/>
              </w:rPr>
              <w:t xml:space="preserve"> p</w:t>
            </w:r>
            <w:r w:rsidRPr="00102859">
              <w:rPr>
                <w:bCs/>
              </w:rPr>
              <w:t xml:space="preserve"> &lt; .001*</w:t>
            </w:r>
          </w:p>
        </w:tc>
        <w:tc>
          <w:tcPr>
            <w:tcW w:w="1256" w:type="dxa"/>
          </w:tcPr>
          <w:p w14:paraId="74192520" w14:textId="62C7A939" w:rsidR="002F4F73" w:rsidRPr="00102859" w:rsidRDefault="002F4F73" w:rsidP="002F4F73">
            <w:pPr>
              <w:spacing w:line="480" w:lineRule="auto"/>
              <w:rPr>
                <w:bCs/>
              </w:rPr>
            </w:pPr>
            <w:r w:rsidRPr="00102859">
              <w:rPr>
                <w:bCs/>
                <w:i/>
              </w:rPr>
              <w:t>F</w:t>
            </w:r>
            <w:r w:rsidRPr="00102859">
              <w:rPr>
                <w:bCs/>
              </w:rPr>
              <w:t>(1,1</w:t>
            </w:r>
            <w:r w:rsidR="005626BE" w:rsidRPr="00102859">
              <w:rPr>
                <w:bCs/>
              </w:rPr>
              <w:t>4</w:t>
            </w:r>
            <w:r w:rsidRPr="00102859">
              <w:rPr>
                <w:bCs/>
              </w:rPr>
              <w:t>2.</w:t>
            </w:r>
            <w:r w:rsidR="005626BE" w:rsidRPr="00102859">
              <w:rPr>
                <w:bCs/>
              </w:rPr>
              <w:t>865</w:t>
            </w:r>
            <w:r w:rsidRPr="00102859">
              <w:rPr>
                <w:bCs/>
              </w:rPr>
              <w:t xml:space="preserve">) = </w:t>
            </w:r>
            <w:r w:rsidR="005626BE" w:rsidRPr="00102859">
              <w:rPr>
                <w:bCs/>
              </w:rPr>
              <w:lastRenderedPageBreak/>
              <w:t>393.356</w:t>
            </w:r>
            <w:r w:rsidRPr="00102859">
              <w:rPr>
                <w:bCs/>
              </w:rPr>
              <w:t>,</w:t>
            </w:r>
            <w:r w:rsidRPr="00102859">
              <w:rPr>
                <w:bCs/>
                <w:i/>
              </w:rPr>
              <w:t xml:space="preserve"> p</w:t>
            </w:r>
            <w:r w:rsidRPr="00102859">
              <w:rPr>
                <w:bCs/>
              </w:rPr>
              <w:t xml:space="preserve"> &lt; .001*</w:t>
            </w:r>
          </w:p>
        </w:tc>
      </w:tr>
      <w:tr w:rsidR="00102859" w:rsidRPr="00102859" w14:paraId="5881B8C2" w14:textId="77777777" w:rsidTr="0085238F">
        <w:tc>
          <w:tcPr>
            <w:tcW w:w="1304" w:type="dxa"/>
            <w:shd w:val="clear" w:color="auto" w:fill="F2F2F2" w:themeFill="background1" w:themeFillShade="F2"/>
          </w:tcPr>
          <w:p w14:paraId="7B88BC2E" w14:textId="071AA562" w:rsidR="00174629" w:rsidRPr="00102859" w:rsidRDefault="00174629" w:rsidP="00174629">
            <w:pPr>
              <w:spacing w:line="480" w:lineRule="auto"/>
            </w:pPr>
            <w:r w:rsidRPr="00102859">
              <w:rPr>
                <w:sz w:val="24"/>
                <w:szCs w:val="24"/>
              </w:rPr>
              <w:lastRenderedPageBreak/>
              <w:t>Intercept: for imputation analysis</w:t>
            </w:r>
          </w:p>
        </w:tc>
        <w:tc>
          <w:tcPr>
            <w:tcW w:w="1269" w:type="dxa"/>
            <w:shd w:val="clear" w:color="auto" w:fill="F2F2F2" w:themeFill="background1" w:themeFillShade="F2"/>
          </w:tcPr>
          <w:p w14:paraId="47A830D7" w14:textId="67909D42" w:rsidR="00174629" w:rsidRPr="00102859" w:rsidRDefault="00174629" w:rsidP="00174629">
            <w:pPr>
              <w:spacing w:line="480" w:lineRule="auto"/>
              <w:rPr>
                <w:bCs/>
                <w:i/>
              </w:rPr>
            </w:pPr>
            <w:r w:rsidRPr="00102859">
              <w:rPr>
                <w:i/>
                <w:sz w:val="24"/>
                <w:szCs w:val="24"/>
              </w:rPr>
              <w:t>F</w:t>
            </w:r>
            <w:r w:rsidRPr="00102859">
              <w:t>(1,124.012) = 835.955</w:t>
            </w:r>
            <w:r w:rsidRPr="00102859">
              <w:rPr>
                <w:sz w:val="24"/>
                <w:szCs w:val="24"/>
              </w:rPr>
              <w:t>,</w:t>
            </w:r>
            <w:r w:rsidRPr="00102859">
              <w:rPr>
                <w:i/>
                <w:sz w:val="24"/>
                <w:szCs w:val="24"/>
              </w:rPr>
              <w:t xml:space="preserve"> p</w:t>
            </w:r>
            <w:r w:rsidRPr="00102859">
              <w:t xml:space="preserve"> &lt; .001</w:t>
            </w:r>
            <w:r w:rsidRPr="00102859">
              <w:rPr>
                <w:sz w:val="24"/>
                <w:szCs w:val="24"/>
              </w:rPr>
              <w:t>*</w:t>
            </w:r>
          </w:p>
        </w:tc>
        <w:tc>
          <w:tcPr>
            <w:tcW w:w="1245" w:type="dxa"/>
            <w:shd w:val="clear" w:color="auto" w:fill="F2F2F2" w:themeFill="background1" w:themeFillShade="F2"/>
          </w:tcPr>
          <w:p w14:paraId="1A6672F6" w14:textId="31EDD714" w:rsidR="00174629" w:rsidRPr="00102859" w:rsidRDefault="00174629" w:rsidP="00174629">
            <w:pPr>
              <w:spacing w:line="480" w:lineRule="auto"/>
              <w:rPr>
                <w:bCs/>
                <w:i/>
              </w:rPr>
            </w:pPr>
            <w:r w:rsidRPr="00102859">
              <w:rPr>
                <w:i/>
                <w:sz w:val="24"/>
                <w:szCs w:val="24"/>
              </w:rPr>
              <w:t>F</w:t>
            </w:r>
            <w:r w:rsidRPr="00102859">
              <w:t>(1,124.000) = 377.647</w:t>
            </w:r>
            <w:r w:rsidRPr="00102859">
              <w:rPr>
                <w:sz w:val="24"/>
                <w:szCs w:val="24"/>
              </w:rPr>
              <w:t>,</w:t>
            </w:r>
            <w:r w:rsidRPr="00102859">
              <w:rPr>
                <w:i/>
                <w:sz w:val="24"/>
                <w:szCs w:val="24"/>
              </w:rPr>
              <w:t xml:space="preserve"> p</w:t>
            </w:r>
            <w:r w:rsidRPr="00102859">
              <w:t xml:space="preserve"> &lt; .001</w:t>
            </w:r>
            <w:r w:rsidRPr="00102859">
              <w:rPr>
                <w:sz w:val="24"/>
                <w:szCs w:val="24"/>
              </w:rPr>
              <w:t>*</w:t>
            </w:r>
          </w:p>
        </w:tc>
        <w:tc>
          <w:tcPr>
            <w:tcW w:w="1256" w:type="dxa"/>
            <w:shd w:val="clear" w:color="auto" w:fill="F2F2F2" w:themeFill="background1" w:themeFillShade="F2"/>
          </w:tcPr>
          <w:p w14:paraId="67550C73" w14:textId="0C60D58A" w:rsidR="00174629" w:rsidRPr="00102859" w:rsidRDefault="00174629" w:rsidP="00174629">
            <w:pPr>
              <w:spacing w:line="480" w:lineRule="auto"/>
              <w:rPr>
                <w:bCs/>
                <w:i/>
              </w:rPr>
            </w:pPr>
            <w:r w:rsidRPr="00102859">
              <w:rPr>
                <w:i/>
                <w:sz w:val="24"/>
                <w:szCs w:val="24"/>
              </w:rPr>
              <w:t>F</w:t>
            </w:r>
            <w:r w:rsidRPr="00102859">
              <w:t>(1,124.000) = 418.560</w:t>
            </w:r>
            <w:r w:rsidRPr="00102859">
              <w:rPr>
                <w:sz w:val="24"/>
                <w:szCs w:val="24"/>
              </w:rPr>
              <w:t>,</w:t>
            </w:r>
            <w:r w:rsidRPr="00102859">
              <w:rPr>
                <w:i/>
                <w:sz w:val="24"/>
                <w:szCs w:val="24"/>
              </w:rPr>
              <w:t xml:space="preserve"> p</w:t>
            </w:r>
            <w:r w:rsidRPr="00102859">
              <w:t xml:space="preserve"> &lt; .001*</w:t>
            </w:r>
          </w:p>
        </w:tc>
        <w:tc>
          <w:tcPr>
            <w:tcW w:w="1256" w:type="dxa"/>
            <w:shd w:val="clear" w:color="auto" w:fill="F2F2F2" w:themeFill="background1" w:themeFillShade="F2"/>
          </w:tcPr>
          <w:p w14:paraId="44CB83C0" w14:textId="79ECB63E" w:rsidR="00174629" w:rsidRPr="00102859" w:rsidRDefault="00174629" w:rsidP="00174629">
            <w:pPr>
              <w:spacing w:line="480" w:lineRule="auto"/>
              <w:rPr>
                <w:bCs/>
                <w:i/>
              </w:rPr>
            </w:pPr>
            <w:r w:rsidRPr="00102859">
              <w:rPr>
                <w:i/>
                <w:sz w:val="24"/>
                <w:szCs w:val="24"/>
              </w:rPr>
              <w:t>F</w:t>
            </w:r>
            <w:r w:rsidRPr="00102859">
              <w:t>(1,123</w:t>
            </w:r>
            <w:r w:rsidRPr="00102859">
              <w:rPr>
                <w:sz w:val="24"/>
                <w:szCs w:val="24"/>
              </w:rPr>
              <w:t>.</w:t>
            </w:r>
            <w:r w:rsidRPr="00102859">
              <w:t>990) = 720.264</w:t>
            </w:r>
            <w:r w:rsidRPr="00102859">
              <w:rPr>
                <w:sz w:val="24"/>
                <w:szCs w:val="24"/>
              </w:rPr>
              <w:t>,</w:t>
            </w:r>
            <w:r w:rsidRPr="00102859">
              <w:rPr>
                <w:i/>
                <w:sz w:val="24"/>
                <w:szCs w:val="24"/>
              </w:rPr>
              <w:t xml:space="preserve"> p</w:t>
            </w:r>
            <w:r w:rsidRPr="00102859">
              <w:rPr>
                <w:sz w:val="24"/>
                <w:szCs w:val="24"/>
              </w:rPr>
              <w:t xml:space="preserve"> &lt; .001*</w:t>
            </w:r>
          </w:p>
        </w:tc>
        <w:tc>
          <w:tcPr>
            <w:tcW w:w="1256" w:type="dxa"/>
            <w:shd w:val="clear" w:color="auto" w:fill="F2F2F2" w:themeFill="background1" w:themeFillShade="F2"/>
          </w:tcPr>
          <w:p w14:paraId="4E8A2CC6" w14:textId="091861B0" w:rsidR="00174629" w:rsidRPr="00102859" w:rsidRDefault="00174629" w:rsidP="00174629">
            <w:pPr>
              <w:spacing w:line="480" w:lineRule="auto"/>
              <w:rPr>
                <w:bCs/>
                <w:i/>
              </w:rPr>
            </w:pPr>
            <w:r w:rsidRPr="00102859">
              <w:rPr>
                <w:i/>
                <w:sz w:val="24"/>
                <w:szCs w:val="24"/>
              </w:rPr>
              <w:t>F</w:t>
            </w:r>
            <w:r w:rsidRPr="00102859">
              <w:t>(1,123.990) = 2806.009,</w:t>
            </w:r>
            <w:r w:rsidRPr="00102859">
              <w:rPr>
                <w:i/>
                <w:sz w:val="24"/>
                <w:szCs w:val="24"/>
              </w:rPr>
              <w:t xml:space="preserve"> p</w:t>
            </w:r>
            <w:r w:rsidRPr="00102859">
              <w:rPr>
                <w:sz w:val="24"/>
                <w:szCs w:val="24"/>
              </w:rPr>
              <w:t xml:space="preserve"> &lt; .001*</w:t>
            </w:r>
          </w:p>
        </w:tc>
        <w:tc>
          <w:tcPr>
            <w:tcW w:w="1256" w:type="dxa"/>
            <w:shd w:val="clear" w:color="auto" w:fill="F2F2F2" w:themeFill="background1" w:themeFillShade="F2"/>
          </w:tcPr>
          <w:p w14:paraId="25E48179" w14:textId="0768457A" w:rsidR="00174629" w:rsidRPr="00102859" w:rsidRDefault="00174629" w:rsidP="00174629">
            <w:pPr>
              <w:spacing w:line="480" w:lineRule="auto"/>
              <w:rPr>
                <w:bCs/>
                <w:i/>
              </w:rPr>
            </w:pPr>
            <w:r w:rsidRPr="00102859">
              <w:rPr>
                <w:i/>
                <w:sz w:val="24"/>
                <w:szCs w:val="24"/>
              </w:rPr>
              <w:t>F</w:t>
            </w:r>
            <w:r w:rsidRPr="00102859">
              <w:t>(1,60.25) = 2806.009,</w:t>
            </w:r>
            <w:r w:rsidRPr="00102859">
              <w:rPr>
                <w:i/>
                <w:sz w:val="24"/>
                <w:szCs w:val="24"/>
              </w:rPr>
              <w:t xml:space="preserve"> p</w:t>
            </w:r>
            <w:r w:rsidRPr="00102859">
              <w:rPr>
                <w:sz w:val="24"/>
                <w:szCs w:val="24"/>
              </w:rPr>
              <w:t xml:space="preserve"> &lt; .001*</w:t>
            </w:r>
          </w:p>
        </w:tc>
        <w:tc>
          <w:tcPr>
            <w:tcW w:w="1256" w:type="dxa"/>
            <w:shd w:val="clear" w:color="auto" w:fill="F2F2F2" w:themeFill="background1" w:themeFillShade="F2"/>
          </w:tcPr>
          <w:p w14:paraId="4A47B4C1" w14:textId="463E1710" w:rsidR="00174629" w:rsidRPr="00102859" w:rsidRDefault="00174629" w:rsidP="00174629">
            <w:pPr>
              <w:spacing w:line="480" w:lineRule="auto"/>
              <w:rPr>
                <w:bCs/>
                <w:i/>
              </w:rPr>
            </w:pPr>
            <w:r w:rsidRPr="00102859">
              <w:rPr>
                <w:i/>
                <w:sz w:val="24"/>
                <w:szCs w:val="24"/>
              </w:rPr>
              <w:t>F</w:t>
            </w:r>
            <w:r w:rsidRPr="00102859">
              <w:t>(1,124.000) = 426.713</w:t>
            </w:r>
            <w:r w:rsidRPr="00102859">
              <w:rPr>
                <w:sz w:val="24"/>
                <w:szCs w:val="24"/>
              </w:rPr>
              <w:t>,</w:t>
            </w:r>
            <w:r w:rsidRPr="00102859">
              <w:rPr>
                <w:i/>
                <w:sz w:val="24"/>
                <w:szCs w:val="24"/>
              </w:rPr>
              <w:t xml:space="preserve"> p</w:t>
            </w:r>
            <w:r w:rsidRPr="00102859">
              <w:t xml:space="preserve"> &lt; .001*</w:t>
            </w:r>
          </w:p>
        </w:tc>
        <w:tc>
          <w:tcPr>
            <w:tcW w:w="1245" w:type="dxa"/>
            <w:shd w:val="clear" w:color="auto" w:fill="F2F2F2" w:themeFill="background1" w:themeFillShade="F2"/>
          </w:tcPr>
          <w:p w14:paraId="3BEE39FD" w14:textId="57078E10" w:rsidR="00174629" w:rsidRPr="00102859" w:rsidRDefault="00174629" w:rsidP="00174629">
            <w:pPr>
              <w:spacing w:line="480" w:lineRule="auto"/>
              <w:rPr>
                <w:bCs/>
                <w:i/>
              </w:rPr>
            </w:pPr>
            <w:r w:rsidRPr="00102859">
              <w:rPr>
                <w:i/>
                <w:sz w:val="24"/>
                <w:szCs w:val="24"/>
              </w:rPr>
              <w:t>F</w:t>
            </w:r>
            <w:r w:rsidRPr="00102859">
              <w:t>(1,47.591) = 426.496</w:t>
            </w:r>
            <w:r w:rsidRPr="00102859">
              <w:rPr>
                <w:sz w:val="24"/>
                <w:szCs w:val="24"/>
              </w:rPr>
              <w:t>,</w:t>
            </w:r>
            <w:r w:rsidRPr="00102859">
              <w:rPr>
                <w:i/>
                <w:sz w:val="24"/>
                <w:szCs w:val="24"/>
              </w:rPr>
              <w:t xml:space="preserve"> p</w:t>
            </w:r>
            <w:r w:rsidRPr="00102859">
              <w:rPr>
                <w:sz w:val="24"/>
                <w:szCs w:val="24"/>
              </w:rPr>
              <w:t xml:space="preserve"> &lt; .001*</w:t>
            </w:r>
          </w:p>
        </w:tc>
        <w:tc>
          <w:tcPr>
            <w:tcW w:w="1341" w:type="dxa"/>
            <w:shd w:val="clear" w:color="auto" w:fill="F2F2F2" w:themeFill="background1" w:themeFillShade="F2"/>
          </w:tcPr>
          <w:p w14:paraId="3D336BA3" w14:textId="57E1E011" w:rsidR="00174629" w:rsidRPr="00102859" w:rsidRDefault="00174629" w:rsidP="00174629">
            <w:pPr>
              <w:spacing w:line="480" w:lineRule="auto"/>
              <w:rPr>
                <w:bCs/>
                <w:i/>
              </w:rPr>
            </w:pPr>
            <w:r w:rsidRPr="00102859">
              <w:rPr>
                <w:i/>
                <w:sz w:val="24"/>
                <w:szCs w:val="24"/>
              </w:rPr>
              <w:t>F</w:t>
            </w:r>
            <w:r w:rsidRPr="00102859">
              <w:t>(1,124.000) = 245.99</w:t>
            </w:r>
            <w:r w:rsidRPr="00102859">
              <w:rPr>
                <w:sz w:val="24"/>
                <w:szCs w:val="24"/>
              </w:rPr>
              <w:t>,</w:t>
            </w:r>
            <w:r w:rsidRPr="00102859">
              <w:rPr>
                <w:i/>
                <w:sz w:val="24"/>
                <w:szCs w:val="24"/>
              </w:rPr>
              <w:t xml:space="preserve"> p</w:t>
            </w:r>
            <w:r w:rsidRPr="00102859">
              <w:rPr>
                <w:sz w:val="24"/>
                <w:szCs w:val="24"/>
              </w:rPr>
              <w:t xml:space="preserve"> &lt; .001*</w:t>
            </w:r>
          </w:p>
        </w:tc>
        <w:tc>
          <w:tcPr>
            <w:tcW w:w="1256" w:type="dxa"/>
            <w:shd w:val="clear" w:color="auto" w:fill="F2F2F2" w:themeFill="background1" w:themeFillShade="F2"/>
          </w:tcPr>
          <w:p w14:paraId="78B5260D" w14:textId="250CA660" w:rsidR="00174629" w:rsidRPr="00102859" w:rsidRDefault="00174629" w:rsidP="00174629">
            <w:pPr>
              <w:spacing w:line="480" w:lineRule="auto"/>
              <w:rPr>
                <w:bCs/>
                <w:i/>
              </w:rPr>
            </w:pPr>
            <w:r w:rsidRPr="00102859">
              <w:rPr>
                <w:i/>
                <w:sz w:val="24"/>
                <w:szCs w:val="24"/>
              </w:rPr>
              <w:t>F</w:t>
            </w:r>
            <w:r w:rsidRPr="00102859">
              <w:t>(1,124.012) = 1221.930</w:t>
            </w:r>
            <w:r w:rsidRPr="00102859">
              <w:rPr>
                <w:sz w:val="24"/>
                <w:szCs w:val="24"/>
              </w:rPr>
              <w:t>,</w:t>
            </w:r>
            <w:r w:rsidRPr="00102859">
              <w:rPr>
                <w:i/>
                <w:sz w:val="24"/>
                <w:szCs w:val="24"/>
              </w:rPr>
              <w:t xml:space="preserve"> p</w:t>
            </w:r>
            <w:r w:rsidRPr="00102859">
              <w:rPr>
                <w:sz w:val="24"/>
                <w:szCs w:val="24"/>
              </w:rPr>
              <w:t xml:space="preserve"> &lt; .001*</w:t>
            </w:r>
          </w:p>
        </w:tc>
      </w:tr>
      <w:tr w:rsidR="00102859" w:rsidRPr="00102859" w14:paraId="36FF951D" w14:textId="77777777" w:rsidTr="00174629">
        <w:tc>
          <w:tcPr>
            <w:tcW w:w="1304" w:type="dxa"/>
          </w:tcPr>
          <w:p w14:paraId="4DA83C6A" w14:textId="77777777" w:rsidR="00174629" w:rsidRPr="00102859" w:rsidRDefault="00174629" w:rsidP="00174629">
            <w:pPr>
              <w:spacing w:line="480" w:lineRule="auto"/>
              <w:rPr>
                <w:sz w:val="24"/>
                <w:szCs w:val="24"/>
              </w:rPr>
            </w:pPr>
            <w:r w:rsidRPr="00102859">
              <w:rPr>
                <w:sz w:val="24"/>
                <w:szCs w:val="24"/>
              </w:rPr>
              <w:t xml:space="preserve">Time </w:t>
            </w:r>
          </w:p>
          <w:p w14:paraId="11CF2EA0" w14:textId="273B327D" w:rsidR="00174629" w:rsidRPr="00102859" w:rsidRDefault="00174629" w:rsidP="00174629">
            <w:pPr>
              <w:spacing w:line="480" w:lineRule="auto"/>
            </w:pPr>
            <w:r w:rsidRPr="00102859">
              <w:rPr>
                <w:sz w:val="24"/>
                <w:szCs w:val="24"/>
              </w:rPr>
              <w:t>for completers analysis</w:t>
            </w:r>
          </w:p>
        </w:tc>
        <w:tc>
          <w:tcPr>
            <w:tcW w:w="1269" w:type="dxa"/>
          </w:tcPr>
          <w:p w14:paraId="543C64F3" w14:textId="65E5BA64" w:rsidR="00174629" w:rsidRPr="00102859" w:rsidRDefault="00174629" w:rsidP="00174629">
            <w:pPr>
              <w:spacing w:line="480" w:lineRule="auto"/>
              <w:rPr>
                <w:bCs/>
              </w:rPr>
            </w:pPr>
            <w:r w:rsidRPr="00102859">
              <w:rPr>
                <w:bCs/>
                <w:i/>
              </w:rPr>
              <w:t>F</w:t>
            </w:r>
            <w:r w:rsidRPr="00102859">
              <w:rPr>
                <w:bCs/>
              </w:rPr>
              <w:t>(3,107.066) = 46.678,</w:t>
            </w:r>
            <w:r w:rsidRPr="00102859">
              <w:rPr>
                <w:bCs/>
                <w:i/>
              </w:rPr>
              <w:t xml:space="preserve"> p</w:t>
            </w:r>
            <w:r w:rsidRPr="00102859">
              <w:rPr>
                <w:bCs/>
              </w:rPr>
              <w:t xml:space="preserve"> &lt; .001*</w:t>
            </w:r>
          </w:p>
        </w:tc>
        <w:tc>
          <w:tcPr>
            <w:tcW w:w="1245" w:type="dxa"/>
          </w:tcPr>
          <w:p w14:paraId="2BF99A4A" w14:textId="0752D592" w:rsidR="00174629" w:rsidRPr="00102859" w:rsidRDefault="00174629" w:rsidP="00174629">
            <w:pPr>
              <w:spacing w:line="480" w:lineRule="auto"/>
              <w:rPr>
                <w:bCs/>
              </w:rPr>
            </w:pPr>
            <w:r w:rsidRPr="00102859">
              <w:rPr>
                <w:bCs/>
                <w:i/>
              </w:rPr>
              <w:t>F</w:t>
            </w:r>
            <w:r w:rsidRPr="00102859">
              <w:rPr>
                <w:bCs/>
              </w:rPr>
              <w:t>(3, 106.911) = 19.855.,</w:t>
            </w:r>
            <w:r w:rsidRPr="00102859">
              <w:rPr>
                <w:bCs/>
                <w:i/>
              </w:rPr>
              <w:t xml:space="preserve"> p</w:t>
            </w:r>
            <w:r w:rsidRPr="00102859">
              <w:rPr>
                <w:bCs/>
              </w:rPr>
              <w:t xml:space="preserve"> &lt; .001*</w:t>
            </w:r>
          </w:p>
        </w:tc>
        <w:tc>
          <w:tcPr>
            <w:tcW w:w="1256" w:type="dxa"/>
          </w:tcPr>
          <w:p w14:paraId="21A0E4D2" w14:textId="660BD815" w:rsidR="00174629" w:rsidRPr="00102859" w:rsidRDefault="00174629" w:rsidP="00174629">
            <w:pPr>
              <w:spacing w:line="480" w:lineRule="auto"/>
              <w:rPr>
                <w:bCs/>
              </w:rPr>
            </w:pPr>
            <w:r w:rsidRPr="00102859">
              <w:rPr>
                <w:bCs/>
                <w:i/>
              </w:rPr>
              <w:t>F</w:t>
            </w:r>
            <w:r w:rsidRPr="00102859">
              <w:rPr>
                <w:bCs/>
              </w:rPr>
              <w:t>(3,100.176) = 23.756,</w:t>
            </w:r>
            <w:r w:rsidRPr="00102859">
              <w:rPr>
                <w:bCs/>
                <w:i/>
              </w:rPr>
              <w:t xml:space="preserve"> p</w:t>
            </w:r>
            <w:r w:rsidRPr="00102859">
              <w:rPr>
                <w:bCs/>
              </w:rPr>
              <w:t xml:space="preserve"> &lt; 0.001*</w:t>
            </w:r>
          </w:p>
        </w:tc>
        <w:tc>
          <w:tcPr>
            <w:tcW w:w="1256" w:type="dxa"/>
          </w:tcPr>
          <w:p w14:paraId="34772142" w14:textId="2C28B09D" w:rsidR="00174629" w:rsidRPr="00102859" w:rsidRDefault="00174629" w:rsidP="00174629">
            <w:pPr>
              <w:spacing w:line="480" w:lineRule="auto"/>
              <w:rPr>
                <w:bCs/>
              </w:rPr>
            </w:pPr>
            <w:r w:rsidRPr="00102859">
              <w:rPr>
                <w:bCs/>
                <w:i/>
              </w:rPr>
              <w:t>F</w:t>
            </w:r>
            <w:r w:rsidRPr="00102859">
              <w:rPr>
                <w:bCs/>
              </w:rPr>
              <w:t>(3,98.976) = 21.03,</w:t>
            </w:r>
            <w:r w:rsidRPr="00102859">
              <w:rPr>
                <w:bCs/>
                <w:i/>
              </w:rPr>
              <w:t xml:space="preserve"> p</w:t>
            </w:r>
            <w:r w:rsidRPr="00102859">
              <w:rPr>
                <w:bCs/>
              </w:rPr>
              <w:t xml:space="preserve"> &lt; .001*</w:t>
            </w:r>
          </w:p>
        </w:tc>
        <w:tc>
          <w:tcPr>
            <w:tcW w:w="1256" w:type="dxa"/>
          </w:tcPr>
          <w:p w14:paraId="5943BA11" w14:textId="4B031C1B" w:rsidR="00174629" w:rsidRPr="00102859" w:rsidRDefault="00174629" w:rsidP="00174629">
            <w:pPr>
              <w:spacing w:line="480" w:lineRule="auto"/>
              <w:rPr>
                <w:bCs/>
              </w:rPr>
            </w:pPr>
            <w:r w:rsidRPr="00102859">
              <w:rPr>
                <w:bCs/>
                <w:i/>
              </w:rPr>
              <w:t>F</w:t>
            </w:r>
            <w:r w:rsidRPr="00102859">
              <w:rPr>
                <w:bCs/>
              </w:rPr>
              <w:t>(3,97.074) = 1.701,</w:t>
            </w:r>
            <w:r w:rsidRPr="00102859">
              <w:rPr>
                <w:bCs/>
                <w:i/>
              </w:rPr>
              <w:t xml:space="preserve"> p</w:t>
            </w:r>
            <w:r w:rsidRPr="00102859">
              <w:rPr>
                <w:bCs/>
              </w:rPr>
              <w:t xml:space="preserve"> = .188</w:t>
            </w:r>
          </w:p>
        </w:tc>
        <w:tc>
          <w:tcPr>
            <w:tcW w:w="1256" w:type="dxa"/>
          </w:tcPr>
          <w:p w14:paraId="1645F6E5" w14:textId="7456A91C" w:rsidR="00174629" w:rsidRPr="00102859" w:rsidRDefault="00174629" w:rsidP="00174629">
            <w:pPr>
              <w:spacing w:line="480" w:lineRule="auto"/>
              <w:rPr>
                <w:bCs/>
              </w:rPr>
            </w:pPr>
            <w:r w:rsidRPr="00102859">
              <w:rPr>
                <w:bCs/>
                <w:i/>
              </w:rPr>
              <w:t>F</w:t>
            </w:r>
            <w:r w:rsidRPr="00102859">
              <w:rPr>
                <w:bCs/>
              </w:rPr>
              <w:t>(3,104.490) = 4.168,</w:t>
            </w:r>
            <w:r w:rsidRPr="00102859">
              <w:rPr>
                <w:bCs/>
                <w:i/>
              </w:rPr>
              <w:t xml:space="preserve"> p</w:t>
            </w:r>
            <w:r w:rsidRPr="00102859">
              <w:rPr>
                <w:bCs/>
              </w:rPr>
              <w:t xml:space="preserve"> &lt; .018*</w:t>
            </w:r>
          </w:p>
        </w:tc>
        <w:tc>
          <w:tcPr>
            <w:tcW w:w="1256" w:type="dxa"/>
          </w:tcPr>
          <w:p w14:paraId="10E34989" w14:textId="3E57603C" w:rsidR="00174629" w:rsidRPr="00102859" w:rsidRDefault="00174629" w:rsidP="00174629">
            <w:pPr>
              <w:spacing w:line="480" w:lineRule="auto"/>
              <w:rPr>
                <w:bCs/>
                <w:i/>
              </w:rPr>
            </w:pPr>
            <w:r w:rsidRPr="00102859">
              <w:rPr>
                <w:bCs/>
                <w:i/>
              </w:rPr>
              <w:t>F</w:t>
            </w:r>
            <w:r w:rsidRPr="00102859">
              <w:rPr>
                <w:bCs/>
              </w:rPr>
              <w:t>(3,98.310) = 24.398,</w:t>
            </w:r>
            <w:r w:rsidRPr="00102859">
              <w:rPr>
                <w:bCs/>
                <w:i/>
              </w:rPr>
              <w:t xml:space="preserve"> p</w:t>
            </w:r>
            <w:r w:rsidRPr="00102859">
              <w:rPr>
                <w:bCs/>
              </w:rPr>
              <w:t xml:space="preserve"> &lt; .001*</w:t>
            </w:r>
          </w:p>
        </w:tc>
        <w:tc>
          <w:tcPr>
            <w:tcW w:w="1245" w:type="dxa"/>
          </w:tcPr>
          <w:p w14:paraId="23BB07A8" w14:textId="5C40D182" w:rsidR="00174629" w:rsidRPr="00102859" w:rsidRDefault="00174629" w:rsidP="00174629">
            <w:pPr>
              <w:spacing w:line="480" w:lineRule="auto"/>
              <w:rPr>
                <w:bCs/>
              </w:rPr>
            </w:pPr>
            <w:r w:rsidRPr="00102859">
              <w:rPr>
                <w:bCs/>
                <w:i/>
              </w:rPr>
              <w:t>F</w:t>
            </w:r>
            <w:r w:rsidRPr="00102859">
              <w:rPr>
                <w:bCs/>
              </w:rPr>
              <w:t>(3,99.996) = 11.573,</w:t>
            </w:r>
            <w:r w:rsidRPr="00102859">
              <w:rPr>
                <w:bCs/>
                <w:i/>
              </w:rPr>
              <w:t xml:space="preserve"> p</w:t>
            </w:r>
            <w:r w:rsidRPr="00102859">
              <w:rPr>
                <w:bCs/>
              </w:rPr>
              <w:t xml:space="preserve"> &lt; .001*</w:t>
            </w:r>
          </w:p>
        </w:tc>
        <w:tc>
          <w:tcPr>
            <w:tcW w:w="1341" w:type="dxa"/>
          </w:tcPr>
          <w:p w14:paraId="592180A3" w14:textId="2D889006" w:rsidR="00174629" w:rsidRPr="00102859" w:rsidRDefault="00174629" w:rsidP="00174629">
            <w:pPr>
              <w:spacing w:line="480" w:lineRule="auto"/>
              <w:rPr>
                <w:bCs/>
              </w:rPr>
            </w:pPr>
            <w:r w:rsidRPr="00102859">
              <w:rPr>
                <w:bCs/>
                <w:i/>
              </w:rPr>
              <w:t>F</w:t>
            </w:r>
            <w:r w:rsidRPr="00102859">
              <w:rPr>
                <w:bCs/>
              </w:rPr>
              <w:t>(3,105.055) = 2.41,</w:t>
            </w:r>
            <w:r w:rsidRPr="00102859">
              <w:rPr>
                <w:bCs/>
                <w:i/>
              </w:rPr>
              <w:t xml:space="preserve"> p</w:t>
            </w:r>
            <w:r w:rsidRPr="00102859">
              <w:rPr>
                <w:bCs/>
              </w:rPr>
              <w:t xml:space="preserve"> = .10</w:t>
            </w:r>
          </w:p>
        </w:tc>
        <w:tc>
          <w:tcPr>
            <w:tcW w:w="1256" w:type="dxa"/>
          </w:tcPr>
          <w:p w14:paraId="7550C76D" w14:textId="1A565FC5" w:rsidR="00174629" w:rsidRPr="00102859" w:rsidRDefault="00174629" w:rsidP="00174629">
            <w:pPr>
              <w:spacing w:line="480" w:lineRule="auto"/>
              <w:rPr>
                <w:bCs/>
              </w:rPr>
            </w:pPr>
            <w:r w:rsidRPr="00102859">
              <w:rPr>
                <w:bCs/>
                <w:i/>
              </w:rPr>
              <w:t>F</w:t>
            </w:r>
            <w:r w:rsidRPr="00102859">
              <w:rPr>
                <w:bCs/>
              </w:rPr>
              <w:t>(3,111.560) = 20.436,</w:t>
            </w:r>
            <w:r w:rsidRPr="00102859">
              <w:rPr>
                <w:bCs/>
                <w:i/>
              </w:rPr>
              <w:t xml:space="preserve"> p</w:t>
            </w:r>
            <w:r w:rsidRPr="00102859">
              <w:rPr>
                <w:bCs/>
              </w:rPr>
              <w:t xml:space="preserve"> &lt; .001*</w:t>
            </w:r>
          </w:p>
        </w:tc>
      </w:tr>
      <w:tr w:rsidR="00102859" w:rsidRPr="00102859" w14:paraId="545FF743" w14:textId="77777777" w:rsidTr="0085238F">
        <w:tc>
          <w:tcPr>
            <w:tcW w:w="1304" w:type="dxa"/>
            <w:shd w:val="clear" w:color="auto" w:fill="F2F2F2" w:themeFill="background1" w:themeFillShade="F2"/>
          </w:tcPr>
          <w:p w14:paraId="072752F4" w14:textId="400DC8D4" w:rsidR="00174629" w:rsidRPr="00102859" w:rsidRDefault="00174629" w:rsidP="00174629">
            <w:pPr>
              <w:spacing w:line="480" w:lineRule="auto"/>
            </w:pPr>
            <w:r w:rsidRPr="00102859">
              <w:rPr>
                <w:sz w:val="24"/>
                <w:szCs w:val="24"/>
              </w:rPr>
              <w:t>Time: for imputation analysis</w:t>
            </w:r>
          </w:p>
        </w:tc>
        <w:tc>
          <w:tcPr>
            <w:tcW w:w="1269" w:type="dxa"/>
            <w:shd w:val="clear" w:color="auto" w:fill="F2F2F2" w:themeFill="background1" w:themeFillShade="F2"/>
          </w:tcPr>
          <w:p w14:paraId="0AA611A4" w14:textId="6DF50DA8" w:rsidR="00174629" w:rsidRPr="00102859" w:rsidRDefault="00174629" w:rsidP="00174629">
            <w:pPr>
              <w:spacing w:line="480" w:lineRule="auto"/>
              <w:rPr>
                <w:i/>
              </w:rPr>
            </w:pPr>
            <w:r w:rsidRPr="00102859">
              <w:rPr>
                <w:i/>
                <w:sz w:val="24"/>
                <w:szCs w:val="24"/>
              </w:rPr>
              <w:t>F</w:t>
            </w:r>
            <w:r w:rsidRPr="00102859">
              <w:t>(3,124</w:t>
            </w:r>
            <w:r w:rsidRPr="00102859">
              <w:rPr>
                <w:sz w:val="24"/>
                <w:szCs w:val="24"/>
              </w:rPr>
              <w:t>.</w:t>
            </w:r>
            <w:r w:rsidRPr="00102859">
              <w:t>001) = 40.45</w:t>
            </w:r>
            <w:r w:rsidRPr="00102859">
              <w:rPr>
                <w:sz w:val="24"/>
                <w:szCs w:val="24"/>
              </w:rPr>
              <w:t>,</w:t>
            </w:r>
            <w:r w:rsidRPr="00102859">
              <w:rPr>
                <w:i/>
                <w:sz w:val="24"/>
                <w:szCs w:val="24"/>
              </w:rPr>
              <w:t xml:space="preserve"> p</w:t>
            </w:r>
            <w:r w:rsidRPr="00102859">
              <w:rPr>
                <w:sz w:val="24"/>
                <w:szCs w:val="24"/>
              </w:rPr>
              <w:t xml:space="preserve"> &lt; .001*</w:t>
            </w:r>
          </w:p>
        </w:tc>
        <w:tc>
          <w:tcPr>
            <w:tcW w:w="1245" w:type="dxa"/>
            <w:shd w:val="clear" w:color="auto" w:fill="F2F2F2" w:themeFill="background1" w:themeFillShade="F2"/>
          </w:tcPr>
          <w:p w14:paraId="1FFF807F" w14:textId="6D19E2EF" w:rsidR="00174629" w:rsidRPr="00102859" w:rsidRDefault="00174629" w:rsidP="00174629">
            <w:pPr>
              <w:spacing w:line="480" w:lineRule="auto"/>
              <w:rPr>
                <w:i/>
              </w:rPr>
            </w:pPr>
            <w:r w:rsidRPr="00102859">
              <w:rPr>
                <w:i/>
                <w:sz w:val="24"/>
                <w:szCs w:val="24"/>
              </w:rPr>
              <w:t>F</w:t>
            </w:r>
            <w:r w:rsidRPr="00102859">
              <w:t>(3, 124) = 20.29</w:t>
            </w:r>
            <w:r w:rsidRPr="00102859">
              <w:rPr>
                <w:sz w:val="24"/>
                <w:szCs w:val="24"/>
              </w:rPr>
              <w:t>,</w:t>
            </w:r>
            <w:r w:rsidRPr="00102859">
              <w:rPr>
                <w:i/>
                <w:sz w:val="24"/>
                <w:szCs w:val="24"/>
              </w:rPr>
              <w:t xml:space="preserve"> p</w:t>
            </w:r>
            <w:r w:rsidRPr="00102859">
              <w:t xml:space="preserve"> &lt; .001*</w:t>
            </w:r>
          </w:p>
        </w:tc>
        <w:tc>
          <w:tcPr>
            <w:tcW w:w="1256" w:type="dxa"/>
            <w:shd w:val="clear" w:color="auto" w:fill="F2F2F2" w:themeFill="background1" w:themeFillShade="F2"/>
          </w:tcPr>
          <w:p w14:paraId="27F1394B" w14:textId="1523E33D" w:rsidR="00174629" w:rsidRPr="00102859" w:rsidRDefault="00174629" w:rsidP="00174629">
            <w:pPr>
              <w:spacing w:line="480" w:lineRule="auto"/>
              <w:rPr>
                <w:i/>
              </w:rPr>
            </w:pPr>
            <w:r w:rsidRPr="00102859">
              <w:rPr>
                <w:i/>
                <w:sz w:val="24"/>
                <w:szCs w:val="24"/>
              </w:rPr>
              <w:t>F</w:t>
            </w:r>
            <w:r w:rsidRPr="00102859">
              <w:t>(3,124.000) = 23.93</w:t>
            </w:r>
            <w:r w:rsidRPr="00102859">
              <w:rPr>
                <w:sz w:val="24"/>
                <w:szCs w:val="24"/>
              </w:rPr>
              <w:t>,</w:t>
            </w:r>
            <w:r w:rsidRPr="00102859">
              <w:rPr>
                <w:i/>
                <w:sz w:val="24"/>
                <w:szCs w:val="24"/>
              </w:rPr>
              <w:t xml:space="preserve"> p</w:t>
            </w:r>
            <w:r w:rsidRPr="00102859">
              <w:t xml:space="preserve"> &lt; 0.001*</w:t>
            </w:r>
          </w:p>
        </w:tc>
        <w:tc>
          <w:tcPr>
            <w:tcW w:w="1256" w:type="dxa"/>
            <w:shd w:val="clear" w:color="auto" w:fill="F2F2F2" w:themeFill="background1" w:themeFillShade="F2"/>
          </w:tcPr>
          <w:p w14:paraId="6C2FABB7" w14:textId="1CD14ABE" w:rsidR="00174629" w:rsidRPr="00102859" w:rsidRDefault="00174629" w:rsidP="00174629">
            <w:pPr>
              <w:spacing w:line="480" w:lineRule="auto"/>
              <w:rPr>
                <w:i/>
              </w:rPr>
            </w:pPr>
            <w:r w:rsidRPr="00102859">
              <w:rPr>
                <w:i/>
                <w:sz w:val="24"/>
                <w:szCs w:val="24"/>
              </w:rPr>
              <w:t>F</w:t>
            </w:r>
            <w:r w:rsidRPr="00102859">
              <w:t>(3,124.000) = 5.82</w:t>
            </w:r>
            <w:r w:rsidRPr="00102859">
              <w:rPr>
                <w:sz w:val="24"/>
                <w:szCs w:val="24"/>
              </w:rPr>
              <w:t>,</w:t>
            </w:r>
            <w:r w:rsidRPr="00102859">
              <w:rPr>
                <w:i/>
                <w:sz w:val="24"/>
                <w:szCs w:val="24"/>
              </w:rPr>
              <w:t xml:space="preserve"> p</w:t>
            </w:r>
            <w:r w:rsidRPr="00102859">
              <w:rPr>
                <w:sz w:val="24"/>
                <w:szCs w:val="24"/>
              </w:rPr>
              <w:t xml:space="preserve"> = .001*</w:t>
            </w:r>
          </w:p>
        </w:tc>
        <w:tc>
          <w:tcPr>
            <w:tcW w:w="1256" w:type="dxa"/>
            <w:shd w:val="clear" w:color="auto" w:fill="F2F2F2" w:themeFill="background1" w:themeFillShade="F2"/>
          </w:tcPr>
          <w:p w14:paraId="7BDB7188" w14:textId="242D1B9D" w:rsidR="00174629" w:rsidRPr="00102859" w:rsidRDefault="00174629" w:rsidP="00174629">
            <w:pPr>
              <w:spacing w:line="480" w:lineRule="auto"/>
              <w:rPr>
                <w:i/>
              </w:rPr>
            </w:pPr>
            <w:r w:rsidRPr="00102859">
              <w:rPr>
                <w:i/>
                <w:sz w:val="24"/>
                <w:szCs w:val="24"/>
              </w:rPr>
              <w:t>F</w:t>
            </w:r>
            <w:r w:rsidRPr="00102859">
              <w:t>(3,124.000) = 14.33</w:t>
            </w:r>
            <w:r w:rsidRPr="00102859">
              <w:rPr>
                <w:sz w:val="24"/>
                <w:szCs w:val="24"/>
              </w:rPr>
              <w:t>,</w:t>
            </w:r>
            <w:r w:rsidRPr="00102859">
              <w:rPr>
                <w:i/>
                <w:sz w:val="24"/>
                <w:szCs w:val="24"/>
              </w:rPr>
              <w:t xml:space="preserve"> p</w:t>
            </w:r>
            <w:r w:rsidRPr="00102859">
              <w:rPr>
                <w:sz w:val="24"/>
                <w:szCs w:val="24"/>
              </w:rPr>
              <w:t xml:space="preserve"> &lt; .001*</w:t>
            </w:r>
          </w:p>
        </w:tc>
        <w:tc>
          <w:tcPr>
            <w:tcW w:w="1256" w:type="dxa"/>
            <w:shd w:val="clear" w:color="auto" w:fill="F2F2F2" w:themeFill="background1" w:themeFillShade="F2"/>
          </w:tcPr>
          <w:p w14:paraId="2C9F5788" w14:textId="71891F8A" w:rsidR="00174629" w:rsidRPr="00102859" w:rsidRDefault="00174629" w:rsidP="00174629">
            <w:pPr>
              <w:spacing w:line="480" w:lineRule="auto"/>
              <w:rPr>
                <w:i/>
              </w:rPr>
            </w:pPr>
            <w:r w:rsidRPr="00102859">
              <w:rPr>
                <w:i/>
                <w:sz w:val="24"/>
                <w:szCs w:val="24"/>
              </w:rPr>
              <w:t>F</w:t>
            </w:r>
            <w:r w:rsidRPr="00102859">
              <w:t>(3,113.433) = 14.19</w:t>
            </w:r>
            <w:r w:rsidRPr="00102859">
              <w:rPr>
                <w:sz w:val="24"/>
                <w:szCs w:val="24"/>
              </w:rPr>
              <w:t>,</w:t>
            </w:r>
            <w:r w:rsidRPr="00102859">
              <w:rPr>
                <w:i/>
                <w:sz w:val="24"/>
                <w:szCs w:val="24"/>
              </w:rPr>
              <w:t xml:space="preserve"> p</w:t>
            </w:r>
            <w:r w:rsidRPr="00102859">
              <w:rPr>
                <w:sz w:val="24"/>
                <w:szCs w:val="24"/>
              </w:rPr>
              <w:t xml:space="preserve"> &lt; .001*</w:t>
            </w:r>
          </w:p>
        </w:tc>
        <w:tc>
          <w:tcPr>
            <w:tcW w:w="1256" w:type="dxa"/>
            <w:shd w:val="clear" w:color="auto" w:fill="F2F2F2" w:themeFill="background1" w:themeFillShade="F2"/>
          </w:tcPr>
          <w:p w14:paraId="77EDD03F" w14:textId="348BD23E" w:rsidR="00174629" w:rsidRPr="00102859" w:rsidRDefault="00174629" w:rsidP="00174629">
            <w:pPr>
              <w:spacing w:line="480" w:lineRule="auto"/>
              <w:rPr>
                <w:i/>
              </w:rPr>
            </w:pPr>
            <w:r w:rsidRPr="00102859">
              <w:rPr>
                <w:i/>
                <w:sz w:val="24"/>
                <w:szCs w:val="24"/>
              </w:rPr>
              <w:t>F</w:t>
            </w:r>
            <w:r w:rsidRPr="00102859">
              <w:t>(3,124.000) = 28.58</w:t>
            </w:r>
            <w:r w:rsidRPr="00102859">
              <w:rPr>
                <w:sz w:val="24"/>
                <w:szCs w:val="24"/>
              </w:rPr>
              <w:t>,</w:t>
            </w:r>
            <w:r w:rsidRPr="00102859">
              <w:rPr>
                <w:i/>
                <w:sz w:val="24"/>
                <w:szCs w:val="24"/>
              </w:rPr>
              <w:t xml:space="preserve"> p</w:t>
            </w:r>
            <w:r w:rsidRPr="00102859">
              <w:rPr>
                <w:sz w:val="24"/>
                <w:szCs w:val="24"/>
              </w:rPr>
              <w:t xml:space="preserve"> &lt; .001*</w:t>
            </w:r>
          </w:p>
        </w:tc>
        <w:tc>
          <w:tcPr>
            <w:tcW w:w="1245" w:type="dxa"/>
            <w:shd w:val="clear" w:color="auto" w:fill="F2F2F2" w:themeFill="background1" w:themeFillShade="F2"/>
          </w:tcPr>
          <w:p w14:paraId="795B0AE7" w14:textId="730D5795" w:rsidR="00174629" w:rsidRPr="00102859" w:rsidRDefault="00174629" w:rsidP="00174629">
            <w:pPr>
              <w:spacing w:line="480" w:lineRule="auto"/>
              <w:rPr>
                <w:i/>
              </w:rPr>
            </w:pPr>
            <w:r w:rsidRPr="00102859">
              <w:rPr>
                <w:i/>
                <w:sz w:val="24"/>
                <w:szCs w:val="24"/>
              </w:rPr>
              <w:t>F</w:t>
            </w:r>
            <w:r w:rsidRPr="00102859">
              <w:t>(3,83.812) = 13.83</w:t>
            </w:r>
            <w:r w:rsidRPr="00102859">
              <w:rPr>
                <w:sz w:val="24"/>
                <w:szCs w:val="24"/>
              </w:rPr>
              <w:t>,</w:t>
            </w:r>
            <w:r w:rsidRPr="00102859">
              <w:rPr>
                <w:i/>
                <w:sz w:val="24"/>
                <w:szCs w:val="24"/>
              </w:rPr>
              <w:t xml:space="preserve"> p</w:t>
            </w:r>
            <w:r w:rsidRPr="00102859">
              <w:rPr>
                <w:sz w:val="24"/>
                <w:szCs w:val="24"/>
              </w:rPr>
              <w:t xml:space="preserve"> &lt; .001*</w:t>
            </w:r>
          </w:p>
        </w:tc>
        <w:tc>
          <w:tcPr>
            <w:tcW w:w="1341" w:type="dxa"/>
            <w:shd w:val="clear" w:color="auto" w:fill="F2F2F2" w:themeFill="background1" w:themeFillShade="F2"/>
          </w:tcPr>
          <w:p w14:paraId="34BE303D" w14:textId="61E5DEC5" w:rsidR="00174629" w:rsidRPr="00102859" w:rsidRDefault="00174629" w:rsidP="00174629">
            <w:pPr>
              <w:spacing w:line="480" w:lineRule="auto"/>
              <w:rPr>
                <w:i/>
              </w:rPr>
            </w:pPr>
            <w:r w:rsidRPr="00102859">
              <w:rPr>
                <w:i/>
                <w:sz w:val="24"/>
                <w:szCs w:val="24"/>
              </w:rPr>
              <w:t>F</w:t>
            </w:r>
            <w:r w:rsidRPr="00102859">
              <w:t>(3,124.000) = 3.46</w:t>
            </w:r>
            <w:r w:rsidRPr="00102859">
              <w:rPr>
                <w:sz w:val="24"/>
                <w:szCs w:val="24"/>
              </w:rPr>
              <w:t>,</w:t>
            </w:r>
            <w:r w:rsidRPr="00102859">
              <w:rPr>
                <w:i/>
                <w:sz w:val="24"/>
                <w:szCs w:val="24"/>
              </w:rPr>
              <w:t xml:space="preserve"> p</w:t>
            </w:r>
            <w:r w:rsidRPr="00102859">
              <w:rPr>
                <w:sz w:val="24"/>
                <w:szCs w:val="24"/>
              </w:rPr>
              <w:t xml:space="preserve"> = .02*</w:t>
            </w:r>
          </w:p>
        </w:tc>
        <w:tc>
          <w:tcPr>
            <w:tcW w:w="1256" w:type="dxa"/>
            <w:shd w:val="clear" w:color="auto" w:fill="F2F2F2" w:themeFill="background1" w:themeFillShade="F2"/>
          </w:tcPr>
          <w:p w14:paraId="7F4D526C" w14:textId="2E319AD6" w:rsidR="00174629" w:rsidRPr="00102859" w:rsidRDefault="00174629" w:rsidP="00174629">
            <w:pPr>
              <w:spacing w:line="480" w:lineRule="auto"/>
              <w:rPr>
                <w:i/>
              </w:rPr>
            </w:pPr>
            <w:r w:rsidRPr="00102859">
              <w:rPr>
                <w:i/>
                <w:sz w:val="24"/>
                <w:szCs w:val="24"/>
              </w:rPr>
              <w:t>F</w:t>
            </w:r>
            <w:r w:rsidRPr="00102859">
              <w:t>(3,124.000) = 38.92</w:t>
            </w:r>
            <w:r w:rsidRPr="00102859">
              <w:rPr>
                <w:sz w:val="24"/>
                <w:szCs w:val="24"/>
              </w:rPr>
              <w:t>,</w:t>
            </w:r>
            <w:r w:rsidRPr="00102859">
              <w:rPr>
                <w:i/>
                <w:sz w:val="24"/>
                <w:szCs w:val="24"/>
              </w:rPr>
              <w:t xml:space="preserve"> p</w:t>
            </w:r>
            <w:r w:rsidRPr="00102859">
              <w:rPr>
                <w:sz w:val="24"/>
                <w:szCs w:val="24"/>
              </w:rPr>
              <w:t xml:space="preserve"> &lt; .001*</w:t>
            </w:r>
          </w:p>
        </w:tc>
      </w:tr>
      <w:tr w:rsidR="00102859" w:rsidRPr="00102859" w14:paraId="1AD448C2" w14:textId="77777777" w:rsidTr="00174629">
        <w:tc>
          <w:tcPr>
            <w:tcW w:w="1304" w:type="dxa"/>
          </w:tcPr>
          <w:p w14:paraId="393575B8" w14:textId="4661BA37" w:rsidR="00174629" w:rsidRPr="00102859" w:rsidRDefault="00174629" w:rsidP="00174629">
            <w:pPr>
              <w:spacing w:line="480" w:lineRule="auto"/>
              <w:rPr>
                <w:sz w:val="24"/>
                <w:szCs w:val="24"/>
              </w:rPr>
            </w:pPr>
            <w:r w:rsidRPr="00102859">
              <w:rPr>
                <w:sz w:val="24"/>
                <w:szCs w:val="24"/>
              </w:rPr>
              <w:t>Group</w:t>
            </w:r>
          </w:p>
          <w:p w14:paraId="33271580" w14:textId="2ED70C89" w:rsidR="00174629" w:rsidRPr="00102859" w:rsidRDefault="00174629" w:rsidP="00174629">
            <w:pPr>
              <w:spacing w:line="480" w:lineRule="auto"/>
            </w:pPr>
            <w:r w:rsidRPr="00102859">
              <w:rPr>
                <w:sz w:val="24"/>
                <w:szCs w:val="24"/>
              </w:rPr>
              <w:lastRenderedPageBreak/>
              <w:t>for completers analysis</w:t>
            </w:r>
          </w:p>
        </w:tc>
        <w:tc>
          <w:tcPr>
            <w:tcW w:w="1269" w:type="dxa"/>
          </w:tcPr>
          <w:p w14:paraId="7D70B121" w14:textId="58EC2B5B" w:rsidR="00174629" w:rsidRPr="00102859" w:rsidRDefault="00174629" w:rsidP="00174629">
            <w:pPr>
              <w:spacing w:line="480" w:lineRule="auto"/>
            </w:pPr>
            <w:r w:rsidRPr="00102859">
              <w:rPr>
                <w:i/>
                <w:sz w:val="24"/>
                <w:szCs w:val="24"/>
              </w:rPr>
              <w:lastRenderedPageBreak/>
              <w:t>F</w:t>
            </w:r>
            <w:r w:rsidRPr="00102859">
              <w:rPr>
                <w:sz w:val="24"/>
                <w:szCs w:val="24"/>
              </w:rPr>
              <w:t>(1,</w:t>
            </w:r>
            <w:r w:rsidRPr="00102859">
              <w:t>135.889</w:t>
            </w:r>
            <w:r w:rsidRPr="00102859">
              <w:rPr>
                <w:sz w:val="24"/>
                <w:szCs w:val="24"/>
              </w:rPr>
              <w:t>)</w:t>
            </w:r>
            <w:r w:rsidRPr="00102859">
              <w:t xml:space="preserve"> = .234</w:t>
            </w:r>
            <w:r w:rsidRPr="00102859">
              <w:rPr>
                <w:sz w:val="24"/>
                <w:szCs w:val="24"/>
              </w:rPr>
              <w:t>,</w:t>
            </w:r>
            <w:r w:rsidRPr="00102859">
              <w:rPr>
                <w:i/>
                <w:sz w:val="24"/>
                <w:szCs w:val="24"/>
              </w:rPr>
              <w:t xml:space="preserve"> p</w:t>
            </w:r>
            <w:r w:rsidRPr="00102859">
              <w:t xml:space="preserve"> = .629</w:t>
            </w:r>
          </w:p>
        </w:tc>
        <w:tc>
          <w:tcPr>
            <w:tcW w:w="1245" w:type="dxa"/>
          </w:tcPr>
          <w:p w14:paraId="674832D3" w14:textId="28488B5A" w:rsidR="00174629" w:rsidRPr="00102859" w:rsidRDefault="00174629" w:rsidP="00174629">
            <w:pPr>
              <w:spacing w:line="480" w:lineRule="auto"/>
            </w:pPr>
            <w:r w:rsidRPr="00102859">
              <w:rPr>
                <w:i/>
                <w:sz w:val="24"/>
                <w:szCs w:val="24"/>
              </w:rPr>
              <w:t>F</w:t>
            </w:r>
            <w:r w:rsidRPr="00102859">
              <w:t xml:space="preserve">(1, 124.000) = </w:t>
            </w:r>
            <w:r w:rsidRPr="00102859">
              <w:lastRenderedPageBreak/>
              <w:t>.006</w:t>
            </w:r>
            <w:r w:rsidRPr="00102859">
              <w:rPr>
                <w:sz w:val="24"/>
                <w:szCs w:val="24"/>
              </w:rPr>
              <w:t>,</w:t>
            </w:r>
            <w:r w:rsidRPr="00102859">
              <w:rPr>
                <w:i/>
                <w:sz w:val="24"/>
                <w:szCs w:val="24"/>
              </w:rPr>
              <w:t xml:space="preserve"> p</w:t>
            </w:r>
            <w:r w:rsidRPr="00102859">
              <w:t xml:space="preserve"> = .936</w:t>
            </w:r>
          </w:p>
        </w:tc>
        <w:tc>
          <w:tcPr>
            <w:tcW w:w="1256" w:type="dxa"/>
          </w:tcPr>
          <w:p w14:paraId="57D2C1F6" w14:textId="6F76F667" w:rsidR="00174629" w:rsidRPr="00102859" w:rsidRDefault="00174629" w:rsidP="00174629">
            <w:pPr>
              <w:spacing w:line="480" w:lineRule="auto"/>
            </w:pPr>
            <w:r w:rsidRPr="00102859">
              <w:rPr>
                <w:i/>
                <w:sz w:val="24"/>
                <w:szCs w:val="24"/>
              </w:rPr>
              <w:lastRenderedPageBreak/>
              <w:t>F</w:t>
            </w:r>
            <w:r w:rsidRPr="00102859">
              <w:t>(1,136.156) = .04</w:t>
            </w:r>
            <w:r w:rsidRPr="00102859">
              <w:rPr>
                <w:sz w:val="24"/>
                <w:szCs w:val="24"/>
              </w:rPr>
              <w:t>,</w:t>
            </w:r>
            <w:r w:rsidRPr="00102859">
              <w:rPr>
                <w:i/>
                <w:sz w:val="24"/>
                <w:szCs w:val="24"/>
              </w:rPr>
              <w:t xml:space="preserve"> p</w:t>
            </w:r>
            <w:r w:rsidRPr="00102859">
              <w:t xml:space="preserve"> = .84</w:t>
            </w:r>
          </w:p>
        </w:tc>
        <w:tc>
          <w:tcPr>
            <w:tcW w:w="1256" w:type="dxa"/>
          </w:tcPr>
          <w:p w14:paraId="4B67D721" w14:textId="73E56F86" w:rsidR="00174629" w:rsidRPr="00102859" w:rsidRDefault="00174629" w:rsidP="00174629">
            <w:pPr>
              <w:spacing w:line="480" w:lineRule="auto"/>
            </w:pPr>
            <w:r w:rsidRPr="00102859">
              <w:rPr>
                <w:i/>
                <w:sz w:val="24"/>
                <w:szCs w:val="24"/>
              </w:rPr>
              <w:t>F</w:t>
            </w:r>
            <w:r w:rsidRPr="00102859">
              <w:t>(1,139.383) = .979</w:t>
            </w:r>
            <w:r w:rsidRPr="00102859">
              <w:rPr>
                <w:sz w:val="24"/>
                <w:szCs w:val="24"/>
              </w:rPr>
              <w:t>,</w:t>
            </w:r>
            <w:r w:rsidRPr="00102859">
              <w:rPr>
                <w:i/>
                <w:sz w:val="24"/>
                <w:szCs w:val="24"/>
              </w:rPr>
              <w:t xml:space="preserve"> p</w:t>
            </w:r>
            <w:r w:rsidRPr="00102859">
              <w:rPr>
                <w:sz w:val="24"/>
                <w:szCs w:val="24"/>
              </w:rPr>
              <w:t xml:space="preserve"> = .32</w:t>
            </w:r>
          </w:p>
        </w:tc>
        <w:tc>
          <w:tcPr>
            <w:tcW w:w="1256" w:type="dxa"/>
          </w:tcPr>
          <w:p w14:paraId="69B4E1E1" w14:textId="633EAACB" w:rsidR="00174629" w:rsidRPr="00102859" w:rsidRDefault="00174629" w:rsidP="00174629">
            <w:pPr>
              <w:spacing w:line="480" w:lineRule="auto"/>
            </w:pPr>
            <w:r w:rsidRPr="00102859">
              <w:rPr>
                <w:i/>
                <w:sz w:val="24"/>
                <w:szCs w:val="24"/>
              </w:rPr>
              <w:t>F</w:t>
            </w:r>
            <w:r w:rsidRPr="00102859">
              <w:t>(1,137.975) = .108</w:t>
            </w:r>
            <w:r w:rsidRPr="00102859">
              <w:rPr>
                <w:i/>
                <w:sz w:val="24"/>
                <w:szCs w:val="24"/>
              </w:rPr>
              <w:t xml:space="preserve"> p</w:t>
            </w:r>
            <w:r w:rsidRPr="00102859">
              <w:rPr>
                <w:sz w:val="24"/>
                <w:szCs w:val="24"/>
              </w:rPr>
              <w:t xml:space="preserve"> = .897</w:t>
            </w:r>
          </w:p>
        </w:tc>
        <w:tc>
          <w:tcPr>
            <w:tcW w:w="1256" w:type="dxa"/>
          </w:tcPr>
          <w:p w14:paraId="5B4A6D39" w14:textId="3BA2A309" w:rsidR="00174629" w:rsidRPr="00102859" w:rsidRDefault="00174629" w:rsidP="00174629">
            <w:pPr>
              <w:spacing w:line="480" w:lineRule="auto"/>
            </w:pPr>
            <w:r w:rsidRPr="00102859">
              <w:rPr>
                <w:i/>
                <w:sz w:val="24"/>
                <w:szCs w:val="24"/>
              </w:rPr>
              <w:t>F</w:t>
            </w:r>
            <w:r w:rsidRPr="00102859">
              <w:t>(1,145.346) = .207</w:t>
            </w:r>
            <w:r w:rsidRPr="00102859">
              <w:rPr>
                <w:sz w:val="24"/>
                <w:szCs w:val="24"/>
              </w:rPr>
              <w:t>,</w:t>
            </w:r>
            <w:r w:rsidRPr="00102859">
              <w:rPr>
                <w:i/>
                <w:sz w:val="24"/>
                <w:szCs w:val="24"/>
              </w:rPr>
              <w:t xml:space="preserve"> p</w:t>
            </w:r>
            <w:r w:rsidRPr="00102859">
              <w:rPr>
                <w:sz w:val="24"/>
                <w:szCs w:val="24"/>
              </w:rPr>
              <w:t xml:space="preserve"> = .65</w:t>
            </w:r>
          </w:p>
        </w:tc>
        <w:tc>
          <w:tcPr>
            <w:tcW w:w="1256" w:type="dxa"/>
          </w:tcPr>
          <w:p w14:paraId="71C13C76" w14:textId="00751F97" w:rsidR="00174629" w:rsidRPr="00102859" w:rsidRDefault="00174629" w:rsidP="00174629">
            <w:pPr>
              <w:spacing w:line="480" w:lineRule="auto"/>
              <w:rPr>
                <w:i/>
              </w:rPr>
            </w:pPr>
            <w:r w:rsidRPr="00102859">
              <w:rPr>
                <w:i/>
                <w:sz w:val="24"/>
                <w:szCs w:val="24"/>
              </w:rPr>
              <w:t>F</w:t>
            </w:r>
            <w:r w:rsidRPr="00102859">
              <w:t>(1,139395) = .388</w:t>
            </w:r>
            <w:r w:rsidRPr="00102859">
              <w:rPr>
                <w:sz w:val="24"/>
                <w:szCs w:val="24"/>
              </w:rPr>
              <w:t>,</w:t>
            </w:r>
            <w:r w:rsidRPr="00102859">
              <w:rPr>
                <w:i/>
                <w:sz w:val="24"/>
                <w:szCs w:val="24"/>
              </w:rPr>
              <w:t xml:space="preserve"> p</w:t>
            </w:r>
            <w:r w:rsidRPr="00102859">
              <w:rPr>
                <w:sz w:val="24"/>
                <w:szCs w:val="24"/>
              </w:rPr>
              <w:t xml:space="preserve"> = .53</w:t>
            </w:r>
          </w:p>
        </w:tc>
        <w:tc>
          <w:tcPr>
            <w:tcW w:w="1245" w:type="dxa"/>
          </w:tcPr>
          <w:p w14:paraId="121AB05C" w14:textId="5473D0DD" w:rsidR="00174629" w:rsidRPr="00102859" w:rsidRDefault="00174629" w:rsidP="00174629">
            <w:pPr>
              <w:spacing w:line="480" w:lineRule="auto"/>
            </w:pPr>
            <w:r w:rsidRPr="00102859">
              <w:rPr>
                <w:i/>
                <w:sz w:val="24"/>
                <w:szCs w:val="24"/>
              </w:rPr>
              <w:t>F</w:t>
            </w:r>
            <w:r w:rsidRPr="00102859">
              <w:t>(1,139.838) = 1.01</w:t>
            </w:r>
            <w:r w:rsidRPr="00102859">
              <w:rPr>
                <w:sz w:val="24"/>
                <w:szCs w:val="24"/>
              </w:rPr>
              <w:t>,</w:t>
            </w:r>
            <w:r w:rsidRPr="00102859">
              <w:rPr>
                <w:i/>
                <w:sz w:val="24"/>
                <w:szCs w:val="24"/>
              </w:rPr>
              <w:t xml:space="preserve"> p</w:t>
            </w:r>
            <w:r w:rsidRPr="00102859">
              <w:rPr>
                <w:sz w:val="24"/>
                <w:szCs w:val="24"/>
              </w:rPr>
              <w:t xml:space="preserve"> = .317</w:t>
            </w:r>
          </w:p>
        </w:tc>
        <w:tc>
          <w:tcPr>
            <w:tcW w:w="1341" w:type="dxa"/>
          </w:tcPr>
          <w:p w14:paraId="24EC876D" w14:textId="3481B112" w:rsidR="00174629" w:rsidRPr="00102859" w:rsidRDefault="00174629" w:rsidP="00174629">
            <w:pPr>
              <w:spacing w:line="480" w:lineRule="auto"/>
            </w:pPr>
            <w:r w:rsidRPr="00102859">
              <w:rPr>
                <w:i/>
                <w:sz w:val="24"/>
                <w:szCs w:val="24"/>
              </w:rPr>
              <w:t>F</w:t>
            </w:r>
            <w:r w:rsidRPr="00102859">
              <w:t>(1,139.838) = 1.01</w:t>
            </w:r>
            <w:r w:rsidRPr="00102859">
              <w:rPr>
                <w:sz w:val="24"/>
                <w:szCs w:val="24"/>
              </w:rPr>
              <w:t>,</w:t>
            </w:r>
            <w:r w:rsidRPr="00102859">
              <w:rPr>
                <w:i/>
                <w:sz w:val="24"/>
                <w:szCs w:val="24"/>
              </w:rPr>
              <w:t xml:space="preserve"> p</w:t>
            </w:r>
            <w:r w:rsidRPr="00102859">
              <w:rPr>
                <w:sz w:val="24"/>
                <w:szCs w:val="24"/>
              </w:rPr>
              <w:t xml:space="preserve"> = .317</w:t>
            </w:r>
          </w:p>
        </w:tc>
        <w:tc>
          <w:tcPr>
            <w:tcW w:w="1256" w:type="dxa"/>
          </w:tcPr>
          <w:p w14:paraId="21141773" w14:textId="6F3B05FD" w:rsidR="00174629" w:rsidRPr="00102859" w:rsidRDefault="00174629" w:rsidP="00174629">
            <w:pPr>
              <w:spacing w:line="480" w:lineRule="auto"/>
            </w:pPr>
            <w:r w:rsidRPr="00102859">
              <w:rPr>
                <w:i/>
                <w:sz w:val="24"/>
                <w:szCs w:val="24"/>
              </w:rPr>
              <w:t>F</w:t>
            </w:r>
            <w:r w:rsidRPr="00102859">
              <w:t>(1,142</w:t>
            </w:r>
            <w:r w:rsidRPr="00102859">
              <w:rPr>
                <w:sz w:val="24"/>
                <w:szCs w:val="24"/>
              </w:rPr>
              <w:t>.</w:t>
            </w:r>
            <w:r w:rsidRPr="00102859">
              <w:t>865) = .966</w:t>
            </w:r>
            <w:r w:rsidRPr="00102859">
              <w:rPr>
                <w:sz w:val="24"/>
                <w:szCs w:val="24"/>
              </w:rPr>
              <w:t>,</w:t>
            </w:r>
            <w:r w:rsidRPr="00102859">
              <w:rPr>
                <w:i/>
                <w:sz w:val="24"/>
                <w:szCs w:val="24"/>
              </w:rPr>
              <w:t xml:space="preserve"> p</w:t>
            </w:r>
            <w:r w:rsidRPr="00102859">
              <w:rPr>
                <w:sz w:val="24"/>
                <w:szCs w:val="24"/>
              </w:rPr>
              <w:t xml:space="preserve"> = .327</w:t>
            </w:r>
          </w:p>
        </w:tc>
      </w:tr>
      <w:tr w:rsidR="00102859" w:rsidRPr="00102859" w14:paraId="39584647" w14:textId="77777777" w:rsidTr="0085238F">
        <w:tc>
          <w:tcPr>
            <w:tcW w:w="1304" w:type="dxa"/>
            <w:shd w:val="clear" w:color="auto" w:fill="F2F2F2" w:themeFill="background1" w:themeFillShade="F2"/>
          </w:tcPr>
          <w:p w14:paraId="2A4584A2" w14:textId="01E95094" w:rsidR="00174629" w:rsidRPr="00102859" w:rsidRDefault="00174629" w:rsidP="00174629">
            <w:pPr>
              <w:spacing w:line="480" w:lineRule="auto"/>
            </w:pPr>
            <w:r w:rsidRPr="00102859">
              <w:rPr>
                <w:sz w:val="24"/>
                <w:szCs w:val="24"/>
              </w:rPr>
              <w:t>Group: for imputation analysis</w:t>
            </w:r>
          </w:p>
        </w:tc>
        <w:tc>
          <w:tcPr>
            <w:tcW w:w="1269" w:type="dxa"/>
            <w:shd w:val="clear" w:color="auto" w:fill="F2F2F2" w:themeFill="background1" w:themeFillShade="F2"/>
          </w:tcPr>
          <w:p w14:paraId="47FE0781" w14:textId="2FFE0DC9" w:rsidR="00174629" w:rsidRPr="00102859" w:rsidRDefault="00174629" w:rsidP="00174629">
            <w:pPr>
              <w:spacing w:line="480" w:lineRule="auto"/>
              <w:rPr>
                <w:i/>
              </w:rPr>
            </w:pPr>
            <w:r w:rsidRPr="00102859">
              <w:rPr>
                <w:i/>
                <w:sz w:val="24"/>
                <w:szCs w:val="24"/>
              </w:rPr>
              <w:t>F</w:t>
            </w:r>
            <w:r w:rsidRPr="00102859">
              <w:rPr>
                <w:sz w:val="24"/>
                <w:szCs w:val="24"/>
              </w:rPr>
              <w:t>(1,</w:t>
            </w:r>
            <w:r w:rsidRPr="00102859">
              <w:t>124.012</w:t>
            </w:r>
            <w:r w:rsidRPr="00102859">
              <w:rPr>
                <w:sz w:val="24"/>
                <w:szCs w:val="24"/>
              </w:rPr>
              <w:t>)</w:t>
            </w:r>
            <w:r w:rsidRPr="00102859">
              <w:t xml:space="preserve"> = .02</w:t>
            </w:r>
            <w:r w:rsidRPr="00102859">
              <w:rPr>
                <w:sz w:val="24"/>
                <w:szCs w:val="24"/>
              </w:rPr>
              <w:t>,</w:t>
            </w:r>
            <w:r w:rsidRPr="00102859">
              <w:rPr>
                <w:i/>
                <w:sz w:val="24"/>
                <w:szCs w:val="24"/>
              </w:rPr>
              <w:t xml:space="preserve"> p</w:t>
            </w:r>
            <w:r w:rsidRPr="00102859">
              <w:t xml:space="preserve"> = .90</w:t>
            </w:r>
          </w:p>
        </w:tc>
        <w:tc>
          <w:tcPr>
            <w:tcW w:w="1245" w:type="dxa"/>
            <w:shd w:val="clear" w:color="auto" w:fill="F2F2F2" w:themeFill="background1" w:themeFillShade="F2"/>
          </w:tcPr>
          <w:p w14:paraId="7772B2BB" w14:textId="406399E2" w:rsidR="00174629" w:rsidRPr="00102859" w:rsidRDefault="00174629" w:rsidP="00174629">
            <w:pPr>
              <w:spacing w:line="480" w:lineRule="auto"/>
              <w:rPr>
                <w:bCs/>
                <w:i/>
              </w:rPr>
            </w:pPr>
            <w:r w:rsidRPr="00102859">
              <w:rPr>
                <w:i/>
                <w:sz w:val="24"/>
                <w:szCs w:val="24"/>
              </w:rPr>
              <w:t>F</w:t>
            </w:r>
            <w:r w:rsidRPr="00102859">
              <w:t>(1, 124.000) = .45</w:t>
            </w:r>
            <w:r w:rsidRPr="00102859">
              <w:rPr>
                <w:sz w:val="24"/>
                <w:szCs w:val="24"/>
              </w:rPr>
              <w:t>,</w:t>
            </w:r>
            <w:r w:rsidRPr="00102859">
              <w:rPr>
                <w:i/>
                <w:sz w:val="24"/>
                <w:szCs w:val="24"/>
              </w:rPr>
              <w:t xml:space="preserve"> p</w:t>
            </w:r>
            <w:r w:rsidRPr="00102859">
              <w:t xml:space="preserve"> = .50</w:t>
            </w:r>
          </w:p>
        </w:tc>
        <w:tc>
          <w:tcPr>
            <w:tcW w:w="1256" w:type="dxa"/>
            <w:shd w:val="clear" w:color="auto" w:fill="F2F2F2" w:themeFill="background1" w:themeFillShade="F2"/>
          </w:tcPr>
          <w:p w14:paraId="063FAC18" w14:textId="48133FFA" w:rsidR="00174629" w:rsidRPr="00102859" w:rsidRDefault="00174629" w:rsidP="00174629">
            <w:pPr>
              <w:spacing w:line="480" w:lineRule="auto"/>
              <w:rPr>
                <w:i/>
              </w:rPr>
            </w:pPr>
            <w:r w:rsidRPr="00102859">
              <w:rPr>
                <w:i/>
                <w:sz w:val="24"/>
                <w:szCs w:val="24"/>
              </w:rPr>
              <w:t>F</w:t>
            </w:r>
            <w:r w:rsidRPr="00102859">
              <w:t>(1,124.000) = .26</w:t>
            </w:r>
            <w:r w:rsidRPr="00102859">
              <w:rPr>
                <w:sz w:val="24"/>
                <w:szCs w:val="24"/>
              </w:rPr>
              <w:t>,</w:t>
            </w:r>
            <w:r w:rsidRPr="00102859">
              <w:rPr>
                <w:i/>
                <w:sz w:val="24"/>
                <w:szCs w:val="24"/>
              </w:rPr>
              <w:t xml:space="preserve"> p</w:t>
            </w:r>
            <w:r w:rsidRPr="00102859">
              <w:t xml:space="preserve"> = .61</w:t>
            </w:r>
          </w:p>
        </w:tc>
        <w:tc>
          <w:tcPr>
            <w:tcW w:w="1256" w:type="dxa"/>
            <w:shd w:val="clear" w:color="auto" w:fill="F2F2F2" w:themeFill="background1" w:themeFillShade="F2"/>
          </w:tcPr>
          <w:p w14:paraId="53B9C772" w14:textId="258A4199" w:rsidR="00174629" w:rsidRPr="00102859" w:rsidRDefault="00174629" w:rsidP="00174629">
            <w:pPr>
              <w:spacing w:line="480" w:lineRule="auto"/>
              <w:rPr>
                <w:i/>
              </w:rPr>
            </w:pPr>
            <w:r w:rsidRPr="00102859">
              <w:rPr>
                <w:i/>
                <w:sz w:val="24"/>
                <w:szCs w:val="24"/>
              </w:rPr>
              <w:t>F</w:t>
            </w:r>
            <w:r w:rsidRPr="00102859">
              <w:t>(1,123</w:t>
            </w:r>
            <w:r w:rsidRPr="00102859">
              <w:rPr>
                <w:sz w:val="24"/>
                <w:szCs w:val="24"/>
              </w:rPr>
              <w:t>.</w:t>
            </w:r>
            <w:r w:rsidRPr="00102859">
              <w:t>990) = 3.59</w:t>
            </w:r>
            <w:r w:rsidRPr="00102859">
              <w:rPr>
                <w:sz w:val="24"/>
                <w:szCs w:val="24"/>
              </w:rPr>
              <w:t>,</w:t>
            </w:r>
            <w:r w:rsidRPr="00102859">
              <w:rPr>
                <w:i/>
                <w:sz w:val="24"/>
                <w:szCs w:val="24"/>
              </w:rPr>
              <w:t xml:space="preserve"> p</w:t>
            </w:r>
            <w:r w:rsidRPr="00102859">
              <w:rPr>
                <w:sz w:val="24"/>
                <w:szCs w:val="24"/>
              </w:rPr>
              <w:t xml:space="preserve"> = .06</w:t>
            </w:r>
          </w:p>
        </w:tc>
        <w:tc>
          <w:tcPr>
            <w:tcW w:w="1256" w:type="dxa"/>
            <w:shd w:val="clear" w:color="auto" w:fill="F2F2F2" w:themeFill="background1" w:themeFillShade="F2"/>
          </w:tcPr>
          <w:p w14:paraId="19253922" w14:textId="44035403" w:rsidR="00174629" w:rsidRPr="00102859" w:rsidRDefault="00174629" w:rsidP="00174629">
            <w:pPr>
              <w:spacing w:line="480" w:lineRule="auto"/>
              <w:rPr>
                <w:i/>
              </w:rPr>
            </w:pPr>
            <w:r w:rsidRPr="00102859">
              <w:rPr>
                <w:i/>
                <w:sz w:val="24"/>
                <w:szCs w:val="24"/>
              </w:rPr>
              <w:t>F</w:t>
            </w:r>
            <w:r w:rsidRPr="00102859">
              <w:t>(1,156.000) = .13</w:t>
            </w:r>
            <w:r w:rsidRPr="00102859">
              <w:rPr>
                <w:sz w:val="24"/>
                <w:szCs w:val="24"/>
              </w:rPr>
              <w:t>,</w:t>
            </w:r>
            <w:r w:rsidRPr="00102859">
              <w:rPr>
                <w:i/>
                <w:sz w:val="24"/>
                <w:szCs w:val="24"/>
              </w:rPr>
              <w:t xml:space="preserve"> p</w:t>
            </w:r>
            <w:r w:rsidRPr="00102859">
              <w:rPr>
                <w:sz w:val="24"/>
                <w:szCs w:val="24"/>
              </w:rPr>
              <w:t xml:space="preserve"> = .72</w:t>
            </w:r>
          </w:p>
        </w:tc>
        <w:tc>
          <w:tcPr>
            <w:tcW w:w="1256" w:type="dxa"/>
            <w:shd w:val="clear" w:color="auto" w:fill="F2F2F2" w:themeFill="background1" w:themeFillShade="F2"/>
          </w:tcPr>
          <w:p w14:paraId="440D833A" w14:textId="4EBAD13A" w:rsidR="00174629" w:rsidRPr="00102859" w:rsidRDefault="00174629" w:rsidP="00174629">
            <w:pPr>
              <w:spacing w:line="480" w:lineRule="auto"/>
              <w:rPr>
                <w:i/>
              </w:rPr>
            </w:pPr>
            <w:r w:rsidRPr="00102859">
              <w:rPr>
                <w:i/>
                <w:sz w:val="24"/>
                <w:szCs w:val="24"/>
              </w:rPr>
              <w:t>F</w:t>
            </w:r>
            <w:r w:rsidRPr="00102859">
              <w:t>(1,60.238) = 2.72</w:t>
            </w:r>
            <w:r w:rsidRPr="00102859">
              <w:rPr>
                <w:sz w:val="24"/>
                <w:szCs w:val="24"/>
              </w:rPr>
              <w:t>,</w:t>
            </w:r>
            <w:r w:rsidRPr="00102859">
              <w:rPr>
                <w:i/>
                <w:sz w:val="24"/>
                <w:szCs w:val="24"/>
              </w:rPr>
              <w:t xml:space="preserve"> p</w:t>
            </w:r>
            <w:r w:rsidRPr="00102859">
              <w:rPr>
                <w:sz w:val="24"/>
                <w:szCs w:val="24"/>
              </w:rPr>
              <w:t xml:space="preserve"> = .10</w:t>
            </w:r>
          </w:p>
        </w:tc>
        <w:tc>
          <w:tcPr>
            <w:tcW w:w="1256" w:type="dxa"/>
            <w:shd w:val="clear" w:color="auto" w:fill="F2F2F2" w:themeFill="background1" w:themeFillShade="F2"/>
          </w:tcPr>
          <w:p w14:paraId="5570128C" w14:textId="6FF98B9D" w:rsidR="00174629" w:rsidRPr="00102859" w:rsidRDefault="00174629" w:rsidP="00174629">
            <w:pPr>
              <w:spacing w:line="480" w:lineRule="auto"/>
              <w:rPr>
                <w:i/>
              </w:rPr>
            </w:pPr>
            <w:r w:rsidRPr="00102859">
              <w:rPr>
                <w:i/>
                <w:sz w:val="24"/>
                <w:szCs w:val="24"/>
              </w:rPr>
              <w:t>F</w:t>
            </w:r>
            <w:r w:rsidRPr="00102859">
              <w:t>(1,124.000) = .42</w:t>
            </w:r>
            <w:r w:rsidRPr="00102859">
              <w:rPr>
                <w:sz w:val="24"/>
                <w:szCs w:val="24"/>
              </w:rPr>
              <w:t>,</w:t>
            </w:r>
            <w:r w:rsidRPr="00102859">
              <w:rPr>
                <w:i/>
                <w:sz w:val="24"/>
                <w:szCs w:val="24"/>
              </w:rPr>
              <w:t xml:space="preserve"> p</w:t>
            </w:r>
            <w:r w:rsidRPr="00102859">
              <w:rPr>
                <w:sz w:val="24"/>
                <w:szCs w:val="24"/>
              </w:rPr>
              <w:t xml:space="preserve"> = .52</w:t>
            </w:r>
          </w:p>
        </w:tc>
        <w:tc>
          <w:tcPr>
            <w:tcW w:w="1245" w:type="dxa"/>
            <w:shd w:val="clear" w:color="auto" w:fill="F2F2F2" w:themeFill="background1" w:themeFillShade="F2"/>
          </w:tcPr>
          <w:p w14:paraId="478473D4" w14:textId="536DF54E" w:rsidR="00174629" w:rsidRPr="00102859" w:rsidRDefault="00174629" w:rsidP="00174629">
            <w:pPr>
              <w:spacing w:line="480" w:lineRule="auto"/>
              <w:rPr>
                <w:i/>
              </w:rPr>
            </w:pPr>
            <w:r w:rsidRPr="00102859">
              <w:rPr>
                <w:i/>
                <w:sz w:val="24"/>
                <w:szCs w:val="24"/>
              </w:rPr>
              <w:t>F</w:t>
            </w:r>
            <w:r w:rsidRPr="00102859">
              <w:t>(1,47</w:t>
            </w:r>
            <w:r w:rsidRPr="00102859">
              <w:rPr>
                <w:sz w:val="24"/>
                <w:szCs w:val="24"/>
              </w:rPr>
              <w:t>.</w:t>
            </w:r>
            <w:r w:rsidRPr="00102859">
              <w:t>59) = .05</w:t>
            </w:r>
            <w:r w:rsidRPr="00102859">
              <w:rPr>
                <w:sz w:val="24"/>
                <w:szCs w:val="24"/>
              </w:rPr>
              <w:t>,</w:t>
            </w:r>
            <w:r w:rsidRPr="00102859">
              <w:rPr>
                <w:i/>
                <w:sz w:val="24"/>
                <w:szCs w:val="24"/>
              </w:rPr>
              <w:t xml:space="preserve"> p</w:t>
            </w:r>
            <w:r w:rsidRPr="00102859">
              <w:rPr>
                <w:sz w:val="24"/>
                <w:szCs w:val="24"/>
              </w:rPr>
              <w:t xml:space="preserve"> = .83</w:t>
            </w:r>
          </w:p>
        </w:tc>
        <w:tc>
          <w:tcPr>
            <w:tcW w:w="1341" w:type="dxa"/>
            <w:shd w:val="clear" w:color="auto" w:fill="F2F2F2" w:themeFill="background1" w:themeFillShade="F2"/>
          </w:tcPr>
          <w:p w14:paraId="3F5C663B" w14:textId="3C688123" w:rsidR="00174629" w:rsidRPr="00102859" w:rsidRDefault="00174629" w:rsidP="00174629">
            <w:pPr>
              <w:spacing w:line="480" w:lineRule="auto"/>
              <w:rPr>
                <w:i/>
              </w:rPr>
            </w:pPr>
            <w:r w:rsidRPr="00102859">
              <w:rPr>
                <w:i/>
                <w:sz w:val="24"/>
                <w:szCs w:val="24"/>
              </w:rPr>
              <w:t>F</w:t>
            </w:r>
            <w:r w:rsidRPr="00102859">
              <w:t>(1,124.000) = 3.80</w:t>
            </w:r>
            <w:r w:rsidRPr="00102859">
              <w:rPr>
                <w:sz w:val="24"/>
                <w:szCs w:val="24"/>
              </w:rPr>
              <w:t>,</w:t>
            </w:r>
            <w:r w:rsidRPr="00102859">
              <w:rPr>
                <w:i/>
                <w:sz w:val="24"/>
                <w:szCs w:val="24"/>
              </w:rPr>
              <w:t xml:space="preserve"> p</w:t>
            </w:r>
            <w:r w:rsidRPr="00102859">
              <w:rPr>
                <w:sz w:val="24"/>
                <w:szCs w:val="24"/>
              </w:rPr>
              <w:t xml:space="preserve"> = .05</w:t>
            </w:r>
          </w:p>
        </w:tc>
        <w:tc>
          <w:tcPr>
            <w:tcW w:w="1256" w:type="dxa"/>
            <w:shd w:val="clear" w:color="auto" w:fill="F2F2F2" w:themeFill="background1" w:themeFillShade="F2"/>
          </w:tcPr>
          <w:p w14:paraId="56CAB395" w14:textId="16B391B3" w:rsidR="00174629" w:rsidRPr="00102859" w:rsidRDefault="00174629" w:rsidP="00174629">
            <w:pPr>
              <w:spacing w:line="480" w:lineRule="auto"/>
              <w:rPr>
                <w:i/>
              </w:rPr>
            </w:pPr>
            <w:r w:rsidRPr="00102859">
              <w:rPr>
                <w:i/>
                <w:sz w:val="24"/>
                <w:szCs w:val="24"/>
              </w:rPr>
              <w:t>F</w:t>
            </w:r>
            <w:r w:rsidRPr="00102859">
              <w:t>(1,124</w:t>
            </w:r>
            <w:r w:rsidRPr="00102859">
              <w:rPr>
                <w:sz w:val="24"/>
                <w:szCs w:val="24"/>
              </w:rPr>
              <w:t>.</w:t>
            </w:r>
            <w:r w:rsidRPr="00102859">
              <w:t>012) = 1.95</w:t>
            </w:r>
            <w:r w:rsidRPr="00102859">
              <w:rPr>
                <w:sz w:val="24"/>
                <w:szCs w:val="24"/>
              </w:rPr>
              <w:t>,</w:t>
            </w:r>
            <w:r w:rsidRPr="00102859">
              <w:rPr>
                <w:i/>
                <w:sz w:val="24"/>
                <w:szCs w:val="24"/>
              </w:rPr>
              <w:t xml:space="preserve"> p</w:t>
            </w:r>
            <w:r w:rsidRPr="00102859">
              <w:rPr>
                <w:sz w:val="24"/>
                <w:szCs w:val="24"/>
              </w:rPr>
              <w:t xml:space="preserve"> = .17</w:t>
            </w:r>
          </w:p>
        </w:tc>
      </w:tr>
      <w:tr w:rsidR="00102859" w:rsidRPr="00102859" w14:paraId="4D4934A3" w14:textId="77777777" w:rsidTr="00174629">
        <w:tc>
          <w:tcPr>
            <w:tcW w:w="1304" w:type="dxa"/>
          </w:tcPr>
          <w:p w14:paraId="071E918D" w14:textId="7D03D29B" w:rsidR="00174629" w:rsidRPr="00102859" w:rsidRDefault="00174629" w:rsidP="00174629">
            <w:pPr>
              <w:spacing w:line="480" w:lineRule="auto"/>
              <w:rPr>
                <w:sz w:val="24"/>
                <w:szCs w:val="24"/>
              </w:rPr>
            </w:pPr>
            <w:r w:rsidRPr="00102859">
              <w:rPr>
                <w:sz w:val="24"/>
                <w:szCs w:val="24"/>
              </w:rPr>
              <w:t xml:space="preserve">Time*Group </w:t>
            </w:r>
          </w:p>
          <w:p w14:paraId="702CFE1C" w14:textId="0C7DD605" w:rsidR="00174629" w:rsidRPr="00102859" w:rsidRDefault="00174629" w:rsidP="00174629">
            <w:pPr>
              <w:spacing w:line="480" w:lineRule="auto"/>
            </w:pPr>
            <w:r w:rsidRPr="00102859">
              <w:rPr>
                <w:sz w:val="24"/>
                <w:szCs w:val="24"/>
              </w:rPr>
              <w:t>for completers analysis</w:t>
            </w:r>
          </w:p>
        </w:tc>
        <w:tc>
          <w:tcPr>
            <w:tcW w:w="1269" w:type="dxa"/>
          </w:tcPr>
          <w:p w14:paraId="091D724F" w14:textId="70FB7280" w:rsidR="00174629" w:rsidRPr="00102859" w:rsidRDefault="00174629" w:rsidP="00174629">
            <w:pPr>
              <w:spacing w:line="480" w:lineRule="auto"/>
            </w:pPr>
            <w:r w:rsidRPr="00102859">
              <w:rPr>
                <w:i/>
                <w:sz w:val="24"/>
                <w:szCs w:val="24"/>
              </w:rPr>
              <w:t>F</w:t>
            </w:r>
            <w:r w:rsidRPr="00102859">
              <w:t>(3,107</w:t>
            </w:r>
            <w:r w:rsidRPr="00102859">
              <w:rPr>
                <w:sz w:val="24"/>
                <w:szCs w:val="24"/>
              </w:rPr>
              <w:t>.</w:t>
            </w:r>
            <w:r w:rsidRPr="00102859">
              <w:t>066) = 1.599</w:t>
            </w:r>
            <w:r w:rsidRPr="00102859">
              <w:rPr>
                <w:sz w:val="24"/>
                <w:szCs w:val="24"/>
              </w:rPr>
              <w:t>,</w:t>
            </w:r>
            <w:r w:rsidRPr="00102859">
              <w:rPr>
                <w:i/>
                <w:sz w:val="24"/>
                <w:szCs w:val="24"/>
              </w:rPr>
              <w:t xml:space="preserve"> p</w:t>
            </w:r>
            <w:r w:rsidRPr="00102859">
              <w:rPr>
                <w:sz w:val="24"/>
                <w:szCs w:val="24"/>
              </w:rPr>
              <w:t xml:space="preserve"> = .207</w:t>
            </w:r>
          </w:p>
        </w:tc>
        <w:tc>
          <w:tcPr>
            <w:tcW w:w="1245" w:type="dxa"/>
          </w:tcPr>
          <w:p w14:paraId="49B6F72C" w14:textId="10413186" w:rsidR="00174629" w:rsidRPr="00102859" w:rsidRDefault="00174629" w:rsidP="00174629">
            <w:pPr>
              <w:spacing w:line="480" w:lineRule="auto"/>
              <w:rPr>
                <w:bCs/>
              </w:rPr>
            </w:pPr>
            <w:r w:rsidRPr="00102859">
              <w:rPr>
                <w:bCs/>
                <w:i/>
              </w:rPr>
              <w:t>F</w:t>
            </w:r>
            <w:r w:rsidRPr="00102859">
              <w:rPr>
                <w:bCs/>
              </w:rPr>
              <w:t>(3, 106.911) = 3.086,</w:t>
            </w:r>
            <w:r w:rsidRPr="00102859">
              <w:rPr>
                <w:bCs/>
                <w:i/>
              </w:rPr>
              <w:t xml:space="preserve"> p</w:t>
            </w:r>
            <w:r w:rsidRPr="00102859">
              <w:rPr>
                <w:bCs/>
              </w:rPr>
              <w:t xml:space="preserve"> = .05*</w:t>
            </w:r>
          </w:p>
        </w:tc>
        <w:tc>
          <w:tcPr>
            <w:tcW w:w="1256" w:type="dxa"/>
          </w:tcPr>
          <w:p w14:paraId="0B352EDA" w14:textId="3E5B7CF3" w:rsidR="00174629" w:rsidRPr="00102859" w:rsidRDefault="00174629" w:rsidP="00174629">
            <w:pPr>
              <w:spacing w:line="480" w:lineRule="auto"/>
            </w:pPr>
            <w:r w:rsidRPr="00102859">
              <w:rPr>
                <w:i/>
                <w:sz w:val="24"/>
                <w:szCs w:val="24"/>
              </w:rPr>
              <w:t>F</w:t>
            </w:r>
            <w:r w:rsidRPr="00102859">
              <w:t>(3,100.176) = .233</w:t>
            </w:r>
            <w:r w:rsidRPr="00102859">
              <w:rPr>
                <w:sz w:val="24"/>
                <w:szCs w:val="24"/>
              </w:rPr>
              <w:t>,</w:t>
            </w:r>
            <w:r w:rsidRPr="00102859">
              <w:rPr>
                <w:i/>
                <w:sz w:val="24"/>
                <w:szCs w:val="24"/>
              </w:rPr>
              <w:t xml:space="preserve"> p</w:t>
            </w:r>
            <w:r w:rsidRPr="00102859">
              <w:t xml:space="preserve"> = .793</w:t>
            </w:r>
          </w:p>
        </w:tc>
        <w:tc>
          <w:tcPr>
            <w:tcW w:w="1256" w:type="dxa"/>
          </w:tcPr>
          <w:p w14:paraId="125308D6" w14:textId="4A15524D" w:rsidR="00174629" w:rsidRPr="00102859" w:rsidRDefault="00174629" w:rsidP="00174629">
            <w:pPr>
              <w:spacing w:line="480" w:lineRule="auto"/>
            </w:pPr>
            <w:r w:rsidRPr="00102859">
              <w:rPr>
                <w:i/>
                <w:sz w:val="24"/>
                <w:szCs w:val="24"/>
              </w:rPr>
              <w:t>F</w:t>
            </w:r>
            <w:r w:rsidRPr="00102859">
              <w:t>(3,98.976) = 2.811</w:t>
            </w:r>
            <w:r w:rsidRPr="00102859">
              <w:rPr>
                <w:sz w:val="24"/>
                <w:szCs w:val="24"/>
              </w:rPr>
              <w:t>,</w:t>
            </w:r>
            <w:r w:rsidRPr="00102859">
              <w:rPr>
                <w:i/>
                <w:sz w:val="24"/>
                <w:szCs w:val="24"/>
              </w:rPr>
              <w:t xml:space="preserve"> p</w:t>
            </w:r>
            <w:r w:rsidRPr="00102859">
              <w:rPr>
                <w:sz w:val="24"/>
                <w:szCs w:val="24"/>
              </w:rPr>
              <w:t xml:space="preserve"> = .065</w:t>
            </w:r>
          </w:p>
        </w:tc>
        <w:tc>
          <w:tcPr>
            <w:tcW w:w="1256" w:type="dxa"/>
          </w:tcPr>
          <w:p w14:paraId="1686B098" w14:textId="15BFFA7A" w:rsidR="00174629" w:rsidRPr="00102859" w:rsidRDefault="00174629" w:rsidP="00174629">
            <w:pPr>
              <w:spacing w:line="480" w:lineRule="auto"/>
            </w:pPr>
            <w:r w:rsidRPr="00102859">
              <w:rPr>
                <w:i/>
                <w:sz w:val="24"/>
                <w:szCs w:val="24"/>
              </w:rPr>
              <w:t>F</w:t>
            </w:r>
            <w:r w:rsidRPr="00102859">
              <w:t>(3,98.976) = 2.811</w:t>
            </w:r>
            <w:r w:rsidRPr="00102859">
              <w:rPr>
                <w:sz w:val="24"/>
                <w:szCs w:val="24"/>
              </w:rPr>
              <w:t>,</w:t>
            </w:r>
            <w:r w:rsidRPr="00102859">
              <w:rPr>
                <w:i/>
                <w:sz w:val="24"/>
                <w:szCs w:val="24"/>
              </w:rPr>
              <w:t xml:space="preserve"> p</w:t>
            </w:r>
            <w:r w:rsidRPr="00102859">
              <w:rPr>
                <w:sz w:val="24"/>
                <w:szCs w:val="24"/>
              </w:rPr>
              <w:t xml:space="preserve"> = .065</w:t>
            </w:r>
          </w:p>
        </w:tc>
        <w:tc>
          <w:tcPr>
            <w:tcW w:w="1256" w:type="dxa"/>
          </w:tcPr>
          <w:p w14:paraId="48316932" w14:textId="6DCF0A84" w:rsidR="00174629" w:rsidRPr="00102859" w:rsidRDefault="00174629" w:rsidP="00174629">
            <w:pPr>
              <w:spacing w:line="480" w:lineRule="auto"/>
            </w:pPr>
            <w:proofErr w:type="gramStart"/>
            <w:r w:rsidRPr="00102859">
              <w:rPr>
                <w:i/>
                <w:sz w:val="24"/>
                <w:szCs w:val="24"/>
              </w:rPr>
              <w:t>F</w:t>
            </w:r>
            <w:r w:rsidRPr="00102859">
              <w:t>(</w:t>
            </w:r>
            <w:proofErr w:type="gramEnd"/>
            <w:r w:rsidRPr="00102859">
              <w:t>3,104.90) = ..579</w:t>
            </w:r>
            <w:r w:rsidRPr="00102859">
              <w:rPr>
                <w:sz w:val="24"/>
                <w:szCs w:val="24"/>
              </w:rPr>
              <w:t>,</w:t>
            </w:r>
            <w:r w:rsidRPr="00102859">
              <w:rPr>
                <w:i/>
                <w:sz w:val="24"/>
                <w:szCs w:val="24"/>
              </w:rPr>
              <w:t xml:space="preserve"> p</w:t>
            </w:r>
            <w:r w:rsidRPr="00102859">
              <w:rPr>
                <w:sz w:val="24"/>
                <w:szCs w:val="24"/>
              </w:rPr>
              <w:t xml:space="preserve"> &lt; .562</w:t>
            </w:r>
          </w:p>
        </w:tc>
        <w:tc>
          <w:tcPr>
            <w:tcW w:w="1256" w:type="dxa"/>
          </w:tcPr>
          <w:p w14:paraId="0700F54C" w14:textId="56EAC856" w:rsidR="00174629" w:rsidRPr="00102859" w:rsidRDefault="00174629" w:rsidP="00174629">
            <w:pPr>
              <w:spacing w:line="480" w:lineRule="auto"/>
              <w:rPr>
                <w:i/>
              </w:rPr>
            </w:pPr>
            <w:r w:rsidRPr="00102859">
              <w:rPr>
                <w:i/>
                <w:sz w:val="24"/>
                <w:szCs w:val="24"/>
              </w:rPr>
              <w:t>F</w:t>
            </w:r>
            <w:r w:rsidRPr="00102859">
              <w:t>(3,98.310) = 1.95</w:t>
            </w:r>
            <w:r w:rsidRPr="00102859">
              <w:rPr>
                <w:sz w:val="24"/>
                <w:szCs w:val="24"/>
              </w:rPr>
              <w:t>,</w:t>
            </w:r>
            <w:r w:rsidRPr="00102859">
              <w:rPr>
                <w:i/>
                <w:sz w:val="24"/>
                <w:szCs w:val="24"/>
              </w:rPr>
              <w:t xml:space="preserve"> p</w:t>
            </w:r>
            <w:r w:rsidRPr="00102859">
              <w:rPr>
                <w:sz w:val="24"/>
                <w:szCs w:val="24"/>
              </w:rPr>
              <w:t xml:space="preserve"> = .15</w:t>
            </w:r>
          </w:p>
        </w:tc>
        <w:tc>
          <w:tcPr>
            <w:tcW w:w="1245" w:type="dxa"/>
          </w:tcPr>
          <w:p w14:paraId="2A9D82ED" w14:textId="0050B952" w:rsidR="00174629" w:rsidRPr="00102859" w:rsidRDefault="00174629" w:rsidP="00174629">
            <w:pPr>
              <w:spacing w:line="480" w:lineRule="auto"/>
            </w:pPr>
            <w:r w:rsidRPr="00102859">
              <w:rPr>
                <w:i/>
                <w:sz w:val="24"/>
                <w:szCs w:val="24"/>
              </w:rPr>
              <w:t>F</w:t>
            </w:r>
            <w:r w:rsidRPr="00102859">
              <w:t>(3,105.055) = 1.355</w:t>
            </w:r>
            <w:r w:rsidRPr="00102859">
              <w:rPr>
                <w:sz w:val="24"/>
                <w:szCs w:val="24"/>
              </w:rPr>
              <w:t>,</w:t>
            </w:r>
            <w:r w:rsidRPr="00102859">
              <w:rPr>
                <w:i/>
                <w:sz w:val="24"/>
                <w:szCs w:val="24"/>
              </w:rPr>
              <w:t xml:space="preserve"> p</w:t>
            </w:r>
            <w:r w:rsidRPr="00102859">
              <w:rPr>
                <w:sz w:val="24"/>
                <w:szCs w:val="24"/>
              </w:rPr>
              <w:t xml:space="preserve"> = .262</w:t>
            </w:r>
          </w:p>
        </w:tc>
        <w:tc>
          <w:tcPr>
            <w:tcW w:w="1341" w:type="dxa"/>
          </w:tcPr>
          <w:p w14:paraId="77B476D1" w14:textId="1402A42F" w:rsidR="00174629" w:rsidRPr="00102859" w:rsidRDefault="00174629" w:rsidP="00174629">
            <w:pPr>
              <w:spacing w:line="480" w:lineRule="auto"/>
            </w:pPr>
            <w:r w:rsidRPr="00102859">
              <w:rPr>
                <w:i/>
                <w:sz w:val="24"/>
                <w:szCs w:val="24"/>
              </w:rPr>
              <w:t>F</w:t>
            </w:r>
            <w:r w:rsidRPr="00102859">
              <w:t>(3,105.0055) = 1.355</w:t>
            </w:r>
            <w:r w:rsidRPr="00102859">
              <w:rPr>
                <w:sz w:val="24"/>
                <w:szCs w:val="24"/>
              </w:rPr>
              <w:t>,</w:t>
            </w:r>
            <w:r w:rsidRPr="00102859">
              <w:rPr>
                <w:i/>
                <w:sz w:val="24"/>
                <w:szCs w:val="24"/>
              </w:rPr>
              <w:t xml:space="preserve"> p</w:t>
            </w:r>
            <w:r w:rsidRPr="00102859">
              <w:rPr>
                <w:sz w:val="24"/>
                <w:szCs w:val="24"/>
              </w:rPr>
              <w:t xml:space="preserve"> = .262</w:t>
            </w:r>
          </w:p>
        </w:tc>
        <w:tc>
          <w:tcPr>
            <w:tcW w:w="1256" w:type="dxa"/>
          </w:tcPr>
          <w:p w14:paraId="613F1D05" w14:textId="1FF45F96" w:rsidR="00174629" w:rsidRPr="00102859" w:rsidRDefault="00174629" w:rsidP="00174629">
            <w:pPr>
              <w:spacing w:line="480" w:lineRule="auto"/>
            </w:pPr>
            <w:r w:rsidRPr="00102859">
              <w:rPr>
                <w:i/>
                <w:sz w:val="24"/>
                <w:szCs w:val="24"/>
              </w:rPr>
              <w:t>F</w:t>
            </w:r>
            <w:r w:rsidRPr="00102859">
              <w:t>(3,111.560) = .119</w:t>
            </w:r>
            <w:r w:rsidRPr="00102859">
              <w:rPr>
                <w:sz w:val="24"/>
                <w:szCs w:val="24"/>
              </w:rPr>
              <w:t>,</w:t>
            </w:r>
            <w:r w:rsidRPr="00102859">
              <w:rPr>
                <w:i/>
                <w:sz w:val="24"/>
                <w:szCs w:val="24"/>
              </w:rPr>
              <w:t xml:space="preserve"> p</w:t>
            </w:r>
            <w:r w:rsidRPr="00102859">
              <w:rPr>
                <w:sz w:val="24"/>
                <w:szCs w:val="24"/>
              </w:rPr>
              <w:t xml:space="preserve"> = .888</w:t>
            </w:r>
          </w:p>
        </w:tc>
      </w:tr>
      <w:tr w:rsidR="00102859" w:rsidRPr="00102859" w14:paraId="5B128D53" w14:textId="77777777" w:rsidTr="0085238F">
        <w:tc>
          <w:tcPr>
            <w:tcW w:w="1304" w:type="dxa"/>
            <w:shd w:val="clear" w:color="auto" w:fill="F2F2F2" w:themeFill="background1" w:themeFillShade="F2"/>
          </w:tcPr>
          <w:p w14:paraId="3FAAADE5" w14:textId="0190B48F" w:rsidR="00174629" w:rsidRPr="00102859" w:rsidRDefault="00174629" w:rsidP="00174629">
            <w:pPr>
              <w:spacing w:line="480" w:lineRule="auto"/>
              <w:rPr>
                <w:sz w:val="24"/>
                <w:szCs w:val="24"/>
              </w:rPr>
            </w:pPr>
            <w:r w:rsidRPr="00102859">
              <w:rPr>
                <w:sz w:val="24"/>
                <w:szCs w:val="24"/>
              </w:rPr>
              <w:t xml:space="preserve">Time*Group </w:t>
            </w:r>
          </w:p>
          <w:p w14:paraId="45175CDA" w14:textId="30690C3D" w:rsidR="00174629" w:rsidRPr="00102859" w:rsidRDefault="00174629" w:rsidP="00174629">
            <w:pPr>
              <w:spacing w:line="480" w:lineRule="auto"/>
            </w:pPr>
            <w:r w:rsidRPr="00102859">
              <w:rPr>
                <w:sz w:val="24"/>
                <w:szCs w:val="24"/>
              </w:rPr>
              <w:t>: for imputation analysis</w:t>
            </w:r>
          </w:p>
        </w:tc>
        <w:tc>
          <w:tcPr>
            <w:tcW w:w="1269" w:type="dxa"/>
            <w:shd w:val="clear" w:color="auto" w:fill="F2F2F2" w:themeFill="background1" w:themeFillShade="F2"/>
          </w:tcPr>
          <w:p w14:paraId="2C51E25A" w14:textId="4D8189C6" w:rsidR="00174629" w:rsidRPr="00102859" w:rsidRDefault="00174629" w:rsidP="00174629">
            <w:pPr>
              <w:spacing w:line="480" w:lineRule="auto"/>
              <w:rPr>
                <w:i/>
              </w:rPr>
            </w:pPr>
            <w:r w:rsidRPr="00102859">
              <w:rPr>
                <w:i/>
                <w:sz w:val="24"/>
                <w:szCs w:val="24"/>
              </w:rPr>
              <w:t>F</w:t>
            </w:r>
            <w:r w:rsidRPr="00102859">
              <w:t>(3,124</w:t>
            </w:r>
            <w:r w:rsidRPr="00102859">
              <w:rPr>
                <w:sz w:val="24"/>
                <w:szCs w:val="24"/>
              </w:rPr>
              <w:t>.</w:t>
            </w:r>
            <w:r w:rsidRPr="00102859">
              <w:t>001) = 2.25</w:t>
            </w:r>
            <w:r w:rsidRPr="00102859">
              <w:rPr>
                <w:sz w:val="24"/>
                <w:szCs w:val="24"/>
              </w:rPr>
              <w:t>,</w:t>
            </w:r>
            <w:r w:rsidRPr="00102859">
              <w:rPr>
                <w:i/>
                <w:sz w:val="24"/>
                <w:szCs w:val="24"/>
              </w:rPr>
              <w:t xml:space="preserve"> p</w:t>
            </w:r>
            <w:r w:rsidRPr="00102859">
              <w:rPr>
                <w:sz w:val="24"/>
                <w:szCs w:val="24"/>
              </w:rPr>
              <w:t xml:space="preserve"> = .09</w:t>
            </w:r>
          </w:p>
        </w:tc>
        <w:tc>
          <w:tcPr>
            <w:tcW w:w="1245" w:type="dxa"/>
            <w:shd w:val="clear" w:color="auto" w:fill="F2F2F2" w:themeFill="background1" w:themeFillShade="F2"/>
          </w:tcPr>
          <w:p w14:paraId="5C65514A" w14:textId="7D8F5076" w:rsidR="00174629" w:rsidRPr="00102859" w:rsidRDefault="00174629" w:rsidP="00174629">
            <w:pPr>
              <w:spacing w:line="480" w:lineRule="auto"/>
              <w:rPr>
                <w:bCs/>
                <w:i/>
              </w:rPr>
            </w:pPr>
            <w:r w:rsidRPr="00102859">
              <w:rPr>
                <w:i/>
                <w:sz w:val="24"/>
                <w:szCs w:val="24"/>
              </w:rPr>
              <w:t>F</w:t>
            </w:r>
            <w:r w:rsidRPr="00102859">
              <w:t>(3, 124.000) = 3.05</w:t>
            </w:r>
            <w:r w:rsidRPr="00102859">
              <w:rPr>
                <w:sz w:val="24"/>
                <w:szCs w:val="24"/>
              </w:rPr>
              <w:t>,</w:t>
            </w:r>
            <w:r w:rsidRPr="00102859">
              <w:rPr>
                <w:i/>
                <w:sz w:val="24"/>
                <w:szCs w:val="24"/>
              </w:rPr>
              <w:t xml:space="preserve"> p</w:t>
            </w:r>
            <w:r w:rsidRPr="00102859">
              <w:t xml:space="preserve"> = .03*</w:t>
            </w:r>
          </w:p>
        </w:tc>
        <w:tc>
          <w:tcPr>
            <w:tcW w:w="1256" w:type="dxa"/>
            <w:shd w:val="clear" w:color="auto" w:fill="F2F2F2" w:themeFill="background1" w:themeFillShade="F2"/>
          </w:tcPr>
          <w:p w14:paraId="35EC5F5F" w14:textId="7E0EAF68" w:rsidR="00174629" w:rsidRPr="00102859" w:rsidRDefault="00174629" w:rsidP="00174629">
            <w:pPr>
              <w:spacing w:line="480" w:lineRule="auto"/>
              <w:rPr>
                <w:i/>
              </w:rPr>
            </w:pPr>
            <w:r w:rsidRPr="00102859">
              <w:rPr>
                <w:i/>
                <w:sz w:val="24"/>
                <w:szCs w:val="24"/>
              </w:rPr>
              <w:t>F</w:t>
            </w:r>
            <w:r w:rsidRPr="00102859">
              <w:t>(3,124.000) = .77</w:t>
            </w:r>
            <w:r w:rsidRPr="00102859">
              <w:rPr>
                <w:sz w:val="24"/>
                <w:szCs w:val="24"/>
              </w:rPr>
              <w:t>,</w:t>
            </w:r>
            <w:r w:rsidRPr="00102859">
              <w:rPr>
                <w:i/>
                <w:sz w:val="24"/>
                <w:szCs w:val="24"/>
              </w:rPr>
              <w:t xml:space="preserve"> p</w:t>
            </w:r>
            <w:r w:rsidRPr="00102859">
              <w:t xml:space="preserve"> = .52</w:t>
            </w:r>
          </w:p>
        </w:tc>
        <w:tc>
          <w:tcPr>
            <w:tcW w:w="1256" w:type="dxa"/>
            <w:shd w:val="clear" w:color="auto" w:fill="F2F2F2" w:themeFill="background1" w:themeFillShade="F2"/>
          </w:tcPr>
          <w:p w14:paraId="48139109" w14:textId="146C2265" w:rsidR="00174629" w:rsidRPr="00102859" w:rsidRDefault="00174629" w:rsidP="00174629">
            <w:pPr>
              <w:spacing w:line="480" w:lineRule="auto"/>
              <w:rPr>
                <w:i/>
              </w:rPr>
            </w:pPr>
            <w:r w:rsidRPr="00102859">
              <w:rPr>
                <w:i/>
                <w:sz w:val="24"/>
                <w:szCs w:val="24"/>
              </w:rPr>
              <w:t>F</w:t>
            </w:r>
            <w:r w:rsidRPr="00102859">
              <w:t>(3,124.000) = .66</w:t>
            </w:r>
            <w:r w:rsidRPr="00102859">
              <w:rPr>
                <w:sz w:val="24"/>
                <w:szCs w:val="24"/>
              </w:rPr>
              <w:t>,</w:t>
            </w:r>
            <w:r w:rsidRPr="00102859">
              <w:rPr>
                <w:i/>
                <w:sz w:val="24"/>
                <w:szCs w:val="24"/>
              </w:rPr>
              <w:t xml:space="preserve"> p</w:t>
            </w:r>
            <w:r w:rsidRPr="00102859">
              <w:t xml:space="preserve"> = .58</w:t>
            </w:r>
          </w:p>
        </w:tc>
        <w:tc>
          <w:tcPr>
            <w:tcW w:w="1256" w:type="dxa"/>
            <w:shd w:val="clear" w:color="auto" w:fill="F2F2F2" w:themeFill="background1" w:themeFillShade="F2"/>
          </w:tcPr>
          <w:p w14:paraId="31AFD1B9" w14:textId="137028AD" w:rsidR="00174629" w:rsidRPr="00102859" w:rsidRDefault="00174629" w:rsidP="00174629">
            <w:pPr>
              <w:spacing w:line="480" w:lineRule="auto"/>
              <w:rPr>
                <w:i/>
              </w:rPr>
            </w:pPr>
            <w:r w:rsidRPr="00102859">
              <w:rPr>
                <w:i/>
                <w:sz w:val="24"/>
                <w:szCs w:val="24"/>
              </w:rPr>
              <w:t>F</w:t>
            </w:r>
            <w:r w:rsidRPr="00102859">
              <w:t>(3,156) = .19</w:t>
            </w:r>
            <w:r w:rsidRPr="00102859">
              <w:rPr>
                <w:sz w:val="24"/>
                <w:szCs w:val="24"/>
              </w:rPr>
              <w:t>,</w:t>
            </w:r>
            <w:r w:rsidRPr="00102859">
              <w:rPr>
                <w:i/>
                <w:sz w:val="24"/>
                <w:szCs w:val="24"/>
              </w:rPr>
              <w:t xml:space="preserve"> p</w:t>
            </w:r>
            <w:r w:rsidRPr="00102859">
              <w:rPr>
                <w:sz w:val="24"/>
                <w:szCs w:val="24"/>
              </w:rPr>
              <w:t xml:space="preserve"> = .90</w:t>
            </w:r>
          </w:p>
        </w:tc>
        <w:tc>
          <w:tcPr>
            <w:tcW w:w="1256" w:type="dxa"/>
            <w:shd w:val="clear" w:color="auto" w:fill="F2F2F2" w:themeFill="background1" w:themeFillShade="F2"/>
          </w:tcPr>
          <w:p w14:paraId="410D7CAD" w14:textId="50D5403A" w:rsidR="00174629" w:rsidRPr="00102859" w:rsidRDefault="00174629" w:rsidP="00174629">
            <w:pPr>
              <w:spacing w:line="480" w:lineRule="auto"/>
              <w:rPr>
                <w:i/>
              </w:rPr>
            </w:pPr>
            <w:r w:rsidRPr="00102859">
              <w:rPr>
                <w:i/>
                <w:sz w:val="24"/>
                <w:szCs w:val="24"/>
              </w:rPr>
              <w:t>F</w:t>
            </w:r>
            <w:r w:rsidRPr="00102859">
              <w:t>(3,113.435) = .10.17</w:t>
            </w:r>
            <w:r w:rsidRPr="00102859">
              <w:rPr>
                <w:sz w:val="24"/>
                <w:szCs w:val="24"/>
              </w:rPr>
              <w:t>,</w:t>
            </w:r>
            <w:r w:rsidRPr="00102859">
              <w:rPr>
                <w:i/>
                <w:sz w:val="24"/>
                <w:szCs w:val="24"/>
              </w:rPr>
              <w:t xml:space="preserve"> p</w:t>
            </w:r>
            <w:r w:rsidRPr="00102859">
              <w:rPr>
                <w:sz w:val="24"/>
                <w:szCs w:val="24"/>
              </w:rPr>
              <w:t xml:space="preserve"> &lt; .001*</w:t>
            </w:r>
          </w:p>
        </w:tc>
        <w:tc>
          <w:tcPr>
            <w:tcW w:w="1256" w:type="dxa"/>
            <w:shd w:val="clear" w:color="auto" w:fill="F2F2F2" w:themeFill="background1" w:themeFillShade="F2"/>
          </w:tcPr>
          <w:p w14:paraId="3D74C3DA" w14:textId="200DC092" w:rsidR="00174629" w:rsidRPr="00102859" w:rsidRDefault="00174629" w:rsidP="00174629">
            <w:pPr>
              <w:spacing w:line="480" w:lineRule="auto"/>
              <w:rPr>
                <w:i/>
              </w:rPr>
            </w:pPr>
            <w:r w:rsidRPr="00102859">
              <w:rPr>
                <w:i/>
                <w:sz w:val="24"/>
                <w:szCs w:val="24"/>
              </w:rPr>
              <w:t>F</w:t>
            </w:r>
            <w:r w:rsidRPr="00102859">
              <w:t>(3,124.000) = 1.95</w:t>
            </w:r>
            <w:r w:rsidRPr="00102859">
              <w:rPr>
                <w:sz w:val="24"/>
                <w:szCs w:val="24"/>
              </w:rPr>
              <w:t>,</w:t>
            </w:r>
            <w:r w:rsidRPr="00102859">
              <w:rPr>
                <w:i/>
                <w:sz w:val="24"/>
                <w:szCs w:val="24"/>
              </w:rPr>
              <w:t xml:space="preserve"> p</w:t>
            </w:r>
            <w:r w:rsidRPr="00102859">
              <w:rPr>
                <w:sz w:val="24"/>
                <w:szCs w:val="24"/>
              </w:rPr>
              <w:t xml:space="preserve"> = .13</w:t>
            </w:r>
          </w:p>
        </w:tc>
        <w:tc>
          <w:tcPr>
            <w:tcW w:w="1245" w:type="dxa"/>
            <w:shd w:val="clear" w:color="auto" w:fill="F2F2F2" w:themeFill="background1" w:themeFillShade="F2"/>
          </w:tcPr>
          <w:p w14:paraId="438A5537" w14:textId="4AA1702A" w:rsidR="00174629" w:rsidRPr="00102859" w:rsidRDefault="00174629" w:rsidP="00174629">
            <w:pPr>
              <w:spacing w:line="480" w:lineRule="auto"/>
              <w:rPr>
                <w:i/>
              </w:rPr>
            </w:pPr>
            <w:r w:rsidRPr="00102859">
              <w:rPr>
                <w:i/>
                <w:sz w:val="24"/>
                <w:szCs w:val="24"/>
              </w:rPr>
              <w:t>F</w:t>
            </w:r>
            <w:r w:rsidRPr="00102859">
              <w:t>(3,83.812) = 4.67</w:t>
            </w:r>
            <w:r w:rsidRPr="00102859">
              <w:rPr>
                <w:sz w:val="24"/>
                <w:szCs w:val="24"/>
              </w:rPr>
              <w:t>,</w:t>
            </w:r>
            <w:r w:rsidRPr="00102859">
              <w:rPr>
                <w:i/>
                <w:sz w:val="24"/>
                <w:szCs w:val="24"/>
              </w:rPr>
              <w:t xml:space="preserve"> p</w:t>
            </w:r>
            <w:r w:rsidRPr="00102859">
              <w:rPr>
                <w:sz w:val="24"/>
                <w:szCs w:val="24"/>
              </w:rPr>
              <w:t xml:space="preserve"> = .005*</w:t>
            </w:r>
          </w:p>
        </w:tc>
        <w:tc>
          <w:tcPr>
            <w:tcW w:w="1341" w:type="dxa"/>
            <w:shd w:val="clear" w:color="auto" w:fill="F2F2F2" w:themeFill="background1" w:themeFillShade="F2"/>
          </w:tcPr>
          <w:p w14:paraId="2CF402B6" w14:textId="2E58CDE8" w:rsidR="00174629" w:rsidRPr="00102859" w:rsidRDefault="00174629" w:rsidP="00174629">
            <w:pPr>
              <w:spacing w:line="480" w:lineRule="auto"/>
              <w:rPr>
                <w:i/>
              </w:rPr>
            </w:pPr>
            <w:r w:rsidRPr="00102859">
              <w:rPr>
                <w:i/>
                <w:sz w:val="24"/>
                <w:szCs w:val="24"/>
              </w:rPr>
              <w:t>F</w:t>
            </w:r>
            <w:r w:rsidRPr="00102859">
              <w:t>(3,124.000) = 1.164</w:t>
            </w:r>
            <w:r w:rsidRPr="00102859">
              <w:rPr>
                <w:sz w:val="24"/>
                <w:szCs w:val="24"/>
              </w:rPr>
              <w:t>,</w:t>
            </w:r>
            <w:r w:rsidRPr="00102859">
              <w:rPr>
                <w:i/>
                <w:sz w:val="24"/>
                <w:szCs w:val="24"/>
              </w:rPr>
              <w:t xml:space="preserve"> p</w:t>
            </w:r>
            <w:r w:rsidRPr="00102859">
              <w:rPr>
                <w:sz w:val="24"/>
                <w:szCs w:val="24"/>
              </w:rPr>
              <w:t xml:space="preserve"> = .33</w:t>
            </w:r>
          </w:p>
        </w:tc>
        <w:tc>
          <w:tcPr>
            <w:tcW w:w="1256" w:type="dxa"/>
            <w:shd w:val="clear" w:color="auto" w:fill="F2F2F2" w:themeFill="background1" w:themeFillShade="F2"/>
          </w:tcPr>
          <w:p w14:paraId="2818D0E4" w14:textId="789B86D6" w:rsidR="00174629" w:rsidRPr="00102859" w:rsidRDefault="00174629" w:rsidP="00174629">
            <w:pPr>
              <w:spacing w:line="480" w:lineRule="auto"/>
              <w:rPr>
                <w:i/>
              </w:rPr>
            </w:pPr>
            <w:r w:rsidRPr="00102859">
              <w:rPr>
                <w:i/>
                <w:sz w:val="24"/>
                <w:szCs w:val="24"/>
              </w:rPr>
              <w:t>F</w:t>
            </w:r>
            <w:r w:rsidRPr="00102859">
              <w:t>(3,124</w:t>
            </w:r>
            <w:r w:rsidRPr="00102859">
              <w:rPr>
                <w:sz w:val="24"/>
                <w:szCs w:val="24"/>
              </w:rPr>
              <w:t>.000</w:t>
            </w:r>
            <w:r w:rsidRPr="00102859">
              <w:t>) = .86</w:t>
            </w:r>
            <w:r w:rsidRPr="00102859">
              <w:rPr>
                <w:sz w:val="24"/>
                <w:szCs w:val="24"/>
              </w:rPr>
              <w:t>,</w:t>
            </w:r>
            <w:r w:rsidRPr="00102859">
              <w:rPr>
                <w:i/>
                <w:sz w:val="24"/>
                <w:szCs w:val="24"/>
              </w:rPr>
              <w:t xml:space="preserve"> p</w:t>
            </w:r>
            <w:r w:rsidRPr="00102859">
              <w:rPr>
                <w:sz w:val="24"/>
                <w:szCs w:val="24"/>
              </w:rPr>
              <w:t xml:space="preserve"> = .466</w:t>
            </w:r>
          </w:p>
        </w:tc>
      </w:tr>
    </w:tbl>
    <w:p w14:paraId="259973A2" w14:textId="69523310" w:rsidR="00204D1F" w:rsidRPr="00102859" w:rsidRDefault="00204D1F" w:rsidP="005C34DD">
      <w:pPr>
        <w:spacing w:line="480" w:lineRule="auto"/>
      </w:pPr>
    </w:p>
    <w:p w14:paraId="48151ABC" w14:textId="77777777" w:rsidR="006A5C67" w:rsidRPr="00102859" w:rsidRDefault="006A5C67" w:rsidP="005C34DD">
      <w:pPr>
        <w:spacing w:line="480" w:lineRule="auto"/>
        <w:sectPr w:rsidR="006A5C67" w:rsidRPr="00102859" w:rsidSect="00791284">
          <w:type w:val="continuous"/>
          <w:pgSz w:w="16840" w:h="11900" w:orient="landscape"/>
          <w:pgMar w:top="1440" w:right="1440" w:bottom="1440" w:left="1440" w:header="708" w:footer="708" w:gutter="0"/>
          <w:lnNumType w:countBy="1" w:restart="continuous"/>
          <w:cols w:space="708"/>
          <w:docGrid w:linePitch="360"/>
        </w:sectPr>
      </w:pPr>
    </w:p>
    <w:p w14:paraId="528158C9" w14:textId="19674277" w:rsidR="00ED6238" w:rsidRPr="00102859" w:rsidRDefault="007C316A" w:rsidP="005C34DD">
      <w:pPr>
        <w:spacing w:line="480" w:lineRule="auto"/>
        <w:rPr>
          <w:b/>
        </w:rPr>
      </w:pPr>
      <w:r w:rsidRPr="00102859">
        <w:rPr>
          <w:b/>
        </w:rPr>
        <w:lastRenderedPageBreak/>
        <w:t xml:space="preserve">3.5 Dismantling the </w:t>
      </w:r>
      <w:r w:rsidR="00B662CA" w:rsidRPr="00102859">
        <w:rPr>
          <w:b/>
        </w:rPr>
        <w:t>E</w:t>
      </w:r>
      <w:r w:rsidRPr="00102859">
        <w:rPr>
          <w:b/>
        </w:rPr>
        <w:t xml:space="preserve">ffects of </w:t>
      </w:r>
      <w:r w:rsidR="00B662CA" w:rsidRPr="00102859">
        <w:rPr>
          <w:rFonts w:eastAsiaTheme="minorHAnsi"/>
          <w:b/>
          <w:bCs/>
        </w:rPr>
        <w:t>A</w:t>
      </w:r>
      <w:r w:rsidRPr="00102859">
        <w:rPr>
          <w:rFonts w:eastAsiaTheme="minorHAnsi"/>
          <w:b/>
          <w:bCs/>
        </w:rPr>
        <w:t xml:space="preserve">pplied </w:t>
      </w:r>
      <w:r w:rsidR="00B662CA" w:rsidRPr="00102859">
        <w:rPr>
          <w:rFonts w:eastAsiaTheme="minorHAnsi"/>
          <w:b/>
          <w:bCs/>
        </w:rPr>
        <w:t>R</w:t>
      </w:r>
      <w:r w:rsidRPr="00102859">
        <w:rPr>
          <w:rFonts w:eastAsiaTheme="minorHAnsi"/>
          <w:b/>
          <w:bCs/>
        </w:rPr>
        <w:t xml:space="preserve">elaxation </w:t>
      </w:r>
      <w:r w:rsidR="00B662CA" w:rsidRPr="00102859">
        <w:rPr>
          <w:rFonts w:eastAsiaTheme="minorHAnsi"/>
          <w:b/>
          <w:bCs/>
        </w:rPr>
        <w:t>C</w:t>
      </w:r>
      <w:r w:rsidRPr="00102859">
        <w:rPr>
          <w:rFonts w:eastAsiaTheme="minorHAnsi"/>
          <w:b/>
          <w:bCs/>
        </w:rPr>
        <w:t>ompared with ICBT</w:t>
      </w:r>
      <w:r w:rsidR="006C3D38" w:rsidRPr="00102859">
        <w:rPr>
          <w:b/>
        </w:rPr>
        <w:t xml:space="preserve"> on </w:t>
      </w:r>
      <w:r w:rsidR="00EA4F58" w:rsidRPr="00102859">
        <w:rPr>
          <w:b/>
        </w:rPr>
        <w:t>S</w:t>
      </w:r>
      <w:r w:rsidR="00ED6238" w:rsidRPr="00102859">
        <w:rPr>
          <w:b/>
        </w:rPr>
        <w:t xml:space="preserve">econdary </w:t>
      </w:r>
      <w:r w:rsidR="00EA4F58" w:rsidRPr="00102859">
        <w:rPr>
          <w:b/>
        </w:rPr>
        <w:t>O</w:t>
      </w:r>
      <w:r w:rsidR="00ED6238" w:rsidRPr="00102859">
        <w:rPr>
          <w:b/>
        </w:rPr>
        <w:t xml:space="preserve">utcome </w:t>
      </w:r>
      <w:r w:rsidR="00EA4F58" w:rsidRPr="00102859">
        <w:rPr>
          <w:b/>
        </w:rPr>
        <w:t>M</w:t>
      </w:r>
      <w:r w:rsidR="00ED6238" w:rsidRPr="00102859">
        <w:rPr>
          <w:b/>
        </w:rPr>
        <w:t>easures</w:t>
      </w:r>
    </w:p>
    <w:p w14:paraId="5BF7EC44" w14:textId="25C5367C" w:rsidR="000D1916" w:rsidRPr="00102859" w:rsidRDefault="00DD6435" w:rsidP="005C34DD">
      <w:pPr>
        <w:spacing w:line="480" w:lineRule="auto"/>
      </w:pPr>
      <w:r w:rsidRPr="00102859">
        <w:t>Results varied slightly depending on the analysis protocol. Overall, b</w:t>
      </w:r>
      <w:r w:rsidR="00976FE1" w:rsidRPr="00102859">
        <w:t>oth groups showed significant reduction</w:t>
      </w:r>
      <w:r w:rsidR="001427DF" w:rsidRPr="00102859">
        <w:t>s</w:t>
      </w:r>
      <w:r w:rsidR="00976FE1" w:rsidRPr="00102859">
        <w:t xml:space="preserve"> in </w:t>
      </w:r>
      <w:r w:rsidR="00903A79" w:rsidRPr="00102859">
        <w:t xml:space="preserve">all secondary outcome measures with no between-group differences. </w:t>
      </w:r>
      <w:r w:rsidR="00976FE1" w:rsidRPr="00102859">
        <w:t xml:space="preserve">For all outcomes </w:t>
      </w:r>
      <w:r w:rsidR="00646EE7" w:rsidRPr="00102859">
        <w:t xml:space="preserve">measured at T1, </w:t>
      </w:r>
      <w:r w:rsidR="00976FE1" w:rsidRPr="00102859">
        <w:t xml:space="preserve">the </w:t>
      </w:r>
      <w:r w:rsidR="00320337" w:rsidRPr="00102859">
        <w:t>I</w:t>
      </w:r>
      <w:r w:rsidR="00976FE1" w:rsidRPr="00102859">
        <w:t xml:space="preserve">CBT group showed greater improvements, except for the </w:t>
      </w:r>
      <w:r w:rsidR="006C3D38" w:rsidRPr="00102859">
        <w:t xml:space="preserve">health-related quality of life </w:t>
      </w:r>
      <w:r w:rsidR="00976FE1" w:rsidRPr="00102859">
        <w:t xml:space="preserve">VAS </w:t>
      </w:r>
      <w:r w:rsidR="006C3D38" w:rsidRPr="00102859">
        <w:t xml:space="preserve">scores </w:t>
      </w:r>
      <w:r w:rsidR="00ED6238" w:rsidRPr="00102859">
        <w:t xml:space="preserve">and hearing </w:t>
      </w:r>
      <w:r w:rsidR="00976FE1" w:rsidRPr="00102859">
        <w:t xml:space="preserve">disability outcome for which the </w:t>
      </w:r>
      <w:r w:rsidR="007C316A" w:rsidRPr="00102859">
        <w:rPr>
          <w:rFonts w:eastAsiaTheme="minorHAnsi"/>
        </w:rPr>
        <w:t xml:space="preserve">applied relaxation </w:t>
      </w:r>
      <w:r w:rsidR="00976FE1" w:rsidRPr="00102859">
        <w:t xml:space="preserve">group showed greater improvements. </w:t>
      </w:r>
      <w:r w:rsidR="00C97990" w:rsidRPr="00102859">
        <w:t xml:space="preserve">From the test of fixed </w:t>
      </w:r>
      <w:r w:rsidR="0043799A" w:rsidRPr="00102859">
        <w:t>effects,</w:t>
      </w:r>
      <w:r w:rsidR="00C97990" w:rsidRPr="00102859">
        <w:t xml:space="preserve"> there were no main effects for any outcome measures</w:t>
      </w:r>
      <w:r w:rsidR="000A184A" w:rsidRPr="00102859">
        <w:t>, except for anxiety (</w:t>
      </w:r>
      <w:r w:rsidR="000A184A" w:rsidRPr="00102859">
        <w:rPr>
          <w:i/>
        </w:rPr>
        <w:t>p</w:t>
      </w:r>
      <w:r w:rsidR="000A184A" w:rsidRPr="00102859">
        <w:t xml:space="preserve"> = 0.05)</w:t>
      </w:r>
      <w:r w:rsidRPr="00102859">
        <w:t xml:space="preserve"> during the completers only analysis</w:t>
      </w:r>
      <w:r w:rsidR="008D0BA5" w:rsidRPr="00102859">
        <w:t xml:space="preserve"> (Table 4) due to the cross-over in scores seen between groups at different time-points.</w:t>
      </w:r>
    </w:p>
    <w:p w14:paraId="683D1A43" w14:textId="25D8B563" w:rsidR="006C1F70" w:rsidRPr="00102859" w:rsidRDefault="00DD6435" w:rsidP="00A40DD3">
      <w:pPr>
        <w:spacing w:line="480" w:lineRule="auto"/>
        <w:ind w:firstLine="720"/>
      </w:pPr>
      <w:r w:rsidRPr="00102859">
        <w:t>Effect sizes varied slightly depending on the protocol. For the completers only analysis, t</w:t>
      </w:r>
      <w:r w:rsidR="000D1916" w:rsidRPr="00102859">
        <w:t xml:space="preserve">he within-group effect size </w:t>
      </w:r>
      <w:r w:rsidR="00B35A75" w:rsidRPr="00102859">
        <w:t xml:space="preserve">at T1 </w:t>
      </w:r>
      <w:r w:rsidR="000D1916" w:rsidRPr="00102859">
        <w:t>for anxiety (</w:t>
      </w:r>
      <w:r w:rsidR="000D1916" w:rsidRPr="00102859">
        <w:rPr>
          <w:i/>
        </w:rPr>
        <w:t>d</w:t>
      </w:r>
      <w:r w:rsidR="000D1916" w:rsidRPr="00102859">
        <w:t xml:space="preserve"> = 0.</w:t>
      </w:r>
      <w:r w:rsidR="00286457" w:rsidRPr="00102859">
        <w:t>81</w:t>
      </w:r>
      <w:r w:rsidR="000D1916" w:rsidRPr="00102859">
        <w:t>)</w:t>
      </w:r>
      <w:r w:rsidR="00256EF4" w:rsidRPr="00102859">
        <w:t xml:space="preserve"> </w:t>
      </w:r>
      <w:r w:rsidR="000D1916" w:rsidRPr="00102859">
        <w:t>and tinnitus cognitions (</w:t>
      </w:r>
      <w:r w:rsidR="000D1916" w:rsidRPr="00102859">
        <w:rPr>
          <w:i/>
        </w:rPr>
        <w:t>d</w:t>
      </w:r>
      <w:r w:rsidR="000D1916" w:rsidRPr="00102859">
        <w:t xml:space="preserve"> = 0.</w:t>
      </w:r>
      <w:r w:rsidR="00286457" w:rsidRPr="00102859">
        <w:t>80</w:t>
      </w:r>
      <w:r w:rsidR="000D1916" w:rsidRPr="00102859">
        <w:t>)</w:t>
      </w:r>
      <w:r w:rsidR="006C1F70" w:rsidRPr="00102859">
        <w:t xml:space="preserve"> were</w:t>
      </w:r>
      <w:r w:rsidR="000D1916" w:rsidRPr="00102859">
        <w:t xml:space="preserve"> large for the </w:t>
      </w:r>
      <w:r w:rsidR="00320337" w:rsidRPr="00102859">
        <w:t>I</w:t>
      </w:r>
      <w:r w:rsidR="000D1916" w:rsidRPr="00102859">
        <w:t xml:space="preserve">CBT group. </w:t>
      </w:r>
      <w:r w:rsidR="00A40DD3" w:rsidRPr="00102859">
        <w:t>A medium-</w:t>
      </w:r>
      <w:r w:rsidR="006C1F70" w:rsidRPr="00102859">
        <w:t xml:space="preserve">sized within-group effect sizes were found for the </w:t>
      </w:r>
      <w:r w:rsidR="00DB2B36" w:rsidRPr="00102859">
        <w:t>ICBT group for depression (</w:t>
      </w:r>
      <w:r w:rsidR="00DB2B36" w:rsidRPr="00102859">
        <w:rPr>
          <w:i/>
        </w:rPr>
        <w:t>d</w:t>
      </w:r>
      <w:r w:rsidR="00DB2B36" w:rsidRPr="00102859">
        <w:t xml:space="preserve"> = 0.75), insomnia (</w:t>
      </w:r>
      <w:r w:rsidR="00DB2B36" w:rsidRPr="00102859">
        <w:rPr>
          <w:i/>
        </w:rPr>
        <w:t>d</w:t>
      </w:r>
      <w:r w:rsidR="00DB2B36" w:rsidRPr="00102859">
        <w:rPr>
          <w:rFonts w:eastAsiaTheme="minorHAnsi"/>
        </w:rPr>
        <w:t xml:space="preserve"> = 0.67) and in the </w:t>
      </w:r>
      <w:r w:rsidR="007C316A" w:rsidRPr="00102859">
        <w:rPr>
          <w:rFonts w:eastAsiaTheme="minorHAnsi"/>
        </w:rPr>
        <w:t xml:space="preserve">applied relaxation </w:t>
      </w:r>
      <w:r w:rsidR="006C1F70" w:rsidRPr="00102859">
        <w:t>group for depression (</w:t>
      </w:r>
      <w:r w:rsidR="006C1F70" w:rsidRPr="00102859">
        <w:rPr>
          <w:i/>
        </w:rPr>
        <w:t>d</w:t>
      </w:r>
      <w:r w:rsidR="006C1F70" w:rsidRPr="00102859">
        <w:t xml:space="preserve"> = 0.</w:t>
      </w:r>
      <w:r w:rsidR="00DB2B36" w:rsidRPr="00102859">
        <w:t>64</w:t>
      </w:r>
      <w:r w:rsidR="006C1F70" w:rsidRPr="00102859">
        <w:t>)</w:t>
      </w:r>
      <w:r w:rsidR="00DB2B36" w:rsidRPr="00102859">
        <w:t>, hearing disability (</w:t>
      </w:r>
      <w:r w:rsidR="00DB2B36" w:rsidRPr="00102859">
        <w:rPr>
          <w:i/>
        </w:rPr>
        <w:t xml:space="preserve">d = </w:t>
      </w:r>
      <w:r w:rsidR="00DB2B36" w:rsidRPr="00102859">
        <w:t>0.54)</w:t>
      </w:r>
      <w:r w:rsidR="00256EF4" w:rsidRPr="00102859">
        <w:t xml:space="preserve"> </w:t>
      </w:r>
      <w:r w:rsidR="006C1F70" w:rsidRPr="00102859">
        <w:t>and for tinnitus cognition (</w:t>
      </w:r>
      <w:r w:rsidR="006C1F70" w:rsidRPr="00102859">
        <w:rPr>
          <w:i/>
        </w:rPr>
        <w:t>d</w:t>
      </w:r>
      <w:r w:rsidR="006C1F70" w:rsidRPr="00102859">
        <w:t xml:space="preserve"> = 0.</w:t>
      </w:r>
      <w:r w:rsidR="00DB2B36" w:rsidRPr="00102859">
        <w:t>6</w:t>
      </w:r>
      <w:r w:rsidR="006C1F70" w:rsidRPr="00102859">
        <w:t xml:space="preserve">7). </w:t>
      </w:r>
    </w:p>
    <w:p w14:paraId="6FE034E8" w14:textId="61BE7B04" w:rsidR="00E871E2" w:rsidRPr="00102859" w:rsidRDefault="00142DB9" w:rsidP="00C373B6">
      <w:pPr>
        <w:spacing w:line="480" w:lineRule="auto"/>
        <w:ind w:firstLine="720"/>
      </w:pPr>
      <w:r w:rsidRPr="00102859">
        <w:t>For the health-related quality of life general score</w:t>
      </w:r>
      <w:r w:rsidR="006B4F59" w:rsidRPr="00102859">
        <w:t>,</w:t>
      </w:r>
      <w:r w:rsidRPr="00102859">
        <w:t xml:space="preserve"> there was a small with</w:t>
      </w:r>
      <w:r w:rsidR="00C373B6" w:rsidRPr="00102859">
        <w:t xml:space="preserve">in-group effect for both groups. </w:t>
      </w:r>
      <w:r w:rsidR="00E871E2" w:rsidRPr="00102859">
        <w:t>After both groups complete</w:t>
      </w:r>
      <w:r w:rsidR="006B4F59" w:rsidRPr="00102859">
        <w:t>d</w:t>
      </w:r>
      <w:r w:rsidR="00E871E2" w:rsidRPr="00102859">
        <w:t xml:space="preserve"> the full intervention,</w:t>
      </w:r>
      <w:r w:rsidR="009A01BE" w:rsidRPr="00102859">
        <w:t xml:space="preserve"> these improvements remained. </w:t>
      </w:r>
    </w:p>
    <w:p w14:paraId="38CD8EF9" w14:textId="77777777" w:rsidR="00DD1CF2" w:rsidRPr="00102859" w:rsidRDefault="00DD1CF2" w:rsidP="005C34DD">
      <w:pPr>
        <w:spacing w:line="480" w:lineRule="auto"/>
      </w:pPr>
    </w:p>
    <w:p w14:paraId="1127866B" w14:textId="625E728A" w:rsidR="00ED6238" w:rsidRPr="00102859" w:rsidRDefault="007C316A" w:rsidP="005C34DD">
      <w:pPr>
        <w:pStyle w:val="NormalWeb"/>
        <w:spacing w:before="0" w:beforeAutospacing="0" w:after="0" w:afterAutospacing="0" w:line="480" w:lineRule="auto"/>
        <w:rPr>
          <w:b/>
          <w:lang w:val="en-US"/>
        </w:rPr>
      </w:pPr>
      <w:r w:rsidRPr="00102859">
        <w:rPr>
          <w:b/>
          <w:lang w:val="en-US"/>
        </w:rPr>
        <w:t xml:space="preserve">3.6 </w:t>
      </w:r>
      <w:r w:rsidR="00ED6238" w:rsidRPr="00102859">
        <w:rPr>
          <w:b/>
          <w:lang w:val="en-US"/>
        </w:rPr>
        <w:t>Stability of</w:t>
      </w:r>
      <w:r w:rsidR="00EA4F58" w:rsidRPr="00102859">
        <w:rPr>
          <w:b/>
          <w:lang w:val="en-US"/>
        </w:rPr>
        <w:t xml:space="preserve"> the</w:t>
      </w:r>
      <w:r w:rsidR="00ED6238" w:rsidRPr="00102859">
        <w:rPr>
          <w:b/>
          <w:lang w:val="en-US"/>
        </w:rPr>
        <w:t xml:space="preserve"> ICBT </w:t>
      </w:r>
      <w:r w:rsidR="00EA4F58" w:rsidRPr="00102859">
        <w:rPr>
          <w:b/>
          <w:lang w:val="en-US"/>
        </w:rPr>
        <w:t>I</w:t>
      </w:r>
      <w:r w:rsidR="00ED6238" w:rsidRPr="00102859">
        <w:rPr>
          <w:b/>
          <w:lang w:val="en-US"/>
        </w:rPr>
        <w:t xml:space="preserve">ntervention </w:t>
      </w:r>
      <w:r w:rsidR="00EA4F58" w:rsidRPr="00102859">
        <w:rPr>
          <w:b/>
          <w:lang w:val="en-US"/>
        </w:rPr>
        <w:t>E</w:t>
      </w:r>
      <w:r w:rsidR="00ED6238" w:rsidRPr="00102859">
        <w:rPr>
          <w:b/>
          <w:lang w:val="en-US"/>
        </w:rPr>
        <w:t>ffects</w:t>
      </w:r>
      <w:r w:rsidRPr="00102859">
        <w:rPr>
          <w:b/>
          <w:lang w:val="en-US"/>
        </w:rPr>
        <w:t xml:space="preserve"> for </w:t>
      </w:r>
      <w:r w:rsidR="00B662CA" w:rsidRPr="00102859">
        <w:rPr>
          <w:b/>
          <w:lang w:val="en-US"/>
        </w:rPr>
        <w:t>B</w:t>
      </w:r>
      <w:r w:rsidRPr="00102859">
        <w:rPr>
          <w:b/>
          <w:lang w:val="en-US"/>
        </w:rPr>
        <w:t xml:space="preserve">oth </w:t>
      </w:r>
      <w:r w:rsidR="00B662CA" w:rsidRPr="00102859">
        <w:rPr>
          <w:b/>
          <w:lang w:val="en-US"/>
        </w:rPr>
        <w:t>G</w:t>
      </w:r>
      <w:r w:rsidRPr="00102859">
        <w:rPr>
          <w:b/>
          <w:lang w:val="en-US"/>
        </w:rPr>
        <w:t>roups</w:t>
      </w:r>
      <w:r w:rsidR="00ED6238" w:rsidRPr="00102859">
        <w:rPr>
          <w:b/>
          <w:lang w:val="en-US"/>
        </w:rPr>
        <w:t xml:space="preserve"> </w:t>
      </w:r>
    </w:p>
    <w:p w14:paraId="4D12BE4F" w14:textId="1AAC943B" w:rsidR="008D5913" w:rsidRPr="00102859" w:rsidRDefault="00ED6238" w:rsidP="005C34DD">
      <w:pPr>
        <w:spacing w:line="480" w:lineRule="auto"/>
      </w:pPr>
      <w:r w:rsidRPr="00102859">
        <w:t>At 2</w:t>
      </w:r>
      <w:r w:rsidR="00E27566" w:rsidRPr="00102859">
        <w:t>-</w:t>
      </w:r>
      <w:r w:rsidRPr="00102859">
        <w:t>month</w:t>
      </w:r>
      <w:r w:rsidR="00EA4F58" w:rsidRPr="00102859">
        <w:t>s</w:t>
      </w:r>
      <w:r w:rsidRPr="00102859">
        <w:t xml:space="preserve"> </w:t>
      </w:r>
      <w:r w:rsidR="001E679F" w:rsidRPr="00102859">
        <w:t xml:space="preserve">post-intervention </w:t>
      </w:r>
      <w:r w:rsidRPr="00102859">
        <w:t>follow-up</w:t>
      </w:r>
      <w:r w:rsidR="00A32EA4" w:rsidRPr="00102859">
        <w:t>,</w:t>
      </w:r>
      <w:r w:rsidR="001E679F" w:rsidRPr="00102859">
        <w:t xml:space="preserve"> </w:t>
      </w:r>
      <w:r w:rsidR="008D5913" w:rsidRPr="00102859">
        <w:t xml:space="preserve">there were further reductions in tinnitus severity for both groups </w:t>
      </w:r>
      <w:r w:rsidR="00A32EA4" w:rsidRPr="00102859">
        <w:t xml:space="preserve">as noted in </w:t>
      </w:r>
      <w:r w:rsidR="008D5913" w:rsidRPr="00102859">
        <w:t>the TFI and THS scores</w:t>
      </w:r>
      <w:r w:rsidR="002F60BC" w:rsidRPr="00102859">
        <w:t>. Although scores</w:t>
      </w:r>
      <w:r w:rsidR="00216187" w:rsidRPr="00102859">
        <w:t xml:space="preserve"> indicated slightly more improvements for the </w:t>
      </w:r>
      <w:r w:rsidR="007C316A" w:rsidRPr="00102859">
        <w:rPr>
          <w:rFonts w:eastAsiaTheme="minorHAnsi"/>
        </w:rPr>
        <w:t xml:space="preserve">applied relaxation </w:t>
      </w:r>
      <w:r w:rsidR="00216187" w:rsidRPr="00102859">
        <w:t xml:space="preserve">group, </w:t>
      </w:r>
      <w:r w:rsidR="002F60BC" w:rsidRPr="00102859">
        <w:t xml:space="preserve">these differences were not </w:t>
      </w:r>
      <w:r w:rsidR="00A32EA4" w:rsidRPr="00102859">
        <w:t xml:space="preserve">statistically </w:t>
      </w:r>
      <w:r w:rsidR="002F60BC" w:rsidRPr="00102859">
        <w:t>significant</w:t>
      </w:r>
      <w:r w:rsidR="008D0BA5" w:rsidRPr="00102859">
        <w:t xml:space="preserve"> except for the VAS scores from the health-related quality of life measure (</w:t>
      </w:r>
      <w:r w:rsidR="008D0BA5" w:rsidRPr="00102859">
        <w:rPr>
          <w:i/>
        </w:rPr>
        <w:t>d</w:t>
      </w:r>
      <w:r w:rsidR="008D0BA5" w:rsidRPr="00102859">
        <w:t xml:space="preserve"> = 0.78 </w:t>
      </w:r>
      <w:r w:rsidR="008D0BA5" w:rsidRPr="00102859">
        <w:lastRenderedPageBreak/>
        <w:t>at T3)</w:t>
      </w:r>
      <w:r w:rsidR="002F60BC" w:rsidRPr="00102859">
        <w:t>. They may indicate that with time further improv</w:t>
      </w:r>
      <w:r w:rsidR="0011621A" w:rsidRPr="00102859">
        <w:t xml:space="preserve">ements </w:t>
      </w:r>
      <w:r w:rsidR="00671820" w:rsidRPr="00102859">
        <w:t>may occur</w:t>
      </w:r>
      <w:r w:rsidR="008D5913" w:rsidRPr="00102859">
        <w:t>. There were also further reductions for both groups for all the secondary outc</w:t>
      </w:r>
      <w:r w:rsidR="00C57F35" w:rsidRPr="00102859">
        <w:t>o</w:t>
      </w:r>
      <w:r w:rsidR="008D5913" w:rsidRPr="00102859">
        <w:t xml:space="preserve">mes at </w:t>
      </w:r>
      <w:r w:rsidR="00E80FA3" w:rsidRPr="00102859">
        <w:t>2-month</w:t>
      </w:r>
      <w:r w:rsidR="008D5913" w:rsidRPr="00102859">
        <w:t xml:space="preserve"> follow-up except for anxiety in the </w:t>
      </w:r>
      <w:r w:rsidR="00C57F35" w:rsidRPr="00102859">
        <w:t>I</w:t>
      </w:r>
      <w:r w:rsidR="008D5913" w:rsidRPr="00102859">
        <w:t>CBT group, where scores were slightly higher than at post</w:t>
      </w:r>
      <w:r w:rsidR="00A32EA4" w:rsidRPr="00102859">
        <w:t>-</w:t>
      </w:r>
      <w:r w:rsidR="008D5913" w:rsidRPr="00102859">
        <w:t xml:space="preserve">treatment. </w:t>
      </w:r>
      <w:r w:rsidR="00A32EA4" w:rsidRPr="00102859">
        <w:t>Overall, t</w:t>
      </w:r>
      <w:r w:rsidR="008D5913" w:rsidRPr="00102859">
        <w:t xml:space="preserve">hese results show that the outcomes of </w:t>
      </w:r>
      <w:r w:rsidR="00C57F35" w:rsidRPr="00102859">
        <w:t>I</w:t>
      </w:r>
      <w:r w:rsidR="008D5913" w:rsidRPr="00102859">
        <w:t>CBT and</w:t>
      </w:r>
      <w:r w:rsidR="00BE53DC" w:rsidRPr="00102859">
        <w:t xml:space="preserve"> applied relaxation</w:t>
      </w:r>
      <w:r w:rsidR="00A40DD3" w:rsidRPr="00102859">
        <w:t xml:space="preserve"> were maintained at 2-month follow-</w:t>
      </w:r>
      <w:r w:rsidR="008D5913" w:rsidRPr="00102859">
        <w:t>up.</w:t>
      </w:r>
      <w:r w:rsidR="00BA7DA9" w:rsidRPr="00102859">
        <w:t xml:space="preserve"> </w:t>
      </w:r>
    </w:p>
    <w:p w14:paraId="2E735C05" w14:textId="77777777" w:rsidR="00D746BB" w:rsidRPr="00102859" w:rsidRDefault="00D746BB" w:rsidP="005C34DD">
      <w:pPr>
        <w:spacing w:line="480" w:lineRule="auto"/>
      </w:pPr>
    </w:p>
    <w:p w14:paraId="0CF21B45" w14:textId="5BEDFD84" w:rsidR="00E80FA3" w:rsidRPr="00102859" w:rsidRDefault="00D746BB" w:rsidP="005C34DD">
      <w:pPr>
        <w:pStyle w:val="Heading1"/>
        <w:numPr>
          <w:ilvl w:val="0"/>
          <w:numId w:val="22"/>
        </w:numPr>
        <w:spacing w:line="480" w:lineRule="auto"/>
        <w:rPr>
          <w:color w:val="auto"/>
        </w:rPr>
      </w:pPr>
      <w:r w:rsidRPr="00102859">
        <w:rPr>
          <w:color w:val="auto"/>
        </w:rPr>
        <w:t>Discussion</w:t>
      </w:r>
    </w:p>
    <w:p w14:paraId="6CA3486A" w14:textId="1C309F8F" w:rsidR="00E80FA3" w:rsidRPr="00102859" w:rsidRDefault="006B4F59" w:rsidP="005C34DD">
      <w:pPr>
        <w:spacing w:line="480" w:lineRule="auto"/>
      </w:pPr>
      <w:r w:rsidRPr="00102859">
        <w:t xml:space="preserve">To improve outcomes of ICBT for tinnitus, </w:t>
      </w:r>
      <w:r w:rsidR="00EF1A72" w:rsidRPr="00102859">
        <w:t>this</w:t>
      </w:r>
      <w:r w:rsidR="00BF3948" w:rsidRPr="00102859">
        <w:t xml:space="preserve"> </w:t>
      </w:r>
      <w:r w:rsidR="00EF1A72" w:rsidRPr="00102859">
        <w:t>study</w:t>
      </w:r>
      <w:r w:rsidR="00BF3948" w:rsidRPr="00102859">
        <w:t xml:space="preserve"> aimed to identify which components of ICBT contribute to positive outcomes</w:t>
      </w:r>
      <w:r w:rsidR="00D43365" w:rsidRPr="00102859">
        <w:t xml:space="preserve"> by dismantling applied relaxation which is a part of ICBT</w:t>
      </w:r>
      <w:r w:rsidR="00BF3948" w:rsidRPr="00102859">
        <w:t xml:space="preserve">. </w:t>
      </w:r>
      <w:r w:rsidR="00C67EED" w:rsidRPr="00102859">
        <w:t xml:space="preserve">Moreover, </w:t>
      </w:r>
      <w:r w:rsidRPr="00102859">
        <w:t xml:space="preserve">to assess intervention effects on tinnitus subgroups, </w:t>
      </w:r>
      <w:r w:rsidR="00E80FA3" w:rsidRPr="00102859">
        <w:t>three tinnitus subgroups</w:t>
      </w:r>
      <w:r w:rsidRPr="00102859">
        <w:t xml:space="preserve"> were compared,</w:t>
      </w:r>
      <w:r w:rsidR="00E80FA3" w:rsidRPr="00102859">
        <w:t xml:space="preserve"> based on levels of tinnitus severity and levels of depression.</w:t>
      </w:r>
      <w:r w:rsidR="00874F57" w:rsidRPr="00102859">
        <w:t xml:space="preserve"> </w:t>
      </w:r>
      <w:r w:rsidR="00E80FA3" w:rsidRPr="00102859">
        <w:t>The main findings are discussed below.</w:t>
      </w:r>
    </w:p>
    <w:p w14:paraId="4F1DF428" w14:textId="77777777" w:rsidR="00E80FA3" w:rsidRPr="00102859" w:rsidRDefault="00E80FA3" w:rsidP="005C34DD">
      <w:pPr>
        <w:spacing w:line="480" w:lineRule="auto"/>
      </w:pPr>
    </w:p>
    <w:p w14:paraId="4B2C80DE" w14:textId="64CE134F" w:rsidR="00E80FA3" w:rsidRPr="00102859" w:rsidRDefault="007C316A" w:rsidP="005C34DD">
      <w:pPr>
        <w:spacing w:line="480" w:lineRule="auto"/>
        <w:rPr>
          <w:b/>
          <w:bCs/>
        </w:rPr>
      </w:pPr>
      <w:r w:rsidRPr="00102859">
        <w:rPr>
          <w:b/>
          <w:bCs/>
        </w:rPr>
        <w:t xml:space="preserve">4.1 </w:t>
      </w:r>
      <w:r w:rsidR="009B37B9" w:rsidRPr="00102859">
        <w:rPr>
          <w:b/>
          <w:bCs/>
        </w:rPr>
        <w:t xml:space="preserve">Dismantling </w:t>
      </w:r>
      <w:r w:rsidR="00A94451" w:rsidRPr="00102859">
        <w:rPr>
          <w:b/>
          <w:bCs/>
        </w:rPr>
        <w:t xml:space="preserve">the </w:t>
      </w:r>
      <w:r w:rsidR="00B662CA" w:rsidRPr="00102859">
        <w:rPr>
          <w:b/>
          <w:bCs/>
        </w:rPr>
        <w:t>E</w:t>
      </w:r>
      <w:r w:rsidR="00A94451" w:rsidRPr="00102859">
        <w:rPr>
          <w:b/>
          <w:bCs/>
        </w:rPr>
        <w:t xml:space="preserve">ffects of </w:t>
      </w:r>
      <w:r w:rsidR="009B37B9" w:rsidRPr="00102859">
        <w:rPr>
          <w:b/>
          <w:bCs/>
        </w:rPr>
        <w:t>Applied Relaxation</w:t>
      </w:r>
      <w:r w:rsidR="00A94451" w:rsidRPr="00102859">
        <w:rPr>
          <w:b/>
          <w:bCs/>
        </w:rPr>
        <w:t xml:space="preserve"> </w:t>
      </w:r>
      <w:r w:rsidR="00B662CA" w:rsidRPr="00102859">
        <w:rPr>
          <w:b/>
          <w:bCs/>
        </w:rPr>
        <w:t>C</w:t>
      </w:r>
      <w:r w:rsidR="00A94451" w:rsidRPr="00102859">
        <w:rPr>
          <w:b/>
          <w:bCs/>
        </w:rPr>
        <w:t>ompared with ICBT</w:t>
      </w:r>
      <w:r w:rsidR="00E80FA3" w:rsidRPr="00102859">
        <w:rPr>
          <w:b/>
          <w:bCs/>
        </w:rPr>
        <w:t xml:space="preserve"> </w:t>
      </w:r>
    </w:p>
    <w:p w14:paraId="743EC062" w14:textId="47230EBA" w:rsidR="00AD6C27" w:rsidRPr="00102859" w:rsidRDefault="007C316A" w:rsidP="005C34DD">
      <w:pPr>
        <w:spacing w:line="480" w:lineRule="auto"/>
        <w:rPr>
          <w:b/>
          <w:bCs/>
          <w:i/>
          <w:iCs/>
        </w:rPr>
      </w:pPr>
      <w:r w:rsidRPr="00102859">
        <w:rPr>
          <w:b/>
          <w:bCs/>
          <w:i/>
          <w:iCs/>
        </w:rPr>
        <w:t xml:space="preserve">4.1.1 </w:t>
      </w:r>
      <w:r w:rsidR="00A94451" w:rsidRPr="00102859">
        <w:rPr>
          <w:b/>
          <w:bCs/>
          <w:i/>
          <w:iCs/>
        </w:rPr>
        <w:t>E</w:t>
      </w:r>
      <w:r w:rsidR="00AD6C27" w:rsidRPr="00102859">
        <w:rPr>
          <w:b/>
          <w:bCs/>
          <w:i/>
          <w:iCs/>
        </w:rPr>
        <w:t xml:space="preserve">ffects on </w:t>
      </w:r>
      <w:r w:rsidR="00B662CA" w:rsidRPr="00102859">
        <w:rPr>
          <w:b/>
          <w:bCs/>
          <w:i/>
          <w:iCs/>
        </w:rPr>
        <w:t>T</w:t>
      </w:r>
      <w:r w:rsidR="00AD6C27" w:rsidRPr="00102859">
        <w:rPr>
          <w:b/>
          <w:bCs/>
          <w:i/>
          <w:iCs/>
        </w:rPr>
        <w:t xml:space="preserve">innitus </w:t>
      </w:r>
      <w:r w:rsidR="00B662CA" w:rsidRPr="00102859">
        <w:rPr>
          <w:b/>
          <w:bCs/>
          <w:i/>
          <w:iCs/>
        </w:rPr>
        <w:t>D</w:t>
      </w:r>
      <w:r w:rsidR="00AD6C27" w:rsidRPr="00102859">
        <w:rPr>
          <w:b/>
          <w:bCs/>
          <w:i/>
          <w:iCs/>
        </w:rPr>
        <w:t>istress</w:t>
      </w:r>
    </w:p>
    <w:p w14:paraId="3164F552" w14:textId="41A0EA67" w:rsidR="00306DAC" w:rsidRPr="00102859" w:rsidRDefault="00E80FA3" w:rsidP="005C34DD">
      <w:pPr>
        <w:spacing w:line="480" w:lineRule="auto"/>
      </w:pPr>
      <w:r w:rsidRPr="00102859">
        <w:t xml:space="preserve">To dismantle the components of ICBT for tinnitus, the full ICBT program was compared with only the </w:t>
      </w:r>
      <w:r w:rsidR="0052005B" w:rsidRPr="00102859">
        <w:t xml:space="preserve">applied relaxation </w:t>
      </w:r>
      <w:r w:rsidRPr="00102859">
        <w:t>components. From the results of this preliminary study</w:t>
      </w:r>
      <w:r w:rsidR="00C67EED" w:rsidRPr="00102859">
        <w:t>,</w:t>
      </w:r>
      <w:r w:rsidRPr="00102859">
        <w:t xml:space="preserve"> it was found that although the full </w:t>
      </w:r>
      <w:r w:rsidR="00C67EED" w:rsidRPr="00102859">
        <w:t>I</w:t>
      </w:r>
      <w:r w:rsidRPr="00102859">
        <w:t xml:space="preserve">CBT group improved more than the </w:t>
      </w:r>
      <w:r w:rsidR="0052005B" w:rsidRPr="00102859">
        <w:t xml:space="preserve">applied relaxation </w:t>
      </w:r>
      <w:r w:rsidRPr="00102859">
        <w:t xml:space="preserve">group, both interventions significantly reduced tinnitus severity with no group differences. </w:t>
      </w:r>
    </w:p>
    <w:p w14:paraId="34F4BF41" w14:textId="7E1B18C4" w:rsidR="007E0CF8" w:rsidRPr="00102859" w:rsidRDefault="00E80FA3" w:rsidP="005C34DD">
      <w:pPr>
        <w:spacing w:line="480" w:lineRule="auto"/>
      </w:pPr>
      <w:r w:rsidRPr="00102859">
        <w:t xml:space="preserve">These results do, however, need to be considered within the context of this study. Unfortunately, engagement was particularly low, which may have biased these results. </w:t>
      </w:r>
      <w:r w:rsidR="007E0CF8" w:rsidRPr="00102859">
        <w:t xml:space="preserve">There could be numerous factors contributing to this finding. One may be the timing of this study taking place during the COVID-19 pandemic. Participants explained that they were on their computers all day doing </w:t>
      </w:r>
      <w:r w:rsidR="00B662CA" w:rsidRPr="00102859">
        <w:t>Z</w:t>
      </w:r>
      <w:r w:rsidR="007E0CF8" w:rsidRPr="00102859">
        <w:t xml:space="preserve">oom meetings due to having to stay at home. This may any additional computer work, such as this intervention difficult, due to them wanting a break </w:t>
      </w:r>
      <w:r w:rsidR="007E0CF8" w:rsidRPr="00102859">
        <w:lastRenderedPageBreak/>
        <w:t xml:space="preserve">from their computers. Some participants mentioned having contracted the COVID-19 virus, and even after recovering they remained fatigued, making intervention engagement difficult. Others found the lifestyle changes of working from home and juggling childcare difficult and some struggled emotionally. The COVID-19 pandemic is however unlikely to be the only reason for the poor engagement. </w:t>
      </w:r>
    </w:p>
    <w:p w14:paraId="0558926E" w14:textId="60D40F0E" w:rsidR="00E80FA3" w:rsidRPr="00102859" w:rsidRDefault="007E0CF8" w:rsidP="007E0CF8">
      <w:pPr>
        <w:spacing w:line="480" w:lineRule="auto"/>
        <w:ind w:firstLine="720"/>
      </w:pPr>
      <w:r w:rsidRPr="00102859">
        <w:t>Due to this low engagement,</w:t>
      </w:r>
      <w:r w:rsidR="00E80FA3" w:rsidRPr="00102859">
        <w:t xml:space="preserve"> the participants randomized to the ICBT group did not access the full ICBT intervention. </w:t>
      </w:r>
      <w:r w:rsidR="00395D31" w:rsidRPr="00102859">
        <w:t xml:space="preserve">This may partly explain why </w:t>
      </w:r>
      <w:r w:rsidR="0052005B" w:rsidRPr="00102859">
        <w:t xml:space="preserve">applied relaxation </w:t>
      </w:r>
      <w:r w:rsidR="000241C6" w:rsidRPr="00102859">
        <w:t>and ICBT did not produce different outcomes. Those in the ICBT group</w:t>
      </w:r>
      <w:r w:rsidR="00E80FA3" w:rsidRPr="00102859">
        <w:t xml:space="preserve"> may have only </w:t>
      </w:r>
      <w:r w:rsidR="00D43365" w:rsidRPr="00102859">
        <w:t xml:space="preserve">worked with </w:t>
      </w:r>
      <w:r w:rsidR="00E80FA3" w:rsidRPr="00102859">
        <w:t>the first modules, which focus on applied relaxation. This is likely as a mea</w:t>
      </w:r>
      <w:r w:rsidR="00791284" w:rsidRPr="00102859">
        <w:t>n of only 6.38 modules were opened</w:t>
      </w:r>
      <w:r w:rsidR="00E80FA3" w:rsidRPr="00102859">
        <w:t xml:space="preserve"> during the 8 weeks by the ICBT group and a mean of 6.59 </w:t>
      </w:r>
      <w:r w:rsidR="00C67EED" w:rsidRPr="00102859">
        <w:t xml:space="preserve">modules </w:t>
      </w:r>
      <w:r w:rsidR="00E80FA3" w:rsidRPr="00102859">
        <w:t xml:space="preserve">by the </w:t>
      </w:r>
      <w:r w:rsidR="0052005B" w:rsidRPr="00102859">
        <w:t xml:space="preserve">applied relaxation </w:t>
      </w:r>
      <w:r w:rsidR="00A40DD3" w:rsidRPr="00102859">
        <w:t>group over the 12-weeks</w:t>
      </w:r>
      <w:r w:rsidR="00E80FA3" w:rsidRPr="00102859">
        <w:t xml:space="preserve">. Thus, a true comparison cannot be established by this data as neither group fully completed the full modules they were scheduled to do. </w:t>
      </w:r>
      <w:r w:rsidR="008C4A6A" w:rsidRPr="00102859">
        <w:t xml:space="preserve">It is furthermore not possible to determine how much </w:t>
      </w:r>
      <w:r w:rsidR="00F01AE9" w:rsidRPr="00102859">
        <w:t>participant’s practice</w:t>
      </w:r>
      <w:r w:rsidR="008C4A6A" w:rsidRPr="00102859">
        <w:t xml:space="preserve"> and engaged with the materials. Further trials should identify ways of recording how much was actually done for each module. </w:t>
      </w:r>
      <w:r w:rsidR="00E80FA3" w:rsidRPr="00102859">
        <w:t>Due to the possible tendency not to access all</w:t>
      </w:r>
      <w:r w:rsidR="00A40DD3" w:rsidRPr="00102859">
        <w:t xml:space="preserve"> of</w:t>
      </w:r>
      <w:r w:rsidR="00E80FA3" w:rsidRPr="00102859">
        <w:t xml:space="preserve"> the modules</w:t>
      </w:r>
      <w:r w:rsidR="00A40DD3" w:rsidRPr="00102859">
        <w:t>,</w:t>
      </w:r>
      <w:r w:rsidR="00E80FA3" w:rsidRPr="00102859">
        <w:t xml:space="preserve"> the ordering of the ICBT modules may play an important role in reducing tinnitus effects. By first learning to achieve relaxation, participants may be more able to attempt more complex CBT strategies</w:t>
      </w:r>
      <w:r w:rsidR="00A40DD3" w:rsidRPr="00102859">
        <w:t>,</w:t>
      </w:r>
      <w:r w:rsidR="00E80FA3" w:rsidRPr="00102859">
        <w:t xml:space="preserve"> such as cognitive restructuring, reinterpreting tinnitus</w:t>
      </w:r>
      <w:r w:rsidR="00C67EED" w:rsidRPr="00102859">
        <w:t>,</w:t>
      </w:r>
      <w:r w:rsidR="00E80FA3" w:rsidRPr="00102859">
        <w:t xml:space="preserve"> and listening to tinnitus. Further work is thus required to </w:t>
      </w:r>
      <w:r w:rsidR="006509CC" w:rsidRPr="00102859">
        <w:t xml:space="preserve">untangle </w:t>
      </w:r>
      <w:r w:rsidR="00E80FA3" w:rsidRPr="00102859">
        <w:t>the role of the different CBT components ensuring that participants engage with and undertake the intervention assigned to them.</w:t>
      </w:r>
      <w:r w:rsidR="00D41205" w:rsidRPr="00102859">
        <w:t xml:space="preserve"> </w:t>
      </w:r>
      <w:r w:rsidR="00D2664E" w:rsidRPr="00102859">
        <w:t xml:space="preserve">This is particularly important considering that there is some evidence to suggest patients with tinnitus may improve over time even without provision of an intervention </w:t>
      </w:r>
      <w:r w:rsidR="008C4A6A" w:rsidRPr="00102859">
        <w:t xml:space="preserve">(Phillips et al., 2018). </w:t>
      </w:r>
      <w:r w:rsidR="00791284" w:rsidRPr="00102859">
        <w:t>Results are, however, not dissimilar to previous dismantling</w:t>
      </w:r>
      <w:r w:rsidR="00D41205" w:rsidRPr="00102859">
        <w:t xml:space="preserve"> and mantling studies of CBT for </w:t>
      </w:r>
      <w:r w:rsidR="00952338" w:rsidRPr="00102859">
        <w:t>depression (</w:t>
      </w:r>
      <w:proofErr w:type="spellStart"/>
      <w:r w:rsidR="00952338" w:rsidRPr="00102859">
        <w:t>Dimidjian</w:t>
      </w:r>
      <w:proofErr w:type="spellEnd"/>
      <w:r w:rsidR="00952338" w:rsidRPr="00102859">
        <w:t xml:space="preserve"> et al., 2006)</w:t>
      </w:r>
      <w:r w:rsidR="00EE0C58" w:rsidRPr="00102859">
        <w:t>, anxiety (</w:t>
      </w:r>
      <w:r w:rsidR="00B346A5" w:rsidRPr="00102859">
        <w:t xml:space="preserve">Newman et al., </w:t>
      </w:r>
      <w:r w:rsidR="00B346A5" w:rsidRPr="00102859">
        <w:lastRenderedPageBreak/>
        <w:t>2011)</w:t>
      </w:r>
      <w:r w:rsidR="00952338" w:rsidRPr="00102859">
        <w:t xml:space="preserve"> </w:t>
      </w:r>
      <w:r w:rsidR="002A378B" w:rsidRPr="00102859">
        <w:t xml:space="preserve"> and panic disorder (Schmidt et al., 2000) </w:t>
      </w:r>
      <w:r w:rsidR="00791284" w:rsidRPr="00102859">
        <w:t>indicating</w:t>
      </w:r>
      <w:r w:rsidR="00D41205" w:rsidRPr="00102859">
        <w:t xml:space="preserve"> that adding or removing components theorized to be critical does not always change outcomes. </w:t>
      </w:r>
    </w:p>
    <w:p w14:paraId="4B65AD9F" w14:textId="2C84AB97" w:rsidR="00E80FA3" w:rsidRPr="00102859" w:rsidRDefault="00E80FA3" w:rsidP="005C34DD">
      <w:pPr>
        <w:spacing w:line="480" w:lineRule="auto"/>
      </w:pPr>
      <w:r w:rsidRPr="00102859">
        <w:t xml:space="preserve"> </w:t>
      </w:r>
      <w:r w:rsidR="00A40DD3" w:rsidRPr="00102859">
        <w:tab/>
      </w:r>
      <w:r w:rsidRPr="00102859">
        <w:t xml:space="preserve">Clinical trials comparing </w:t>
      </w:r>
      <w:r w:rsidR="00C67EED" w:rsidRPr="00102859">
        <w:t>applied relaxation</w:t>
      </w:r>
      <w:r w:rsidRPr="00102859">
        <w:t xml:space="preserve"> </w:t>
      </w:r>
      <w:r w:rsidR="00D43365" w:rsidRPr="00102859">
        <w:t xml:space="preserve">against </w:t>
      </w:r>
      <w:r w:rsidRPr="00102859">
        <w:t xml:space="preserve">CBT have </w:t>
      </w:r>
      <w:r w:rsidR="00D43365" w:rsidRPr="00102859">
        <w:t xml:space="preserve">sometimes </w:t>
      </w:r>
      <w:r w:rsidRPr="00102859">
        <w:t>observed greater effects for the CBT arm, thus indicating the low engagement in this trial may have contributed to the differences found for this study. For example, when comparing mindfulness-based cognitive therapy (MBCT) or mi</w:t>
      </w:r>
      <w:r w:rsidR="00A40DD3" w:rsidRPr="00102859">
        <w:t>ndfulness meditation,</w:t>
      </w:r>
      <w:r w:rsidRPr="00102859">
        <w:t xml:space="preserve"> and relaxation training</w:t>
      </w:r>
      <w:r w:rsidR="00F226BE" w:rsidRPr="00102859">
        <w:t xml:space="preserve">, </w:t>
      </w:r>
      <w:r w:rsidRPr="00102859">
        <w:t>it was found that although both approaches significantly reduced tinnitus, MBCT led to a significantly greater reduction in tinnitus severity than (</w:t>
      </w:r>
      <w:proofErr w:type="spellStart"/>
      <w:r w:rsidRPr="00102859">
        <w:rPr>
          <w:shd w:val="clear" w:color="auto" w:fill="FFFFFF"/>
        </w:rPr>
        <w:t>Arif</w:t>
      </w:r>
      <w:proofErr w:type="spellEnd"/>
      <w:r w:rsidRPr="00102859">
        <w:rPr>
          <w:shd w:val="clear" w:color="auto" w:fill="FFFFFF"/>
        </w:rPr>
        <w:t xml:space="preserve"> et al., 2017</w:t>
      </w:r>
      <w:r w:rsidR="00CA4B87" w:rsidRPr="00102859">
        <w:t>; McKenna et al., 2018</w:t>
      </w:r>
      <w:r w:rsidRPr="00102859">
        <w:t xml:space="preserve">). </w:t>
      </w:r>
      <w:r w:rsidR="000D2014" w:rsidRPr="00102859">
        <w:t xml:space="preserve"> Considering these results collectively, it is still important to provide a comprehensive CBT intervention for those with significant tinnitus. </w:t>
      </w:r>
    </w:p>
    <w:p w14:paraId="16C28B66" w14:textId="685AD545" w:rsidR="00E80FA3" w:rsidRPr="00102859" w:rsidRDefault="00E80FA3" w:rsidP="005C34DD">
      <w:pPr>
        <w:spacing w:line="480" w:lineRule="auto"/>
      </w:pPr>
    </w:p>
    <w:p w14:paraId="7FB49B58" w14:textId="151D4A8F" w:rsidR="00AD6C27" w:rsidRPr="00102859" w:rsidRDefault="007C316A" w:rsidP="005C34DD">
      <w:pPr>
        <w:spacing w:line="480" w:lineRule="auto"/>
        <w:rPr>
          <w:b/>
          <w:bCs/>
          <w:i/>
          <w:iCs/>
        </w:rPr>
      </w:pPr>
      <w:r w:rsidRPr="00102859">
        <w:rPr>
          <w:b/>
          <w:bCs/>
          <w:i/>
          <w:iCs/>
        </w:rPr>
        <w:t>4.1 2</w:t>
      </w:r>
      <w:r w:rsidR="00A94451" w:rsidRPr="00102859">
        <w:rPr>
          <w:b/>
          <w:bCs/>
          <w:i/>
          <w:iCs/>
        </w:rPr>
        <w:t xml:space="preserve"> </w:t>
      </w:r>
      <w:r w:rsidR="00AD6C27" w:rsidRPr="00102859">
        <w:rPr>
          <w:b/>
          <w:bCs/>
          <w:i/>
          <w:iCs/>
        </w:rPr>
        <w:t>Effects on</w:t>
      </w:r>
      <w:r w:rsidR="004A2AD6" w:rsidRPr="00102859">
        <w:rPr>
          <w:b/>
          <w:bCs/>
          <w:i/>
          <w:iCs/>
        </w:rPr>
        <w:t xml:space="preserve"> </w:t>
      </w:r>
      <w:r w:rsidR="00B662CA" w:rsidRPr="00102859">
        <w:rPr>
          <w:b/>
          <w:bCs/>
          <w:i/>
          <w:iCs/>
        </w:rPr>
        <w:t>T</w:t>
      </w:r>
      <w:r w:rsidR="004A2AD6" w:rsidRPr="00102859">
        <w:rPr>
          <w:b/>
          <w:bCs/>
          <w:i/>
          <w:iCs/>
        </w:rPr>
        <w:t xml:space="preserve">innitus </w:t>
      </w:r>
      <w:r w:rsidR="00B662CA" w:rsidRPr="00102859">
        <w:rPr>
          <w:b/>
          <w:bCs/>
          <w:i/>
          <w:iCs/>
        </w:rPr>
        <w:t>C</w:t>
      </w:r>
      <w:r w:rsidR="004A2AD6" w:rsidRPr="00102859">
        <w:rPr>
          <w:b/>
          <w:bCs/>
          <w:i/>
          <w:iCs/>
        </w:rPr>
        <w:t>omorbidities</w:t>
      </w:r>
    </w:p>
    <w:p w14:paraId="7C66C478" w14:textId="26C64597" w:rsidR="003C34BD" w:rsidRPr="00102859" w:rsidRDefault="00E80FA3" w:rsidP="005C34DD">
      <w:pPr>
        <w:spacing w:line="480" w:lineRule="auto"/>
      </w:pPr>
      <w:r w:rsidRPr="00102859">
        <w:t>During this study</w:t>
      </w:r>
      <w:r w:rsidR="00C67EED" w:rsidRPr="00102859">
        <w:t>,</w:t>
      </w:r>
      <w:r w:rsidRPr="00102859">
        <w:t xml:space="preserve"> the effects of ICBT and </w:t>
      </w:r>
      <w:r w:rsidR="0052005B" w:rsidRPr="00102859">
        <w:t>applied relaxation</w:t>
      </w:r>
      <w:r w:rsidRPr="00102859">
        <w:t xml:space="preserve"> on associated difficulties with tinnitus were </w:t>
      </w:r>
      <w:r w:rsidR="00C67EED" w:rsidRPr="00102859">
        <w:t xml:space="preserve">also </w:t>
      </w:r>
      <w:r w:rsidRPr="00102859">
        <w:t>investigated.</w:t>
      </w:r>
      <w:r w:rsidR="000A3A92" w:rsidRPr="00102859">
        <w:t xml:space="preserve"> Overall, b</w:t>
      </w:r>
      <w:r w:rsidRPr="00102859">
        <w:t>oth interventions significantly reduced problem</w:t>
      </w:r>
      <w:r w:rsidR="00E10ACF" w:rsidRPr="00102859">
        <w:t>s associated with tinnitus</w:t>
      </w:r>
      <w:r w:rsidRPr="00102859">
        <w:t xml:space="preserve">. </w:t>
      </w:r>
      <w:r w:rsidR="008A5C7A" w:rsidRPr="00102859">
        <w:t>For the majority of the secondary outcomes, g</w:t>
      </w:r>
      <w:r w:rsidRPr="00102859">
        <w:t>reater improvements were found for the ICBT group</w:t>
      </w:r>
      <w:r w:rsidR="00786B60" w:rsidRPr="00102859">
        <w:t>, although there were no significant group differences</w:t>
      </w:r>
      <w:r w:rsidR="00A40582" w:rsidRPr="00102859">
        <w:t>.</w:t>
      </w:r>
      <w:r w:rsidR="003C34BD" w:rsidRPr="00102859">
        <w:t xml:space="preserve"> The two outcome measures that indicated larger effects for the </w:t>
      </w:r>
      <w:r w:rsidR="0052005B" w:rsidRPr="00102859">
        <w:t xml:space="preserve">applied relaxation </w:t>
      </w:r>
      <w:r w:rsidR="003C34BD" w:rsidRPr="00102859">
        <w:t xml:space="preserve">group compared with the ICBT group were </w:t>
      </w:r>
      <w:r w:rsidR="0061143C" w:rsidRPr="00102859">
        <w:t>for the</w:t>
      </w:r>
      <w:r w:rsidR="00A40DD3" w:rsidRPr="00102859">
        <w:t xml:space="preserve"> health-</w:t>
      </w:r>
      <w:r w:rsidR="003C34BD" w:rsidRPr="00102859">
        <w:t>related quality of life VAS scale and hearing disability</w:t>
      </w:r>
      <w:r w:rsidR="00CB0445" w:rsidRPr="00102859">
        <w:t>, which will need further investigat</w:t>
      </w:r>
      <w:r w:rsidR="00D273C3" w:rsidRPr="00102859">
        <w:t>ing</w:t>
      </w:r>
      <w:r w:rsidR="003C34BD" w:rsidRPr="00102859">
        <w:t>.</w:t>
      </w:r>
    </w:p>
    <w:p w14:paraId="3D243996" w14:textId="48B39BDD" w:rsidR="00E80FA3" w:rsidRPr="00102859" w:rsidRDefault="00421439" w:rsidP="00A40DD3">
      <w:pPr>
        <w:spacing w:line="480" w:lineRule="auto"/>
        <w:ind w:firstLine="720"/>
      </w:pPr>
      <w:r w:rsidRPr="00102859">
        <w:t xml:space="preserve">For the </w:t>
      </w:r>
      <w:proofErr w:type="gramStart"/>
      <w:r w:rsidRPr="00102859">
        <w:t>completers</w:t>
      </w:r>
      <w:proofErr w:type="gramEnd"/>
      <w:r w:rsidRPr="00102859">
        <w:t xml:space="preserve"> only analysis, l</w:t>
      </w:r>
      <w:r w:rsidR="00E10ACF" w:rsidRPr="00102859">
        <w:t>arger effect sizes were seen for the ICBT group for anxiety, depression and tinnitus cognitions, a medium effect for insomnia and small effect for the other measures. For the applied relaxation group there was a medium effect for depression</w:t>
      </w:r>
      <w:r w:rsidR="00906104" w:rsidRPr="00102859">
        <w:t>, tinnitus cognitions and hearing disability</w:t>
      </w:r>
      <w:r w:rsidR="00E10ACF" w:rsidRPr="00102859">
        <w:t>,</w:t>
      </w:r>
      <w:r w:rsidR="00906104" w:rsidRPr="00102859">
        <w:t xml:space="preserve"> and small effects for the other outcomes.</w:t>
      </w:r>
      <w:r w:rsidR="00E10ACF" w:rsidRPr="00102859">
        <w:t xml:space="preserve"> </w:t>
      </w:r>
      <w:r w:rsidR="00A40582" w:rsidRPr="00102859">
        <w:t>Regarding reducing anxiety</w:t>
      </w:r>
      <w:r w:rsidR="00906104" w:rsidRPr="00102859">
        <w:t xml:space="preserve"> at T1</w:t>
      </w:r>
      <w:r w:rsidR="00A40582" w:rsidRPr="00102859">
        <w:t>, the ICBT group showed a</w:t>
      </w:r>
      <w:r w:rsidR="00B8186A" w:rsidRPr="00102859">
        <w:t xml:space="preserve"> much</w:t>
      </w:r>
      <w:r w:rsidR="00A40582" w:rsidRPr="00102859">
        <w:t xml:space="preserve"> large</w:t>
      </w:r>
      <w:r w:rsidR="00B8186A" w:rsidRPr="00102859">
        <w:t>r</w:t>
      </w:r>
      <w:r w:rsidR="00A40582" w:rsidRPr="00102859">
        <w:t xml:space="preserve"> within-group effect (</w:t>
      </w:r>
      <w:r w:rsidR="00A40582" w:rsidRPr="00102859">
        <w:rPr>
          <w:i/>
        </w:rPr>
        <w:t>d</w:t>
      </w:r>
      <w:r w:rsidR="00A40582" w:rsidRPr="00102859">
        <w:t xml:space="preserve"> = 0.</w:t>
      </w:r>
      <w:r w:rsidR="00906104" w:rsidRPr="00102859">
        <w:t>81</w:t>
      </w:r>
      <w:r w:rsidR="00A40582" w:rsidRPr="00102859">
        <w:t xml:space="preserve">), compared with a small effect in the </w:t>
      </w:r>
      <w:r w:rsidR="0052005B" w:rsidRPr="00102859">
        <w:t>applied relaxation</w:t>
      </w:r>
      <w:r w:rsidR="00A40582" w:rsidRPr="00102859">
        <w:t xml:space="preserve"> group (</w:t>
      </w:r>
      <w:r w:rsidR="00A40582" w:rsidRPr="00102859">
        <w:rPr>
          <w:i/>
        </w:rPr>
        <w:t>d</w:t>
      </w:r>
      <w:r w:rsidR="00A40582" w:rsidRPr="00102859">
        <w:t xml:space="preserve"> = </w:t>
      </w:r>
      <w:r w:rsidR="00A40582" w:rsidRPr="00102859">
        <w:lastRenderedPageBreak/>
        <w:t>0.</w:t>
      </w:r>
      <w:r w:rsidR="00906104" w:rsidRPr="00102859">
        <w:t>39</w:t>
      </w:r>
      <w:r w:rsidR="00A40582" w:rsidRPr="00102859">
        <w:t>). Although this was not a significant difference</w:t>
      </w:r>
      <w:r w:rsidR="00CA4B87" w:rsidRPr="00102859">
        <w:t>,</w:t>
      </w:r>
      <w:r w:rsidR="00A40582" w:rsidRPr="00102859">
        <w:t xml:space="preserve"> it </w:t>
      </w:r>
      <w:r w:rsidR="006509CC" w:rsidRPr="00102859">
        <w:t>appeared</w:t>
      </w:r>
      <w:r w:rsidR="00A40582" w:rsidRPr="00102859">
        <w:t xml:space="preserve"> </w:t>
      </w:r>
      <w:r w:rsidR="006509CC" w:rsidRPr="00102859">
        <w:t xml:space="preserve">that </w:t>
      </w:r>
      <w:r w:rsidR="00A40582" w:rsidRPr="00102859">
        <w:t xml:space="preserve">the CBT elements </w:t>
      </w:r>
      <w:r w:rsidR="006509CC" w:rsidRPr="00102859">
        <w:t xml:space="preserve">were </w:t>
      </w:r>
      <w:r w:rsidR="00A40582" w:rsidRPr="00102859">
        <w:t xml:space="preserve">more helpful in reducing anxiety than </w:t>
      </w:r>
      <w:r w:rsidR="0052005B" w:rsidRPr="00102859">
        <w:t xml:space="preserve">applied relaxation </w:t>
      </w:r>
      <w:r w:rsidR="00A40582" w:rsidRPr="00102859">
        <w:t xml:space="preserve">alone. Similar results </w:t>
      </w:r>
      <w:r w:rsidR="006509CC" w:rsidRPr="00102859">
        <w:t>were</w:t>
      </w:r>
      <w:r w:rsidR="00A40582" w:rsidRPr="00102859">
        <w:t xml:space="preserve"> reported for other disorders such as generalized anxiety disorder (e.g., </w:t>
      </w:r>
      <w:proofErr w:type="spellStart"/>
      <w:r w:rsidR="00A40582" w:rsidRPr="00102859">
        <w:t>Donegar</w:t>
      </w:r>
      <w:proofErr w:type="spellEnd"/>
      <w:r w:rsidR="00A40582" w:rsidRPr="00102859">
        <w:t xml:space="preserve"> &amp; </w:t>
      </w:r>
      <w:proofErr w:type="spellStart"/>
      <w:r w:rsidR="00A40582" w:rsidRPr="00102859">
        <w:t>Dugas</w:t>
      </w:r>
      <w:proofErr w:type="spellEnd"/>
      <w:r w:rsidR="00A40582" w:rsidRPr="00102859">
        <w:t>, 2012) and post-traumatic stress disorder (e.g., Hinton et al., 2011) that have indicated that although both treatments are effective, CBT improved outcomes more than applied muscle relaxation.</w:t>
      </w:r>
      <w:r w:rsidR="00433003" w:rsidRPr="00102859">
        <w:t xml:space="preserve"> For </w:t>
      </w:r>
      <w:r w:rsidR="00C51825" w:rsidRPr="00102859">
        <w:t xml:space="preserve">reducing insomnia, the ICBT group </w:t>
      </w:r>
      <w:r w:rsidR="00C20E3F" w:rsidRPr="00102859">
        <w:t>again showed a larger within-group effect (</w:t>
      </w:r>
      <w:r w:rsidR="00C20E3F" w:rsidRPr="00102859">
        <w:rPr>
          <w:i/>
        </w:rPr>
        <w:t>d</w:t>
      </w:r>
      <w:r w:rsidR="00C20E3F" w:rsidRPr="00102859">
        <w:t xml:space="preserve"> = 0.</w:t>
      </w:r>
      <w:r w:rsidR="00906104" w:rsidRPr="00102859">
        <w:t>6</w:t>
      </w:r>
      <w:r w:rsidR="00C20E3F" w:rsidRPr="00102859">
        <w:t xml:space="preserve">7) compared with the </w:t>
      </w:r>
      <w:r w:rsidR="00CA4B87" w:rsidRPr="00102859">
        <w:t xml:space="preserve">applied relaxation </w:t>
      </w:r>
      <w:r w:rsidR="00C20E3F" w:rsidRPr="00102859">
        <w:t>group (</w:t>
      </w:r>
      <w:r w:rsidR="00C20E3F" w:rsidRPr="00102859">
        <w:rPr>
          <w:i/>
        </w:rPr>
        <w:t>d</w:t>
      </w:r>
      <w:r w:rsidR="00C20E3F" w:rsidRPr="00102859">
        <w:t xml:space="preserve"> = 0.4</w:t>
      </w:r>
      <w:r w:rsidR="00906104" w:rsidRPr="00102859">
        <w:t>1</w:t>
      </w:r>
      <w:r w:rsidR="00C20E3F" w:rsidRPr="00102859">
        <w:t>)</w:t>
      </w:r>
      <w:r w:rsidR="00906104" w:rsidRPr="00102859">
        <w:t>.</w:t>
      </w:r>
      <w:r w:rsidR="005E4666" w:rsidRPr="00102859">
        <w:t xml:space="preserve"> </w:t>
      </w:r>
      <w:r w:rsidR="00E80FA3" w:rsidRPr="00102859">
        <w:t>These results</w:t>
      </w:r>
      <w:r w:rsidR="005E4666" w:rsidRPr="00102859">
        <w:t xml:space="preserve"> </w:t>
      </w:r>
      <w:r w:rsidR="00E80FA3" w:rsidRPr="00102859">
        <w:t xml:space="preserve">need further investigating in studies where there is more engagement. </w:t>
      </w:r>
    </w:p>
    <w:p w14:paraId="5D61572B" w14:textId="60E3E9FF" w:rsidR="00E80FA3" w:rsidRPr="00102859" w:rsidRDefault="00E80FA3" w:rsidP="005C34DD">
      <w:pPr>
        <w:spacing w:line="480" w:lineRule="auto"/>
      </w:pPr>
    </w:p>
    <w:p w14:paraId="2294B434" w14:textId="460A2AE5" w:rsidR="004A2AD6" w:rsidRPr="00102859" w:rsidRDefault="00A94451" w:rsidP="005C34DD">
      <w:pPr>
        <w:spacing w:line="480" w:lineRule="auto"/>
        <w:rPr>
          <w:b/>
          <w:bCs/>
          <w:i/>
          <w:iCs/>
        </w:rPr>
      </w:pPr>
      <w:r w:rsidRPr="00102859">
        <w:rPr>
          <w:b/>
          <w:bCs/>
          <w:i/>
          <w:iCs/>
        </w:rPr>
        <w:t xml:space="preserve">4.1.3 </w:t>
      </w:r>
      <w:r w:rsidR="004A2AD6" w:rsidRPr="00102859">
        <w:rPr>
          <w:b/>
          <w:bCs/>
          <w:i/>
          <w:iCs/>
        </w:rPr>
        <w:t xml:space="preserve">Stability of </w:t>
      </w:r>
      <w:r w:rsidR="00B662CA" w:rsidRPr="00102859">
        <w:rPr>
          <w:b/>
          <w:bCs/>
          <w:i/>
          <w:iCs/>
        </w:rPr>
        <w:t>R</w:t>
      </w:r>
      <w:r w:rsidR="004A2AD6" w:rsidRPr="00102859">
        <w:rPr>
          <w:b/>
          <w:bCs/>
          <w:i/>
          <w:iCs/>
        </w:rPr>
        <w:t>esults</w:t>
      </w:r>
    </w:p>
    <w:p w14:paraId="7A59F930" w14:textId="1097795F" w:rsidR="00E80FA3" w:rsidRPr="00102859" w:rsidRDefault="00E80FA3" w:rsidP="005C34DD">
      <w:pPr>
        <w:spacing w:line="480" w:lineRule="auto"/>
      </w:pPr>
      <w:r w:rsidRPr="00102859">
        <w:t>At 2-months follow-up there were further reductions in tinnitus severity for both groups from the TFI and THS scores</w:t>
      </w:r>
      <w:r w:rsidR="00F47C37" w:rsidRPr="00102859">
        <w:t>. This measurement was 16 weeks after baseline for t</w:t>
      </w:r>
      <w:r w:rsidR="00A40DD3" w:rsidRPr="00102859">
        <w:t>he ICBT group and 20 weeks post-</w:t>
      </w:r>
      <w:r w:rsidR="00F47C37" w:rsidRPr="00102859">
        <w:t xml:space="preserve">baseline for the </w:t>
      </w:r>
      <w:r w:rsidR="0052005B" w:rsidRPr="00102859">
        <w:t xml:space="preserve">applied relaxation </w:t>
      </w:r>
      <w:r w:rsidR="00845B6D" w:rsidRPr="00102859">
        <w:t xml:space="preserve">group. </w:t>
      </w:r>
      <w:r w:rsidR="009F46CD" w:rsidRPr="00102859">
        <w:t>Scores were lower</w:t>
      </w:r>
      <w:r w:rsidR="00F477C6" w:rsidRPr="00102859">
        <w:t xml:space="preserve"> for the </w:t>
      </w:r>
      <w:r w:rsidR="0052005B" w:rsidRPr="00102859">
        <w:t xml:space="preserve">applied relaxation </w:t>
      </w:r>
      <w:r w:rsidR="00F477C6" w:rsidRPr="00102859">
        <w:t xml:space="preserve">group, although these results were not significantly different between the </w:t>
      </w:r>
      <w:r w:rsidRPr="00102859">
        <w:t>group</w:t>
      </w:r>
      <w:r w:rsidR="00F477C6" w:rsidRPr="00102859">
        <w:t>s</w:t>
      </w:r>
      <w:r w:rsidRPr="00102859">
        <w:t>.</w:t>
      </w:r>
      <w:r w:rsidR="00C17869" w:rsidRPr="00102859">
        <w:t xml:space="preserve"> </w:t>
      </w:r>
      <w:r w:rsidR="00A40DD3" w:rsidRPr="00102859">
        <w:t>As</w:t>
      </w:r>
      <w:r w:rsidR="002039CB" w:rsidRPr="00102859">
        <w:t xml:space="preserve"> this outcome was 4 weeks later for the </w:t>
      </w:r>
      <w:r w:rsidR="0052005B" w:rsidRPr="00102859">
        <w:t xml:space="preserve">applied relaxation </w:t>
      </w:r>
      <w:r w:rsidR="002039CB" w:rsidRPr="00102859">
        <w:t xml:space="preserve">group, it may indicate that further </w:t>
      </w:r>
      <w:r w:rsidR="00BB1166" w:rsidRPr="00102859">
        <w:t>improvements</w:t>
      </w:r>
      <w:r w:rsidR="002039CB" w:rsidRPr="00102859">
        <w:t xml:space="preserve"> over time are possible. </w:t>
      </w:r>
      <w:r w:rsidRPr="00102859">
        <w:t>There were also further reductions for both groups for all the secondary outcomes at 2-month follow-up except for anxiety in the CBT group, where scores we</w:t>
      </w:r>
      <w:r w:rsidR="00A40DD3" w:rsidRPr="00102859">
        <w:t>re slightly higher than at post-</w:t>
      </w:r>
      <w:r w:rsidRPr="00102859">
        <w:t>treatment. These results show that the outcomes were maintained at 2 months follow up, as has been previously reported (Beukes et al., 2018</w:t>
      </w:r>
      <w:r w:rsidR="005C5359" w:rsidRPr="00102859">
        <w:t>c</w:t>
      </w:r>
      <w:r w:rsidRPr="00102859">
        <w:t>)</w:t>
      </w:r>
      <w:r w:rsidR="00F20FF8" w:rsidRPr="00102859">
        <w:t>, although monitori</w:t>
      </w:r>
      <w:r w:rsidR="00A40DD3" w:rsidRPr="00102859">
        <w:t>ng outcomes in the long-term is</w:t>
      </w:r>
      <w:r w:rsidR="00F20FF8" w:rsidRPr="00102859">
        <w:t xml:space="preserve"> required (Beukes et al., 2018</w:t>
      </w:r>
      <w:r w:rsidR="005C5359" w:rsidRPr="00102859">
        <w:t>d)</w:t>
      </w:r>
      <w:r w:rsidR="00F20FF8" w:rsidRPr="00102859">
        <w:t>.</w:t>
      </w:r>
    </w:p>
    <w:p w14:paraId="0BE8E629" w14:textId="77777777" w:rsidR="00B9533D" w:rsidRPr="00102859" w:rsidRDefault="00B9533D" w:rsidP="005C34DD">
      <w:pPr>
        <w:spacing w:line="480" w:lineRule="auto"/>
      </w:pPr>
    </w:p>
    <w:p w14:paraId="365D0630" w14:textId="15E12EDC" w:rsidR="00E80FA3" w:rsidRPr="00102859" w:rsidRDefault="00A94451" w:rsidP="005C34DD">
      <w:pPr>
        <w:spacing w:line="480" w:lineRule="auto"/>
        <w:rPr>
          <w:b/>
          <w:bCs/>
        </w:rPr>
      </w:pPr>
      <w:r w:rsidRPr="00102859">
        <w:rPr>
          <w:b/>
          <w:bCs/>
        </w:rPr>
        <w:t xml:space="preserve">4.2 </w:t>
      </w:r>
      <w:r w:rsidR="00E80FA3" w:rsidRPr="00102859">
        <w:rPr>
          <w:b/>
          <w:bCs/>
        </w:rPr>
        <w:t xml:space="preserve">Subgroup </w:t>
      </w:r>
      <w:r w:rsidR="00C67EED" w:rsidRPr="00102859">
        <w:rPr>
          <w:b/>
          <w:bCs/>
        </w:rPr>
        <w:t>C</w:t>
      </w:r>
      <w:r w:rsidR="00E80FA3" w:rsidRPr="00102859">
        <w:rPr>
          <w:b/>
          <w:bCs/>
        </w:rPr>
        <w:t>omparison</w:t>
      </w:r>
      <w:r w:rsidR="00C67EED" w:rsidRPr="00102859">
        <w:rPr>
          <w:b/>
          <w:bCs/>
        </w:rPr>
        <w:t>s</w:t>
      </w:r>
    </w:p>
    <w:p w14:paraId="29C33E99" w14:textId="0B7BDB8B" w:rsidR="00E80FA3" w:rsidRPr="00102859" w:rsidRDefault="00CA4B87" w:rsidP="005C34DD">
      <w:pPr>
        <w:spacing w:line="480" w:lineRule="auto"/>
      </w:pPr>
      <w:r w:rsidRPr="00102859">
        <w:t>To identify ICBT intervention effects for tinnitus subgroups, t</w:t>
      </w:r>
      <w:r w:rsidR="00E80FA3" w:rsidRPr="00102859">
        <w:t>hree subgroups were compared. From this study, those with TFI scores indicating the need for a tinnitus intervention (</w:t>
      </w:r>
      <w:r w:rsidR="00F20FF8" w:rsidRPr="00102859">
        <w:t xml:space="preserve">scores of above </w:t>
      </w:r>
      <w:r w:rsidR="00E80FA3" w:rsidRPr="00102859">
        <w:t>25) were the most engaged</w:t>
      </w:r>
      <w:r w:rsidR="00A40DD3" w:rsidRPr="00102859">
        <w:t>,</w:t>
      </w:r>
      <w:r w:rsidR="00E80FA3" w:rsidRPr="00102859">
        <w:t xml:space="preserve"> and those with low TFI scores</w:t>
      </w:r>
      <w:r w:rsidR="00F20FF8" w:rsidRPr="00102859">
        <w:t xml:space="preserve"> (below 25)</w:t>
      </w:r>
      <w:r w:rsidR="00E80FA3" w:rsidRPr="00102859">
        <w:t xml:space="preserve"> the least. </w:t>
      </w:r>
      <w:r w:rsidR="00F20FF8" w:rsidRPr="00102859">
        <w:t xml:space="preserve">In </w:t>
      </w:r>
      <w:r w:rsidR="00F20FF8" w:rsidRPr="00102859">
        <w:lastRenderedPageBreak/>
        <w:t>addition, as anticipated, t</w:t>
      </w:r>
      <w:r w:rsidR="00E80FA3" w:rsidRPr="00102859">
        <w:t>hose with h</w:t>
      </w:r>
      <w:r w:rsidR="00D273C3" w:rsidRPr="00102859">
        <w:t>igh</w:t>
      </w:r>
      <w:r w:rsidR="00E80FA3" w:rsidRPr="00102859">
        <w:t xml:space="preserve"> depression were the group</w:t>
      </w:r>
      <w:r w:rsidR="00D273C3" w:rsidRPr="00102859">
        <w:t xml:space="preserve"> displaying the greatest amount of change following the intervention </w:t>
      </w:r>
      <w:r w:rsidR="00E80FA3" w:rsidRPr="00102859">
        <w:t>and again those with low TFI scores made the least progress.</w:t>
      </w:r>
    </w:p>
    <w:p w14:paraId="42454148" w14:textId="72C554E4" w:rsidR="00E80FA3" w:rsidRPr="00102859" w:rsidRDefault="00E80FA3" w:rsidP="005C34DD">
      <w:pPr>
        <w:spacing w:line="480" w:lineRule="auto"/>
      </w:pPr>
    </w:p>
    <w:p w14:paraId="7365F8FF" w14:textId="38DD1579" w:rsidR="00BC1965" w:rsidRPr="00102859" w:rsidRDefault="00A94451" w:rsidP="005C34DD">
      <w:pPr>
        <w:spacing w:line="480" w:lineRule="auto"/>
        <w:rPr>
          <w:b/>
          <w:bCs/>
          <w:i/>
          <w:iCs/>
        </w:rPr>
      </w:pPr>
      <w:r w:rsidRPr="00102859">
        <w:rPr>
          <w:b/>
          <w:bCs/>
          <w:i/>
          <w:iCs/>
        </w:rPr>
        <w:t xml:space="preserve">4.2.1 </w:t>
      </w:r>
      <w:r w:rsidR="00BC1965" w:rsidRPr="00102859">
        <w:rPr>
          <w:b/>
          <w:bCs/>
          <w:i/>
          <w:iCs/>
        </w:rPr>
        <w:t xml:space="preserve">Low Tinnitus </w:t>
      </w:r>
      <w:r w:rsidR="00B662CA" w:rsidRPr="00102859">
        <w:rPr>
          <w:b/>
          <w:bCs/>
          <w:i/>
          <w:iCs/>
        </w:rPr>
        <w:t>S</w:t>
      </w:r>
      <w:r w:rsidR="00BC1965" w:rsidRPr="00102859">
        <w:rPr>
          <w:b/>
          <w:bCs/>
          <w:i/>
          <w:iCs/>
        </w:rPr>
        <w:t xml:space="preserve">everity </w:t>
      </w:r>
      <w:r w:rsidR="00B662CA" w:rsidRPr="00102859">
        <w:rPr>
          <w:b/>
          <w:bCs/>
          <w:i/>
          <w:iCs/>
        </w:rPr>
        <w:t>S</w:t>
      </w:r>
      <w:r w:rsidR="005F00BA" w:rsidRPr="00102859">
        <w:rPr>
          <w:b/>
          <w:bCs/>
          <w:i/>
          <w:iCs/>
        </w:rPr>
        <w:t>ub</w:t>
      </w:r>
      <w:r w:rsidR="00BC1965" w:rsidRPr="00102859">
        <w:rPr>
          <w:b/>
          <w:bCs/>
          <w:i/>
          <w:iCs/>
        </w:rPr>
        <w:t>group</w:t>
      </w:r>
    </w:p>
    <w:p w14:paraId="75E64EDB" w14:textId="1BD2E321" w:rsidR="00E80FA3" w:rsidRPr="00102859" w:rsidRDefault="00E80FA3" w:rsidP="005C34DD">
      <w:pPr>
        <w:spacing w:line="480" w:lineRule="auto"/>
      </w:pPr>
      <w:r w:rsidRPr="00102859">
        <w:t xml:space="preserve">Due to a lack of a reliable objective measure of tinnitus severity, treatment success </w:t>
      </w:r>
      <w:r w:rsidR="007621EC" w:rsidRPr="00102859">
        <w:t>i</w:t>
      </w:r>
      <w:r w:rsidR="00DF0BE3" w:rsidRPr="00102859">
        <w:t xml:space="preserve">s </w:t>
      </w:r>
      <w:r w:rsidRPr="00102859">
        <w:t xml:space="preserve">generally determined by self-reported assessment measures. </w:t>
      </w:r>
      <w:r w:rsidR="0095634B" w:rsidRPr="00102859">
        <w:t xml:space="preserve">Due to the heterogeneity of tinnitus, </w:t>
      </w:r>
      <w:r w:rsidR="006509CC" w:rsidRPr="00102859">
        <w:t xml:space="preserve">there </w:t>
      </w:r>
      <w:r w:rsidR="0095634B" w:rsidRPr="00102859">
        <w:t>is</w:t>
      </w:r>
      <w:r w:rsidR="006509CC" w:rsidRPr="00102859">
        <w:t xml:space="preserve"> no single </w:t>
      </w:r>
      <w:r w:rsidRPr="00102859">
        <w:t xml:space="preserve">measure </w:t>
      </w:r>
      <w:r w:rsidR="006509CC" w:rsidRPr="00102859">
        <w:t xml:space="preserve">that </w:t>
      </w:r>
      <w:r w:rsidRPr="00102859">
        <w:t xml:space="preserve">fully </w:t>
      </w:r>
      <w:r w:rsidR="006509CC" w:rsidRPr="00102859">
        <w:t xml:space="preserve">captures </w:t>
      </w:r>
      <w:r w:rsidRPr="00102859">
        <w:t>all tinnitus effects. When low</w:t>
      </w:r>
      <w:r w:rsidR="00A40DD3" w:rsidRPr="00102859">
        <w:t xml:space="preserve"> scores are obtained on patient-</w:t>
      </w:r>
      <w:r w:rsidRPr="00102859">
        <w:t xml:space="preserve">reported outcome measures </w:t>
      </w:r>
      <w:r w:rsidR="006509CC" w:rsidRPr="00102859">
        <w:t xml:space="preserve">such scores do not </w:t>
      </w:r>
      <w:r w:rsidR="00DF0BE3" w:rsidRPr="00102859">
        <w:t xml:space="preserve">necessarily </w:t>
      </w:r>
      <w:r w:rsidR="00CA4B87" w:rsidRPr="00102859">
        <w:t>confirm the</w:t>
      </w:r>
      <w:r w:rsidR="006509CC" w:rsidRPr="00102859">
        <w:t xml:space="preserve"> patient considers </w:t>
      </w:r>
      <w:r w:rsidRPr="00102859">
        <w:t xml:space="preserve">tinnitus interventions </w:t>
      </w:r>
      <w:r w:rsidR="006509CC" w:rsidRPr="00102859">
        <w:t xml:space="preserve">as </w:t>
      </w:r>
      <w:r w:rsidR="00CA4B87" w:rsidRPr="00102859">
        <w:t>not required</w:t>
      </w:r>
      <w:r w:rsidR="00A40DD3" w:rsidRPr="00102859">
        <w:t>.</w:t>
      </w:r>
      <w:r w:rsidR="00CA4B87" w:rsidRPr="00102859">
        <w:t xml:space="preserve"> </w:t>
      </w:r>
      <w:r w:rsidR="00A40DD3" w:rsidRPr="00102859">
        <w:t xml:space="preserve">Some people </w:t>
      </w:r>
      <w:r w:rsidRPr="00102859">
        <w:t>continue to seek help despite low TFI scores</w:t>
      </w:r>
      <w:r w:rsidR="00CA4B87" w:rsidRPr="00102859">
        <w:t xml:space="preserve"> </w:t>
      </w:r>
      <w:r w:rsidRPr="00102859">
        <w:t>(e.g.</w:t>
      </w:r>
      <w:r w:rsidR="00F20FF8" w:rsidRPr="00102859">
        <w:t>,</w:t>
      </w:r>
      <w:r w:rsidRPr="00102859">
        <w:t xml:space="preserve"> Beukes et al., 2018b). Those with low TFI scores were thus included in this study. This led to some interesting findings. Firstly, </w:t>
      </w:r>
      <w:r w:rsidR="00DF0BE3" w:rsidRPr="00102859">
        <w:t xml:space="preserve">the low- TFI </w:t>
      </w:r>
      <w:r w:rsidRPr="00102859">
        <w:t>participants were more likely to withdraw</w:t>
      </w:r>
      <w:r w:rsidR="00662310" w:rsidRPr="00102859">
        <w:t xml:space="preserve"> and less likely to finish the study. </w:t>
      </w:r>
      <w:r w:rsidRPr="00102859">
        <w:t xml:space="preserve"> This may indicate that although </w:t>
      </w:r>
      <w:r w:rsidR="00DF0BE3" w:rsidRPr="00102859">
        <w:t xml:space="preserve">the participants were open to the idea that </w:t>
      </w:r>
      <w:r w:rsidRPr="00102859">
        <w:t xml:space="preserve">some form of help </w:t>
      </w:r>
      <w:r w:rsidR="00DF0BE3" w:rsidRPr="00102859">
        <w:t>could be beneficial</w:t>
      </w:r>
      <w:r w:rsidRPr="00102859">
        <w:t xml:space="preserve">, an 8-12-week intensive intervention </w:t>
      </w:r>
      <w:r w:rsidR="00DF0BE3" w:rsidRPr="00102859">
        <w:t xml:space="preserve">was </w:t>
      </w:r>
      <w:r w:rsidRPr="00102859">
        <w:t>not the most appropriate form of help for this group. For those feeling they need</w:t>
      </w:r>
      <w:r w:rsidR="00DF0BE3" w:rsidRPr="00102859">
        <w:t>ed</w:t>
      </w:r>
      <w:r w:rsidRPr="00102859">
        <w:t xml:space="preserve"> help, triaging to a lower intensity form of help</w:t>
      </w:r>
      <w:r w:rsidR="00F20FF8" w:rsidRPr="00102859">
        <w:t xml:space="preserve"> (e.g., </w:t>
      </w:r>
      <w:r w:rsidR="002535D2" w:rsidRPr="00102859">
        <w:t>1</w:t>
      </w:r>
      <w:r w:rsidR="006E09B7" w:rsidRPr="00102859">
        <w:t>-</w:t>
      </w:r>
      <w:r w:rsidR="002535D2" w:rsidRPr="00102859">
        <w:t>3</w:t>
      </w:r>
      <w:r w:rsidR="00F20FF8" w:rsidRPr="00102859">
        <w:t xml:space="preserve"> weeks program)</w:t>
      </w:r>
      <w:r w:rsidRPr="00102859">
        <w:t xml:space="preserve">, perhaps a smartphone application or informational </w:t>
      </w:r>
      <w:proofErr w:type="spellStart"/>
      <w:r w:rsidRPr="00102859">
        <w:t>cou</w:t>
      </w:r>
      <w:r w:rsidR="00A40DD3" w:rsidRPr="00102859">
        <w:t>nse</w:t>
      </w:r>
      <w:r w:rsidRPr="00102859">
        <w:t>ling</w:t>
      </w:r>
      <w:proofErr w:type="spellEnd"/>
      <w:r w:rsidRPr="00102859">
        <w:t xml:space="preserve"> </w:t>
      </w:r>
      <w:r w:rsidR="00DF0BE3" w:rsidRPr="00102859">
        <w:t xml:space="preserve">within a </w:t>
      </w:r>
      <w:r w:rsidRPr="00102859">
        <w:t>group session may be more appropriate</w:t>
      </w:r>
      <w:r w:rsidR="00F20FF8" w:rsidRPr="00102859">
        <w:t xml:space="preserve"> (e.g., </w:t>
      </w:r>
      <w:proofErr w:type="spellStart"/>
      <w:r w:rsidR="00F20FF8" w:rsidRPr="00102859">
        <w:t>Searchfield</w:t>
      </w:r>
      <w:proofErr w:type="spellEnd"/>
      <w:r w:rsidR="00F20FF8" w:rsidRPr="00102859">
        <w:t xml:space="preserve"> et al., 2020)</w:t>
      </w:r>
      <w:r w:rsidRPr="00102859">
        <w:t xml:space="preserve">. </w:t>
      </w:r>
    </w:p>
    <w:p w14:paraId="0FBD5DF1" w14:textId="5F668BF8" w:rsidR="00E80FA3" w:rsidRPr="00102859" w:rsidRDefault="00E80FA3" w:rsidP="00A40DD3">
      <w:pPr>
        <w:spacing w:line="480" w:lineRule="auto"/>
        <w:ind w:firstLine="720"/>
      </w:pPr>
      <w:r w:rsidRPr="00102859">
        <w:t>The most surprising outcome was that</w:t>
      </w:r>
      <w:r w:rsidR="00DF0BE3" w:rsidRPr="00102859">
        <w:t xml:space="preserve"> assessment scores</w:t>
      </w:r>
      <w:r w:rsidRPr="00102859">
        <w:t xml:space="preserve"> for </w:t>
      </w:r>
      <w:r w:rsidR="00F20FF8" w:rsidRPr="00102859">
        <w:t xml:space="preserve">the low tinnitus severity </w:t>
      </w:r>
      <w:r w:rsidRPr="00102859">
        <w:t>group increased instead of decreasing over time</w:t>
      </w:r>
      <w:r w:rsidR="00A40DD3" w:rsidRPr="00102859">
        <w:t>, possibly</w:t>
      </w:r>
      <w:r w:rsidR="008956C8" w:rsidRPr="00102859">
        <w:t xml:space="preserve"> indicating a statistical effect of regression to the mean</w:t>
      </w:r>
      <w:r w:rsidRPr="00102859">
        <w:t xml:space="preserve">. </w:t>
      </w:r>
      <w:r w:rsidR="008956C8" w:rsidRPr="00102859">
        <w:t xml:space="preserve">It is also possible </w:t>
      </w:r>
      <w:r w:rsidR="00DF0BE3" w:rsidRPr="00102859">
        <w:t>that</w:t>
      </w:r>
      <w:r w:rsidRPr="00102859">
        <w:t xml:space="preserve"> the COVID-19 pandemic the increased </w:t>
      </w:r>
      <w:r w:rsidR="00DF0BE3" w:rsidRPr="00102859">
        <w:t xml:space="preserve">participant </w:t>
      </w:r>
      <w:r w:rsidRPr="00102859">
        <w:t>anxiety</w:t>
      </w:r>
      <w:r w:rsidR="00DF0BE3" w:rsidRPr="00102859">
        <w:t xml:space="preserve"> levels and</w:t>
      </w:r>
      <w:r w:rsidRPr="00102859">
        <w:t xml:space="preserve"> resulted in their tinnitus worsening, as was found in the general population during this period (Beukes et al., 2020b). It may also be that undergoing an intervention placed more awareness on tinnitus and its effects and this heightened awareness negatively influenced their tinnitus. Comparison of intervention effects for different levels of </w:t>
      </w:r>
      <w:r w:rsidRPr="00102859">
        <w:lastRenderedPageBreak/>
        <w:t>baseline tinnitus severity should be investigated for larger data sets. From these outcomes</w:t>
      </w:r>
      <w:r w:rsidR="00CA4B87" w:rsidRPr="00102859">
        <w:t>,</w:t>
      </w:r>
      <w:r w:rsidRPr="00102859">
        <w:t xml:space="preserve"> it appears as though </w:t>
      </w:r>
      <w:r w:rsidR="00DF0BE3" w:rsidRPr="00102859">
        <w:t xml:space="preserve">patients </w:t>
      </w:r>
      <w:r w:rsidRPr="00102859">
        <w:t xml:space="preserve">with low tinnitus severity scores </w:t>
      </w:r>
      <w:r w:rsidR="00DF0BE3" w:rsidRPr="00102859">
        <w:t xml:space="preserve">at intake may </w:t>
      </w:r>
      <w:r w:rsidRPr="00102859">
        <w:t xml:space="preserve">be better severed with an approach </w:t>
      </w:r>
      <w:r w:rsidR="00DF0BE3" w:rsidRPr="00102859">
        <w:t xml:space="preserve">that employs basic information, </w:t>
      </w:r>
      <w:r w:rsidRPr="00102859">
        <w:t xml:space="preserve">reassurance </w:t>
      </w:r>
      <w:r w:rsidR="00DF0BE3" w:rsidRPr="00102859">
        <w:t>for the patient</w:t>
      </w:r>
      <w:r w:rsidR="00A40DD3" w:rsidRPr="00102859">
        <w:t>,</w:t>
      </w:r>
      <w:r w:rsidR="00DF0BE3" w:rsidRPr="00102859">
        <w:t xml:space="preserve"> </w:t>
      </w:r>
      <w:r w:rsidRPr="00102859">
        <w:t>and minimal help</w:t>
      </w:r>
      <w:r w:rsidR="00DF0BE3" w:rsidRPr="00102859">
        <w:t xml:space="preserve"> in tinnitus domains identified at intake</w:t>
      </w:r>
      <w:r w:rsidR="00C140AF" w:rsidRPr="00102859">
        <w:t xml:space="preserve"> (Henry et al., 2005)</w:t>
      </w:r>
      <w:r w:rsidRPr="00102859">
        <w:t>.</w:t>
      </w:r>
    </w:p>
    <w:p w14:paraId="6EC98DF6" w14:textId="71A5C99F" w:rsidR="00E80FA3" w:rsidRPr="00102859" w:rsidRDefault="00E80FA3" w:rsidP="005C34DD">
      <w:pPr>
        <w:spacing w:line="480" w:lineRule="auto"/>
      </w:pPr>
    </w:p>
    <w:p w14:paraId="0034BFB8" w14:textId="0EAE961C" w:rsidR="00082DB7" w:rsidRPr="00102859" w:rsidRDefault="00A94451" w:rsidP="005C34DD">
      <w:pPr>
        <w:spacing w:line="480" w:lineRule="auto"/>
        <w:rPr>
          <w:b/>
          <w:bCs/>
          <w:i/>
          <w:iCs/>
        </w:rPr>
      </w:pPr>
      <w:r w:rsidRPr="00102859">
        <w:rPr>
          <w:b/>
          <w:bCs/>
          <w:i/>
          <w:iCs/>
        </w:rPr>
        <w:t xml:space="preserve">4.2.2 </w:t>
      </w:r>
      <w:r w:rsidR="00082DB7" w:rsidRPr="00102859">
        <w:rPr>
          <w:b/>
          <w:bCs/>
          <w:i/>
          <w:iCs/>
        </w:rPr>
        <w:t xml:space="preserve">High </w:t>
      </w:r>
      <w:r w:rsidR="00B662CA" w:rsidRPr="00102859">
        <w:rPr>
          <w:b/>
          <w:bCs/>
          <w:i/>
          <w:iCs/>
        </w:rPr>
        <w:t>D</w:t>
      </w:r>
      <w:r w:rsidR="00082DB7" w:rsidRPr="00102859">
        <w:rPr>
          <w:b/>
          <w:bCs/>
          <w:i/>
          <w:iCs/>
        </w:rPr>
        <w:t xml:space="preserve">epression </w:t>
      </w:r>
      <w:r w:rsidR="00B662CA" w:rsidRPr="00102859">
        <w:rPr>
          <w:b/>
          <w:bCs/>
          <w:i/>
          <w:iCs/>
        </w:rPr>
        <w:t>S</w:t>
      </w:r>
      <w:r w:rsidR="00082DB7" w:rsidRPr="00102859">
        <w:rPr>
          <w:b/>
          <w:bCs/>
          <w:i/>
          <w:iCs/>
        </w:rPr>
        <w:t xml:space="preserve">ubgroup </w:t>
      </w:r>
    </w:p>
    <w:p w14:paraId="45580509" w14:textId="1AB0AF8D" w:rsidR="00E80FA3" w:rsidRPr="00102859" w:rsidRDefault="00E80FA3" w:rsidP="005C34DD">
      <w:pPr>
        <w:spacing w:line="480" w:lineRule="auto"/>
      </w:pPr>
      <w:r w:rsidRPr="00102859">
        <w:t>A further interesting finding was that those with high depression scores had the best outcomes but w</w:t>
      </w:r>
      <w:r w:rsidR="00A40DD3" w:rsidRPr="00102859">
        <w:t xml:space="preserve">ere not as engaged as the </w:t>
      </w:r>
      <w:r w:rsidRPr="00102859">
        <w:t xml:space="preserve">regular </w:t>
      </w:r>
      <w:r w:rsidR="00A40DD3" w:rsidRPr="00102859">
        <w:t>group (</w:t>
      </w:r>
      <w:r w:rsidRPr="00102859">
        <w:t xml:space="preserve">TFI scores </w:t>
      </w:r>
      <w:r w:rsidR="00F20FF8" w:rsidRPr="00102859">
        <w:t>&gt;</w:t>
      </w:r>
      <w:r w:rsidRPr="00102859">
        <w:t>25). Similar results have previously been reported</w:t>
      </w:r>
      <w:r w:rsidR="00CA4B87" w:rsidRPr="00102859">
        <w:t>,</w:t>
      </w:r>
      <w:r w:rsidRPr="00102859">
        <w:t xml:space="preserve"> </w:t>
      </w:r>
      <w:r w:rsidR="00EE642E" w:rsidRPr="00102859">
        <w:t xml:space="preserve">as </w:t>
      </w:r>
      <w:r w:rsidRPr="00102859">
        <w:t>engagement with homework activities</w:t>
      </w:r>
      <w:r w:rsidR="00A40DD3" w:rsidRPr="00102859">
        <w:t>,</w:t>
      </w:r>
      <w:r w:rsidRPr="00102859">
        <w:t xml:space="preserve"> </w:t>
      </w:r>
      <w:r w:rsidR="00EE642E" w:rsidRPr="00102859">
        <w:t>was</w:t>
      </w:r>
      <w:r w:rsidRPr="00102859">
        <w:t xml:space="preserve"> lower for those with depression (32%) than those with anxiety (78%) from pooled studies (</w:t>
      </w:r>
      <w:proofErr w:type="spellStart"/>
      <w:r w:rsidRPr="00102859">
        <w:t>Kazantzis</w:t>
      </w:r>
      <w:proofErr w:type="spellEnd"/>
      <w:r w:rsidRPr="00102859">
        <w:t xml:space="preserve"> et al., 2017). This may indicate that </w:t>
      </w:r>
      <w:r w:rsidR="00EE642E" w:rsidRPr="00102859">
        <w:t xml:space="preserve">a </w:t>
      </w:r>
      <w:r w:rsidRPr="00102859">
        <w:t>group</w:t>
      </w:r>
      <w:r w:rsidR="00EE642E" w:rsidRPr="00102859">
        <w:t xml:space="preserve"> of patients with depression would</w:t>
      </w:r>
      <w:r w:rsidRPr="00102859">
        <w:t xml:space="preserve"> need more directive support </w:t>
      </w:r>
      <w:r w:rsidR="00A40DD3" w:rsidRPr="00102859">
        <w:t xml:space="preserve">to facilitate engagement. They </w:t>
      </w:r>
      <w:r w:rsidRPr="00102859">
        <w:t xml:space="preserve">may be more compliant with a non-self-help format. They may require fixed appointments with a professional to increase their motivation to engage and additional support to encourage engagement when undertaking self-help programs. </w:t>
      </w:r>
    </w:p>
    <w:p w14:paraId="353C24F7" w14:textId="702B8461" w:rsidR="00E80FA3" w:rsidRPr="00102859" w:rsidRDefault="00E80FA3" w:rsidP="005C34DD">
      <w:pPr>
        <w:spacing w:line="480" w:lineRule="auto"/>
      </w:pPr>
    </w:p>
    <w:p w14:paraId="6DDAEDC0" w14:textId="6F2DCA7F" w:rsidR="00E80FA3" w:rsidRPr="00102859" w:rsidRDefault="00A94451" w:rsidP="005C34DD">
      <w:pPr>
        <w:spacing w:line="480" w:lineRule="auto"/>
      </w:pPr>
      <w:r w:rsidRPr="00102859">
        <w:rPr>
          <w:b/>
          <w:bCs/>
        </w:rPr>
        <w:t xml:space="preserve">4.3 </w:t>
      </w:r>
      <w:r w:rsidR="00E80FA3" w:rsidRPr="00102859">
        <w:rPr>
          <w:b/>
          <w:bCs/>
        </w:rPr>
        <w:t>Study Limitations</w:t>
      </w:r>
      <w:r w:rsidR="00EA0365" w:rsidRPr="00102859">
        <w:rPr>
          <w:b/>
          <w:bCs/>
        </w:rPr>
        <w:t xml:space="preserve"> and Future Directions</w:t>
      </w:r>
    </w:p>
    <w:p w14:paraId="43DF678F" w14:textId="44B99B69" w:rsidR="00E80FA3" w:rsidRPr="00102859" w:rsidRDefault="00E80FA3" w:rsidP="005C34DD">
      <w:pPr>
        <w:spacing w:line="480" w:lineRule="auto"/>
      </w:pPr>
      <w:r w:rsidRPr="00102859">
        <w:t xml:space="preserve">The main drawback </w:t>
      </w:r>
      <w:r w:rsidR="00EA0365" w:rsidRPr="00102859">
        <w:t>of the study was the low engagement and low compliance</w:t>
      </w:r>
      <w:r w:rsidR="00EE642E" w:rsidRPr="00102859">
        <w:t xml:space="preserve"> among participants</w:t>
      </w:r>
      <w:r w:rsidR="00EA0365" w:rsidRPr="00102859">
        <w:t xml:space="preserve">. Many participants never logged into the </w:t>
      </w:r>
      <w:proofErr w:type="spellStart"/>
      <w:r w:rsidR="00EA0365" w:rsidRPr="00102859">
        <w:t>ePlatform</w:t>
      </w:r>
      <w:proofErr w:type="spellEnd"/>
      <w:r w:rsidR="00EA0365" w:rsidRPr="00102859">
        <w:t xml:space="preserve"> and did not access any treatment modules.</w:t>
      </w:r>
      <w:r w:rsidR="009D25DE" w:rsidRPr="00102859">
        <w:t xml:space="preserve"> These factors affect the generalizability of the study.</w:t>
      </w:r>
      <w:r w:rsidR="00A40DD3" w:rsidRPr="00102859">
        <w:t xml:space="preserve"> Moreover</w:t>
      </w:r>
      <w:r w:rsidR="00EA0365" w:rsidRPr="00102859">
        <w:t xml:space="preserve">, the </w:t>
      </w:r>
      <w:r w:rsidRPr="00102859">
        <w:t xml:space="preserve">treatment dosage received was not sufficient for either group, indicating that neither group undertook the full intervention assigned to them. Results are based on the intervention materials </w:t>
      </w:r>
      <w:r w:rsidR="00EE642E" w:rsidRPr="00102859">
        <w:t>with which participants</w:t>
      </w:r>
      <w:r w:rsidRPr="00102859">
        <w:t xml:space="preserve"> engaged and </w:t>
      </w:r>
      <w:r w:rsidR="00EE642E" w:rsidRPr="00102859">
        <w:t>as such, results might be</w:t>
      </w:r>
      <w:r w:rsidRPr="00102859">
        <w:t xml:space="preserve"> different if </w:t>
      </w:r>
      <w:r w:rsidR="00EE642E" w:rsidRPr="00102859">
        <w:t xml:space="preserve">participants in all groups </w:t>
      </w:r>
      <w:r w:rsidRPr="00102859">
        <w:t>fully engaged in the program</w:t>
      </w:r>
      <w:r w:rsidR="00EE642E" w:rsidRPr="00102859">
        <w:t>, thereby receiving</w:t>
      </w:r>
      <w:r w:rsidRPr="00102859">
        <w:t xml:space="preserve"> the full treatment dosage. </w:t>
      </w:r>
      <w:r w:rsidR="00EA0365" w:rsidRPr="00102859">
        <w:t xml:space="preserve">Compliance for completing the outcome measures </w:t>
      </w:r>
      <w:r w:rsidR="00EE642E" w:rsidRPr="00102859">
        <w:t xml:space="preserve">was </w:t>
      </w:r>
      <w:r w:rsidR="00EA0365" w:rsidRPr="00102859">
        <w:t xml:space="preserve">also low, although similar between the groups. </w:t>
      </w:r>
      <w:r w:rsidRPr="00102859">
        <w:t xml:space="preserve">Although participants were randomized there </w:t>
      </w:r>
      <w:r w:rsidR="00EE642E" w:rsidRPr="00102859">
        <w:t xml:space="preserve">were </w:t>
      </w:r>
      <w:r w:rsidRPr="00102859">
        <w:t xml:space="preserve">some differences </w:t>
      </w:r>
      <w:r w:rsidRPr="00102859">
        <w:lastRenderedPageBreak/>
        <w:t xml:space="preserve">with regards to the gender allocation and tinnitus duration. Previously these factors </w:t>
      </w:r>
      <w:r w:rsidR="00EE642E" w:rsidRPr="00102859">
        <w:t>were not</w:t>
      </w:r>
      <w:r w:rsidRPr="00102859">
        <w:t xml:space="preserve"> identified as significant treatment variables to predict outcome (Beukes et al., 2018</w:t>
      </w:r>
      <w:r w:rsidR="00EF6AC4" w:rsidRPr="00102859">
        <w:t>d</w:t>
      </w:r>
      <w:r w:rsidRPr="00102859">
        <w:t xml:space="preserve">), so </w:t>
      </w:r>
      <w:r w:rsidR="00EE642E" w:rsidRPr="00102859">
        <w:t xml:space="preserve">were </w:t>
      </w:r>
      <w:r w:rsidRPr="00102859">
        <w:t xml:space="preserve">unlikely to have affected treatment outcomes. </w:t>
      </w:r>
      <w:r w:rsidR="00646659" w:rsidRPr="00102859">
        <w:t xml:space="preserve">Process evaluations should be undertaken to aid </w:t>
      </w:r>
      <w:r w:rsidR="00AA305B" w:rsidRPr="00102859">
        <w:t xml:space="preserve">of </w:t>
      </w:r>
      <w:r w:rsidR="00646659" w:rsidRPr="00102859">
        <w:t>finding out how to i</w:t>
      </w:r>
      <w:r w:rsidR="0002307C" w:rsidRPr="00102859">
        <w:t>mprove engagement (Beukes et al., 2018</w:t>
      </w:r>
      <w:r w:rsidR="00EF6AC4" w:rsidRPr="00102859">
        <w:t>a</w:t>
      </w:r>
      <w:r w:rsidR="0002307C" w:rsidRPr="00102859">
        <w:t>).</w:t>
      </w:r>
      <w:r w:rsidR="006922AB" w:rsidRPr="00102859">
        <w:t xml:space="preserve"> Qualitative studies should be undertaken to </w:t>
      </w:r>
      <w:r w:rsidR="00131843" w:rsidRPr="00102859">
        <w:t>find out how much they valued each component of ICBT.</w:t>
      </w:r>
      <w:r w:rsidR="00A6138D" w:rsidRPr="00102859">
        <w:t xml:space="preserve"> Further research is required to identify tinnitus subgroups and which intervention components are most useful for each subgroup</w:t>
      </w:r>
      <w:r w:rsidR="001B3223" w:rsidRPr="00102859">
        <w:t xml:space="preserve"> (Beukes et al., 2020c)</w:t>
      </w:r>
      <w:r w:rsidR="00A6138D" w:rsidRPr="00102859">
        <w:t>.</w:t>
      </w:r>
    </w:p>
    <w:p w14:paraId="49B7D329" w14:textId="0E7131AB" w:rsidR="004F628A" w:rsidRPr="00102859" w:rsidRDefault="004F628A" w:rsidP="005C34DD">
      <w:pPr>
        <w:pStyle w:val="CommentText"/>
        <w:spacing w:line="480" w:lineRule="auto"/>
        <w:rPr>
          <w:sz w:val="24"/>
          <w:szCs w:val="24"/>
        </w:rPr>
      </w:pPr>
    </w:p>
    <w:p w14:paraId="278B3341" w14:textId="74549318" w:rsidR="009254F2" w:rsidRPr="00102859" w:rsidRDefault="009254F2" w:rsidP="005C34DD">
      <w:pPr>
        <w:pStyle w:val="CommentText"/>
        <w:numPr>
          <w:ilvl w:val="0"/>
          <w:numId w:val="22"/>
        </w:numPr>
        <w:spacing w:line="480" w:lineRule="auto"/>
        <w:rPr>
          <w:b/>
          <w:bCs/>
          <w:sz w:val="24"/>
          <w:szCs w:val="24"/>
        </w:rPr>
      </w:pPr>
      <w:r w:rsidRPr="00102859">
        <w:rPr>
          <w:b/>
          <w:bCs/>
          <w:sz w:val="24"/>
          <w:szCs w:val="24"/>
        </w:rPr>
        <w:t>Conclusion</w:t>
      </w:r>
    </w:p>
    <w:p w14:paraId="4E8018E2" w14:textId="2BB17A95" w:rsidR="00E80FA3" w:rsidRPr="00102859" w:rsidRDefault="009254F2" w:rsidP="005C34DD">
      <w:pPr>
        <w:pStyle w:val="CommentText"/>
        <w:spacing w:line="480" w:lineRule="auto"/>
        <w:rPr>
          <w:noProof/>
          <w:sz w:val="24"/>
          <w:szCs w:val="24"/>
        </w:rPr>
      </w:pPr>
      <w:r w:rsidRPr="00102859">
        <w:rPr>
          <w:sz w:val="24"/>
          <w:szCs w:val="24"/>
        </w:rPr>
        <w:t>T</w:t>
      </w:r>
      <w:r w:rsidR="00482FF1" w:rsidRPr="00102859">
        <w:rPr>
          <w:sz w:val="24"/>
          <w:szCs w:val="24"/>
        </w:rPr>
        <w:t xml:space="preserve">his study represents one of the first dismantling evaluations of ICBT for tinnitus. </w:t>
      </w:r>
      <w:r w:rsidR="000B6AF5" w:rsidRPr="00102859">
        <w:rPr>
          <w:sz w:val="24"/>
          <w:szCs w:val="24"/>
        </w:rPr>
        <w:t xml:space="preserve">Unfortunately, due to low compliance participants did not fully utilize the intervention. Drawing conclusions when the full CBT intervention was not accessed is thus not possible. </w:t>
      </w:r>
      <w:r w:rsidR="00ED02F8" w:rsidRPr="00102859">
        <w:rPr>
          <w:sz w:val="24"/>
          <w:szCs w:val="24"/>
        </w:rPr>
        <w:t>F</w:t>
      </w:r>
      <w:r w:rsidR="00E80FA3" w:rsidRPr="00102859">
        <w:rPr>
          <w:sz w:val="24"/>
          <w:szCs w:val="24"/>
        </w:rPr>
        <w:t>urther studies are required to continue to</w:t>
      </w:r>
      <w:r w:rsidR="009F1A6E" w:rsidRPr="00102859">
        <w:rPr>
          <w:sz w:val="24"/>
          <w:szCs w:val="24"/>
        </w:rPr>
        <w:t xml:space="preserve"> further dismantle </w:t>
      </w:r>
      <w:r w:rsidR="00E80FA3" w:rsidRPr="00102859">
        <w:rPr>
          <w:sz w:val="24"/>
          <w:szCs w:val="24"/>
        </w:rPr>
        <w:t xml:space="preserve">the </w:t>
      </w:r>
      <w:r w:rsidR="00EE642E" w:rsidRPr="00102859">
        <w:rPr>
          <w:sz w:val="24"/>
          <w:szCs w:val="24"/>
        </w:rPr>
        <w:t xml:space="preserve">relative contributions of CBT </w:t>
      </w:r>
      <w:r w:rsidR="00E80FA3" w:rsidRPr="00102859">
        <w:rPr>
          <w:sz w:val="24"/>
          <w:szCs w:val="24"/>
        </w:rPr>
        <w:t>components</w:t>
      </w:r>
      <w:r w:rsidR="00EE642E" w:rsidRPr="00102859">
        <w:rPr>
          <w:sz w:val="24"/>
          <w:szCs w:val="24"/>
        </w:rPr>
        <w:t xml:space="preserve"> </w:t>
      </w:r>
      <w:r w:rsidR="00E80FA3" w:rsidRPr="00102859">
        <w:rPr>
          <w:sz w:val="24"/>
          <w:szCs w:val="24"/>
        </w:rPr>
        <w:t xml:space="preserve">to examine which components or combinations of components are superior for </w:t>
      </w:r>
      <w:r w:rsidR="00EE642E" w:rsidRPr="00102859">
        <w:rPr>
          <w:sz w:val="24"/>
          <w:szCs w:val="24"/>
        </w:rPr>
        <w:t xml:space="preserve">managing </w:t>
      </w:r>
      <w:r w:rsidR="00E80FA3" w:rsidRPr="00102859">
        <w:rPr>
          <w:sz w:val="24"/>
          <w:szCs w:val="24"/>
        </w:rPr>
        <w:t>tinnitus</w:t>
      </w:r>
      <w:r w:rsidR="00EE642E" w:rsidRPr="00102859">
        <w:rPr>
          <w:sz w:val="24"/>
          <w:szCs w:val="24"/>
        </w:rPr>
        <w:t xml:space="preserve"> effects</w:t>
      </w:r>
      <w:r w:rsidR="00E80FA3" w:rsidRPr="00102859">
        <w:rPr>
          <w:sz w:val="24"/>
          <w:szCs w:val="24"/>
        </w:rPr>
        <w:t xml:space="preserve">. </w:t>
      </w:r>
      <w:r w:rsidR="000B6AF5" w:rsidRPr="00102859">
        <w:rPr>
          <w:sz w:val="24"/>
          <w:szCs w:val="24"/>
        </w:rPr>
        <w:t xml:space="preserve">Protocols should be adjusted to improve compliance and engagement to ensure accurate group comparisons. </w:t>
      </w:r>
      <w:r w:rsidR="00E80FA3" w:rsidRPr="00102859">
        <w:rPr>
          <w:sz w:val="24"/>
          <w:szCs w:val="24"/>
          <w:shd w:val="clear" w:color="auto" w:fill="FFFFFF"/>
        </w:rPr>
        <w:t xml:space="preserve">Component network meta-analysis should also be applied to larger studies where various components of different therapies can be </w:t>
      </w:r>
      <w:r w:rsidR="00EE642E" w:rsidRPr="00102859">
        <w:rPr>
          <w:sz w:val="24"/>
          <w:szCs w:val="24"/>
          <w:shd w:val="clear" w:color="auto" w:fill="FFFFFF"/>
        </w:rPr>
        <w:t xml:space="preserve">isolated </w:t>
      </w:r>
      <w:r w:rsidR="00E80FA3" w:rsidRPr="00102859">
        <w:rPr>
          <w:sz w:val="24"/>
          <w:szCs w:val="24"/>
          <w:shd w:val="clear" w:color="auto" w:fill="FFFFFF"/>
        </w:rPr>
        <w:t>and compared</w:t>
      </w:r>
      <w:r w:rsidR="00EA0365" w:rsidRPr="00102859">
        <w:rPr>
          <w:sz w:val="24"/>
          <w:szCs w:val="24"/>
          <w:shd w:val="clear" w:color="auto" w:fill="FFFFFF"/>
        </w:rPr>
        <w:t xml:space="preserve"> (</w:t>
      </w:r>
      <w:proofErr w:type="spellStart"/>
      <w:r w:rsidR="00EA0365" w:rsidRPr="00102859">
        <w:rPr>
          <w:sz w:val="24"/>
          <w:szCs w:val="24"/>
          <w:shd w:val="clear" w:color="auto" w:fill="FFFFFF"/>
        </w:rPr>
        <w:t>Rücker</w:t>
      </w:r>
      <w:proofErr w:type="spellEnd"/>
      <w:r w:rsidR="00EA0365" w:rsidRPr="00102859">
        <w:rPr>
          <w:sz w:val="24"/>
          <w:szCs w:val="24"/>
          <w:shd w:val="clear" w:color="auto" w:fill="FFFFFF"/>
        </w:rPr>
        <w:t xml:space="preserve"> et al., 2020)</w:t>
      </w:r>
      <w:r w:rsidR="00E80FA3" w:rsidRPr="00102859">
        <w:rPr>
          <w:sz w:val="24"/>
          <w:szCs w:val="24"/>
          <w:shd w:val="clear" w:color="auto" w:fill="FFFFFF"/>
        </w:rPr>
        <w:t xml:space="preserve">. </w:t>
      </w:r>
      <w:r w:rsidR="00B33700" w:rsidRPr="00102859">
        <w:rPr>
          <w:noProof/>
          <w:sz w:val="24"/>
          <w:szCs w:val="24"/>
        </w:rPr>
        <w:t>Interventi</w:t>
      </w:r>
      <w:r w:rsidR="00906104" w:rsidRPr="00102859">
        <w:rPr>
          <w:noProof/>
          <w:sz w:val="24"/>
          <w:szCs w:val="24"/>
        </w:rPr>
        <w:t>ons targetting tinnitus subgrou</w:t>
      </w:r>
      <w:r w:rsidR="00B33700" w:rsidRPr="00102859">
        <w:rPr>
          <w:noProof/>
          <w:sz w:val="24"/>
          <w:szCs w:val="24"/>
        </w:rPr>
        <w:t>p</w:t>
      </w:r>
      <w:r w:rsidR="00906104" w:rsidRPr="00102859">
        <w:rPr>
          <w:noProof/>
          <w:sz w:val="24"/>
          <w:szCs w:val="24"/>
        </w:rPr>
        <w:t>s</w:t>
      </w:r>
      <w:r w:rsidR="00B33700" w:rsidRPr="00102859">
        <w:rPr>
          <w:noProof/>
          <w:sz w:val="24"/>
          <w:szCs w:val="24"/>
        </w:rPr>
        <w:t xml:space="preserve"> (e.g.</w:t>
      </w:r>
      <w:r w:rsidR="00B662CA" w:rsidRPr="00102859">
        <w:rPr>
          <w:noProof/>
          <w:sz w:val="24"/>
          <w:szCs w:val="24"/>
        </w:rPr>
        <w:t>,</w:t>
      </w:r>
      <w:r w:rsidR="00B33700" w:rsidRPr="00102859">
        <w:rPr>
          <w:noProof/>
          <w:sz w:val="24"/>
          <w:szCs w:val="24"/>
        </w:rPr>
        <w:t xml:space="preserve"> those with higher or lower tinnitus distress) may furthermore target specific meeds and help to improve intervention outcomes.</w:t>
      </w:r>
    </w:p>
    <w:p w14:paraId="34EC3EA8" w14:textId="77777777" w:rsidR="00B9533D" w:rsidRPr="00102859" w:rsidRDefault="00B9533D" w:rsidP="005C34DD">
      <w:pPr>
        <w:pStyle w:val="CommentText"/>
        <w:spacing w:line="480" w:lineRule="auto"/>
        <w:rPr>
          <w:noProof/>
          <w:sz w:val="24"/>
          <w:szCs w:val="24"/>
        </w:rPr>
      </w:pPr>
    </w:p>
    <w:p w14:paraId="7DCB1AF4" w14:textId="77777777" w:rsidR="00713196" w:rsidRPr="00102859" w:rsidRDefault="00713196" w:rsidP="005C34DD">
      <w:pPr>
        <w:spacing w:line="480" w:lineRule="auto"/>
        <w:rPr>
          <w:b/>
          <w:bCs/>
          <w:sz w:val="28"/>
          <w:szCs w:val="28"/>
        </w:rPr>
      </w:pPr>
      <w:r w:rsidRPr="00102859">
        <w:rPr>
          <w:b/>
          <w:bCs/>
          <w:sz w:val="28"/>
          <w:szCs w:val="28"/>
        </w:rPr>
        <w:t>Acknowledgments</w:t>
      </w:r>
    </w:p>
    <w:p w14:paraId="73D5F5FD" w14:textId="3DFFA626" w:rsidR="00713196" w:rsidRPr="00102859" w:rsidRDefault="00713196" w:rsidP="005C34DD">
      <w:pPr>
        <w:spacing w:line="480" w:lineRule="auto"/>
      </w:pPr>
      <w:r w:rsidRPr="00102859">
        <w:t xml:space="preserve">We would like to thank webmasters George Vlaescu and </w:t>
      </w:r>
      <w:proofErr w:type="spellStart"/>
      <w:r w:rsidRPr="00102859">
        <w:t>Shrinivas</w:t>
      </w:r>
      <w:proofErr w:type="spellEnd"/>
      <w:r w:rsidRPr="00102859">
        <w:t xml:space="preserve"> </w:t>
      </w:r>
      <w:proofErr w:type="spellStart"/>
      <w:r w:rsidRPr="00102859">
        <w:t>Varadaraj</w:t>
      </w:r>
      <w:proofErr w:type="spellEnd"/>
      <w:r w:rsidRPr="00102859">
        <w:t xml:space="preserve"> for help installing the intervention platform and for technical assistance provided.</w:t>
      </w:r>
      <w:r w:rsidR="00CA4B87" w:rsidRPr="00102859">
        <w:t xml:space="preserve"> The psychologist, Elizabeth Parks Aronson, involved in screening the participants, is, furthermore, thanked for </w:t>
      </w:r>
      <w:r w:rsidR="00CA4B87" w:rsidRPr="00102859">
        <w:lastRenderedPageBreak/>
        <w:t xml:space="preserve">her help. </w:t>
      </w:r>
      <w:r w:rsidRPr="00102859">
        <w:t>Our thanks are extended to all the participants who partook in this study, our public-patient advisory group</w:t>
      </w:r>
      <w:r w:rsidR="00AA305B" w:rsidRPr="00102859">
        <w:t>,</w:t>
      </w:r>
      <w:r w:rsidRPr="00102859">
        <w:t xml:space="preserve"> and to the organizations including the American Tinnitus Association (ATA) that helped with recruitment. We also thank </w:t>
      </w:r>
      <w:proofErr w:type="spellStart"/>
      <w:r w:rsidRPr="00102859">
        <w:t>Prof.</w:t>
      </w:r>
      <w:proofErr w:type="spellEnd"/>
      <w:r w:rsidRPr="00102859">
        <w:t xml:space="preserve"> </w:t>
      </w:r>
      <w:proofErr w:type="spellStart"/>
      <w:r w:rsidRPr="00102859">
        <w:t>Stacia</w:t>
      </w:r>
      <w:proofErr w:type="spellEnd"/>
      <w:r w:rsidRPr="00102859">
        <w:t xml:space="preserve"> DeSantis for statistical assistance.</w:t>
      </w:r>
    </w:p>
    <w:p w14:paraId="013BEE90" w14:textId="733BB35F" w:rsidR="00132BE6" w:rsidRPr="00102859" w:rsidRDefault="00132BE6" w:rsidP="005C34DD">
      <w:pPr>
        <w:spacing w:line="480" w:lineRule="auto"/>
      </w:pPr>
    </w:p>
    <w:p w14:paraId="16553F4A" w14:textId="3724194A" w:rsidR="00132BE6" w:rsidRPr="00102859" w:rsidRDefault="00132BE6" w:rsidP="005C34DD">
      <w:pPr>
        <w:spacing w:line="480" w:lineRule="auto"/>
        <w:rPr>
          <w:b/>
          <w:bCs/>
          <w:shd w:val="clear" w:color="auto" w:fill="FFFFFF"/>
        </w:rPr>
      </w:pPr>
      <w:r w:rsidRPr="00102859">
        <w:rPr>
          <w:b/>
          <w:bCs/>
          <w:shd w:val="clear" w:color="auto" w:fill="FFFFFF"/>
        </w:rPr>
        <w:t>Declarations of interest</w:t>
      </w:r>
      <w:r w:rsidR="00E37EA4" w:rsidRPr="00102859">
        <w:rPr>
          <w:b/>
          <w:bCs/>
          <w:shd w:val="clear" w:color="auto" w:fill="FFFFFF"/>
        </w:rPr>
        <w:t>s</w:t>
      </w:r>
    </w:p>
    <w:p w14:paraId="5F69C050" w14:textId="71A00B13" w:rsidR="00132BE6" w:rsidRPr="00102859" w:rsidRDefault="00E37EA4" w:rsidP="005C34DD">
      <w:pPr>
        <w:spacing w:line="480" w:lineRule="auto"/>
      </w:pPr>
      <w:r w:rsidRPr="00102859">
        <w:rPr>
          <w:shd w:val="clear" w:color="auto" w:fill="FFFFFF"/>
        </w:rPr>
        <w:t>N</w:t>
      </w:r>
      <w:r w:rsidR="00132BE6" w:rsidRPr="00102859">
        <w:rPr>
          <w:shd w:val="clear" w:color="auto" w:fill="FFFFFF"/>
        </w:rPr>
        <w:t>one</w:t>
      </w:r>
    </w:p>
    <w:p w14:paraId="7703B35F" w14:textId="77777777" w:rsidR="00132BE6" w:rsidRPr="00102859" w:rsidRDefault="00132BE6" w:rsidP="00B662CA">
      <w:pPr>
        <w:spacing w:line="480" w:lineRule="auto"/>
      </w:pPr>
    </w:p>
    <w:p w14:paraId="64053C72" w14:textId="77777777" w:rsidR="00132BE6" w:rsidRPr="00102859" w:rsidRDefault="00132BE6" w:rsidP="00B662CA">
      <w:pPr>
        <w:shd w:val="clear" w:color="auto" w:fill="FFFFFF"/>
        <w:spacing w:line="480" w:lineRule="auto"/>
        <w:rPr>
          <w:b/>
          <w:bCs/>
        </w:rPr>
      </w:pPr>
      <w:r w:rsidRPr="00102859">
        <w:rPr>
          <w:b/>
          <w:bCs/>
        </w:rPr>
        <w:t>Availability of data and materials</w:t>
      </w:r>
    </w:p>
    <w:p w14:paraId="4204F468" w14:textId="04E63BDF" w:rsidR="004D6E30" w:rsidRPr="00102859" w:rsidRDefault="004D6E30" w:rsidP="004D6E30">
      <w:pPr>
        <w:spacing w:line="480" w:lineRule="auto"/>
      </w:pPr>
      <w:r w:rsidRPr="00102859">
        <w:t xml:space="preserve">The data that support the findings of this study are openly available in </w:t>
      </w:r>
      <w:proofErr w:type="spellStart"/>
      <w:r w:rsidRPr="00102859">
        <w:t>Figshare</w:t>
      </w:r>
      <w:proofErr w:type="spellEnd"/>
      <w:r w:rsidRPr="00102859">
        <w:t xml:space="preserve"> at http://doi.org/10.6084/m9.figshare.13679179</w:t>
      </w:r>
    </w:p>
    <w:p w14:paraId="0D00324C" w14:textId="77777777" w:rsidR="00132BE6" w:rsidRPr="00102859" w:rsidRDefault="00132BE6" w:rsidP="00B662CA">
      <w:pPr>
        <w:pStyle w:val="CommentText"/>
        <w:spacing w:line="480" w:lineRule="auto"/>
        <w:rPr>
          <w:b/>
          <w:bCs/>
          <w:sz w:val="28"/>
          <w:szCs w:val="28"/>
        </w:rPr>
      </w:pPr>
    </w:p>
    <w:p w14:paraId="5B9645A8" w14:textId="77777777" w:rsidR="00132BE6" w:rsidRPr="00102859" w:rsidRDefault="00132BE6" w:rsidP="00B662CA">
      <w:pPr>
        <w:pStyle w:val="CommentText"/>
        <w:spacing w:line="480" w:lineRule="auto"/>
        <w:rPr>
          <w:b/>
          <w:bCs/>
          <w:sz w:val="28"/>
          <w:szCs w:val="28"/>
        </w:rPr>
      </w:pPr>
      <w:r w:rsidRPr="00102859">
        <w:rPr>
          <w:b/>
          <w:bCs/>
          <w:sz w:val="28"/>
          <w:szCs w:val="28"/>
        </w:rPr>
        <w:t>Funding</w:t>
      </w:r>
    </w:p>
    <w:p w14:paraId="2EFB12C7" w14:textId="09AF0FBC" w:rsidR="00132BE6" w:rsidRPr="00102859" w:rsidRDefault="00132BE6" w:rsidP="005C34DD">
      <w:pPr>
        <w:autoSpaceDE w:val="0"/>
        <w:autoSpaceDN w:val="0"/>
        <w:adjustRightInd w:val="0"/>
        <w:spacing w:line="480" w:lineRule="auto"/>
        <w:rPr>
          <w:rFonts w:eastAsiaTheme="minorHAnsi"/>
          <w:lang w:eastAsia="en-US"/>
        </w:rPr>
      </w:pPr>
      <w:r w:rsidRPr="00102859">
        <w:rPr>
          <w:rFonts w:eastAsiaTheme="minorHAnsi"/>
          <w:lang w:eastAsia="en-US"/>
        </w:rPr>
        <w:t xml:space="preserve">This work is partly funded by the National Institute on Deafness and Other Communication Disorders (NIDCD) of the National Institutes of Health (NIH) under the award number R21DC017214 for VM. </w:t>
      </w:r>
    </w:p>
    <w:p w14:paraId="114A23F1" w14:textId="77777777" w:rsidR="00B9533D" w:rsidRPr="00102859" w:rsidRDefault="00B9533D" w:rsidP="00E37EA4">
      <w:pPr>
        <w:spacing w:line="480" w:lineRule="auto"/>
        <w:rPr>
          <w:b/>
          <w:sz w:val="28"/>
          <w:szCs w:val="28"/>
        </w:rPr>
      </w:pPr>
    </w:p>
    <w:p w14:paraId="7FB84E58" w14:textId="3B82502A" w:rsidR="00E37EA4" w:rsidRPr="00102859" w:rsidRDefault="00E37EA4" w:rsidP="00E37EA4">
      <w:pPr>
        <w:spacing w:line="480" w:lineRule="auto"/>
        <w:rPr>
          <w:b/>
          <w:sz w:val="28"/>
          <w:szCs w:val="28"/>
        </w:rPr>
      </w:pPr>
      <w:r w:rsidRPr="00102859">
        <w:rPr>
          <w:b/>
          <w:sz w:val="28"/>
          <w:szCs w:val="28"/>
        </w:rPr>
        <w:t>Figure legends</w:t>
      </w:r>
    </w:p>
    <w:p w14:paraId="5CA27BFB" w14:textId="77777777" w:rsidR="00E37EA4" w:rsidRPr="00102859" w:rsidRDefault="00E37EA4" w:rsidP="00E37EA4">
      <w:pPr>
        <w:spacing w:line="480" w:lineRule="auto"/>
        <w:rPr>
          <w:b/>
        </w:rPr>
      </w:pPr>
      <w:r w:rsidRPr="00102859">
        <w:rPr>
          <w:b/>
        </w:rPr>
        <w:t xml:space="preserve">Figure 1. </w:t>
      </w:r>
      <w:r w:rsidRPr="00102859">
        <w:t xml:space="preserve">The Consolidated Standards of Reporting Trials (Consort) Flow diagram outlining the </w:t>
      </w:r>
      <w:r w:rsidRPr="00102859">
        <w:rPr>
          <w:bCs/>
        </w:rPr>
        <w:t xml:space="preserve">Internet-based cognitive </w:t>
      </w:r>
      <w:proofErr w:type="spellStart"/>
      <w:r w:rsidRPr="00102859">
        <w:rPr>
          <w:bCs/>
        </w:rPr>
        <w:t>behavioral</w:t>
      </w:r>
      <w:proofErr w:type="spellEnd"/>
      <w:r w:rsidRPr="00102859">
        <w:rPr>
          <w:bCs/>
        </w:rPr>
        <w:t xml:space="preserve"> therapy (ICBT) and Internet-based applied relaxation (IAR) group pathways.</w:t>
      </w:r>
    </w:p>
    <w:p w14:paraId="607B2951" w14:textId="77777777" w:rsidR="00E37EA4" w:rsidRPr="00102859" w:rsidRDefault="00E37EA4" w:rsidP="00E37EA4">
      <w:pPr>
        <w:spacing w:line="480" w:lineRule="auto"/>
      </w:pPr>
    </w:p>
    <w:p w14:paraId="6FED0029" w14:textId="77777777" w:rsidR="00E37EA4" w:rsidRPr="00102859" w:rsidRDefault="00E37EA4" w:rsidP="00E37EA4">
      <w:pPr>
        <w:spacing w:line="480" w:lineRule="auto"/>
        <w:rPr>
          <w:noProof/>
        </w:rPr>
      </w:pPr>
      <w:r w:rsidRPr="00102859">
        <w:rPr>
          <w:b/>
          <w:bCs/>
        </w:rPr>
        <w:t>Figure 2.</w:t>
      </w:r>
      <w:r w:rsidRPr="00102859">
        <w:t xml:space="preserve"> </w:t>
      </w:r>
      <w:r w:rsidRPr="00102859">
        <w:rPr>
          <w:bCs/>
        </w:rPr>
        <w:t xml:space="preserve">Intervention engagement comparing messages sent, modules opened and number of logins between the Internet-based cognitive </w:t>
      </w:r>
      <w:proofErr w:type="spellStart"/>
      <w:r w:rsidRPr="00102859">
        <w:rPr>
          <w:bCs/>
        </w:rPr>
        <w:t>behavioral</w:t>
      </w:r>
      <w:proofErr w:type="spellEnd"/>
      <w:r w:rsidRPr="00102859">
        <w:rPr>
          <w:bCs/>
        </w:rPr>
        <w:t xml:space="preserve"> therapy (ICBT) and Internet-based applied relaxation (IAR) groups.</w:t>
      </w:r>
      <w:r w:rsidRPr="00102859">
        <w:rPr>
          <w:noProof/>
        </w:rPr>
        <w:t xml:space="preserve"> </w:t>
      </w:r>
    </w:p>
    <w:p w14:paraId="722C08C5" w14:textId="77777777" w:rsidR="00E37EA4" w:rsidRPr="00102859" w:rsidRDefault="00E37EA4" w:rsidP="00E37EA4">
      <w:pPr>
        <w:spacing w:line="480" w:lineRule="auto"/>
      </w:pPr>
    </w:p>
    <w:p w14:paraId="1E5972B7" w14:textId="77777777" w:rsidR="00E37EA4" w:rsidRPr="00102859" w:rsidRDefault="00E37EA4" w:rsidP="00E37EA4">
      <w:pPr>
        <w:spacing w:line="480" w:lineRule="auto"/>
      </w:pPr>
      <w:r w:rsidRPr="00102859">
        <w:rPr>
          <w:b/>
          <w:bCs/>
        </w:rPr>
        <w:t>Figure 3.</w:t>
      </w:r>
      <w:r w:rsidRPr="00102859">
        <w:t xml:space="preserve"> </w:t>
      </w:r>
      <w:r w:rsidRPr="00102859">
        <w:rPr>
          <w:bCs/>
        </w:rPr>
        <w:t xml:space="preserve">Intervention engagement comparing messages sent, modules opened and number of logins compared between the subgroups of participants allocated to the Internet-based cognitive </w:t>
      </w:r>
      <w:proofErr w:type="spellStart"/>
      <w:r w:rsidRPr="00102859">
        <w:rPr>
          <w:bCs/>
        </w:rPr>
        <w:t>behavioral</w:t>
      </w:r>
      <w:proofErr w:type="spellEnd"/>
      <w:r w:rsidRPr="00102859">
        <w:rPr>
          <w:bCs/>
        </w:rPr>
        <w:t xml:space="preserve"> therapy (ICBT) and Internet-based applied relaxation (IAR) groups.</w:t>
      </w:r>
    </w:p>
    <w:p w14:paraId="6892A7C7" w14:textId="77777777" w:rsidR="00E37EA4" w:rsidRPr="00102859" w:rsidRDefault="00E37EA4" w:rsidP="00E37EA4">
      <w:pPr>
        <w:spacing w:line="480" w:lineRule="auto"/>
        <w:rPr>
          <w:b/>
        </w:rPr>
      </w:pPr>
    </w:p>
    <w:p w14:paraId="5D3B5A34" w14:textId="77777777" w:rsidR="00E37EA4" w:rsidRPr="00102859" w:rsidRDefault="00E37EA4" w:rsidP="00E37EA4">
      <w:pPr>
        <w:spacing w:line="480" w:lineRule="auto"/>
      </w:pPr>
      <w:r w:rsidRPr="00102859">
        <w:rPr>
          <w:b/>
        </w:rPr>
        <w:t xml:space="preserve">Figure 4. </w:t>
      </w:r>
      <w:r w:rsidRPr="00102859">
        <w:t xml:space="preserve">Change in Tinnitus Severity between the ICBT group and applied relaxation group over time. </w:t>
      </w:r>
      <w:bookmarkStart w:id="1" w:name="OLE_LINK3"/>
      <w:r w:rsidRPr="00102859">
        <w:t>At T1, the ICBT group had the full ICBT intervention without AR, and the applied relaxation group only the relaxation part. At T2 post intervention both groups had the full CBT program over 8 weeks for the ICBT group and 12 weeks for the applied relaxation groups. T3 is comparison of 2 month follow-up for both groups (16 weeks post for the ICBT group and 20 weeks post for the applied relaxation group).</w:t>
      </w:r>
      <w:bookmarkEnd w:id="1"/>
    </w:p>
    <w:p w14:paraId="49005FB9" w14:textId="77777777" w:rsidR="00E37EA4" w:rsidRPr="00102859" w:rsidRDefault="00E37EA4" w:rsidP="00E37EA4">
      <w:pPr>
        <w:spacing w:line="480" w:lineRule="auto"/>
      </w:pPr>
    </w:p>
    <w:p w14:paraId="2E650616" w14:textId="77777777" w:rsidR="00E37EA4" w:rsidRPr="00102859" w:rsidRDefault="00E37EA4" w:rsidP="00E37EA4">
      <w:pPr>
        <w:spacing w:line="480" w:lineRule="auto"/>
      </w:pPr>
      <w:r w:rsidRPr="00102859">
        <w:rPr>
          <w:b/>
        </w:rPr>
        <w:t xml:space="preserve">Figure 5. </w:t>
      </w:r>
      <w:r w:rsidRPr="00102859">
        <w:t xml:space="preserve">Change in Tinnitus Severity between sub-groups over time. T1, the ICBT group had the full CBT intervention, without applied relaxation, and the relaxation group only the relaxation part. </w:t>
      </w:r>
    </w:p>
    <w:p w14:paraId="74A75793" w14:textId="77777777" w:rsidR="00E37EA4" w:rsidRPr="00102859" w:rsidRDefault="00E37EA4" w:rsidP="00E37EA4">
      <w:pPr>
        <w:spacing w:line="480" w:lineRule="auto"/>
      </w:pPr>
    </w:p>
    <w:p w14:paraId="52D79D95" w14:textId="77777777" w:rsidR="00E37EA4" w:rsidRPr="00102859" w:rsidRDefault="00E37EA4" w:rsidP="00E37EA4">
      <w:pPr>
        <w:shd w:val="clear" w:color="auto" w:fill="FFFFFF"/>
        <w:spacing w:line="480" w:lineRule="auto"/>
        <w:rPr>
          <w:b/>
          <w:bCs/>
        </w:rPr>
      </w:pPr>
      <w:r w:rsidRPr="00102859">
        <w:rPr>
          <w:b/>
          <w:bCs/>
        </w:rPr>
        <w:t>Supplementary Materials File A</w:t>
      </w:r>
    </w:p>
    <w:p w14:paraId="34C54EA5" w14:textId="77777777" w:rsidR="00E37EA4" w:rsidRPr="00102859" w:rsidRDefault="00E37EA4" w:rsidP="00E37EA4">
      <w:pPr>
        <w:spacing w:line="480" w:lineRule="auto"/>
      </w:pPr>
      <w:r w:rsidRPr="00102859">
        <w:t xml:space="preserve">Supplementary materials 1: CONSORT E-Health checklist, </w:t>
      </w:r>
      <w:proofErr w:type="spellStart"/>
      <w:r w:rsidRPr="00102859">
        <w:rPr>
          <w:spacing w:val="3"/>
          <w:shd w:val="clear" w:color="auto" w:fill="FFFFFF"/>
        </w:rPr>
        <w:t>Eysenbach</w:t>
      </w:r>
      <w:proofErr w:type="spellEnd"/>
      <w:r w:rsidRPr="00102859">
        <w:rPr>
          <w:spacing w:val="3"/>
          <w:shd w:val="clear" w:color="auto" w:fill="FFFFFF"/>
        </w:rPr>
        <w:t xml:space="preserve"> G, CONSORT-EHEALTH Group</w:t>
      </w:r>
      <w:r w:rsidRPr="00102859">
        <w:rPr>
          <w:spacing w:val="3"/>
        </w:rPr>
        <w:t xml:space="preserve"> </w:t>
      </w:r>
      <w:r w:rsidRPr="00102859">
        <w:rPr>
          <w:spacing w:val="3"/>
          <w:shd w:val="clear" w:color="auto" w:fill="FFFFFF"/>
        </w:rPr>
        <w:t xml:space="preserve">CONSORT-EHEALTH: Improving and Standardizing Evaluation Reports of Web-based and Mobile Health </w:t>
      </w:r>
      <w:proofErr w:type="spellStart"/>
      <w:r w:rsidRPr="00102859">
        <w:rPr>
          <w:spacing w:val="3"/>
          <w:shd w:val="clear" w:color="auto" w:fill="FFFFFF"/>
        </w:rPr>
        <w:t>InterventionsJ</w:t>
      </w:r>
      <w:proofErr w:type="spellEnd"/>
      <w:r w:rsidRPr="00102859">
        <w:rPr>
          <w:spacing w:val="3"/>
          <w:shd w:val="clear" w:color="auto" w:fill="FFFFFF"/>
        </w:rPr>
        <w:t xml:space="preserve"> Med Internet Res 2011</w:t>
      </w:r>
      <w:proofErr w:type="gramStart"/>
      <w:r w:rsidRPr="00102859">
        <w:rPr>
          <w:spacing w:val="3"/>
          <w:shd w:val="clear" w:color="auto" w:fill="FFFFFF"/>
        </w:rPr>
        <w:t>;13</w:t>
      </w:r>
      <w:proofErr w:type="gramEnd"/>
      <w:r w:rsidRPr="00102859">
        <w:rPr>
          <w:spacing w:val="3"/>
          <w:shd w:val="clear" w:color="auto" w:fill="FFFFFF"/>
        </w:rPr>
        <w:t>(4):e126</w:t>
      </w:r>
      <w:r w:rsidRPr="00102859">
        <w:rPr>
          <w:spacing w:val="3"/>
        </w:rPr>
        <w:br/>
      </w:r>
      <w:r w:rsidRPr="00102859">
        <w:rPr>
          <w:spacing w:val="3"/>
          <w:shd w:val="clear" w:color="auto" w:fill="FFFFFF"/>
        </w:rPr>
        <w:t xml:space="preserve">URL: </w:t>
      </w:r>
      <w:hyperlink r:id="rId15" w:history="1">
        <w:r w:rsidRPr="00102859">
          <w:rPr>
            <w:rStyle w:val="Hyperlink"/>
            <w:color w:val="auto"/>
            <w:spacing w:val="3"/>
            <w:shd w:val="clear" w:color="auto" w:fill="FFFFFF"/>
          </w:rPr>
          <w:t>http://www.jmir.org/2011/4/e126/</w:t>
        </w:r>
      </w:hyperlink>
      <w:r w:rsidRPr="00102859">
        <w:rPr>
          <w:spacing w:val="3"/>
          <w:shd w:val="clear" w:color="auto" w:fill="FFFFFF"/>
        </w:rPr>
        <w:t>doi: 10.2196/jmir.1923</w:t>
      </w:r>
      <w:r w:rsidRPr="00102859">
        <w:rPr>
          <w:spacing w:val="3"/>
        </w:rPr>
        <w:t xml:space="preserve"> </w:t>
      </w:r>
      <w:r w:rsidRPr="00102859">
        <w:rPr>
          <w:spacing w:val="3"/>
          <w:shd w:val="clear" w:color="auto" w:fill="FFFFFF"/>
        </w:rPr>
        <w:t>PMID: 22209829</w:t>
      </w:r>
    </w:p>
    <w:p w14:paraId="23477377" w14:textId="4A889E13" w:rsidR="00E80FA3" w:rsidRPr="00102859" w:rsidRDefault="00E80FA3" w:rsidP="005C34DD">
      <w:pPr>
        <w:spacing w:line="480" w:lineRule="auto"/>
      </w:pPr>
    </w:p>
    <w:p w14:paraId="5A2915D4" w14:textId="2F6C7C2B" w:rsidR="00E80FA3" w:rsidRPr="00102859" w:rsidRDefault="00E80FA3" w:rsidP="005C34DD">
      <w:pPr>
        <w:spacing w:line="480" w:lineRule="auto"/>
        <w:sectPr w:rsidR="00E80FA3" w:rsidRPr="00102859" w:rsidSect="00791284">
          <w:footerReference w:type="default" r:id="rId16"/>
          <w:type w:val="continuous"/>
          <w:pgSz w:w="11900" w:h="16840"/>
          <w:pgMar w:top="1440" w:right="1440" w:bottom="1440" w:left="1440" w:header="708" w:footer="708" w:gutter="0"/>
          <w:lnNumType w:countBy="1" w:restart="continuous"/>
          <w:cols w:space="708"/>
          <w:docGrid w:linePitch="360"/>
        </w:sectPr>
      </w:pPr>
    </w:p>
    <w:p w14:paraId="5D1CD69E" w14:textId="232CB642" w:rsidR="00634422" w:rsidRPr="00102859" w:rsidRDefault="0032412A" w:rsidP="005C34DD">
      <w:pPr>
        <w:spacing w:line="480" w:lineRule="auto"/>
        <w:rPr>
          <w:b/>
          <w:bCs/>
          <w:sz w:val="28"/>
          <w:szCs w:val="28"/>
        </w:rPr>
      </w:pPr>
      <w:r w:rsidRPr="00102859">
        <w:rPr>
          <w:b/>
          <w:bCs/>
          <w:sz w:val="28"/>
          <w:szCs w:val="28"/>
        </w:rPr>
        <w:t xml:space="preserve">References </w:t>
      </w:r>
    </w:p>
    <w:p w14:paraId="4956E43F" w14:textId="77777777" w:rsidR="0032412A" w:rsidRPr="00102859" w:rsidRDefault="0032412A" w:rsidP="005C34DD">
      <w:pPr>
        <w:spacing w:line="480" w:lineRule="auto"/>
        <w:ind w:left="720" w:hanging="720"/>
        <w:rPr>
          <w:rFonts w:eastAsiaTheme="minorHAnsi"/>
        </w:rPr>
      </w:pPr>
      <w:r w:rsidRPr="00102859">
        <w:rPr>
          <w:rFonts w:eastAsiaTheme="minorHAnsi"/>
        </w:rPr>
        <w:t>Andersson, G. (2002). Psychological aspects of tinnitus and the application of cognitive</w:t>
      </w:r>
    </w:p>
    <w:p w14:paraId="257F1729" w14:textId="77777777" w:rsidR="0032412A" w:rsidRPr="00102859" w:rsidRDefault="0032412A" w:rsidP="005C34DD">
      <w:pPr>
        <w:spacing w:line="480" w:lineRule="auto"/>
        <w:ind w:left="720"/>
        <w:rPr>
          <w:rFonts w:eastAsiaTheme="minorHAnsi"/>
        </w:rPr>
      </w:pPr>
      <w:proofErr w:type="spellStart"/>
      <w:proofErr w:type="gramStart"/>
      <w:r w:rsidRPr="00102859">
        <w:rPr>
          <w:rFonts w:eastAsiaTheme="minorHAnsi"/>
        </w:rPr>
        <w:lastRenderedPageBreak/>
        <w:t>behavioral</w:t>
      </w:r>
      <w:proofErr w:type="spellEnd"/>
      <w:proofErr w:type="gramEnd"/>
      <w:r w:rsidRPr="00102859">
        <w:rPr>
          <w:rFonts w:eastAsiaTheme="minorHAnsi"/>
        </w:rPr>
        <w:t xml:space="preserve"> therapy. </w:t>
      </w:r>
      <w:r w:rsidRPr="00102859">
        <w:rPr>
          <w:rFonts w:eastAsiaTheme="minorHAnsi"/>
          <w:i/>
          <w:iCs/>
        </w:rPr>
        <w:t>Clinical Psychology Review</w:t>
      </w:r>
      <w:r w:rsidRPr="00102859">
        <w:rPr>
          <w:rFonts w:eastAsiaTheme="minorHAnsi"/>
        </w:rPr>
        <w:t>, 22(7), 977–990.</w:t>
      </w:r>
    </w:p>
    <w:p w14:paraId="17A8444F" w14:textId="77777777" w:rsidR="0032412A" w:rsidRPr="00102859" w:rsidRDefault="0032412A" w:rsidP="005C34DD">
      <w:pPr>
        <w:spacing w:line="480" w:lineRule="auto"/>
        <w:ind w:left="720"/>
        <w:rPr>
          <w:i/>
          <w:iCs/>
          <w:lang w:val="sv-SE"/>
        </w:rPr>
      </w:pPr>
      <w:r w:rsidRPr="00102859">
        <w:rPr>
          <w:rFonts w:eastAsiaTheme="minorHAnsi"/>
        </w:rPr>
        <w:t xml:space="preserve"> </w:t>
      </w:r>
      <w:hyperlink r:id="rId17" w:history="1">
        <w:r w:rsidRPr="00102859">
          <w:rPr>
            <w:rStyle w:val="Emphasis"/>
            <w:rFonts w:eastAsiaTheme="minorHAnsi"/>
            <w:i w:val="0"/>
            <w:iCs w:val="0"/>
            <w:lang w:val="sv-SE"/>
          </w:rPr>
          <w:t>https://doi.org/10.1016/S0272-7358(01)00124-6</w:t>
        </w:r>
      </w:hyperlink>
    </w:p>
    <w:p w14:paraId="2D5137F5" w14:textId="77777777" w:rsidR="0032412A" w:rsidRPr="00102859" w:rsidRDefault="0032412A" w:rsidP="005C34DD">
      <w:pPr>
        <w:pStyle w:val="Bibliography"/>
        <w:spacing w:line="480" w:lineRule="auto"/>
        <w:ind w:left="720" w:hanging="720"/>
        <w:rPr>
          <w:noProof/>
        </w:rPr>
      </w:pPr>
      <w:r w:rsidRPr="00102859">
        <w:rPr>
          <w:noProof/>
          <w:lang w:val="sv-SE"/>
        </w:rPr>
        <w:t xml:space="preserve">Andersvson, G., &amp; Kaldo, V. (2004). </w:t>
      </w:r>
      <w:r w:rsidRPr="00102859">
        <w:rPr>
          <w:noProof/>
        </w:rPr>
        <w:t xml:space="preserve">Internet‐based cognitive behavioral therapy for tinnitus. </w:t>
      </w:r>
      <w:r w:rsidRPr="00102859">
        <w:rPr>
          <w:i/>
          <w:iCs/>
          <w:noProof/>
        </w:rPr>
        <w:t>Journal of Clinical Psychology, 60</w:t>
      </w:r>
      <w:r w:rsidRPr="00102859">
        <w:rPr>
          <w:noProof/>
        </w:rPr>
        <w:t>(2), 171-178.</w:t>
      </w:r>
      <w:r w:rsidRPr="00102859">
        <w:t xml:space="preserve"> https://doi.org/10.1002/jclp.10243</w:t>
      </w:r>
    </w:p>
    <w:p w14:paraId="1FDC80C1" w14:textId="77777777" w:rsidR="0032412A" w:rsidRPr="00102859" w:rsidRDefault="0032412A" w:rsidP="005C34DD">
      <w:pPr>
        <w:pStyle w:val="Bibliography"/>
        <w:spacing w:line="480" w:lineRule="auto"/>
        <w:ind w:left="720" w:hanging="720"/>
        <w:rPr>
          <w:noProof/>
        </w:rPr>
      </w:pPr>
      <w:r w:rsidRPr="00102859">
        <w:rPr>
          <w:noProof/>
        </w:rPr>
        <w:t xml:space="preserve">Andersson, G., Strömgren, T., Ström, L., &amp; Lyttkens, L. (2002). Randomized controlled trial of Internet-based cognitive behavior therapy for distress associated with tinnitus. </w:t>
      </w:r>
      <w:r w:rsidRPr="00102859">
        <w:rPr>
          <w:i/>
          <w:iCs/>
          <w:noProof/>
        </w:rPr>
        <w:t>Psychosomatic Medicine, 64</w:t>
      </w:r>
      <w:r w:rsidRPr="00102859">
        <w:rPr>
          <w:noProof/>
        </w:rPr>
        <w:t xml:space="preserve">(5), 810-816. </w:t>
      </w:r>
      <w:hyperlink r:id="rId18" w:history="1">
        <w:r w:rsidRPr="00102859">
          <w:rPr>
            <w:rStyle w:val="Hyperlink"/>
            <w:noProof/>
            <w:color w:val="auto"/>
            <w:u w:val="none"/>
          </w:rPr>
          <w:t>http://doi:10.1097/01.psy.0000031577.42041.f8</w:t>
        </w:r>
      </w:hyperlink>
    </w:p>
    <w:p w14:paraId="6FB6BD09" w14:textId="77777777" w:rsidR="00D05EB0" w:rsidRPr="00102859" w:rsidRDefault="0032412A" w:rsidP="005C34DD">
      <w:pPr>
        <w:spacing w:line="480" w:lineRule="auto"/>
        <w:rPr>
          <w:shd w:val="clear" w:color="auto" w:fill="FFFFFF"/>
        </w:rPr>
      </w:pPr>
      <w:proofErr w:type="spellStart"/>
      <w:r w:rsidRPr="00102859">
        <w:rPr>
          <w:shd w:val="clear" w:color="auto" w:fill="FFFFFF"/>
        </w:rPr>
        <w:t>Arif</w:t>
      </w:r>
      <w:proofErr w:type="spellEnd"/>
      <w:r w:rsidRPr="00102859">
        <w:rPr>
          <w:shd w:val="clear" w:color="auto" w:fill="FFFFFF"/>
        </w:rPr>
        <w:t xml:space="preserve">, M., Sadlier, M., </w:t>
      </w:r>
      <w:proofErr w:type="spellStart"/>
      <w:r w:rsidRPr="00102859">
        <w:rPr>
          <w:shd w:val="clear" w:color="auto" w:fill="FFFFFF"/>
        </w:rPr>
        <w:t>Rajenderkumar</w:t>
      </w:r>
      <w:proofErr w:type="spellEnd"/>
      <w:r w:rsidRPr="00102859">
        <w:rPr>
          <w:shd w:val="clear" w:color="auto" w:fill="FFFFFF"/>
        </w:rPr>
        <w:t xml:space="preserve">, D., James, J., &amp; Tahir, T. (2017). A randomised </w:t>
      </w:r>
    </w:p>
    <w:p w14:paraId="69444247" w14:textId="73D93AEE" w:rsidR="0032412A" w:rsidRPr="00102859" w:rsidRDefault="0032412A" w:rsidP="005C34DD">
      <w:pPr>
        <w:spacing w:line="480" w:lineRule="auto"/>
        <w:ind w:left="720"/>
      </w:pPr>
      <w:proofErr w:type="gramStart"/>
      <w:r w:rsidRPr="00102859">
        <w:rPr>
          <w:shd w:val="clear" w:color="auto" w:fill="FFFFFF"/>
        </w:rPr>
        <w:t>controlled</w:t>
      </w:r>
      <w:proofErr w:type="gramEnd"/>
      <w:r w:rsidRPr="00102859">
        <w:rPr>
          <w:shd w:val="clear" w:color="auto" w:fill="FFFFFF"/>
        </w:rPr>
        <w:t xml:space="preserve"> study of mindfulness meditation versus relaxation therapy in the management of tinnitus. </w:t>
      </w:r>
      <w:r w:rsidRPr="00102859">
        <w:rPr>
          <w:i/>
          <w:iCs/>
          <w:shd w:val="clear" w:color="auto" w:fill="FFFFFF"/>
        </w:rPr>
        <w:t>The Journal of laryngology and otology</w:t>
      </w:r>
      <w:r w:rsidRPr="00102859">
        <w:rPr>
          <w:shd w:val="clear" w:color="auto" w:fill="FFFFFF"/>
        </w:rPr>
        <w:t>, </w:t>
      </w:r>
      <w:r w:rsidRPr="00102859">
        <w:rPr>
          <w:i/>
          <w:iCs/>
          <w:shd w:val="clear" w:color="auto" w:fill="FFFFFF"/>
        </w:rPr>
        <w:t>131</w:t>
      </w:r>
      <w:r w:rsidRPr="00102859">
        <w:rPr>
          <w:shd w:val="clear" w:color="auto" w:fill="FFFFFF"/>
        </w:rPr>
        <w:t>(6), 501.</w:t>
      </w:r>
    </w:p>
    <w:p w14:paraId="3DA658CF" w14:textId="50C22BCE" w:rsidR="0032412A" w:rsidRPr="00102859" w:rsidRDefault="0032412A" w:rsidP="005C34DD">
      <w:pPr>
        <w:spacing w:line="480" w:lineRule="auto"/>
        <w:ind w:firstLine="720"/>
      </w:pPr>
      <w:proofErr w:type="gramStart"/>
      <w:r w:rsidRPr="00102859">
        <w:t>doi:</w:t>
      </w:r>
      <w:proofErr w:type="gramEnd"/>
      <w:r w:rsidRPr="00102859">
        <w:t>10.1017/S002221511700069X</w:t>
      </w:r>
    </w:p>
    <w:p w14:paraId="31A9DF6E" w14:textId="77777777" w:rsidR="0032412A" w:rsidRPr="00102859" w:rsidRDefault="0032412A" w:rsidP="005C34DD">
      <w:pPr>
        <w:spacing w:line="480" w:lineRule="auto"/>
        <w:ind w:left="720" w:hanging="720"/>
        <w:rPr>
          <w:rStyle w:val="Emphasis"/>
          <w:rFonts w:eastAsiaTheme="minorHAnsi"/>
          <w:noProof/>
        </w:rPr>
      </w:pPr>
      <w:r w:rsidRPr="00102859">
        <w:rPr>
          <w:noProof/>
        </w:rPr>
        <w:t xml:space="preserve">Bastien, C. H., Vallières, A., &amp; Morin, C. M. (2001). Validation of the Insomnia Severity Index as an outcome measure for insomnia research. </w:t>
      </w:r>
      <w:r w:rsidRPr="00102859">
        <w:rPr>
          <w:i/>
          <w:iCs/>
          <w:noProof/>
        </w:rPr>
        <w:t>Sleep Medicine, 2</w:t>
      </w:r>
      <w:r w:rsidRPr="00102859">
        <w:rPr>
          <w:noProof/>
        </w:rPr>
        <w:t>(4), 297-307. http://doi: 10.1016/s1389-9457(00)00065-4</w:t>
      </w:r>
    </w:p>
    <w:p w14:paraId="5CED5DD2" w14:textId="77777777" w:rsidR="0032412A" w:rsidRPr="00102859" w:rsidRDefault="0032412A" w:rsidP="005C34DD">
      <w:pPr>
        <w:spacing w:line="480" w:lineRule="auto"/>
      </w:pPr>
      <w:r w:rsidRPr="00102859">
        <w:t xml:space="preserve">Beukes, E. W., Vlaescu, G., Manchaiah, V., Baguley, D. M., Allen, P. M., Kaldo, V., &amp; </w:t>
      </w:r>
      <w:r w:rsidRPr="00102859">
        <w:tab/>
        <w:t xml:space="preserve">Andersson, G. (2016). Development and technical functionality of an Internet-based </w:t>
      </w:r>
      <w:r w:rsidRPr="00102859">
        <w:tab/>
        <w:t xml:space="preserve">intervention for tinnitus in the UK. </w:t>
      </w:r>
      <w:r w:rsidRPr="00102859">
        <w:rPr>
          <w:i/>
          <w:iCs/>
        </w:rPr>
        <w:t>Internet Interventions, 6</w:t>
      </w:r>
      <w:r w:rsidRPr="00102859">
        <w:t xml:space="preserve">, 6-15. </w:t>
      </w:r>
      <w:r w:rsidRPr="00102859">
        <w:tab/>
      </w:r>
      <w:hyperlink r:id="rId19" w:history="1">
        <w:r w:rsidRPr="00102859">
          <w:rPr>
            <w:rStyle w:val="Emphasis"/>
            <w:noProof/>
          </w:rPr>
          <w:t>http://</w:t>
        </w:r>
        <w:r w:rsidRPr="00102859">
          <w:rPr>
            <w:rStyle w:val="Emphasis"/>
          </w:rPr>
          <w:t>doi:10.1016/j.invent.2016.08.002</w:t>
        </w:r>
      </w:hyperlink>
    </w:p>
    <w:p w14:paraId="1935197B" w14:textId="77777777" w:rsidR="0032412A" w:rsidRPr="00102859" w:rsidRDefault="0032412A" w:rsidP="005C34DD">
      <w:pPr>
        <w:spacing w:line="480" w:lineRule="auto"/>
        <w:ind w:left="720" w:hanging="720"/>
        <w:rPr>
          <w:noProof/>
        </w:rPr>
      </w:pPr>
      <w:r w:rsidRPr="00102859">
        <w:rPr>
          <w:noProof/>
        </w:rPr>
        <w:t xml:space="preserve">Beukes, E. W., Allen, P. M., Manchaiah, V., Baguley, D. M., &amp; Andersson, G. (2017). Internet-based intervention for tinnitus: Outcome of a single-group open trial. </w:t>
      </w:r>
      <w:r w:rsidRPr="00102859">
        <w:rPr>
          <w:i/>
          <w:iCs/>
          <w:noProof/>
        </w:rPr>
        <w:t>American Academy of Audiology, 12</w:t>
      </w:r>
      <w:r w:rsidRPr="00102859">
        <w:rPr>
          <w:noProof/>
        </w:rPr>
        <w:t>(4), 340-351. http://doi:10.3766/jaaa.16055</w:t>
      </w:r>
    </w:p>
    <w:p w14:paraId="6E64F69A" w14:textId="6D3B7985" w:rsidR="00007D62" w:rsidRPr="00102859" w:rsidRDefault="00007D62" w:rsidP="005C34DD">
      <w:pPr>
        <w:spacing w:line="480" w:lineRule="auto"/>
        <w:rPr>
          <w:noProof/>
        </w:rPr>
      </w:pPr>
      <w:r w:rsidRPr="00102859">
        <w:rPr>
          <w:noProof/>
        </w:rPr>
        <w:t>Beukes, E. W., Manchaiah, V., Baguley, D., Allen, P. M., &amp; Andersson, G. (2018a).</w:t>
      </w:r>
      <w:r w:rsidRPr="00102859">
        <w:rPr>
          <w:noProof/>
        </w:rPr>
        <w:tab/>
      </w:r>
      <w:r w:rsidRPr="00102859">
        <w:rPr>
          <w:noProof/>
        </w:rPr>
        <w:tab/>
        <w:t xml:space="preserve"> Process evaluation of Internet-based cognitive behavioural therapy for adults with</w:t>
      </w:r>
    </w:p>
    <w:p w14:paraId="325569C2" w14:textId="77777777" w:rsidR="00007D62" w:rsidRPr="00102859" w:rsidRDefault="00007D62" w:rsidP="005C34DD">
      <w:pPr>
        <w:spacing w:line="480" w:lineRule="auto"/>
        <w:ind w:firstLine="720"/>
        <w:rPr>
          <w:i/>
          <w:iCs/>
          <w:noProof/>
        </w:rPr>
      </w:pPr>
      <w:r w:rsidRPr="00102859">
        <w:rPr>
          <w:noProof/>
        </w:rPr>
        <w:t xml:space="preserve">tinnitus in the context of a randomised control trial. </w:t>
      </w:r>
      <w:r w:rsidRPr="00102859">
        <w:rPr>
          <w:i/>
          <w:iCs/>
          <w:noProof/>
        </w:rPr>
        <w:t xml:space="preserve">International Journal of </w:t>
      </w:r>
    </w:p>
    <w:p w14:paraId="11C6FC0A" w14:textId="77777777" w:rsidR="00007D62" w:rsidRPr="00102859" w:rsidRDefault="00007D62" w:rsidP="005C34DD">
      <w:pPr>
        <w:spacing w:line="480" w:lineRule="auto"/>
        <w:ind w:firstLine="720"/>
        <w:rPr>
          <w:noProof/>
        </w:rPr>
      </w:pPr>
      <w:r w:rsidRPr="00102859">
        <w:rPr>
          <w:i/>
          <w:iCs/>
          <w:noProof/>
        </w:rPr>
        <w:lastRenderedPageBreak/>
        <w:t>Audiology, 57</w:t>
      </w:r>
      <w:r w:rsidRPr="00102859">
        <w:rPr>
          <w:noProof/>
        </w:rPr>
        <w:t xml:space="preserve">(2), 98-109. </w:t>
      </w:r>
      <w:r w:rsidRPr="00102859">
        <w:t>https://doi.org/10.1080/14992027.2017.1384858</w:t>
      </w:r>
    </w:p>
    <w:p w14:paraId="26655D4B" w14:textId="77777777" w:rsidR="00007D62" w:rsidRPr="00102859" w:rsidRDefault="00007D62" w:rsidP="005C34DD">
      <w:pPr>
        <w:spacing w:line="480" w:lineRule="auto"/>
        <w:ind w:left="720" w:hanging="720"/>
        <w:rPr>
          <w:noProof/>
        </w:rPr>
      </w:pPr>
      <w:r w:rsidRPr="00102859">
        <w:rPr>
          <w:noProof/>
        </w:rPr>
        <w:t xml:space="preserve">Beukes, E. W., Andersson, G., Allen, P. M., Manchaiah, V., &amp; Baguley, D. M. (2018b). Effectiveness of guided Internet-based cognitive behavioral therapy vs face-to-face clinical care for treatment of tinnitus: A randomized clinical trial. </w:t>
      </w:r>
      <w:r w:rsidRPr="00102859">
        <w:rPr>
          <w:i/>
          <w:iCs/>
          <w:noProof/>
        </w:rPr>
        <w:t>JAMA Otolaryngology–Head &amp; Neck Surgery, 144</w:t>
      </w:r>
      <w:r w:rsidRPr="00102859">
        <w:rPr>
          <w:noProof/>
        </w:rPr>
        <w:t>(12), 1126-1133. http://doi:10.1001/jamaoto.2018.2238</w:t>
      </w:r>
    </w:p>
    <w:p w14:paraId="251F5582" w14:textId="3368E0AC" w:rsidR="0032412A" w:rsidRPr="00102859" w:rsidRDefault="0032412A" w:rsidP="005C34DD">
      <w:pPr>
        <w:spacing w:line="480" w:lineRule="auto"/>
        <w:ind w:left="720" w:hanging="720"/>
        <w:rPr>
          <w:noProof/>
        </w:rPr>
      </w:pPr>
      <w:r w:rsidRPr="00102859">
        <w:rPr>
          <w:noProof/>
        </w:rPr>
        <w:t>Beukes, E. W., Baguley, D. M., Allen, P. M., Manchaiah, V., &amp; Andersson, G. (2018</w:t>
      </w:r>
      <w:r w:rsidR="00B168CF" w:rsidRPr="00102859">
        <w:rPr>
          <w:noProof/>
        </w:rPr>
        <w:t>c</w:t>
      </w:r>
      <w:r w:rsidRPr="00102859">
        <w:rPr>
          <w:noProof/>
        </w:rPr>
        <w:t xml:space="preserve">).  Audiologist-guided Internet-based cognitive behavior therapy for adults with tinnitus in the United Kingdom: A randomized controlled trial. </w:t>
      </w:r>
      <w:r w:rsidRPr="00102859">
        <w:rPr>
          <w:i/>
          <w:iCs/>
          <w:noProof/>
        </w:rPr>
        <w:t>Ear and Hearing, 39</w:t>
      </w:r>
      <w:r w:rsidRPr="00102859">
        <w:rPr>
          <w:noProof/>
        </w:rPr>
        <w:t xml:space="preserve">(3), 423-433. </w:t>
      </w:r>
      <w:hyperlink r:id="rId20" w:history="1">
        <w:r w:rsidRPr="00102859">
          <w:rPr>
            <w:rStyle w:val="Emphasis"/>
            <w:noProof/>
          </w:rPr>
          <w:t>http://doi:10.1097/AUD.0000000000000505</w:t>
        </w:r>
      </w:hyperlink>
    </w:p>
    <w:p w14:paraId="710CA6C8" w14:textId="1E0F4809" w:rsidR="0032412A" w:rsidRPr="00102859" w:rsidRDefault="0032412A" w:rsidP="005C34DD">
      <w:pPr>
        <w:spacing w:line="480" w:lineRule="auto"/>
        <w:rPr>
          <w:shd w:val="clear" w:color="auto" w:fill="FFFFFF"/>
        </w:rPr>
      </w:pPr>
      <w:r w:rsidRPr="00102859">
        <w:rPr>
          <w:shd w:val="clear" w:color="auto" w:fill="FFFFFF"/>
        </w:rPr>
        <w:t>Beukes, E. W., Allen, P. M., Baguley, D. M., Manchaiah, V., &amp; Andersson, G. (2018</w:t>
      </w:r>
      <w:r w:rsidR="00B168CF" w:rsidRPr="00102859">
        <w:rPr>
          <w:shd w:val="clear" w:color="auto" w:fill="FFFFFF"/>
        </w:rPr>
        <w:t>d</w:t>
      </w:r>
      <w:r w:rsidRPr="00102859">
        <w:rPr>
          <w:shd w:val="clear" w:color="auto" w:fill="FFFFFF"/>
        </w:rPr>
        <w:t xml:space="preserve">). </w:t>
      </w:r>
    </w:p>
    <w:p w14:paraId="0D673986" w14:textId="77777777" w:rsidR="0032412A" w:rsidRPr="00102859" w:rsidRDefault="0032412A" w:rsidP="005C34DD">
      <w:pPr>
        <w:spacing w:line="480" w:lineRule="auto"/>
        <w:ind w:firstLine="720"/>
        <w:rPr>
          <w:shd w:val="clear" w:color="auto" w:fill="FFFFFF"/>
        </w:rPr>
      </w:pPr>
      <w:r w:rsidRPr="00102859">
        <w:rPr>
          <w:shd w:val="clear" w:color="auto" w:fill="FFFFFF"/>
        </w:rPr>
        <w:t xml:space="preserve">Long-term efficacy of audiologist-guided Internet-based cognitive </w:t>
      </w:r>
      <w:proofErr w:type="spellStart"/>
      <w:r w:rsidRPr="00102859">
        <w:rPr>
          <w:shd w:val="clear" w:color="auto" w:fill="FFFFFF"/>
        </w:rPr>
        <w:t>behavior</w:t>
      </w:r>
      <w:proofErr w:type="spellEnd"/>
      <w:r w:rsidRPr="00102859">
        <w:rPr>
          <w:shd w:val="clear" w:color="auto" w:fill="FFFFFF"/>
        </w:rPr>
        <w:t xml:space="preserve"> therapy </w:t>
      </w:r>
    </w:p>
    <w:p w14:paraId="4C168EB0" w14:textId="77777777" w:rsidR="0032412A" w:rsidRPr="00102859" w:rsidRDefault="0032412A" w:rsidP="005C34DD">
      <w:pPr>
        <w:spacing w:line="480" w:lineRule="auto"/>
        <w:ind w:left="720"/>
      </w:pPr>
      <w:proofErr w:type="gramStart"/>
      <w:r w:rsidRPr="00102859">
        <w:rPr>
          <w:shd w:val="clear" w:color="auto" w:fill="FFFFFF"/>
        </w:rPr>
        <w:t>for</w:t>
      </w:r>
      <w:proofErr w:type="gramEnd"/>
      <w:r w:rsidRPr="00102859">
        <w:rPr>
          <w:shd w:val="clear" w:color="auto" w:fill="FFFFFF"/>
        </w:rPr>
        <w:t xml:space="preserve"> tinnitus. </w:t>
      </w:r>
      <w:r w:rsidRPr="00102859">
        <w:rPr>
          <w:i/>
          <w:iCs/>
          <w:shd w:val="clear" w:color="auto" w:fill="FFFFFF"/>
        </w:rPr>
        <w:t>American journal of audiology</w:t>
      </w:r>
      <w:r w:rsidRPr="00102859">
        <w:rPr>
          <w:shd w:val="clear" w:color="auto" w:fill="FFFFFF"/>
        </w:rPr>
        <w:t>, </w:t>
      </w:r>
      <w:r w:rsidRPr="00102859">
        <w:rPr>
          <w:i/>
          <w:iCs/>
          <w:shd w:val="clear" w:color="auto" w:fill="FFFFFF"/>
        </w:rPr>
        <w:t>27</w:t>
      </w:r>
      <w:r w:rsidRPr="00102859">
        <w:rPr>
          <w:shd w:val="clear" w:color="auto" w:fill="FFFFFF"/>
        </w:rPr>
        <w:t>(3S), 431-447.</w:t>
      </w:r>
      <w:r w:rsidRPr="00102859">
        <w:t xml:space="preserve"> </w:t>
      </w:r>
      <w:hyperlink r:id="rId21" w:history="1">
        <w:r w:rsidRPr="00102859">
          <w:rPr>
            <w:rStyle w:val="Emphasis"/>
            <w:spacing w:val="12"/>
            <w:shd w:val="clear" w:color="auto" w:fill="FFFFFF"/>
          </w:rPr>
          <w:t>https://doi.org/10.1044/2018_AJA-IMIA3-18-0004</w:t>
        </w:r>
      </w:hyperlink>
    </w:p>
    <w:p w14:paraId="531070B3" w14:textId="77777777" w:rsidR="0032412A" w:rsidRPr="00102859" w:rsidRDefault="0032412A" w:rsidP="005C34DD">
      <w:pPr>
        <w:spacing w:line="480" w:lineRule="auto"/>
        <w:rPr>
          <w:shd w:val="clear" w:color="auto" w:fill="FFFFFF"/>
        </w:rPr>
      </w:pPr>
      <w:r w:rsidRPr="00102859">
        <w:rPr>
          <w:shd w:val="clear" w:color="auto" w:fill="FFFFFF"/>
        </w:rPr>
        <w:t>Beukes, E. W., Manchaiah, V., Allen, P. M., Baguley, D. M., &amp; Andersson, G. (2019).</w:t>
      </w:r>
    </w:p>
    <w:p w14:paraId="38C05B38" w14:textId="77777777" w:rsidR="0032412A" w:rsidRPr="00102859" w:rsidRDefault="0032412A" w:rsidP="005C34DD">
      <w:pPr>
        <w:spacing w:line="480" w:lineRule="auto"/>
        <w:ind w:firstLine="720"/>
        <w:rPr>
          <w:shd w:val="clear" w:color="auto" w:fill="FFFFFF"/>
        </w:rPr>
      </w:pPr>
      <w:r w:rsidRPr="00102859">
        <w:rPr>
          <w:shd w:val="clear" w:color="auto" w:fill="FFFFFF"/>
        </w:rPr>
        <w:t xml:space="preserve">Internet-based interventions for adults with hearing loss, tinnitus, and vestibular </w:t>
      </w:r>
    </w:p>
    <w:p w14:paraId="4678452A" w14:textId="77777777" w:rsidR="0032412A" w:rsidRPr="00102859" w:rsidRDefault="0032412A" w:rsidP="005C34DD">
      <w:pPr>
        <w:spacing w:line="480" w:lineRule="auto"/>
        <w:ind w:firstLine="720"/>
        <w:rPr>
          <w:shd w:val="clear" w:color="auto" w:fill="FFFFFF"/>
        </w:rPr>
      </w:pPr>
      <w:proofErr w:type="gramStart"/>
      <w:r w:rsidRPr="00102859">
        <w:rPr>
          <w:shd w:val="clear" w:color="auto" w:fill="FFFFFF"/>
        </w:rPr>
        <w:t>disorders</w:t>
      </w:r>
      <w:proofErr w:type="gramEnd"/>
      <w:r w:rsidRPr="00102859">
        <w:rPr>
          <w:shd w:val="clear" w:color="auto" w:fill="FFFFFF"/>
        </w:rPr>
        <w:t>: A systematic review and meta-analysis. </w:t>
      </w:r>
      <w:r w:rsidRPr="00102859">
        <w:rPr>
          <w:i/>
          <w:iCs/>
          <w:shd w:val="clear" w:color="auto" w:fill="FFFFFF"/>
        </w:rPr>
        <w:t>Trends in Hearing</w:t>
      </w:r>
      <w:r w:rsidRPr="00102859">
        <w:rPr>
          <w:shd w:val="clear" w:color="auto" w:fill="FFFFFF"/>
        </w:rPr>
        <w:t>, </w:t>
      </w:r>
      <w:r w:rsidRPr="00102859">
        <w:rPr>
          <w:i/>
          <w:iCs/>
          <w:shd w:val="clear" w:color="auto" w:fill="FFFFFF"/>
        </w:rPr>
        <w:t>23</w:t>
      </w:r>
      <w:r w:rsidRPr="00102859">
        <w:rPr>
          <w:shd w:val="clear" w:color="auto" w:fill="FFFFFF"/>
        </w:rPr>
        <w:t xml:space="preserve">, </w:t>
      </w:r>
    </w:p>
    <w:p w14:paraId="0F024396" w14:textId="77777777" w:rsidR="0032412A" w:rsidRPr="00102859" w:rsidRDefault="0032412A" w:rsidP="005C34DD">
      <w:pPr>
        <w:spacing w:line="480" w:lineRule="auto"/>
        <w:ind w:firstLine="720"/>
        <w:rPr>
          <w:shd w:val="clear" w:color="auto" w:fill="FFFFFF"/>
        </w:rPr>
      </w:pPr>
      <w:r w:rsidRPr="00102859">
        <w:rPr>
          <w:shd w:val="clear" w:color="auto" w:fill="FFFFFF"/>
        </w:rPr>
        <w:t>2331216519851749.</w:t>
      </w:r>
      <w:r w:rsidRPr="00102859">
        <w:t xml:space="preserve"> </w:t>
      </w:r>
      <w:hyperlink r:id="rId22" w:history="1">
        <w:r w:rsidRPr="00102859">
          <w:rPr>
            <w:rStyle w:val="Emphasis"/>
            <w:shd w:val="clear" w:color="auto" w:fill="FFFFFF"/>
          </w:rPr>
          <w:t>https://doi.org/10.1177/2331216519851749</w:t>
        </w:r>
      </w:hyperlink>
    </w:p>
    <w:p w14:paraId="64E79779" w14:textId="77777777" w:rsidR="0032412A" w:rsidRPr="00102859" w:rsidRDefault="0032412A" w:rsidP="005C34DD">
      <w:pPr>
        <w:spacing w:line="480" w:lineRule="auto"/>
      </w:pPr>
      <w:r w:rsidRPr="00102859">
        <w:t xml:space="preserve">Beukes, E. W., Fagelson, M., Aronson, E. P., Munoz, M. F., Andersson, G., &amp; Manchaiah, V. </w:t>
      </w:r>
      <w:r w:rsidRPr="00102859">
        <w:tab/>
        <w:t xml:space="preserve">(2020a). Readability following cultural and linguistic adaptation of an Internet-based </w:t>
      </w:r>
      <w:r w:rsidRPr="00102859">
        <w:tab/>
        <w:t xml:space="preserve">intervention for tinnitus for use in the United States. </w:t>
      </w:r>
      <w:r w:rsidRPr="00102859">
        <w:rPr>
          <w:i/>
          <w:iCs/>
        </w:rPr>
        <w:t>American Journal of Audiology</w:t>
      </w:r>
      <w:r w:rsidRPr="00102859">
        <w:t xml:space="preserve">, </w:t>
      </w:r>
      <w:r w:rsidRPr="00102859">
        <w:tab/>
      </w:r>
      <w:r w:rsidRPr="00102859">
        <w:rPr>
          <w:i/>
          <w:iCs/>
        </w:rPr>
        <w:t>29</w:t>
      </w:r>
      <w:r w:rsidRPr="00102859">
        <w:t>(2), 97-109. https://doi.org/10.1044/2019_AJA-19-00014.</w:t>
      </w:r>
    </w:p>
    <w:p w14:paraId="23AAEFD3" w14:textId="77777777" w:rsidR="0032412A" w:rsidRPr="00102859" w:rsidRDefault="0032412A" w:rsidP="005C34DD">
      <w:pPr>
        <w:spacing w:line="480" w:lineRule="auto"/>
        <w:rPr>
          <w:shd w:val="clear" w:color="auto" w:fill="FFFFFF"/>
        </w:rPr>
      </w:pPr>
      <w:r w:rsidRPr="00102859">
        <w:rPr>
          <w:shd w:val="clear" w:color="auto" w:fill="FFFFFF"/>
        </w:rPr>
        <w:t xml:space="preserve">Beukes, E. W., Baguley, D. M., Jacquemin, L., Lourenco, M., Allen, P. M., </w:t>
      </w:r>
      <w:proofErr w:type="spellStart"/>
      <w:r w:rsidRPr="00102859">
        <w:rPr>
          <w:shd w:val="clear" w:color="auto" w:fill="FFFFFF"/>
        </w:rPr>
        <w:t>Onozuka</w:t>
      </w:r>
      <w:proofErr w:type="spellEnd"/>
      <w:r w:rsidRPr="00102859">
        <w:rPr>
          <w:shd w:val="clear" w:color="auto" w:fill="FFFFFF"/>
        </w:rPr>
        <w:t xml:space="preserve">, J., </w:t>
      </w:r>
    </w:p>
    <w:p w14:paraId="6FBF3695" w14:textId="1F335CFE" w:rsidR="0032412A" w:rsidRPr="00102859" w:rsidRDefault="0032412A" w:rsidP="005C34DD">
      <w:pPr>
        <w:spacing w:line="480" w:lineRule="auto"/>
        <w:ind w:left="720"/>
        <w:rPr>
          <w:shd w:val="clear" w:color="auto" w:fill="FFFFFF"/>
        </w:rPr>
      </w:pPr>
      <w:r w:rsidRPr="00102859">
        <w:rPr>
          <w:shd w:val="clear" w:color="auto" w:fill="FFFFFF"/>
        </w:rPr>
        <w:lastRenderedPageBreak/>
        <w:t xml:space="preserve">Stockdale, D., Kaldo, V., Andersson, G., &amp; Manchaiah, V. (2020b). Changes in Tinnitus Experiences </w:t>
      </w:r>
      <w:proofErr w:type="gramStart"/>
      <w:r w:rsidRPr="00102859">
        <w:rPr>
          <w:shd w:val="clear" w:color="auto" w:fill="FFFFFF"/>
        </w:rPr>
        <w:t>During</w:t>
      </w:r>
      <w:proofErr w:type="gramEnd"/>
      <w:r w:rsidRPr="00102859">
        <w:rPr>
          <w:shd w:val="clear" w:color="auto" w:fill="FFFFFF"/>
        </w:rPr>
        <w:t xml:space="preserve"> the COVID-19 Pandemic. </w:t>
      </w:r>
      <w:r w:rsidRPr="00102859">
        <w:rPr>
          <w:i/>
          <w:iCs/>
          <w:shd w:val="clear" w:color="auto" w:fill="FFFFFF"/>
        </w:rPr>
        <w:t>Frontiers in Public Health</w:t>
      </w:r>
      <w:r w:rsidRPr="00102859">
        <w:rPr>
          <w:shd w:val="clear" w:color="auto" w:fill="FFFFFF"/>
        </w:rPr>
        <w:t>, </w:t>
      </w:r>
      <w:r w:rsidRPr="00102859">
        <w:rPr>
          <w:i/>
          <w:iCs/>
          <w:shd w:val="clear" w:color="auto" w:fill="FFFFFF"/>
        </w:rPr>
        <w:t>8</w:t>
      </w:r>
      <w:r w:rsidRPr="00102859">
        <w:rPr>
          <w:shd w:val="clear" w:color="auto" w:fill="FFFFFF"/>
        </w:rPr>
        <w:t xml:space="preserve">, 592878. </w:t>
      </w:r>
      <w:hyperlink r:id="rId23" w:history="1">
        <w:r w:rsidR="00CA41C2" w:rsidRPr="00102859">
          <w:rPr>
            <w:rStyle w:val="Hyperlink"/>
            <w:color w:val="auto"/>
            <w:shd w:val="clear" w:color="auto" w:fill="FFFFFF"/>
          </w:rPr>
          <w:t>https://doi.org/10.3389/fpubh.2020.592878</w:t>
        </w:r>
      </w:hyperlink>
    </w:p>
    <w:p w14:paraId="6C9D8ECC" w14:textId="77777777" w:rsidR="008F0FBF" w:rsidRPr="00102859" w:rsidRDefault="00CA41C2" w:rsidP="005C34DD">
      <w:pPr>
        <w:spacing w:line="480" w:lineRule="auto"/>
        <w:rPr>
          <w:shd w:val="clear" w:color="auto" w:fill="FFFFFF"/>
        </w:rPr>
      </w:pPr>
      <w:r w:rsidRPr="00102859">
        <w:rPr>
          <w:shd w:val="clear" w:color="auto" w:fill="FFFFFF"/>
        </w:rPr>
        <w:t>Beukes, E. W., Manchaiah, V., Allen, P. M., Andersson, G., &amp; Baguley, D. (2020</w:t>
      </w:r>
      <w:r w:rsidR="008F0FBF" w:rsidRPr="00102859">
        <w:rPr>
          <w:shd w:val="clear" w:color="auto" w:fill="FFFFFF"/>
        </w:rPr>
        <w:t>c</w:t>
      </w:r>
      <w:r w:rsidRPr="00102859">
        <w:rPr>
          <w:shd w:val="clear" w:color="auto" w:fill="FFFFFF"/>
        </w:rPr>
        <w:t xml:space="preserve">). </w:t>
      </w:r>
    </w:p>
    <w:p w14:paraId="48314763" w14:textId="0AC6AF43" w:rsidR="008F0FBF" w:rsidRPr="00102859" w:rsidRDefault="00CA41C2" w:rsidP="005C34DD">
      <w:pPr>
        <w:spacing w:line="480" w:lineRule="auto"/>
        <w:ind w:firstLine="720"/>
        <w:rPr>
          <w:shd w:val="clear" w:color="auto" w:fill="FFFFFF"/>
        </w:rPr>
      </w:pPr>
      <w:r w:rsidRPr="00102859">
        <w:rPr>
          <w:shd w:val="clear" w:color="auto" w:fill="FFFFFF"/>
        </w:rPr>
        <w:t>Exploring tinnitus heterogeneity. </w:t>
      </w:r>
      <w:r w:rsidRPr="00102859">
        <w:rPr>
          <w:i/>
          <w:iCs/>
          <w:shd w:val="clear" w:color="auto" w:fill="FFFFFF"/>
        </w:rPr>
        <w:t xml:space="preserve">Progress in Brain </w:t>
      </w:r>
    </w:p>
    <w:p w14:paraId="45E96B85" w14:textId="068C1C95" w:rsidR="00CA41C2" w:rsidRPr="00102859" w:rsidRDefault="00CA41C2" w:rsidP="005C34DD">
      <w:pPr>
        <w:spacing w:line="480" w:lineRule="auto"/>
        <w:ind w:firstLine="720"/>
        <w:rPr>
          <w:shd w:val="clear" w:color="auto" w:fill="FFFFFF"/>
        </w:rPr>
      </w:pPr>
      <w:proofErr w:type="spellStart"/>
      <w:r w:rsidRPr="00102859">
        <w:rPr>
          <w:i/>
          <w:iCs/>
          <w:shd w:val="clear" w:color="auto" w:fill="FFFFFF"/>
        </w:rPr>
        <w:t>Research</w:t>
      </w:r>
      <w:r w:rsidRPr="00102859">
        <w:rPr>
          <w:shd w:val="clear" w:color="auto" w:fill="FFFFFF"/>
        </w:rPr>
        <w:t>.</w:t>
      </w:r>
      <w:hyperlink r:id="rId24" w:history="1">
        <w:r w:rsidR="008F0FBF" w:rsidRPr="00102859">
          <w:rPr>
            <w:rStyle w:val="Hyperlink"/>
            <w:color w:val="auto"/>
            <w:shd w:val="clear" w:color="auto" w:fill="FFFFFF"/>
          </w:rPr>
          <w:t>https</w:t>
        </w:r>
        <w:proofErr w:type="spellEnd"/>
        <w:r w:rsidR="008F0FBF" w:rsidRPr="00102859">
          <w:rPr>
            <w:rStyle w:val="Hyperlink"/>
            <w:color w:val="auto"/>
            <w:shd w:val="clear" w:color="auto" w:fill="FFFFFF"/>
          </w:rPr>
          <w:t>://doi.org/10.1016/bs.pbr.2020.05.022</w:t>
        </w:r>
      </w:hyperlink>
    </w:p>
    <w:p w14:paraId="159DF688" w14:textId="3F020E9F" w:rsidR="0032412A" w:rsidRPr="00102859" w:rsidRDefault="0032412A" w:rsidP="005C34DD">
      <w:pPr>
        <w:spacing w:line="480" w:lineRule="auto"/>
        <w:rPr>
          <w:i/>
          <w:iCs/>
        </w:rPr>
      </w:pPr>
      <w:r w:rsidRPr="00102859">
        <w:t xml:space="preserve">Beukes, E., Andersson, G., Manchaiah, V., &amp; Kaldo, V. (2021). </w:t>
      </w:r>
      <w:r w:rsidRPr="00102859">
        <w:rPr>
          <w:i/>
          <w:iCs/>
        </w:rPr>
        <w:t xml:space="preserve">Cognitive </w:t>
      </w:r>
      <w:proofErr w:type="spellStart"/>
      <w:r w:rsidR="00F064D8" w:rsidRPr="00102859">
        <w:rPr>
          <w:i/>
          <w:iCs/>
        </w:rPr>
        <w:t>B</w:t>
      </w:r>
      <w:r w:rsidRPr="00102859">
        <w:rPr>
          <w:i/>
          <w:iCs/>
        </w:rPr>
        <w:t>ehavioral</w:t>
      </w:r>
      <w:proofErr w:type="spellEnd"/>
      <w:r w:rsidRPr="00102859">
        <w:rPr>
          <w:i/>
          <w:iCs/>
        </w:rPr>
        <w:t xml:space="preserve"> </w:t>
      </w:r>
    </w:p>
    <w:p w14:paraId="68077162" w14:textId="2EC2F2B2" w:rsidR="0032412A" w:rsidRPr="00102859" w:rsidRDefault="00F064D8" w:rsidP="005C34DD">
      <w:pPr>
        <w:spacing w:line="480" w:lineRule="auto"/>
        <w:ind w:firstLine="720"/>
      </w:pPr>
      <w:r w:rsidRPr="00102859">
        <w:rPr>
          <w:i/>
          <w:iCs/>
        </w:rPr>
        <w:t>T</w:t>
      </w:r>
      <w:r w:rsidR="0032412A" w:rsidRPr="00102859">
        <w:rPr>
          <w:i/>
          <w:iCs/>
        </w:rPr>
        <w:t xml:space="preserve">herapy for </w:t>
      </w:r>
      <w:r w:rsidRPr="00102859">
        <w:rPr>
          <w:i/>
          <w:iCs/>
        </w:rPr>
        <w:t>T</w:t>
      </w:r>
      <w:r w:rsidR="0032412A" w:rsidRPr="00102859">
        <w:rPr>
          <w:i/>
          <w:iCs/>
        </w:rPr>
        <w:t>innitus.</w:t>
      </w:r>
      <w:r w:rsidR="0032412A" w:rsidRPr="00102859">
        <w:t xml:space="preserve"> San Diego, USA: Plural Publishing Inc.</w:t>
      </w:r>
    </w:p>
    <w:p w14:paraId="00959C5D" w14:textId="39735D06" w:rsidR="0032412A" w:rsidRPr="00102859" w:rsidRDefault="0032412A" w:rsidP="005C34DD">
      <w:pPr>
        <w:spacing w:line="480" w:lineRule="auto"/>
        <w:rPr>
          <w:bCs/>
        </w:rPr>
      </w:pPr>
      <w:r w:rsidRPr="00102859">
        <w:rPr>
          <w:bCs/>
        </w:rPr>
        <w:t>Beukes, E.W., Andersson, G., Fagelson, M., Manchaiah, V. Audiologist-</w:t>
      </w:r>
    </w:p>
    <w:p w14:paraId="069C5482" w14:textId="77777777" w:rsidR="0032412A" w:rsidRPr="00102859" w:rsidRDefault="0032412A" w:rsidP="005C34DD">
      <w:pPr>
        <w:spacing w:line="480" w:lineRule="auto"/>
        <w:ind w:firstLine="720"/>
        <w:rPr>
          <w:bCs/>
        </w:rPr>
      </w:pPr>
      <w:proofErr w:type="gramStart"/>
      <w:r w:rsidRPr="00102859">
        <w:rPr>
          <w:bCs/>
        </w:rPr>
        <w:t>supported</w:t>
      </w:r>
      <w:proofErr w:type="gramEnd"/>
      <w:r w:rsidRPr="00102859">
        <w:rPr>
          <w:bCs/>
        </w:rPr>
        <w:t xml:space="preserve"> Internet-based Cognitive </w:t>
      </w:r>
      <w:proofErr w:type="spellStart"/>
      <w:r w:rsidRPr="00102859">
        <w:rPr>
          <w:bCs/>
        </w:rPr>
        <w:t>Behavioral</w:t>
      </w:r>
      <w:proofErr w:type="spellEnd"/>
      <w:r w:rsidRPr="00102859">
        <w:rPr>
          <w:bCs/>
        </w:rPr>
        <w:t xml:space="preserve"> Therapy for Tinnitus in the United </w:t>
      </w:r>
    </w:p>
    <w:p w14:paraId="3662C5F6" w14:textId="5E59AF13" w:rsidR="0032412A" w:rsidRPr="00102859" w:rsidRDefault="0032412A" w:rsidP="005C34DD">
      <w:pPr>
        <w:spacing w:line="480" w:lineRule="auto"/>
        <w:ind w:firstLine="720"/>
        <w:rPr>
          <w:bCs/>
        </w:rPr>
      </w:pPr>
      <w:r w:rsidRPr="00102859">
        <w:rPr>
          <w:bCs/>
        </w:rPr>
        <w:t>States: A Pilot Trial</w:t>
      </w:r>
      <w:r w:rsidRPr="00102859">
        <w:rPr>
          <w:bCs/>
          <w:i/>
          <w:iCs/>
        </w:rPr>
        <w:t>.</w:t>
      </w:r>
      <w:r w:rsidR="009F321B" w:rsidRPr="00102859">
        <w:rPr>
          <w:bCs/>
          <w:i/>
          <w:iCs/>
        </w:rPr>
        <w:t xml:space="preserve"> Submitted A.</w:t>
      </w:r>
    </w:p>
    <w:p w14:paraId="7019C65C" w14:textId="228D7D2A" w:rsidR="001B225E" w:rsidRPr="00102859" w:rsidRDefault="001B225E" w:rsidP="005C34DD">
      <w:pPr>
        <w:spacing w:line="480" w:lineRule="auto"/>
        <w:rPr>
          <w:bCs/>
        </w:rPr>
      </w:pPr>
      <w:r w:rsidRPr="00102859">
        <w:rPr>
          <w:bCs/>
        </w:rPr>
        <w:t>Beukes, E.W., Andersson, G., Fagelson, M., Manchaiah, V. Audiologist-</w:t>
      </w:r>
    </w:p>
    <w:p w14:paraId="27DBAC03" w14:textId="77777777" w:rsidR="001B225E" w:rsidRPr="00102859" w:rsidRDefault="001B225E" w:rsidP="005C34DD">
      <w:pPr>
        <w:spacing w:line="480" w:lineRule="auto"/>
        <w:ind w:firstLine="720"/>
        <w:rPr>
          <w:bCs/>
        </w:rPr>
      </w:pPr>
      <w:proofErr w:type="gramStart"/>
      <w:r w:rsidRPr="00102859">
        <w:rPr>
          <w:bCs/>
        </w:rPr>
        <w:t>supported</w:t>
      </w:r>
      <w:proofErr w:type="gramEnd"/>
      <w:r w:rsidRPr="00102859">
        <w:rPr>
          <w:bCs/>
        </w:rPr>
        <w:t xml:space="preserve"> Internet-based Cognitive </w:t>
      </w:r>
      <w:proofErr w:type="spellStart"/>
      <w:r w:rsidRPr="00102859">
        <w:rPr>
          <w:bCs/>
        </w:rPr>
        <w:t>Behavioral</w:t>
      </w:r>
      <w:proofErr w:type="spellEnd"/>
      <w:r w:rsidRPr="00102859">
        <w:rPr>
          <w:bCs/>
        </w:rPr>
        <w:t xml:space="preserve"> Therapy for Tinnitus in the United </w:t>
      </w:r>
    </w:p>
    <w:p w14:paraId="0FCABF4E" w14:textId="2C26F474" w:rsidR="001B225E" w:rsidRPr="00102859" w:rsidRDefault="001B225E" w:rsidP="005C34DD">
      <w:pPr>
        <w:spacing w:line="480" w:lineRule="auto"/>
        <w:ind w:firstLine="720"/>
        <w:rPr>
          <w:bCs/>
        </w:rPr>
      </w:pPr>
      <w:r w:rsidRPr="00102859">
        <w:rPr>
          <w:bCs/>
        </w:rPr>
        <w:t>States: A</w:t>
      </w:r>
      <w:r w:rsidR="00F04D4F" w:rsidRPr="00102859">
        <w:rPr>
          <w:bCs/>
        </w:rPr>
        <w:t xml:space="preserve"> Randomized Control Trial</w:t>
      </w:r>
      <w:r w:rsidRPr="00102859">
        <w:rPr>
          <w:bCs/>
        </w:rPr>
        <w:t>.</w:t>
      </w:r>
      <w:r w:rsidR="009F321B" w:rsidRPr="00102859">
        <w:rPr>
          <w:bCs/>
        </w:rPr>
        <w:t xml:space="preserve"> </w:t>
      </w:r>
      <w:r w:rsidR="009F321B" w:rsidRPr="00102859">
        <w:rPr>
          <w:bCs/>
          <w:i/>
          <w:iCs/>
        </w:rPr>
        <w:t>Submitted B.</w:t>
      </w:r>
    </w:p>
    <w:p w14:paraId="4EED151F" w14:textId="77777777" w:rsidR="00D05EB0" w:rsidRPr="00102859" w:rsidRDefault="0032412A" w:rsidP="005C34DD">
      <w:pPr>
        <w:spacing w:line="480" w:lineRule="auto"/>
        <w:rPr>
          <w:shd w:val="clear" w:color="auto" w:fill="FFFFFF"/>
        </w:rPr>
      </w:pPr>
      <w:proofErr w:type="spellStart"/>
      <w:r w:rsidRPr="00102859">
        <w:rPr>
          <w:shd w:val="clear" w:color="auto" w:fill="FFFFFF"/>
        </w:rPr>
        <w:t>Biesinger</w:t>
      </w:r>
      <w:proofErr w:type="spellEnd"/>
      <w:r w:rsidRPr="00102859">
        <w:rPr>
          <w:shd w:val="clear" w:color="auto" w:fill="FFFFFF"/>
        </w:rPr>
        <w:t xml:space="preserve">, E., </w:t>
      </w:r>
      <w:proofErr w:type="spellStart"/>
      <w:r w:rsidRPr="00102859">
        <w:rPr>
          <w:shd w:val="clear" w:color="auto" w:fill="FFFFFF"/>
        </w:rPr>
        <w:t>Kipman</w:t>
      </w:r>
      <w:proofErr w:type="spellEnd"/>
      <w:r w:rsidRPr="00102859">
        <w:rPr>
          <w:shd w:val="clear" w:color="auto" w:fill="FFFFFF"/>
        </w:rPr>
        <w:t xml:space="preserve">, U., </w:t>
      </w:r>
      <w:proofErr w:type="spellStart"/>
      <w:r w:rsidRPr="00102859">
        <w:rPr>
          <w:shd w:val="clear" w:color="auto" w:fill="FFFFFF"/>
        </w:rPr>
        <w:t>Schätz</w:t>
      </w:r>
      <w:proofErr w:type="spellEnd"/>
      <w:r w:rsidRPr="00102859">
        <w:rPr>
          <w:shd w:val="clear" w:color="auto" w:fill="FFFFFF"/>
        </w:rPr>
        <w:t xml:space="preserve">, S., &amp; </w:t>
      </w:r>
      <w:proofErr w:type="spellStart"/>
      <w:r w:rsidRPr="00102859">
        <w:rPr>
          <w:shd w:val="clear" w:color="auto" w:fill="FFFFFF"/>
        </w:rPr>
        <w:t>Langguth</w:t>
      </w:r>
      <w:proofErr w:type="spellEnd"/>
      <w:r w:rsidRPr="00102859">
        <w:rPr>
          <w:shd w:val="clear" w:color="auto" w:fill="FFFFFF"/>
        </w:rPr>
        <w:t xml:space="preserve">, B. (2010). Qigong for the treatment of </w:t>
      </w:r>
    </w:p>
    <w:p w14:paraId="36DAC0E0" w14:textId="089850D9" w:rsidR="00D05EB0" w:rsidRPr="00102859" w:rsidRDefault="0032412A" w:rsidP="005C34DD">
      <w:pPr>
        <w:spacing w:line="480" w:lineRule="auto"/>
        <w:ind w:firstLine="720"/>
        <w:rPr>
          <w:i/>
          <w:iCs/>
          <w:shd w:val="clear" w:color="auto" w:fill="FFFFFF"/>
        </w:rPr>
      </w:pPr>
      <w:proofErr w:type="gramStart"/>
      <w:r w:rsidRPr="00102859">
        <w:rPr>
          <w:shd w:val="clear" w:color="auto" w:fill="FFFFFF"/>
        </w:rPr>
        <w:t>tinnitus</w:t>
      </w:r>
      <w:proofErr w:type="gramEnd"/>
      <w:r w:rsidRPr="00102859">
        <w:rPr>
          <w:shd w:val="clear" w:color="auto" w:fill="FFFFFF"/>
        </w:rPr>
        <w:t xml:space="preserve">: A </w:t>
      </w:r>
      <w:proofErr w:type="spellStart"/>
      <w:r w:rsidRPr="00102859">
        <w:rPr>
          <w:shd w:val="clear" w:color="auto" w:fill="FFFFFF"/>
        </w:rPr>
        <w:t>prospectiverandomized</w:t>
      </w:r>
      <w:proofErr w:type="spellEnd"/>
      <w:r w:rsidRPr="00102859">
        <w:rPr>
          <w:shd w:val="clear" w:color="auto" w:fill="FFFFFF"/>
        </w:rPr>
        <w:t xml:space="preserve"> controlled study. </w:t>
      </w:r>
      <w:r w:rsidRPr="00102859">
        <w:rPr>
          <w:i/>
          <w:iCs/>
          <w:shd w:val="clear" w:color="auto" w:fill="FFFFFF"/>
        </w:rPr>
        <w:t xml:space="preserve">Journal of </w:t>
      </w:r>
      <w:r w:rsidR="00F064D8" w:rsidRPr="00102859">
        <w:rPr>
          <w:i/>
          <w:iCs/>
          <w:shd w:val="clear" w:color="auto" w:fill="FFFFFF"/>
        </w:rPr>
        <w:t>P</w:t>
      </w:r>
      <w:r w:rsidRPr="00102859">
        <w:rPr>
          <w:i/>
          <w:iCs/>
          <w:shd w:val="clear" w:color="auto" w:fill="FFFFFF"/>
        </w:rPr>
        <w:t xml:space="preserve">sychosomatic </w:t>
      </w:r>
    </w:p>
    <w:p w14:paraId="75F71C48" w14:textId="14FDFF0B" w:rsidR="0032412A" w:rsidRPr="00102859" w:rsidRDefault="00F064D8" w:rsidP="005C34DD">
      <w:pPr>
        <w:spacing w:line="480" w:lineRule="auto"/>
        <w:ind w:firstLine="720"/>
      </w:pPr>
      <w:r w:rsidRPr="00102859">
        <w:rPr>
          <w:i/>
          <w:iCs/>
          <w:shd w:val="clear" w:color="auto" w:fill="FFFFFF"/>
        </w:rPr>
        <w:t>R</w:t>
      </w:r>
      <w:r w:rsidR="0032412A" w:rsidRPr="00102859">
        <w:rPr>
          <w:i/>
          <w:iCs/>
          <w:shd w:val="clear" w:color="auto" w:fill="FFFFFF"/>
        </w:rPr>
        <w:t>esearch</w:t>
      </w:r>
      <w:r w:rsidR="0032412A" w:rsidRPr="00102859">
        <w:rPr>
          <w:shd w:val="clear" w:color="auto" w:fill="FFFFFF"/>
        </w:rPr>
        <w:t>, </w:t>
      </w:r>
      <w:r w:rsidR="0032412A" w:rsidRPr="00102859">
        <w:rPr>
          <w:i/>
          <w:iCs/>
          <w:shd w:val="clear" w:color="auto" w:fill="FFFFFF"/>
        </w:rPr>
        <w:t>69</w:t>
      </w:r>
      <w:r w:rsidR="0032412A" w:rsidRPr="00102859">
        <w:rPr>
          <w:shd w:val="clear" w:color="auto" w:fill="FFFFFF"/>
        </w:rPr>
        <w:t>(3), 299-304.</w:t>
      </w:r>
      <w:r w:rsidR="00C10BFF" w:rsidRPr="00102859">
        <w:rPr>
          <w:shd w:val="clear" w:color="auto" w:fill="FFFFFF"/>
        </w:rPr>
        <w:t xml:space="preserve"> https://doi.org/10.1016/j.jpsychores.2010.04.013</w:t>
      </w:r>
      <w:r w:rsidR="00C10BFF" w:rsidRPr="00102859">
        <w:t>.</w:t>
      </w:r>
    </w:p>
    <w:p w14:paraId="2404DAC9" w14:textId="77777777" w:rsidR="0032412A" w:rsidRPr="00102859" w:rsidRDefault="0032412A" w:rsidP="005C34DD">
      <w:pPr>
        <w:spacing w:line="480" w:lineRule="auto"/>
        <w:rPr>
          <w:shd w:val="clear" w:color="auto" w:fill="FFFFFF"/>
        </w:rPr>
      </w:pPr>
      <w:r w:rsidRPr="00102859">
        <w:rPr>
          <w:shd w:val="clear" w:color="auto" w:fill="FFFFFF"/>
        </w:rPr>
        <w:t xml:space="preserve">Bhatt, J. M., Lin, H. W., &amp; Bhattacharyya, N. (2016). Prevalence, Severity, Exposures, and </w:t>
      </w:r>
    </w:p>
    <w:p w14:paraId="694A28C2" w14:textId="77777777" w:rsidR="0032412A" w:rsidRPr="00102859" w:rsidRDefault="0032412A" w:rsidP="005C34DD">
      <w:pPr>
        <w:spacing w:line="480" w:lineRule="auto"/>
        <w:ind w:left="720"/>
      </w:pPr>
      <w:r w:rsidRPr="00102859">
        <w:rPr>
          <w:shd w:val="clear" w:color="auto" w:fill="FFFFFF"/>
        </w:rPr>
        <w:t>Treatment Patterns of Tinnitus in the United States. </w:t>
      </w:r>
      <w:r w:rsidRPr="00102859">
        <w:rPr>
          <w:i/>
          <w:iCs/>
          <w:shd w:val="clear" w:color="auto" w:fill="FFFFFF"/>
        </w:rPr>
        <w:t>JAMA Otolaryngology-- Head &amp; Neck Surgery</w:t>
      </w:r>
      <w:r w:rsidRPr="00102859">
        <w:rPr>
          <w:shd w:val="clear" w:color="auto" w:fill="FFFFFF"/>
        </w:rPr>
        <w:t>, </w:t>
      </w:r>
      <w:r w:rsidRPr="00102859">
        <w:rPr>
          <w:i/>
          <w:iCs/>
          <w:shd w:val="clear" w:color="auto" w:fill="FFFFFF"/>
        </w:rPr>
        <w:t>142</w:t>
      </w:r>
      <w:r w:rsidRPr="00102859">
        <w:rPr>
          <w:shd w:val="clear" w:color="auto" w:fill="FFFFFF"/>
        </w:rPr>
        <w:t>(10), 959–965. https://doi.org/10.1001/jamaoto.2016.1700</w:t>
      </w:r>
    </w:p>
    <w:p w14:paraId="5D0A8F37" w14:textId="77777777" w:rsidR="0032412A" w:rsidRPr="00102859" w:rsidRDefault="0032412A" w:rsidP="005C34DD">
      <w:pPr>
        <w:spacing w:line="480" w:lineRule="auto"/>
        <w:rPr>
          <w:shd w:val="clear" w:color="auto" w:fill="FFFFFF"/>
        </w:rPr>
      </w:pPr>
      <w:r w:rsidRPr="00102859">
        <w:rPr>
          <w:shd w:val="clear" w:color="auto" w:fill="FFFFFF"/>
        </w:rPr>
        <w:t xml:space="preserve">Clarke, N. A., </w:t>
      </w:r>
      <w:proofErr w:type="spellStart"/>
      <w:r w:rsidRPr="00102859">
        <w:rPr>
          <w:shd w:val="clear" w:color="auto" w:fill="FFFFFF"/>
        </w:rPr>
        <w:t>Henshaw</w:t>
      </w:r>
      <w:proofErr w:type="spellEnd"/>
      <w:r w:rsidRPr="00102859">
        <w:rPr>
          <w:shd w:val="clear" w:color="auto" w:fill="FFFFFF"/>
        </w:rPr>
        <w:t xml:space="preserve">, H., Akeroyd, M. A., Adams, B., &amp; Hoare, D. J. (2020). Associations </w:t>
      </w:r>
    </w:p>
    <w:p w14:paraId="1D172C39" w14:textId="47F69868" w:rsidR="0032412A" w:rsidRPr="00102859" w:rsidRDefault="0032412A" w:rsidP="005C34DD">
      <w:pPr>
        <w:spacing w:line="480" w:lineRule="auto"/>
        <w:ind w:left="720"/>
        <w:rPr>
          <w:shd w:val="clear" w:color="auto" w:fill="FFFFFF"/>
        </w:rPr>
      </w:pPr>
      <w:r w:rsidRPr="00102859">
        <w:rPr>
          <w:shd w:val="clear" w:color="auto" w:fill="FFFFFF"/>
        </w:rPr>
        <w:t>Between Subjective Tinnitus and Cognitive Performance: Systematic Review and Meta-Analyses. </w:t>
      </w:r>
      <w:r w:rsidRPr="00102859">
        <w:rPr>
          <w:i/>
          <w:iCs/>
          <w:shd w:val="clear" w:color="auto" w:fill="FFFFFF"/>
        </w:rPr>
        <w:t>Trends in Hearing</w:t>
      </w:r>
      <w:r w:rsidRPr="00102859">
        <w:rPr>
          <w:shd w:val="clear" w:color="auto" w:fill="FFFFFF"/>
        </w:rPr>
        <w:t>. </w:t>
      </w:r>
      <w:hyperlink r:id="rId25" w:history="1">
        <w:r w:rsidRPr="00102859">
          <w:rPr>
            <w:shd w:val="clear" w:color="auto" w:fill="FFFFFF"/>
          </w:rPr>
          <w:t>https://doi.org/10.1177/2331216520918416</w:t>
        </w:r>
      </w:hyperlink>
    </w:p>
    <w:p w14:paraId="1D0841FA" w14:textId="6394190B" w:rsidR="0032412A" w:rsidRPr="00102859" w:rsidRDefault="0032412A" w:rsidP="005C34DD">
      <w:pPr>
        <w:pStyle w:val="Bibliography"/>
        <w:spacing w:line="480" w:lineRule="auto"/>
        <w:ind w:left="720" w:hanging="720"/>
        <w:rPr>
          <w:noProof/>
        </w:rPr>
      </w:pPr>
      <w:r w:rsidRPr="00102859">
        <w:rPr>
          <w:noProof/>
        </w:rPr>
        <w:t xml:space="preserve">Cohen, J. (1992). A power primer. </w:t>
      </w:r>
      <w:r w:rsidRPr="00102859">
        <w:rPr>
          <w:i/>
          <w:iCs/>
          <w:noProof/>
        </w:rPr>
        <w:t>Psychological Bulletin, 112</w:t>
      </w:r>
      <w:r w:rsidRPr="00102859">
        <w:rPr>
          <w:noProof/>
        </w:rPr>
        <w:t>(1), 155-159.</w:t>
      </w:r>
      <w:r w:rsidRPr="00102859">
        <w:rPr>
          <w:shd w:val="clear" w:color="auto" w:fill="FFFFFF"/>
        </w:rPr>
        <w:t xml:space="preserve"> </w:t>
      </w:r>
      <w:hyperlink r:id="rId26" w:history="1">
        <w:r w:rsidRPr="00102859">
          <w:rPr>
            <w:rStyle w:val="Hyperlink"/>
            <w:noProof/>
            <w:color w:val="auto"/>
            <w:u w:val="none"/>
          </w:rPr>
          <w:t>http://doi:10.1037//0033-2909.112.1.155</w:t>
        </w:r>
      </w:hyperlink>
    </w:p>
    <w:p w14:paraId="24832808" w14:textId="77777777" w:rsidR="00D05EB0" w:rsidRPr="00102859" w:rsidRDefault="0032412A" w:rsidP="005C34DD">
      <w:pPr>
        <w:spacing w:line="480" w:lineRule="auto"/>
        <w:rPr>
          <w:shd w:val="clear" w:color="auto" w:fill="FFFFFF"/>
        </w:rPr>
      </w:pPr>
      <w:proofErr w:type="spellStart"/>
      <w:r w:rsidRPr="00102859">
        <w:rPr>
          <w:shd w:val="clear" w:color="auto" w:fill="FFFFFF"/>
        </w:rPr>
        <w:lastRenderedPageBreak/>
        <w:t>Cederroth</w:t>
      </w:r>
      <w:proofErr w:type="spellEnd"/>
      <w:r w:rsidRPr="00102859">
        <w:rPr>
          <w:shd w:val="clear" w:color="auto" w:fill="FFFFFF"/>
        </w:rPr>
        <w:t xml:space="preserve"> C, Gallus S, </w:t>
      </w:r>
      <w:proofErr w:type="gramStart"/>
      <w:r w:rsidRPr="00102859">
        <w:rPr>
          <w:shd w:val="clear" w:color="auto" w:fill="FFFFFF"/>
        </w:rPr>
        <w:t>Hall</w:t>
      </w:r>
      <w:proofErr w:type="gramEnd"/>
      <w:r w:rsidRPr="00102859">
        <w:rPr>
          <w:shd w:val="clear" w:color="auto" w:fill="FFFFFF"/>
        </w:rPr>
        <w:t xml:space="preserve"> D et al. Editorial: Towards an Understanding of Tinnitus </w:t>
      </w:r>
    </w:p>
    <w:p w14:paraId="54EAF367" w14:textId="4DA0B047" w:rsidR="0032412A" w:rsidRPr="00102859" w:rsidRDefault="0032412A" w:rsidP="005C34DD">
      <w:pPr>
        <w:spacing w:line="480" w:lineRule="auto"/>
        <w:ind w:firstLine="720"/>
      </w:pPr>
      <w:r w:rsidRPr="00102859">
        <w:rPr>
          <w:shd w:val="clear" w:color="auto" w:fill="FFFFFF"/>
        </w:rPr>
        <w:t>Heterogeneity. </w:t>
      </w:r>
      <w:r w:rsidRPr="00102859">
        <w:rPr>
          <w:i/>
          <w:iCs/>
          <w:shd w:val="clear" w:color="auto" w:fill="FFFFFF"/>
        </w:rPr>
        <w:t xml:space="preserve">Front Aging </w:t>
      </w:r>
      <w:proofErr w:type="spellStart"/>
      <w:r w:rsidRPr="00102859">
        <w:rPr>
          <w:i/>
          <w:iCs/>
          <w:shd w:val="clear" w:color="auto" w:fill="FFFFFF"/>
        </w:rPr>
        <w:t>Neurosci</w:t>
      </w:r>
      <w:proofErr w:type="spellEnd"/>
      <w:r w:rsidRPr="00102859">
        <w:rPr>
          <w:shd w:val="clear" w:color="auto" w:fill="FFFFFF"/>
        </w:rPr>
        <w:t>. 2019</w:t>
      </w:r>
      <w:proofErr w:type="gramStart"/>
      <w:r w:rsidRPr="00102859">
        <w:rPr>
          <w:shd w:val="clear" w:color="auto" w:fill="FFFFFF"/>
        </w:rPr>
        <w:t>;11</w:t>
      </w:r>
      <w:proofErr w:type="gramEnd"/>
      <w:r w:rsidRPr="00102859">
        <w:rPr>
          <w:shd w:val="clear" w:color="auto" w:fill="FFFFFF"/>
        </w:rPr>
        <w:t>. doi:10.3389/fnagi.2019.00053</w:t>
      </w:r>
    </w:p>
    <w:p w14:paraId="56D716E2" w14:textId="77777777" w:rsidR="00D05EB0" w:rsidRPr="00102859" w:rsidRDefault="0032412A" w:rsidP="005C34DD">
      <w:pPr>
        <w:spacing w:line="480" w:lineRule="auto"/>
        <w:rPr>
          <w:shd w:val="clear" w:color="auto" w:fill="FFFFFF"/>
          <w:lang w:val="sv-SE"/>
        </w:rPr>
      </w:pPr>
      <w:r w:rsidRPr="00102859">
        <w:rPr>
          <w:shd w:val="clear" w:color="auto" w:fill="FFFFFF"/>
          <w:lang w:val="sv-SE"/>
        </w:rPr>
        <w:t xml:space="preserve">Cima, R. F. F., Mazurek, B., Haider, H., Kikidis, D., Lapira, A., Noreña, A., &amp; Hoare, D. J. </w:t>
      </w:r>
    </w:p>
    <w:p w14:paraId="5245E41F" w14:textId="77777777" w:rsidR="00D05EB0" w:rsidRPr="00102859" w:rsidRDefault="0032412A" w:rsidP="005C34DD">
      <w:pPr>
        <w:spacing w:line="480" w:lineRule="auto"/>
        <w:ind w:firstLine="720"/>
        <w:rPr>
          <w:shd w:val="clear" w:color="auto" w:fill="FFFFFF"/>
        </w:rPr>
      </w:pPr>
      <w:r w:rsidRPr="00102859">
        <w:rPr>
          <w:shd w:val="clear" w:color="auto" w:fill="FFFFFF"/>
        </w:rPr>
        <w:t xml:space="preserve">(2019). </w:t>
      </w:r>
      <w:proofErr w:type="gramStart"/>
      <w:r w:rsidRPr="00102859">
        <w:rPr>
          <w:shd w:val="clear" w:color="auto" w:fill="FFFFFF"/>
        </w:rPr>
        <w:t>A</w:t>
      </w:r>
      <w:proofErr w:type="gramEnd"/>
      <w:r w:rsidRPr="00102859">
        <w:rPr>
          <w:shd w:val="clear" w:color="auto" w:fill="FFFFFF"/>
        </w:rPr>
        <w:t xml:space="preserve"> multidisciplinary European guideline for tinnitus: diagnostics, assessment, </w:t>
      </w:r>
    </w:p>
    <w:p w14:paraId="1A2C3672" w14:textId="4ABECFF4" w:rsidR="0032412A" w:rsidRPr="00102859" w:rsidRDefault="0032412A" w:rsidP="005C34DD">
      <w:pPr>
        <w:spacing w:line="480" w:lineRule="auto"/>
        <w:ind w:left="720" w:firstLine="720"/>
      </w:pPr>
      <w:proofErr w:type="gramStart"/>
      <w:r w:rsidRPr="00102859">
        <w:rPr>
          <w:shd w:val="clear" w:color="auto" w:fill="FFFFFF"/>
        </w:rPr>
        <w:t>and</w:t>
      </w:r>
      <w:proofErr w:type="gramEnd"/>
      <w:r w:rsidRPr="00102859">
        <w:rPr>
          <w:shd w:val="clear" w:color="auto" w:fill="FFFFFF"/>
        </w:rPr>
        <w:t xml:space="preserve"> treatment. </w:t>
      </w:r>
      <w:proofErr w:type="spellStart"/>
      <w:r w:rsidRPr="00102859">
        <w:rPr>
          <w:i/>
          <w:iCs/>
          <w:shd w:val="clear" w:color="auto" w:fill="FFFFFF"/>
        </w:rPr>
        <w:t>Hno</w:t>
      </w:r>
      <w:proofErr w:type="spellEnd"/>
      <w:r w:rsidRPr="00102859">
        <w:rPr>
          <w:shd w:val="clear" w:color="auto" w:fill="FFFFFF"/>
        </w:rPr>
        <w:t>, </w:t>
      </w:r>
      <w:r w:rsidRPr="00102859">
        <w:rPr>
          <w:i/>
          <w:iCs/>
          <w:shd w:val="clear" w:color="auto" w:fill="FFFFFF"/>
        </w:rPr>
        <w:t>67</w:t>
      </w:r>
      <w:r w:rsidRPr="00102859">
        <w:rPr>
          <w:shd w:val="clear" w:color="auto" w:fill="FFFFFF"/>
        </w:rPr>
        <w:t>(1), 10-42.</w:t>
      </w:r>
      <w:r w:rsidRPr="00102859">
        <w:t xml:space="preserve"> </w:t>
      </w:r>
      <w:hyperlink r:id="rId27" w:history="1">
        <w:r w:rsidRPr="00102859">
          <w:rPr>
            <w:rStyle w:val="Hyperlink"/>
            <w:color w:val="auto"/>
            <w:u w:val="none"/>
            <w:shd w:val="clear" w:color="auto" w:fill="FCFCFC"/>
          </w:rPr>
          <w:t>https://doi.org/10.1007/s00106-019-0633-7</w:t>
        </w:r>
      </w:hyperlink>
    </w:p>
    <w:p w14:paraId="5221A177" w14:textId="77777777" w:rsidR="00D05EB0" w:rsidRPr="00102859" w:rsidRDefault="0032412A" w:rsidP="005C34DD">
      <w:pPr>
        <w:spacing w:line="480" w:lineRule="auto"/>
        <w:rPr>
          <w:shd w:val="clear" w:color="auto" w:fill="FFFFFF"/>
        </w:rPr>
      </w:pPr>
      <w:proofErr w:type="spellStart"/>
      <w:r w:rsidRPr="00102859">
        <w:rPr>
          <w:shd w:val="clear" w:color="auto" w:fill="FFFFFF"/>
        </w:rPr>
        <w:t>Cima</w:t>
      </w:r>
      <w:proofErr w:type="spellEnd"/>
      <w:r w:rsidRPr="00102859">
        <w:rPr>
          <w:shd w:val="clear" w:color="auto" w:fill="FFFFFF"/>
        </w:rPr>
        <w:t xml:space="preserve">, R. F., </w:t>
      </w:r>
      <w:proofErr w:type="spellStart"/>
      <w:r w:rsidRPr="00102859">
        <w:rPr>
          <w:shd w:val="clear" w:color="auto" w:fill="FFFFFF"/>
        </w:rPr>
        <w:t>Maes</w:t>
      </w:r>
      <w:proofErr w:type="spellEnd"/>
      <w:r w:rsidRPr="00102859">
        <w:rPr>
          <w:shd w:val="clear" w:color="auto" w:fill="FFFFFF"/>
        </w:rPr>
        <w:t xml:space="preserve">, I. H., </w:t>
      </w:r>
      <w:proofErr w:type="spellStart"/>
      <w:r w:rsidRPr="00102859">
        <w:rPr>
          <w:shd w:val="clear" w:color="auto" w:fill="FFFFFF"/>
        </w:rPr>
        <w:t>Joore</w:t>
      </w:r>
      <w:proofErr w:type="spellEnd"/>
      <w:r w:rsidRPr="00102859">
        <w:rPr>
          <w:shd w:val="clear" w:color="auto" w:fill="FFFFFF"/>
        </w:rPr>
        <w:t xml:space="preserve">, M. A., </w:t>
      </w:r>
      <w:proofErr w:type="spellStart"/>
      <w:r w:rsidRPr="00102859">
        <w:rPr>
          <w:shd w:val="clear" w:color="auto" w:fill="FFFFFF"/>
        </w:rPr>
        <w:t>Scheyen</w:t>
      </w:r>
      <w:proofErr w:type="spellEnd"/>
      <w:r w:rsidRPr="00102859">
        <w:rPr>
          <w:shd w:val="clear" w:color="auto" w:fill="FFFFFF"/>
        </w:rPr>
        <w:t xml:space="preserve">, D. J., El </w:t>
      </w:r>
      <w:proofErr w:type="spellStart"/>
      <w:r w:rsidRPr="00102859">
        <w:rPr>
          <w:shd w:val="clear" w:color="auto" w:fill="FFFFFF"/>
        </w:rPr>
        <w:t>Refaie</w:t>
      </w:r>
      <w:proofErr w:type="spellEnd"/>
      <w:r w:rsidRPr="00102859">
        <w:rPr>
          <w:shd w:val="clear" w:color="auto" w:fill="FFFFFF"/>
        </w:rPr>
        <w:t xml:space="preserve">, A., Baguley, D. </w:t>
      </w:r>
      <w:proofErr w:type="gramStart"/>
      <w:r w:rsidRPr="00102859">
        <w:rPr>
          <w:shd w:val="clear" w:color="auto" w:fill="FFFFFF"/>
        </w:rPr>
        <w:t>M., ...</w:t>
      </w:r>
      <w:proofErr w:type="gramEnd"/>
      <w:r w:rsidRPr="00102859">
        <w:rPr>
          <w:shd w:val="clear" w:color="auto" w:fill="FFFFFF"/>
        </w:rPr>
        <w:t xml:space="preserve"> &amp; </w:t>
      </w:r>
    </w:p>
    <w:p w14:paraId="74F4835E" w14:textId="77777777" w:rsidR="00D05EB0" w:rsidRPr="00102859" w:rsidRDefault="0032412A" w:rsidP="005C34DD">
      <w:pPr>
        <w:spacing w:line="480" w:lineRule="auto"/>
        <w:ind w:firstLine="720"/>
        <w:rPr>
          <w:shd w:val="clear" w:color="auto" w:fill="FFFFFF"/>
        </w:rPr>
      </w:pPr>
      <w:proofErr w:type="spellStart"/>
      <w:r w:rsidRPr="00102859">
        <w:rPr>
          <w:shd w:val="clear" w:color="auto" w:fill="FFFFFF"/>
        </w:rPr>
        <w:t>Vlaeyen</w:t>
      </w:r>
      <w:proofErr w:type="spellEnd"/>
      <w:r w:rsidRPr="00102859">
        <w:rPr>
          <w:shd w:val="clear" w:color="auto" w:fill="FFFFFF"/>
        </w:rPr>
        <w:t xml:space="preserve">, J. W. (2012). Specialised treatment based on cognitive behaviour therapy </w:t>
      </w:r>
    </w:p>
    <w:p w14:paraId="626FB443" w14:textId="1A43F934" w:rsidR="0032412A" w:rsidRPr="00102859" w:rsidRDefault="0032412A" w:rsidP="005C34DD">
      <w:pPr>
        <w:spacing w:line="480" w:lineRule="auto"/>
        <w:ind w:left="720"/>
      </w:pPr>
      <w:proofErr w:type="gramStart"/>
      <w:r w:rsidRPr="00102859">
        <w:rPr>
          <w:shd w:val="clear" w:color="auto" w:fill="FFFFFF"/>
        </w:rPr>
        <w:t>versus</w:t>
      </w:r>
      <w:proofErr w:type="gramEnd"/>
      <w:r w:rsidRPr="00102859">
        <w:rPr>
          <w:shd w:val="clear" w:color="auto" w:fill="FFFFFF"/>
        </w:rPr>
        <w:t xml:space="preserve"> usual care for tinnitus: a randomised controlled trial. </w:t>
      </w:r>
      <w:r w:rsidRPr="00102859">
        <w:rPr>
          <w:i/>
          <w:iCs/>
          <w:shd w:val="clear" w:color="auto" w:fill="FFFFFF"/>
        </w:rPr>
        <w:t>The Lancet</w:t>
      </w:r>
      <w:r w:rsidRPr="00102859">
        <w:rPr>
          <w:shd w:val="clear" w:color="auto" w:fill="FFFFFF"/>
        </w:rPr>
        <w:t>, </w:t>
      </w:r>
      <w:r w:rsidRPr="00102859">
        <w:rPr>
          <w:i/>
          <w:iCs/>
          <w:shd w:val="clear" w:color="auto" w:fill="FFFFFF"/>
        </w:rPr>
        <w:t>379</w:t>
      </w:r>
      <w:r w:rsidRPr="00102859">
        <w:rPr>
          <w:shd w:val="clear" w:color="auto" w:fill="FFFFFF"/>
        </w:rPr>
        <w:t>(9830), 1951-1959.</w:t>
      </w:r>
      <w:r w:rsidRPr="00102859">
        <w:t xml:space="preserve"> </w:t>
      </w:r>
      <w:hyperlink r:id="rId28" w:tgtFrame="_blank" w:tooltip="Persistent link using digital object identifier" w:history="1">
        <w:r w:rsidRPr="00102859">
          <w:rPr>
            <w:rStyle w:val="Hyperlink"/>
            <w:color w:val="auto"/>
            <w:u w:val="none"/>
          </w:rPr>
          <w:t>https://doi.org/10.1016/S0140-6736(12)60469-3</w:t>
        </w:r>
      </w:hyperlink>
    </w:p>
    <w:p w14:paraId="72635EF4" w14:textId="77777777" w:rsidR="0032412A" w:rsidRPr="00102859" w:rsidRDefault="0032412A" w:rsidP="005C34DD">
      <w:pPr>
        <w:spacing w:line="480" w:lineRule="auto"/>
        <w:rPr>
          <w:shd w:val="clear" w:color="auto" w:fill="FFFFFF"/>
        </w:rPr>
      </w:pPr>
      <w:r w:rsidRPr="00102859">
        <w:rPr>
          <w:shd w:val="clear" w:color="auto" w:fill="FFFFFF"/>
        </w:rPr>
        <w:t xml:space="preserve">Clarke, N. A., </w:t>
      </w:r>
      <w:proofErr w:type="spellStart"/>
      <w:r w:rsidRPr="00102859">
        <w:rPr>
          <w:shd w:val="clear" w:color="auto" w:fill="FFFFFF"/>
        </w:rPr>
        <w:t>Henshaw</w:t>
      </w:r>
      <w:proofErr w:type="spellEnd"/>
      <w:r w:rsidRPr="00102859">
        <w:rPr>
          <w:shd w:val="clear" w:color="auto" w:fill="FFFFFF"/>
        </w:rPr>
        <w:t xml:space="preserve">, H., Akeroyd, M. A., Adams, B., &amp; Hoare, D. J. (2020). Associations </w:t>
      </w:r>
    </w:p>
    <w:p w14:paraId="693EB711" w14:textId="77777777" w:rsidR="0032412A" w:rsidRPr="00102859" w:rsidRDefault="0032412A" w:rsidP="005C34DD">
      <w:pPr>
        <w:spacing w:line="480" w:lineRule="auto"/>
        <w:ind w:left="720"/>
        <w:rPr>
          <w:shd w:val="clear" w:color="auto" w:fill="FFFFFF"/>
          <w:lang w:val="sv-SE"/>
        </w:rPr>
      </w:pPr>
      <w:r w:rsidRPr="00102859">
        <w:rPr>
          <w:shd w:val="clear" w:color="auto" w:fill="FFFFFF"/>
        </w:rPr>
        <w:t>Between Subjective Tinnitus and Cognitive Performance: Systematic Review and Meta-Analyses. </w:t>
      </w:r>
      <w:r w:rsidRPr="00102859">
        <w:rPr>
          <w:i/>
          <w:iCs/>
          <w:shd w:val="clear" w:color="auto" w:fill="FFFFFF"/>
          <w:lang w:val="sv-SE"/>
        </w:rPr>
        <w:t>Trends in Hearing</w:t>
      </w:r>
      <w:r w:rsidRPr="00102859">
        <w:rPr>
          <w:shd w:val="clear" w:color="auto" w:fill="FFFFFF"/>
          <w:lang w:val="sv-SE"/>
        </w:rPr>
        <w:t>. </w:t>
      </w:r>
      <w:r w:rsidR="00102859" w:rsidRPr="00102859">
        <w:fldChar w:fldCharType="begin"/>
      </w:r>
      <w:r w:rsidR="00102859" w:rsidRPr="00102859">
        <w:instrText xml:space="preserve"> HYPERLINK "https://doi.org/10.1177/2331216520918416" </w:instrText>
      </w:r>
      <w:r w:rsidR="00102859" w:rsidRPr="00102859">
        <w:fldChar w:fldCharType="separate"/>
      </w:r>
      <w:r w:rsidRPr="00102859">
        <w:rPr>
          <w:shd w:val="clear" w:color="auto" w:fill="FFFFFF"/>
          <w:lang w:val="sv-SE"/>
        </w:rPr>
        <w:t>https://doi.org/10.1177/2331216520918416</w:t>
      </w:r>
      <w:r w:rsidR="00102859" w:rsidRPr="00102859">
        <w:rPr>
          <w:shd w:val="clear" w:color="auto" w:fill="FFFFFF"/>
          <w:lang w:val="sv-SE"/>
        </w:rPr>
        <w:fldChar w:fldCharType="end"/>
      </w:r>
    </w:p>
    <w:p w14:paraId="135FB8B5" w14:textId="77777777" w:rsidR="00D05EB0" w:rsidRPr="00102859" w:rsidRDefault="0032412A" w:rsidP="005C34DD">
      <w:pPr>
        <w:spacing w:line="480" w:lineRule="auto"/>
        <w:rPr>
          <w:shd w:val="clear" w:color="auto" w:fill="FFFFFF"/>
        </w:rPr>
      </w:pPr>
      <w:r w:rsidRPr="00102859">
        <w:rPr>
          <w:shd w:val="clear" w:color="auto" w:fill="FFFFFF"/>
          <w:lang w:val="sv-SE"/>
        </w:rPr>
        <w:t xml:space="preserve">Davies, S., McKenna, L., &amp; Hallam, R. S. (1995). </w:t>
      </w:r>
      <w:r w:rsidRPr="00102859">
        <w:rPr>
          <w:shd w:val="clear" w:color="auto" w:fill="FFFFFF"/>
        </w:rPr>
        <w:t xml:space="preserve">Relaxation and cognitive therapy: a </w:t>
      </w:r>
    </w:p>
    <w:p w14:paraId="331091E2" w14:textId="7F0C289D" w:rsidR="0032412A" w:rsidRPr="00102859" w:rsidRDefault="0032412A" w:rsidP="005C34DD">
      <w:pPr>
        <w:spacing w:line="480" w:lineRule="auto"/>
        <w:ind w:firstLine="720"/>
        <w:rPr>
          <w:shd w:val="clear" w:color="auto" w:fill="FFFFFF"/>
        </w:rPr>
      </w:pPr>
      <w:proofErr w:type="gramStart"/>
      <w:r w:rsidRPr="00102859">
        <w:rPr>
          <w:shd w:val="clear" w:color="auto" w:fill="FFFFFF"/>
        </w:rPr>
        <w:t>controlled</w:t>
      </w:r>
      <w:proofErr w:type="gramEnd"/>
      <w:r w:rsidRPr="00102859">
        <w:rPr>
          <w:shd w:val="clear" w:color="auto" w:fill="FFFFFF"/>
        </w:rPr>
        <w:t xml:space="preserve"> trial in chronic tinnitus. </w:t>
      </w:r>
      <w:r w:rsidRPr="00102859">
        <w:rPr>
          <w:i/>
          <w:iCs/>
          <w:shd w:val="clear" w:color="auto" w:fill="FFFFFF"/>
        </w:rPr>
        <w:t>Psychology and Health</w:t>
      </w:r>
      <w:r w:rsidRPr="00102859">
        <w:rPr>
          <w:shd w:val="clear" w:color="auto" w:fill="FFFFFF"/>
        </w:rPr>
        <w:t>, </w:t>
      </w:r>
      <w:r w:rsidRPr="00102859">
        <w:rPr>
          <w:i/>
          <w:iCs/>
          <w:shd w:val="clear" w:color="auto" w:fill="FFFFFF"/>
        </w:rPr>
        <w:t>10</w:t>
      </w:r>
      <w:r w:rsidRPr="00102859">
        <w:rPr>
          <w:shd w:val="clear" w:color="auto" w:fill="FFFFFF"/>
        </w:rPr>
        <w:t>(2), 129-143.</w:t>
      </w:r>
    </w:p>
    <w:p w14:paraId="1F916574" w14:textId="77777777" w:rsidR="00973F18" w:rsidRPr="00102859" w:rsidRDefault="00973F18" w:rsidP="005C34DD">
      <w:pPr>
        <w:spacing w:line="480" w:lineRule="auto"/>
        <w:rPr>
          <w:shd w:val="clear" w:color="auto" w:fill="FFFFFF"/>
        </w:rPr>
      </w:pPr>
      <w:proofErr w:type="spellStart"/>
      <w:r w:rsidRPr="00102859">
        <w:rPr>
          <w:shd w:val="clear" w:color="auto" w:fill="FFFFFF"/>
        </w:rPr>
        <w:t>Dimidjian</w:t>
      </w:r>
      <w:proofErr w:type="spellEnd"/>
      <w:r w:rsidRPr="00102859">
        <w:rPr>
          <w:shd w:val="clear" w:color="auto" w:fill="FFFFFF"/>
        </w:rPr>
        <w:t xml:space="preserve">, S., </w:t>
      </w:r>
      <w:proofErr w:type="spellStart"/>
      <w:r w:rsidRPr="00102859">
        <w:rPr>
          <w:shd w:val="clear" w:color="auto" w:fill="FFFFFF"/>
        </w:rPr>
        <w:t>Hollon</w:t>
      </w:r>
      <w:proofErr w:type="spellEnd"/>
      <w:r w:rsidRPr="00102859">
        <w:rPr>
          <w:shd w:val="clear" w:color="auto" w:fill="FFFFFF"/>
        </w:rPr>
        <w:t xml:space="preserve">, S. D., Dobson, K. S., </w:t>
      </w:r>
      <w:proofErr w:type="spellStart"/>
      <w:r w:rsidRPr="00102859">
        <w:rPr>
          <w:shd w:val="clear" w:color="auto" w:fill="FFFFFF"/>
        </w:rPr>
        <w:t>Schmaling</w:t>
      </w:r>
      <w:proofErr w:type="spellEnd"/>
      <w:r w:rsidRPr="00102859">
        <w:rPr>
          <w:shd w:val="clear" w:color="auto" w:fill="FFFFFF"/>
        </w:rPr>
        <w:t xml:space="preserve">, K. B., </w:t>
      </w:r>
      <w:proofErr w:type="spellStart"/>
      <w:r w:rsidRPr="00102859">
        <w:rPr>
          <w:shd w:val="clear" w:color="auto" w:fill="FFFFFF"/>
        </w:rPr>
        <w:t>Kohlenberg</w:t>
      </w:r>
      <w:proofErr w:type="spellEnd"/>
      <w:r w:rsidRPr="00102859">
        <w:rPr>
          <w:shd w:val="clear" w:color="auto" w:fill="FFFFFF"/>
        </w:rPr>
        <w:t xml:space="preserve">, R. J., Addis, M. </w:t>
      </w:r>
    </w:p>
    <w:p w14:paraId="107EFA8F" w14:textId="49B84453" w:rsidR="00973F18" w:rsidRPr="00102859" w:rsidRDefault="00973F18" w:rsidP="005C34DD">
      <w:pPr>
        <w:spacing w:line="480" w:lineRule="auto"/>
        <w:ind w:left="720"/>
      </w:pPr>
      <w:r w:rsidRPr="00102859">
        <w:rPr>
          <w:shd w:val="clear" w:color="auto" w:fill="FFFFFF"/>
        </w:rPr>
        <w:t xml:space="preserve">E., Gallop, R., </w:t>
      </w:r>
      <w:proofErr w:type="spellStart"/>
      <w:r w:rsidRPr="00102859">
        <w:rPr>
          <w:shd w:val="clear" w:color="auto" w:fill="FFFFFF"/>
        </w:rPr>
        <w:t>McGlinchey</w:t>
      </w:r>
      <w:proofErr w:type="spellEnd"/>
      <w:r w:rsidRPr="00102859">
        <w:rPr>
          <w:shd w:val="clear" w:color="auto" w:fill="FFFFFF"/>
        </w:rPr>
        <w:t xml:space="preserve">, J. B., Markley, D. K., </w:t>
      </w:r>
      <w:proofErr w:type="spellStart"/>
      <w:r w:rsidRPr="00102859">
        <w:rPr>
          <w:shd w:val="clear" w:color="auto" w:fill="FFFFFF"/>
        </w:rPr>
        <w:t>Gollan</w:t>
      </w:r>
      <w:proofErr w:type="spellEnd"/>
      <w:r w:rsidRPr="00102859">
        <w:rPr>
          <w:shd w:val="clear" w:color="auto" w:fill="FFFFFF"/>
        </w:rPr>
        <w:t xml:space="preserve">, J. K., Atkins, D. C., </w:t>
      </w:r>
      <w:proofErr w:type="spellStart"/>
      <w:r w:rsidRPr="00102859">
        <w:rPr>
          <w:shd w:val="clear" w:color="auto" w:fill="FFFFFF"/>
        </w:rPr>
        <w:t>Dunner</w:t>
      </w:r>
      <w:proofErr w:type="spellEnd"/>
      <w:r w:rsidRPr="00102859">
        <w:rPr>
          <w:shd w:val="clear" w:color="auto" w:fill="FFFFFF"/>
        </w:rPr>
        <w:t xml:space="preserve">, D. L., &amp; Jacobson, N. S. (2006). Randomized trial of </w:t>
      </w:r>
      <w:proofErr w:type="spellStart"/>
      <w:r w:rsidRPr="00102859">
        <w:rPr>
          <w:shd w:val="clear" w:color="auto" w:fill="FFFFFF"/>
        </w:rPr>
        <w:t>behavioral</w:t>
      </w:r>
      <w:proofErr w:type="spellEnd"/>
      <w:r w:rsidRPr="00102859">
        <w:rPr>
          <w:shd w:val="clear" w:color="auto" w:fill="FFFFFF"/>
        </w:rPr>
        <w:t xml:space="preserve"> activation, cognitive therapy, and antidepressant medication in the acute treatment of adults with major depression. </w:t>
      </w:r>
      <w:r w:rsidRPr="00102859">
        <w:rPr>
          <w:i/>
          <w:iCs/>
          <w:shd w:val="clear" w:color="auto" w:fill="FFFFFF"/>
        </w:rPr>
        <w:t>Journal of consulting and clinical psychology</w:t>
      </w:r>
      <w:r w:rsidRPr="00102859">
        <w:rPr>
          <w:shd w:val="clear" w:color="auto" w:fill="FFFFFF"/>
        </w:rPr>
        <w:t>, </w:t>
      </w:r>
      <w:r w:rsidRPr="00102859">
        <w:rPr>
          <w:i/>
          <w:iCs/>
          <w:shd w:val="clear" w:color="auto" w:fill="FFFFFF"/>
        </w:rPr>
        <w:t>74</w:t>
      </w:r>
      <w:r w:rsidRPr="00102859">
        <w:rPr>
          <w:shd w:val="clear" w:color="auto" w:fill="FFFFFF"/>
        </w:rPr>
        <w:t>(4), 658–670. https://doi.org/10.1037/0022-006X.74.4.658</w:t>
      </w:r>
    </w:p>
    <w:p w14:paraId="5E9C86D6" w14:textId="77777777" w:rsidR="00D05EB0" w:rsidRPr="00102859" w:rsidRDefault="0032412A" w:rsidP="005C34DD">
      <w:pPr>
        <w:spacing w:line="480" w:lineRule="auto"/>
        <w:rPr>
          <w:shd w:val="clear" w:color="auto" w:fill="FFFFFF"/>
        </w:rPr>
      </w:pPr>
      <w:proofErr w:type="spellStart"/>
      <w:r w:rsidRPr="00102859">
        <w:rPr>
          <w:shd w:val="clear" w:color="auto" w:fill="FFFFFF"/>
        </w:rPr>
        <w:t>Donegan</w:t>
      </w:r>
      <w:proofErr w:type="spellEnd"/>
      <w:r w:rsidRPr="00102859">
        <w:rPr>
          <w:shd w:val="clear" w:color="auto" w:fill="FFFFFF"/>
        </w:rPr>
        <w:t xml:space="preserve">, E., &amp; </w:t>
      </w:r>
      <w:proofErr w:type="spellStart"/>
      <w:r w:rsidRPr="00102859">
        <w:rPr>
          <w:shd w:val="clear" w:color="auto" w:fill="FFFFFF"/>
        </w:rPr>
        <w:t>Dugas</w:t>
      </w:r>
      <w:proofErr w:type="spellEnd"/>
      <w:r w:rsidRPr="00102859">
        <w:rPr>
          <w:shd w:val="clear" w:color="auto" w:fill="FFFFFF"/>
        </w:rPr>
        <w:t xml:space="preserve">, M. J. (2012). Generalized anxiety disorder: A comparison of </w:t>
      </w:r>
    </w:p>
    <w:p w14:paraId="5FF6526E" w14:textId="2DDE0B10" w:rsidR="0032412A" w:rsidRPr="00102859" w:rsidRDefault="0032412A" w:rsidP="005C34DD">
      <w:pPr>
        <w:spacing w:line="480" w:lineRule="auto"/>
        <w:ind w:left="720"/>
      </w:pPr>
      <w:proofErr w:type="gramStart"/>
      <w:r w:rsidRPr="00102859">
        <w:rPr>
          <w:shd w:val="clear" w:color="auto" w:fill="FFFFFF"/>
        </w:rPr>
        <w:t>symptom</w:t>
      </w:r>
      <w:proofErr w:type="gramEnd"/>
      <w:r w:rsidRPr="00102859">
        <w:rPr>
          <w:shd w:val="clear" w:color="auto" w:fill="FFFFFF"/>
        </w:rPr>
        <w:t xml:space="preserve"> change in adults receiving cognitive-</w:t>
      </w:r>
      <w:proofErr w:type="spellStart"/>
      <w:r w:rsidRPr="00102859">
        <w:rPr>
          <w:shd w:val="clear" w:color="auto" w:fill="FFFFFF"/>
        </w:rPr>
        <w:t>behavioral</w:t>
      </w:r>
      <w:proofErr w:type="spellEnd"/>
      <w:r w:rsidRPr="00102859">
        <w:rPr>
          <w:shd w:val="clear" w:color="auto" w:fill="FFFFFF"/>
        </w:rPr>
        <w:t xml:space="preserve"> therapy or applied relaxation. </w:t>
      </w:r>
      <w:r w:rsidRPr="00102859">
        <w:rPr>
          <w:rStyle w:val="Emphasis"/>
          <w:shd w:val="clear" w:color="auto" w:fill="FFFFFF"/>
        </w:rPr>
        <w:t>Journal of Consulting and Clinical Psychology, 80</w:t>
      </w:r>
      <w:r w:rsidRPr="00102859">
        <w:rPr>
          <w:shd w:val="clear" w:color="auto" w:fill="FFFFFF"/>
        </w:rPr>
        <w:t>(3), 490–496. </w:t>
      </w:r>
      <w:hyperlink r:id="rId29" w:tgtFrame="_blank" w:history="1">
        <w:r w:rsidRPr="00102859">
          <w:rPr>
            <w:rStyle w:val="Emphasis"/>
            <w:i w:val="0"/>
            <w:iCs w:val="0"/>
            <w:shd w:val="clear" w:color="auto" w:fill="FFFFFF"/>
          </w:rPr>
          <w:t>https://doi.org/10.1037/a0028132</w:t>
        </w:r>
      </w:hyperlink>
    </w:p>
    <w:p w14:paraId="07C5299F" w14:textId="77777777" w:rsidR="0032412A" w:rsidRPr="00102859" w:rsidRDefault="0032412A" w:rsidP="005C34DD">
      <w:pPr>
        <w:spacing w:line="480" w:lineRule="auto"/>
        <w:textAlignment w:val="baseline"/>
      </w:pPr>
      <w:proofErr w:type="spellStart"/>
      <w:r w:rsidRPr="00102859">
        <w:t>Eysenbach</w:t>
      </w:r>
      <w:proofErr w:type="spellEnd"/>
      <w:r w:rsidRPr="00102859">
        <w:t xml:space="preserve"> G, CONSORT-EHEALTH Group CONSORT-EHEALTH (2011). Improving and </w:t>
      </w:r>
    </w:p>
    <w:p w14:paraId="31DA5C34" w14:textId="77777777" w:rsidR="0032412A" w:rsidRPr="00102859" w:rsidRDefault="0032412A" w:rsidP="005C34DD">
      <w:pPr>
        <w:spacing w:line="480" w:lineRule="auto"/>
        <w:ind w:firstLine="720"/>
        <w:textAlignment w:val="baseline"/>
      </w:pPr>
      <w:r w:rsidRPr="00102859">
        <w:lastRenderedPageBreak/>
        <w:t xml:space="preserve">Standardizing Evaluation Reports of Web-based and Mobile Health Interventions. </w:t>
      </w:r>
    </w:p>
    <w:p w14:paraId="21100D83" w14:textId="77777777" w:rsidR="0032412A" w:rsidRPr="00102859" w:rsidRDefault="0032412A" w:rsidP="005C34DD">
      <w:pPr>
        <w:spacing w:line="480" w:lineRule="auto"/>
        <w:ind w:firstLine="720"/>
        <w:textAlignment w:val="baseline"/>
      </w:pPr>
      <w:r w:rsidRPr="00102859">
        <w:rPr>
          <w:i/>
          <w:iCs/>
        </w:rPr>
        <w:t>Journal of Medical Internet Research</w:t>
      </w:r>
      <w:proofErr w:type="gramStart"/>
      <w:r w:rsidRPr="00102859">
        <w:t>;13</w:t>
      </w:r>
      <w:proofErr w:type="gramEnd"/>
      <w:r w:rsidRPr="00102859">
        <w:t xml:space="preserve">(4):e126. </w:t>
      </w:r>
      <w:proofErr w:type="gramStart"/>
      <w:r w:rsidRPr="00102859">
        <w:t>hppt</w:t>
      </w:r>
      <w:proofErr w:type="gramEnd"/>
      <w:r w:rsidRPr="00102859">
        <w:t>://doi: </w:t>
      </w:r>
      <w:hyperlink r:id="rId30" w:history="1">
        <w:r w:rsidRPr="00102859">
          <w:rPr>
            <w:rStyle w:val="Emphasis"/>
            <w:bdr w:val="none" w:sz="0" w:space="0" w:color="auto" w:frame="1"/>
          </w:rPr>
          <w:t>10.2196/jmir.1923</w:t>
        </w:r>
      </w:hyperlink>
    </w:p>
    <w:p w14:paraId="7FE30D2A" w14:textId="77777777" w:rsidR="0032412A" w:rsidRPr="00102859" w:rsidRDefault="0032412A" w:rsidP="005C34DD">
      <w:pPr>
        <w:spacing w:line="480" w:lineRule="auto"/>
        <w:rPr>
          <w:shd w:val="clear" w:color="auto" w:fill="FFFFFF"/>
        </w:rPr>
      </w:pPr>
      <w:r w:rsidRPr="00102859">
        <w:rPr>
          <w:shd w:val="clear" w:color="auto" w:fill="FFFFFF"/>
          <w:lang w:val="sv-SE"/>
        </w:rPr>
        <w:t xml:space="preserve">Faul, F., Erdfelder, E., Buchner, A., &amp; Lang, A. G. (2009). </w:t>
      </w:r>
      <w:r w:rsidRPr="00102859">
        <w:rPr>
          <w:shd w:val="clear" w:color="auto" w:fill="FFFFFF"/>
        </w:rPr>
        <w:t xml:space="preserve">Statistical power analyses using </w:t>
      </w:r>
    </w:p>
    <w:p w14:paraId="447CF566" w14:textId="77777777" w:rsidR="0032412A" w:rsidRPr="00102859" w:rsidRDefault="0032412A" w:rsidP="005C34DD">
      <w:pPr>
        <w:spacing w:line="480" w:lineRule="auto"/>
        <w:ind w:firstLine="720"/>
        <w:rPr>
          <w:i/>
          <w:iCs/>
          <w:shd w:val="clear" w:color="auto" w:fill="FFFFFF"/>
        </w:rPr>
      </w:pPr>
      <w:r w:rsidRPr="00102859">
        <w:rPr>
          <w:shd w:val="clear" w:color="auto" w:fill="FFFFFF"/>
        </w:rPr>
        <w:t>G* Power 3.1: Tests for correlation and regression analyses. </w:t>
      </w:r>
      <w:proofErr w:type="spellStart"/>
      <w:r w:rsidRPr="00102859">
        <w:rPr>
          <w:i/>
          <w:iCs/>
          <w:shd w:val="clear" w:color="auto" w:fill="FFFFFF"/>
        </w:rPr>
        <w:t>Behavior</w:t>
      </w:r>
      <w:proofErr w:type="spellEnd"/>
      <w:r w:rsidRPr="00102859">
        <w:rPr>
          <w:i/>
          <w:iCs/>
          <w:shd w:val="clear" w:color="auto" w:fill="FFFFFF"/>
        </w:rPr>
        <w:t xml:space="preserve"> Research </w:t>
      </w:r>
    </w:p>
    <w:p w14:paraId="08DF2EB0" w14:textId="77777777" w:rsidR="0032412A" w:rsidRPr="00102859" w:rsidRDefault="0032412A" w:rsidP="005C34DD">
      <w:pPr>
        <w:spacing w:line="480" w:lineRule="auto"/>
        <w:ind w:firstLine="720"/>
      </w:pPr>
      <w:r w:rsidRPr="00102859">
        <w:rPr>
          <w:i/>
          <w:iCs/>
          <w:shd w:val="clear" w:color="auto" w:fill="FFFFFF"/>
        </w:rPr>
        <w:t>Methods</w:t>
      </w:r>
      <w:r w:rsidRPr="00102859">
        <w:rPr>
          <w:shd w:val="clear" w:color="auto" w:fill="FFFFFF"/>
        </w:rPr>
        <w:t>, </w:t>
      </w:r>
      <w:r w:rsidRPr="00102859">
        <w:rPr>
          <w:i/>
          <w:iCs/>
          <w:shd w:val="clear" w:color="auto" w:fill="FFFFFF"/>
        </w:rPr>
        <w:t>41</w:t>
      </w:r>
      <w:r w:rsidRPr="00102859">
        <w:rPr>
          <w:shd w:val="clear" w:color="auto" w:fill="FFFFFF"/>
        </w:rPr>
        <w:t>(4), 1149-1160.</w:t>
      </w:r>
      <w:r w:rsidRPr="00102859">
        <w:rPr>
          <w:shd w:val="clear" w:color="auto" w:fill="FCFCFC"/>
        </w:rPr>
        <w:t xml:space="preserve"> https://doi.org/10.3758/BRM.41.4.1149</w:t>
      </w:r>
    </w:p>
    <w:p w14:paraId="750EC73D" w14:textId="77777777" w:rsidR="0032412A" w:rsidRPr="00102859" w:rsidRDefault="0032412A" w:rsidP="005C34DD">
      <w:pPr>
        <w:spacing w:line="480" w:lineRule="auto"/>
        <w:ind w:left="720" w:hanging="720"/>
        <w:rPr>
          <w:rFonts w:eastAsiaTheme="minorHAnsi"/>
          <w:noProof/>
        </w:rPr>
      </w:pPr>
      <w:r w:rsidRPr="00102859">
        <w:rPr>
          <w:noProof/>
          <w:lang w:val="sv-SE"/>
        </w:rPr>
        <w:t xml:space="preserve">Fuller, T., Cima, R., Langguth, B., Mazurek, B., Vlaeyen, J., &amp; Hoare, D. (2020). </w:t>
      </w:r>
      <w:r w:rsidRPr="00102859">
        <w:rPr>
          <w:noProof/>
        </w:rPr>
        <w:t xml:space="preserve">Cognitive behavioural therapy for tinnitus. </w:t>
      </w:r>
      <w:r w:rsidRPr="00102859">
        <w:rPr>
          <w:i/>
          <w:iCs/>
          <w:noProof/>
        </w:rPr>
        <w:t>Cochrane Database of Systematic Reviews</w:t>
      </w:r>
      <w:r w:rsidRPr="00102859">
        <w:rPr>
          <w:noProof/>
        </w:rPr>
        <w:t>.</w:t>
      </w:r>
      <w:r w:rsidRPr="00102859">
        <w:rPr>
          <w:shd w:val="clear" w:color="auto" w:fill="FFFFFF"/>
        </w:rPr>
        <w:t xml:space="preserve"> </w:t>
      </w:r>
      <w:r w:rsidRPr="00102859">
        <w:rPr>
          <w:noProof/>
        </w:rPr>
        <w:t>http://doi:10.1002/14651858.CD012614.pub2</w:t>
      </w:r>
      <w:r w:rsidRPr="00102859">
        <w:t> </w:t>
      </w:r>
    </w:p>
    <w:p w14:paraId="52FE5CEE" w14:textId="77777777" w:rsidR="0032412A" w:rsidRPr="00102859" w:rsidRDefault="0032412A" w:rsidP="005C34DD">
      <w:pPr>
        <w:spacing w:line="480" w:lineRule="auto"/>
        <w:ind w:left="720" w:hanging="720"/>
        <w:rPr>
          <w:noProof/>
        </w:rPr>
      </w:pPr>
      <w:r w:rsidRPr="00102859">
        <w:rPr>
          <w:noProof/>
        </w:rPr>
        <w:t xml:space="preserve">Fuller, T., Haider, H., Kikidis, D., Lapira, A., Mazurek, B., Norena, A., Rabau, S., Lardinois, R., Cederroth, C. R., Edvall, N. K.,Brueggemann, P. G., Rosing, S. N., Kapandais, A., Lungaard, D., Hoare, D. J., &amp; Cima, R. F. F. (2017). Different teams, same conclusions? A systematic review of existing clinical guidelines for the assessment and treatment of tinnitus in adults. </w:t>
      </w:r>
      <w:r w:rsidRPr="00102859">
        <w:rPr>
          <w:i/>
          <w:iCs/>
          <w:noProof/>
        </w:rPr>
        <w:t>Frontiers in Psychology, 8</w:t>
      </w:r>
      <w:r w:rsidRPr="00102859">
        <w:rPr>
          <w:noProof/>
        </w:rPr>
        <w:t>, 206.  </w:t>
      </w:r>
      <w:r w:rsidRPr="00102859">
        <w:t>https://doi.org/10.3389/fpsyg.2017.00206</w:t>
      </w:r>
    </w:p>
    <w:p w14:paraId="24BE686E" w14:textId="77777777" w:rsidR="0032412A" w:rsidRPr="00102859" w:rsidRDefault="0032412A" w:rsidP="005C34DD">
      <w:pPr>
        <w:spacing w:line="480" w:lineRule="auto"/>
        <w:ind w:left="720" w:hanging="720"/>
        <w:rPr>
          <w:noProof/>
        </w:rPr>
      </w:pPr>
      <w:r w:rsidRPr="00102859">
        <w:rPr>
          <w:noProof/>
        </w:rPr>
        <w:t xml:space="preserve">Henry, J., Griest, S., Zaugg, T. L., Thielman, E., Kaelin, C., Galvez, G., &amp; Carlson, K. F. (2015). Tinnitus and Hearing Survey: A screening tool to differentiate bothersome tinnitus from hearing difficulties. </w:t>
      </w:r>
      <w:r w:rsidRPr="00102859">
        <w:rPr>
          <w:i/>
          <w:iCs/>
          <w:noProof/>
        </w:rPr>
        <w:t>American Journal of Audiology, 24</w:t>
      </w:r>
      <w:r w:rsidRPr="00102859">
        <w:rPr>
          <w:noProof/>
        </w:rPr>
        <w:t>(1), 66-77. http://doi:</w:t>
      </w:r>
      <w:r w:rsidRPr="00102859">
        <w:t>10.1044/2014_AJA-14-0042</w:t>
      </w:r>
    </w:p>
    <w:p w14:paraId="37B9170F" w14:textId="21E2C3CA" w:rsidR="0032412A" w:rsidRPr="00102859" w:rsidRDefault="0032412A" w:rsidP="005C34DD">
      <w:pPr>
        <w:spacing w:line="480" w:lineRule="auto"/>
        <w:ind w:left="720" w:hanging="720"/>
      </w:pPr>
      <w:r w:rsidRPr="00102859">
        <w:rPr>
          <w:noProof/>
        </w:rPr>
        <w:t xml:space="preserve">Henry, J., Piskosz, M., Norena, A., &amp; Fournier, P. (2019). Audiologists and tinnitus. </w:t>
      </w:r>
      <w:r w:rsidRPr="00102859">
        <w:rPr>
          <w:i/>
          <w:iCs/>
          <w:noProof/>
        </w:rPr>
        <w:t>American Journal of Audiology, 28</w:t>
      </w:r>
      <w:r w:rsidRPr="00102859">
        <w:rPr>
          <w:noProof/>
        </w:rPr>
        <w:t>(4), 1059-1064.</w:t>
      </w:r>
      <w:r w:rsidRPr="00102859">
        <w:t xml:space="preserve"> </w:t>
      </w:r>
      <w:hyperlink r:id="rId31" w:history="1">
        <w:r w:rsidR="005A44E6" w:rsidRPr="00102859">
          <w:rPr>
            <w:rStyle w:val="Hyperlink"/>
            <w:color w:val="auto"/>
            <w:u w:val="none"/>
          </w:rPr>
          <w:t>https://doi.org/10.1044/2019_AJA-19-0070</w:t>
        </w:r>
      </w:hyperlink>
    </w:p>
    <w:p w14:paraId="644F1724" w14:textId="755BB2C1" w:rsidR="0032412A" w:rsidRPr="00102859" w:rsidRDefault="0032412A" w:rsidP="005C34DD">
      <w:pPr>
        <w:spacing w:line="480" w:lineRule="auto"/>
        <w:ind w:left="720" w:hanging="720"/>
        <w:rPr>
          <w:rStyle w:val="Hyperlink"/>
          <w:noProof/>
          <w:color w:val="auto"/>
          <w:u w:val="none"/>
        </w:rPr>
      </w:pPr>
      <w:r w:rsidRPr="00102859">
        <w:rPr>
          <w:noProof/>
        </w:rPr>
        <w:t xml:space="preserve">Herdman, M., Gudex, C., Lloyd, A., Janssen, M., Kind, P., Parkin, D., Bonsel, G., &amp; Badia, X. (2011). Development and preliminary testing of the new five-level version of EQ-5D (EQ-5D-5L). </w:t>
      </w:r>
      <w:r w:rsidRPr="00102859">
        <w:rPr>
          <w:i/>
          <w:iCs/>
          <w:noProof/>
        </w:rPr>
        <w:t>Quality of Life REsearch, 22</w:t>
      </w:r>
      <w:r w:rsidRPr="00102859">
        <w:rPr>
          <w:noProof/>
        </w:rPr>
        <w:t>(7), 1727-1736. http://doi:</w:t>
      </w:r>
      <w:r w:rsidRPr="00102859">
        <w:t>10.1007/s11136-011-9903-x</w:t>
      </w:r>
    </w:p>
    <w:p w14:paraId="28E7A3D8" w14:textId="77777777" w:rsidR="00D05EB0" w:rsidRPr="00102859" w:rsidRDefault="0032412A" w:rsidP="005C34DD">
      <w:pPr>
        <w:spacing w:line="480" w:lineRule="auto"/>
        <w:rPr>
          <w:shd w:val="clear" w:color="auto" w:fill="FFFFFF"/>
        </w:rPr>
      </w:pPr>
      <w:r w:rsidRPr="00102859">
        <w:rPr>
          <w:shd w:val="clear" w:color="auto" w:fill="FFFFFF"/>
        </w:rPr>
        <w:lastRenderedPageBreak/>
        <w:t xml:space="preserve">Hinton, D. E., Hofmann, S. G., Rivera, E., Otto, M. W., &amp; Pollack, M. H. (2011). Culturally </w:t>
      </w:r>
    </w:p>
    <w:p w14:paraId="6ACD6C41" w14:textId="77777777" w:rsidR="00D05EB0" w:rsidRPr="00102859" w:rsidRDefault="0032412A" w:rsidP="005C34DD">
      <w:pPr>
        <w:spacing w:line="480" w:lineRule="auto"/>
        <w:ind w:firstLine="720"/>
        <w:rPr>
          <w:shd w:val="clear" w:color="auto" w:fill="FFFFFF"/>
        </w:rPr>
      </w:pPr>
      <w:proofErr w:type="gramStart"/>
      <w:r w:rsidRPr="00102859">
        <w:rPr>
          <w:shd w:val="clear" w:color="auto" w:fill="FFFFFF"/>
        </w:rPr>
        <w:t>adapted</w:t>
      </w:r>
      <w:proofErr w:type="gramEnd"/>
      <w:r w:rsidRPr="00102859">
        <w:rPr>
          <w:shd w:val="clear" w:color="auto" w:fill="FFFFFF"/>
        </w:rPr>
        <w:t xml:space="preserve"> CBT (CA-CBT) for Latino women with treatment-resistant PTSD: A pilot </w:t>
      </w:r>
    </w:p>
    <w:p w14:paraId="682CB392" w14:textId="77777777" w:rsidR="00D05EB0" w:rsidRPr="00102859" w:rsidRDefault="0032412A" w:rsidP="005C34DD">
      <w:pPr>
        <w:spacing w:line="480" w:lineRule="auto"/>
        <w:ind w:firstLine="720"/>
        <w:rPr>
          <w:i/>
          <w:iCs/>
          <w:shd w:val="clear" w:color="auto" w:fill="FFFFFF"/>
        </w:rPr>
      </w:pPr>
      <w:proofErr w:type="gramStart"/>
      <w:r w:rsidRPr="00102859">
        <w:rPr>
          <w:shd w:val="clear" w:color="auto" w:fill="FFFFFF"/>
        </w:rPr>
        <w:t>study</w:t>
      </w:r>
      <w:proofErr w:type="gramEnd"/>
      <w:r w:rsidRPr="00102859">
        <w:rPr>
          <w:shd w:val="clear" w:color="auto" w:fill="FFFFFF"/>
        </w:rPr>
        <w:t xml:space="preserve"> comparing CA-CBT to applied muscle relaxation. </w:t>
      </w:r>
      <w:r w:rsidRPr="00102859">
        <w:rPr>
          <w:i/>
          <w:iCs/>
          <w:shd w:val="clear" w:color="auto" w:fill="FFFFFF"/>
        </w:rPr>
        <w:t xml:space="preserve">Behaviour research and </w:t>
      </w:r>
    </w:p>
    <w:p w14:paraId="793A727F" w14:textId="09506512" w:rsidR="0032412A" w:rsidRPr="00102859" w:rsidRDefault="0032412A" w:rsidP="005C34DD">
      <w:pPr>
        <w:spacing w:line="480" w:lineRule="auto"/>
        <w:ind w:firstLine="720"/>
      </w:pPr>
      <w:proofErr w:type="gramStart"/>
      <w:r w:rsidRPr="00102859">
        <w:rPr>
          <w:i/>
          <w:iCs/>
          <w:shd w:val="clear" w:color="auto" w:fill="FFFFFF"/>
        </w:rPr>
        <w:t>therapy</w:t>
      </w:r>
      <w:proofErr w:type="gramEnd"/>
      <w:r w:rsidRPr="00102859">
        <w:rPr>
          <w:shd w:val="clear" w:color="auto" w:fill="FFFFFF"/>
        </w:rPr>
        <w:t>, </w:t>
      </w:r>
      <w:r w:rsidRPr="00102859">
        <w:rPr>
          <w:i/>
          <w:iCs/>
          <w:shd w:val="clear" w:color="auto" w:fill="FFFFFF"/>
        </w:rPr>
        <w:t>49</w:t>
      </w:r>
      <w:r w:rsidRPr="00102859">
        <w:rPr>
          <w:shd w:val="clear" w:color="auto" w:fill="FFFFFF"/>
        </w:rPr>
        <w:t>(4), 275-280.</w:t>
      </w:r>
      <w:hyperlink r:id="rId32" w:history="1">
        <w:r w:rsidR="00D05EB0" w:rsidRPr="00102859">
          <w:rPr>
            <w:rStyle w:val="Hyperlink"/>
            <w:color w:val="auto"/>
            <w:u w:val="none"/>
          </w:rPr>
          <w:t>https://doi.org/10.1016/j.brat.2011.01.005</w:t>
        </w:r>
      </w:hyperlink>
    </w:p>
    <w:p w14:paraId="1A815F5A" w14:textId="54EDA2D5" w:rsidR="0032412A" w:rsidRPr="00102859" w:rsidRDefault="0032412A" w:rsidP="005C34DD">
      <w:pPr>
        <w:spacing w:line="480" w:lineRule="auto"/>
        <w:ind w:left="720" w:hanging="720"/>
        <w:rPr>
          <w:noProof/>
        </w:rPr>
      </w:pPr>
      <w:r w:rsidRPr="00102859">
        <w:rPr>
          <w:noProof/>
        </w:rPr>
        <w:t xml:space="preserve">Jacobson, N. S., &amp; Truax, P. (1991). Clinical significance: A statistical approach to defining meaningful change in psychotherapy research. </w:t>
      </w:r>
      <w:r w:rsidRPr="00102859">
        <w:rPr>
          <w:i/>
          <w:iCs/>
          <w:noProof/>
        </w:rPr>
        <w:t>Journal of Consulting and Clinical Psychology, 59</w:t>
      </w:r>
      <w:r w:rsidRPr="00102859">
        <w:rPr>
          <w:noProof/>
        </w:rPr>
        <w:t>(1), 12-19.</w:t>
      </w:r>
      <w:r w:rsidRPr="00102859">
        <w:rPr>
          <w:shd w:val="clear" w:color="auto" w:fill="FFFFFF"/>
        </w:rPr>
        <w:t xml:space="preserve"> </w:t>
      </w:r>
      <w:r w:rsidRPr="00102859">
        <w:rPr>
          <w:noProof/>
        </w:rPr>
        <w:t>http://doi:10.1037//0022-006x.59.1.12</w:t>
      </w:r>
    </w:p>
    <w:p w14:paraId="1D5D522A" w14:textId="77777777" w:rsidR="00D05EB0" w:rsidRPr="00102859" w:rsidRDefault="0032412A" w:rsidP="005C34DD">
      <w:pPr>
        <w:spacing w:line="480" w:lineRule="auto"/>
        <w:rPr>
          <w:shd w:val="clear" w:color="auto" w:fill="FFFFFF"/>
        </w:rPr>
      </w:pPr>
      <w:r w:rsidRPr="00102859">
        <w:rPr>
          <w:shd w:val="clear" w:color="auto" w:fill="FFFFFF"/>
        </w:rPr>
        <w:t xml:space="preserve">Kaldo, V., Cars, S., </w:t>
      </w:r>
      <w:proofErr w:type="spellStart"/>
      <w:r w:rsidRPr="00102859">
        <w:rPr>
          <w:shd w:val="clear" w:color="auto" w:fill="FFFFFF"/>
        </w:rPr>
        <w:t>Rahnert</w:t>
      </w:r>
      <w:proofErr w:type="spellEnd"/>
      <w:r w:rsidRPr="00102859">
        <w:rPr>
          <w:shd w:val="clear" w:color="auto" w:fill="FFFFFF"/>
        </w:rPr>
        <w:t xml:space="preserve">, M., Larsen, H. C., &amp; Andersson, G. (2007). Use of a self-help </w:t>
      </w:r>
    </w:p>
    <w:p w14:paraId="6644B270" w14:textId="77777777" w:rsidR="00D05EB0" w:rsidRPr="00102859" w:rsidRDefault="0032412A" w:rsidP="005C34DD">
      <w:pPr>
        <w:spacing w:line="480" w:lineRule="auto"/>
        <w:ind w:firstLine="720"/>
        <w:rPr>
          <w:shd w:val="clear" w:color="auto" w:fill="FFFFFF"/>
        </w:rPr>
      </w:pPr>
      <w:proofErr w:type="gramStart"/>
      <w:r w:rsidRPr="00102859">
        <w:rPr>
          <w:shd w:val="clear" w:color="auto" w:fill="FFFFFF"/>
        </w:rPr>
        <w:t>book</w:t>
      </w:r>
      <w:proofErr w:type="gramEnd"/>
      <w:r w:rsidRPr="00102859">
        <w:rPr>
          <w:shd w:val="clear" w:color="auto" w:fill="FFFFFF"/>
        </w:rPr>
        <w:t xml:space="preserve"> with weekly therapist contact to reduce tinnitus distress: a randomized </w:t>
      </w:r>
    </w:p>
    <w:p w14:paraId="7033BEC8" w14:textId="2025D40D" w:rsidR="0032412A" w:rsidRPr="00102859" w:rsidRDefault="0032412A" w:rsidP="005C34DD">
      <w:pPr>
        <w:spacing w:line="480" w:lineRule="auto"/>
        <w:ind w:firstLine="720"/>
        <w:rPr>
          <w:shd w:val="clear" w:color="auto" w:fill="FFFFFF"/>
        </w:rPr>
      </w:pPr>
      <w:proofErr w:type="gramStart"/>
      <w:r w:rsidRPr="00102859">
        <w:rPr>
          <w:shd w:val="clear" w:color="auto" w:fill="FFFFFF"/>
        </w:rPr>
        <w:t>controlled</w:t>
      </w:r>
      <w:proofErr w:type="gramEnd"/>
      <w:r w:rsidRPr="00102859">
        <w:rPr>
          <w:shd w:val="clear" w:color="auto" w:fill="FFFFFF"/>
        </w:rPr>
        <w:t xml:space="preserve"> trial. </w:t>
      </w:r>
      <w:r w:rsidRPr="00102859">
        <w:rPr>
          <w:i/>
          <w:iCs/>
          <w:shd w:val="clear" w:color="auto" w:fill="FFFFFF"/>
        </w:rPr>
        <w:t>Journal of Psychosomatic Research</w:t>
      </w:r>
      <w:r w:rsidRPr="00102859">
        <w:rPr>
          <w:shd w:val="clear" w:color="auto" w:fill="FFFFFF"/>
        </w:rPr>
        <w:t>, </w:t>
      </w:r>
      <w:r w:rsidRPr="00102859">
        <w:rPr>
          <w:i/>
          <w:iCs/>
          <w:shd w:val="clear" w:color="auto" w:fill="FFFFFF"/>
        </w:rPr>
        <w:t>63</w:t>
      </w:r>
      <w:r w:rsidRPr="00102859">
        <w:rPr>
          <w:shd w:val="clear" w:color="auto" w:fill="FFFFFF"/>
        </w:rPr>
        <w:t>(2), 195-202.</w:t>
      </w:r>
    </w:p>
    <w:p w14:paraId="30B455E4" w14:textId="77777777" w:rsidR="00D05EB0" w:rsidRPr="00102859" w:rsidRDefault="0032412A" w:rsidP="005C34DD">
      <w:pPr>
        <w:spacing w:line="480" w:lineRule="auto"/>
        <w:rPr>
          <w:shd w:val="clear" w:color="auto" w:fill="FFFFFF"/>
        </w:rPr>
      </w:pPr>
      <w:proofErr w:type="spellStart"/>
      <w:r w:rsidRPr="00102859">
        <w:rPr>
          <w:shd w:val="clear" w:color="auto" w:fill="FFFFFF"/>
        </w:rPr>
        <w:t>Kazantzis</w:t>
      </w:r>
      <w:proofErr w:type="spellEnd"/>
      <w:r w:rsidRPr="00102859">
        <w:rPr>
          <w:shd w:val="clear" w:color="auto" w:fill="FFFFFF"/>
        </w:rPr>
        <w:t xml:space="preserve">, N., Brownfield, N. R., Mosely, L., </w:t>
      </w:r>
      <w:proofErr w:type="spellStart"/>
      <w:r w:rsidRPr="00102859">
        <w:rPr>
          <w:shd w:val="clear" w:color="auto" w:fill="FFFFFF"/>
        </w:rPr>
        <w:t>Usatoff</w:t>
      </w:r>
      <w:proofErr w:type="spellEnd"/>
      <w:r w:rsidRPr="00102859">
        <w:rPr>
          <w:shd w:val="clear" w:color="auto" w:fill="FFFFFF"/>
        </w:rPr>
        <w:t xml:space="preserve">, A. S., &amp; Flighty, A. J. (2017). </w:t>
      </w:r>
    </w:p>
    <w:p w14:paraId="3FDD31CC" w14:textId="77777777" w:rsidR="00D05EB0" w:rsidRPr="00102859" w:rsidRDefault="0032412A" w:rsidP="005C34DD">
      <w:pPr>
        <w:spacing w:line="480" w:lineRule="auto"/>
        <w:ind w:firstLine="720"/>
        <w:rPr>
          <w:shd w:val="clear" w:color="auto" w:fill="FFFFFF"/>
        </w:rPr>
      </w:pPr>
      <w:r w:rsidRPr="00102859">
        <w:rPr>
          <w:shd w:val="clear" w:color="auto" w:fill="FFFFFF"/>
        </w:rPr>
        <w:t xml:space="preserve">Homework in cognitive </w:t>
      </w:r>
      <w:proofErr w:type="spellStart"/>
      <w:r w:rsidRPr="00102859">
        <w:rPr>
          <w:shd w:val="clear" w:color="auto" w:fill="FFFFFF"/>
        </w:rPr>
        <w:t>behavioral</w:t>
      </w:r>
      <w:proofErr w:type="spellEnd"/>
      <w:r w:rsidRPr="00102859">
        <w:rPr>
          <w:shd w:val="clear" w:color="auto" w:fill="FFFFFF"/>
        </w:rPr>
        <w:t xml:space="preserve"> therapy: A systematic review of adherence </w:t>
      </w:r>
    </w:p>
    <w:p w14:paraId="6829D38C" w14:textId="79F5057F" w:rsidR="0032412A" w:rsidRPr="00102859" w:rsidRDefault="0032412A" w:rsidP="005C34DD">
      <w:pPr>
        <w:spacing w:line="480" w:lineRule="auto"/>
        <w:ind w:left="720"/>
      </w:pPr>
      <w:proofErr w:type="gramStart"/>
      <w:r w:rsidRPr="00102859">
        <w:rPr>
          <w:shd w:val="clear" w:color="auto" w:fill="FFFFFF"/>
        </w:rPr>
        <w:t>assessment</w:t>
      </w:r>
      <w:proofErr w:type="gramEnd"/>
      <w:r w:rsidRPr="00102859">
        <w:rPr>
          <w:shd w:val="clear" w:color="auto" w:fill="FFFFFF"/>
        </w:rPr>
        <w:t xml:space="preserve"> in anxiety and depression (2011–2016). </w:t>
      </w:r>
      <w:r w:rsidRPr="00102859">
        <w:rPr>
          <w:i/>
          <w:iCs/>
          <w:shd w:val="clear" w:color="auto" w:fill="FFFFFF"/>
        </w:rPr>
        <w:t>Psychiatric Clinics</w:t>
      </w:r>
      <w:r w:rsidRPr="00102859">
        <w:rPr>
          <w:shd w:val="clear" w:color="auto" w:fill="FFFFFF"/>
        </w:rPr>
        <w:t>, </w:t>
      </w:r>
      <w:r w:rsidRPr="00102859">
        <w:rPr>
          <w:i/>
          <w:iCs/>
          <w:shd w:val="clear" w:color="auto" w:fill="FFFFFF"/>
        </w:rPr>
        <w:t>40</w:t>
      </w:r>
      <w:r w:rsidRPr="00102859">
        <w:rPr>
          <w:shd w:val="clear" w:color="auto" w:fill="FFFFFF"/>
        </w:rPr>
        <w:t>(4), 625-639.</w:t>
      </w:r>
      <w:r w:rsidRPr="00102859">
        <w:t xml:space="preserve"> </w:t>
      </w:r>
      <w:hyperlink r:id="rId33" w:history="1">
        <w:r w:rsidRPr="00102859">
          <w:rPr>
            <w:rStyle w:val="Hyperlink"/>
            <w:color w:val="auto"/>
            <w:u w:val="none"/>
          </w:rPr>
          <w:t>https://doi.org/10.1016/j.psc.2017.08.001</w:t>
        </w:r>
      </w:hyperlink>
    </w:p>
    <w:p w14:paraId="17AB542E" w14:textId="77777777" w:rsidR="00D05EB0" w:rsidRPr="00102859" w:rsidRDefault="0032412A" w:rsidP="005C34DD">
      <w:pPr>
        <w:spacing w:line="480" w:lineRule="auto"/>
        <w:rPr>
          <w:shd w:val="clear" w:color="auto" w:fill="FFFFFF"/>
        </w:rPr>
      </w:pPr>
      <w:r w:rsidRPr="00102859">
        <w:rPr>
          <w:shd w:val="clear" w:color="auto" w:fill="FFFFFF"/>
        </w:rPr>
        <w:t xml:space="preserve">Kim, H. S., &amp; Kim, E. J. (2018). Effects of relaxation therapy on anxiety disorders: a </w:t>
      </w:r>
    </w:p>
    <w:p w14:paraId="14C919B5" w14:textId="2A5B7F3A" w:rsidR="0032412A" w:rsidRPr="00102859" w:rsidRDefault="0032412A" w:rsidP="005C34DD">
      <w:pPr>
        <w:spacing w:line="480" w:lineRule="auto"/>
        <w:ind w:left="720"/>
      </w:pPr>
      <w:proofErr w:type="gramStart"/>
      <w:r w:rsidRPr="00102859">
        <w:rPr>
          <w:shd w:val="clear" w:color="auto" w:fill="FFFFFF"/>
        </w:rPr>
        <w:t>systematic</w:t>
      </w:r>
      <w:proofErr w:type="gramEnd"/>
      <w:r w:rsidRPr="00102859">
        <w:rPr>
          <w:shd w:val="clear" w:color="auto" w:fill="FFFFFF"/>
        </w:rPr>
        <w:t xml:space="preserve"> review and meta-analysis. </w:t>
      </w:r>
      <w:r w:rsidRPr="00102859">
        <w:rPr>
          <w:i/>
          <w:iCs/>
          <w:shd w:val="clear" w:color="auto" w:fill="FFFFFF"/>
        </w:rPr>
        <w:t>Archives of psychiatric nursing</w:t>
      </w:r>
      <w:r w:rsidRPr="00102859">
        <w:rPr>
          <w:shd w:val="clear" w:color="auto" w:fill="FFFFFF"/>
        </w:rPr>
        <w:t>, </w:t>
      </w:r>
      <w:r w:rsidRPr="00102859">
        <w:rPr>
          <w:i/>
          <w:iCs/>
          <w:shd w:val="clear" w:color="auto" w:fill="FFFFFF"/>
        </w:rPr>
        <w:t>32</w:t>
      </w:r>
      <w:r w:rsidRPr="00102859">
        <w:rPr>
          <w:shd w:val="clear" w:color="auto" w:fill="FFFFFF"/>
        </w:rPr>
        <w:t>(2), 278-284.</w:t>
      </w:r>
      <w:r w:rsidRPr="00102859">
        <w:t xml:space="preserve"> </w:t>
      </w:r>
      <w:hyperlink r:id="rId34" w:history="1">
        <w:r w:rsidR="00D05EB0" w:rsidRPr="00102859">
          <w:rPr>
            <w:rStyle w:val="Hyperlink"/>
            <w:color w:val="auto"/>
            <w:u w:val="none"/>
          </w:rPr>
          <w:t>https://doi.org/10.1016/j.apnu.2017.11.015</w:t>
        </w:r>
      </w:hyperlink>
    </w:p>
    <w:p w14:paraId="01EBF772" w14:textId="77777777" w:rsidR="0032412A" w:rsidRPr="00102859" w:rsidRDefault="0032412A" w:rsidP="005C34DD">
      <w:pPr>
        <w:spacing w:line="480" w:lineRule="auto"/>
        <w:rPr>
          <w:shd w:val="clear" w:color="auto" w:fill="FFFFFF"/>
        </w:rPr>
      </w:pPr>
      <w:r w:rsidRPr="00102859">
        <w:rPr>
          <w:shd w:val="clear" w:color="auto" w:fill="FFFFFF"/>
        </w:rPr>
        <w:t xml:space="preserve">Landry, E. C., Sandoval, X. C. R., </w:t>
      </w:r>
      <w:proofErr w:type="spellStart"/>
      <w:r w:rsidRPr="00102859">
        <w:rPr>
          <w:shd w:val="clear" w:color="auto" w:fill="FFFFFF"/>
        </w:rPr>
        <w:t>Simeone</w:t>
      </w:r>
      <w:proofErr w:type="spellEnd"/>
      <w:r w:rsidRPr="00102859">
        <w:rPr>
          <w:shd w:val="clear" w:color="auto" w:fill="FFFFFF"/>
        </w:rPr>
        <w:t xml:space="preserve">, C. N., </w:t>
      </w:r>
      <w:proofErr w:type="spellStart"/>
      <w:r w:rsidRPr="00102859">
        <w:rPr>
          <w:shd w:val="clear" w:color="auto" w:fill="FFFFFF"/>
        </w:rPr>
        <w:t>Tidball</w:t>
      </w:r>
      <w:proofErr w:type="spellEnd"/>
      <w:r w:rsidRPr="00102859">
        <w:rPr>
          <w:shd w:val="clear" w:color="auto" w:fill="FFFFFF"/>
        </w:rPr>
        <w:t xml:space="preserve">, G., Lea, J., &amp; Westerberg, B. D. </w:t>
      </w:r>
    </w:p>
    <w:p w14:paraId="548076DA" w14:textId="77777777" w:rsidR="0032412A" w:rsidRPr="00102859" w:rsidRDefault="0032412A" w:rsidP="005C34DD">
      <w:pPr>
        <w:spacing w:line="480" w:lineRule="auto"/>
        <w:ind w:left="720"/>
      </w:pPr>
      <w:r w:rsidRPr="00102859">
        <w:rPr>
          <w:shd w:val="clear" w:color="auto" w:fill="FFFFFF"/>
        </w:rPr>
        <w:t xml:space="preserve">(2020). Systematic review and network meta-analysis of cognitive and/or </w:t>
      </w:r>
      <w:proofErr w:type="spellStart"/>
      <w:r w:rsidRPr="00102859">
        <w:rPr>
          <w:shd w:val="clear" w:color="auto" w:fill="FFFFFF"/>
        </w:rPr>
        <w:t>behavioral</w:t>
      </w:r>
      <w:proofErr w:type="spellEnd"/>
      <w:r w:rsidRPr="00102859">
        <w:rPr>
          <w:shd w:val="clear" w:color="auto" w:fill="FFFFFF"/>
        </w:rPr>
        <w:t xml:space="preserve"> therapies (CBT) for tinnitus. </w:t>
      </w:r>
      <w:r w:rsidRPr="00102859">
        <w:rPr>
          <w:i/>
          <w:iCs/>
          <w:shd w:val="clear" w:color="auto" w:fill="FFFFFF"/>
        </w:rPr>
        <w:t xml:space="preserve">Otology &amp; </w:t>
      </w:r>
      <w:proofErr w:type="spellStart"/>
      <w:r w:rsidRPr="00102859">
        <w:rPr>
          <w:i/>
          <w:iCs/>
          <w:shd w:val="clear" w:color="auto" w:fill="FFFFFF"/>
        </w:rPr>
        <w:t>Neurotology</w:t>
      </w:r>
      <w:proofErr w:type="spellEnd"/>
      <w:r w:rsidRPr="00102859">
        <w:rPr>
          <w:shd w:val="clear" w:color="auto" w:fill="FFFFFF"/>
        </w:rPr>
        <w:t>, </w:t>
      </w:r>
      <w:r w:rsidRPr="00102859">
        <w:rPr>
          <w:i/>
          <w:iCs/>
          <w:shd w:val="clear" w:color="auto" w:fill="FFFFFF"/>
        </w:rPr>
        <w:t>41</w:t>
      </w:r>
      <w:r w:rsidRPr="00102859">
        <w:rPr>
          <w:shd w:val="clear" w:color="auto" w:fill="FFFFFF"/>
        </w:rPr>
        <w:t>(2), 153-166.</w:t>
      </w:r>
    </w:p>
    <w:p w14:paraId="5F5C6A01" w14:textId="77777777" w:rsidR="0032412A" w:rsidRPr="00102859" w:rsidRDefault="0032412A" w:rsidP="005C34DD">
      <w:pPr>
        <w:spacing w:line="480" w:lineRule="auto"/>
        <w:ind w:firstLine="720"/>
      </w:pPr>
      <w:proofErr w:type="gramStart"/>
      <w:r w:rsidRPr="00102859">
        <w:t>hppt</w:t>
      </w:r>
      <w:proofErr w:type="gramEnd"/>
      <w:r w:rsidRPr="00102859">
        <w:t>://doi: 10.1097/MAO.0000000000002472</w:t>
      </w:r>
    </w:p>
    <w:p w14:paraId="5AA0C8D6" w14:textId="77777777" w:rsidR="00C5450B" w:rsidRPr="00102859" w:rsidRDefault="00C5450B" w:rsidP="005C34DD">
      <w:pPr>
        <w:spacing w:line="480" w:lineRule="auto"/>
        <w:rPr>
          <w:shd w:val="clear" w:color="auto" w:fill="FFFFFF"/>
        </w:rPr>
      </w:pPr>
      <w:proofErr w:type="spellStart"/>
      <w:r w:rsidRPr="00102859">
        <w:rPr>
          <w:shd w:val="clear" w:color="auto" w:fill="FFFFFF"/>
        </w:rPr>
        <w:t>López-López</w:t>
      </w:r>
      <w:proofErr w:type="spellEnd"/>
      <w:r w:rsidRPr="00102859">
        <w:rPr>
          <w:shd w:val="clear" w:color="auto" w:fill="FFFFFF"/>
        </w:rPr>
        <w:t xml:space="preserve">, J. A., Davies, S. R., Caldwell, D. M., Churchill, R., Peters, T. J., </w:t>
      </w:r>
      <w:proofErr w:type="spellStart"/>
      <w:r w:rsidRPr="00102859">
        <w:rPr>
          <w:shd w:val="clear" w:color="auto" w:fill="FFFFFF"/>
        </w:rPr>
        <w:t>Tallon</w:t>
      </w:r>
      <w:proofErr w:type="spellEnd"/>
      <w:r w:rsidRPr="00102859">
        <w:rPr>
          <w:shd w:val="clear" w:color="auto" w:fill="FFFFFF"/>
        </w:rPr>
        <w:t>, D.</w:t>
      </w:r>
      <w:proofErr w:type="gramStart"/>
      <w:r w:rsidRPr="00102859">
        <w:rPr>
          <w:shd w:val="clear" w:color="auto" w:fill="FFFFFF"/>
        </w:rPr>
        <w:t>, ...</w:t>
      </w:r>
      <w:proofErr w:type="gramEnd"/>
      <w:r w:rsidRPr="00102859">
        <w:rPr>
          <w:shd w:val="clear" w:color="auto" w:fill="FFFFFF"/>
        </w:rPr>
        <w:t xml:space="preserve"> </w:t>
      </w:r>
    </w:p>
    <w:p w14:paraId="1DC811C4" w14:textId="3562B951" w:rsidR="00C5450B" w:rsidRPr="00102859" w:rsidRDefault="00C5450B" w:rsidP="005C34DD">
      <w:pPr>
        <w:spacing w:line="480" w:lineRule="auto"/>
        <w:ind w:left="720"/>
        <w:rPr>
          <w:shd w:val="clear" w:color="auto" w:fill="CAE7FF"/>
        </w:rPr>
      </w:pPr>
      <w:r w:rsidRPr="00102859">
        <w:rPr>
          <w:shd w:val="clear" w:color="auto" w:fill="FFFFFF"/>
        </w:rPr>
        <w:t xml:space="preserve">&amp; </w:t>
      </w:r>
      <w:proofErr w:type="spellStart"/>
      <w:r w:rsidRPr="00102859">
        <w:rPr>
          <w:shd w:val="clear" w:color="auto" w:fill="FFFFFF"/>
        </w:rPr>
        <w:t>Welton</w:t>
      </w:r>
      <w:proofErr w:type="spellEnd"/>
      <w:r w:rsidRPr="00102859">
        <w:rPr>
          <w:shd w:val="clear" w:color="auto" w:fill="FFFFFF"/>
        </w:rPr>
        <w:t>, N. J. (2019). The process and delivery of CBT for depression in adults: a systematic review and network meta-analysis. </w:t>
      </w:r>
      <w:r w:rsidRPr="00102859">
        <w:rPr>
          <w:i/>
          <w:iCs/>
          <w:shd w:val="clear" w:color="auto" w:fill="FFFFFF"/>
        </w:rPr>
        <w:t>Psychological medicine</w:t>
      </w:r>
      <w:r w:rsidRPr="00102859">
        <w:rPr>
          <w:shd w:val="clear" w:color="auto" w:fill="FFFFFF"/>
        </w:rPr>
        <w:t>, </w:t>
      </w:r>
      <w:r w:rsidRPr="00102859">
        <w:rPr>
          <w:i/>
          <w:iCs/>
          <w:shd w:val="clear" w:color="auto" w:fill="FFFFFF"/>
        </w:rPr>
        <w:t>49</w:t>
      </w:r>
      <w:r w:rsidRPr="00102859">
        <w:rPr>
          <w:shd w:val="clear" w:color="auto" w:fill="FFFFFF"/>
        </w:rPr>
        <w:t xml:space="preserve">(12), 1937-1947. </w:t>
      </w:r>
      <w:r w:rsidR="00190870" w:rsidRPr="00102859">
        <w:rPr>
          <w:shd w:val="clear" w:color="auto" w:fill="FFFFFF"/>
        </w:rPr>
        <w:t>http://doi:10.1017/S003329181900120X.</w:t>
      </w:r>
      <w:r w:rsidRPr="00102859">
        <w:rPr>
          <w:shd w:val="clear" w:color="auto" w:fill="CAE7FF"/>
        </w:rPr>
        <w:t xml:space="preserve"> </w:t>
      </w:r>
    </w:p>
    <w:p w14:paraId="775B8CEA" w14:textId="00176D48" w:rsidR="0032412A" w:rsidRPr="00102859" w:rsidRDefault="0032412A" w:rsidP="005C34DD">
      <w:pPr>
        <w:spacing w:line="480" w:lineRule="auto"/>
        <w:ind w:left="720" w:hanging="720"/>
      </w:pPr>
      <w:r w:rsidRPr="00102859">
        <w:rPr>
          <w:noProof/>
        </w:rPr>
        <w:lastRenderedPageBreak/>
        <w:t xml:space="preserve">Manchaiah, V., Muñoz, M. F., Hatfield, E., Fagelson, M. A., Parks Aronson, E., Andersson, G., &amp; Beukes, E. (2020b). Translation and adaptation of three English tinnitus patient-reported outcome measures to Spanish. </w:t>
      </w:r>
      <w:r w:rsidRPr="00102859">
        <w:rPr>
          <w:i/>
          <w:iCs/>
          <w:noProof/>
        </w:rPr>
        <w:t>International Journal of Audiology</w:t>
      </w:r>
      <w:r w:rsidRPr="00102859">
        <w:rPr>
          <w:noProof/>
        </w:rPr>
        <w:t>, 59(7), 1-6.</w:t>
      </w:r>
      <w:r w:rsidRPr="00102859">
        <w:rPr>
          <w:shd w:val="clear" w:color="auto" w:fill="FFFFFF"/>
        </w:rPr>
        <w:t xml:space="preserve"> </w:t>
      </w:r>
      <w:hyperlink r:id="rId35" w:history="1">
        <w:r w:rsidRPr="00102859">
          <w:rPr>
            <w:rStyle w:val="Emphasis"/>
            <w:noProof/>
          </w:rPr>
          <w:t>http://doi:</w:t>
        </w:r>
        <w:r w:rsidRPr="00102859">
          <w:rPr>
            <w:rStyle w:val="Emphasis"/>
          </w:rPr>
          <w:t>10.1080/14992027.2020.1717006</w:t>
        </w:r>
      </w:hyperlink>
    </w:p>
    <w:p w14:paraId="5DEF5224" w14:textId="077FBB02" w:rsidR="0032412A" w:rsidRPr="00102859" w:rsidRDefault="0032412A" w:rsidP="005C34DD">
      <w:pPr>
        <w:pStyle w:val="Bibliography"/>
        <w:spacing w:line="480" w:lineRule="auto"/>
        <w:ind w:left="720" w:hanging="720"/>
        <w:rPr>
          <w:spacing w:val="12"/>
        </w:rPr>
      </w:pPr>
      <w:r w:rsidRPr="00102859">
        <w:rPr>
          <w:noProof/>
        </w:rPr>
        <w:t xml:space="preserve">Manchaiah, V., Vlaescu, G., Varadaraj, S., Aronson, E. P., Fagelson, M., Munoz, M. F., Andersson, G., &amp; Beukes, E. W. (2020a). Features, functionality, and acceptability of Internet-based cognitive behavioral therapy for tinnitus in the United States. </w:t>
      </w:r>
      <w:r w:rsidRPr="00102859">
        <w:rPr>
          <w:i/>
          <w:iCs/>
          <w:noProof/>
        </w:rPr>
        <w:t>American Journal of Audiology</w:t>
      </w:r>
      <w:r w:rsidRPr="00102859">
        <w:rPr>
          <w:noProof/>
        </w:rPr>
        <w:t>, 29(3): 476-490.</w:t>
      </w:r>
      <w:r w:rsidRPr="00102859">
        <w:t xml:space="preserve"> </w:t>
      </w:r>
      <w:hyperlink r:id="rId36" w:history="1">
        <w:r w:rsidRPr="00102859">
          <w:rPr>
            <w:rStyle w:val="Emphasis"/>
            <w:spacing w:val="12"/>
          </w:rPr>
          <w:t>https://doi.org/10.1044/2020_AJA-20-00002</w:t>
        </w:r>
      </w:hyperlink>
    </w:p>
    <w:p w14:paraId="113ABA2C" w14:textId="77777777" w:rsidR="00D05EB0" w:rsidRPr="00102859" w:rsidRDefault="0032412A" w:rsidP="005C34DD">
      <w:pPr>
        <w:spacing w:line="480" w:lineRule="auto"/>
        <w:rPr>
          <w:shd w:val="clear" w:color="auto" w:fill="FFFFFF"/>
        </w:rPr>
      </w:pPr>
      <w:r w:rsidRPr="00102859">
        <w:rPr>
          <w:shd w:val="clear" w:color="auto" w:fill="FFFFFF"/>
        </w:rPr>
        <w:t xml:space="preserve">Manning C, </w:t>
      </w:r>
      <w:proofErr w:type="spellStart"/>
      <w:r w:rsidRPr="00102859">
        <w:rPr>
          <w:shd w:val="clear" w:color="auto" w:fill="FFFFFF"/>
        </w:rPr>
        <w:t>Thielman</w:t>
      </w:r>
      <w:proofErr w:type="spellEnd"/>
      <w:r w:rsidRPr="00102859">
        <w:rPr>
          <w:shd w:val="clear" w:color="auto" w:fill="FFFFFF"/>
        </w:rPr>
        <w:t xml:space="preserve"> E, </w:t>
      </w:r>
      <w:proofErr w:type="spellStart"/>
      <w:r w:rsidRPr="00102859">
        <w:rPr>
          <w:shd w:val="clear" w:color="auto" w:fill="FFFFFF"/>
        </w:rPr>
        <w:t>Grush</w:t>
      </w:r>
      <w:proofErr w:type="spellEnd"/>
      <w:r w:rsidRPr="00102859">
        <w:rPr>
          <w:shd w:val="clear" w:color="auto" w:fill="FFFFFF"/>
        </w:rPr>
        <w:t xml:space="preserve"> L, Henry J. Perception </w:t>
      </w:r>
      <w:proofErr w:type="gramStart"/>
      <w:r w:rsidRPr="00102859">
        <w:rPr>
          <w:shd w:val="clear" w:color="auto" w:fill="FFFFFF"/>
        </w:rPr>
        <w:t>Versus</w:t>
      </w:r>
      <w:proofErr w:type="gramEnd"/>
      <w:r w:rsidRPr="00102859">
        <w:rPr>
          <w:shd w:val="clear" w:color="auto" w:fill="FFFFFF"/>
        </w:rPr>
        <w:t xml:space="preserve"> Reaction: Comparison of </w:t>
      </w:r>
    </w:p>
    <w:p w14:paraId="7585D6FC" w14:textId="77777777" w:rsidR="00D05EB0" w:rsidRPr="00102859" w:rsidRDefault="0032412A" w:rsidP="005C34DD">
      <w:pPr>
        <w:spacing w:line="480" w:lineRule="auto"/>
        <w:ind w:firstLine="720"/>
        <w:rPr>
          <w:i/>
          <w:iCs/>
          <w:shd w:val="clear" w:color="auto" w:fill="FFFFFF"/>
        </w:rPr>
      </w:pPr>
      <w:r w:rsidRPr="00102859">
        <w:rPr>
          <w:shd w:val="clear" w:color="auto" w:fill="FFFFFF"/>
        </w:rPr>
        <w:t>Tinnitus Psychoacoustic Measures and Tinnitus Functional Index Scores. </w:t>
      </w:r>
      <w:r w:rsidRPr="00102859">
        <w:rPr>
          <w:i/>
          <w:iCs/>
          <w:shd w:val="clear" w:color="auto" w:fill="FFFFFF"/>
        </w:rPr>
        <w:t xml:space="preserve">Am J </w:t>
      </w:r>
    </w:p>
    <w:p w14:paraId="460B3ECF" w14:textId="06D2F788" w:rsidR="0032412A" w:rsidRPr="00102859" w:rsidRDefault="0032412A" w:rsidP="005C34DD">
      <w:pPr>
        <w:spacing w:line="480" w:lineRule="auto"/>
        <w:ind w:firstLine="720"/>
        <w:rPr>
          <w:shd w:val="clear" w:color="auto" w:fill="FFFFFF"/>
        </w:rPr>
      </w:pPr>
      <w:proofErr w:type="spellStart"/>
      <w:r w:rsidRPr="00102859">
        <w:rPr>
          <w:i/>
          <w:iCs/>
          <w:shd w:val="clear" w:color="auto" w:fill="FFFFFF"/>
        </w:rPr>
        <w:t>Audiol</w:t>
      </w:r>
      <w:proofErr w:type="spellEnd"/>
      <w:r w:rsidRPr="00102859">
        <w:rPr>
          <w:shd w:val="clear" w:color="auto" w:fill="FFFFFF"/>
        </w:rPr>
        <w:t>. 2019</w:t>
      </w:r>
      <w:proofErr w:type="gramStart"/>
      <w:r w:rsidRPr="00102859">
        <w:rPr>
          <w:shd w:val="clear" w:color="auto" w:fill="FFFFFF"/>
        </w:rPr>
        <w:t>;28</w:t>
      </w:r>
      <w:proofErr w:type="gramEnd"/>
      <w:r w:rsidRPr="00102859">
        <w:rPr>
          <w:shd w:val="clear" w:color="auto" w:fill="FFFFFF"/>
        </w:rPr>
        <w:t xml:space="preserve">(1S):174-180. </w:t>
      </w:r>
      <w:proofErr w:type="gramStart"/>
      <w:r w:rsidRPr="00102859">
        <w:rPr>
          <w:shd w:val="clear" w:color="auto" w:fill="FFFFFF"/>
        </w:rPr>
        <w:t>doi:</w:t>
      </w:r>
      <w:proofErr w:type="gramEnd"/>
      <w:r w:rsidRPr="00102859">
        <w:rPr>
          <w:shd w:val="clear" w:color="auto" w:fill="FFFFFF"/>
        </w:rPr>
        <w:t>10.1044/2018_aja-ttr17-18-0041</w:t>
      </w:r>
    </w:p>
    <w:p w14:paraId="4668C8E8" w14:textId="77777777" w:rsidR="00D05EB0" w:rsidRPr="00102859" w:rsidRDefault="0032412A" w:rsidP="005C34DD">
      <w:pPr>
        <w:spacing w:line="480" w:lineRule="auto"/>
        <w:rPr>
          <w:shd w:val="clear" w:color="auto" w:fill="FFFFFF"/>
        </w:rPr>
      </w:pPr>
      <w:r w:rsidRPr="00102859">
        <w:rPr>
          <w:shd w:val="clear" w:color="auto" w:fill="FFFFFF"/>
        </w:rPr>
        <w:t xml:space="preserve">Manzoni, G. M., </w:t>
      </w:r>
      <w:proofErr w:type="spellStart"/>
      <w:r w:rsidRPr="00102859">
        <w:rPr>
          <w:shd w:val="clear" w:color="auto" w:fill="FFFFFF"/>
        </w:rPr>
        <w:t>Pagnini</w:t>
      </w:r>
      <w:proofErr w:type="spellEnd"/>
      <w:r w:rsidRPr="00102859">
        <w:rPr>
          <w:shd w:val="clear" w:color="auto" w:fill="FFFFFF"/>
        </w:rPr>
        <w:t xml:space="preserve">, F., </w:t>
      </w:r>
      <w:proofErr w:type="spellStart"/>
      <w:r w:rsidRPr="00102859">
        <w:rPr>
          <w:shd w:val="clear" w:color="auto" w:fill="FFFFFF"/>
        </w:rPr>
        <w:t>Castelnuovo</w:t>
      </w:r>
      <w:proofErr w:type="spellEnd"/>
      <w:r w:rsidRPr="00102859">
        <w:rPr>
          <w:shd w:val="clear" w:color="auto" w:fill="FFFFFF"/>
        </w:rPr>
        <w:t xml:space="preserve">, G., &amp; Molinari, E. (2008). Relaxation training for </w:t>
      </w:r>
    </w:p>
    <w:p w14:paraId="09C92CC9" w14:textId="4D58A82A" w:rsidR="0032412A" w:rsidRPr="00102859" w:rsidRDefault="0032412A" w:rsidP="005C34DD">
      <w:pPr>
        <w:spacing w:line="480" w:lineRule="auto"/>
        <w:ind w:left="720"/>
        <w:rPr>
          <w:shd w:val="clear" w:color="auto" w:fill="FCFCFC"/>
        </w:rPr>
      </w:pPr>
      <w:proofErr w:type="gramStart"/>
      <w:r w:rsidRPr="00102859">
        <w:rPr>
          <w:shd w:val="clear" w:color="auto" w:fill="FFFFFF"/>
        </w:rPr>
        <w:t>anxiety</w:t>
      </w:r>
      <w:proofErr w:type="gramEnd"/>
      <w:r w:rsidRPr="00102859">
        <w:rPr>
          <w:shd w:val="clear" w:color="auto" w:fill="FFFFFF"/>
        </w:rPr>
        <w:t>: a ten-years systematic review with meta-analysis. </w:t>
      </w:r>
      <w:r w:rsidRPr="00102859">
        <w:rPr>
          <w:i/>
          <w:iCs/>
          <w:shd w:val="clear" w:color="auto" w:fill="FFFFFF"/>
        </w:rPr>
        <w:t>BMC psychiatry</w:t>
      </w:r>
      <w:r w:rsidRPr="00102859">
        <w:rPr>
          <w:shd w:val="clear" w:color="auto" w:fill="FFFFFF"/>
        </w:rPr>
        <w:t>, </w:t>
      </w:r>
      <w:r w:rsidRPr="00102859">
        <w:rPr>
          <w:i/>
          <w:iCs/>
          <w:shd w:val="clear" w:color="auto" w:fill="FFFFFF"/>
        </w:rPr>
        <w:t>8</w:t>
      </w:r>
      <w:r w:rsidRPr="00102859">
        <w:rPr>
          <w:shd w:val="clear" w:color="auto" w:fill="FFFFFF"/>
        </w:rPr>
        <w:t>(1), 41.</w:t>
      </w:r>
      <w:r w:rsidRPr="00102859">
        <w:rPr>
          <w:shd w:val="clear" w:color="auto" w:fill="FCFCFC"/>
        </w:rPr>
        <w:t xml:space="preserve"> </w:t>
      </w:r>
      <w:hyperlink r:id="rId37" w:history="1">
        <w:r w:rsidR="00791284" w:rsidRPr="00102859">
          <w:rPr>
            <w:rStyle w:val="Hyperlink"/>
            <w:color w:val="auto"/>
            <w:u w:val="none"/>
            <w:shd w:val="clear" w:color="auto" w:fill="FCFCFC"/>
          </w:rPr>
          <w:t>https://doi.org/10.1186/1471-244X-8-41</w:t>
        </w:r>
      </w:hyperlink>
    </w:p>
    <w:p w14:paraId="4FA9FB73" w14:textId="77777777" w:rsidR="00791284" w:rsidRPr="00102859" w:rsidRDefault="00791284" w:rsidP="005C34DD">
      <w:pPr>
        <w:spacing w:line="480" w:lineRule="auto"/>
        <w:rPr>
          <w:shd w:val="clear" w:color="auto" w:fill="FFFFFF"/>
        </w:rPr>
      </w:pPr>
      <w:r w:rsidRPr="00102859">
        <w:rPr>
          <w:shd w:val="clear" w:color="auto" w:fill="FFFFFF"/>
        </w:rPr>
        <w:t xml:space="preserve">McKenna, L., Marks, E. M., &amp; Vogt, F. (2018). Mindfulness-based cognitive therapy for </w:t>
      </w:r>
    </w:p>
    <w:p w14:paraId="47203FF8" w14:textId="77777777" w:rsidR="00791284" w:rsidRPr="00102859" w:rsidRDefault="00791284" w:rsidP="005C34DD">
      <w:pPr>
        <w:spacing w:line="480" w:lineRule="auto"/>
        <w:ind w:firstLine="720"/>
        <w:rPr>
          <w:shd w:val="clear" w:color="auto" w:fill="FFFFFF"/>
        </w:rPr>
      </w:pPr>
      <w:proofErr w:type="gramStart"/>
      <w:r w:rsidRPr="00102859">
        <w:rPr>
          <w:shd w:val="clear" w:color="auto" w:fill="FFFFFF"/>
        </w:rPr>
        <w:t>chronic</w:t>
      </w:r>
      <w:proofErr w:type="gramEnd"/>
      <w:r w:rsidRPr="00102859">
        <w:rPr>
          <w:shd w:val="clear" w:color="auto" w:fill="FFFFFF"/>
        </w:rPr>
        <w:t xml:space="preserve"> Tinnitus: evaluation of benefits in a large sample of patients attending a </w:t>
      </w:r>
    </w:p>
    <w:p w14:paraId="3B42FB17" w14:textId="141768AE" w:rsidR="00791284" w:rsidRPr="00102859" w:rsidRDefault="00791284" w:rsidP="005C34DD">
      <w:pPr>
        <w:spacing w:line="480" w:lineRule="auto"/>
        <w:ind w:firstLine="720"/>
        <w:rPr>
          <w:shd w:val="clear" w:color="auto" w:fill="FFFFFF"/>
        </w:rPr>
      </w:pPr>
      <w:r w:rsidRPr="00102859">
        <w:rPr>
          <w:shd w:val="clear" w:color="auto" w:fill="FFFFFF"/>
        </w:rPr>
        <w:t>Tinnitus clinic. </w:t>
      </w:r>
      <w:r w:rsidRPr="00102859">
        <w:rPr>
          <w:i/>
          <w:iCs/>
          <w:shd w:val="clear" w:color="auto" w:fill="FFFFFF"/>
        </w:rPr>
        <w:t>Ear and hearing</w:t>
      </w:r>
      <w:r w:rsidRPr="00102859">
        <w:rPr>
          <w:shd w:val="clear" w:color="auto" w:fill="FFFFFF"/>
        </w:rPr>
        <w:t>, </w:t>
      </w:r>
      <w:r w:rsidRPr="00102859">
        <w:rPr>
          <w:i/>
          <w:iCs/>
          <w:shd w:val="clear" w:color="auto" w:fill="FFFFFF"/>
        </w:rPr>
        <w:t>39</w:t>
      </w:r>
      <w:r w:rsidRPr="00102859">
        <w:rPr>
          <w:shd w:val="clear" w:color="auto" w:fill="FFFFFF"/>
        </w:rPr>
        <w:t xml:space="preserve">(2), 359-366. http://doi: </w:t>
      </w:r>
    </w:p>
    <w:p w14:paraId="7885C276" w14:textId="68F0369A" w:rsidR="00791284" w:rsidRPr="00102859" w:rsidRDefault="00791284" w:rsidP="005C34DD">
      <w:pPr>
        <w:spacing w:line="480" w:lineRule="auto"/>
        <w:ind w:firstLine="720"/>
      </w:pPr>
      <w:r w:rsidRPr="00102859">
        <w:rPr>
          <w:shd w:val="clear" w:color="auto" w:fill="FFFFFF"/>
        </w:rPr>
        <w:t>10.1097/AUD.0000000000000491</w:t>
      </w:r>
    </w:p>
    <w:p w14:paraId="26AEABD8" w14:textId="77777777" w:rsidR="0032412A" w:rsidRPr="00102859" w:rsidRDefault="0032412A" w:rsidP="005C34DD">
      <w:pPr>
        <w:spacing w:line="480" w:lineRule="auto"/>
      </w:pPr>
      <w:proofErr w:type="spellStart"/>
      <w:r w:rsidRPr="00102859">
        <w:t>Meikle</w:t>
      </w:r>
      <w:proofErr w:type="spellEnd"/>
      <w:r w:rsidRPr="00102859">
        <w:t xml:space="preserve">, M. B., Henry, J.A., </w:t>
      </w:r>
      <w:proofErr w:type="spellStart"/>
      <w:r w:rsidRPr="00102859">
        <w:t>Griest</w:t>
      </w:r>
      <w:proofErr w:type="spellEnd"/>
      <w:r w:rsidRPr="00102859">
        <w:t xml:space="preserve">, S.E., Stewart, B.J., Abrams, H.B., </w:t>
      </w:r>
      <w:proofErr w:type="spellStart"/>
      <w:r w:rsidRPr="00102859">
        <w:t>McArdle</w:t>
      </w:r>
      <w:proofErr w:type="spellEnd"/>
      <w:r w:rsidRPr="00102859">
        <w:t xml:space="preserve">, R., Myers, </w:t>
      </w:r>
    </w:p>
    <w:p w14:paraId="160339CA" w14:textId="77777777" w:rsidR="0032412A" w:rsidRPr="00102859" w:rsidRDefault="0032412A" w:rsidP="005C34DD">
      <w:pPr>
        <w:spacing w:line="480" w:lineRule="auto"/>
        <w:ind w:firstLine="720"/>
      </w:pPr>
      <w:r w:rsidRPr="00102859">
        <w:t xml:space="preserve">P.J., Newman, C.W., </w:t>
      </w:r>
      <w:proofErr w:type="spellStart"/>
      <w:r w:rsidRPr="00102859">
        <w:t>Sandridge</w:t>
      </w:r>
      <w:proofErr w:type="spellEnd"/>
      <w:r w:rsidRPr="00102859">
        <w:t xml:space="preserve">, S., Turk, D. C., </w:t>
      </w:r>
      <w:proofErr w:type="spellStart"/>
      <w:r w:rsidRPr="00102859">
        <w:t>Folmer</w:t>
      </w:r>
      <w:proofErr w:type="spellEnd"/>
      <w:r w:rsidRPr="00102859">
        <w:t xml:space="preserve">, R.L., Frederick, E.J., </w:t>
      </w:r>
    </w:p>
    <w:p w14:paraId="14CCB654" w14:textId="77777777" w:rsidR="0032412A" w:rsidRPr="00102859" w:rsidRDefault="0032412A" w:rsidP="005C34DD">
      <w:pPr>
        <w:spacing w:line="480" w:lineRule="auto"/>
        <w:ind w:firstLine="720"/>
      </w:pPr>
      <w:r w:rsidRPr="00102859">
        <w:t xml:space="preserve">House, J.W., Jacobson, G. P., Kinney, S. E., Martin, W. H., </w:t>
      </w:r>
      <w:proofErr w:type="spellStart"/>
      <w:r w:rsidRPr="00102859">
        <w:t>Nagler</w:t>
      </w:r>
      <w:proofErr w:type="spellEnd"/>
      <w:r w:rsidRPr="00102859">
        <w:t xml:space="preserve">, S.M., Reich, G. </w:t>
      </w:r>
    </w:p>
    <w:p w14:paraId="0C7B73FC" w14:textId="77777777" w:rsidR="0032412A" w:rsidRPr="00102859" w:rsidRDefault="0032412A" w:rsidP="005C34DD">
      <w:pPr>
        <w:spacing w:line="480" w:lineRule="auto"/>
        <w:ind w:firstLine="720"/>
      </w:pPr>
      <w:r w:rsidRPr="00102859">
        <w:t xml:space="preserve">E., </w:t>
      </w:r>
      <w:proofErr w:type="spellStart"/>
      <w:r w:rsidRPr="00102859">
        <w:t>Searchfield</w:t>
      </w:r>
      <w:proofErr w:type="spellEnd"/>
      <w:r w:rsidRPr="00102859">
        <w:t>, G</w:t>
      </w:r>
      <w:proofErr w:type="gramStart"/>
      <w:r w:rsidRPr="00102859">
        <w:t>., . . .</w:t>
      </w:r>
      <w:proofErr w:type="gramEnd"/>
      <w:r w:rsidRPr="00102859">
        <w:t xml:space="preserve"> Vernon, J.A. (2012). The tinnitus functional index: </w:t>
      </w:r>
    </w:p>
    <w:p w14:paraId="771D3840" w14:textId="77777777" w:rsidR="0032412A" w:rsidRPr="00102859" w:rsidRDefault="0032412A" w:rsidP="005C34DD">
      <w:pPr>
        <w:spacing w:line="480" w:lineRule="auto"/>
        <w:ind w:left="720"/>
      </w:pPr>
      <w:proofErr w:type="gramStart"/>
      <w:r w:rsidRPr="00102859">
        <w:t>development</w:t>
      </w:r>
      <w:proofErr w:type="gramEnd"/>
      <w:r w:rsidRPr="00102859">
        <w:t xml:space="preserve"> of a </w:t>
      </w:r>
      <w:r w:rsidRPr="00102859">
        <w:tab/>
        <w:t xml:space="preserve">new clinical measure for chronic, intrusive tinnitus. </w:t>
      </w:r>
      <w:r w:rsidRPr="00102859">
        <w:rPr>
          <w:i/>
          <w:iCs/>
        </w:rPr>
        <w:t>Ear and Hearing, 33</w:t>
      </w:r>
      <w:r w:rsidRPr="00102859">
        <w:t>, 153-176</w:t>
      </w:r>
      <w:r w:rsidRPr="00102859">
        <w:rPr>
          <w:shd w:val="clear" w:color="auto" w:fill="FFFFFF"/>
        </w:rPr>
        <w:t xml:space="preserve"> </w:t>
      </w:r>
      <w:r w:rsidRPr="00102859">
        <w:rPr>
          <w:shd w:val="clear" w:color="auto" w:fill="FFFFFF"/>
        </w:rPr>
        <w:tab/>
      </w:r>
      <w:hyperlink r:id="rId38" w:history="1">
        <w:r w:rsidRPr="00102859">
          <w:rPr>
            <w:rStyle w:val="Emphasis"/>
            <w:noProof/>
          </w:rPr>
          <w:t>http://</w:t>
        </w:r>
        <w:r w:rsidRPr="00102859">
          <w:rPr>
            <w:rStyle w:val="Emphasis"/>
          </w:rPr>
          <w:t>doi:10.1097/AUD.0b013e31822f67c0</w:t>
        </w:r>
      </w:hyperlink>
    </w:p>
    <w:p w14:paraId="7745CFCB" w14:textId="77777777" w:rsidR="00C13F86" w:rsidRPr="00102859" w:rsidRDefault="00C13F86" w:rsidP="005C34DD">
      <w:pPr>
        <w:spacing w:line="480" w:lineRule="auto"/>
        <w:rPr>
          <w:shd w:val="clear" w:color="auto" w:fill="FFFFFF"/>
        </w:rPr>
      </w:pPr>
      <w:r w:rsidRPr="00102859">
        <w:rPr>
          <w:shd w:val="clear" w:color="auto" w:fill="FFFFFF"/>
        </w:rPr>
        <w:lastRenderedPageBreak/>
        <w:t xml:space="preserve">Newman, M. G., </w:t>
      </w:r>
      <w:proofErr w:type="spellStart"/>
      <w:r w:rsidRPr="00102859">
        <w:rPr>
          <w:shd w:val="clear" w:color="auto" w:fill="FFFFFF"/>
        </w:rPr>
        <w:t>Castonguay</w:t>
      </w:r>
      <w:proofErr w:type="spellEnd"/>
      <w:r w:rsidRPr="00102859">
        <w:rPr>
          <w:shd w:val="clear" w:color="auto" w:fill="FFFFFF"/>
        </w:rPr>
        <w:t xml:space="preserve">, L. G., </w:t>
      </w:r>
      <w:proofErr w:type="spellStart"/>
      <w:r w:rsidRPr="00102859">
        <w:rPr>
          <w:shd w:val="clear" w:color="auto" w:fill="FFFFFF"/>
        </w:rPr>
        <w:t>Borkovec</w:t>
      </w:r>
      <w:proofErr w:type="spellEnd"/>
      <w:r w:rsidRPr="00102859">
        <w:rPr>
          <w:shd w:val="clear" w:color="auto" w:fill="FFFFFF"/>
        </w:rPr>
        <w:t xml:space="preserve">, T. D., Fisher, A. J., Boswell, J. F., </w:t>
      </w:r>
      <w:proofErr w:type="spellStart"/>
      <w:r w:rsidRPr="00102859">
        <w:rPr>
          <w:shd w:val="clear" w:color="auto" w:fill="FFFFFF"/>
        </w:rPr>
        <w:t>Szkodny</w:t>
      </w:r>
      <w:proofErr w:type="spellEnd"/>
      <w:r w:rsidRPr="00102859">
        <w:rPr>
          <w:shd w:val="clear" w:color="auto" w:fill="FFFFFF"/>
        </w:rPr>
        <w:t xml:space="preserve">, </w:t>
      </w:r>
    </w:p>
    <w:p w14:paraId="0D172204" w14:textId="3856B267" w:rsidR="00C13F86" w:rsidRPr="00102859" w:rsidRDefault="00C13F86" w:rsidP="005C34DD">
      <w:pPr>
        <w:spacing w:line="480" w:lineRule="auto"/>
        <w:ind w:left="720"/>
        <w:rPr>
          <w:rStyle w:val="Hyperlink"/>
          <w:color w:val="auto"/>
          <w:u w:val="none"/>
          <w:shd w:val="clear" w:color="auto" w:fill="FFFFFF"/>
        </w:rPr>
      </w:pPr>
      <w:r w:rsidRPr="00102859">
        <w:rPr>
          <w:shd w:val="clear" w:color="auto" w:fill="FFFFFF"/>
        </w:rPr>
        <w:t>L. E., &amp; Nordberg, S. S. (2011). A randomized controlled trial of cognitive-</w:t>
      </w:r>
      <w:proofErr w:type="spellStart"/>
      <w:r w:rsidRPr="00102859">
        <w:rPr>
          <w:shd w:val="clear" w:color="auto" w:fill="FFFFFF"/>
        </w:rPr>
        <w:t>behavioral</w:t>
      </w:r>
      <w:proofErr w:type="spellEnd"/>
      <w:r w:rsidRPr="00102859">
        <w:rPr>
          <w:shd w:val="clear" w:color="auto" w:fill="FFFFFF"/>
        </w:rPr>
        <w:t xml:space="preserve"> therapy for generalized anxiety disorder with integrated techniques from emotion-focused and interpersonal therapies. </w:t>
      </w:r>
      <w:r w:rsidRPr="00102859">
        <w:rPr>
          <w:i/>
          <w:iCs/>
          <w:shd w:val="clear" w:color="auto" w:fill="FFFFFF"/>
        </w:rPr>
        <w:t>Journal of consulting and clinical psychology</w:t>
      </w:r>
      <w:r w:rsidRPr="00102859">
        <w:rPr>
          <w:shd w:val="clear" w:color="auto" w:fill="FFFFFF"/>
        </w:rPr>
        <w:t>, </w:t>
      </w:r>
      <w:r w:rsidRPr="00102859">
        <w:rPr>
          <w:i/>
          <w:iCs/>
          <w:shd w:val="clear" w:color="auto" w:fill="FFFFFF"/>
        </w:rPr>
        <w:t>79</w:t>
      </w:r>
      <w:r w:rsidRPr="00102859">
        <w:rPr>
          <w:shd w:val="clear" w:color="auto" w:fill="FFFFFF"/>
        </w:rPr>
        <w:t xml:space="preserve">(2), 171–181. </w:t>
      </w:r>
      <w:hyperlink r:id="rId39" w:history="1">
        <w:r w:rsidR="0061254C" w:rsidRPr="00102859">
          <w:rPr>
            <w:rStyle w:val="Hyperlink"/>
            <w:color w:val="auto"/>
            <w:u w:val="none"/>
            <w:shd w:val="clear" w:color="auto" w:fill="FFFFFF"/>
          </w:rPr>
          <w:t>https://doi.org/10.1037/a0022489</w:t>
        </w:r>
      </w:hyperlink>
    </w:p>
    <w:p w14:paraId="4D330A53" w14:textId="77777777" w:rsidR="008C4A6A" w:rsidRPr="00102859" w:rsidRDefault="008C4A6A" w:rsidP="008C4A6A">
      <w:pPr>
        <w:spacing w:line="480" w:lineRule="auto"/>
        <w:rPr>
          <w:shd w:val="clear" w:color="auto" w:fill="FFFFFF"/>
        </w:rPr>
      </w:pPr>
      <w:r w:rsidRPr="00102859">
        <w:rPr>
          <w:shd w:val="clear" w:color="auto" w:fill="FFFFFF"/>
        </w:rPr>
        <w:t xml:space="preserve">Phillips, J. S., </w:t>
      </w:r>
      <w:proofErr w:type="spellStart"/>
      <w:r w:rsidRPr="00102859">
        <w:rPr>
          <w:shd w:val="clear" w:color="auto" w:fill="FFFFFF"/>
        </w:rPr>
        <w:t>McFerran</w:t>
      </w:r>
      <w:proofErr w:type="spellEnd"/>
      <w:r w:rsidRPr="00102859">
        <w:rPr>
          <w:shd w:val="clear" w:color="auto" w:fill="FFFFFF"/>
        </w:rPr>
        <w:t xml:space="preserve">, D. J., Hall, D. A., &amp; Hoare, D. J. (2018). The natural history of </w:t>
      </w:r>
    </w:p>
    <w:p w14:paraId="3625C77A" w14:textId="77777777" w:rsidR="008C4A6A" w:rsidRPr="00102859" w:rsidRDefault="008C4A6A" w:rsidP="008C4A6A">
      <w:pPr>
        <w:spacing w:line="480" w:lineRule="auto"/>
        <w:ind w:firstLine="720"/>
        <w:rPr>
          <w:shd w:val="clear" w:color="auto" w:fill="FFFFFF"/>
        </w:rPr>
      </w:pPr>
      <w:proofErr w:type="gramStart"/>
      <w:r w:rsidRPr="00102859">
        <w:rPr>
          <w:shd w:val="clear" w:color="auto" w:fill="FFFFFF"/>
        </w:rPr>
        <w:t>subjective</w:t>
      </w:r>
      <w:proofErr w:type="gramEnd"/>
      <w:r w:rsidRPr="00102859">
        <w:rPr>
          <w:shd w:val="clear" w:color="auto" w:fill="FFFFFF"/>
        </w:rPr>
        <w:t xml:space="preserve"> tinnitus in adults: A systematic review and meta-analysis of no-</w:t>
      </w:r>
    </w:p>
    <w:p w14:paraId="34550D3B" w14:textId="77777777" w:rsidR="008C4A6A" w:rsidRPr="00102859" w:rsidRDefault="008C4A6A" w:rsidP="008C4A6A">
      <w:pPr>
        <w:spacing w:line="480" w:lineRule="auto"/>
        <w:ind w:firstLine="720"/>
        <w:rPr>
          <w:shd w:val="clear" w:color="auto" w:fill="FFFFFF"/>
        </w:rPr>
      </w:pPr>
      <w:proofErr w:type="gramStart"/>
      <w:r w:rsidRPr="00102859">
        <w:rPr>
          <w:shd w:val="clear" w:color="auto" w:fill="FFFFFF"/>
        </w:rPr>
        <w:t>intervention</w:t>
      </w:r>
      <w:proofErr w:type="gramEnd"/>
      <w:r w:rsidRPr="00102859">
        <w:rPr>
          <w:shd w:val="clear" w:color="auto" w:fill="FFFFFF"/>
        </w:rPr>
        <w:t xml:space="preserve"> periods in controlled trials. </w:t>
      </w:r>
      <w:r w:rsidRPr="00102859">
        <w:rPr>
          <w:i/>
          <w:iCs/>
          <w:shd w:val="clear" w:color="auto" w:fill="FFFFFF"/>
        </w:rPr>
        <w:t>The Laryngoscope</w:t>
      </w:r>
      <w:r w:rsidRPr="00102859">
        <w:rPr>
          <w:shd w:val="clear" w:color="auto" w:fill="FFFFFF"/>
        </w:rPr>
        <w:t>, </w:t>
      </w:r>
      <w:r w:rsidRPr="00102859">
        <w:rPr>
          <w:i/>
          <w:iCs/>
          <w:shd w:val="clear" w:color="auto" w:fill="FFFFFF"/>
        </w:rPr>
        <w:t>128</w:t>
      </w:r>
      <w:r w:rsidRPr="00102859">
        <w:rPr>
          <w:shd w:val="clear" w:color="auto" w:fill="FFFFFF"/>
        </w:rPr>
        <w:t xml:space="preserve">(1), 217–227. </w:t>
      </w:r>
    </w:p>
    <w:p w14:paraId="7106DAAE" w14:textId="55ABA13A" w:rsidR="008C4A6A" w:rsidRPr="00102859" w:rsidRDefault="008C4A6A" w:rsidP="008C4A6A">
      <w:pPr>
        <w:spacing w:line="480" w:lineRule="auto"/>
        <w:ind w:firstLine="720"/>
        <w:rPr>
          <w:shd w:val="clear" w:color="auto" w:fill="FFFFFF"/>
        </w:rPr>
      </w:pPr>
      <w:r w:rsidRPr="00102859">
        <w:rPr>
          <w:shd w:val="clear" w:color="auto" w:fill="FFFFFF"/>
        </w:rPr>
        <w:t>https://doi.org/10.1002/lary.26607</w:t>
      </w:r>
    </w:p>
    <w:p w14:paraId="48822211" w14:textId="77777777" w:rsidR="00D05EB0" w:rsidRPr="00102859" w:rsidRDefault="0032412A" w:rsidP="005C34DD">
      <w:pPr>
        <w:spacing w:line="480" w:lineRule="auto"/>
        <w:rPr>
          <w:shd w:val="clear" w:color="auto" w:fill="FFFFFF"/>
        </w:rPr>
      </w:pPr>
      <w:r w:rsidRPr="00102859">
        <w:rPr>
          <w:shd w:val="clear" w:color="auto" w:fill="FFFFFF"/>
        </w:rPr>
        <w:t xml:space="preserve">Reed, M.E., Huang, J., Brand, R.J., </w:t>
      </w:r>
      <w:proofErr w:type="spellStart"/>
      <w:r w:rsidRPr="00102859">
        <w:rPr>
          <w:shd w:val="clear" w:color="auto" w:fill="FFFFFF"/>
        </w:rPr>
        <w:t>Neugebauer</w:t>
      </w:r>
      <w:proofErr w:type="spellEnd"/>
      <w:r w:rsidRPr="00102859">
        <w:rPr>
          <w:shd w:val="clear" w:color="auto" w:fill="FFFFFF"/>
        </w:rPr>
        <w:t xml:space="preserve">, R., </w:t>
      </w:r>
      <w:proofErr w:type="spellStart"/>
      <w:r w:rsidRPr="00102859">
        <w:rPr>
          <w:shd w:val="clear" w:color="auto" w:fill="FFFFFF"/>
        </w:rPr>
        <w:t>Graetz</w:t>
      </w:r>
      <w:proofErr w:type="spellEnd"/>
      <w:r w:rsidRPr="00102859">
        <w:rPr>
          <w:shd w:val="clear" w:color="auto" w:fill="FFFFFF"/>
        </w:rPr>
        <w:t xml:space="preserve">, I., Hsu, J., Ballard, D.W. and </w:t>
      </w:r>
    </w:p>
    <w:p w14:paraId="19663BBD" w14:textId="77777777" w:rsidR="00D05EB0" w:rsidRPr="00102859" w:rsidRDefault="0032412A" w:rsidP="005C34DD">
      <w:pPr>
        <w:spacing w:line="480" w:lineRule="auto"/>
        <w:ind w:firstLine="720"/>
        <w:rPr>
          <w:shd w:val="clear" w:color="auto" w:fill="FFFFFF"/>
        </w:rPr>
      </w:pPr>
      <w:r w:rsidRPr="00102859">
        <w:rPr>
          <w:shd w:val="clear" w:color="auto" w:fill="FFFFFF"/>
        </w:rPr>
        <w:t xml:space="preserve">Grant, </w:t>
      </w:r>
      <w:proofErr w:type="gramStart"/>
      <w:r w:rsidRPr="00102859">
        <w:rPr>
          <w:shd w:val="clear" w:color="auto" w:fill="FFFFFF"/>
        </w:rPr>
        <w:t>R(</w:t>
      </w:r>
      <w:proofErr w:type="gramEnd"/>
      <w:r w:rsidRPr="00102859">
        <w:rPr>
          <w:shd w:val="clear" w:color="auto" w:fill="FFFFFF"/>
        </w:rPr>
        <w:t xml:space="preserve">2019). Patients with complex chronic conditions: health care use and clinical </w:t>
      </w:r>
    </w:p>
    <w:p w14:paraId="00DE63D0" w14:textId="77777777" w:rsidR="00D05EB0" w:rsidRPr="00102859" w:rsidRDefault="0032412A" w:rsidP="005C34DD">
      <w:pPr>
        <w:spacing w:line="480" w:lineRule="auto"/>
        <w:ind w:firstLine="720"/>
      </w:pPr>
      <w:proofErr w:type="gramStart"/>
      <w:r w:rsidRPr="00102859">
        <w:rPr>
          <w:shd w:val="clear" w:color="auto" w:fill="FFFFFF"/>
        </w:rPr>
        <w:t>events</w:t>
      </w:r>
      <w:proofErr w:type="gramEnd"/>
      <w:r w:rsidRPr="00102859">
        <w:rPr>
          <w:shd w:val="clear" w:color="auto" w:fill="FFFFFF"/>
        </w:rPr>
        <w:t xml:space="preserve"> associated with access to a patient portal. </w:t>
      </w:r>
      <w:proofErr w:type="spellStart"/>
      <w:r w:rsidRPr="00102859">
        <w:rPr>
          <w:i/>
          <w:iCs/>
          <w:shd w:val="clear" w:color="auto" w:fill="FFFFFF"/>
        </w:rPr>
        <w:t>PlOS</w:t>
      </w:r>
      <w:proofErr w:type="spellEnd"/>
      <w:r w:rsidRPr="00102859">
        <w:rPr>
          <w:i/>
          <w:iCs/>
          <w:shd w:val="clear" w:color="auto" w:fill="FFFFFF"/>
        </w:rPr>
        <w:t xml:space="preserve"> One</w:t>
      </w:r>
      <w:r w:rsidRPr="00102859">
        <w:rPr>
          <w:shd w:val="clear" w:color="auto" w:fill="FFFFFF"/>
        </w:rPr>
        <w:t>, </w:t>
      </w:r>
      <w:r w:rsidRPr="00102859">
        <w:rPr>
          <w:i/>
          <w:iCs/>
          <w:shd w:val="clear" w:color="auto" w:fill="FFFFFF"/>
        </w:rPr>
        <w:t>14</w:t>
      </w:r>
      <w:r w:rsidRPr="00102859">
        <w:rPr>
          <w:shd w:val="clear" w:color="auto" w:fill="FFFFFF"/>
        </w:rPr>
        <w:t>(6), e0217636.</w:t>
      </w:r>
      <w:r w:rsidRPr="00102859">
        <w:t xml:space="preserve"> </w:t>
      </w:r>
    </w:p>
    <w:p w14:paraId="2BE0D415" w14:textId="16F7C045" w:rsidR="0032412A" w:rsidRPr="00102859" w:rsidRDefault="00102859" w:rsidP="005C34DD">
      <w:pPr>
        <w:spacing w:line="480" w:lineRule="auto"/>
        <w:ind w:firstLine="720"/>
      </w:pPr>
      <w:hyperlink r:id="rId40" w:history="1">
        <w:r w:rsidR="00D05EB0" w:rsidRPr="00102859">
          <w:rPr>
            <w:rStyle w:val="Hyperlink"/>
            <w:color w:val="auto"/>
            <w:u w:val="none"/>
          </w:rPr>
          <w:t>https://doi.org/10.1371/journal.pone.0217636</w:t>
        </w:r>
      </w:hyperlink>
    </w:p>
    <w:p w14:paraId="03F1CAE7" w14:textId="77777777" w:rsidR="00EA0365" w:rsidRPr="00102859" w:rsidRDefault="00EA0365" w:rsidP="005C34DD">
      <w:pPr>
        <w:spacing w:line="480" w:lineRule="auto"/>
        <w:rPr>
          <w:shd w:val="clear" w:color="auto" w:fill="FFFFFF"/>
        </w:rPr>
      </w:pPr>
      <w:proofErr w:type="spellStart"/>
      <w:r w:rsidRPr="00102859">
        <w:rPr>
          <w:shd w:val="clear" w:color="auto" w:fill="FFFFFF"/>
        </w:rPr>
        <w:t>Rücker</w:t>
      </w:r>
      <w:proofErr w:type="spellEnd"/>
      <w:r w:rsidRPr="00102859">
        <w:rPr>
          <w:shd w:val="clear" w:color="auto" w:fill="FFFFFF"/>
        </w:rPr>
        <w:t xml:space="preserve">, G., </w:t>
      </w:r>
      <w:proofErr w:type="spellStart"/>
      <w:r w:rsidRPr="00102859">
        <w:rPr>
          <w:shd w:val="clear" w:color="auto" w:fill="FFFFFF"/>
        </w:rPr>
        <w:t>Petropoulou</w:t>
      </w:r>
      <w:proofErr w:type="spellEnd"/>
      <w:r w:rsidRPr="00102859">
        <w:rPr>
          <w:shd w:val="clear" w:color="auto" w:fill="FFFFFF"/>
        </w:rPr>
        <w:t xml:space="preserve">, M., &amp; </w:t>
      </w:r>
      <w:proofErr w:type="spellStart"/>
      <w:r w:rsidRPr="00102859">
        <w:rPr>
          <w:shd w:val="clear" w:color="auto" w:fill="FFFFFF"/>
        </w:rPr>
        <w:t>Schwarzer</w:t>
      </w:r>
      <w:proofErr w:type="spellEnd"/>
      <w:r w:rsidRPr="00102859">
        <w:rPr>
          <w:shd w:val="clear" w:color="auto" w:fill="FFFFFF"/>
        </w:rPr>
        <w:t xml:space="preserve">, G. (2020). Network meta-analysis of </w:t>
      </w:r>
    </w:p>
    <w:p w14:paraId="49C68EE8" w14:textId="61653D69" w:rsidR="00EA0365" w:rsidRPr="00102859" w:rsidRDefault="00EA0365" w:rsidP="005C34DD">
      <w:pPr>
        <w:spacing w:line="480" w:lineRule="auto"/>
        <w:ind w:left="720"/>
      </w:pPr>
      <w:proofErr w:type="gramStart"/>
      <w:r w:rsidRPr="00102859">
        <w:rPr>
          <w:shd w:val="clear" w:color="auto" w:fill="FFFFFF"/>
        </w:rPr>
        <w:t>multicomponent</w:t>
      </w:r>
      <w:proofErr w:type="gramEnd"/>
      <w:r w:rsidRPr="00102859">
        <w:rPr>
          <w:shd w:val="clear" w:color="auto" w:fill="FFFFFF"/>
        </w:rPr>
        <w:t xml:space="preserve"> interventions. </w:t>
      </w:r>
      <w:r w:rsidRPr="00102859">
        <w:rPr>
          <w:i/>
          <w:iCs/>
          <w:shd w:val="clear" w:color="auto" w:fill="FFFFFF"/>
        </w:rPr>
        <w:t xml:space="preserve">Biometrical journal. </w:t>
      </w:r>
      <w:proofErr w:type="spellStart"/>
      <w:r w:rsidRPr="00102859">
        <w:rPr>
          <w:i/>
          <w:iCs/>
          <w:shd w:val="clear" w:color="auto" w:fill="FFFFFF"/>
        </w:rPr>
        <w:t>Biometrische</w:t>
      </w:r>
      <w:proofErr w:type="spellEnd"/>
      <w:r w:rsidRPr="00102859">
        <w:rPr>
          <w:i/>
          <w:iCs/>
          <w:shd w:val="clear" w:color="auto" w:fill="FFFFFF"/>
        </w:rPr>
        <w:t xml:space="preserve"> </w:t>
      </w:r>
      <w:proofErr w:type="spellStart"/>
      <w:r w:rsidRPr="00102859">
        <w:rPr>
          <w:i/>
          <w:iCs/>
          <w:shd w:val="clear" w:color="auto" w:fill="FFFFFF"/>
        </w:rPr>
        <w:t>Zeitschrift</w:t>
      </w:r>
      <w:proofErr w:type="spellEnd"/>
      <w:r w:rsidRPr="00102859">
        <w:rPr>
          <w:shd w:val="clear" w:color="auto" w:fill="FFFFFF"/>
        </w:rPr>
        <w:t>, </w:t>
      </w:r>
      <w:r w:rsidRPr="00102859">
        <w:rPr>
          <w:i/>
          <w:iCs/>
          <w:shd w:val="clear" w:color="auto" w:fill="FFFFFF"/>
        </w:rPr>
        <w:t>62</w:t>
      </w:r>
      <w:r w:rsidRPr="00102859">
        <w:rPr>
          <w:shd w:val="clear" w:color="auto" w:fill="FFFFFF"/>
        </w:rPr>
        <w:t>(3), 808–821. https://doi.org/10.1002/bimj.201800167</w:t>
      </w:r>
    </w:p>
    <w:p w14:paraId="6B34E1F9" w14:textId="77777777" w:rsidR="0032412A" w:rsidRPr="00102859" w:rsidRDefault="0032412A" w:rsidP="005C34DD">
      <w:pPr>
        <w:spacing w:line="480" w:lineRule="auto"/>
        <w:rPr>
          <w:shd w:val="clear" w:color="auto" w:fill="FFFFFF"/>
        </w:rPr>
      </w:pPr>
      <w:r w:rsidRPr="00102859">
        <w:rPr>
          <w:shd w:val="clear" w:color="auto" w:fill="FFFFFF"/>
        </w:rPr>
        <w:t xml:space="preserve">Salazar J, </w:t>
      </w:r>
      <w:proofErr w:type="spellStart"/>
      <w:r w:rsidRPr="00102859">
        <w:rPr>
          <w:shd w:val="clear" w:color="auto" w:fill="FFFFFF"/>
        </w:rPr>
        <w:t>Meisel</w:t>
      </w:r>
      <w:proofErr w:type="spellEnd"/>
      <w:r w:rsidRPr="00102859">
        <w:rPr>
          <w:shd w:val="clear" w:color="auto" w:fill="FFFFFF"/>
        </w:rPr>
        <w:t xml:space="preserve"> K, Smith E, </w:t>
      </w:r>
      <w:proofErr w:type="spellStart"/>
      <w:r w:rsidRPr="00102859">
        <w:rPr>
          <w:shd w:val="clear" w:color="auto" w:fill="FFFFFF"/>
        </w:rPr>
        <w:t>Quiggle</w:t>
      </w:r>
      <w:proofErr w:type="spellEnd"/>
      <w:r w:rsidRPr="00102859">
        <w:rPr>
          <w:shd w:val="clear" w:color="auto" w:fill="FFFFFF"/>
        </w:rPr>
        <w:t xml:space="preserve"> A, McCoy D, </w:t>
      </w:r>
      <w:proofErr w:type="spellStart"/>
      <w:r w:rsidRPr="00102859">
        <w:rPr>
          <w:shd w:val="clear" w:color="auto" w:fill="FFFFFF"/>
        </w:rPr>
        <w:t>Amans</w:t>
      </w:r>
      <w:proofErr w:type="spellEnd"/>
      <w:r w:rsidRPr="00102859">
        <w:rPr>
          <w:shd w:val="clear" w:color="auto" w:fill="FFFFFF"/>
        </w:rPr>
        <w:t xml:space="preserve"> M. (2019). Depression in </w:t>
      </w:r>
    </w:p>
    <w:p w14:paraId="66CDFE12" w14:textId="77777777" w:rsidR="0032412A" w:rsidRPr="00102859" w:rsidRDefault="0032412A" w:rsidP="005C34DD">
      <w:pPr>
        <w:spacing w:line="480" w:lineRule="auto"/>
        <w:ind w:firstLine="720"/>
        <w:rPr>
          <w:shd w:val="clear" w:color="auto" w:fill="FFFFFF"/>
        </w:rPr>
      </w:pPr>
      <w:proofErr w:type="gramStart"/>
      <w:r w:rsidRPr="00102859">
        <w:rPr>
          <w:shd w:val="clear" w:color="auto" w:fill="FFFFFF"/>
        </w:rPr>
        <w:t>patients</w:t>
      </w:r>
      <w:proofErr w:type="gramEnd"/>
      <w:r w:rsidRPr="00102859">
        <w:rPr>
          <w:shd w:val="clear" w:color="auto" w:fill="FFFFFF"/>
        </w:rPr>
        <w:t xml:space="preserve"> with tinnitus: a systematic review. </w:t>
      </w:r>
      <w:r w:rsidRPr="00102859">
        <w:rPr>
          <w:i/>
          <w:iCs/>
          <w:shd w:val="clear" w:color="auto" w:fill="FFFFFF"/>
        </w:rPr>
        <w:t>Otolaryngology</w:t>
      </w:r>
      <w:r w:rsidRPr="00102859">
        <w:rPr>
          <w:shd w:val="clear" w:color="auto" w:fill="FFFFFF"/>
        </w:rPr>
        <w:t xml:space="preserve">. (2019) 16:28–35. </w:t>
      </w:r>
    </w:p>
    <w:p w14:paraId="0798F90B" w14:textId="6AAB621A" w:rsidR="0032412A" w:rsidRPr="00102859" w:rsidRDefault="0032412A" w:rsidP="005C34DD">
      <w:pPr>
        <w:spacing w:line="480" w:lineRule="auto"/>
        <w:ind w:firstLine="720"/>
        <w:rPr>
          <w:shd w:val="clear" w:color="auto" w:fill="FFFFFF"/>
        </w:rPr>
      </w:pPr>
      <w:r w:rsidRPr="00102859">
        <w:rPr>
          <w:shd w:val="clear" w:color="auto" w:fill="FFFFFF"/>
        </w:rPr>
        <w:t>http://doi: 10.1177/0194599819835178</w:t>
      </w:r>
    </w:p>
    <w:p w14:paraId="54387251" w14:textId="77777777" w:rsidR="00867736" w:rsidRPr="00102859" w:rsidRDefault="00867736" w:rsidP="005C34DD">
      <w:pPr>
        <w:spacing w:line="480" w:lineRule="auto"/>
        <w:rPr>
          <w:shd w:val="clear" w:color="auto" w:fill="FFFFFF"/>
        </w:rPr>
      </w:pPr>
      <w:r w:rsidRPr="00102859">
        <w:rPr>
          <w:shd w:val="clear" w:color="auto" w:fill="FFFFFF"/>
        </w:rPr>
        <w:t xml:space="preserve">Schmidt, N. B., </w:t>
      </w:r>
      <w:proofErr w:type="spellStart"/>
      <w:r w:rsidRPr="00102859">
        <w:rPr>
          <w:shd w:val="clear" w:color="auto" w:fill="FFFFFF"/>
        </w:rPr>
        <w:t>Woolaway</w:t>
      </w:r>
      <w:proofErr w:type="spellEnd"/>
      <w:r w:rsidRPr="00102859">
        <w:rPr>
          <w:shd w:val="clear" w:color="auto" w:fill="FFFFFF"/>
        </w:rPr>
        <w:t xml:space="preserve">-Bickel, K., </w:t>
      </w:r>
      <w:proofErr w:type="spellStart"/>
      <w:r w:rsidRPr="00102859">
        <w:rPr>
          <w:shd w:val="clear" w:color="auto" w:fill="FFFFFF"/>
        </w:rPr>
        <w:t>Trakowski</w:t>
      </w:r>
      <w:proofErr w:type="spellEnd"/>
      <w:r w:rsidRPr="00102859">
        <w:rPr>
          <w:shd w:val="clear" w:color="auto" w:fill="FFFFFF"/>
        </w:rPr>
        <w:t xml:space="preserve">, J., Santiago, H., Storey, J., </w:t>
      </w:r>
      <w:proofErr w:type="spellStart"/>
      <w:r w:rsidRPr="00102859">
        <w:rPr>
          <w:shd w:val="clear" w:color="auto" w:fill="FFFFFF"/>
        </w:rPr>
        <w:t>Koselka</w:t>
      </w:r>
      <w:proofErr w:type="spellEnd"/>
      <w:r w:rsidRPr="00102859">
        <w:rPr>
          <w:shd w:val="clear" w:color="auto" w:fill="FFFFFF"/>
        </w:rPr>
        <w:t>, M</w:t>
      </w:r>
      <w:proofErr w:type="gramStart"/>
      <w:r w:rsidRPr="00102859">
        <w:rPr>
          <w:shd w:val="clear" w:color="auto" w:fill="FFFFFF"/>
        </w:rPr>
        <w:t>.,</w:t>
      </w:r>
      <w:proofErr w:type="gramEnd"/>
      <w:r w:rsidRPr="00102859">
        <w:rPr>
          <w:shd w:val="clear" w:color="auto" w:fill="FFFFFF"/>
        </w:rPr>
        <w:t xml:space="preserve"> &amp; </w:t>
      </w:r>
    </w:p>
    <w:p w14:paraId="4BDF8258" w14:textId="21146C8C" w:rsidR="00867736" w:rsidRPr="00102859" w:rsidRDefault="00867736" w:rsidP="005C34DD">
      <w:pPr>
        <w:spacing w:line="480" w:lineRule="auto"/>
        <w:ind w:left="720"/>
      </w:pPr>
      <w:r w:rsidRPr="00102859">
        <w:rPr>
          <w:shd w:val="clear" w:color="auto" w:fill="FFFFFF"/>
        </w:rPr>
        <w:t>Cook, J. (2000). Dismantling cognitive-</w:t>
      </w:r>
      <w:proofErr w:type="spellStart"/>
      <w:r w:rsidRPr="00102859">
        <w:rPr>
          <w:shd w:val="clear" w:color="auto" w:fill="FFFFFF"/>
        </w:rPr>
        <w:t>behavioral</w:t>
      </w:r>
      <w:proofErr w:type="spellEnd"/>
      <w:r w:rsidRPr="00102859">
        <w:rPr>
          <w:shd w:val="clear" w:color="auto" w:fill="FFFFFF"/>
        </w:rPr>
        <w:t xml:space="preserve"> treatment for panic disorder: questioning the utility of breathing retraining. </w:t>
      </w:r>
      <w:r w:rsidRPr="00102859">
        <w:rPr>
          <w:i/>
          <w:iCs/>
          <w:shd w:val="clear" w:color="auto" w:fill="FFFFFF"/>
        </w:rPr>
        <w:t>Journal of consulting and clinical psychology</w:t>
      </w:r>
      <w:r w:rsidRPr="00102859">
        <w:rPr>
          <w:shd w:val="clear" w:color="auto" w:fill="FFFFFF"/>
        </w:rPr>
        <w:t>, </w:t>
      </w:r>
      <w:r w:rsidRPr="00102859">
        <w:rPr>
          <w:i/>
          <w:iCs/>
          <w:shd w:val="clear" w:color="auto" w:fill="FFFFFF"/>
        </w:rPr>
        <w:t>68</w:t>
      </w:r>
      <w:r w:rsidRPr="00102859">
        <w:rPr>
          <w:shd w:val="clear" w:color="auto" w:fill="FFFFFF"/>
        </w:rPr>
        <w:t>(3), 417–424. https://doi.org/10.1037//0022-006x.68.3.417</w:t>
      </w:r>
    </w:p>
    <w:p w14:paraId="5483337A" w14:textId="77777777" w:rsidR="003102B7" w:rsidRPr="00102859" w:rsidRDefault="003102B7" w:rsidP="005C34DD">
      <w:pPr>
        <w:spacing w:line="480" w:lineRule="auto"/>
        <w:rPr>
          <w:shd w:val="clear" w:color="auto" w:fill="FFFFFF"/>
        </w:rPr>
      </w:pPr>
      <w:r w:rsidRPr="00102859">
        <w:rPr>
          <w:shd w:val="clear" w:color="auto" w:fill="FFFFFF"/>
        </w:rPr>
        <w:t xml:space="preserve">Scott, B., Lindberg, P., </w:t>
      </w:r>
      <w:proofErr w:type="spellStart"/>
      <w:r w:rsidRPr="00102859">
        <w:rPr>
          <w:shd w:val="clear" w:color="auto" w:fill="FFFFFF"/>
        </w:rPr>
        <w:t>Lyttkens</w:t>
      </w:r>
      <w:proofErr w:type="spellEnd"/>
      <w:r w:rsidRPr="00102859">
        <w:rPr>
          <w:shd w:val="clear" w:color="auto" w:fill="FFFFFF"/>
        </w:rPr>
        <w:t xml:space="preserve">, L., &amp; </w:t>
      </w:r>
      <w:proofErr w:type="spellStart"/>
      <w:r w:rsidRPr="00102859">
        <w:rPr>
          <w:shd w:val="clear" w:color="auto" w:fill="FFFFFF"/>
        </w:rPr>
        <w:t>Melin</w:t>
      </w:r>
      <w:proofErr w:type="spellEnd"/>
      <w:r w:rsidRPr="00102859">
        <w:rPr>
          <w:shd w:val="clear" w:color="auto" w:fill="FFFFFF"/>
        </w:rPr>
        <w:t xml:space="preserve">, L. (1985). Psychological treatment of tinnitus </w:t>
      </w:r>
    </w:p>
    <w:p w14:paraId="7052D6EC" w14:textId="66A7F587" w:rsidR="003102B7" w:rsidRPr="00102859" w:rsidRDefault="003102B7" w:rsidP="005C34DD">
      <w:pPr>
        <w:spacing w:line="480" w:lineRule="auto"/>
        <w:ind w:firstLine="720"/>
        <w:rPr>
          <w:shd w:val="clear" w:color="auto" w:fill="FFFFFF"/>
        </w:rPr>
      </w:pPr>
      <w:proofErr w:type="gramStart"/>
      <w:r w:rsidRPr="00102859">
        <w:rPr>
          <w:shd w:val="clear" w:color="auto" w:fill="FFFFFF"/>
        </w:rPr>
        <w:t>an</w:t>
      </w:r>
      <w:proofErr w:type="gramEnd"/>
      <w:r w:rsidRPr="00102859">
        <w:rPr>
          <w:shd w:val="clear" w:color="auto" w:fill="FFFFFF"/>
        </w:rPr>
        <w:t xml:space="preserve"> experimental group study. </w:t>
      </w:r>
      <w:r w:rsidRPr="00102859">
        <w:rPr>
          <w:i/>
          <w:iCs/>
          <w:shd w:val="clear" w:color="auto" w:fill="FFFFFF"/>
        </w:rPr>
        <w:t>Scandinavian Audiology</w:t>
      </w:r>
      <w:r w:rsidRPr="00102859">
        <w:rPr>
          <w:shd w:val="clear" w:color="auto" w:fill="FFFFFF"/>
        </w:rPr>
        <w:t>, </w:t>
      </w:r>
      <w:r w:rsidRPr="00102859">
        <w:rPr>
          <w:i/>
          <w:iCs/>
          <w:shd w:val="clear" w:color="auto" w:fill="FFFFFF"/>
        </w:rPr>
        <w:t>14</w:t>
      </w:r>
      <w:r w:rsidRPr="00102859">
        <w:rPr>
          <w:shd w:val="clear" w:color="auto" w:fill="FFFFFF"/>
        </w:rPr>
        <w:t>(4), 223-230.</w:t>
      </w:r>
    </w:p>
    <w:p w14:paraId="12470F3F" w14:textId="77777777" w:rsidR="00F20FF8" w:rsidRPr="00102859" w:rsidRDefault="00F20FF8" w:rsidP="005C34DD">
      <w:pPr>
        <w:spacing w:line="480" w:lineRule="auto"/>
        <w:rPr>
          <w:shd w:val="clear" w:color="auto" w:fill="FFFFFF"/>
        </w:rPr>
      </w:pPr>
      <w:proofErr w:type="spellStart"/>
      <w:r w:rsidRPr="00102859">
        <w:rPr>
          <w:shd w:val="clear" w:color="auto" w:fill="FFFFFF"/>
        </w:rPr>
        <w:lastRenderedPageBreak/>
        <w:t>Searchfield</w:t>
      </w:r>
      <w:proofErr w:type="spellEnd"/>
      <w:r w:rsidRPr="00102859">
        <w:rPr>
          <w:shd w:val="clear" w:color="auto" w:fill="FFFFFF"/>
        </w:rPr>
        <w:t xml:space="preserve">, G. D., Boone, M., </w:t>
      </w:r>
      <w:proofErr w:type="spellStart"/>
      <w:r w:rsidRPr="00102859">
        <w:rPr>
          <w:shd w:val="clear" w:color="auto" w:fill="FFFFFF"/>
        </w:rPr>
        <w:t>Bensam</w:t>
      </w:r>
      <w:proofErr w:type="spellEnd"/>
      <w:r w:rsidRPr="00102859">
        <w:rPr>
          <w:shd w:val="clear" w:color="auto" w:fill="FFFFFF"/>
        </w:rPr>
        <w:t xml:space="preserve">, J., </w:t>
      </w:r>
      <w:proofErr w:type="spellStart"/>
      <w:r w:rsidRPr="00102859">
        <w:rPr>
          <w:shd w:val="clear" w:color="auto" w:fill="FFFFFF"/>
        </w:rPr>
        <w:t>Durai</w:t>
      </w:r>
      <w:proofErr w:type="spellEnd"/>
      <w:r w:rsidRPr="00102859">
        <w:rPr>
          <w:shd w:val="clear" w:color="auto" w:fill="FFFFFF"/>
        </w:rPr>
        <w:t xml:space="preserve">, M., Hodgson, S. A., Linford, T., &amp; Vogel, </w:t>
      </w:r>
    </w:p>
    <w:p w14:paraId="58BB2E02" w14:textId="2CC79C83" w:rsidR="00F20FF8" w:rsidRPr="00102859" w:rsidRDefault="00F20FF8" w:rsidP="005C34DD">
      <w:pPr>
        <w:spacing w:line="480" w:lineRule="auto"/>
        <w:ind w:left="720"/>
      </w:pPr>
      <w:r w:rsidRPr="00102859">
        <w:rPr>
          <w:shd w:val="clear" w:color="auto" w:fill="FFFFFF"/>
        </w:rPr>
        <w:t>D. (2020). A proof-of-concept study of the benefits of a single-session of tinnitus instruction and counselling with homework on tinnitus. </w:t>
      </w:r>
      <w:r w:rsidRPr="00102859">
        <w:rPr>
          <w:i/>
          <w:iCs/>
          <w:shd w:val="clear" w:color="auto" w:fill="FFFFFF"/>
        </w:rPr>
        <w:t>International Journal of Audiology</w:t>
      </w:r>
      <w:r w:rsidRPr="00102859">
        <w:rPr>
          <w:shd w:val="clear" w:color="auto" w:fill="FFFFFF"/>
        </w:rPr>
        <w:t>, </w:t>
      </w:r>
      <w:r w:rsidRPr="00102859">
        <w:rPr>
          <w:i/>
          <w:iCs/>
          <w:shd w:val="clear" w:color="auto" w:fill="FFFFFF"/>
        </w:rPr>
        <w:t>59</w:t>
      </w:r>
      <w:r w:rsidRPr="00102859">
        <w:rPr>
          <w:shd w:val="clear" w:color="auto" w:fill="FFFFFF"/>
        </w:rPr>
        <w:t>(5), 374–382. https://doi.org/10.1080/14992027.2020.1719436</w:t>
      </w:r>
    </w:p>
    <w:p w14:paraId="1296E22E" w14:textId="77777777" w:rsidR="0032412A" w:rsidRPr="00102859" w:rsidRDefault="0032412A" w:rsidP="005C34DD">
      <w:pPr>
        <w:spacing w:line="480" w:lineRule="auto"/>
        <w:rPr>
          <w:noProof/>
        </w:rPr>
      </w:pPr>
      <w:r w:rsidRPr="00102859">
        <w:rPr>
          <w:noProof/>
        </w:rPr>
        <w:t xml:space="preserve">Spitzer, R. L., Kroenke, K., &amp; Williams, J. B. (1999). Validation and utility of a self-report </w:t>
      </w:r>
      <w:r w:rsidRPr="00102859">
        <w:rPr>
          <w:noProof/>
        </w:rPr>
        <w:tab/>
        <w:t xml:space="preserve">version of PRIME-MD: the PHQ primary care study. </w:t>
      </w:r>
      <w:r w:rsidRPr="00102859">
        <w:rPr>
          <w:i/>
          <w:iCs/>
          <w:noProof/>
        </w:rPr>
        <w:t>JAMA, 282</w:t>
      </w:r>
      <w:r w:rsidRPr="00102859">
        <w:rPr>
          <w:noProof/>
        </w:rPr>
        <w:t xml:space="preserve">(18), 1737-1744. </w:t>
      </w:r>
      <w:r w:rsidRPr="00102859">
        <w:rPr>
          <w:noProof/>
        </w:rPr>
        <w:tab/>
        <w:t>http://doi:10.1001/jama.282.18.1737</w:t>
      </w:r>
    </w:p>
    <w:p w14:paraId="416FC79E" w14:textId="77777777" w:rsidR="0032412A" w:rsidRPr="00102859" w:rsidRDefault="0032412A" w:rsidP="005C34DD">
      <w:pPr>
        <w:spacing w:line="480" w:lineRule="auto"/>
        <w:ind w:left="720" w:hanging="720"/>
        <w:rPr>
          <w:noProof/>
        </w:rPr>
      </w:pPr>
      <w:r w:rsidRPr="00102859">
        <w:rPr>
          <w:noProof/>
        </w:rPr>
        <w:t xml:space="preserve">Spitzer, R. L., Kroenke, K., Williams, J. B. W., &amp; Löwe, B. (2006). A brief measure for assessing generalized anxiety disorder: The GAD-7. </w:t>
      </w:r>
      <w:r w:rsidRPr="00102859">
        <w:rPr>
          <w:i/>
          <w:iCs/>
          <w:noProof/>
        </w:rPr>
        <w:t>Archives of Internal Medicine, 166</w:t>
      </w:r>
      <w:r w:rsidRPr="00102859">
        <w:rPr>
          <w:noProof/>
        </w:rPr>
        <w:t>(10), 1092-1097.</w:t>
      </w:r>
      <w:r w:rsidRPr="00102859">
        <w:rPr>
          <w:shd w:val="clear" w:color="auto" w:fill="FFFFFF"/>
        </w:rPr>
        <w:t xml:space="preserve"> </w:t>
      </w:r>
      <w:r w:rsidRPr="00102859">
        <w:rPr>
          <w:noProof/>
        </w:rPr>
        <w:t>http://doi: 10.1001/archinte.166.10.1092.</w:t>
      </w:r>
    </w:p>
    <w:p w14:paraId="139A761F" w14:textId="77777777" w:rsidR="00D05EB0" w:rsidRPr="00102859" w:rsidRDefault="0032412A" w:rsidP="005C34DD">
      <w:pPr>
        <w:spacing w:line="480" w:lineRule="auto"/>
        <w:rPr>
          <w:shd w:val="clear" w:color="auto" w:fill="FFFFFF"/>
        </w:rPr>
      </w:pPr>
      <w:proofErr w:type="spellStart"/>
      <w:r w:rsidRPr="00102859">
        <w:rPr>
          <w:shd w:val="clear" w:color="auto" w:fill="FFFFFF"/>
        </w:rPr>
        <w:t>Tavakoli</w:t>
      </w:r>
      <w:proofErr w:type="spellEnd"/>
      <w:r w:rsidRPr="00102859">
        <w:rPr>
          <w:shd w:val="clear" w:color="auto" w:fill="FFFFFF"/>
        </w:rPr>
        <w:t xml:space="preserve">, M., </w:t>
      </w:r>
      <w:proofErr w:type="spellStart"/>
      <w:r w:rsidRPr="00102859">
        <w:rPr>
          <w:shd w:val="clear" w:color="auto" w:fill="FFFFFF"/>
        </w:rPr>
        <w:t>Marashi</w:t>
      </w:r>
      <w:proofErr w:type="spellEnd"/>
      <w:r w:rsidRPr="00102859">
        <w:rPr>
          <w:shd w:val="clear" w:color="auto" w:fill="FFFFFF"/>
        </w:rPr>
        <w:t xml:space="preserve">, S. A., Hamid, N., &amp; </w:t>
      </w:r>
      <w:proofErr w:type="spellStart"/>
      <w:r w:rsidRPr="00102859">
        <w:rPr>
          <w:shd w:val="clear" w:color="auto" w:fill="FFFFFF"/>
        </w:rPr>
        <w:t>Beshlideh</w:t>
      </w:r>
      <w:proofErr w:type="spellEnd"/>
      <w:r w:rsidRPr="00102859">
        <w:rPr>
          <w:shd w:val="clear" w:color="auto" w:fill="FFFFFF"/>
        </w:rPr>
        <w:t>, K. (2019). The effects of cognitive-</w:t>
      </w:r>
    </w:p>
    <w:p w14:paraId="418F314B" w14:textId="0007A4DD" w:rsidR="0032412A" w:rsidRPr="00102859" w:rsidRDefault="0032412A" w:rsidP="005C34DD">
      <w:pPr>
        <w:spacing w:line="480" w:lineRule="auto"/>
        <w:ind w:left="720"/>
        <w:rPr>
          <w:rStyle w:val="Hyperlink"/>
          <w:color w:val="auto"/>
          <w:u w:val="none"/>
          <w:shd w:val="clear" w:color="auto" w:fill="FFFFFF"/>
        </w:rPr>
      </w:pPr>
      <w:proofErr w:type="spellStart"/>
      <w:proofErr w:type="gramStart"/>
      <w:r w:rsidRPr="00102859">
        <w:rPr>
          <w:shd w:val="clear" w:color="auto" w:fill="FFFFFF"/>
        </w:rPr>
        <w:t>behavioral</w:t>
      </w:r>
      <w:proofErr w:type="spellEnd"/>
      <w:proofErr w:type="gramEnd"/>
      <w:r w:rsidRPr="00102859">
        <w:rPr>
          <w:shd w:val="clear" w:color="auto" w:fill="FFFFFF"/>
        </w:rPr>
        <w:t xml:space="preserve"> training and muscle relaxation on the degree of tinnitus and the quality of sleep. </w:t>
      </w:r>
      <w:r w:rsidRPr="00102859">
        <w:rPr>
          <w:i/>
          <w:iCs/>
          <w:shd w:val="clear" w:color="auto" w:fill="FFFFFF"/>
        </w:rPr>
        <w:t>Auditory and Vestibular Research</w:t>
      </w:r>
      <w:r w:rsidRPr="00102859">
        <w:rPr>
          <w:shd w:val="clear" w:color="auto" w:fill="FFFFFF"/>
        </w:rPr>
        <w:t>.</w:t>
      </w:r>
      <w:r w:rsidRPr="00102859">
        <w:t xml:space="preserve"> </w:t>
      </w:r>
      <w:hyperlink r:id="rId41" w:history="1">
        <w:r w:rsidRPr="00102859">
          <w:rPr>
            <w:rStyle w:val="Hyperlink"/>
            <w:color w:val="auto"/>
            <w:u w:val="none"/>
            <w:shd w:val="clear" w:color="auto" w:fill="FFFFFF"/>
          </w:rPr>
          <w:t>https://doi.org/10.18502/avr.v28i3.1229</w:t>
        </w:r>
      </w:hyperlink>
    </w:p>
    <w:p w14:paraId="3A5BBF29" w14:textId="77777777" w:rsidR="00E22B7A" w:rsidRPr="00102859" w:rsidRDefault="00E22B7A" w:rsidP="005C34DD">
      <w:pPr>
        <w:spacing w:line="480" w:lineRule="auto"/>
        <w:rPr>
          <w:shd w:val="clear" w:color="auto" w:fill="FFFFFF"/>
        </w:rPr>
      </w:pPr>
      <w:r w:rsidRPr="00102859">
        <w:rPr>
          <w:shd w:val="clear" w:color="auto" w:fill="FFFFFF"/>
        </w:rPr>
        <w:t xml:space="preserve">Tay, K. W., </w:t>
      </w:r>
      <w:proofErr w:type="spellStart"/>
      <w:r w:rsidRPr="00102859">
        <w:rPr>
          <w:shd w:val="clear" w:color="auto" w:fill="FFFFFF"/>
        </w:rPr>
        <w:t>Subramaniam</w:t>
      </w:r>
      <w:proofErr w:type="spellEnd"/>
      <w:r w:rsidRPr="00102859">
        <w:rPr>
          <w:shd w:val="clear" w:color="auto" w:fill="FFFFFF"/>
        </w:rPr>
        <w:t xml:space="preserve">, P., &amp; </w:t>
      </w:r>
      <w:proofErr w:type="spellStart"/>
      <w:r w:rsidRPr="00102859">
        <w:rPr>
          <w:shd w:val="clear" w:color="auto" w:fill="FFFFFF"/>
        </w:rPr>
        <w:t>Oei</w:t>
      </w:r>
      <w:proofErr w:type="spellEnd"/>
      <w:r w:rsidRPr="00102859">
        <w:rPr>
          <w:shd w:val="clear" w:color="auto" w:fill="FFFFFF"/>
        </w:rPr>
        <w:t xml:space="preserve">, T. P. (2019). Cognitive behavioural therapy can be </w:t>
      </w:r>
    </w:p>
    <w:p w14:paraId="404C5D85" w14:textId="0B54415A" w:rsidR="00E22B7A" w:rsidRPr="00102859" w:rsidRDefault="00E22B7A" w:rsidP="005C34DD">
      <w:pPr>
        <w:spacing w:line="480" w:lineRule="auto"/>
        <w:ind w:left="720"/>
      </w:pPr>
      <w:proofErr w:type="gramStart"/>
      <w:r w:rsidRPr="00102859">
        <w:rPr>
          <w:shd w:val="clear" w:color="auto" w:fill="FFFFFF"/>
        </w:rPr>
        <w:t>effective</w:t>
      </w:r>
      <w:proofErr w:type="gramEnd"/>
      <w:r w:rsidRPr="00102859">
        <w:rPr>
          <w:shd w:val="clear" w:color="auto" w:fill="FFFFFF"/>
        </w:rPr>
        <w:t xml:space="preserve"> in treating anxiety and depression in persons with dementia: a systematic review. </w:t>
      </w:r>
      <w:proofErr w:type="spellStart"/>
      <w:r w:rsidRPr="00102859">
        <w:rPr>
          <w:i/>
          <w:iCs/>
          <w:shd w:val="clear" w:color="auto" w:fill="FFFFFF"/>
        </w:rPr>
        <w:t>Psychogeriatrics</w:t>
      </w:r>
      <w:proofErr w:type="spellEnd"/>
      <w:r w:rsidRPr="00102859">
        <w:rPr>
          <w:shd w:val="clear" w:color="auto" w:fill="FFFFFF"/>
        </w:rPr>
        <w:t>, </w:t>
      </w:r>
      <w:r w:rsidRPr="00102859">
        <w:rPr>
          <w:i/>
          <w:iCs/>
          <w:shd w:val="clear" w:color="auto" w:fill="FFFFFF"/>
        </w:rPr>
        <w:t>19</w:t>
      </w:r>
      <w:r w:rsidRPr="00102859">
        <w:rPr>
          <w:shd w:val="clear" w:color="auto" w:fill="FFFFFF"/>
        </w:rPr>
        <w:t xml:space="preserve">(3), 264-275. </w:t>
      </w:r>
      <w:hyperlink r:id="rId42" w:history="1">
        <w:r w:rsidRPr="00102859">
          <w:rPr>
            <w:rStyle w:val="Hyperlink"/>
            <w:color w:val="auto"/>
            <w:u w:val="none"/>
            <w:shd w:val="clear" w:color="auto" w:fill="FFFFFF"/>
          </w:rPr>
          <w:t>https://doi.org/10.1111/psyg.12391</w:t>
        </w:r>
      </w:hyperlink>
    </w:p>
    <w:p w14:paraId="2ED1FB56" w14:textId="77777777" w:rsidR="00D05EB0" w:rsidRPr="00102859" w:rsidRDefault="0032412A" w:rsidP="005C34DD">
      <w:pPr>
        <w:spacing w:line="480" w:lineRule="auto"/>
        <w:rPr>
          <w:shd w:val="clear" w:color="auto" w:fill="FFFFFF"/>
        </w:rPr>
      </w:pPr>
      <w:r w:rsidRPr="00102859">
        <w:rPr>
          <w:shd w:val="clear" w:color="auto" w:fill="FFFFFF"/>
        </w:rPr>
        <w:t xml:space="preserve">Thompson, D. M., Hall, D. A., Walker, D. M., &amp; Hoare, D. J. (2017). Psychological Therapy </w:t>
      </w:r>
    </w:p>
    <w:p w14:paraId="53C17202" w14:textId="77777777" w:rsidR="00D05EB0" w:rsidRPr="00102859" w:rsidRDefault="0032412A" w:rsidP="005C34DD">
      <w:pPr>
        <w:spacing w:line="480" w:lineRule="auto"/>
        <w:ind w:firstLine="720"/>
        <w:rPr>
          <w:i/>
          <w:iCs/>
          <w:shd w:val="clear" w:color="auto" w:fill="FFFFFF"/>
        </w:rPr>
      </w:pPr>
      <w:proofErr w:type="gramStart"/>
      <w:r w:rsidRPr="00102859">
        <w:rPr>
          <w:shd w:val="clear" w:color="auto" w:fill="FFFFFF"/>
        </w:rPr>
        <w:t>for</w:t>
      </w:r>
      <w:proofErr w:type="gramEnd"/>
      <w:r w:rsidRPr="00102859">
        <w:rPr>
          <w:shd w:val="clear" w:color="auto" w:fill="FFFFFF"/>
        </w:rPr>
        <w:t xml:space="preserve"> People with Tinnitus: A Scoping Review of Treatment Components. </w:t>
      </w:r>
      <w:r w:rsidRPr="00102859">
        <w:rPr>
          <w:i/>
          <w:iCs/>
          <w:shd w:val="clear" w:color="auto" w:fill="FFFFFF"/>
        </w:rPr>
        <w:t xml:space="preserve">Ear and </w:t>
      </w:r>
    </w:p>
    <w:p w14:paraId="42E9934A" w14:textId="6B374097" w:rsidR="0032412A" w:rsidRPr="00102859" w:rsidRDefault="0032412A" w:rsidP="005C34DD">
      <w:pPr>
        <w:spacing w:line="480" w:lineRule="auto"/>
        <w:ind w:firstLine="720"/>
        <w:rPr>
          <w:shd w:val="clear" w:color="auto" w:fill="FFFFFF"/>
        </w:rPr>
      </w:pPr>
      <w:proofErr w:type="gramStart"/>
      <w:r w:rsidRPr="00102859">
        <w:rPr>
          <w:i/>
          <w:iCs/>
          <w:shd w:val="clear" w:color="auto" w:fill="FFFFFF"/>
        </w:rPr>
        <w:t>hearing</w:t>
      </w:r>
      <w:proofErr w:type="gramEnd"/>
      <w:r w:rsidRPr="00102859">
        <w:rPr>
          <w:shd w:val="clear" w:color="auto" w:fill="FFFFFF"/>
        </w:rPr>
        <w:t>, </w:t>
      </w:r>
      <w:r w:rsidRPr="00102859">
        <w:rPr>
          <w:i/>
          <w:iCs/>
          <w:shd w:val="clear" w:color="auto" w:fill="FFFFFF"/>
        </w:rPr>
        <w:t>38</w:t>
      </w:r>
      <w:r w:rsidRPr="00102859">
        <w:rPr>
          <w:shd w:val="clear" w:color="auto" w:fill="FFFFFF"/>
        </w:rPr>
        <w:t xml:space="preserve">(2), 149–158. </w:t>
      </w:r>
      <w:hyperlink r:id="rId43" w:history="1">
        <w:r w:rsidR="00EE7EBC" w:rsidRPr="00102859">
          <w:rPr>
            <w:rStyle w:val="Hyperlink"/>
            <w:color w:val="auto"/>
            <w:u w:val="none"/>
            <w:shd w:val="clear" w:color="auto" w:fill="FFFFFF"/>
          </w:rPr>
          <w:t>https://doi.org/10.1097/AUD.0000000000000363</w:t>
        </w:r>
      </w:hyperlink>
    </w:p>
    <w:p w14:paraId="00D92FDB" w14:textId="77777777" w:rsidR="00366AC2" w:rsidRPr="00102859" w:rsidRDefault="00366AC2" w:rsidP="005C34DD">
      <w:pPr>
        <w:spacing w:line="480" w:lineRule="auto"/>
        <w:rPr>
          <w:shd w:val="clear" w:color="auto" w:fill="FFFFFF"/>
        </w:rPr>
      </w:pPr>
      <w:proofErr w:type="spellStart"/>
      <w:r w:rsidRPr="00102859">
        <w:rPr>
          <w:shd w:val="clear" w:color="auto" w:fill="FFFFFF"/>
        </w:rPr>
        <w:t>Thorén</w:t>
      </w:r>
      <w:proofErr w:type="spellEnd"/>
      <w:r w:rsidRPr="00102859">
        <w:rPr>
          <w:shd w:val="clear" w:color="auto" w:fill="FFFFFF"/>
        </w:rPr>
        <w:t xml:space="preserve">, E. S., Andersson, G., &amp; </w:t>
      </w:r>
      <w:proofErr w:type="spellStart"/>
      <w:r w:rsidRPr="00102859">
        <w:rPr>
          <w:shd w:val="clear" w:color="auto" w:fill="FFFFFF"/>
        </w:rPr>
        <w:t>Lunner</w:t>
      </w:r>
      <w:proofErr w:type="spellEnd"/>
      <w:r w:rsidRPr="00102859">
        <w:rPr>
          <w:shd w:val="clear" w:color="auto" w:fill="FFFFFF"/>
        </w:rPr>
        <w:t xml:space="preserve">, T. (2012). The use of research questionnaires </w:t>
      </w:r>
    </w:p>
    <w:p w14:paraId="4DC83760" w14:textId="77777777" w:rsidR="00366AC2" w:rsidRPr="00102859" w:rsidRDefault="00366AC2" w:rsidP="005C34DD">
      <w:pPr>
        <w:spacing w:line="480" w:lineRule="auto"/>
        <w:ind w:firstLine="720"/>
        <w:rPr>
          <w:i/>
          <w:iCs/>
          <w:shd w:val="clear" w:color="auto" w:fill="FFFFFF"/>
        </w:rPr>
      </w:pPr>
      <w:proofErr w:type="gramStart"/>
      <w:r w:rsidRPr="00102859">
        <w:rPr>
          <w:shd w:val="clear" w:color="auto" w:fill="FFFFFF"/>
        </w:rPr>
        <w:t>with</w:t>
      </w:r>
      <w:proofErr w:type="gramEnd"/>
      <w:r w:rsidRPr="00102859">
        <w:rPr>
          <w:shd w:val="clear" w:color="auto" w:fill="FFFFFF"/>
        </w:rPr>
        <w:t xml:space="preserve"> hearing impaired adults: online vs. paper-and-pencil administration. </w:t>
      </w:r>
      <w:r w:rsidRPr="00102859">
        <w:rPr>
          <w:i/>
          <w:iCs/>
          <w:shd w:val="clear" w:color="auto" w:fill="FFFFFF"/>
        </w:rPr>
        <w:t xml:space="preserve">BMC </w:t>
      </w:r>
    </w:p>
    <w:p w14:paraId="6C42F7EC" w14:textId="7C092FE2" w:rsidR="00366AC2" w:rsidRPr="00102859" w:rsidRDefault="00366AC2" w:rsidP="005C34DD">
      <w:pPr>
        <w:spacing w:line="480" w:lineRule="auto"/>
        <w:ind w:firstLine="720"/>
        <w:rPr>
          <w:shd w:val="clear" w:color="auto" w:fill="FFFFFF"/>
        </w:rPr>
      </w:pPr>
      <w:proofErr w:type="gramStart"/>
      <w:r w:rsidRPr="00102859">
        <w:rPr>
          <w:i/>
          <w:iCs/>
          <w:shd w:val="clear" w:color="auto" w:fill="FFFFFF"/>
        </w:rPr>
        <w:t>ear</w:t>
      </w:r>
      <w:proofErr w:type="gramEnd"/>
      <w:r w:rsidRPr="00102859">
        <w:rPr>
          <w:i/>
          <w:iCs/>
          <w:shd w:val="clear" w:color="auto" w:fill="FFFFFF"/>
        </w:rPr>
        <w:t>, nose, and throat disorders</w:t>
      </w:r>
      <w:r w:rsidRPr="00102859">
        <w:rPr>
          <w:shd w:val="clear" w:color="auto" w:fill="FFFFFF"/>
        </w:rPr>
        <w:t>, </w:t>
      </w:r>
      <w:r w:rsidRPr="00102859">
        <w:rPr>
          <w:i/>
          <w:iCs/>
          <w:shd w:val="clear" w:color="auto" w:fill="FFFFFF"/>
        </w:rPr>
        <w:t>12</w:t>
      </w:r>
      <w:r w:rsidRPr="00102859">
        <w:rPr>
          <w:shd w:val="clear" w:color="auto" w:fill="FFFFFF"/>
        </w:rPr>
        <w:t xml:space="preserve">, 12. </w:t>
      </w:r>
      <w:hyperlink r:id="rId44" w:history="1">
        <w:r w:rsidRPr="00102859">
          <w:rPr>
            <w:rStyle w:val="Hyperlink"/>
            <w:color w:val="auto"/>
            <w:u w:val="none"/>
            <w:shd w:val="clear" w:color="auto" w:fill="FFFFFF"/>
          </w:rPr>
          <w:t>https://doi.org/10.1186/1472-6815-12-</w:t>
        </w:r>
      </w:hyperlink>
    </w:p>
    <w:p w14:paraId="28496184" w14:textId="150141B8" w:rsidR="00366AC2" w:rsidRPr="00102859" w:rsidRDefault="00366AC2" w:rsidP="005C34DD">
      <w:pPr>
        <w:spacing w:line="480" w:lineRule="auto"/>
        <w:ind w:firstLine="720"/>
      </w:pPr>
      <w:r w:rsidRPr="00102859">
        <w:rPr>
          <w:shd w:val="clear" w:color="auto" w:fill="FFFFFF"/>
        </w:rPr>
        <w:t>12</w:t>
      </w:r>
    </w:p>
    <w:p w14:paraId="15C45494" w14:textId="77777777" w:rsidR="0032412A" w:rsidRPr="00102859" w:rsidRDefault="0032412A" w:rsidP="005C34DD">
      <w:pPr>
        <w:spacing w:line="480" w:lineRule="auto"/>
        <w:ind w:left="720" w:hanging="720"/>
        <w:rPr>
          <w:noProof/>
        </w:rPr>
      </w:pPr>
      <w:r w:rsidRPr="00102859">
        <w:rPr>
          <w:noProof/>
        </w:rPr>
        <w:t xml:space="preserve">Tunkel, D., Bauer, C., Sun, G., Rosenfeld, R., Chandrasekhar, S., Cunningham Jr, E., Archer, S. A., Blakley, B. W., Carter, J. M., Granieri, E. C., Henry, J. A., Hollingsworth, D., </w:t>
      </w:r>
      <w:r w:rsidRPr="00102859">
        <w:rPr>
          <w:noProof/>
        </w:rPr>
        <w:lastRenderedPageBreak/>
        <w:t xml:space="preserve">Khan, F. A., Mitchell, S., Monfared, A., Newman, C. W., Omole, F. S., Phillips, C. D., Robinson, S. K., . . . Whamond, E. J. (2014). Clinical practice guideline: Tinnitus. </w:t>
      </w:r>
      <w:r w:rsidRPr="00102859">
        <w:rPr>
          <w:i/>
          <w:iCs/>
          <w:noProof/>
        </w:rPr>
        <w:t>Otolaryngology–Head and Neck Surgery, 151</w:t>
      </w:r>
      <w:r w:rsidRPr="00102859">
        <w:rPr>
          <w:noProof/>
        </w:rPr>
        <w:t>(2_Suppl), S1-S40. http://doi:10.1177/0194599814545325</w:t>
      </w:r>
    </w:p>
    <w:p w14:paraId="27ED6B50" w14:textId="77777777" w:rsidR="0032412A" w:rsidRPr="00102859" w:rsidRDefault="0032412A" w:rsidP="005C34DD">
      <w:pPr>
        <w:spacing w:line="480" w:lineRule="auto"/>
        <w:rPr>
          <w:shd w:val="clear" w:color="auto" w:fill="FFFFFF"/>
        </w:rPr>
      </w:pPr>
      <w:proofErr w:type="spellStart"/>
      <w:r w:rsidRPr="00102859">
        <w:rPr>
          <w:shd w:val="clear" w:color="auto" w:fill="FFFFFF"/>
        </w:rPr>
        <w:t>Trevis</w:t>
      </w:r>
      <w:proofErr w:type="spellEnd"/>
      <w:r w:rsidRPr="00102859">
        <w:rPr>
          <w:shd w:val="clear" w:color="auto" w:fill="FFFFFF"/>
        </w:rPr>
        <w:t xml:space="preserve"> K, McLachlan N, </w:t>
      </w:r>
      <w:proofErr w:type="spellStart"/>
      <w:r w:rsidRPr="00102859">
        <w:rPr>
          <w:shd w:val="clear" w:color="auto" w:fill="FFFFFF"/>
        </w:rPr>
        <w:t>Wlison</w:t>
      </w:r>
      <w:proofErr w:type="spellEnd"/>
      <w:r w:rsidRPr="00102859">
        <w:rPr>
          <w:shd w:val="clear" w:color="auto" w:fill="FFFFFF"/>
        </w:rPr>
        <w:t xml:space="preserve"> S. A systematic review and meta-analysis of psychological </w:t>
      </w:r>
    </w:p>
    <w:p w14:paraId="5A3AA2B8" w14:textId="77777777" w:rsidR="0032412A" w:rsidRPr="00102859" w:rsidRDefault="0032412A" w:rsidP="005C34DD">
      <w:pPr>
        <w:spacing w:line="480" w:lineRule="auto"/>
        <w:ind w:firstLine="720"/>
        <w:rPr>
          <w:shd w:val="clear" w:color="auto" w:fill="FFFFFF"/>
          <w:lang w:val="sv-SE"/>
        </w:rPr>
      </w:pPr>
      <w:proofErr w:type="gramStart"/>
      <w:r w:rsidRPr="00102859">
        <w:rPr>
          <w:shd w:val="clear" w:color="auto" w:fill="FFFFFF"/>
        </w:rPr>
        <w:t>functioning</w:t>
      </w:r>
      <w:proofErr w:type="gramEnd"/>
      <w:r w:rsidRPr="00102859">
        <w:rPr>
          <w:shd w:val="clear" w:color="auto" w:fill="FFFFFF"/>
        </w:rPr>
        <w:t xml:space="preserve"> in chronic tinnitus. </w:t>
      </w:r>
      <w:proofErr w:type="spellStart"/>
      <w:r w:rsidRPr="00102859">
        <w:rPr>
          <w:i/>
          <w:iCs/>
          <w:shd w:val="clear" w:color="auto" w:fill="FFFFFF"/>
        </w:rPr>
        <w:t>Clin</w:t>
      </w:r>
      <w:proofErr w:type="spellEnd"/>
      <w:r w:rsidRPr="00102859">
        <w:rPr>
          <w:i/>
          <w:iCs/>
          <w:shd w:val="clear" w:color="auto" w:fill="FFFFFF"/>
        </w:rPr>
        <w:t xml:space="preserve"> </w:t>
      </w:r>
      <w:proofErr w:type="spellStart"/>
      <w:r w:rsidRPr="00102859">
        <w:rPr>
          <w:i/>
          <w:iCs/>
          <w:shd w:val="clear" w:color="auto" w:fill="FFFFFF"/>
        </w:rPr>
        <w:t>Psychol</w:t>
      </w:r>
      <w:proofErr w:type="spellEnd"/>
      <w:r w:rsidRPr="00102859">
        <w:rPr>
          <w:i/>
          <w:iCs/>
          <w:shd w:val="clear" w:color="auto" w:fill="FFFFFF"/>
        </w:rPr>
        <w:t xml:space="preserve"> Rev</w:t>
      </w:r>
      <w:r w:rsidRPr="00102859">
        <w:rPr>
          <w:shd w:val="clear" w:color="auto" w:fill="FFFFFF"/>
        </w:rPr>
        <w:t xml:space="preserve">. </w:t>
      </w:r>
      <w:r w:rsidRPr="00102859">
        <w:rPr>
          <w:shd w:val="clear" w:color="auto" w:fill="FFFFFF"/>
          <w:lang w:val="sv-SE"/>
        </w:rPr>
        <w:t xml:space="preserve">(2018) 60:62–86. http://doi: </w:t>
      </w:r>
    </w:p>
    <w:p w14:paraId="168151B3" w14:textId="77777777" w:rsidR="0032412A" w:rsidRPr="00102859" w:rsidRDefault="0032412A" w:rsidP="005C34DD">
      <w:pPr>
        <w:spacing w:line="480" w:lineRule="auto"/>
        <w:ind w:firstLine="720"/>
        <w:rPr>
          <w:lang w:val="sv-SE"/>
        </w:rPr>
      </w:pPr>
      <w:r w:rsidRPr="00102859">
        <w:rPr>
          <w:shd w:val="clear" w:color="auto" w:fill="FFFFFF"/>
          <w:lang w:val="sv-SE"/>
        </w:rPr>
        <w:t>10.1016/j.cpr.2017.12.006</w:t>
      </w:r>
    </w:p>
    <w:p w14:paraId="255EA7D8" w14:textId="77777777" w:rsidR="00D05EB0" w:rsidRPr="00102859" w:rsidRDefault="0032412A" w:rsidP="005C34DD">
      <w:pPr>
        <w:spacing w:line="480" w:lineRule="auto"/>
        <w:rPr>
          <w:shd w:val="clear" w:color="auto" w:fill="FFFFFF"/>
        </w:rPr>
      </w:pPr>
      <w:r w:rsidRPr="00102859">
        <w:rPr>
          <w:shd w:val="clear" w:color="auto" w:fill="FFFFFF"/>
          <w:lang w:val="sv-SE"/>
        </w:rPr>
        <w:t xml:space="preserve">van den Berge M, Free R, Arnold R et al. </w:t>
      </w:r>
      <w:r w:rsidRPr="00102859">
        <w:rPr>
          <w:shd w:val="clear" w:color="auto" w:fill="FFFFFF"/>
        </w:rPr>
        <w:t xml:space="preserve">Cluster Analysis to Identify Possible Subgroups in </w:t>
      </w:r>
    </w:p>
    <w:p w14:paraId="2EFDD219" w14:textId="050CB54C" w:rsidR="00E424D0" w:rsidRPr="00102859" w:rsidRDefault="0032412A" w:rsidP="005C34DD">
      <w:pPr>
        <w:spacing w:line="480" w:lineRule="auto"/>
        <w:ind w:firstLine="720"/>
        <w:rPr>
          <w:shd w:val="clear" w:color="auto" w:fill="FFFFFF"/>
        </w:rPr>
      </w:pPr>
      <w:r w:rsidRPr="00102859">
        <w:rPr>
          <w:shd w:val="clear" w:color="auto" w:fill="FFFFFF"/>
        </w:rPr>
        <w:t>Tinnitus Patients. </w:t>
      </w:r>
      <w:r w:rsidRPr="00102859">
        <w:rPr>
          <w:i/>
          <w:iCs/>
          <w:shd w:val="clear" w:color="auto" w:fill="FFFFFF"/>
        </w:rPr>
        <w:t>Front Neurol</w:t>
      </w:r>
      <w:r w:rsidRPr="00102859">
        <w:rPr>
          <w:shd w:val="clear" w:color="auto" w:fill="FFFFFF"/>
        </w:rPr>
        <w:t>. 2017</w:t>
      </w:r>
      <w:proofErr w:type="gramStart"/>
      <w:r w:rsidRPr="00102859">
        <w:rPr>
          <w:shd w:val="clear" w:color="auto" w:fill="FFFFFF"/>
        </w:rPr>
        <w:t>;8</w:t>
      </w:r>
      <w:proofErr w:type="gramEnd"/>
      <w:r w:rsidRPr="00102859">
        <w:rPr>
          <w:shd w:val="clear" w:color="auto" w:fill="FFFFFF"/>
        </w:rPr>
        <w:t>. doi:10.3389/fneur.2017.00115</w:t>
      </w:r>
    </w:p>
    <w:p w14:paraId="4DF8ECEB" w14:textId="77777777" w:rsidR="00EE7EBC" w:rsidRPr="00102859" w:rsidRDefault="00E424D0" w:rsidP="005C34DD">
      <w:pPr>
        <w:spacing w:line="480" w:lineRule="auto"/>
        <w:rPr>
          <w:shd w:val="clear" w:color="auto" w:fill="FFFFFF"/>
        </w:rPr>
      </w:pPr>
      <w:r w:rsidRPr="00102859">
        <w:rPr>
          <w:shd w:val="clear" w:color="auto" w:fill="FFFFFF"/>
        </w:rPr>
        <w:t xml:space="preserve">Vlaescu, G., </w:t>
      </w:r>
      <w:proofErr w:type="spellStart"/>
      <w:r w:rsidRPr="00102859">
        <w:rPr>
          <w:shd w:val="clear" w:color="auto" w:fill="FFFFFF"/>
        </w:rPr>
        <w:t>Alasjö</w:t>
      </w:r>
      <w:proofErr w:type="spellEnd"/>
      <w:r w:rsidRPr="00102859">
        <w:rPr>
          <w:shd w:val="clear" w:color="auto" w:fill="FFFFFF"/>
        </w:rPr>
        <w:t xml:space="preserve">, A., </w:t>
      </w:r>
      <w:proofErr w:type="spellStart"/>
      <w:r w:rsidRPr="00102859">
        <w:rPr>
          <w:shd w:val="clear" w:color="auto" w:fill="FFFFFF"/>
        </w:rPr>
        <w:t>Miloff</w:t>
      </w:r>
      <w:proofErr w:type="spellEnd"/>
      <w:r w:rsidRPr="00102859">
        <w:rPr>
          <w:shd w:val="clear" w:color="auto" w:fill="FFFFFF"/>
        </w:rPr>
        <w:t xml:space="preserve">, A., </w:t>
      </w:r>
      <w:proofErr w:type="spellStart"/>
      <w:r w:rsidRPr="00102859">
        <w:rPr>
          <w:shd w:val="clear" w:color="auto" w:fill="FFFFFF"/>
        </w:rPr>
        <w:t>Carlbring</w:t>
      </w:r>
      <w:proofErr w:type="spellEnd"/>
      <w:r w:rsidRPr="00102859">
        <w:rPr>
          <w:shd w:val="clear" w:color="auto" w:fill="FFFFFF"/>
        </w:rPr>
        <w:t xml:space="preserve">, P., &amp; Andersson, G. (2016). Features and </w:t>
      </w:r>
    </w:p>
    <w:p w14:paraId="4F5AAE49" w14:textId="48E32B17" w:rsidR="00E424D0" w:rsidRPr="00102859" w:rsidRDefault="00E424D0" w:rsidP="005C34DD">
      <w:pPr>
        <w:spacing w:line="480" w:lineRule="auto"/>
        <w:ind w:left="720"/>
        <w:rPr>
          <w:shd w:val="clear" w:color="auto" w:fill="FFFFFF"/>
        </w:rPr>
      </w:pPr>
      <w:proofErr w:type="gramStart"/>
      <w:r w:rsidRPr="00102859">
        <w:rPr>
          <w:shd w:val="clear" w:color="auto" w:fill="FFFFFF"/>
        </w:rPr>
        <w:t>functionality</w:t>
      </w:r>
      <w:proofErr w:type="gramEnd"/>
      <w:r w:rsidRPr="00102859">
        <w:rPr>
          <w:shd w:val="clear" w:color="auto" w:fill="FFFFFF"/>
        </w:rPr>
        <w:t xml:space="preserve"> of the </w:t>
      </w:r>
      <w:proofErr w:type="spellStart"/>
      <w:r w:rsidRPr="00102859">
        <w:rPr>
          <w:shd w:val="clear" w:color="auto" w:fill="FFFFFF"/>
        </w:rPr>
        <w:t>Iterapi</w:t>
      </w:r>
      <w:proofErr w:type="spellEnd"/>
      <w:r w:rsidRPr="00102859">
        <w:rPr>
          <w:shd w:val="clear" w:color="auto" w:fill="FFFFFF"/>
        </w:rPr>
        <w:t xml:space="preserve"> platform for internet-based psychological treatment. </w:t>
      </w:r>
      <w:r w:rsidRPr="00102859">
        <w:rPr>
          <w:i/>
          <w:iCs/>
          <w:shd w:val="clear" w:color="auto" w:fill="FFFFFF"/>
        </w:rPr>
        <w:t>Internet Interventions</w:t>
      </w:r>
      <w:r w:rsidRPr="00102859">
        <w:rPr>
          <w:shd w:val="clear" w:color="auto" w:fill="FFFFFF"/>
        </w:rPr>
        <w:t>, </w:t>
      </w:r>
      <w:r w:rsidRPr="00102859">
        <w:rPr>
          <w:i/>
          <w:iCs/>
          <w:shd w:val="clear" w:color="auto" w:fill="FFFFFF"/>
        </w:rPr>
        <w:t>6</w:t>
      </w:r>
      <w:r w:rsidRPr="00102859">
        <w:rPr>
          <w:shd w:val="clear" w:color="auto" w:fill="FFFFFF"/>
        </w:rPr>
        <w:t>, 107-114.</w:t>
      </w:r>
      <w:r w:rsidRPr="00102859">
        <w:t xml:space="preserve"> </w:t>
      </w:r>
      <w:hyperlink r:id="rId45" w:history="1">
        <w:r w:rsidR="000D03B4" w:rsidRPr="00102859">
          <w:rPr>
            <w:rStyle w:val="Hyperlink"/>
            <w:color w:val="auto"/>
            <w:u w:val="none"/>
          </w:rPr>
          <w:t>https://doi.org/10.1016/j.invent.2016.09.006</w:t>
        </w:r>
      </w:hyperlink>
    </w:p>
    <w:p w14:paraId="20FB62D4" w14:textId="77777777" w:rsidR="0032412A" w:rsidRPr="00102859" w:rsidRDefault="0032412A" w:rsidP="005C34DD">
      <w:pPr>
        <w:spacing w:line="480" w:lineRule="auto"/>
        <w:ind w:left="720" w:hanging="720"/>
        <w:rPr>
          <w:noProof/>
          <w:lang w:val="sv-SE"/>
        </w:rPr>
      </w:pPr>
      <w:r w:rsidRPr="00102859">
        <w:rPr>
          <w:noProof/>
        </w:rPr>
        <w:t xml:space="preserve">Wilson, P., &amp; Henry, J. (1998). Tinnitus Cognitions Questionnaire: Development and psychometric properties of a measure of dysfunctional cognitions associated with tinnitus. </w:t>
      </w:r>
      <w:r w:rsidRPr="00102859">
        <w:rPr>
          <w:i/>
          <w:iCs/>
          <w:noProof/>
          <w:lang w:val="sv-SE"/>
        </w:rPr>
        <w:t>International Tinnitus Journal, 4</w:t>
      </w:r>
      <w:r w:rsidRPr="00102859">
        <w:rPr>
          <w:noProof/>
          <w:lang w:val="sv-SE"/>
        </w:rPr>
        <w:t>(1), 23-30.</w:t>
      </w:r>
    </w:p>
    <w:p w14:paraId="1ECCB6D8" w14:textId="65A802BC" w:rsidR="0032412A" w:rsidRPr="00102859" w:rsidRDefault="0032412A" w:rsidP="00E37EA4">
      <w:pPr>
        <w:spacing w:line="480" w:lineRule="auto"/>
        <w:ind w:left="720" w:hanging="720"/>
        <w:rPr>
          <w:noProof/>
        </w:rPr>
      </w:pPr>
      <w:r w:rsidRPr="00102859">
        <w:rPr>
          <w:noProof/>
          <w:lang w:val="sv-SE"/>
        </w:rPr>
        <w:t xml:space="preserve">Zenner, H.P., Delb, W., Kröner-Herwig, B., Jäger, B., Peroz, I., Hesse, G., Mazurek, B., Goebel, G., Gerloff, C., Trollmann, R., Biesinger, E., Seidler, H., &amp; Langguth, B. (2017). </w:t>
      </w:r>
      <w:r w:rsidRPr="00102859">
        <w:rPr>
          <w:noProof/>
        </w:rPr>
        <w:t xml:space="preserve">A multidisciplinary systematic review of the treatment for chronic idiopathic tinnitus. </w:t>
      </w:r>
      <w:r w:rsidRPr="00102859">
        <w:rPr>
          <w:i/>
          <w:iCs/>
          <w:noProof/>
        </w:rPr>
        <w:t>European Archive of Otorhinolaryngology, 274</w:t>
      </w:r>
      <w:r w:rsidRPr="00102859">
        <w:rPr>
          <w:noProof/>
        </w:rPr>
        <w:t>, 2079-2091.</w:t>
      </w:r>
      <w:r w:rsidRPr="00102859">
        <w:rPr>
          <w:shd w:val="clear" w:color="auto" w:fill="FFFFFF"/>
        </w:rPr>
        <w:t xml:space="preserve"> </w:t>
      </w:r>
      <w:r w:rsidRPr="00102859">
        <w:rPr>
          <w:noProof/>
        </w:rPr>
        <w:t>doi:10.1007/s00405-016-4401-y</w:t>
      </w:r>
    </w:p>
    <w:p w14:paraId="351E1FB8" w14:textId="5AC47468" w:rsidR="00BC36AA" w:rsidRPr="00102859" w:rsidRDefault="00BC36AA" w:rsidP="005C34DD">
      <w:pPr>
        <w:spacing w:line="480" w:lineRule="auto"/>
        <w:rPr>
          <w:b/>
          <w:bCs/>
        </w:rPr>
      </w:pPr>
    </w:p>
    <w:p w14:paraId="28FF9EE6" w14:textId="77777777" w:rsidR="00394D62" w:rsidRPr="00102859" w:rsidRDefault="00394D62" w:rsidP="005C34DD">
      <w:pPr>
        <w:spacing w:line="480" w:lineRule="auto"/>
      </w:pPr>
    </w:p>
    <w:p w14:paraId="4AEB1574" w14:textId="178F4C5C" w:rsidR="00694DA8" w:rsidRPr="00102859" w:rsidRDefault="00694DA8" w:rsidP="005C34DD">
      <w:pPr>
        <w:spacing w:line="480" w:lineRule="auto"/>
        <w:sectPr w:rsidR="00694DA8" w:rsidRPr="00102859" w:rsidSect="00791284">
          <w:type w:val="continuous"/>
          <w:pgSz w:w="11900" w:h="16840"/>
          <w:pgMar w:top="1440" w:right="1440" w:bottom="1440" w:left="1440" w:header="708" w:footer="708" w:gutter="0"/>
          <w:lnNumType w:countBy="1" w:restart="continuous"/>
          <w:cols w:space="708"/>
          <w:docGrid w:linePitch="360"/>
        </w:sectPr>
      </w:pPr>
    </w:p>
    <w:p w14:paraId="3DAFAE8F" w14:textId="77777777" w:rsidR="00DC757A" w:rsidRPr="00102859" w:rsidRDefault="00DC757A" w:rsidP="005C34DD">
      <w:pPr>
        <w:spacing w:line="480" w:lineRule="auto"/>
      </w:pPr>
    </w:p>
    <w:sectPr w:rsidR="00DC757A" w:rsidRPr="00102859" w:rsidSect="00791284">
      <w:footerReference w:type="default" r:id="rId46"/>
      <w:type w:val="continuous"/>
      <w:pgSz w:w="11900" w:h="16840"/>
      <w:pgMar w:top="1440" w:right="1440" w:bottom="1440" w:left="1440" w:header="708" w:footer="708" w:gutter="0"/>
      <w:lnNumType w:countBy="1" w:restart="continuou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FB645" w16cex:dateUtc="2021-04-25T14:35:00Z"/>
  <w16cex:commentExtensible w16cex:durableId="242FB656" w16cex:dateUtc="2021-04-25T14:35:00Z"/>
  <w16cex:commentExtensible w16cex:durableId="242FB660" w16cex:dateUtc="2021-04-25T14:35:00Z"/>
  <w16cex:commentExtensible w16cex:durableId="242FB2AD" w16cex:dateUtc="2021-04-25T14:19:00Z"/>
  <w16cex:commentExtensible w16cex:durableId="242FB465" w16cex:dateUtc="2021-04-25T14:27:00Z"/>
  <w16cex:commentExtensible w16cex:durableId="242FB6F8" w16cex:dateUtc="2021-04-25T14:38:00Z"/>
  <w16cex:commentExtensible w16cex:durableId="242FAC67" w16cex:dateUtc="2021-04-25T13:52:00Z"/>
  <w16cex:commentExtensible w16cex:durableId="242FBA18" w16cex:dateUtc="2021-04-25T14: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7FF22E9" w16cid:durableId="242FB645"/>
  <w16cid:commentId w16cid:paraId="71CC3F29" w16cid:durableId="242FB656"/>
  <w16cid:commentId w16cid:paraId="425E4596" w16cid:durableId="242FB660"/>
  <w16cid:commentId w16cid:paraId="1ECAE814" w16cid:durableId="242FB2AD"/>
  <w16cid:commentId w16cid:paraId="12A2142E" w16cid:durableId="242FB465"/>
  <w16cid:commentId w16cid:paraId="53EFE624" w16cid:durableId="242FB6F8"/>
  <w16cid:commentId w16cid:paraId="1CD14A50" w16cid:durableId="242FAC67"/>
  <w16cid:commentId w16cid:paraId="73053F27" w16cid:durableId="242FBA1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D2321" w14:textId="77777777" w:rsidR="001E6D28" w:rsidRDefault="001E6D28">
      <w:r>
        <w:separator/>
      </w:r>
    </w:p>
  </w:endnote>
  <w:endnote w:type="continuationSeparator" w:id="0">
    <w:p w14:paraId="10E1E88B" w14:textId="77777777" w:rsidR="001E6D28" w:rsidRDefault="001E6D28">
      <w:r>
        <w:continuationSeparator/>
      </w:r>
    </w:p>
  </w:endnote>
  <w:endnote w:type="continuationNotice" w:id="1">
    <w:p w14:paraId="13562685" w14:textId="77777777" w:rsidR="001E6D28" w:rsidRDefault="001E6D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EB Garamon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0577"/>
      <w:docPartObj>
        <w:docPartGallery w:val="Page Numbers (Bottom of Page)"/>
        <w:docPartUnique/>
      </w:docPartObj>
    </w:sdtPr>
    <w:sdtEndPr>
      <w:rPr>
        <w:noProof/>
      </w:rPr>
    </w:sdtEndPr>
    <w:sdtContent>
      <w:p w14:paraId="119F9588" w14:textId="161A0B25" w:rsidR="001E6D28" w:rsidRDefault="001E6D28">
        <w:pPr>
          <w:pStyle w:val="Footer"/>
          <w:jc w:val="right"/>
        </w:pPr>
        <w:r>
          <w:fldChar w:fldCharType="begin"/>
        </w:r>
        <w:r>
          <w:instrText xml:space="preserve"> PAGE   \* MERGEFORMAT </w:instrText>
        </w:r>
        <w:r>
          <w:fldChar w:fldCharType="separate"/>
        </w:r>
        <w:r w:rsidR="00102859">
          <w:rPr>
            <w:noProof/>
          </w:rPr>
          <w:t>53</w:t>
        </w:r>
        <w:r>
          <w:rPr>
            <w:noProof/>
          </w:rPr>
          <w:fldChar w:fldCharType="end"/>
        </w:r>
      </w:p>
    </w:sdtContent>
  </w:sdt>
  <w:p w14:paraId="753748B1" w14:textId="77777777" w:rsidR="001E6D28" w:rsidRDefault="001E6D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4F423" w14:textId="77777777" w:rsidR="001E6D28" w:rsidRDefault="001E6D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B8251" w14:textId="77777777" w:rsidR="001E6D28" w:rsidRDefault="001E6D28">
      <w:r>
        <w:separator/>
      </w:r>
    </w:p>
  </w:footnote>
  <w:footnote w:type="continuationSeparator" w:id="0">
    <w:p w14:paraId="483DD3EF" w14:textId="77777777" w:rsidR="001E6D28" w:rsidRDefault="001E6D28">
      <w:r>
        <w:continuationSeparator/>
      </w:r>
    </w:p>
  </w:footnote>
  <w:footnote w:type="continuationNotice" w:id="1">
    <w:p w14:paraId="00394EBC" w14:textId="77777777" w:rsidR="001E6D28" w:rsidRDefault="001E6D2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48753150"/>
      <w:docPartObj>
        <w:docPartGallery w:val="Page Numbers (Top of Page)"/>
        <w:docPartUnique/>
      </w:docPartObj>
    </w:sdtPr>
    <w:sdtEndPr>
      <w:rPr>
        <w:rStyle w:val="PageNumber"/>
      </w:rPr>
    </w:sdtEndPr>
    <w:sdtContent>
      <w:p w14:paraId="078D3D04" w14:textId="20FFB8C4" w:rsidR="001E6D28" w:rsidRDefault="001E6D28" w:rsidP="000741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AB3E99" w14:textId="77777777" w:rsidR="001E6D28" w:rsidRDefault="001E6D28" w:rsidP="007B21C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783240240"/>
      <w:docPartObj>
        <w:docPartGallery w:val="Page Numbers (Top of Page)"/>
        <w:docPartUnique/>
      </w:docPartObj>
    </w:sdtPr>
    <w:sdtEndPr>
      <w:rPr>
        <w:rStyle w:val="PageNumber"/>
      </w:rPr>
    </w:sdtEndPr>
    <w:sdtContent>
      <w:p w14:paraId="28A3B935" w14:textId="624B8A74" w:rsidR="001E6D28" w:rsidRDefault="001E6D28" w:rsidP="000741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02859">
          <w:rPr>
            <w:rStyle w:val="PageNumber"/>
            <w:noProof/>
          </w:rPr>
          <w:t>2</w:t>
        </w:r>
        <w:r>
          <w:rPr>
            <w:rStyle w:val="PageNumber"/>
          </w:rPr>
          <w:fldChar w:fldCharType="end"/>
        </w:r>
      </w:p>
    </w:sdtContent>
  </w:sdt>
  <w:p w14:paraId="5D8DEC01" w14:textId="77777777" w:rsidR="001E6D28" w:rsidRDefault="001E6D28" w:rsidP="007B21C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6FDB"/>
    <w:multiLevelType w:val="hybridMultilevel"/>
    <w:tmpl w:val="CE64620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2E158E"/>
    <w:multiLevelType w:val="hybridMultilevel"/>
    <w:tmpl w:val="6B109D0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7D11FE3"/>
    <w:multiLevelType w:val="hybridMultilevel"/>
    <w:tmpl w:val="05304600"/>
    <w:lvl w:ilvl="0" w:tplc="08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5E7CEA"/>
    <w:multiLevelType w:val="hybridMultilevel"/>
    <w:tmpl w:val="B61250B4"/>
    <w:lvl w:ilvl="0" w:tplc="8C503AD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920DB4"/>
    <w:multiLevelType w:val="hybridMultilevel"/>
    <w:tmpl w:val="960EFCC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D202F6"/>
    <w:multiLevelType w:val="hybridMultilevel"/>
    <w:tmpl w:val="6A06F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A63589"/>
    <w:multiLevelType w:val="hybridMultilevel"/>
    <w:tmpl w:val="16843A9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CD1E2E"/>
    <w:multiLevelType w:val="hybridMultilevel"/>
    <w:tmpl w:val="1200E19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C8E7560"/>
    <w:multiLevelType w:val="hybridMultilevel"/>
    <w:tmpl w:val="8AA0B62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E441DBB"/>
    <w:multiLevelType w:val="hybridMultilevel"/>
    <w:tmpl w:val="84F6589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F324F86"/>
    <w:multiLevelType w:val="multilevel"/>
    <w:tmpl w:val="C1CAD9B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C90837"/>
    <w:multiLevelType w:val="hybridMultilevel"/>
    <w:tmpl w:val="065EA22C"/>
    <w:lvl w:ilvl="0" w:tplc="E5267D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5A53A2"/>
    <w:multiLevelType w:val="hybridMultilevel"/>
    <w:tmpl w:val="56DC8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AE1338"/>
    <w:multiLevelType w:val="hybridMultilevel"/>
    <w:tmpl w:val="FA74BC3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B77821"/>
    <w:multiLevelType w:val="hybridMultilevel"/>
    <w:tmpl w:val="6B109D0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DD10AC8"/>
    <w:multiLevelType w:val="hybridMultilevel"/>
    <w:tmpl w:val="A8ECD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276904"/>
    <w:multiLevelType w:val="hybridMultilevel"/>
    <w:tmpl w:val="6B109D0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6C0512E"/>
    <w:multiLevelType w:val="multilevel"/>
    <w:tmpl w:val="0EBEEBCA"/>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FE64B5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737DB9"/>
    <w:multiLevelType w:val="hybridMultilevel"/>
    <w:tmpl w:val="EB92EA7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8B6146"/>
    <w:multiLevelType w:val="hybridMultilevel"/>
    <w:tmpl w:val="1276856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54667C"/>
    <w:multiLevelType w:val="hybridMultilevel"/>
    <w:tmpl w:val="97B22268"/>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FAF2C99"/>
    <w:multiLevelType w:val="hybridMultilevel"/>
    <w:tmpl w:val="321E165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2"/>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23"/>
  </w:num>
  <w:num w:numId="8">
    <w:abstractNumId w:val="16"/>
  </w:num>
  <w:num w:numId="9">
    <w:abstractNumId w:val="1"/>
  </w:num>
  <w:num w:numId="10">
    <w:abstractNumId w:val="13"/>
  </w:num>
  <w:num w:numId="11">
    <w:abstractNumId w:val="20"/>
  </w:num>
  <w:num w:numId="12">
    <w:abstractNumId w:val="14"/>
  </w:num>
  <w:num w:numId="13">
    <w:abstractNumId w:val="19"/>
  </w:num>
  <w:num w:numId="14">
    <w:abstractNumId w:val="3"/>
  </w:num>
  <w:num w:numId="15">
    <w:abstractNumId w:val="6"/>
  </w:num>
  <w:num w:numId="16">
    <w:abstractNumId w:val="21"/>
  </w:num>
  <w:num w:numId="17">
    <w:abstractNumId w:val="11"/>
  </w:num>
  <w:num w:numId="18">
    <w:abstractNumId w:val="18"/>
  </w:num>
  <w:num w:numId="19">
    <w:abstractNumId w:val="4"/>
  </w:num>
  <w:num w:numId="20">
    <w:abstractNumId w:val="22"/>
  </w:num>
  <w:num w:numId="21">
    <w:abstractNumId w:val="7"/>
  </w:num>
  <w:num w:numId="22">
    <w:abstractNumId w:val="10"/>
  </w:num>
  <w:num w:numId="23">
    <w:abstractNumId w:val="17"/>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849"/>
    <w:rsid w:val="00001032"/>
    <w:rsid w:val="00002C37"/>
    <w:rsid w:val="00002FA5"/>
    <w:rsid w:val="0000319C"/>
    <w:rsid w:val="000033E4"/>
    <w:rsid w:val="000036FA"/>
    <w:rsid w:val="00005532"/>
    <w:rsid w:val="00006729"/>
    <w:rsid w:val="00007D62"/>
    <w:rsid w:val="00010571"/>
    <w:rsid w:val="00012F6C"/>
    <w:rsid w:val="0001338E"/>
    <w:rsid w:val="00013A58"/>
    <w:rsid w:val="00014FE0"/>
    <w:rsid w:val="00016E92"/>
    <w:rsid w:val="00017BF0"/>
    <w:rsid w:val="00017FA8"/>
    <w:rsid w:val="00020A62"/>
    <w:rsid w:val="00021605"/>
    <w:rsid w:val="0002307C"/>
    <w:rsid w:val="000241C6"/>
    <w:rsid w:val="00025B22"/>
    <w:rsid w:val="000265EF"/>
    <w:rsid w:val="00027454"/>
    <w:rsid w:val="00027461"/>
    <w:rsid w:val="00027516"/>
    <w:rsid w:val="0003186F"/>
    <w:rsid w:val="00033761"/>
    <w:rsid w:val="000348F9"/>
    <w:rsid w:val="00035F2E"/>
    <w:rsid w:val="00037C00"/>
    <w:rsid w:val="00041F1C"/>
    <w:rsid w:val="00042095"/>
    <w:rsid w:val="00043B04"/>
    <w:rsid w:val="00044CFB"/>
    <w:rsid w:val="00045ADE"/>
    <w:rsid w:val="00045EC6"/>
    <w:rsid w:val="00046C3F"/>
    <w:rsid w:val="00047A79"/>
    <w:rsid w:val="000530CD"/>
    <w:rsid w:val="000533AD"/>
    <w:rsid w:val="00053D62"/>
    <w:rsid w:val="00055A29"/>
    <w:rsid w:val="0006458E"/>
    <w:rsid w:val="000645DE"/>
    <w:rsid w:val="000652DA"/>
    <w:rsid w:val="000662A2"/>
    <w:rsid w:val="00066BFC"/>
    <w:rsid w:val="00066F08"/>
    <w:rsid w:val="00066F8E"/>
    <w:rsid w:val="00067ADD"/>
    <w:rsid w:val="00070A37"/>
    <w:rsid w:val="000726A8"/>
    <w:rsid w:val="00072FDD"/>
    <w:rsid w:val="00074148"/>
    <w:rsid w:val="000741B5"/>
    <w:rsid w:val="0007497D"/>
    <w:rsid w:val="0007508C"/>
    <w:rsid w:val="00077C30"/>
    <w:rsid w:val="00081E42"/>
    <w:rsid w:val="00082DB7"/>
    <w:rsid w:val="00084F15"/>
    <w:rsid w:val="00085208"/>
    <w:rsid w:val="000864C7"/>
    <w:rsid w:val="000872A5"/>
    <w:rsid w:val="00087338"/>
    <w:rsid w:val="00091390"/>
    <w:rsid w:val="000928BD"/>
    <w:rsid w:val="00094878"/>
    <w:rsid w:val="00096B84"/>
    <w:rsid w:val="000975F1"/>
    <w:rsid w:val="000A03FB"/>
    <w:rsid w:val="000A06B2"/>
    <w:rsid w:val="000A184A"/>
    <w:rsid w:val="000A18CB"/>
    <w:rsid w:val="000A2026"/>
    <w:rsid w:val="000A27BD"/>
    <w:rsid w:val="000A373A"/>
    <w:rsid w:val="000A3A92"/>
    <w:rsid w:val="000A484F"/>
    <w:rsid w:val="000A54A7"/>
    <w:rsid w:val="000A5B72"/>
    <w:rsid w:val="000A77AD"/>
    <w:rsid w:val="000A7B6C"/>
    <w:rsid w:val="000A7E3E"/>
    <w:rsid w:val="000B19A4"/>
    <w:rsid w:val="000B233F"/>
    <w:rsid w:val="000B325C"/>
    <w:rsid w:val="000B361C"/>
    <w:rsid w:val="000B4EC9"/>
    <w:rsid w:val="000B5435"/>
    <w:rsid w:val="000B59A1"/>
    <w:rsid w:val="000B620D"/>
    <w:rsid w:val="000B6AF5"/>
    <w:rsid w:val="000B7084"/>
    <w:rsid w:val="000C28BB"/>
    <w:rsid w:val="000C46CF"/>
    <w:rsid w:val="000C699D"/>
    <w:rsid w:val="000C6D1E"/>
    <w:rsid w:val="000C796C"/>
    <w:rsid w:val="000C7F2E"/>
    <w:rsid w:val="000D03B4"/>
    <w:rsid w:val="000D1194"/>
    <w:rsid w:val="000D1916"/>
    <w:rsid w:val="000D2014"/>
    <w:rsid w:val="000D4062"/>
    <w:rsid w:val="000D73BB"/>
    <w:rsid w:val="000E086E"/>
    <w:rsid w:val="000E11A1"/>
    <w:rsid w:val="000E3491"/>
    <w:rsid w:val="000E48B1"/>
    <w:rsid w:val="000E625A"/>
    <w:rsid w:val="000E6C85"/>
    <w:rsid w:val="000E6FBF"/>
    <w:rsid w:val="000E72FD"/>
    <w:rsid w:val="000E7B91"/>
    <w:rsid w:val="000F0232"/>
    <w:rsid w:val="000F2960"/>
    <w:rsid w:val="000F2DA7"/>
    <w:rsid w:val="000F394C"/>
    <w:rsid w:val="000F444A"/>
    <w:rsid w:val="000F4809"/>
    <w:rsid w:val="000F5127"/>
    <w:rsid w:val="000F5AED"/>
    <w:rsid w:val="000F5B24"/>
    <w:rsid w:val="000F623B"/>
    <w:rsid w:val="000F6CDB"/>
    <w:rsid w:val="000F749D"/>
    <w:rsid w:val="001012D4"/>
    <w:rsid w:val="00102859"/>
    <w:rsid w:val="00102E8B"/>
    <w:rsid w:val="001033BF"/>
    <w:rsid w:val="00103657"/>
    <w:rsid w:val="00103A01"/>
    <w:rsid w:val="00105693"/>
    <w:rsid w:val="00105C89"/>
    <w:rsid w:val="00106988"/>
    <w:rsid w:val="0010756E"/>
    <w:rsid w:val="00107CA2"/>
    <w:rsid w:val="00110CE5"/>
    <w:rsid w:val="0011340A"/>
    <w:rsid w:val="00115359"/>
    <w:rsid w:val="0011621A"/>
    <w:rsid w:val="001171A7"/>
    <w:rsid w:val="00117480"/>
    <w:rsid w:val="001175F6"/>
    <w:rsid w:val="00120DB2"/>
    <w:rsid w:val="00122523"/>
    <w:rsid w:val="00123182"/>
    <w:rsid w:val="0012424E"/>
    <w:rsid w:val="001242F3"/>
    <w:rsid w:val="001243AD"/>
    <w:rsid w:val="001245A5"/>
    <w:rsid w:val="0013012A"/>
    <w:rsid w:val="00131843"/>
    <w:rsid w:val="0013209D"/>
    <w:rsid w:val="00132BE6"/>
    <w:rsid w:val="001338CE"/>
    <w:rsid w:val="00134189"/>
    <w:rsid w:val="00134B8F"/>
    <w:rsid w:val="00136100"/>
    <w:rsid w:val="00136D87"/>
    <w:rsid w:val="00136EA9"/>
    <w:rsid w:val="00137BAE"/>
    <w:rsid w:val="00141250"/>
    <w:rsid w:val="00141775"/>
    <w:rsid w:val="00141ADD"/>
    <w:rsid w:val="001427DF"/>
    <w:rsid w:val="00142DB9"/>
    <w:rsid w:val="001438D7"/>
    <w:rsid w:val="001453F2"/>
    <w:rsid w:val="001465CA"/>
    <w:rsid w:val="00146A48"/>
    <w:rsid w:val="00146ED2"/>
    <w:rsid w:val="0015044C"/>
    <w:rsid w:val="001519C7"/>
    <w:rsid w:val="00153FDD"/>
    <w:rsid w:val="001563EA"/>
    <w:rsid w:val="00160676"/>
    <w:rsid w:val="00161A74"/>
    <w:rsid w:val="00161FBE"/>
    <w:rsid w:val="0016303E"/>
    <w:rsid w:val="00164E2A"/>
    <w:rsid w:val="0016582A"/>
    <w:rsid w:val="00166B68"/>
    <w:rsid w:val="0016760C"/>
    <w:rsid w:val="00167BCE"/>
    <w:rsid w:val="00172488"/>
    <w:rsid w:val="001725AB"/>
    <w:rsid w:val="0017267A"/>
    <w:rsid w:val="00174629"/>
    <w:rsid w:val="0017481B"/>
    <w:rsid w:val="00175290"/>
    <w:rsid w:val="00175B1E"/>
    <w:rsid w:val="001760A2"/>
    <w:rsid w:val="00176B28"/>
    <w:rsid w:val="00177549"/>
    <w:rsid w:val="00180A11"/>
    <w:rsid w:val="00180ADD"/>
    <w:rsid w:val="00180ADE"/>
    <w:rsid w:val="0018533D"/>
    <w:rsid w:val="001858BF"/>
    <w:rsid w:val="00187C9A"/>
    <w:rsid w:val="0019072B"/>
    <w:rsid w:val="00190870"/>
    <w:rsid w:val="00190E0F"/>
    <w:rsid w:val="0019103C"/>
    <w:rsid w:val="00193146"/>
    <w:rsid w:val="001954BA"/>
    <w:rsid w:val="00195F69"/>
    <w:rsid w:val="00197427"/>
    <w:rsid w:val="00197716"/>
    <w:rsid w:val="001A0B54"/>
    <w:rsid w:val="001A0C56"/>
    <w:rsid w:val="001A3AEC"/>
    <w:rsid w:val="001A6738"/>
    <w:rsid w:val="001A67F6"/>
    <w:rsid w:val="001B225E"/>
    <w:rsid w:val="001B3223"/>
    <w:rsid w:val="001B331C"/>
    <w:rsid w:val="001B3A01"/>
    <w:rsid w:val="001B5AC7"/>
    <w:rsid w:val="001B5D02"/>
    <w:rsid w:val="001B5D30"/>
    <w:rsid w:val="001B6587"/>
    <w:rsid w:val="001B6AFD"/>
    <w:rsid w:val="001C1B9C"/>
    <w:rsid w:val="001C3065"/>
    <w:rsid w:val="001C47A6"/>
    <w:rsid w:val="001C5D1A"/>
    <w:rsid w:val="001C603C"/>
    <w:rsid w:val="001C6799"/>
    <w:rsid w:val="001C6EC2"/>
    <w:rsid w:val="001C789A"/>
    <w:rsid w:val="001D09CE"/>
    <w:rsid w:val="001D2ADF"/>
    <w:rsid w:val="001D2D55"/>
    <w:rsid w:val="001D768B"/>
    <w:rsid w:val="001E1B97"/>
    <w:rsid w:val="001E2810"/>
    <w:rsid w:val="001E32F8"/>
    <w:rsid w:val="001E34BB"/>
    <w:rsid w:val="001E4042"/>
    <w:rsid w:val="001E594F"/>
    <w:rsid w:val="001E679F"/>
    <w:rsid w:val="001E6D28"/>
    <w:rsid w:val="001E78BE"/>
    <w:rsid w:val="001F12D5"/>
    <w:rsid w:val="001F26AB"/>
    <w:rsid w:val="001F2AA0"/>
    <w:rsid w:val="001F2DD4"/>
    <w:rsid w:val="001F37FE"/>
    <w:rsid w:val="001F38A2"/>
    <w:rsid w:val="001F460C"/>
    <w:rsid w:val="001F466C"/>
    <w:rsid w:val="001F58BF"/>
    <w:rsid w:val="001F600B"/>
    <w:rsid w:val="001F796E"/>
    <w:rsid w:val="001F7B92"/>
    <w:rsid w:val="002004F9"/>
    <w:rsid w:val="00200D69"/>
    <w:rsid w:val="00201A08"/>
    <w:rsid w:val="002026B3"/>
    <w:rsid w:val="002034AF"/>
    <w:rsid w:val="002039CB"/>
    <w:rsid w:val="00204CD6"/>
    <w:rsid w:val="00204D1F"/>
    <w:rsid w:val="00206D2A"/>
    <w:rsid w:val="0020720C"/>
    <w:rsid w:val="002105A1"/>
    <w:rsid w:val="00211809"/>
    <w:rsid w:val="002126E4"/>
    <w:rsid w:val="002130BE"/>
    <w:rsid w:val="0021372A"/>
    <w:rsid w:val="00213B4C"/>
    <w:rsid w:val="00215CF8"/>
    <w:rsid w:val="00216187"/>
    <w:rsid w:val="00217895"/>
    <w:rsid w:val="0022097E"/>
    <w:rsid w:val="002229B6"/>
    <w:rsid w:val="00223041"/>
    <w:rsid w:val="00223E70"/>
    <w:rsid w:val="00224A91"/>
    <w:rsid w:val="0022706C"/>
    <w:rsid w:val="00227078"/>
    <w:rsid w:val="00227A39"/>
    <w:rsid w:val="0023027D"/>
    <w:rsid w:val="002332CD"/>
    <w:rsid w:val="00234AD6"/>
    <w:rsid w:val="00236240"/>
    <w:rsid w:val="00236E64"/>
    <w:rsid w:val="002370C2"/>
    <w:rsid w:val="002415BA"/>
    <w:rsid w:val="00242AD5"/>
    <w:rsid w:val="00243413"/>
    <w:rsid w:val="00243614"/>
    <w:rsid w:val="00245132"/>
    <w:rsid w:val="00247A98"/>
    <w:rsid w:val="002500F9"/>
    <w:rsid w:val="00251487"/>
    <w:rsid w:val="00251CA7"/>
    <w:rsid w:val="002524C6"/>
    <w:rsid w:val="002535D2"/>
    <w:rsid w:val="00253B8A"/>
    <w:rsid w:val="00254A84"/>
    <w:rsid w:val="00255340"/>
    <w:rsid w:val="00256EF4"/>
    <w:rsid w:val="00260E59"/>
    <w:rsid w:val="00262653"/>
    <w:rsid w:val="00263865"/>
    <w:rsid w:val="002647AC"/>
    <w:rsid w:val="0026531C"/>
    <w:rsid w:val="002660DC"/>
    <w:rsid w:val="00267926"/>
    <w:rsid w:val="00270701"/>
    <w:rsid w:val="0027090B"/>
    <w:rsid w:val="0027191B"/>
    <w:rsid w:val="00272EFD"/>
    <w:rsid w:val="00275655"/>
    <w:rsid w:val="0027716E"/>
    <w:rsid w:val="0027791B"/>
    <w:rsid w:val="00281257"/>
    <w:rsid w:val="00282DAB"/>
    <w:rsid w:val="002846DD"/>
    <w:rsid w:val="00285188"/>
    <w:rsid w:val="00285EF4"/>
    <w:rsid w:val="00286457"/>
    <w:rsid w:val="00286ECC"/>
    <w:rsid w:val="00286F09"/>
    <w:rsid w:val="0029033A"/>
    <w:rsid w:val="00290D48"/>
    <w:rsid w:val="002913D9"/>
    <w:rsid w:val="00292118"/>
    <w:rsid w:val="00293BA0"/>
    <w:rsid w:val="00293DB8"/>
    <w:rsid w:val="00295EFA"/>
    <w:rsid w:val="00295F55"/>
    <w:rsid w:val="00296E2D"/>
    <w:rsid w:val="00296E61"/>
    <w:rsid w:val="00296FD6"/>
    <w:rsid w:val="00297636"/>
    <w:rsid w:val="002A03A9"/>
    <w:rsid w:val="002A28BB"/>
    <w:rsid w:val="002A30B6"/>
    <w:rsid w:val="002A378B"/>
    <w:rsid w:val="002A3B29"/>
    <w:rsid w:val="002A47EE"/>
    <w:rsid w:val="002A4810"/>
    <w:rsid w:val="002A6A22"/>
    <w:rsid w:val="002B2ADF"/>
    <w:rsid w:val="002B3D87"/>
    <w:rsid w:val="002B537C"/>
    <w:rsid w:val="002B69DA"/>
    <w:rsid w:val="002C033D"/>
    <w:rsid w:val="002C2B51"/>
    <w:rsid w:val="002C3843"/>
    <w:rsid w:val="002C537D"/>
    <w:rsid w:val="002C623C"/>
    <w:rsid w:val="002D1800"/>
    <w:rsid w:val="002D326E"/>
    <w:rsid w:val="002D3F19"/>
    <w:rsid w:val="002D63FE"/>
    <w:rsid w:val="002D76EC"/>
    <w:rsid w:val="002E1CFD"/>
    <w:rsid w:val="002E1E81"/>
    <w:rsid w:val="002E22B2"/>
    <w:rsid w:val="002E24D6"/>
    <w:rsid w:val="002E2A82"/>
    <w:rsid w:val="002E521D"/>
    <w:rsid w:val="002E563B"/>
    <w:rsid w:val="002E57B9"/>
    <w:rsid w:val="002E65CF"/>
    <w:rsid w:val="002E723C"/>
    <w:rsid w:val="002E7BAC"/>
    <w:rsid w:val="002F013A"/>
    <w:rsid w:val="002F01FF"/>
    <w:rsid w:val="002F18D1"/>
    <w:rsid w:val="002F1C8F"/>
    <w:rsid w:val="002F1D32"/>
    <w:rsid w:val="002F2268"/>
    <w:rsid w:val="002F3FDC"/>
    <w:rsid w:val="002F4F73"/>
    <w:rsid w:val="002F60BC"/>
    <w:rsid w:val="002F67A5"/>
    <w:rsid w:val="002F78FF"/>
    <w:rsid w:val="002F7992"/>
    <w:rsid w:val="00303AA3"/>
    <w:rsid w:val="0030443D"/>
    <w:rsid w:val="003048B1"/>
    <w:rsid w:val="0030604B"/>
    <w:rsid w:val="00306DAC"/>
    <w:rsid w:val="003102B7"/>
    <w:rsid w:val="00310840"/>
    <w:rsid w:val="00313B9E"/>
    <w:rsid w:val="003142B3"/>
    <w:rsid w:val="0031564D"/>
    <w:rsid w:val="00316A73"/>
    <w:rsid w:val="00320337"/>
    <w:rsid w:val="00320FFB"/>
    <w:rsid w:val="00322E23"/>
    <w:rsid w:val="0032412A"/>
    <w:rsid w:val="00325CC9"/>
    <w:rsid w:val="00331FB7"/>
    <w:rsid w:val="00332875"/>
    <w:rsid w:val="00334574"/>
    <w:rsid w:val="00334682"/>
    <w:rsid w:val="003356DE"/>
    <w:rsid w:val="00336EF0"/>
    <w:rsid w:val="00336F55"/>
    <w:rsid w:val="0033736A"/>
    <w:rsid w:val="00341B18"/>
    <w:rsid w:val="00341F0B"/>
    <w:rsid w:val="0034348C"/>
    <w:rsid w:val="00343781"/>
    <w:rsid w:val="003442D1"/>
    <w:rsid w:val="00344D10"/>
    <w:rsid w:val="0034566E"/>
    <w:rsid w:val="00345A8A"/>
    <w:rsid w:val="0034738C"/>
    <w:rsid w:val="00347818"/>
    <w:rsid w:val="00347E4E"/>
    <w:rsid w:val="003535B0"/>
    <w:rsid w:val="00354663"/>
    <w:rsid w:val="003552E4"/>
    <w:rsid w:val="0035549C"/>
    <w:rsid w:val="003574BE"/>
    <w:rsid w:val="00357EF8"/>
    <w:rsid w:val="00361F1B"/>
    <w:rsid w:val="00366AA4"/>
    <w:rsid w:val="00366AC2"/>
    <w:rsid w:val="00366DD6"/>
    <w:rsid w:val="00370505"/>
    <w:rsid w:val="0037101A"/>
    <w:rsid w:val="00372367"/>
    <w:rsid w:val="00376EEF"/>
    <w:rsid w:val="00380594"/>
    <w:rsid w:val="00380943"/>
    <w:rsid w:val="00382EC3"/>
    <w:rsid w:val="00383433"/>
    <w:rsid w:val="00384C36"/>
    <w:rsid w:val="00386EC6"/>
    <w:rsid w:val="00387B84"/>
    <w:rsid w:val="00390E27"/>
    <w:rsid w:val="003917FF"/>
    <w:rsid w:val="003930AF"/>
    <w:rsid w:val="00393EB8"/>
    <w:rsid w:val="00394B9E"/>
    <w:rsid w:val="00394D62"/>
    <w:rsid w:val="003959B0"/>
    <w:rsid w:val="00395D31"/>
    <w:rsid w:val="00395F28"/>
    <w:rsid w:val="00395FBE"/>
    <w:rsid w:val="0039774D"/>
    <w:rsid w:val="003A00FD"/>
    <w:rsid w:val="003A2D65"/>
    <w:rsid w:val="003A3EAE"/>
    <w:rsid w:val="003A535F"/>
    <w:rsid w:val="003A5CEE"/>
    <w:rsid w:val="003B0104"/>
    <w:rsid w:val="003B0196"/>
    <w:rsid w:val="003B5B1A"/>
    <w:rsid w:val="003B5BA1"/>
    <w:rsid w:val="003B5E26"/>
    <w:rsid w:val="003C2B66"/>
    <w:rsid w:val="003C2D61"/>
    <w:rsid w:val="003C34BD"/>
    <w:rsid w:val="003C3EC1"/>
    <w:rsid w:val="003C44CF"/>
    <w:rsid w:val="003C4FA8"/>
    <w:rsid w:val="003C787F"/>
    <w:rsid w:val="003D0735"/>
    <w:rsid w:val="003D1018"/>
    <w:rsid w:val="003D1986"/>
    <w:rsid w:val="003D1FB7"/>
    <w:rsid w:val="003D2B6C"/>
    <w:rsid w:val="003D3132"/>
    <w:rsid w:val="003D477A"/>
    <w:rsid w:val="003D64C3"/>
    <w:rsid w:val="003D6594"/>
    <w:rsid w:val="003D69B3"/>
    <w:rsid w:val="003E30A2"/>
    <w:rsid w:val="003E4EB3"/>
    <w:rsid w:val="003E56F7"/>
    <w:rsid w:val="003E61F7"/>
    <w:rsid w:val="003F1A46"/>
    <w:rsid w:val="003F1F5B"/>
    <w:rsid w:val="003F3824"/>
    <w:rsid w:val="003F3A17"/>
    <w:rsid w:val="003F3E15"/>
    <w:rsid w:val="003F4CAD"/>
    <w:rsid w:val="003F72C2"/>
    <w:rsid w:val="003F7854"/>
    <w:rsid w:val="004009C1"/>
    <w:rsid w:val="00400F3D"/>
    <w:rsid w:val="00403A53"/>
    <w:rsid w:val="00411441"/>
    <w:rsid w:val="004129B1"/>
    <w:rsid w:val="0041338F"/>
    <w:rsid w:val="00416ECC"/>
    <w:rsid w:val="004170A3"/>
    <w:rsid w:val="00421439"/>
    <w:rsid w:val="00421C9C"/>
    <w:rsid w:val="00424C8D"/>
    <w:rsid w:val="004262DC"/>
    <w:rsid w:val="0043263D"/>
    <w:rsid w:val="00433003"/>
    <w:rsid w:val="004337B3"/>
    <w:rsid w:val="00433C7B"/>
    <w:rsid w:val="00434DA5"/>
    <w:rsid w:val="00437530"/>
    <w:rsid w:val="0043799A"/>
    <w:rsid w:val="00440B97"/>
    <w:rsid w:val="00440DFD"/>
    <w:rsid w:val="0044281B"/>
    <w:rsid w:val="00442D02"/>
    <w:rsid w:val="00442DE1"/>
    <w:rsid w:val="00444473"/>
    <w:rsid w:val="00445293"/>
    <w:rsid w:val="004457E1"/>
    <w:rsid w:val="00445F3A"/>
    <w:rsid w:val="004461EF"/>
    <w:rsid w:val="004468C3"/>
    <w:rsid w:val="00446D91"/>
    <w:rsid w:val="00446F0C"/>
    <w:rsid w:val="00454271"/>
    <w:rsid w:val="00455E2C"/>
    <w:rsid w:val="004602C4"/>
    <w:rsid w:val="00461BFA"/>
    <w:rsid w:val="00465649"/>
    <w:rsid w:val="004669E4"/>
    <w:rsid w:val="00466F3D"/>
    <w:rsid w:val="00467F6C"/>
    <w:rsid w:val="00471E02"/>
    <w:rsid w:val="00472F00"/>
    <w:rsid w:val="0047366F"/>
    <w:rsid w:val="00474A45"/>
    <w:rsid w:val="004758DC"/>
    <w:rsid w:val="004767A0"/>
    <w:rsid w:val="00476989"/>
    <w:rsid w:val="00476E58"/>
    <w:rsid w:val="00477A1C"/>
    <w:rsid w:val="00477AA3"/>
    <w:rsid w:val="0048017A"/>
    <w:rsid w:val="0048073D"/>
    <w:rsid w:val="00482FF1"/>
    <w:rsid w:val="00483F55"/>
    <w:rsid w:val="004844FE"/>
    <w:rsid w:val="00484E07"/>
    <w:rsid w:val="00485FB4"/>
    <w:rsid w:val="004902C3"/>
    <w:rsid w:val="00491D2F"/>
    <w:rsid w:val="00492C37"/>
    <w:rsid w:val="004934BF"/>
    <w:rsid w:val="00493D26"/>
    <w:rsid w:val="00496D9C"/>
    <w:rsid w:val="00496FBD"/>
    <w:rsid w:val="004976DA"/>
    <w:rsid w:val="004A2455"/>
    <w:rsid w:val="004A2AD6"/>
    <w:rsid w:val="004A36F6"/>
    <w:rsid w:val="004B0AB5"/>
    <w:rsid w:val="004B0B38"/>
    <w:rsid w:val="004B251D"/>
    <w:rsid w:val="004B27EF"/>
    <w:rsid w:val="004B2CF9"/>
    <w:rsid w:val="004B33B5"/>
    <w:rsid w:val="004B37EC"/>
    <w:rsid w:val="004B382E"/>
    <w:rsid w:val="004B4526"/>
    <w:rsid w:val="004B5C4D"/>
    <w:rsid w:val="004B6043"/>
    <w:rsid w:val="004B6998"/>
    <w:rsid w:val="004B7EB6"/>
    <w:rsid w:val="004C0F92"/>
    <w:rsid w:val="004C2083"/>
    <w:rsid w:val="004C267E"/>
    <w:rsid w:val="004C41D9"/>
    <w:rsid w:val="004C4CB4"/>
    <w:rsid w:val="004C51CA"/>
    <w:rsid w:val="004C5516"/>
    <w:rsid w:val="004C569B"/>
    <w:rsid w:val="004C69B0"/>
    <w:rsid w:val="004C6FAC"/>
    <w:rsid w:val="004D002A"/>
    <w:rsid w:val="004D0901"/>
    <w:rsid w:val="004D1C39"/>
    <w:rsid w:val="004D287A"/>
    <w:rsid w:val="004D28F4"/>
    <w:rsid w:val="004D62B1"/>
    <w:rsid w:val="004D66D2"/>
    <w:rsid w:val="004D6B51"/>
    <w:rsid w:val="004D6E30"/>
    <w:rsid w:val="004D73B7"/>
    <w:rsid w:val="004D760A"/>
    <w:rsid w:val="004E14FA"/>
    <w:rsid w:val="004E1C91"/>
    <w:rsid w:val="004E1F7A"/>
    <w:rsid w:val="004E3E14"/>
    <w:rsid w:val="004E3F1E"/>
    <w:rsid w:val="004E52D3"/>
    <w:rsid w:val="004E5C3A"/>
    <w:rsid w:val="004E7D7F"/>
    <w:rsid w:val="004F0E8B"/>
    <w:rsid w:val="004F0F73"/>
    <w:rsid w:val="004F181A"/>
    <w:rsid w:val="004F2CDF"/>
    <w:rsid w:val="004F567E"/>
    <w:rsid w:val="004F628A"/>
    <w:rsid w:val="004F6B01"/>
    <w:rsid w:val="004F6FCC"/>
    <w:rsid w:val="004F7528"/>
    <w:rsid w:val="00501002"/>
    <w:rsid w:val="0050156F"/>
    <w:rsid w:val="005017B5"/>
    <w:rsid w:val="00504E39"/>
    <w:rsid w:val="005061C1"/>
    <w:rsid w:val="005159FC"/>
    <w:rsid w:val="0052005B"/>
    <w:rsid w:val="00520554"/>
    <w:rsid w:val="00520BEF"/>
    <w:rsid w:val="00520FDB"/>
    <w:rsid w:val="0052136B"/>
    <w:rsid w:val="00521CB4"/>
    <w:rsid w:val="005227AF"/>
    <w:rsid w:val="00522B8A"/>
    <w:rsid w:val="00524315"/>
    <w:rsid w:val="005249AC"/>
    <w:rsid w:val="00525814"/>
    <w:rsid w:val="0052605E"/>
    <w:rsid w:val="00531FEA"/>
    <w:rsid w:val="00533333"/>
    <w:rsid w:val="00534AD9"/>
    <w:rsid w:val="005368CF"/>
    <w:rsid w:val="00537887"/>
    <w:rsid w:val="00537E38"/>
    <w:rsid w:val="00540EA4"/>
    <w:rsid w:val="0054162B"/>
    <w:rsid w:val="0054225E"/>
    <w:rsid w:val="005426A6"/>
    <w:rsid w:val="00542821"/>
    <w:rsid w:val="00542BF3"/>
    <w:rsid w:val="005452C2"/>
    <w:rsid w:val="00546721"/>
    <w:rsid w:val="00546CC4"/>
    <w:rsid w:val="005476CA"/>
    <w:rsid w:val="00552886"/>
    <w:rsid w:val="0055341D"/>
    <w:rsid w:val="00553D7E"/>
    <w:rsid w:val="00554184"/>
    <w:rsid w:val="00555358"/>
    <w:rsid w:val="00555EE7"/>
    <w:rsid w:val="005603FB"/>
    <w:rsid w:val="00560920"/>
    <w:rsid w:val="005611AF"/>
    <w:rsid w:val="0056138C"/>
    <w:rsid w:val="00562199"/>
    <w:rsid w:val="005626BE"/>
    <w:rsid w:val="00562BAF"/>
    <w:rsid w:val="00562D8C"/>
    <w:rsid w:val="005635BE"/>
    <w:rsid w:val="00564990"/>
    <w:rsid w:val="00565514"/>
    <w:rsid w:val="005676BB"/>
    <w:rsid w:val="005676D6"/>
    <w:rsid w:val="00567FE4"/>
    <w:rsid w:val="00571D33"/>
    <w:rsid w:val="00572E5C"/>
    <w:rsid w:val="00576749"/>
    <w:rsid w:val="005824D7"/>
    <w:rsid w:val="005827FA"/>
    <w:rsid w:val="005836BF"/>
    <w:rsid w:val="0059211D"/>
    <w:rsid w:val="0059382A"/>
    <w:rsid w:val="0059409A"/>
    <w:rsid w:val="005957A8"/>
    <w:rsid w:val="00595B00"/>
    <w:rsid w:val="00596067"/>
    <w:rsid w:val="00597E82"/>
    <w:rsid w:val="005A0BC2"/>
    <w:rsid w:val="005A3EC6"/>
    <w:rsid w:val="005A44E6"/>
    <w:rsid w:val="005A5888"/>
    <w:rsid w:val="005B2849"/>
    <w:rsid w:val="005B2993"/>
    <w:rsid w:val="005B3332"/>
    <w:rsid w:val="005B3C20"/>
    <w:rsid w:val="005B5C5F"/>
    <w:rsid w:val="005B6E4D"/>
    <w:rsid w:val="005B703C"/>
    <w:rsid w:val="005B7A5D"/>
    <w:rsid w:val="005B7E47"/>
    <w:rsid w:val="005C265C"/>
    <w:rsid w:val="005C34DD"/>
    <w:rsid w:val="005C384D"/>
    <w:rsid w:val="005C5359"/>
    <w:rsid w:val="005C5BA9"/>
    <w:rsid w:val="005C72F0"/>
    <w:rsid w:val="005D0529"/>
    <w:rsid w:val="005D6298"/>
    <w:rsid w:val="005D7459"/>
    <w:rsid w:val="005E0025"/>
    <w:rsid w:val="005E0F97"/>
    <w:rsid w:val="005E2668"/>
    <w:rsid w:val="005E408C"/>
    <w:rsid w:val="005E4666"/>
    <w:rsid w:val="005E62CB"/>
    <w:rsid w:val="005E7970"/>
    <w:rsid w:val="005E79A8"/>
    <w:rsid w:val="005F002C"/>
    <w:rsid w:val="005F00BA"/>
    <w:rsid w:val="005F19E9"/>
    <w:rsid w:val="005F20CE"/>
    <w:rsid w:val="005F3CF6"/>
    <w:rsid w:val="005F5114"/>
    <w:rsid w:val="005F633A"/>
    <w:rsid w:val="005F743A"/>
    <w:rsid w:val="005F7AB7"/>
    <w:rsid w:val="00600D45"/>
    <w:rsid w:val="00601794"/>
    <w:rsid w:val="00602546"/>
    <w:rsid w:val="00602B9D"/>
    <w:rsid w:val="00607005"/>
    <w:rsid w:val="0061143C"/>
    <w:rsid w:val="0061254C"/>
    <w:rsid w:val="0061256A"/>
    <w:rsid w:val="006135C9"/>
    <w:rsid w:val="00614E0A"/>
    <w:rsid w:val="00615A87"/>
    <w:rsid w:val="006233BD"/>
    <w:rsid w:val="00624392"/>
    <w:rsid w:val="006247B5"/>
    <w:rsid w:val="00626BC0"/>
    <w:rsid w:val="006273F5"/>
    <w:rsid w:val="00630C17"/>
    <w:rsid w:val="00634422"/>
    <w:rsid w:val="006365FC"/>
    <w:rsid w:val="006407BE"/>
    <w:rsid w:val="00640B39"/>
    <w:rsid w:val="006425EE"/>
    <w:rsid w:val="006442C9"/>
    <w:rsid w:val="00645F19"/>
    <w:rsid w:val="00646659"/>
    <w:rsid w:val="00646EE7"/>
    <w:rsid w:val="00647B4A"/>
    <w:rsid w:val="00647CA5"/>
    <w:rsid w:val="006509CC"/>
    <w:rsid w:val="0065173B"/>
    <w:rsid w:val="0065316E"/>
    <w:rsid w:val="006531C1"/>
    <w:rsid w:val="00654935"/>
    <w:rsid w:val="006559F2"/>
    <w:rsid w:val="006560BD"/>
    <w:rsid w:val="006609E5"/>
    <w:rsid w:val="00662310"/>
    <w:rsid w:val="00662CB1"/>
    <w:rsid w:val="00663ADE"/>
    <w:rsid w:val="00663FFF"/>
    <w:rsid w:val="006655F7"/>
    <w:rsid w:val="0066637A"/>
    <w:rsid w:val="00666ADC"/>
    <w:rsid w:val="00667D3C"/>
    <w:rsid w:val="00670500"/>
    <w:rsid w:val="00671820"/>
    <w:rsid w:val="00671927"/>
    <w:rsid w:val="0067192A"/>
    <w:rsid w:val="00673F0C"/>
    <w:rsid w:val="0067528A"/>
    <w:rsid w:val="006758D4"/>
    <w:rsid w:val="00676DF9"/>
    <w:rsid w:val="006771EB"/>
    <w:rsid w:val="006805CC"/>
    <w:rsid w:val="00681045"/>
    <w:rsid w:val="00681F3E"/>
    <w:rsid w:val="006822A5"/>
    <w:rsid w:val="00682C3C"/>
    <w:rsid w:val="0068523E"/>
    <w:rsid w:val="00685453"/>
    <w:rsid w:val="00685E27"/>
    <w:rsid w:val="006866EE"/>
    <w:rsid w:val="00686912"/>
    <w:rsid w:val="00686E3A"/>
    <w:rsid w:val="006902D2"/>
    <w:rsid w:val="00690967"/>
    <w:rsid w:val="00690B63"/>
    <w:rsid w:val="006922AB"/>
    <w:rsid w:val="00694DA8"/>
    <w:rsid w:val="00694DDE"/>
    <w:rsid w:val="00695182"/>
    <w:rsid w:val="006954E1"/>
    <w:rsid w:val="00697F32"/>
    <w:rsid w:val="006A1653"/>
    <w:rsid w:val="006A1D11"/>
    <w:rsid w:val="006A2943"/>
    <w:rsid w:val="006A2C1B"/>
    <w:rsid w:val="006A39C9"/>
    <w:rsid w:val="006A3D39"/>
    <w:rsid w:val="006A4D8B"/>
    <w:rsid w:val="006A5C67"/>
    <w:rsid w:val="006A7041"/>
    <w:rsid w:val="006A7B12"/>
    <w:rsid w:val="006B1317"/>
    <w:rsid w:val="006B1B2D"/>
    <w:rsid w:val="006B1EA0"/>
    <w:rsid w:val="006B3246"/>
    <w:rsid w:val="006B33AF"/>
    <w:rsid w:val="006B3445"/>
    <w:rsid w:val="006B351F"/>
    <w:rsid w:val="006B49BC"/>
    <w:rsid w:val="006B4F59"/>
    <w:rsid w:val="006B57D7"/>
    <w:rsid w:val="006B7630"/>
    <w:rsid w:val="006C0238"/>
    <w:rsid w:val="006C064C"/>
    <w:rsid w:val="006C189F"/>
    <w:rsid w:val="006C1B0D"/>
    <w:rsid w:val="006C1F70"/>
    <w:rsid w:val="006C3D38"/>
    <w:rsid w:val="006C4371"/>
    <w:rsid w:val="006C5F2F"/>
    <w:rsid w:val="006C63B7"/>
    <w:rsid w:val="006C686D"/>
    <w:rsid w:val="006C6B33"/>
    <w:rsid w:val="006D0282"/>
    <w:rsid w:val="006D11CD"/>
    <w:rsid w:val="006D22C2"/>
    <w:rsid w:val="006D2ED8"/>
    <w:rsid w:val="006D4789"/>
    <w:rsid w:val="006E09B7"/>
    <w:rsid w:val="006F059A"/>
    <w:rsid w:val="006F0EFA"/>
    <w:rsid w:val="006F3C78"/>
    <w:rsid w:val="006F4952"/>
    <w:rsid w:val="006F674C"/>
    <w:rsid w:val="006F7CB2"/>
    <w:rsid w:val="00702999"/>
    <w:rsid w:val="00702B7F"/>
    <w:rsid w:val="00703921"/>
    <w:rsid w:val="00704923"/>
    <w:rsid w:val="00705B80"/>
    <w:rsid w:val="00706BF6"/>
    <w:rsid w:val="007129C1"/>
    <w:rsid w:val="00712AF2"/>
    <w:rsid w:val="00713196"/>
    <w:rsid w:val="0071351A"/>
    <w:rsid w:val="0071523F"/>
    <w:rsid w:val="00716AD1"/>
    <w:rsid w:val="00716B07"/>
    <w:rsid w:val="00720747"/>
    <w:rsid w:val="007217F3"/>
    <w:rsid w:val="007224B6"/>
    <w:rsid w:val="0072346F"/>
    <w:rsid w:val="00724125"/>
    <w:rsid w:val="00724E86"/>
    <w:rsid w:val="00726334"/>
    <w:rsid w:val="0072779D"/>
    <w:rsid w:val="00727CC0"/>
    <w:rsid w:val="00727D8D"/>
    <w:rsid w:val="00730150"/>
    <w:rsid w:val="007309CF"/>
    <w:rsid w:val="00731C1E"/>
    <w:rsid w:val="00733DFE"/>
    <w:rsid w:val="00734879"/>
    <w:rsid w:val="0074032D"/>
    <w:rsid w:val="007425EA"/>
    <w:rsid w:val="00742AD4"/>
    <w:rsid w:val="00742C29"/>
    <w:rsid w:val="0074377F"/>
    <w:rsid w:val="0074439F"/>
    <w:rsid w:val="00744831"/>
    <w:rsid w:val="00744F9B"/>
    <w:rsid w:val="00750944"/>
    <w:rsid w:val="00750F62"/>
    <w:rsid w:val="007527EA"/>
    <w:rsid w:val="00754B47"/>
    <w:rsid w:val="00754FD2"/>
    <w:rsid w:val="00756945"/>
    <w:rsid w:val="00757EC7"/>
    <w:rsid w:val="00761173"/>
    <w:rsid w:val="0076193E"/>
    <w:rsid w:val="007619DA"/>
    <w:rsid w:val="007621EC"/>
    <w:rsid w:val="007626CF"/>
    <w:rsid w:val="007634E3"/>
    <w:rsid w:val="00763E5A"/>
    <w:rsid w:val="00765A0B"/>
    <w:rsid w:val="007660F0"/>
    <w:rsid w:val="00772C85"/>
    <w:rsid w:val="00772D4D"/>
    <w:rsid w:val="007737F9"/>
    <w:rsid w:val="007741E7"/>
    <w:rsid w:val="007746DE"/>
    <w:rsid w:val="00774ACE"/>
    <w:rsid w:val="00776994"/>
    <w:rsid w:val="0078048F"/>
    <w:rsid w:val="00782BA1"/>
    <w:rsid w:val="00785B0E"/>
    <w:rsid w:val="00785F7C"/>
    <w:rsid w:val="00786B60"/>
    <w:rsid w:val="00791284"/>
    <w:rsid w:val="00791635"/>
    <w:rsid w:val="00793126"/>
    <w:rsid w:val="00794EF7"/>
    <w:rsid w:val="00795EBF"/>
    <w:rsid w:val="00797720"/>
    <w:rsid w:val="007A0B54"/>
    <w:rsid w:val="007A21B1"/>
    <w:rsid w:val="007A3541"/>
    <w:rsid w:val="007A630A"/>
    <w:rsid w:val="007B086C"/>
    <w:rsid w:val="007B1A5C"/>
    <w:rsid w:val="007B1B45"/>
    <w:rsid w:val="007B21CB"/>
    <w:rsid w:val="007B3A97"/>
    <w:rsid w:val="007B3DC3"/>
    <w:rsid w:val="007B6AF0"/>
    <w:rsid w:val="007B7DE5"/>
    <w:rsid w:val="007C2B60"/>
    <w:rsid w:val="007C316A"/>
    <w:rsid w:val="007C43CD"/>
    <w:rsid w:val="007C5683"/>
    <w:rsid w:val="007C71C0"/>
    <w:rsid w:val="007C76CA"/>
    <w:rsid w:val="007C76CD"/>
    <w:rsid w:val="007C77B5"/>
    <w:rsid w:val="007C7DA1"/>
    <w:rsid w:val="007D0DB1"/>
    <w:rsid w:val="007D2D42"/>
    <w:rsid w:val="007D2FC8"/>
    <w:rsid w:val="007D4399"/>
    <w:rsid w:val="007D512B"/>
    <w:rsid w:val="007D537A"/>
    <w:rsid w:val="007D5A1E"/>
    <w:rsid w:val="007D7092"/>
    <w:rsid w:val="007D7181"/>
    <w:rsid w:val="007D7DB4"/>
    <w:rsid w:val="007E0CF8"/>
    <w:rsid w:val="007E19AA"/>
    <w:rsid w:val="007E430B"/>
    <w:rsid w:val="007E60EB"/>
    <w:rsid w:val="007F1059"/>
    <w:rsid w:val="007F2B1C"/>
    <w:rsid w:val="00801912"/>
    <w:rsid w:val="0080352D"/>
    <w:rsid w:val="00803C59"/>
    <w:rsid w:val="00804273"/>
    <w:rsid w:val="00805B84"/>
    <w:rsid w:val="00806613"/>
    <w:rsid w:val="00807350"/>
    <w:rsid w:val="008119E9"/>
    <w:rsid w:val="0081228A"/>
    <w:rsid w:val="0081239A"/>
    <w:rsid w:val="00813EE2"/>
    <w:rsid w:val="00815B83"/>
    <w:rsid w:val="00815E88"/>
    <w:rsid w:val="0081689C"/>
    <w:rsid w:val="00816B11"/>
    <w:rsid w:val="00816B17"/>
    <w:rsid w:val="008171D9"/>
    <w:rsid w:val="00817279"/>
    <w:rsid w:val="00817B4D"/>
    <w:rsid w:val="008276F0"/>
    <w:rsid w:val="008277D7"/>
    <w:rsid w:val="00827F8C"/>
    <w:rsid w:val="008316C5"/>
    <w:rsid w:val="008316E1"/>
    <w:rsid w:val="008321A7"/>
    <w:rsid w:val="0083342B"/>
    <w:rsid w:val="00836D1E"/>
    <w:rsid w:val="0084110F"/>
    <w:rsid w:val="00842982"/>
    <w:rsid w:val="00843DA2"/>
    <w:rsid w:val="0084514A"/>
    <w:rsid w:val="00845359"/>
    <w:rsid w:val="00845B6D"/>
    <w:rsid w:val="008473E8"/>
    <w:rsid w:val="00850B75"/>
    <w:rsid w:val="00850DDA"/>
    <w:rsid w:val="0085190D"/>
    <w:rsid w:val="0085238F"/>
    <w:rsid w:val="008543D0"/>
    <w:rsid w:val="00854D5B"/>
    <w:rsid w:val="00856ECD"/>
    <w:rsid w:val="00860A51"/>
    <w:rsid w:val="008628D0"/>
    <w:rsid w:val="00863393"/>
    <w:rsid w:val="0086451E"/>
    <w:rsid w:val="0086520D"/>
    <w:rsid w:val="008674C8"/>
    <w:rsid w:val="00867558"/>
    <w:rsid w:val="00867736"/>
    <w:rsid w:val="008705E0"/>
    <w:rsid w:val="00872CA3"/>
    <w:rsid w:val="00874A5A"/>
    <w:rsid w:val="00874B74"/>
    <w:rsid w:val="00874F57"/>
    <w:rsid w:val="00875636"/>
    <w:rsid w:val="008761E7"/>
    <w:rsid w:val="008766B5"/>
    <w:rsid w:val="00876B80"/>
    <w:rsid w:val="00882455"/>
    <w:rsid w:val="00882924"/>
    <w:rsid w:val="00882D82"/>
    <w:rsid w:val="008862C3"/>
    <w:rsid w:val="00886A30"/>
    <w:rsid w:val="00886E42"/>
    <w:rsid w:val="00890104"/>
    <w:rsid w:val="008911CC"/>
    <w:rsid w:val="008912BE"/>
    <w:rsid w:val="008913E7"/>
    <w:rsid w:val="0089186F"/>
    <w:rsid w:val="00891EFF"/>
    <w:rsid w:val="00891F6C"/>
    <w:rsid w:val="00892A37"/>
    <w:rsid w:val="00893CA9"/>
    <w:rsid w:val="008956C8"/>
    <w:rsid w:val="00896050"/>
    <w:rsid w:val="008A0ED7"/>
    <w:rsid w:val="008A13FF"/>
    <w:rsid w:val="008A1528"/>
    <w:rsid w:val="008A2981"/>
    <w:rsid w:val="008A2F7C"/>
    <w:rsid w:val="008A49C8"/>
    <w:rsid w:val="008A5C7A"/>
    <w:rsid w:val="008A7331"/>
    <w:rsid w:val="008A7C21"/>
    <w:rsid w:val="008B078C"/>
    <w:rsid w:val="008B1116"/>
    <w:rsid w:val="008C07E3"/>
    <w:rsid w:val="008C23BE"/>
    <w:rsid w:val="008C2894"/>
    <w:rsid w:val="008C3459"/>
    <w:rsid w:val="008C49A8"/>
    <w:rsid w:val="008C4A6A"/>
    <w:rsid w:val="008C5CC0"/>
    <w:rsid w:val="008C6EC9"/>
    <w:rsid w:val="008C7FD9"/>
    <w:rsid w:val="008D064B"/>
    <w:rsid w:val="008D0BA5"/>
    <w:rsid w:val="008D1FE8"/>
    <w:rsid w:val="008D2DB5"/>
    <w:rsid w:val="008D2E15"/>
    <w:rsid w:val="008D312F"/>
    <w:rsid w:val="008D3924"/>
    <w:rsid w:val="008D46A8"/>
    <w:rsid w:val="008D4BD5"/>
    <w:rsid w:val="008D5913"/>
    <w:rsid w:val="008D59B3"/>
    <w:rsid w:val="008D76E0"/>
    <w:rsid w:val="008D7DC9"/>
    <w:rsid w:val="008D7FD9"/>
    <w:rsid w:val="008E37D9"/>
    <w:rsid w:val="008E4348"/>
    <w:rsid w:val="008E7F36"/>
    <w:rsid w:val="008F0C6D"/>
    <w:rsid w:val="008F0FBF"/>
    <w:rsid w:val="008F1289"/>
    <w:rsid w:val="008F1A87"/>
    <w:rsid w:val="008F2186"/>
    <w:rsid w:val="008F29AB"/>
    <w:rsid w:val="008F2A33"/>
    <w:rsid w:val="008F6E44"/>
    <w:rsid w:val="008F73C7"/>
    <w:rsid w:val="008F7F25"/>
    <w:rsid w:val="00900811"/>
    <w:rsid w:val="009009F2"/>
    <w:rsid w:val="00902AB0"/>
    <w:rsid w:val="009032A5"/>
    <w:rsid w:val="00903A79"/>
    <w:rsid w:val="00906104"/>
    <w:rsid w:val="00906447"/>
    <w:rsid w:val="00906AC8"/>
    <w:rsid w:val="0090702A"/>
    <w:rsid w:val="00907387"/>
    <w:rsid w:val="00911C64"/>
    <w:rsid w:val="00912CFC"/>
    <w:rsid w:val="00914F67"/>
    <w:rsid w:val="00915DD8"/>
    <w:rsid w:val="009254F2"/>
    <w:rsid w:val="0092579F"/>
    <w:rsid w:val="00926A54"/>
    <w:rsid w:val="00926C43"/>
    <w:rsid w:val="009279E2"/>
    <w:rsid w:val="00930CA5"/>
    <w:rsid w:val="00931407"/>
    <w:rsid w:val="00933235"/>
    <w:rsid w:val="009337B6"/>
    <w:rsid w:val="00934038"/>
    <w:rsid w:val="00937007"/>
    <w:rsid w:val="0094003F"/>
    <w:rsid w:val="00940726"/>
    <w:rsid w:val="00940C62"/>
    <w:rsid w:val="00941474"/>
    <w:rsid w:val="00942EB1"/>
    <w:rsid w:val="00944192"/>
    <w:rsid w:val="0094488D"/>
    <w:rsid w:val="00944FB5"/>
    <w:rsid w:val="009457C3"/>
    <w:rsid w:val="0094616F"/>
    <w:rsid w:val="0094685A"/>
    <w:rsid w:val="00950B68"/>
    <w:rsid w:val="00951199"/>
    <w:rsid w:val="00951271"/>
    <w:rsid w:val="009514DD"/>
    <w:rsid w:val="00951E76"/>
    <w:rsid w:val="00952338"/>
    <w:rsid w:val="0095418B"/>
    <w:rsid w:val="00954BEA"/>
    <w:rsid w:val="00954F4D"/>
    <w:rsid w:val="00955E2C"/>
    <w:rsid w:val="0095608D"/>
    <w:rsid w:val="0095617E"/>
    <w:rsid w:val="0095634B"/>
    <w:rsid w:val="0095718E"/>
    <w:rsid w:val="00957738"/>
    <w:rsid w:val="00957BF8"/>
    <w:rsid w:val="009600ED"/>
    <w:rsid w:val="009612AB"/>
    <w:rsid w:val="0096208A"/>
    <w:rsid w:val="00962363"/>
    <w:rsid w:val="00962762"/>
    <w:rsid w:val="00962E12"/>
    <w:rsid w:val="00966176"/>
    <w:rsid w:val="0097007A"/>
    <w:rsid w:val="00970298"/>
    <w:rsid w:val="00970741"/>
    <w:rsid w:val="00970A79"/>
    <w:rsid w:val="009716A9"/>
    <w:rsid w:val="00972C13"/>
    <w:rsid w:val="00972E05"/>
    <w:rsid w:val="009734B0"/>
    <w:rsid w:val="00973F18"/>
    <w:rsid w:val="00975360"/>
    <w:rsid w:val="00976CBE"/>
    <w:rsid w:val="00976FE1"/>
    <w:rsid w:val="0097725F"/>
    <w:rsid w:val="00977362"/>
    <w:rsid w:val="009773E3"/>
    <w:rsid w:val="009778EE"/>
    <w:rsid w:val="00980ECA"/>
    <w:rsid w:val="0098259B"/>
    <w:rsid w:val="00984824"/>
    <w:rsid w:val="00984997"/>
    <w:rsid w:val="00990211"/>
    <w:rsid w:val="0099058F"/>
    <w:rsid w:val="00992C40"/>
    <w:rsid w:val="00993DCA"/>
    <w:rsid w:val="00995304"/>
    <w:rsid w:val="00995904"/>
    <w:rsid w:val="0099608C"/>
    <w:rsid w:val="009A01BE"/>
    <w:rsid w:val="009A100C"/>
    <w:rsid w:val="009A1751"/>
    <w:rsid w:val="009A23CF"/>
    <w:rsid w:val="009A264B"/>
    <w:rsid w:val="009A5F1C"/>
    <w:rsid w:val="009A6ACD"/>
    <w:rsid w:val="009B0BC9"/>
    <w:rsid w:val="009B23B9"/>
    <w:rsid w:val="009B2F10"/>
    <w:rsid w:val="009B37B9"/>
    <w:rsid w:val="009B5500"/>
    <w:rsid w:val="009B5957"/>
    <w:rsid w:val="009B5ACA"/>
    <w:rsid w:val="009B7644"/>
    <w:rsid w:val="009B77A7"/>
    <w:rsid w:val="009B77ED"/>
    <w:rsid w:val="009B7BFB"/>
    <w:rsid w:val="009C2470"/>
    <w:rsid w:val="009C2BEB"/>
    <w:rsid w:val="009C301D"/>
    <w:rsid w:val="009C3AD9"/>
    <w:rsid w:val="009D1793"/>
    <w:rsid w:val="009D25DE"/>
    <w:rsid w:val="009D3958"/>
    <w:rsid w:val="009D3E1C"/>
    <w:rsid w:val="009D4D6B"/>
    <w:rsid w:val="009E024A"/>
    <w:rsid w:val="009E08D8"/>
    <w:rsid w:val="009E08F9"/>
    <w:rsid w:val="009E29A3"/>
    <w:rsid w:val="009E2FB8"/>
    <w:rsid w:val="009E3055"/>
    <w:rsid w:val="009E4C73"/>
    <w:rsid w:val="009E5171"/>
    <w:rsid w:val="009E5E90"/>
    <w:rsid w:val="009F1078"/>
    <w:rsid w:val="009F1A6E"/>
    <w:rsid w:val="009F321B"/>
    <w:rsid w:val="009F3285"/>
    <w:rsid w:val="009F333F"/>
    <w:rsid w:val="009F34B2"/>
    <w:rsid w:val="009F46CD"/>
    <w:rsid w:val="009F48CE"/>
    <w:rsid w:val="009F5851"/>
    <w:rsid w:val="009F5DB1"/>
    <w:rsid w:val="009F713F"/>
    <w:rsid w:val="00A01006"/>
    <w:rsid w:val="00A02BFD"/>
    <w:rsid w:val="00A055DB"/>
    <w:rsid w:val="00A064B4"/>
    <w:rsid w:val="00A07345"/>
    <w:rsid w:val="00A07DA8"/>
    <w:rsid w:val="00A10197"/>
    <w:rsid w:val="00A12183"/>
    <w:rsid w:val="00A14AA1"/>
    <w:rsid w:val="00A14B28"/>
    <w:rsid w:val="00A15C9E"/>
    <w:rsid w:val="00A160E0"/>
    <w:rsid w:val="00A23F49"/>
    <w:rsid w:val="00A241E5"/>
    <w:rsid w:val="00A27CFC"/>
    <w:rsid w:val="00A27E4D"/>
    <w:rsid w:val="00A27F8A"/>
    <w:rsid w:val="00A31014"/>
    <w:rsid w:val="00A32EA4"/>
    <w:rsid w:val="00A37201"/>
    <w:rsid w:val="00A373E8"/>
    <w:rsid w:val="00A3769F"/>
    <w:rsid w:val="00A40582"/>
    <w:rsid w:val="00A40DD3"/>
    <w:rsid w:val="00A410A0"/>
    <w:rsid w:val="00A44715"/>
    <w:rsid w:val="00A44C5D"/>
    <w:rsid w:val="00A466F0"/>
    <w:rsid w:val="00A474B4"/>
    <w:rsid w:val="00A47877"/>
    <w:rsid w:val="00A507A3"/>
    <w:rsid w:val="00A52344"/>
    <w:rsid w:val="00A53D65"/>
    <w:rsid w:val="00A53F23"/>
    <w:rsid w:val="00A5520F"/>
    <w:rsid w:val="00A569C6"/>
    <w:rsid w:val="00A6138D"/>
    <w:rsid w:val="00A6209B"/>
    <w:rsid w:val="00A6269D"/>
    <w:rsid w:val="00A62A36"/>
    <w:rsid w:val="00A62C97"/>
    <w:rsid w:val="00A64952"/>
    <w:rsid w:val="00A64AE7"/>
    <w:rsid w:val="00A669FE"/>
    <w:rsid w:val="00A66DD0"/>
    <w:rsid w:val="00A702A3"/>
    <w:rsid w:val="00A70E47"/>
    <w:rsid w:val="00A71BAE"/>
    <w:rsid w:val="00A71BC4"/>
    <w:rsid w:val="00A72CE5"/>
    <w:rsid w:val="00A732C7"/>
    <w:rsid w:val="00A75DE4"/>
    <w:rsid w:val="00A8127B"/>
    <w:rsid w:val="00A82061"/>
    <w:rsid w:val="00A82F7F"/>
    <w:rsid w:val="00A86639"/>
    <w:rsid w:val="00A872ED"/>
    <w:rsid w:val="00A90688"/>
    <w:rsid w:val="00A91678"/>
    <w:rsid w:val="00A93276"/>
    <w:rsid w:val="00A94451"/>
    <w:rsid w:val="00A95D53"/>
    <w:rsid w:val="00A96CDE"/>
    <w:rsid w:val="00AA02E6"/>
    <w:rsid w:val="00AA07AD"/>
    <w:rsid w:val="00AA0E36"/>
    <w:rsid w:val="00AA1F19"/>
    <w:rsid w:val="00AA2289"/>
    <w:rsid w:val="00AA305B"/>
    <w:rsid w:val="00AA446C"/>
    <w:rsid w:val="00AA4582"/>
    <w:rsid w:val="00AA6010"/>
    <w:rsid w:val="00AA624B"/>
    <w:rsid w:val="00AA7DEF"/>
    <w:rsid w:val="00AB02D9"/>
    <w:rsid w:val="00AB0438"/>
    <w:rsid w:val="00AB29C6"/>
    <w:rsid w:val="00AB2B14"/>
    <w:rsid w:val="00AB3AD3"/>
    <w:rsid w:val="00AB3F1C"/>
    <w:rsid w:val="00AB46F1"/>
    <w:rsid w:val="00AB6EFE"/>
    <w:rsid w:val="00AB6F72"/>
    <w:rsid w:val="00AC11A8"/>
    <w:rsid w:val="00AC161A"/>
    <w:rsid w:val="00AC31C9"/>
    <w:rsid w:val="00AC47FA"/>
    <w:rsid w:val="00AC4FBC"/>
    <w:rsid w:val="00AC6195"/>
    <w:rsid w:val="00AC6315"/>
    <w:rsid w:val="00AC7C4D"/>
    <w:rsid w:val="00AD1DF7"/>
    <w:rsid w:val="00AD32C4"/>
    <w:rsid w:val="00AD4DBD"/>
    <w:rsid w:val="00AD63AF"/>
    <w:rsid w:val="00AD6C27"/>
    <w:rsid w:val="00AE0805"/>
    <w:rsid w:val="00AE0AC1"/>
    <w:rsid w:val="00AE0C82"/>
    <w:rsid w:val="00AE1C51"/>
    <w:rsid w:val="00AE1D03"/>
    <w:rsid w:val="00AE1D38"/>
    <w:rsid w:val="00AE4A17"/>
    <w:rsid w:val="00AE51D0"/>
    <w:rsid w:val="00AE5478"/>
    <w:rsid w:val="00AE5C8D"/>
    <w:rsid w:val="00AE6665"/>
    <w:rsid w:val="00AE6B3D"/>
    <w:rsid w:val="00AE7D82"/>
    <w:rsid w:val="00AE7F00"/>
    <w:rsid w:val="00AF00C5"/>
    <w:rsid w:val="00AF2A7C"/>
    <w:rsid w:val="00AF4DA1"/>
    <w:rsid w:val="00AF546D"/>
    <w:rsid w:val="00AF63EC"/>
    <w:rsid w:val="00B00E39"/>
    <w:rsid w:val="00B05CAA"/>
    <w:rsid w:val="00B065A3"/>
    <w:rsid w:val="00B0669F"/>
    <w:rsid w:val="00B06975"/>
    <w:rsid w:val="00B07312"/>
    <w:rsid w:val="00B073D5"/>
    <w:rsid w:val="00B1047F"/>
    <w:rsid w:val="00B1052E"/>
    <w:rsid w:val="00B11671"/>
    <w:rsid w:val="00B13D0E"/>
    <w:rsid w:val="00B14849"/>
    <w:rsid w:val="00B157D8"/>
    <w:rsid w:val="00B168CF"/>
    <w:rsid w:val="00B2080B"/>
    <w:rsid w:val="00B20EF4"/>
    <w:rsid w:val="00B24384"/>
    <w:rsid w:val="00B26AD3"/>
    <w:rsid w:val="00B26CD4"/>
    <w:rsid w:val="00B275AA"/>
    <w:rsid w:val="00B30A38"/>
    <w:rsid w:val="00B31933"/>
    <w:rsid w:val="00B32E99"/>
    <w:rsid w:val="00B33190"/>
    <w:rsid w:val="00B33700"/>
    <w:rsid w:val="00B342BA"/>
    <w:rsid w:val="00B346A5"/>
    <w:rsid w:val="00B353DB"/>
    <w:rsid w:val="00B35A75"/>
    <w:rsid w:val="00B363CA"/>
    <w:rsid w:val="00B36941"/>
    <w:rsid w:val="00B37514"/>
    <w:rsid w:val="00B37FCE"/>
    <w:rsid w:val="00B406F4"/>
    <w:rsid w:val="00B41793"/>
    <w:rsid w:val="00B422EC"/>
    <w:rsid w:val="00B436D0"/>
    <w:rsid w:val="00B45E6B"/>
    <w:rsid w:val="00B46337"/>
    <w:rsid w:val="00B476C8"/>
    <w:rsid w:val="00B50636"/>
    <w:rsid w:val="00B51DDA"/>
    <w:rsid w:val="00B51E46"/>
    <w:rsid w:val="00B53715"/>
    <w:rsid w:val="00B53787"/>
    <w:rsid w:val="00B552A3"/>
    <w:rsid w:val="00B56465"/>
    <w:rsid w:val="00B60EC7"/>
    <w:rsid w:val="00B6135C"/>
    <w:rsid w:val="00B638D3"/>
    <w:rsid w:val="00B662CA"/>
    <w:rsid w:val="00B66F75"/>
    <w:rsid w:val="00B67D1F"/>
    <w:rsid w:val="00B7047C"/>
    <w:rsid w:val="00B70DC8"/>
    <w:rsid w:val="00B72B79"/>
    <w:rsid w:val="00B72FBC"/>
    <w:rsid w:val="00B7351D"/>
    <w:rsid w:val="00B73CEF"/>
    <w:rsid w:val="00B74418"/>
    <w:rsid w:val="00B74F4C"/>
    <w:rsid w:val="00B76877"/>
    <w:rsid w:val="00B76C05"/>
    <w:rsid w:val="00B809D5"/>
    <w:rsid w:val="00B8186A"/>
    <w:rsid w:val="00B82892"/>
    <w:rsid w:val="00B8421B"/>
    <w:rsid w:val="00B85845"/>
    <w:rsid w:val="00B86A20"/>
    <w:rsid w:val="00B870E8"/>
    <w:rsid w:val="00B87DC1"/>
    <w:rsid w:val="00B902CF"/>
    <w:rsid w:val="00B90D92"/>
    <w:rsid w:val="00B9235D"/>
    <w:rsid w:val="00B93716"/>
    <w:rsid w:val="00B94215"/>
    <w:rsid w:val="00B946E4"/>
    <w:rsid w:val="00B947D4"/>
    <w:rsid w:val="00B9533D"/>
    <w:rsid w:val="00B95E51"/>
    <w:rsid w:val="00B95EA1"/>
    <w:rsid w:val="00B9705F"/>
    <w:rsid w:val="00B97558"/>
    <w:rsid w:val="00B97853"/>
    <w:rsid w:val="00B97E3B"/>
    <w:rsid w:val="00BA074D"/>
    <w:rsid w:val="00BA2771"/>
    <w:rsid w:val="00BA3DA6"/>
    <w:rsid w:val="00BA7DA9"/>
    <w:rsid w:val="00BB1166"/>
    <w:rsid w:val="00BB2359"/>
    <w:rsid w:val="00BB2BF5"/>
    <w:rsid w:val="00BB7FF9"/>
    <w:rsid w:val="00BC01A6"/>
    <w:rsid w:val="00BC1965"/>
    <w:rsid w:val="00BC1DA5"/>
    <w:rsid w:val="00BC36AA"/>
    <w:rsid w:val="00BC3845"/>
    <w:rsid w:val="00BC5446"/>
    <w:rsid w:val="00BC7FB8"/>
    <w:rsid w:val="00BD048A"/>
    <w:rsid w:val="00BD2A0C"/>
    <w:rsid w:val="00BD5F9F"/>
    <w:rsid w:val="00BD6AA8"/>
    <w:rsid w:val="00BE1370"/>
    <w:rsid w:val="00BE23BD"/>
    <w:rsid w:val="00BE29A0"/>
    <w:rsid w:val="00BE2A9D"/>
    <w:rsid w:val="00BE3968"/>
    <w:rsid w:val="00BE53DC"/>
    <w:rsid w:val="00BE5C0B"/>
    <w:rsid w:val="00BE68F0"/>
    <w:rsid w:val="00BE6D41"/>
    <w:rsid w:val="00BF07CF"/>
    <w:rsid w:val="00BF31EA"/>
    <w:rsid w:val="00BF35E1"/>
    <w:rsid w:val="00BF3948"/>
    <w:rsid w:val="00BF42EB"/>
    <w:rsid w:val="00BF452F"/>
    <w:rsid w:val="00BF670F"/>
    <w:rsid w:val="00BF6933"/>
    <w:rsid w:val="00C013E8"/>
    <w:rsid w:val="00C04035"/>
    <w:rsid w:val="00C04C3B"/>
    <w:rsid w:val="00C04F7B"/>
    <w:rsid w:val="00C057BD"/>
    <w:rsid w:val="00C10BFF"/>
    <w:rsid w:val="00C11B8E"/>
    <w:rsid w:val="00C13F86"/>
    <w:rsid w:val="00C140AF"/>
    <w:rsid w:val="00C15ADB"/>
    <w:rsid w:val="00C17869"/>
    <w:rsid w:val="00C179E5"/>
    <w:rsid w:val="00C20E3F"/>
    <w:rsid w:val="00C25F71"/>
    <w:rsid w:val="00C260FD"/>
    <w:rsid w:val="00C26917"/>
    <w:rsid w:val="00C27D21"/>
    <w:rsid w:val="00C30855"/>
    <w:rsid w:val="00C310E7"/>
    <w:rsid w:val="00C3173E"/>
    <w:rsid w:val="00C33B2B"/>
    <w:rsid w:val="00C3400E"/>
    <w:rsid w:val="00C3635E"/>
    <w:rsid w:val="00C373B6"/>
    <w:rsid w:val="00C404EB"/>
    <w:rsid w:val="00C41B20"/>
    <w:rsid w:val="00C43436"/>
    <w:rsid w:val="00C43635"/>
    <w:rsid w:val="00C439E4"/>
    <w:rsid w:val="00C44BB9"/>
    <w:rsid w:val="00C465E7"/>
    <w:rsid w:val="00C46DE2"/>
    <w:rsid w:val="00C50065"/>
    <w:rsid w:val="00C50DCC"/>
    <w:rsid w:val="00C5107F"/>
    <w:rsid w:val="00C51586"/>
    <w:rsid w:val="00C51825"/>
    <w:rsid w:val="00C51EEC"/>
    <w:rsid w:val="00C5450B"/>
    <w:rsid w:val="00C56EFA"/>
    <w:rsid w:val="00C575FF"/>
    <w:rsid w:val="00C57F35"/>
    <w:rsid w:val="00C60B95"/>
    <w:rsid w:val="00C6213A"/>
    <w:rsid w:val="00C62DC7"/>
    <w:rsid w:val="00C64295"/>
    <w:rsid w:val="00C66C4E"/>
    <w:rsid w:val="00C66FCC"/>
    <w:rsid w:val="00C67EED"/>
    <w:rsid w:val="00C70B6F"/>
    <w:rsid w:val="00C723E3"/>
    <w:rsid w:val="00C748D6"/>
    <w:rsid w:val="00C74A68"/>
    <w:rsid w:val="00C76749"/>
    <w:rsid w:val="00C81C6E"/>
    <w:rsid w:val="00C832BE"/>
    <w:rsid w:val="00C85D56"/>
    <w:rsid w:val="00C85F42"/>
    <w:rsid w:val="00C86373"/>
    <w:rsid w:val="00C873F1"/>
    <w:rsid w:val="00C87BB5"/>
    <w:rsid w:val="00C9090B"/>
    <w:rsid w:val="00C91B10"/>
    <w:rsid w:val="00C91BCB"/>
    <w:rsid w:val="00C932C1"/>
    <w:rsid w:val="00C93550"/>
    <w:rsid w:val="00C93B64"/>
    <w:rsid w:val="00C94EBC"/>
    <w:rsid w:val="00C95796"/>
    <w:rsid w:val="00C976FA"/>
    <w:rsid w:val="00C97990"/>
    <w:rsid w:val="00CA0738"/>
    <w:rsid w:val="00CA41C2"/>
    <w:rsid w:val="00CA41D6"/>
    <w:rsid w:val="00CA4B87"/>
    <w:rsid w:val="00CA4EBA"/>
    <w:rsid w:val="00CA5FF8"/>
    <w:rsid w:val="00CB02A8"/>
    <w:rsid w:val="00CB036F"/>
    <w:rsid w:val="00CB0445"/>
    <w:rsid w:val="00CB2095"/>
    <w:rsid w:val="00CB3781"/>
    <w:rsid w:val="00CB5977"/>
    <w:rsid w:val="00CB67A4"/>
    <w:rsid w:val="00CB7386"/>
    <w:rsid w:val="00CB76AC"/>
    <w:rsid w:val="00CB788B"/>
    <w:rsid w:val="00CC2916"/>
    <w:rsid w:val="00CC3BAD"/>
    <w:rsid w:val="00CC49E8"/>
    <w:rsid w:val="00CC656C"/>
    <w:rsid w:val="00CC6C33"/>
    <w:rsid w:val="00CC7C83"/>
    <w:rsid w:val="00CC7F27"/>
    <w:rsid w:val="00CD1CA8"/>
    <w:rsid w:val="00CD3430"/>
    <w:rsid w:val="00CD3454"/>
    <w:rsid w:val="00CD3B15"/>
    <w:rsid w:val="00CD4940"/>
    <w:rsid w:val="00CD4B36"/>
    <w:rsid w:val="00CD5602"/>
    <w:rsid w:val="00CD5B76"/>
    <w:rsid w:val="00CD7092"/>
    <w:rsid w:val="00CD7882"/>
    <w:rsid w:val="00CE0EBE"/>
    <w:rsid w:val="00CE1C1A"/>
    <w:rsid w:val="00CE3A2A"/>
    <w:rsid w:val="00CE4003"/>
    <w:rsid w:val="00CF03B2"/>
    <w:rsid w:val="00CF1582"/>
    <w:rsid w:val="00CF28CA"/>
    <w:rsid w:val="00CF2C10"/>
    <w:rsid w:val="00CF49BE"/>
    <w:rsid w:val="00CF52E4"/>
    <w:rsid w:val="00CF72B8"/>
    <w:rsid w:val="00CF7625"/>
    <w:rsid w:val="00CF7BE2"/>
    <w:rsid w:val="00D05EB0"/>
    <w:rsid w:val="00D07700"/>
    <w:rsid w:val="00D07F91"/>
    <w:rsid w:val="00D11473"/>
    <w:rsid w:val="00D11FDD"/>
    <w:rsid w:val="00D12980"/>
    <w:rsid w:val="00D12990"/>
    <w:rsid w:val="00D12B26"/>
    <w:rsid w:val="00D13351"/>
    <w:rsid w:val="00D13D24"/>
    <w:rsid w:val="00D14D62"/>
    <w:rsid w:val="00D154A7"/>
    <w:rsid w:val="00D219FA"/>
    <w:rsid w:val="00D21B68"/>
    <w:rsid w:val="00D2344E"/>
    <w:rsid w:val="00D257E3"/>
    <w:rsid w:val="00D2664E"/>
    <w:rsid w:val="00D273C3"/>
    <w:rsid w:val="00D30AFF"/>
    <w:rsid w:val="00D32FA7"/>
    <w:rsid w:val="00D34170"/>
    <w:rsid w:val="00D34782"/>
    <w:rsid w:val="00D36191"/>
    <w:rsid w:val="00D3709C"/>
    <w:rsid w:val="00D378ED"/>
    <w:rsid w:val="00D400ED"/>
    <w:rsid w:val="00D41205"/>
    <w:rsid w:val="00D43365"/>
    <w:rsid w:val="00D463AC"/>
    <w:rsid w:val="00D46781"/>
    <w:rsid w:val="00D50714"/>
    <w:rsid w:val="00D50E40"/>
    <w:rsid w:val="00D51052"/>
    <w:rsid w:val="00D516D9"/>
    <w:rsid w:val="00D51AA1"/>
    <w:rsid w:val="00D5257E"/>
    <w:rsid w:val="00D526C3"/>
    <w:rsid w:val="00D52F13"/>
    <w:rsid w:val="00D537A2"/>
    <w:rsid w:val="00D562EC"/>
    <w:rsid w:val="00D56338"/>
    <w:rsid w:val="00D57226"/>
    <w:rsid w:val="00D60BAF"/>
    <w:rsid w:val="00D624DF"/>
    <w:rsid w:val="00D62DEE"/>
    <w:rsid w:val="00D64204"/>
    <w:rsid w:val="00D673E6"/>
    <w:rsid w:val="00D70293"/>
    <w:rsid w:val="00D71B4F"/>
    <w:rsid w:val="00D7419D"/>
    <w:rsid w:val="00D746BB"/>
    <w:rsid w:val="00D74ACD"/>
    <w:rsid w:val="00D771FB"/>
    <w:rsid w:val="00D779F6"/>
    <w:rsid w:val="00D77DCB"/>
    <w:rsid w:val="00D8054A"/>
    <w:rsid w:val="00D80F28"/>
    <w:rsid w:val="00D82299"/>
    <w:rsid w:val="00D82740"/>
    <w:rsid w:val="00D86481"/>
    <w:rsid w:val="00D87036"/>
    <w:rsid w:val="00D87C20"/>
    <w:rsid w:val="00D907A2"/>
    <w:rsid w:val="00D90BE7"/>
    <w:rsid w:val="00D91B0E"/>
    <w:rsid w:val="00D9214B"/>
    <w:rsid w:val="00D93726"/>
    <w:rsid w:val="00D9735F"/>
    <w:rsid w:val="00DA0AD7"/>
    <w:rsid w:val="00DA1796"/>
    <w:rsid w:val="00DA1C24"/>
    <w:rsid w:val="00DA59B8"/>
    <w:rsid w:val="00DA5A6B"/>
    <w:rsid w:val="00DA7A57"/>
    <w:rsid w:val="00DB21D2"/>
    <w:rsid w:val="00DB26E5"/>
    <w:rsid w:val="00DB2B36"/>
    <w:rsid w:val="00DB2D7E"/>
    <w:rsid w:val="00DB30D8"/>
    <w:rsid w:val="00DB444D"/>
    <w:rsid w:val="00DC106D"/>
    <w:rsid w:val="00DC1DF4"/>
    <w:rsid w:val="00DC2588"/>
    <w:rsid w:val="00DC2E27"/>
    <w:rsid w:val="00DC32BB"/>
    <w:rsid w:val="00DC3F0D"/>
    <w:rsid w:val="00DC42E6"/>
    <w:rsid w:val="00DC757A"/>
    <w:rsid w:val="00DD0CF3"/>
    <w:rsid w:val="00DD1CF2"/>
    <w:rsid w:val="00DD2DEB"/>
    <w:rsid w:val="00DD3FFB"/>
    <w:rsid w:val="00DD44A3"/>
    <w:rsid w:val="00DD52AB"/>
    <w:rsid w:val="00DD6435"/>
    <w:rsid w:val="00DD6847"/>
    <w:rsid w:val="00DE118B"/>
    <w:rsid w:val="00DE2049"/>
    <w:rsid w:val="00DE5381"/>
    <w:rsid w:val="00DE5410"/>
    <w:rsid w:val="00DF0067"/>
    <w:rsid w:val="00DF05BB"/>
    <w:rsid w:val="00DF0736"/>
    <w:rsid w:val="00DF0BE3"/>
    <w:rsid w:val="00DF199A"/>
    <w:rsid w:val="00DF205A"/>
    <w:rsid w:val="00DF2BB0"/>
    <w:rsid w:val="00DF3894"/>
    <w:rsid w:val="00DF53B6"/>
    <w:rsid w:val="00DF62A6"/>
    <w:rsid w:val="00DF791A"/>
    <w:rsid w:val="00E00D64"/>
    <w:rsid w:val="00E017FD"/>
    <w:rsid w:val="00E045AB"/>
    <w:rsid w:val="00E06421"/>
    <w:rsid w:val="00E06DF5"/>
    <w:rsid w:val="00E07402"/>
    <w:rsid w:val="00E077BB"/>
    <w:rsid w:val="00E10263"/>
    <w:rsid w:val="00E102E4"/>
    <w:rsid w:val="00E10ACF"/>
    <w:rsid w:val="00E12CE2"/>
    <w:rsid w:val="00E15411"/>
    <w:rsid w:val="00E159F0"/>
    <w:rsid w:val="00E16C8B"/>
    <w:rsid w:val="00E175D0"/>
    <w:rsid w:val="00E20067"/>
    <w:rsid w:val="00E20BCD"/>
    <w:rsid w:val="00E21C35"/>
    <w:rsid w:val="00E22B7A"/>
    <w:rsid w:val="00E244C1"/>
    <w:rsid w:val="00E25A94"/>
    <w:rsid w:val="00E26956"/>
    <w:rsid w:val="00E27566"/>
    <w:rsid w:val="00E33E41"/>
    <w:rsid w:val="00E3658F"/>
    <w:rsid w:val="00E37992"/>
    <w:rsid w:val="00E37A08"/>
    <w:rsid w:val="00E37EA4"/>
    <w:rsid w:val="00E40862"/>
    <w:rsid w:val="00E40C4E"/>
    <w:rsid w:val="00E424D0"/>
    <w:rsid w:val="00E42E12"/>
    <w:rsid w:val="00E46704"/>
    <w:rsid w:val="00E4677F"/>
    <w:rsid w:val="00E46834"/>
    <w:rsid w:val="00E46A62"/>
    <w:rsid w:val="00E47378"/>
    <w:rsid w:val="00E512BA"/>
    <w:rsid w:val="00E525CF"/>
    <w:rsid w:val="00E550C4"/>
    <w:rsid w:val="00E557B7"/>
    <w:rsid w:val="00E5760C"/>
    <w:rsid w:val="00E60E1C"/>
    <w:rsid w:val="00E61A6B"/>
    <w:rsid w:val="00E62CE9"/>
    <w:rsid w:val="00E650E0"/>
    <w:rsid w:val="00E65F5F"/>
    <w:rsid w:val="00E66499"/>
    <w:rsid w:val="00E66D9A"/>
    <w:rsid w:val="00E71910"/>
    <w:rsid w:val="00E71F53"/>
    <w:rsid w:val="00E7268F"/>
    <w:rsid w:val="00E741F5"/>
    <w:rsid w:val="00E74BB5"/>
    <w:rsid w:val="00E75238"/>
    <w:rsid w:val="00E77CF2"/>
    <w:rsid w:val="00E80FA3"/>
    <w:rsid w:val="00E86573"/>
    <w:rsid w:val="00E867F8"/>
    <w:rsid w:val="00E871E2"/>
    <w:rsid w:val="00E87319"/>
    <w:rsid w:val="00E8770B"/>
    <w:rsid w:val="00E90AED"/>
    <w:rsid w:val="00E91AAF"/>
    <w:rsid w:val="00E92079"/>
    <w:rsid w:val="00E92D47"/>
    <w:rsid w:val="00E96B47"/>
    <w:rsid w:val="00EA0365"/>
    <w:rsid w:val="00EA12CD"/>
    <w:rsid w:val="00EA37E3"/>
    <w:rsid w:val="00EA48EB"/>
    <w:rsid w:val="00EA4F58"/>
    <w:rsid w:val="00EA56D5"/>
    <w:rsid w:val="00EA5768"/>
    <w:rsid w:val="00EA7235"/>
    <w:rsid w:val="00EB07B4"/>
    <w:rsid w:val="00EB0B0C"/>
    <w:rsid w:val="00EB15B0"/>
    <w:rsid w:val="00EB2EC0"/>
    <w:rsid w:val="00EB4068"/>
    <w:rsid w:val="00EB6746"/>
    <w:rsid w:val="00EB76D6"/>
    <w:rsid w:val="00EC052E"/>
    <w:rsid w:val="00EC3415"/>
    <w:rsid w:val="00EC35C9"/>
    <w:rsid w:val="00EC43E8"/>
    <w:rsid w:val="00EC6652"/>
    <w:rsid w:val="00EC74A5"/>
    <w:rsid w:val="00ED01DE"/>
    <w:rsid w:val="00ED02F8"/>
    <w:rsid w:val="00ED1D0D"/>
    <w:rsid w:val="00ED215B"/>
    <w:rsid w:val="00ED318B"/>
    <w:rsid w:val="00ED4271"/>
    <w:rsid w:val="00ED4BFF"/>
    <w:rsid w:val="00ED5873"/>
    <w:rsid w:val="00ED6238"/>
    <w:rsid w:val="00ED6E9F"/>
    <w:rsid w:val="00EE0C58"/>
    <w:rsid w:val="00EE0CC8"/>
    <w:rsid w:val="00EE3624"/>
    <w:rsid w:val="00EE54A5"/>
    <w:rsid w:val="00EE642E"/>
    <w:rsid w:val="00EE7954"/>
    <w:rsid w:val="00EE7C8B"/>
    <w:rsid w:val="00EE7E4A"/>
    <w:rsid w:val="00EE7EBC"/>
    <w:rsid w:val="00EF0861"/>
    <w:rsid w:val="00EF1A72"/>
    <w:rsid w:val="00EF26C8"/>
    <w:rsid w:val="00EF2C9B"/>
    <w:rsid w:val="00EF2FA4"/>
    <w:rsid w:val="00EF3403"/>
    <w:rsid w:val="00EF67B9"/>
    <w:rsid w:val="00EF6AC4"/>
    <w:rsid w:val="00EF6AE5"/>
    <w:rsid w:val="00EF6E77"/>
    <w:rsid w:val="00EF739D"/>
    <w:rsid w:val="00EF7D0D"/>
    <w:rsid w:val="00F01AE9"/>
    <w:rsid w:val="00F01DBA"/>
    <w:rsid w:val="00F01E10"/>
    <w:rsid w:val="00F0321B"/>
    <w:rsid w:val="00F03F04"/>
    <w:rsid w:val="00F041CB"/>
    <w:rsid w:val="00F0478A"/>
    <w:rsid w:val="00F04D4F"/>
    <w:rsid w:val="00F064D8"/>
    <w:rsid w:val="00F1088F"/>
    <w:rsid w:val="00F12DEB"/>
    <w:rsid w:val="00F13110"/>
    <w:rsid w:val="00F143C0"/>
    <w:rsid w:val="00F15CE0"/>
    <w:rsid w:val="00F1703A"/>
    <w:rsid w:val="00F20AAB"/>
    <w:rsid w:val="00F20FF8"/>
    <w:rsid w:val="00F21B35"/>
    <w:rsid w:val="00F2225D"/>
    <w:rsid w:val="00F223CE"/>
    <w:rsid w:val="00F226BE"/>
    <w:rsid w:val="00F244A6"/>
    <w:rsid w:val="00F26B10"/>
    <w:rsid w:val="00F2773F"/>
    <w:rsid w:val="00F31CB6"/>
    <w:rsid w:val="00F325AB"/>
    <w:rsid w:val="00F33AF7"/>
    <w:rsid w:val="00F37652"/>
    <w:rsid w:val="00F42D2C"/>
    <w:rsid w:val="00F43591"/>
    <w:rsid w:val="00F43A73"/>
    <w:rsid w:val="00F4467D"/>
    <w:rsid w:val="00F45B16"/>
    <w:rsid w:val="00F46204"/>
    <w:rsid w:val="00F477C6"/>
    <w:rsid w:val="00F47C37"/>
    <w:rsid w:val="00F5011C"/>
    <w:rsid w:val="00F51567"/>
    <w:rsid w:val="00F51D43"/>
    <w:rsid w:val="00F51FEA"/>
    <w:rsid w:val="00F53354"/>
    <w:rsid w:val="00F537EA"/>
    <w:rsid w:val="00F5594A"/>
    <w:rsid w:val="00F55D57"/>
    <w:rsid w:val="00F57E78"/>
    <w:rsid w:val="00F6396C"/>
    <w:rsid w:val="00F63A73"/>
    <w:rsid w:val="00F644F3"/>
    <w:rsid w:val="00F64F9B"/>
    <w:rsid w:val="00F67C46"/>
    <w:rsid w:val="00F70BF1"/>
    <w:rsid w:val="00F721AA"/>
    <w:rsid w:val="00F72AB1"/>
    <w:rsid w:val="00F762FE"/>
    <w:rsid w:val="00F76C0D"/>
    <w:rsid w:val="00F824D0"/>
    <w:rsid w:val="00F849E5"/>
    <w:rsid w:val="00F909F5"/>
    <w:rsid w:val="00F916B6"/>
    <w:rsid w:val="00F928A5"/>
    <w:rsid w:val="00F92AF7"/>
    <w:rsid w:val="00F94740"/>
    <w:rsid w:val="00F95251"/>
    <w:rsid w:val="00F96133"/>
    <w:rsid w:val="00F978B8"/>
    <w:rsid w:val="00FA0400"/>
    <w:rsid w:val="00FA0D99"/>
    <w:rsid w:val="00FA0DF4"/>
    <w:rsid w:val="00FA1EAA"/>
    <w:rsid w:val="00FA3D06"/>
    <w:rsid w:val="00FA5A26"/>
    <w:rsid w:val="00FA6FFD"/>
    <w:rsid w:val="00FA7978"/>
    <w:rsid w:val="00FA7BE4"/>
    <w:rsid w:val="00FA7CFF"/>
    <w:rsid w:val="00FB0E28"/>
    <w:rsid w:val="00FB1FE1"/>
    <w:rsid w:val="00FB6553"/>
    <w:rsid w:val="00FC02E3"/>
    <w:rsid w:val="00FC0AC5"/>
    <w:rsid w:val="00FC214B"/>
    <w:rsid w:val="00FC3156"/>
    <w:rsid w:val="00FC34FA"/>
    <w:rsid w:val="00FC3F7E"/>
    <w:rsid w:val="00FC461C"/>
    <w:rsid w:val="00FC6D42"/>
    <w:rsid w:val="00FC7CB2"/>
    <w:rsid w:val="00FC7E30"/>
    <w:rsid w:val="00FC7EB4"/>
    <w:rsid w:val="00FD054E"/>
    <w:rsid w:val="00FD173F"/>
    <w:rsid w:val="00FD1EA0"/>
    <w:rsid w:val="00FD3350"/>
    <w:rsid w:val="00FD5AC2"/>
    <w:rsid w:val="00FD6A7E"/>
    <w:rsid w:val="00FD6E56"/>
    <w:rsid w:val="00FD6FBD"/>
    <w:rsid w:val="00FD7F11"/>
    <w:rsid w:val="00FE10AF"/>
    <w:rsid w:val="00FE397A"/>
    <w:rsid w:val="00FE7445"/>
    <w:rsid w:val="00FE7D8A"/>
    <w:rsid w:val="00FF1865"/>
    <w:rsid w:val="00FF1955"/>
    <w:rsid w:val="00FF1B15"/>
    <w:rsid w:val="00FF202E"/>
    <w:rsid w:val="00FF3DAB"/>
    <w:rsid w:val="00FF3FC5"/>
    <w:rsid w:val="00FF4879"/>
    <w:rsid w:val="00FF5AC8"/>
    <w:rsid w:val="00FF66A8"/>
    <w:rsid w:val="00FF6D54"/>
    <w:rsid w:val="00FF76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346C1"/>
  <w15:chartTrackingRefBased/>
  <w15:docId w15:val="{D6DE3DC3-F346-5842-BAC0-87AF79D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1C2"/>
    <w:rPr>
      <w:rFonts w:ascii="Times New Roman" w:eastAsia="Times New Roman" w:hAnsi="Times New Roman" w:cs="Times New Roman"/>
      <w:lang w:eastAsia="en-GB"/>
    </w:rPr>
  </w:style>
  <w:style w:type="paragraph" w:styleId="Heading1">
    <w:name w:val="heading 1"/>
    <w:basedOn w:val="Normal"/>
    <w:link w:val="Heading1Char"/>
    <w:autoRedefine/>
    <w:uiPriority w:val="9"/>
    <w:qFormat/>
    <w:rsid w:val="00F13110"/>
    <w:pPr>
      <w:outlineLvl w:val="0"/>
    </w:pPr>
    <w:rPr>
      <w:b/>
      <w:bCs/>
      <w:color w:val="000000" w:themeColor="text1"/>
      <w:kern w:val="36"/>
      <w:sz w:val="32"/>
      <w:szCs w:val="32"/>
      <w:lang w:val="en-US"/>
    </w:rPr>
  </w:style>
  <w:style w:type="paragraph" w:styleId="Heading2">
    <w:name w:val="heading 2"/>
    <w:basedOn w:val="Normal"/>
    <w:link w:val="Heading2Char"/>
    <w:autoRedefine/>
    <w:uiPriority w:val="9"/>
    <w:qFormat/>
    <w:rsid w:val="008E7F36"/>
    <w:pPr>
      <w:spacing w:beforeAutospacing="1" w:after="100" w:afterAutospacing="1"/>
      <w:ind w:left="720"/>
      <w:outlineLvl w:val="1"/>
    </w:pPr>
    <w:rPr>
      <w:bCs/>
      <w:lang w:val="en-US"/>
    </w:rPr>
  </w:style>
  <w:style w:type="paragraph" w:styleId="Heading3">
    <w:name w:val="heading 3"/>
    <w:basedOn w:val="Normal"/>
    <w:next w:val="Normal"/>
    <w:link w:val="Heading3Char"/>
    <w:autoRedefine/>
    <w:uiPriority w:val="9"/>
    <w:unhideWhenUsed/>
    <w:qFormat/>
    <w:rsid w:val="00E7268F"/>
    <w:pPr>
      <w:keepNext/>
      <w:keepLines/>
      <w:spacing w:before="40" w:line="276" w:lineRule="auto"/>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7268F"/>
    <w:rPr>
      <w:rFonts w:asciiTheme="majorHAnsi" w:eastAsiaTheme="majorEastAsia" w:hAnsiTheme="majorHAnsi" w:cstheme="majorBidi"/>
      <w:b/>
      <w:color w:val="000000" w:themeColor="text1"/>
    </w:rPr>
  </w:style>
  <w:style w:type="character" w:customStyle="1" w:styleId="Heading1Char">
    <w:name w:val="Heading 1 Char"/>
    <w:basedOn w:val="DefaultParagraphFont"/>
    <w:link w:val="Heading1"/>
    <w:uiPriority w:val="9"/>
    <w:rsid w:val="00F13110"/>
    <w:rPr>
      <w:rFonts w:ascii="Times New Roman" w:eastAsia="Times New Roman" w:hAnsi="Times New Roman" w:cs="Times New Roman"/>
      <w:b/>
      <w:bCs/>
      <w:color w:val="000000" w:themeColor="text1"/>
      <w:kern w:val="36"/>
      <w:sz w:val="32"/>
      <w:szCs w:val="32"/>
      <w:lang w:val="en-US" w:eastAsia="en-GB"/>
    </w:rPr>
  </w:style>
  <w:style w:type="character" w:customStyle="1" w:styleId="Heading2Char">
    <w:name w:val="Heading 2 Char"/>
    <w:basedOn w:val="DefaultParagraphFont"/>
    <w:link w:val="Heading2"/>
    <w:uiPriority w:val="9"/>
    <w:rsid w:val="008E7F36"/>
    <w:rPr>
      <w:rFonts w:ascii="Times New Roman" w:eastAsia="Times New Roman" w:hAnsi="Times New Roman" w:cs="Times New Roman"/>
      <w:bCs/>
      <w:lang w:val="en-US" w:eastAsia="en-GB"/>
    </w:rPr>
  </w:style>
  <w:style w:type="paragraph" w:styleId="ListParagraph">
    <w:name w:val="List Paragraph"/>
    <w:basedOn w:val="Normal"/>
    <w:uiPriority w:val="34"/>
    <w:qFormat/>
    <w:rsid w:val="005B2849"/>
    <w:pPr>
      <w:spacing w:line="480" w:lineRule="auto"/>
      <w:ind w:left="720"/>
      <w:contextualSpacing/>
    </w:pPr>
    <w:rPr>
      <w:rFonts w:eastAsiaTheme="minorHAnsi" w:cstheme="minorBidi"/>
      <w:szCs w:val="22"/>
      <w:lang w:val="en-US" w:eastAsia="en-US"/>
    </w:rPr>
  </w:style>
  <w:style w:type="character" w:styleId="Hyperlink">
    <w:name w:val="Hyperlink"/>
    <w:basedOn w:val="DefaultParagraphFont"/>
    <w:uiPriority w:val="99"/>
    <w:unhideWhenUsed/>
    <w:rsid w:val="005B2849"/>
    <w:rPr>
      <w:color w:val="0000FF"/>
      <w:u w:val="single"/>
    </w:rPr>
  </w:style>
  <w:style w:type="table" w:styleId="TableGrid">
    <w:name w:val="Table Grid"/>
    <w:basedOn w:val="TableNormal"/>
    <w:uiPriority w:val="39"/>
    <w:rsid w:val="005B2849"/>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B2849"/>
    <w:rPr>
      <w:sz w:val="16"/>
      <w:szCs w:val="16"/>
    </w:rPr>
  </w:style>
  <w:style w:type="paragraph" w:styleId="CommentText">
    <w:name w:val="annotation text"/>
    <w:basedOn w:val="Normal"/>
    <w:link w:val="CommentTextChar"/>
    <w:uiPriority w:val="99"/>
    <w:unhideWhenUsed/>
    <w:rsid w:val="005B2849"/>
    <w:rPr>
      <w:sz w:val="20"/>
      <w:szCs w:val="20"/>
    </w:rPr>
  </w:style>
  <w:style w:type="character" w:customStyle="1" w:styleId="CommentTextChar">
    <w:name w:val="Comment Text Char"/>
    <w:basedOn w:val="DefaultParagraphFont"/>
    <w:link w:val="CommentText"/>
    <w:uiPriority w:val="99"/>
    <w:rsid w:val="005B2849"/>
    <w:rPr>
      <w:rFonts w:ascii="Times New Roman" w:eastAsia="Times New Roman" w:hAnsi="Times New Roman" w:cs="Times New Roman"/>
      <w:sz w:val="20"/>
      <w:szCs w:val="20"/>
      <w:lang w:eastAsia="en-GB"/>
    </w:rPr>
  </w:style>
  <w:style w:type="character" w:styleId="Emphasis">
    <w:name w:val="Emphasis"/>
    <w:basedOn w:val="DefaultParagraphFont"/>
    <w:uiPriority w:val="20"/>
    <w:qFormat/>
    <w:rsid w:val="005B2849"/>
    <w:rPr>
      <w:i/>
      <w:iCs/>
    </w:rPr>
  </w:style>
  <w:style w:type="paragraph" w:customStyle="1" w:styleId="Default">
    <w:name w:val="Default"/>
    <w:rsid w:val="005B2849"/>
    <w:pPr>
      <w:autoSpaceDE w:val="0"/>
      <w:autoSpaceDN w:val="0"/>
      <w:adjustRightInd w:val="0"/>
    </w:pPr>
    <w:rPr>
      <w:rFonts w:ascii="Arial" w:hAnsi="Arial" w:cs="Arial"/>
      <w:color w:val="000000"/>
    </w:rPr>
  </w:style>
  <w:style w:type="paragraph" w:styleId="BalloonText">
    <w:name w:val="Balloon Text"/>
    <w:basedOn w:val="Normal"/>
    <w:link w:val="BalloonTextChar"/>
    <w:uiPriority w:val="99"/>
    <w:semiHidden/>
    <w:unhideWhenUsed/>
    <w:rsid w:val="005B2849"/>
    <w:rPr>
      <w:sz w:val="18"/>
      <w:szCs w:val="18"/>
    </w:rPr>
  </w:style>
  <w:style w:type="character" w:customStyle="1" w:styleId="BalloonTextChar">
    <w:name w:val="Balloon Text Char"/>
    <w:basedOn w:val="DefaultParagraphFont"/>
    <w:link w:val="BalloonText"/>
    <w:uiPriority w:val="99"/>
    <w:semiHidden/>
    <w:rsid w:val="005B2849"/>
    <w:rPr>
      <w:rFonts w:ascii="Times New Roman" w:eastAsia="Times New Roman" w:hAnsi="Times New Roman" w:cs="Times New Roman"/>
      <w:sz w:val="18"/>
      <w:szCs w:val="18"/>
      <w:lang w:eastAsia="en-GB"/>
    </w:rPr>
  </w:style>
  <w:style w:type="paragraph" w:styleId="CommentSubject">
    <w:name w:val="annotation subject"/>
    <w:basedOn w:val="CommentText"/>
    <w:next w:val="CommentText"/>
    <w:link w:val="CommentSubjectChar"/>
    <w:uiPriority w:val="99"/>
    <w:semiHidden/>
    <w:unhideWhenUsed/>
    <w:rsid w:val="00785F7C"/>
    <w:rPr>
      <w:b/>
      <w:bCs/>
    </w:rPr>
  </w:style>
  <w:style w:type="character" w:customStyle="1" w:styleId="CommentSubjectChar">
    <w:name w:val="Comment Subject Char"/>
    <w:basedOn w:val="CommentTextChar"/>
    <w:link w:val="CommentSubject"/>
    <w:uiPriority w:val="99"/>
    <w:semiHidden/>
    <w:rsid w:val="00785F7C"/>
    <w:rPr>
      <w:rFonts w:ascii="Times New Roman" w:eastAsia="Times New Roman" w:hAnsi="Times New Roman" w:cs="Times New Roman"/>
      <w:b/>
      <w:bCs/>
      <w:sz w:val="20"/>
      <w:szCs w:val="20"/>
      <w:lang w:eastAsia="en-GB"/>
    </w:rPr>
  </w:style>
  <w:style w:type="paragraph" w:styleId="NormalWeb">
    <w:name w:val="Normal (Web)"/>
    <w:basedOn w:val="Normal"/>
    <w:uiPriority w:val="99"/>
    <w:unhideWhenUsed/>
    <w:rsid w:val="002126E4"/>
    <w:pPr>
      <w:spacing w:before="100" w:beforeAutospacing="1" w:after="100" w:afterAutospacing="1"/>
    </w:pPr>
  </w:style>
  <w:style w:type="paragraph" w:customStyle="1" w:styleId="ColorfulList-Accent11">
    <w:name w:val="Colorful List - Accent 11"/>
    <w:basedOn w:val="Normal"/>
    <w:uiPriority w:val="34"/>
    <w:semiHidden/>
    <w:qFormat/>
    <w:rsid w:val="002126E4"/>
    <w:pPr>
      <w:spacing w:after="200" w:line="276" w:lineRule="auto"/>
      <w:ind w:left="720"/>
      <w:contextualSpacing/>
    </w:pPr>
    <w:rPr>
      <w:rFonts w:eastAsia="Calibri"/>
      <w:szCs w:val="22"/>
      <w:lang w:val="en-US" w:eastAsia="en-US"/>
    </w:rPr>
  </w:style>
  <w:style w:type="paragraph" w:styleId="Bibliography">
    <w:name w:val="Bibliography"/>
    <w:basedOn w:val="Normal"/>
    <w:next w:val="Normal"/>
    <w:uiPriority w:val="37"/>
    <w:unhideWhenUsed/>
    <w:rsid w:val="00906AC8"/>
  </w:style>
  <w:style w:type="paragraph" w:styleId="Revision">
    <w:name w:val="Revision"/>
    <w:hidden/>
    <w:uiPriority w:val="99"/>
    <w:semiHidden/>
    <w:rsid w:val="006758D4"/>
    <w:rPr>
      <w:rFonts w:ascii="Times New Roman" w:eastAsia="Times New Roman" w:hAnsi="Times New Roman" w:cs="Times New Roman"/>
      <w:lang w:eastAsia="en-GB"/>
    </w:rPr>
  </w:style>
  <w:style w:type="paragraph" w:styleId="Footer">
    <w:name w:val="footer"/>
    <w:basedOn w:val="Normal"/>
    <w:link w:val="FooterChar"/>
    <w:uiPriority w:val="99"/>
    <w:unhideWhenUsed/>
    <w:rsid w:val="00D07700"/>
    <w:pPr>
      <w:tabs>
        <w:tab w:val="center" w:pos="4513"/>
        <w:tab w:val="right" w:pos="9026"/>
      </w:tabs>
    </w:pPr>
    <w:rPr>
      <w:rFonts w:ascii="Arial" w:eastAsiaTheme="minorEastAsia" w:hAnsi="Arial" w:cstheme="minorBidi"/>
      <w:sz w:val="22"/>
      <w:szCs w:val="22"/>
      <w:lang w:eastAsia="en-US"/>
    </w:rPr>
  </w:style>
  <w:style w:type="character" w:customStyle="1" w:styleId="FooterChar">
    <w:name w:val="Footer Char"/>
    <w:basedOn w:val="DefaultParagraphFont"/>
    <w:link w:val="Footer"/>
    <w:uiPriority w:val="99"/>
    <w:rsid w:val="00D07700"/>
    <w:rPr>
      <w:rFonts w:ascii="Arial" w:eastAsiaTheme="minorEastAsia" w:hAnsi="Arial"/>
      <w:sz w:val="22"/>
      <w:szCs w:val="22"/>
    </w:rPr>
  </w:style>
  <w:style w:type="table" w:styleId="PlainTable2">
    <w:name w:val="Plain Table 2"/>
    <w:basedOn w:val="TableNormal"/>
    <w:uiPriority w:val="42"/>
    <w:rsid w:val="00891F6C"/>
    <w:rPr>
      <w:rFonts w:eastAsiaTheme="minorEastAsia"/>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aption">
    <w:name w:val="caption"/>
    <w:basedOn w:val="Normal"/>
    <w:next w:val="Normal"/>
    <w:uiPriority w:val="35"/>
    <w:unhideWhenUsed/>
    <w:qFormat/>
    <w:rsid w:val="002F1D32"/>
    <w:pPr>
      <w:spacing w:after="200"/>
    </w:pPr>
    <w:rPr>
      <w:rFonts w:ascii="Arial" w:eastAsiaTheme="minorEastAsia" w:hAnsi="Arial" w:cstheme="minorBidi"/>
      <w:i/>
      <w:iCs/>
      <w:color w:val="44546A" w:themeColor="text2"/>
      <w:sz w:val="18"/>
      <w:szCs w:val="18"/>
      <w:lang w:eastAsia="en-US"/>
    </w:rPr>
  </w:style>
  <w:style w:type="character" w:customStyle="1" w:styleId="ej-keyword">
    <w:name w:val="ej-keyword"/>
    <w:basedOn w:val="DefaultParagraphFont"/>
    <w:rsid w:val="00AD1DF7"/>
  </w:style>
  <w:style w:type="paragraph" w:styleId="ListBullet">
    <w:name w:val="List Bullet"/>
    <w:basedOn w:val="Normal"/>
    <w:autoRedefine/>
    <w:uiPriority w:val="1"/>
    <w:unhideWhenUsed/>
    <w:qFormat/>
    <w:rsid w:val="003A3EAE"/>
    <w:pPr>
      <w:numPr>
        <w:numId w:val="11"/>
      </w:numPr>
      <w:spacing w:after="60" w:line="288" w:lineRule="auto"/>
    </w:pPr>
    <w:rPr>
      <w:color w:val="404040" w:themeColor="text1" w:themeTint="BF"/>
      <w:sz w:val="22"/>
      <w:szCs w:val="18"/>
      <w:lang w:eastAsia="ja-JP"/>
    </w:rPr>
  </w:style>
  <w:style w:type="paragraph" w:styleId="Header">
    <w:name w:val="header"/>
    <w:basedOn w:val="Normal"/>
    <w:link w:val="HeaderChar"/>
    <w:uiPriority w:val="99"/>
    <w:unhideWhenUsed/>
    <w:rsid w:val="005C265C"/>
    <w:pPr>
      <w:tabs>
        <w:tab w:val="center" w:pos="4513"/>
        <w:tab w:val="right" w:pos="9026"/>
      </w:tabs>
    </w:pPr>
  </w:style>
  <w:style w:type="character" w:customStyle="1" w:styleId="HeaderChar">
    <w:name w:val="Header Char"/>
    <w:basedOn w:val="DefaultParagraphFont"/>
    <w:link w:val="Header"/>
    <w:uiPriority w:val="99"/>
    <w:rsid w:val="005C265C"/>
    <w:rPr>
      <w:rFonts w:ascii="Times New Roman" w:eastAsia="Times New Roman" w:hAnsi="Times New Roman" w:cs="Times New Roman"/>
      <w:lang w:eastAsia="en-GB"/>
    </w:rPr>
  </w:style>
  <w:style w:type="paragraph" w:customStyle="1" w:styleId="citation-authorstring">
    <w:name w:val="citation-authorstring"/>
    <w:basedOn w:val="Normal"/>
    <w:rsid w:val="0032412A"/>
    <w:pPr>
      <w:spacing w:before="100" w:beforeAutospacing="1" w:after="100" w:afterAutospacing="1"/>
    </w:pPr>
  </w:style>
  <w:style w:type="character" w:styleId="FollowedHyperlink">
    <w:name w:val="FollowedHyperlink"/>
    <w:basedOn w:val="DefaultParagraphFont"/>
    <w:uiPriority w:val="99"/>
    <w:semiHidden/>
    <w:unhideWhenUsed/>
    <w:rsid w:val="0032412A"/>
    <w:rPr>
      <w:color w:val="954F72" w:themeColor="followedHyperlink"/>
      <w:u w:val="single"/>
    </w:rPr>
  </w:style>
  <w:style w:type="character" w:customStyle="1" w:styleId="UnresolvedMention1">
    <w:name w:val="Unresolved Mention1"/>
    <w:basedOn w:val="DefaultParagraphFont"/>
    <w:uiPriority w:val="99"/>
    <w:semiHidden/>
    <w:unhideWhenUsed/>
    <w:rsid w:val="00D05EB0"/>
    <w:rPr>
      <w:color w:val="605E5C"/>
      <w:shd w:val="clear" w:color="auto" w:fill="E1DFDD"/>
    </w:rPr>
  </w:style>
  <w:style w:type="character" w:styleId="PageNumber">
    <w:name w:val="page number"/>
    <w:basedOn w:val="DefaultParagraphFont"/>
    <w:uiPriority w:val="99"/>
    <w:semiHidden/>
    <w:unhideWhenUsed/>
    <w:rsid w:val="007B21CB"/>
  </w:style>
  <w:style w:type="character" w:customStyle="1" w:styleId="UnresolvedMention2">
    <w:name w:val="Unresolved Mention2"/>
    <w:basedOn w:val="DefaultParagraphFont"/>
    <w:uiPriority w:val="99"/>
    <w:semiHidden/>
    <w:unhideWhenUsed/>
    <w:rsid w:val="008E37D9"/>
    <w:rPr>
      <w:color w:val="605E5C"/>
      <w:shd w:val="clear" w:color="auto" w:fill="E1DFDD"/>
    </w:rPr>
  </w:style>
  <w:style w:type="character" w:customStyle="1" w:styleId="UnresolvedMention3">
    <w:name w:val="Unresolved Mention3"/>
    <w:basedOn w:val="DefaultParagraphFont"/>
    <w:uiPriority w:val="99"/>
    <w:semiHidden/>
    <w:unhideWhenUsed/>
    <w:rsid w:val="00043B04"/>
    <w:rPr>
      <w:color w:val="605E5C"/>
      <w:shd w:val="clear" w:color="auto" w:fill="E1DFDD"/>
    </w:rPr>
  </w:style>
  <w:style w:type="character" w:styleId="LineNumber">
    <w:name w:val="line number"/>
    <w:basedOn w:val="DefaultParagraphFont"/>
    <w:uiPriority w:val="99"/>
    <w:semiHidden/>
    <w:unhideWhenUsed/>
    <w:rsid w:val="00FD3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4322">
      <w:bodyDiv w:val="1"/>
      <w:marLeft w:val="0"/>
      <w:marRight w:val="0"/>
      <w:marTop w:val="0"/>
      <w:marBottom w:val="0"/>
      <w:divBdr>
        <w:top w:val="none" w:sz="0" w:space="0" w:color="auto"/>
        <w:left w:val="none" w:sz="0" w:space="0" w:color="auto"/>
        <w:bottom w:val="none" w:sz="0" w:space="0" w:color="auto"/>
        <w:right w:val="none" w:sz="0" w:space="0" w:color="auto"/>
      </w:divBdr>
    </w:div>
    <w:div w:id="44138313">
      <w:bodyDiv w:val="1"/>
      <w:marLeft w:val="0"/>
      <w:marRight w:val="0"/>
      <w:marTop w:val="0"/>
      <w:marBottom w:val="0"/>
      <w:divBdr>
        <w:top w:val="none" w:sz="0" w:space="0" w:color="auto"/>
        <w:left w:val="none" w:sz="0" w:space="0" w:color="auto"/>
        <w:bottom w:val="none" w:sz="0" w:space="0" w:color="auto"/>
        <w:right w:val="none" w:sz="0" w:space="0" w:color="auto"/>
      </w:divBdr>
    </w:div>
    <w:div w:id="67391169">
      <w:bodyDiv w:val="1"/>
      <w:marLeft w:val="0"/>
      <w:marRight w:val="0"/>
      <w:marTop w:val="0"/>
      <w:marBottom w:val="0"/>
      <w:divBdr>
        <w:top w:val="none" w:sz="0" w:space="0" w:color="auto"/>
        <w:left w:val="none" w:sz="0" w:space="0" w:color="auto"/>
        <w:bottom w:val="none" w:sz="0" w:space="0" w:color="auto"/>
        <w:right w:val="none" w:sz="0" w:space="0" w:color="auto"/>
      </w:divBdr>
    </w:div>
    <w:div w:id="75058673">
      <w:bodyDiv w:val="1"/>
      <w:marLeft w:val="0"/>
      <w:marRight w:val="0"/>
      <w:marTop w:val="0"/>
      <w:marBottom w:val="0"/>
      <w:divBdr>
        <w:top w:val="none" w:sz="0" w:space="0" w:color="auto"/>
        <w:left w:val="none" w:sz="0" w:space="0" w:color="auto"/>
        <w:bottom w:val="none" w:sz="0" w:space="0" w:color="auto"/>
        <w:right w:val="none" w:sz="0" w:space="0" w:color="auto"/>
      </w:divBdr>
    </w:div>
    <w:div w:id="110629595">
      <w:bodyDiv w:val="1"/>
      <w:marLeft w:val="0"/>
      <w:marRight w:val="0"/>
      <w:marTop w:val="0"/>
      <w:marBottom w:val="0"/>
      <w:divBdr>
        <w:top w:val="none" w:sz="0" w:space="0" w:color="auto"/>
        <w:left w:val="none" w:sz="0" w:space="0" w:color="auto"/>
        <w:bottom w:val="none" w:sz="0" w:space="0" w:color="auto"/>
        <w:right w:val="none" w:sz="0" w:space="0" w:color="auto"/>
      </w:divBdr>
    </w:div>
    <w:div w:id="119693817">
      <w:bodyDiv w:val="1"/>
      <w:marLeft w:val="0"/>
      <w:marRight w:val="0"/>
      <w:marTop w:val="0"/>
      <w:marBottom w:val="0"/>
      <w:divBdr>
        <w:top w:val="none" w:sz="0" w:space="0" w:color="auto"/>
        <w:left w:val="none" w:sz="0" w:space="0" w:color="auto"/>
        <w:bottom w:val="none" w:sz="0" w:space="0" w:color="auto"/>
        <w:right w:val="none" w:sz="0" w:space="0" w:color="auto"/>
      </w:divBdr>
    </w:div>
    <w:div w:id="190999930">
      <w:bodyDiv w:val="1"/>
      <w:marLeft w:val="0"/>
      <w:marRight w:val="0"/>
      <w:marTop w:val="0"/>
      <w:marBottom w:val="0"/>
      <w:divBdr>
        <w:top w:val="none" w:sz="0" w:space="0" w:color="auto"/>
        <w:left w:val="none" w:sz="0" w:space="0" w:color="auto"/>
        <w:bottom w:val="none" w:sz="0" w:space="0" w:color="auto"/>
        <w:right w:val="none" w:sz="0" w:space="0" w:color="auto"/>
      </w:divBdr>
    </w:div>
    <w:div w:id="201329861">
      <w:bodyDiv w:val="1"/>
      <w:marLeft w:val="0"/>
      <w:marRight w:val="0"/>
      <w:marTop w:val="0"/>
      <w:marBottom w:val="0"/>
      <w:divBdr>
        <w:top w:val="none" w:sz="0" w:space="0" w:color="auto"/>
        <w:left w:val="none" w:sz="0" w:space="0" w:color="auto"/>
        <w:bottom w:val="none" w:sz="0" w:space="0" w:color="auto"/>
        <w:right w:val="none" w:sz="0" w:space="0" w:color="auto"/>
      </w:divBdr>
    </w:div>
    <w:div w:id="206845172">
      <w:bodyDiv w:val="1"/>
      <w:marLeft w:val="0"/>
      <w:marRight w:val="0"/>
      <w:marTop w:val="0"/>
      <w:marBottom w:val="0"/>
      <w:divBdr>
        <w:top w:val="none" w:sz="0" w:space="0" w:color="auto"/>
        <w:left w:val="none" w:sz="0" w:space="0" w:color="auto"/>
        <w:bottom w:val="none" w:sz="0" w:space="0" w:color="auto"/>
        <w:right w:val="none" w:sz="0" w:space="0" w:color="auto"/>
      </w:divBdr>
    </w:div>
    <w:div w:id="217937690">
      <w:bodyDiv w:val="1"/>
      <w:marLeft w:val="0"/>
      <w:marRight w:val="0"/>
      <w:marTop w:val="0"/>
      <w:marBottom w:val="0"/>
      <w:divBdr>
        <w:top w:val="none" w:sz="0" w:space="0" w:color="auto"/>
        <w:left w:val="none" w:sz="0" w:space="0" w:color="auto"/>
        <w:bottom w:val="none" w:sz="0" w:space="0" w:color="auto"/>
        <w:right w:val="none" w:sz="0" w:space="0" w:color="auto"/>
      </w:divBdr>
    </w:div>
    <w:div w:id="219632804">
      <w:bodyDiv w:val="1"/>
      <w:marLeft w:val="0"/>
      <w:marRight w:val="0"/>
      <w:marTop w:val="0"/>
      <w:marBottom w:val="0"/>
      <w:divBdr>
        <w:top w:val="none" w:sz="0" w:space="0" w:color="auto"/>
        <w:left w:val="none" w:sz="0" w:space="0" w:color="auto"/>
        <w:bottom w:val="none" w:sz="0" w:space="0" w:color="auto"/>
        <w:right w:val="none" w:sz="0" w:space="0" w:color="auto"/>
      </w:divBdr>
    </w:div>
    <w:div w:id="258149641">
      <w:bodyDiv w:val="1"/>
      <w:marLeft w:val="0"/>
      <w:marRight w:val="0"/>
      <w:marTop w:val="0"/>
      <w:marBottom w:val="0"/>
      <w:divBdr>
        <w:top w:val="none" w:sz="0" w:space="0" w:color="auto"/>
        <w:left w:val="none" w:sz="0" w:space="0" w:color="auto"/>
        <w:bottom w:val="none" w:sz="0" w:space="0" w:color="auto"/>
        <w:right w:val="none" w:sz="0" w:space="0" w:color="auto"/>
      </w:divBdr>
    </w:div>
    <w:div w:id="271286071">
      <w:bodyDiv w:val="1"/>
      <w:marLeft w:val="0"/>
      <w:marRight w:val="0"/>
      <w:marTop w:val="0"/>
      <w:marBottom w:val="0"/>
      <w:divBdr>
        <w:top w:val="none" w:sz="0" w:space="0" w:color="auto"/>
        <w:left w:val="none" w:sz="0" w:space="0" w:color="auto"/>
        <w:bottom w:val="none" w:sz="0" w:space="0" w:color="auto"/>
        <w:right w:val="none" w:sz="0" w:space="0" w:color="auto"/>
      </w:divBdr>
    </w:div>
    <w:div w:id="276185088">
      <w:bodyDiv w:val="1"/>
      <w:marLeft w:val="0"/>
      <w:marRight w:val="0"/>
      <w:marTop w:val="0"/>
      <w:marBottom w:val="0"/>
      <w:divBdr>
        <w:top w:val="none" w:sz="0" w:space="0" w:color="auto"/>
        <w:left w:val="none" w:sz="0" w:space="0" w:color="auto"/>
        <w:bottom w:val="none" w:sz="0" w:space="0" w:color="auto"/>
        <w:right w:val="none" w:sz="0" w:space="0" w:color="auto"/>
      </w:divBdr>
    </w:div>
    <w:div w:id="276835181">
      <w:bodyDiv w:val="1"/>
      <w:marLeft w:val="0"/>
      <w:marRight w:val="0"/>
      <w:marTop w:val="0"/>
      <w:marBottom w:val="0"/>
      <w:divBdr>
        <w:top w:val="none" w:sz="0" w:space="0" w:color="auto"/>
        <w:left w:val="none" w:sz="0" w:space="0" w:color="auto"/>
        <w:bottom w:val="none" w:sz="0" w:space="0" w:color="auto"/>
        <w:right w:val="none" w:sz="0" w:space="0" w:color="auto"/>
      </w:divBdr>
    </w:div>
    <w:div w:id="277568829">
      <w:bodyDiv w:val="1"/>
      <w:marLeft w:val="0"/>
      <w:marRight w:val="0"/>
      <w:marTop w:val="0"/>
      <w:marBottom w:val="0"/>
      <w:divBdr>
        <w:top w:val="none" w:sz="0" w:space="0" w:color="auto"/>
        <w:left w:val="none" w:sz="0" w:space="0" w:color="auto"/>
        <w:bottom w:val="none" w:sz="0" w:space="0" w:color="auto"/>
        <w:right w:val="none" w:sz="0" w:space="0" w:color="auto"/>
      </w:divBdr>
    </w:div>
    <w:div w:id="288829623">
      <w:bodyDiv w:val="1"/>
      <w:marLeft w:val="0"/>
      <w:marRight w:val="0"/>
      <w:marTop w:val="0"/>
      <w:marBottom w:val="0"/>
      <w:divBdr>
        <w:top w:val="none" w:sz="0" w:space="0" w:color="auto"/>
        <w:left w:val="none" w:sz="0" w:space="0" w:color="auto"/>
        <w:bottom w:val="none" w:sz="0" w:space="0" w:color="auto"/>
        <w:right w:val="none" w:sz="0" w:space="0" w:color="auto"/>
      </w:divBdr>
    </w:div>
    <w:div w:id="334306347">
      <w:bodyDiv w:val="1"/>
      <w:marLeft w:val="0"/>
      <w:marRight w:val="0"/>
      <w:marTop w:val="0"/>
      <w:marBottom w:val="0"/>
      <w:divBdr>
        <w:top w:val="none" w:sz="0" w:space="0" w:color="auto"/>
        <w:left w:val="none" w:sz="0" w:space="0" w:color="auto"/>
        <w:bottom w:val="none" w:sz="0" w:space="0" w:color="auto"/>
        <w:right w:val="none" w:sz="0" w:space="0" w:color="auto"/>
      </w:divBdr>
    </w:div>
    <w:div w:id="360209127">
      <w:bodyDiv w:val="1"/>
      <w:marLeft w:val="0"/>
      <w:marRight w:val="0"/>
      <w:marTop w:val="0"/>
      <w:marBottom w:val="0"/>
      <w:divBdr>
        <w:top w:val="none" w:sz="0" w:space="0" w:color="auto"/>
        <w:left w:val="none" w:sz="0" w:space="0" w:color="auto"/>
        <w:bottom w:val="none" w:sz="0" w:space="0" w:color="auto"/>
        <w:right w:val="none" w:sz="0" w:space="0" w:color="auto"/>
      </w:divBdr>
    </w:div>
    <w:div w:id="467627769">
      <w:bodyDiv w:val="1"/>
      <w:marLeft w:val="0"/>
      <w:marRight w:val="0"/>
      <w:marTop w:val="0"/>
      <w:marBottom w:val="0"/>
      <w:divBdr>
        <w:top w:val="none" w:sz="0" w:space="0" w:color="auto"/>
        <w:left w:val="none" w:sz="0" w:space="0" w:color="auto"/>
        <w:bottom w:val="none" w:sz="0" w:space="0" w:color="auto"/>
        <w:right w:val="none" w:sz="0" w:space="0" w:color="auto"/>
      </w:divBdr>
    </w:div>
    <w:div w:id="489832517">
      <w:bodyDiv w:val="1"/>
      <w:marLeft w:val="0"/>
      <w:marRight w:val="0"/>
      <w:marTop w:val="0"/>
      <w:marBottom w:val="0"/>
      <w:divBdr>
        <w:top w:val="none" w:sz="0" w:space="0" w:color="auto"/>
        <w:left w:val="none" w:sz="0" w:space="0" w:color="auto"/>
        <w:bottom w:val="none" w:sz="0" w:space="0" w:color="auto"/>
        <w:right w:val="none" w:sz="0" w:space="0" w:color="auto"/>
      </w:divBdr>
    </w:div>
    <w:div w:id="501896717">
      <w:bodyDiv w:val="1"/>
      <w:marLeft w:val="0"/>
      <w:marRight w:val="0"/>
      <w:marTop w:val="0"/>
      <w:marBottom w:val="0"/>
      <w:divBdr>
        <w:top w:val="none" w:sz="0" w:space="0" w:color="auto"/>
        <w:left w:val="none" w:sz="0" w:space="0" w:color="auto"/>
        <w:bottom w:val="none" w:sz="0" w:space="0" w:color="auto"/>
        <w:right w:val="none" w:sz="0" w:space="0" w:color="auto"/>
      </w:divBdr>
    </w:div>
    <w:div w:id="522669169">
      <w:bodyDiv w:val="1"/>
      <w:marLeft w:val="0"/>
      <w:marRight w:val="0"/>
      <w:marTop w:val="0"/>
      <w:marBottom w:val="0"/>
      <w:divBdr>
        <w:top w:val="none" w:sz="0" w:space="0" w:color="auto"/>
        <w:left w:val="none" w:sz="0" w:space="0" w:color="auto"/>
        <w:bottom w:val="none" w:sz="0" w:space="0" w:color="auto"/>
        <w:right w:val="none" w:sz="0" w:space="0" w:color="auto"/>
      </w:divBdr>
    </w:div>
    <w:div w:id="558396163">
      <w:bodyDiv w:val="1"/>
      <w:marLeft w:val="0"/>
      <w:marRight w:val="0"/>
      <w:marTop w:val="0"/>
      <w:marBottom w:val="0"/>
      <w:divBdr>
        <w:top w:val="none" w:sz="0" w:space="0" w:color="auto"/>
        <w:left w:val="none" w:sz="0" w:space="0" w:color="auto"/>
        <w:bottom w:val="none" w:sz="0" w:space="0" w:color="auto"/>
        <w:right w:val="none" w:sz="0" w:space="0" w:color="auto"/>
      </w:divBdr>
    </w:div>
    <w:div w:id="563639702">
      <w:bodyDiv w:val="1"/>
      <w:marLeft w:val="0"/>
      <w:marRight w:val="0"/>
      <w:marTop w:val="0"/>
      <w:marBottom w:val="0"/>
      <w:divBdr>
        <w:top w:val="none" w:sz="0" w:space="0" w:color="auto"/>
        <w:left w:val="none" w:sz="0" w:space="0" w:color="auto"/>
        <w:bottom w:val="none" w:sz="0" w:space="0" w:color="auto"/>
        <w:right w:val="none" w:sz="0" w:space="0" w:color="auto"/>
      </w:divBdr>
    </w:div>
    <w:div w:id="623660550">
      <w:bodyDiv w:val="1"/>
      <w:marLeft w:val="0"/>
      <w:marRight w:val="0"/>
      <w:marTop w:val="0"/>
      <w:marBottom w:val="0"/>
      <w:divBdr>
        <w:top w:val="none" w:sz="0" w:space="0" w:color="auto"/>
        <w:left w:val="none" w:sz="0" w:space="0" w:color="auto"/>
        <w:bottom w:val="none" w:sz="0" w:space="0" w:color="auto"/>
        <w:right w:val="none" w:sz="0" w:space="0" w:color="auto"/>
      </w:divBdr>
    </w:div>
    <w:div w:id="638652288">
      <w:bodyDiv w:val="1"/>
      <w:marLeft w:val="0"/>
      <w:marRight w:val="0"/>
      <w:marTop w:val="0"/>
      <w:marBottom w:val="0"/>
      <w:divBdr>
        <w:top w:val="none" w:sz="0" w:space="0" w:color="auto"/>
        <w:left w:val="none" w:sz="0" w:space="0" w:color="auto"/>
        <w:bottom w:val="none" w:sz="0" w:space="0" w:color="auto"/>
        <w:right w:val="none" w:sz="0" w:space="0" w:color="auto"/>
      </w:divBdr>
    </w:div>
    <w:div w:id="652025510">
      <w:bodyDiv w:val="1"/>
      <w:marLeft w:val="0"/>
      <w:marRight w:val="0"/>
      <w:marTop w:val="0"/>
      <w:marBottom w:val="0"/>
      <w:divBdr>
        <w:top w:val="none" w:sz="0" w:space="0" w:color="auto"/>
        <w:left w:val="none" w:sz="0" w:space="0" w:color="auto"/>
        <w:bottom w:val="none" w:sz="0" w:space="0" w:color="auto"/>
        <w:right w:val="none" w:sz="0" w:space="0" w:color="auto"/>
      </w:divBdr>
    </w:div>
    <w:div w:id="694582096">
      <w:bodyDiv w:val="1"/>
      <w:marLeft w:val="0"/>
      <w:marRight w:val="0"/>
      <w:marTop w:val="0"/>
      <w:marBottom w:val="0"/>
      <w:divBdr>
        <w:top w:val="none" w:sz="0" w:space="0" w:color="auto"/>
        <w:left w:val="none" w:sz="0" w:space="0" w:color="auto"/>
        <w:bottom w:val="none" w:sz="0" w:space="0" w:color="auto"/>
        <w:right w:val="none" w:sz="0" w:space="0" w:color="auto"/>
      </w:divBdr>
    </w:div>
    <w:div w:id="714625913">
      <w:bodyDiv w:val="1"/>
      <w:marLeft w:val="0"/>
      <w:marRight w:val="0"/>
      <w:marTop w:val="0"/>
      <w:marBottom w:val="0"/>
      <w:divBdr>
        <w:top w:val="none" w:sz="0" w:space="0" w:color="auto"/>
        <w:left w:val="none" w:sz="0" w:space="0" w:color="auto"/>
        <w:bottom w:val="none" w:sz="0" w:space="0" w:color="auto"/>
        <w:right w:val="none" w:sz="0" w:space="0" w:color="auto"/>
      </w:divBdr>
    </w:div>
    <w:div w:id="756488580">
      <w:bodyDiv w:val="1"/>
      <w:marLeft w:val="0"/>
      <w:marRight w:val="0"/>
      <w:marTop w:val="0"/>
      <w:marBottom w:val="0"/>
      <w:divBdr>
        <w:top w:val="none" w:sz="0" w:space="0" w:color="auto"/>
        <w:left w:val="none" w:sz="0" w:space="0" w:color="auto"/>
        <w:bottom w:val="none" w:sz="0" w:space="0" w:color="auto"/>
        <w:right w:val="none" w:sz="0" w:space="0" w:color="auto"/>
      </w:divBdr>
    </w:div>
    <w:div w:id="759714562">
      <w:bodyDiv w:val="1"/>
      <w:marLeft w:val="0"/>
      <w:marRight w:val="0"/>
      <w:marTop w:val="0"/>
      <w:marBottom w:val="0"/>
      <w:divBdr>
        <w:top w:val="none" w:sz="0" w:space="0" w:color="auto"/>
        <w:left w:val="none" w:sz="0" w:space="0" w:color="auto"/>
        <w:bottom w:val="none" w:sz="0" w:space="0" w:color="auto"/>
        <w:right w:val="none" w:sz="0" w:space="0" w:color="auto"/>
      </w:divBdr>
    </w:div>
    <w:div w:id="762334119">
      <w:bodyDiv w:val="1"/>
      <w:marLeft w:val="0"/>
      <w:marRight w:val="0"/>
      <w:marTop w:val="0"/>
      <w:marBottom w:val="0"/>
      <w:divBdr>
        <w:top w:val="none" w:sz="0" w:space="0" w:color="auto"/>
        <w:left w:val="none" w:sz="0" w:space="0" w:color="auto"/>
        <w:bottom w:val="none" w:sz="0" w:space="0" w:color="auto"/>
        <w:right w:val="none" w:sz="0" w:space="0" w:color="auto"/>
      </w:divBdr>
    </w:div>
    <w:div w:id="785543079">
      <w:bodyDiv w:val="1"/>
      <w:marLeft w:val="0"/>
      <w:marRight w:val="0"/>
      <w:marTop w:val="0"/>
      <w:marBottom w:val="0"/>
      <w:divBdr>
        <w:top w:val="none" w:sz="0" w:space="0" w:color="auto"/>
        <w:left w:val="none" w:sz="0" w:space="0" w:color="auto"/>
        <w:bottom w:val="none" w:sz="0" w:space="0" w:color="auto"/>
        <w:right w:val="none" w:sz="0" w:space="0" w:color="auto"/>
      </w:divBdr>
    </w:div>
    <w:div w:id="802308737">
      <w:bodyDiv w:val="1"/>
      <w:marLeft w:val="0"/>
      <w:marRight w:val="0"/>
      <w:marTop w:val="0"/>
      <w:marBottom w:val="0"/>
      <w:divBdr>
        <w:top w:val="none" w:sz="0" w:space="0" w:color="auto"/>
        <w:left w:val="none" w:sz="0" w:space="0" w:color="auto"/>
        <w:bottom w:val="none" w:sz="0" w:space="0" w:color="auto"/>
        <w:right w:val="none" w:sz="0" w:space="0" w:color="auto"/>
      </w:divBdr>
    </w:div>
    <w:div w:id="807480606">
      <w:bodyDiv w:val="1"/>
      <w:marLeft w:val="0"/>
      <w:marRight w:val="0"/>
      <w:marTop w:val="0"/>
      <w:marBottom w:val="0"/>
      <w:divBdr>
        <w:top w:val="none" w:sz="0" w:space="0" w:color="auto"/>
        <w:left w:val="none" w:sz="0" w:space="0" w:color="auto"/>
        <w:bottom w:val="none" w:sz="0" w:space="0" w:color="auto"/>
        <w:right w:val="none" w:sz="0" w:space="0" w:color="auto"/>
      </w:divBdr>
    </w:div>
    <w:div w:id="903299456">
      <w:bodyDiv w:val="1"/>
      <w:marLeft w:val="0"/>
      <w:marRight w:val="0"/>
      <w:marTop w:val="0"/>
      <w:marBottom w:val="0"/>
      <w:divBdr>
        <w:top w:val="none" w:sz="0" w:space="0" w:color="auto"/>
        <w:left w:val="none" w:sz="0" w:space="0" w:color="auto"/>
        <w:bottom w:val="none" w:sz="0" w:space="0" w:color="auto"/>
        <w:right w:val="none" w:sz="0" w:space="0" w:color="auto"/>
      </w:divBdr>
      <w:divsChild>
        <w:div w:id="1405179037">
          <w:marLeft w:val="0"/>
          <w:marRight w:val="0"/>
          <w:marTop w:val="0"/>
          <w:marBottom w:val="0"/>
          <w:divBdr>
            <w:top w:val="none" w:sz="0" w:space="0" w:color="auto"/>
            <w:left w:val="none" w:sz="0" w:space="0" w:color="auto"/>
            <w:bottom w:val="none" w:sz="0" w:space="0" w:color="auto"/>
            <w:right w:val="none" w:sz="0" w:space="0" w:color="auto"/>
          </w:divBdr>
        </w:div>
      </w:divsChild>
    </w:div>
    <w:div w:id="920992887">
      <w:bodyDiv w:val="1"/>
      <w:marLeft w:val="0"/>
      <w:marRight w:val="0"/>
      <w:marTop w:val="0"/>
      <w:marBottom w:val="0"/>
      <w:divBdr>
        <w:top w:val="none" w:sz="0" w:space="0" w:color="auto"/>
        <w:left w:val="none" w:sz="0" w:space="0" w:color="auto"/>
        <w:bottom w:val="none" w:sz="0" w:space="0" w:color="auto"/>
        <w:right w:val="none" w:sz="0" w:space="0" w:color="auto"/>
      </w:divBdr>
    </w:div>
    <w:div w:id="923300958">
      <w:bodyDiv w:val="1"/>
      <w:marLeft w:val="0"/>
      <w:marRight w:val="0"/>
      <w:marTop w:val="0"/>
      <w:marBottom w:val="0"/>
      <w:divBdr>
        <w:top w:val="none" w:sz="0" w:space="0" w:color="auto"/>
        <w:left w:val="none" w:sz="0" w:space="0" w:color="auto"/>
        <w:bottom w:val="none" w:sz="0" w:space="0" w:color="auto"/>
        <w:right w:val="none" w:sz="0" w:space="0" w:color="auto"/>
      </w:divBdr>
    </w:div>
    <w:div w:id="943995186">
      <w:bodyDiv w:val="1"/>
      <w:marLeft w:val="0"/>
      <w:marRight w:val="0"/>
      <w:marTop w:val="0"/>
      <w:marBottom w:val="0"/>
      <w:divBdr>
        <w:top w:val="none" w:sz="0" w:space="0" w:color="auto"/>
        <w:left w:val="none" w:sz="0" w:space="0" w:color="auto"/>
        <w:bottom w:val="none" w:sz="0" w:space="0" w:color="auto"/>
        <w:right w:val="none" w:sz="0" w:space="0" w:color="auto"/>
      </w:divBdr>
    </w:div>
    <w:div w:id="947271344">
      <w:bodyDiv w:val="1"/>
      <w:marLeft w:val="0"/>
      <w:marRight w:val="0"/>
      <w:marTop w:val="0"/>
      <w:marBottom w:val="0"/>
      <w:divBdr>
        <w:top w:val="none" w:sz="0" w:space="0" w:color="auto"/>
        <w:left w:val="none" w:sz="0" w:space="0" w:color="auto"/>
        <w:bottom w:val="none" w:sz="0" w:space="0" w:color="auto"/>
        <w:right w:val="none" w:sz="0" w:space="0" w:color="auto"/>
      </w:divBdr>
    </w:div>
    <w:div w:id="1067461240">
      <w:bodyDiv w:val="1"/>
      <w:marLeft w:val="0"/>
      <w:marRight w:val="0"/>
      <w:marTop w:val="0"/>
      <w:marBottom w:val="0"/>
      <w:divBdr>
        <w:top w:val="none" w:sz="0" w:space="0" w:color="auto"/>
        <w:left w:val="none" w:sz="0" w:space="0" w:color="auto"/>
        <w:bottom w:val="none" w:sz="0" w:space="0" w:color="auto"/>
        <w:right w:val="none" w:sz="0" w:space="0" w:color="auto"/>
      </w:divBdr>
    </w:div>
    <w:div w:id="1127814087">
      <w:bodyDiv w:val="1"/>
      <w:marLeft w:val="0"/>
      <w:marRight w:val="0"/>
      <w:marTop w:val="0"/>
      <w:marBottom w:val="0"/>
      <w:divBdr>
        <w:top w:val="none" w:sz="0" w:space="0" w:color="auto"/>
        <w:left w:val="none" w:sz="0" w:space="0" w:color="auto"/>
        <w:bottom w:val="none" w:sz="0" w:space="0" w:color="auto"/>
        <w:right w:val="none" w:sz="0" w:space="0" w:color="auto"/>
      </w:divBdr>
    </w:div>
    <w:div w:id="1158349746">
      <w:bodyDiv w:val="1"/>
      <w:marLeft w:val="0"/>
      <w:marRight w:val="0"/>
      <w:marTop w:val="0"/>
      <w:marBottom w:val="0"/>
      <w:divBdr>
        <w:top w:val="none" w:sz="0" w:space="0" w:color="auto"/>
        <w:left w:val="none" w:sz="0" w:space="0" w:color="auto"/>
        <w:bottom w:val="none" w:sz="0" w:space="0" w:color="auto"/>
        <w:right w:val="none" w:sz="0" w:space="0" w:color="auto"/>
      </w:divBdr>
    </w:div>
    <w:div w:id="1200817488">
      <w:bodyDiv w:val="1"/>
      <w:marLeft w:val="0"/>
      <w:marRight w:val="0"/>
      <w:marTop w:val="0"/>
      <w:marBottom w:val="0"/>
      <w:divBdr>
        <w:top w:val="none" w:sz="0" w:space="0" w:color="auto"/>
        <w:left w:val="none" w:sz="0" w:space="0" w:color="auto"/>
        <w:bottom w:val="none" w:sz="0" w:space="0" w:color="auto"/>
        <w:right w:val="none" w:sz="0" w:space="0" w:color="auto"/>
      </w:divBdr>
    </w:div>
    <w:div w:id="1270547453">
      <w:bodyDiv w:val="1"/>
      <w:marLeft w:val="0"/>
      <w:marRight w:val="0"/>
      <w:marTop w:val="0"/>
      <w:marBottom w:val="0"/>
      <w:divBdr>
        <w:top w:val="none" w:sz="0" w:space="0" w:color="auto"/>
        <w:left w:val="none" w:sz="0" w:space="0" w:color="auto"/>
        <w:bottom w:val="none" w:sz="0" w:space="0" w:color="auto"/>
        <w:right w:val="none" w:sz="0" w:space="0" w:color="auto"/>
      </w:divBdr>
    </w:div>
    <w:div w:id="1390807679">
      <w:bodyDiv w:val="1"/>
      <w:marLeft w:val="0"/>
      <w:marRight w:val="0"/>
      <w:marTop w:val="0"/>
      <w:marBottom w:val="0"/>
      <w:divBdr>
        <w:top w:val="none" w:sz="0" w:space="0" w:color="auto"/>
        <w:left w:val="none" w:sz="0" w:space="0" w:color="auto"/>
        <w:bottom w:val="none" w:sz="0" w:space="0" w:color="auto"/>
        <w:right w:val="none" w:sz="0" w:space="0" w:color="auto"/>
      </w:divBdr>
    </w:div>
    <w:div w:id="1421367469">
      <w:bodyDiv w:val="1"/>
      <w:marLeft w:val="0"/>
      <w:marRight w:val="0"/>
      <w:marTop w:val="0"/>
      <w:marBottom w:val="0"/>
      <w:divBdr>
        <w:top w:val="none" w:sz="0" w:space="0" w:color="auto"/>
        <w:left w:val="none" w:sz="0" w:space="0" w:color="auto"/>
        <w:bottom w:val="none" w:sz="0" w:space="0" w:color="auto"/>
        <w:right w:val="none" w:sz="0" w:space="0" w:color="auto"/>
      </w:divBdr>
    </w:div>
    <w:div w:id="1444181024">
      <w:bodyDiv w:val="1"/>
      <w:marLeft w:val="0"/>
      <w:marRight w:val="0"/>
      <w:marTop w:val="0"/>
      <w:marBottom w:val="0"/>
      <w:divBdr>
        <w:top w:val="none" w:sz="0" w:space="0" w:color="auto"/>
        <w:left w:val="none" w:sz="0" w:space="0" w:color="auto"/>
        <w:bottom w:val="none" w:sz="0" w:space="0" w:color="auto"/>
        <w:right w:val="none" w:sz="0" w:space="0" w:color="auto"/>
      </w:divBdr>
    </w:div>
    <w:div w:id="1469975421">
      <w:bodyDiv w:val="1"/>
      <w:marLeft w:val="0"/>
      <w:marRight w:val="0"/>
      <w:marTop w:val="0"/>
      <w:marBottom w:val="0"/>
      <w:divBdr>
        <w:top w:val="none" w:sz="0" w:space="0" w:color="auto"/>
        <w:left w:val="none" w:sz="0" w:space="0" w:color="auto"/>
        <w:bottom w:val="none" w:sz="0" w:space="0" w:color="auto"/>
        <w:right w:val="none" w:sz="0" w:space="0" w:color="auto"/>
      </w:divBdr>
    </w:div>
    <w:div w:id="1490511922">
      <w:bodyDiv w:val="1"/>
      <w:marLeft w:val="0"/>
      <w:marRight w:val="0"/>
      <w:marTop w:val="0"/>
      <w:marBottom w:val="0"/>
      <w:divBdr>
        <w:top w:val="none" w:sz="0" w:space="0" w:color="auto"/>
        <w:left w:val="none" w:sz="0" w:space="0" w:color="auto"/>
        <w:bottom w:val="none" w:sz="0" w:space="0" w:color="auto"/>
        <w:right w:val="none" w:sz="0" w:space="0" w:color="auto"/>
      </w:divBdr>
    </w:div>
    <w:div w:id="1495224245">
      <w:bodyDiv w:val="1"/>
      <w:marLeft w:val="0"/>
      <w:marRight w:val="0"/>
      <w:marTop w:val="0"/>
      <w:marBottom w:val="0"/>
      <w:divBdr>
        <w:top w:val="none" w:sz="0" w:space="0" w:color="auto"/>
        <w:left w:val="none" w:sz="0" w:space="0" w:color="auto"/>
        <w:bottom w:val="none" w:sz="0" w:space="0" w:color="auto"/>
        <w:right w:val="none" w:sz="0" w:space="0" w:color="auto"/>
      </w:divBdr>
    </w:div>
    <w:div w:id="1529102010">
      <w:bodyDiv w:val="1"/>
      <w:marLeft w:val="0"/>
      <w:marRight w:val="0"/>
      <w:marTop w:val="0"/>
      <w:marBottom w:val="0"/>
      <w:divBdr>
        <w:top w:val="none" w:sz="0" w:space="0" w:color="auto"/>
        <w:left w:val="none" w:sz="0" w:space="0" w:color="auto"/>
        <w:bottom w:val="none" w:sz="0" w:space="0" w:color="auto"/>
        <w:right w:val="none" w:sz="0" w:space="0" w:color="auto"/>
      </w:divBdr>
    </w:div>
    <w:div w:id="1585601440">
      <w:bodyDiv w:val="1"/>
      <w:marLeft w:val="0"/>
      <w:marRight w:val="0"/>
      <w:marTop w:val="0"/>
      <w:marBottom w:val="0"/>
      <w:divBdr>
        <w:top w:val="none" w:sz="0" w:space="0" w:color="auto"/>
        <w:left w:val="none" w:sz="0" w:space="0" w:color="auto"/>
        <w:bottom w:val="none" w:sz="0" w:space="0" w:color="auto"/>
        <w:right w:val="none" w:sz="0" w:space="0" w:color="auto"/>
      </w:divBdr>
    </w:div>
    <w:div w:id="1590962537">
      <w:bodyDiv w:val="1"/>
      <w:marLeft w:val="0"/>
      <w:marRight w:val="0"/>
      <w:marTop w:val="0"/>
      <w:marBottom w:val="0"/>
      <w:divBdr>
        <w:top w:val="none" w:sz="0" w:space="0" w:color="auto"/>
        <w:left w:val="none" w:sz="0" w:space="0" w:color="auto"/>
        <w:bottom w:val="none" w:sz="0" w:space="0" w:color="auto"/>
        <w:right w:val="none" w:sz="0" w:space="0" w:color="auto"/>
      </w:divBdr>
    </w:div>
    <w:div w:id="1625959565">
      <w:bodyDiv w:val="1"/>
      <w:marLeft w:val="0"/>
      <w:marRight w:val="0"/>
      <w:marTop w:val="0"/>
      <w:marBottom w:val="0"/>
      <w:divBdr>
        <w:top w:val="none" w:sz="0" w:space="0" w:color="auto"/>
        <w:left w:val="none" w:sz="0" w:space="0" w:color="auto"/>
        <w:bottom w:val="none" w:sz="0" w:space="0" w:color="auto"/>
        <w:right w:val="none" w:sz="0" w:space="0" w:color="auto"/>
      </w:divBdr>
    </w:div>
    <w:div w:id="1708679290">
      <w:bodyDiv w:val="1"/>
      <w:marLeft w:val="0"/>
      <w:marRight w:val="0"/>
      <w:marTop w:val="0"/>
      <w:marBottom w:val="0"/>
      <w:divBdr>
        <w:top w:val="none" w:sz="0" w:space="0" w:color="auto"/>
        <w:left w:val="none" w:sz="0" w:space="0" w:color="auto"/>
        <w:bottom w:val="none" w:sz="0" w:space="0" w:color="auto"/>
        <w:right w:val="none" w:sz="0" w:space="0" w:color="auto"/>
      </w:divBdr>
    </w:div>
    <w:div w:id="1726947052">
      <w:bodyDiv w:val="1"/>
      <w:marLeft w:val="0"/>
      <w:marRight w:val="0"/>
      <w:marTop w:val="0"/>
      <w:marBottom w:val="0"/>
      <w:divBdr>
        <w:top w:val="none" w:sz="0" w:space="0" w:color="auto"/>
        <w:left w:val="none" w:sz="0" w:space="0" w:color="auto"/>
        <w:bottom w:val="none" w:sz="0" w:space="0" w:color="auto"/>
        <w:right w:val="none" w:sz="0" w:space="0" w:color="auto"/>
      </w:divBdr>
    </w:div>
    <w:div w:id="1834712975">
      <w:bodyDiv w:val="1"/>
      <w:marLeft w:val="0"/>
      <w:marRight w:val="0"/>
      <w:marTop w:val="0"/>
      <w:marBottom w:val="0"/>
      <w:divBdr>
        <w:top w:val="none" w:sz="0" w:space="0" w:color="auto"/>
        <w:left w:val="none" w:sz="0" w:space="0" w:color="auto"/>
        <w:bottom w:val="none" w:sz="0" w:space="0" w:color="auto"/>
        <w:right w:val="none" w:sz="0" w:space="0" w:color="auto"/>
      </w:divBdr>
    </w:div>
    <w:div w:id="1862282024">
      <w:bodyDiv w:val="1"/>
      <w:marLeft w:val="0"/>
      <w:marRight w:val="0"/>
      <w:marTop w:val="0"/>
      <w:marBottom w:val="0"/>
      <w:divBdr>
        <w:top w:val="none" w:sz="0" w:space="0" w:color="auto"/>
        <w:left w:val="none" w:sz="0" w:space="0" w:color="auto"/>
        <w:bottom w:val="none" w:sz="0" w:space="0" w:color="auto"/>
        <w:right w:val="none" w:sz="0" w:space="0" w:color="auto"/>
      </w:divBdr>
    </w:div>
    <w:div w:id="1887335374">
      <w:bodyDiv w:val="1"/>
      <w:marLeft w:val="0"/>
      <w:marRight w:val="0"/>
      <w:marTop w:val="0"/>
      <w:marBottom w:val="0"/>
      <w:divBdr>
        <w:top w:val="none" w:sz="0" w:space="0" w:color="auto"/>
        <w:left w:val="none" w:sz="0" w:space="0" w:color="auto"/>
        <w:bottom w:val="none" w:sz="0" w:space="0" w:color="auto"/>
        <w:right w:val="none" w:sz="0" w:space="0" w:color="auto"/>
      </w:divBdr>
    </w:div>
    <w:div w:id="1980912059">
      <w:bodyDiv w:val="1"/>
      <w:marLeft w:val="0"/>
      <w:marRight w:val="0"/>
      <w:marTop w:val="0"/>
      <w:marBottom w:val="0"/>
      <w:divBdr>
        <w:top w:val="none" w:sz="0" w:space="0" w:color="auto"/>
        <w:left w:val="none" w:sz="0" w:space="0" w:color="auto"/>
        <w:bottom w:val="none" w:sz="0" w:space="0" w:color="auto"/>
        <w:right w:val="none" w:sz="0" w:space="0" w:color="auto"/>
      </w:divBdr>
    </w:div>
    <w:div w:id="1985816100">
      <w:bodyDiv w:val="1"/>
      <w:marLeft w:val="0"/>
      <w:marRight w:val="0"/>
      <w:marTop w:val="0"/>
      <w:marBottom w:val="0"/>
      <w:divBdr>
        <w:top w:val="none" w:sz="0" w:space="0" w:color="auto"/>
        <w:left w:val="none" w:sz="0" w:space="0" w:color="auto"/>
        <w:bottom w:val="none" w:sz="0" w:space="0" w:color="auto"/>
        <w:right w:val="none" w:sz="0" w:space="0" w:color="auto"/>
      </w:divBdr>
    </w:div>
    <w:div w:id="1988049375">
      <w:bodyDiv w:val="1"/>
      <w:marLeft w:val="0"/>
      <w:marRight w:val="0"/>
      <w:marTop w:val="0"/>
      <w:marBottom w:val="0"/>
      <w:divBdr>
        <w:top w:val="none" w:sz="0" w:space="0" w:color="auto"/>
        <w:left w:val="none" w:sz="0" w:space="0" w:color="auto"/>
        <w:bottom w:val="none" w:sz="0" w:space="0" w:color="auto"/>
        <w:right w:val="none" w:sz="0" w:space="0" w:color="auto"/>
      </w:divBdr>
    </w:div>
    <w:div w:id="1996370689">
      <w:bodyDiv w:val="1"/>
      <w:marLeft w:val="0"/>
      <w:marRight w:val="0"/>
      <w:marTop w:val="0"/>
      <w:marBottom w:val="0"/>
      <w:divBdr>
        <w:top w:val="none" w:sz="0" w:space="0" w:color="auto"/>
        <w:left w:val="none" w:sz="0" w:space="0" w:color="auto"/>
        <w:bottom w:val="none" w:sz="0" w:space="0" w:color="auto"/>
        <w:right w:val="none" w:sz="0" w:space="0" w:color="auto"/>
      </w:divBdr>
    </w:div>
    <w:div w:id="1997877954">
      <w:bodyDiv w:val="1"/>
      <w:marLeft w:val="0"/>
      <w:marRight w:val="0"/>
      <w:marTop w:val="0"/>
      <w:marBottom w:val="0"/>
      <w:divBdr>
        <w:top w:val="none" w:sz="0" w:space="0" w:color="auto"/>
        <w:left w:val="none" w:sz="0" w:space="0" w:color="auto"/>
        <w:bottom w:val="none" w:sz="0" w:space="0" w:color="auto"/>
        <w:right w:val="none" w:sz="0" w:space="0" w:color="auto"/>
      </w:divBdr>
    </w:div>
    <w:div w:id="2018071372">
      <w:bodyDiv w:val="1"/>
      <w:marLeft w:val="0"/>
      <w:marRight w:val="0"/>
      <w:marTop w:val="0"/>
      <w:marBottom w:val="0"/>
      <w:divBdr>
        <w:top w:val="none" w:sz="0" w:space="0" w:color="auto"/>
        <w:left w:val="none" w:sz="0" w:space="0" w:color="auto"/>
        <w:bottom w:val="none" w:sz="0" w:space="0" w:color="auto"/>
        <w:right w:val="none" w:sz="0" w:space="0" w:color="auto"/>
      </w:divBdr>
    </w:div>
    <w:div w:id="2040280384">
      <w:bodyDiv w:val="1"/>
      <w:marLeft w:val="0"/>
      <w:marRight w:val="0"/>
      <w:marTop w:val="0"/>
      <w:marBottom w:val="0"/>
      <w:divBdr>
        <w:top w:val="none" w:sz="0" w:space="0" w:color="auto"/>
        <w:left w:val="none" w:sz="0" w:space="0" w:color="auto"/>
        <w:bottom w:val="none" w:sz="0" w:space="0" w:color="auto"/>
        <w:right w:val="none" w:sz="0" w:space="0" w:color="auto"/>
      </w:divBdr>
    </w:div>
    <w:div w:id="212352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doi:10.1097/01.psy.0000031577.42041.f8" TargetMode="External"/><Relationship Id="rId26" Type="http://schemas.openxmlformats.org/officeDocument/2006/relationships/hyperlink" Target="http://doi:10.1037//0033-2909.112.1.155" TargetMode="External"/><Relationship Id="rId39" Type="http://schemas.openxmlformats.org/officeDocument/2006/relationships/hyperlink" Target="https://doi.org/10.1037/a0022489" TargetMode="External"/><Relationship Id="rId21" Type="http://schemas.openxmlformats.org/officeDocument/2006/relationships/hyperlink" Target="https://doi.org/10.1044/2018_AJA-IMIA3-18-0004" TargetMode="External"/><Relationship Id="rId34" Type="http://schemas.openxmlformats.org/officeDocument/2006/relationships/hyperlink" Target="https://doi.org/10.1016/j.apnu.2017.11.015" TargetMode="External"/><Relationship Id="rId42" Type="http://schemas.openxmlformats.org/officeDocument/2006/relationships/hyperlink" Target="https://doi.org/10.1111/psyg.1239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s://psycnet.apa.org/doi/10.1037/a0028132" TargetMode="External"/><Relationship Id="rId11" Type="http://schemas.openxmlformats.org/officeDocument/2006/relationships/hyperlink" Target="mailto:ebeukes@lamar.edu" TargetMode="External"/><Relationship Id="rId24" Type="http://schemas.openxmlformats.org/officeDocument/2006/relationships/hyperlink" Target="https://doi.org/10.1016/bs.pbr.2020.05.022" TargetMode="External"/><Relationship Id="rId32" Type="http://schemas.openxmlformats.org/officeDocument/2006/relationships/hyperlink" Target="https://doi.org/10.1016/j.brat.2011.01.005" TargetMode="External"/><Relationship Id="rId37" Type="http://schemas.openxmlformats.org/officeDocument/2006/relationships/hyperlink" Target="https://doi.org/10.1186/1471-244X-8-41" TargetMode="External"/><Relationship Id="rId40" Type="http://schemas.openxmlformats.org/officeDocument/2006/relationships/hyperlink" Target="https://doi.org/10.1371/journal.pone.0217636" TargetMode="External"/><Relationship Id="rId45" Type="http://schemas.openxmlformats.org/officeDocument/2006/relationships/hyperlink" Target="https://doi.org/10.1016/j.invent.2016.09.006" TargetMode="External"/><Relationship Id="rId5" Type="http://schemas.openxmlformats.org/officeDocument/2006/relationships/numbering" Target="numbering.xml"/><Relationship Id="rId15" Type="http://schemas.openxmlformats.org/officeDocument/2006/relationships/hyperlink" Target="https://www.google.com/url?q=http://www.jmir.org/2011/4/e126/&amp;sa=D&amp;source=editors&amp;ust=1611922028718000&amp;usg=AFQjCNEmqvD8ZNLDqcdPNAZGKQHXzQsgoQ" TargetMode="External"/><Relationship Id="rId23" Type="http://schemas.openxmlformats.org/officeDocument/2006/relationships/hyperlink" Target="https://doi.org/10.3389/fpubh.2020.592878" TargetMode="External"/><Relationship Id="rId28" Type="http://schemas.openxmlformats.org/officeDocument/2006/relationships/hyperlink" Target="https://doi.org/10.1016/S0140-6736(12)60469-3" TargetMode="External"/><Relationship Id="rId36" Type="http://schemas.openxmlformats.org/officeDocument/2006/relationships/hyperlink" Target="https://doi.org/10.1044/2020_AJA-20-00002" TargetMode="External"/><Relationship Id="rId10" Type="http://schemas.openxmlformats.org/officeDocument/2006/relationships/endnotes" Target="endnotes.xml"/><Relationship Id="rId19" Type="http://schemas.openxmlformats.org/officeDocument/2006/relationships/hyperlink" Target="http://doi:10.1016/j.invent.2016.08.002" TargetMode="External"/><Relationship Id="rId31" Type="http://schemas.openxmlformats.org/officeDocument/2006/relationships/hyperlink" Target="https://doi.org/10.1044/2019_AJA-19-0070" TargetMode="External"/><Relationship Id="rId44" Type="http://schemas.openxmlformats.org/officeDocument/2006/relationships/hyperlink" Target="https://doi.org/10.1186/1472-6815-12-" TargetMode="External"/><Relationship Id="rId5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doi.org/10.1177/2331216519851749" TargetMode="External"/><Relationship Id="rId27" Type="http://schemas.openxmlformats.org/officeDocument/2006/relationships/hyperlink" Target="https://doi.org/10.1007/s00106-019-0633-7" TargetMode="External"/><Relationship Id="rId30" Type="http://schemas.openxmlformats.org/officeDocument/2006/relationships/hyperlink" Target="https://doi.org/10.2196/jmir.1923" TargetMode="External"/><Relationship Id="rId35" Type="http://schemas.openxmlformats.org/officeDocument/2006/relationships/hyperlink" Target="http://doi:10.1080/14992027.2020.1717006" TargetMode="External"/><Relationship Id="rId43" Type="http://schemas.openxmlformats.org/officeDocument/2006/relationships/hyperlink" Target="https://doi.org/10.1097/AUD.0000000000000363" TargetMode="External"/><Relationship Id="rId48" Type="http://schemas.openxmlformats.org/officeDocument/2006/relationships/theme" Target="theme/theme1.xml"/><Relationship Id="rId8" Type="http://schemas.openxmlformats.org/officeDocument/2006/relationships/webSettings" Target="webSettings.xml"/><Relationship Id="rId51" Type="http://schemas.microsoft.com/office/2016/09/relationships/commentsIds" Target="commentsIds.xml"/><Relationship Id="rId3" Type="http://schemas.openxmlformats.org/officeDocument/2006/relationships/customXml" Target="../customXml/item3.xml"/><Relationship Id="rId12" Type="http://schemas.openxmlformats.org/officeDocument/2006/relationships/hyperlink" Target="http://www.tacklingtinnitus.org" TargetMode="External"/><Relationship Id="rId17" Type="http://schemas.openxmlformats.org/officeDocument/2006/relationships/hyperlink" Target="https://doi.org/10.1016/S0272-7358(01)00124-6" TargetMode="External"/><Relationship Id="rId25" Type="http://schemas.openxmlformats.org/officeDocument/2006/relationships/hyperlink" Target="https://doi.org/10.1177/2331216520918416" TargetMode="External"/><Relationship Id="rId33" Type="http://schemas.openxmlformats.org/officeDocument/2006/relationships/hyperlink" Target="https://doi.org/10.1016/j.psc.2017.08.001" TargetMode="External"/><Relationship Id="rId38" Type="http://schemas.openxmlformats.org/officeDocument/2006/relationships/hyperlink" Target="http://doi:10.1097/AUD.0b013e31822f67c0" TargetMode="External"/><Relationship Id="rId46" Type="http://schemas.openxmlformats.org/officeDocument/2006/relationships/footer" Target="footer2.xml"/><Relationship Id="rId20" Type="http://schemas.openxmlformats.org/officeDocument/2006/relationships/hyperlink" Target="http://doi:10.1097/AUD.0000000000000505" TargetMode="External"/><Relationship Id="rId41" Type="http://schemas.openxmlformats.org/officeDocument/2006/relationships/hyperlink" Target="https://doi.org/10.18502/avr.v28i3.1229"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3" ma:contentTypeDescription="Create a new document." ma:contentTypeScope="" ma:versionID="ffa8b6ddd7c32af718830cd59d6e1513">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92a6c83fca114c0fd36e384c7f7eada4"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Des04</b:Tag>
    <b:SourceType>JournalArticle</b:SourceType>
    <b:Guid>{273DBB44-2D85-4647-BDB8-EDA82C9AB087}</b:Guid>
    <b:Title>Improving the reporting quality of nonrandomized evaluations of behavioral and public health interventions: The TREND statement.</b:Title>
    <b:JournalName>American Journal of Public Health</b:JournalName>
    <b:Year>2004</b:Year>
    <b:Pages>361-366</b:Pages>
    <b:Author>
      <b:Author>
        <b:NameList>
          <b:Person>
            <b:Last>Des Jarlais</b:Last>
            <b:First>D.C.</b:First>
          </b:Person>
          <b:Person>
            <b:Last>Lyles</b:Last>
            <b:First>C</b:First>
          </b:Person>
          <b:Person>
            <b:Last>Crepaz</b:Last>
            <b:First>N</b:First>
          </b:Person>
          <b:Person>
            <b:Last>Trend Group</b:Last>
          </b:Person>
        </b:NameList>
      </b:Author>
    </b:Author>
    <b:Volume>94</b:Volume>
    <b:Issue>3</b:Issue>
    <b:RefOrder>17</b:RefOrder>
  </b:Source>
  <b:Source>
    <b:Tag>And04</b:Tag>
    <b:SourceType>JournalArticle</b:SourceType>
    <b:Guid>{A2B86634-EB1F-2644-A9BF-1FCBEAF901A3}</b:Guid>
    <b:Title>Internet‐based cognitive behavioral therapy for tinnitus</b:Title>
    <b:JournalName>Journal of clinical psychology</b:JournalName>
    <b:Year>2004</b:Year>
    <b:Pages>171-178</b:Pages>
    <b:Author>
      <b:Author>
        <b:NameList>
          <b:Person>
            <b:Last>Andersson</b:Last>
            <b:First>G</b:First>
          </b:Person>
          <b:Person>
            <b:Last>Viktor</b:Last>
            <b:First>K</b:First>
          </b:Person>
        </b:NameList>
      </b:Author>
    </b:Author>
    <b:Volume>60</b:Volume>
    <b:Issue>2</b:Issue>
    <b:RefOrder>18</b:RefOrder>
  </b:Source>
  <b:Source>
    <b:Tag>Abb09</b:Tag>
    <b:SourceType>JournalArticle</b:SourceType>
    <b:Guid>{FC00DA77-32D5-4F12-94E0-CAB11B9B015B}</b:Guid>
    <b:Title>A cluster randomised controlled trial of an Internet-based intervention program for tinnitus distress in an industrial setting.</b:Title>
    <b:Year>2009</b:Year>
    <b:Author>
      <b:Author>
        <b:NameList>
          <b:Person>
            <b:Last>Abbott</b:Last>
            <b:First>J.,</b:First>
            <b:Middle>M.</b:Middle>
          </b:Person>
          <b:Person>
            <b:Last>Kaldo</b:Last>
            <b:First>V.</b:First>
          </b:Person>
          <b:Person>
            <b:Last>Klein</b:Last>
            <b:First>B.</b:First>
          </b:Person>
          <b:Person>
            <b:Last>Austin</b:Last>
            <b:First>D.</b:First>
          </b:Person>
          <b:Person>
            <b:Last>Hamilton</b:Last>
            <b:First>C.</b:First>
          </b:Person>
          <b:Person>
            <b:Last>Piterman</b:Last>
            <b:First>L</b:First>
          </b:Person>
          <b:Person>
            <b:Last>&amp; Andersson</b:Last>
            <b:First>G.</b:First>
          </b:Person>
        </b:NameList>
      </b:Author>
    </b:Author>
    <b:JournalName>Cognitive Behaviour Therapy</b:JournalName>
    <b:Pages>162-173</b:Pages>
    <b:Volume>38</b:Volume>
    <b:RefOrder>4</b:RefOrder>
  </b:Source>
  <b:Source>
    <b:Tag>Beu16</b:Tag>
    <b:SourceType>JournalArticle</b:SourceType>
    <b:Guid>{F321BE88-BC6D-43C9-BB20-AF946524CC34}</b:Guid>
    <b:Author>
      <b:Author>
        <b:NameList>
          <b:Person>
            <b:Last>Beukes</b:Last>
            <b:Middle>W</b:Middle>
            <b:First>Eldre</b:First>
          </b:Person>
          <b:Person>
            <b:Last>Vlaescu</b:Last>
            <b:First>George</b:First>
          </b:Person>
          <b:Person>
            <b:Last>Manchaiah</b:Last>
            <b:First>Vinaya</b:First>
          </b:Person>
          <b:Person>
            <b:Last>Baguley</b:Last>
            <b:Middle>M</b:Middle>
            <b:First>David</b:First>
          </b:Person>
          <b:Person>
            <b:Last>Allen</b:Last>
            <b:Middle>M</b:Middle>
            <b:First>Peter</b:First>
          </b:Person>
          <b:Person>
            <b:Last>Kaldo</b:Last>
            <b:First>Viktor</b:First>
          </b:Person>
          <b:Person>
            <b:Last>Andersson</b:Last>
            <b:First>Gerhard</b:First>
          </b:Person>
        </b:NameList>
      </b:Author>
    </b:Author>
    <b:Title>Development and technical functionality of an Internet-based intervention for tinnitus in the UK</b:Title>
    <b:JournalName>Internet Interventions</b:JournalName>
    <b:Year>2016</b:Year>
    <b:Pages>6-15</b:Pages>
    <b:Volume>6</b:Volume>
    <b:DOI>10.1016/j.invent.2016.08.002</b:DOI>
    <b:RefOrder>5</b:RefOrder>
  </b:Source>
  <b:Source>
    <b:Tag>Sta03</b:Tag>
    <b:SourceType>Report</b:SourceType>
    <b:Guid>{7D5DC4EA-E472-4726-BCFE-A3F6265EE5CF}</b:Guid>
    <b:Title>National Assessment of Adult Literacy. U.S. Department of Education.</b:Title>
    <b:Year>2003</b:Year>
    <b:Author>
      <b:Author>
        <b:NameList>
          <b:Person>
            <b:Last>Statistics</b:Last>
            <b:First>National</b:First>
            <b:Middle>Center for Education</b:Middle>
          </b:Person>
        </b:NameList>
      </b:Author>
    </b:Author>
    <b:DayAccessed>24 October 2018</b:DayAccessed>
    <b:URL>http://nces.ed.gov/naal/</b:URL>
    <b:RefOrder>6</b:RefOrder>
  </b:Source>
  <b:Source>
    <b:Tag>Man20</b:Tag>
    <b:SourceType>JournalArticle</b:SourceType>
    <b:Guid>{34EB128B-D83F-5D42-8270-A8020443F38B}</b:Guid>
    <b:Title>Features, functionality, and acceptability of Internet-based congnitive behavioral therapy for tinnitus in the United States</b:Title>
    <b:JournalName>American Journal of Audiology</b:JournalName>
    <b:Year>2020a</b:Year>
    <b:Pages>1-15</b:Pages>
    <b:Author>
      <b:Author>
        <b:NameList>
          <b:Person>
            <b:Last>Manchaiah</b:Last>
            <b:First>V</b:First>
          </b:Person>
          <b:Person>
            <b:Last>Vlaescu</b:Last>
            <b:First>G</b:First>
          </b:Person>
          <b:Person>
            <b:Last>Varadaraj</b:Last>
            <b:First>S</b:First>
          </b:Person>
          <b:Person>
            <b:Last>Aronson</b:Last>
            <b:First>E.P.</b:First>
          </b:Person>
          <b:Person>
            <b:Last>Fagelson</b:Last>
            <b:First>M.A.</b:First>
          </b:Person>
          <b:Person>
            <b:Last>Munoz</b:Last>
            <b:First>M.F.</b:First>
          </b:Person>
          <b:Person>
            <b:Last>Andersson</b:Last>
            <b:First>G</b:First>
          </b:Person>
          <b:Person>
            <b:Last>Beukes</b:Last>
            <b:First>E.W.</b:First>
          </b:Person>
        </b:NameList>
      </b:Author>
    </b:Author>
    <b:RefOrder>7</b:RefOrder>
  </b:Source>
  <b:Source>
    <b:Tag>Hen19</b:Tag>
    <b:SourceType>JournalArticle</b:SourceType>
    <b:Guid>{7B12EB44-32B1-114F-88F4-F5A5C541C3A1}</b:Guid>
    <b:Title>Audiologists and Tinnitus</b:Title>
    <b:JournalName>American Journal of Audiology</b:JournalName>
    <b:Year>2019</b:Year>
    <b:Pages>1059-1064</b:Pages>
    <b:Author>
      <b:Author>
        <b:NameList>
          <b:Person>
            <b:Last>Henry</b:Last>
            <b:First>J.A.</b:First>
          </b:Person>
          <b:Person>
            <b:Last>Piskosz</b:Last>
            <b:First>M</b:First>
          </b:Person>
          <b:Person>
            <b:Last>Norena</b:Last>
            <b:First>A</b:First>
          </b:Person>
          <b:Person>
            <b:Last>Fournier</b:Last>
            <b:First>P</b:First>
          </b:Person>
        </b:NameList>
      </b:Author>
    </b:Author>
    <b:Volume>28</b:Volume>
    <b:RefOrder>8</b:RefOrder>
  </b:Source>
  <b:Source>
    <b:Tag>Beu18</b:Tag>
    <b:SourceType>JournalArticle</b:SourceType>
    <b:Guid>{80DC7967-CAC9-4740-8F27-2DD8C13D231E}</b:Guid>
    <b:Title>Effectiveness of guided internet-based cognitive behavioral therapy vs face-to-face clinical care for treatment of tinnitus: a randomized clinical trial.</b:Title>
    <b:JournalName>JAMA Otolaryngology–Head &amp; Neck Surgery</b:JournalName>
    <b:Year>2018</b:Year>
    <b:Pages>1126-1133</b:Pages>
    <b:Author>
      <b:Author>
        <b:NameList>
          <b:Person>
            <b:Last>Beukes</b:Last>
            <b:Middle>W</b:Middle>
            <b:First>Eldre</b:First>
          </b:Person>
          <b:Person>
            <b:Last>Andersson</b:Last>
            <b:First>G</b:First>
          </b:Person>
          <b:Person>
            <b:Last>Allen</b:Last>
            <b:Middle>M</b:Middle>
            <b:First>P</b:First>
          </b:Person>
          <b:Person>
            <b:Last>Manchaiah</b:Last>
            <b:First>V</b:First>
          </b:Person>
          <b:Person>
            <b:Last>Baguley</b:Last>
            <b:Middle>M</b:Middle>
            <b:First>D</b:First>
          </b:Person>
        </b:NameList>
      </b:Author>
    </b:Author>
    <b:Volume>144</b:Volume>
    <b:Issue>12</b:Issue>
    <b:DOI>10.1001/jamaoto.2018.2238</b:DOI>
    <b:RefOrder>9</b:RefOrder>
  </b:Source>
  <b:Source>
    <b:Tag>Beu</b:Tag>
    <b:SourceType>JournalArticle</b:SourceType>
    <b:Guid>{754E5CBD-7A28-41AD-B21A-9CF4FCE5F184}</b:Guid>
    <b:Author>
      <b:Author>
        <b:NameList>
          <b:Person>
            <b:Last>Beukes</b:Last>
            <b:Middle>W</b:Middle>
            <b:First>Eldre</b:First>
          </b:Person>
          <b:Person>
            <b:Last>Baguley</b:Last>
            <b:Middle>M</b:Middle>
            <b:First>D</b:First>
          </b:Person>
          <b:Person>
            <b:Last>Allen</b:Last>
            <b:Middle>M</b:Middle>
            <b:First>P</b:First>
          </b:Person>
          <b:Person>
            <b:Last>Manchaiah</b:Last>
            <b:First>V</b:First>
          </b:Person>
          <b:Person>
            <b:Last>Andersson</b:Last>
            <b:First>G</b:First>
          </b:Person>
        </b:NameList>
      </b:Author>
    </b:Author>
    <b:Title>Beukes, E. W., Baguley, D. M., Allen, P. M., Manchaiah, V., &amp; Andersson, G. (2018). Audiologist-guided Internet-based cognitive behavior therapy for adults with tinnitus in the United Kingdom: A randomized controlled trial.</b:Title>
    <b:JournalName>Ear and Hearing</b:JournalName>
    <b:Year>2018</b:Year>
    <b:Pages>423-433</b:Pages>
    <b:Volume>39</b:Volume>
    <b:Issue>3</b:Issue>
    <b:DOI>10.1097/AUD.0000000000000505</b:DOI>
    <b:RefOrder>3</b:RefOrder>
  </b:Source>
  <b:Source>
    <b:Tag>Beu17</b:Tag>
    <b:SourceType>JournalArticle</b:SourceType>
    <b:Guid>{63494618-BBC5-420C-90BA-08EECB211C57}</b:Guid>
    <b:Title>Internet-Based Intervention for Tinnitus: Outcome of a Single-Group Open Trial</b:Title>
    <b:Year>2017</b:Year>
    <b:JournalName>American Academy of Audiology</b:JournalName>
    <b:Pages>340-351</b:Pages>
    <b:Author>
      <b:Author>
        <b:NameList>
          <b:Person>
            <b:Last>Beukes</b:Last>
            <b:Middle>W</b:Middle>
            <b:First>Eldré</b:First>
          </b:Person>
          <b:Person>
            <b:Last>Allen</b:Last>
            <b:Middle>M</b:Middle>
            <b:First>Peter</b:First>
          </b:Person>
          <b:Person>
            <b:Last>Manchaiah</b:Last>
            <b:First>Vinaya</b:First>
          </b:Person>
          <b:Person>
            <b:Last>Baguley</b:Last>
            <b:Middle>M</b:Middle>
            <b:First>David</b:First>
          </b:Person>
          <b:Person>
            <b:Last>Andersson</b:Last>
            <b:First>Gerhard</b:First>
          </b:Person>
        </b:NameList>
      </b:Author>
    </b:Author>
    <b:Volume>12</b:Volume>
    <b:Issue>4</b:Issue>
    <b:URL> https://doi.org/10.3766/jaaa.16055</b:URL>
    <b:DOI>10.3766/jaaa.16055</b:DOI>
    <b:RefOrder>10</b:RefOrder>
  </b:Source>
  <b:Source>
    <b:Tag>Her11</b:Tag>
    <b:SourceType>JournalArticle</b:SourceType>
    <b:Guid>{5D2C2AA3-1AE0-174A-B4E2-9B6313E81F39}</b:Guid>
    <b:Title>Development and preliminary testing of the new five-level version of EQ-5D (EQ-5D-5L)</b:Title>
    <b:JournalName>Quality of Lofe REsearch</b:JournalName>
    <b:Year>2011</b:Year>
    <b:Pages>1727-1736</b:Pages>
    <b:Author>
      <b:Author>
        <b:NameList>
          <b:Person>
            <b:Last>Herdman</b:Last>
            <b:First>M</b:First>
          </b:Person>
          <b:Person>
            <b:Last>Gudex</b:Last>
            <b:First>C</b:First>
          </b:Person>
          <b:Person>
            <b:Last>Lloyd</b:Last>
            <b:First>A</b:First>
          </b:Person>
          <b:Person>
            <b:Last>Janssen</b:Last>
            <b:First>M</b:First>
          </b:Person>
          <b:Person>
            <b:Last>Kind</b:Last>
            <b:First>P</b:First>
          </b:Person>
          <b:Person>
            <b:Last>Parkin</b:Last>
            <b:First>D</b:First>
          </b:Person>
          <b:Person>
            <b:Last>Bonsel</b:Last>
            <b:First>G</b:First>
          </b:Person>
          <b:Person>
            <b:Last>Badia</b:Last>
            <b:First>X</b:First>
          </b:Person>
        </b:NameList>
      </b:Author>
    </b:Author>
    <b:Volume>22</b:Volume>
    <b:Issue>7</b:Issue>
    <b:RefOrder>11</b:RefOrder>
  </b:Source>
  <b:Source>
    <b:Tag>Man201</b:Tag>
    <b:SourceType>JournalArticle</b:SourceType>
    <b:Guid>{BC15C443-A67A-894F-9BFD-6F369DDCD872}</b:Guid>
    <b:Title>Translation and adaptation of three English tinnitus patient-reported outcome measures to Spanish</b:Title>
    <b:JournalName>International Journal of Audiology</b:JournalName>
    <b:Year>2020b</b:Year>
    <b:Pages>1-6</b:Pages>
    <b:Author>
      <b:Author>
        <b:NameList>
          <b:Person>
            <b:Last>Manchaiah</b:Last>
            <b:First>V</b:First>
          </b:Person>
          <b:Person>
            <b:Last>Muñoz</b:Last>
            <b:First>M.F.</b:First>
          </b:Person>
          <b:Person>
            <b:Last>Hatfield</b:Last>
            <b:First>E</b:First>
          </b:Person>
          <b:Person>
            <b:Last>Fagelson</b:Last>
            <b:First>M.A.</b:First>
          </b:Person>
          <b:Person>
            <b:Last>Parks Aronson</b:Last>
            <b:First>E</b:First>
          </b:Person>
          <b:Person>
            <b:Last>Andersson</b:Last>
            <b:First>G</b:First>
          </b:Person>
          <b:Person>
            <b:Last>Beukes</b:Last>
            <b:First>E.W.</b:First>
          </b:Person>
        </b:NameList>
      </b:Author>
    </b:Author>
    <b:RefOrder>12</b:RefOrder>
  </b:Source>
  <b:Source>
    <b:Tag>New08</b:Tag>
    <b:SourceType>JournalArticle</b:SourceType>
    <b:Guid>{79138A51-331D-3A4D-B461-DBE82FB2625B}</b:Guid>
    <b:Title>Development and psychometric adequacy of the screening version of the tinnitus handicap inventory</b:Title>
    <b:JournalName>Otology &amp; Neurotology</b:JournalName>
    <b:Year>2008</b:Year>
    <b:Pages>276-281</b:Pages>
    <b:Author>
      <b:Author>
        <b:NameList>
          <b:Person>
            <b:Last>Newman</b:Last>
            <b:First>CW</b:First>
          </b:Person>
          <b:Person>
            <b:Last>Sandridge</b:Last>
            <b:First>SA</b:First>
          </b:Person>
          <b:Person>
            <b:Last>Bolek</b:Last>
            <b:First>L</b:First>
          </b:Person>
        </b:NameList>
      </b:Author>
    </b:Author>
    <b:Volume>29</b:Volume>
    <b:Issue>3</b:Issue>
    <b:RefOrder>13</b:RefOrder>
  </b:Source>
  <b:Source>
    <b:Tag>peo10</b:Tag>
    <b:SourceType>Report</b:SourceType>
    <b:Guid>{F8604939-C523-4D40-A625-00A1123C372B}</b:Guid>
    <b:Year>2010</b:Year>
    <b:Author>
      <b:Author>
        <b:NameList>
          <b:Person>
            <b:Last>U.S Department of Health and Human Services</b:Last>
          </b:Person>
        </b:NameList>
      </b:Author>
    </b:Author>
    <b:Publisher>U.S. Government Printing Office</b:Publisher>
    <b:City>Washington, DC</b:City>
    <b:URL>http://www/health/gov/healthypeople/.</b:URL>
    <b:Title>Healthy People</b:Title>
    <b:RefOrder>2</b:RefOrder>
  </b:Source>
  <b:Source>
    <b:Tag>Coh92</b:Tag>
    <b:SourceType>JournalArticle</b:SourceType>
    <b:Guid>{1EDD01A0-54A7-4658-9B59-2D8C37994C75}</b:Guid>
    <b:Title>A power primer</b:Title>
    <b:JournalName>Psychological Bulletin</b:JournalName>
    <b:Year>1992</b:Year>
    <b:Pages>155</b:Pages>
    <b:Author>
      <b:Author>
        <b:NameList>
          <b:Person>
            <b:Last>Cohen</b:Last>
            <b:First>J</b:First>
          </b:Person>
        </b:NameList>
      </b:Author>
    </b:Author>
    <b:Volume>112</b:Volume>
    <b:Issue>1</b:Issue>
    <b:RefOrder>15</b:RefOrder>
  </b:Source>
  <b:Source>
    <b:Tag>Jac911</b:Tag>
    <b:SourceType>JournalArticle</b:SourceType>
    <b:Guid>{4E224F0E-463B-4143-973F-31E8F5DAE27A}</b:Guid>
    <b:Title>Clinical significance: A statistical approach to defining meaningful change in psychotherapy research</b:Title>
    <b:JournalName>Journal of Consulting and Clinical Psychology</b:JournalName>
    <b:Year>1991</b:Year>
    <b:Pages>12-19</b:Pages>
    <b:Author>
      <b:Author>
        <b:NameList>
          <b:Person>
            <b:Last>Jacobson</b:Last>
            <b:First>N.S.</b:First>
          </b:Person>
          <b:Person>
            <b:Last>Truax</b:Last>
            <b:First>P</b:First>
          </b:Person>
        </b:NameList>
      </b:Author>
    </b:Author>
    <b:Volume>59</b:Volume>
    <b:Issue>1</b:Issue>
    <b:RefOrder>16</b:RefOrder>
  </b:Source>
  <b:Source>
    <b:Tag>Eys11</b:Tag>
    <b:SourceType>JournalArticle</b:SourceType>
    <b:Guid>{3509CB73-FBBB-4FFC-9C59-E8BF76DE855C}</b:Guid>
    <b:Title>CONSORT-EHEALTH: improving and standardizing evaluation reports of Web-based and mobile health interventions.</b:Title>
    <b:JournalName>Journal of Medical Internet Research</b:JournalName>
    <b:Year>2011</b:Year>
    <b:Pages>e126</b:Pages>
    <b:Author>
      <b:Author>
        <b:NameList>
          <b:Person>
            <b:Last>Eysenbach</b:Last>
            <b:First>G</b:First>
          </b:Person>
          <b:Person>
            <b:Last>Consort-EHEALTH Group</b:Last>
          </b:Person>
        </b:NameList>
      </b:Author>
    </b:Author>
    <b:RefOrder>1</b:RefOrder>
  </b:Source>
  <b:Source>
    <b:Tag>Hes15</b:Tag>
    <b:SourceType>JournalArticle</b:SourceType>
    <b:Guid>{80332D41-7916-47F9-958B-5D4EA567F08B}</b:Guid>
    <b:Title>Modeling individual differences in randomized experiments using growth models: Recommendations for design, statistical analysis and reporting of results of internet interventions</b:Title>
    <b:JournalName>Internet Interventions</b:JournalName>
    <b:Year>2015</b:Year>
    <b:Pages>110-210</b:Pages>
    <b:Author>
      <b:Author>
        <b:NameList>
          <b:Person>
            <b:Last>Hesser</b:Last>
            <b:First>Hugo</b:First>
          </b:Person>
        </b:NameList>
      </b:Author>
    </b:Author>
    <b:Volume>2</b:Volume>
    <b:Issue>2</b:Issue>
    <b:URL>https://doi.org/10.1016/j.invent.2015.02.003</b:URL>
    <b:DOI>doi.org/10.1016/j.invent.2015.02.003</b:DOI>
    <b:RefOrder>14</b:RefOrder>
  </b:Source>
</b:Sources>
</file>

<file path=customXml/itemProps1.xml><?xml version="1.0" encoding="utf-8"?>
<ds:datastoreItem xmlns:ds="http://schemas.openxmlformats.org/officeDocument/2006/customXml" ds:itemID="{E220C899-7E53-4AD2-BAC9-1811627DF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966643-FE78-46F0-A8CD-4414C482CA09}">
  <ds:schemaRefs>
    <ds:schemaRef ds:uri="http://schemas.microsoft.com/office/2006/documentManagement/types"/>
    <ds:schemaRef ds:uri="http://purl.org/dc/terms/"/>
    <ds:schemaRef ds:uri="dd5d29e2-e009-49d8-a581-e6c7b528f0f3"/>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6b494f05-939f-47b7-827f-de1e15f7b078"/>
    <ds:schemaRef ds:uri="http://www.w3.org/XML/1998/namespace"/>
  </ds:schemaRefs>
</ds:datastoreItem>
</file>

<file path=customXml/itemProps3.xml><?xml version="1.0" encoding="utf-8"?>
<ds:datastoreItem xmlns:ds="http://schemas.openxmlformats.org/officeDocument/2006/customXml" ds:itemID="{103E97EE-17D3-437F-B8B3-CA1A43D37661}">
  <ds:schemaRefs>
    <ds:schemaRef ds:uri="http://schemas.microsoft.com/sharepoint/v3/contenttype/forms"/>
  </ds:schemaRefs>
</ds:datastoreItem>
</file>

<file path=customXml/itemProps4.xml><?xml version="1.0" encoding="utf-8"?>
<ds:datastoreItem xmlns:ds="http://schemas.openxmlformats.org/officeDocument/2006/customXml" ds:itemID="{0D774A7B-66FF-4B80-8A90-B4B0B46A6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12142</Words>
  <Characters>69211</Characters>
  <Application>Microsoft Office Word</Application>
  <DocSecurity>0</DocSecurity>
  <Lines>576</Lines>
  <Paragraphs>162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81191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Eldre Beukes</dc:creator>
  <cp:keywords/>
  <dc:description/>
  <cp:lastModifiedBy>Beukes, Eldre</cp:lastModifiedBy>
  <cp:revision>3</cp:revision>
  <dcterms:created xsi:type="dcterms:W3CDTF">2021-05-04T15:31:00Z</dcterms:created>
  <dcterms:modified xsi:type="dcterms:W3CDTF">2021-05-04T15:31:00Z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