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3BC9AC" w14:textId="3D811CEA" w:rsidR="00CD7E2E" w:rsidRPr="00801161" w:rsidRDefault="007C280A" w:rsidP="00FF2683">
      <w:pPr>
        <w:spacing w:line="480" w:lineRule="auto"/>
        <w:rPr>
          <w:b/>
          <w:bCs/>
          <w:sz w:val="28"/>
        </w:rPr>
      </w:pPr>
      <w:bookmarkStart w:id="0" w:name="_GoBack"/>
      <w:bookmarkEnd w:id="0"/>
      <w:r w:rsidRPr="00801161">
        <w:rPr>
          <w:b/>
          <w:bCs/>
          <w:sz w:val="28"/>
        </w:rPr>
        <w:t xml:space="preserve">Review article </w:t>
      </w:r>
    </w:p>
    <w:p w14:paraId="6DB46961" w14:textId="77777777" w:rsidR="00CD7E2E" w:rsidRPr="00801161" w:rsidRDefault="00CD7E2E" w:rsidP="00FF2683">
      <w:pPr>
        <w:jc w:val="both"/>
        <w:outlineLvl w:val="0"/>
        <w:rPr>
          <w:b/>
          <w:bCs/>
          <w:szCs w:val="24"/>
        </w:rPr>
      </w:pPr>
    </w:p>
    <w:p w14:paraId="3D3B9A49" w14:textId="4941A3F5" w:rsidR="00CD7E2E" w:rsidRDefault="00684087" w:rsidP="00FF2683">
      <w:pPr>
        <w:spacing w:line="360" w:lineRule="auto"/>
        <w:jc w:val="center"/>
        <w:outlineLvl w:val="0"/>
        <w:rPr>
          <w:b/>
          <w:bCs/>
          <w:sz w:val="32"/>
          <w:szCs w:val="32"/>
        </w:rPr>
      </w:pPr>
      <w:bookmarkStart w:id="1" w:name="_Toc40621345"/>
      <w:bookmarkStart w:id="2" w:name="_Toc40621869"/>
      <w:r w:rsidRPr="00801161">
        <w:rPr>
          <w:b/>
          <w:bCs/>
          <w:sz w:val="32"/>
          <w:szCs w:val="32"/>
        </w:rPr>
        <w:t>R</w:t>
      </w:r>
      <w:r w:rsidR="007C280A" w:rsidRPr="00801161">
        <w:rPr>
          <w:b/>
          <w:bCs/>
          <w:sz w:val="32"/>
          <w:szCs w:val="32"/>
        </w:rPr>
        <w:t>ole</w:t>
      </w:r>
      <w:r w:rsidRPr="00801161">
        <w:rPr>
          <w:b/>
          <w:bCs/>
          <w:sz w:val="32"/>
          <w:szCs w:val="32"/>
        </w:rPr>
        <w:t>s</w:t>
      </w:r>
      <w:r w:rsidR="007C280A" w:rsidRPr="00801161">
        <w:rPr>
          <w:b/>
          <w:bCs/>
          <w:sz w:val="32"/>
          <w:szCs w:val="32"/>
        </w:rPr>
        <w:t xml:space="preserve"> of microRNA</w:t>
      </w:r>
      <w:r w:rsidR="004859BB" w:rsidRPr="00801161">
        <w:rPr>
          <w:b/>
          <w:bCs/>
          <w:sz w:val="32"/>
          <w:szCs w:val="32"/>
        </w:rPr>
        <w:t>s</w:t>
      </w:r>
      <w:r w:rsidR="007C280A" w:rsidRPr="00801161">
        <w:rPr>
          <w:b/>
          <w:bCs/>
          <w:sz w:val="32"/>
          <w:szCs w:val="32"/>
        </w:rPr>
        <w:t xml:space="preserve"> in inflammatory bowel disease</w:t>
      </w:r>
      <w:bookmarkEnd w:id="1"/>
      <w:bookmarkEnd w:id="2"/>
    </w:p>
    <w:p w14:paraId="763BCA9D" w14:textId="77777777" w:rsidR="005C61F2" w:rsidRPr="00801161" w:rsidRDefault="005C61F2" w:rsidP="00FF2683">
      <w:pPr>
        <w:spacing w:line="360" w:lineRule="auto"/>
        <w:jc w:val="center"/>
        <w:outlineLvl w:val="0"/>
        <w:rPr>
          <w:b/>
          <w:bCs/>
          <w:sz w:val="32"/>
          <w:szCs w:val="32"/>
          <w:lang w:eastAsia="ko-KR"/>
        </w:rPr>
      </w:pPr>
    </w:p>
    <w:p w14:paraId="58C2ADF2" w14:textId="77777777" w:rsidR="005C61F2" w:rsidRPr="00751A8C" w:rsidRDefault="005C61F2" w:rsidP="005C61F2">
      <w:pPr>
        <w:shd w:val="clear" w:color="auto" w:fill="FFFFFF"/>
        <w:spacing w:line="360" w:lineRule="atLeast"/>
        <w:jc w:val="both"/>
        <w:rPr>
          <w:rFonts w:ascii="Calibri" w:eastAsia="Gulim" w:hAnsi="Calibri" w:cs="Calibri"/>
          <w:color w:val="000000"/>
          <w:szCs w:val="24"/>
          <w:lang w:eastAsia="ko-KR"/>
        </w:rPr>
      </w:pPr>
      <w:bookmarkStart w:id="3" w:name="_Hlk42366367"/>
      <w:bookmarkEnd w:id="3"/>
      <w:r>
        <w:rPr>
          <w:rFonts w:eastAsia="DengXian"/>
        </w:rPr>
        <w:t>HyunTaek Jung</w:t>
      </w:r>
      <w:r>
        <w:rPr>
          <w:vertAlign w:val="superscript"/>
        </w:rPr>
        <w:t>1</w:t>
      </w:r>
      <w:r w:rsidRPr="00B34113">
        <w:rPr>
          <w:b/>
          <w:bCs/>
          <w:sz w:val="22"/>
          <w:vertAlign w:val="superscript"/>
          <w:lang w:eastAsia="en-US" w:bidi="en-US"/>
        </w:rPr>
        <w:t>†</w:t>
      </w:r>
      <w:r>
        <w:t xml:space="preserve">, </w:t>
      </w:r>
      <w:r>
        <w:rPr>
          <w:rFonts w:hint="eastAsia"/>
          <w:lang w:eastAsia="ko-KR"/>
        </w:rPr>
        <w:t>J</w:t>
      </w:r>
      <w:r>
        <w:rPr>
          <w:lang w:eastAsia="ko-KR"/>
        </w:rPr>
        <w:t>ae Seok Kim</w:t>
      </w:r>
      <w:r>
        <w:rPr>
          <w:vertAlign w:val="superscript"/>
          <w:lang w:eastAsia="ko-KR"/>
        </w:rPr>
        <w:t>2</w:t>
      </w:r>
      <w:r w:rsidRPr="00B34113">
        <w:rPr>
          <w:b/>
          <w:bCs/>
          <w:sz w:val="22"/>
          <w:vertAlign w:val="superscript"/>
          <w:lang w:eastAsia="en-US" w:bidi="en-US"/>
        </w:rPr>
        <w:t>†</w:t>
      </w:r>
      <w:r>
        <w:rPr>
          <w:lang w:eastAsia="ko-KR"/>
        </w:rPr>
        <w:t xml:space="preserve">, </w:t>
      </w:r>
      <w:r w:rsidRPr="00751A8C">
        <w:rPr>
          <w:rFonts w:eastAsia="Gulim"/>
          <w:color w:val="000000"/>
          <w:szCs w:val="24"/>
          <w:lang w:eastAsia="ko-KR"/>
        </w:rPr>
        <w:t>Keum Hwa Lee</w:t>
      </w:r>
      <w:r>
        <w:rPr>
          <w:rFonts w:eastAsia="Gulim"/>
          <w:color w:val="000000"/>
          <w:szCs w:val="24"/>
          <w:vertAlign w:val="superscript"/>
          <w:lang w:eastAsia="ko-KR"/>
        </w:rPr>
        <w:t>3</w:t>
      </w:r>
      <w:r w:rsidRPr="00751A8C">
        <w:rPr>
          <w:rFonts w:eastAsia="Gulim"/>
          <w:color w:val="000000"/>
          <w:szCs w:val="24"/>
          <w:lang w:eastAsia="ko-KR"/>
        </w:rPr>
        <w:t>, Kalthoum Tizaoui</w:t>
      </w:r>
      <w:r>
        <w:rPr>
          <w:rFonts w:eastAsia="Gulim"/>
          <w:color w:val="000000"/>
          <w:szCs w:val="24"/>
          <w:vertAlign w:val="superscript"/>
          <w:lang w:eastAsia="ko-KR"/>
        </w:rPr>
        <w:t>4</w:t>
      </w:r>
      <w:r w:rsidRPr="00751A8C">
        <w:rPr>
          <w:rFonts w:eastAsia="Gulim"/>
          <w:color w:val="000000"/>
          <w:szCs w:val="24"/>
          <w:lang w:eastAsia="ko-KR"/>
        </w:rPr>
        <w:t>, Salvatore Terrazzino</w:t>
      </w:r>
      <w:r>
        <w:rPr>
          <w:rFonts w:eastAsia="Gulim"/>
          <w:color w:val="000000"/>
          <w:szCs w:val="24"/>
          <w:vertAlign w:val="superscript"/>
          <w:lang w:eastAsia="ko-KR"/>
        </w:rPr>
        <w:t>5</w:t>
      </w:r>
      <w:r w:rsidRPr="00751A8C">
        <w:rPr>
          <w:rFonts w:eastAsia="Gulim"/>
          <w:color w:val="000000"/>
          <w:szCs w:val="24"/>
          <w:lang w:eastAsia="ko-KR"/>
        </w:rPr>
        <w:t>, Sarah Cargnin</w:t>
      </w:r>
      <w:r>
        <w:rPr>
          <w:rFonts w:eastAsia="Gulim"/>
          <w:color w:val="000000"/>
          <w:szCs w:val="24"/>
          <w:vertAlign w:val="superscript"/>
          <w:lang w:eastAsia="ko-KR"/>
        </w:rPr>
        <w:t>5</w:t>
      </w:r>
      <w:r w:rsidRPr="00751A8C">
        <w:rPr>
          <w:rFonts w:eastAsia="Gulim"/>
          <w:color w:val="000000"/>
          <w:szCs w:val="24"/>
          <w:lang w:eastAsia="ko-KR"/>
        </w:rPr>
        <w:t>, Lee Smith</w:t>
      </w:r>
      <w:r>
        <w:rPr>
          <w:rFonts w:eastAsia="Gulim"/>
          <w:color w:val="000000"/>
          <w:szCs w:val="24"/>
          <w:vertAlign w:val="superscript"/>
          <w:lang w:eastAsia="ko-KR"/>
        </w:rPr>
        <w:t>6</w:t>
      </w:r>
      <w:r w:rsidRPr="00751A8C">
        <w:rPr>
          <w:rFonts w:eastAsia="Gulim"/>
          <w:color w:val="000000"/>
          <w:szCs w:val="24"/>
          <w:lang w:eastAsia="ko-KR"/>
        </w:rPr>
        <w:t>, Ai Koyanagi</w:t>
      </w:r>
      <w:r>
        <w:rPr>
          <w:rFonts w:eastAsia="Gulim"/>
          <w:color w:val="000000"/>
          <w:szCs w:val="24"/>
          <w:vertAlign w:val="superscript"/>
          <w:lang w:eastAsia="ko-KR"/>
        </w:rPr>
        <w:t>7,8</w:t>
      </w:r>
      <w:r>
        <w:rPr>
          <w:rFonts w:eastAsia="Gulim"/>
          <w:color w:val="000000"/>
          <w:szCs w:val="24"/>
          <w:lang w:eastAsia="ko-KR"/>
        </w:rPr>
        <w:t>, </w:t>
      </w:r>
      <w:r w:rsidRPr="00751A8C">
        <w:rPr>
          <w:rFonts w:eastAsia="Gulim"/>
          <w:color w:val="000000"/>
          <w:szCs w:val="24"/>
          <w:lang w:eastAsia="ko-KR"/>
        </w:rPr>
        <w:t>Louis Jacob</w:t>
      </w:r>
      <w:r>
        <w:rPr>
          <w:rFonts w:eastAsia="Gulim"/>
          <w:color w:val="000000"/>
          <w:szCs w:val="24"/>
          <w:vertAlign w:val="superscript"/>
          <w:lang w:eastAsia="ko-KR"/>
        </w:rPr>
        <w:t>7,9</w:t>
      </w:r>
      <w:r w:rsidRPr="00751A8C">
        <w:rPr>
          <w:rFonts w:eastAsia="Gulim"/>
          <w:color w:val="000000"/>
          <w:szCs w:val="24"/>
          <w:lang w:eastAsia="ko-KR"/>
        </w:rPr>
        <w:t>, Han Li</w:t>
      </w:r>
      <w:r>
        <w:rPr>
          <w:rFonts w:eastAsia="Gulim"/>
          <w:color w:val="000000"/>
          <w:szCs w:val="24"/>
          <w:vertAlign w:val="superscript"/>
          <w:lang w:eastAsia="ko-KR"/>
        </w:rPr>
        <w:t>10</w:t>
      </w:r>
      <w:r w:rsidRPr="00751A8C">
        <w:rPr>
          <w:rFonts w:eastAsia="Gulim"/>
          <w:color w:val="000000"/>
          <w:szCs w:val="24"/>
          <w:lang w:eastAsia="ko-KR"/>
        </w:rPr>
        <w:t xml:space="preserve">, </w:t>
      </w:r>
      <w:r>
        <w:rPr>
          <w:rFonts w:eastAsia="Gulim"/>
          <w:color w:val="000000"/>
          <w:szCs w:val="24"/>
          <w:lang w:eastAsia="ko-KR"/>
        </w:rPr>
        <w:t>Sung Hwi Hong</w:t>
      </w:r>
      <w:r>
        <w:rPr>
          <w:rFonts w:eastAsia="Gulim"/>
          <w:color w:val="000000"/>
          <w:szCs w:val="24"/>
          <w:vertAlign w:val="superscript"/>
          <w:lang w:eastAsia="ko-KR"/>
        </w:rPr>
        <w:t>11</w:t>
      </w:r>
      <w:r>
        <w:rPr>
          <w:rFonts w:eastAsia="Gulim"/>
          <w:color w:val="000000"/>
          <w:szCs w:val="24"/>
          <w:lang w:eastAsia="ko-KR"/>
        </w:rPr>
        <w:t xml:space="preserve">, </w:t>
      </w:r>
      <w:r w:rsidRPr="00D53B8D">
        <w:rPr>
          <w:rFonts w:eastAsia="Gulim"/>
          <w:color w:val="000000"/>
          <w:szCs w:val="24"/>
          <w:lang w:eastAsia="ko-KR"/>
        </w:rPr>
        <w:t>Dong Keon Yon</w:t>
      </w:r>
      <w:r>
        <w:rPr>
          <w:rFonts w:eastAsia="Gulim"/>
          <w:color w:val="000000"/>
          <w:szCs w:val="24"/>
          <w:vertAlign w:val="superscript"/>
          <w:lang w:eastAsia="ko-KR"/>
        </w:rPr>
        <w:t>12,13</w:t>
      </w:r>
      <w:r w:rsidRPr="00D53B8D">
        <w:rPr>
          <w:rFonts w:eastAsia="Gulim"/>
          <w:color w:val="000000"/>
          <w:szCs w:val="24"/>
          <w:lang w:eastAsia="ko-KR"/>
        </w:rPr>
        <w:t>, Seung Won Lee</w:t>
      </w:r>
      <w:r>
        <w:rPr>
          <w:rFonts w:eastAsia="Gulim"/>
          <w:color w:val="000000"/>
          <w:szCs w:val="24"/>
          <w:vertAlign w:val="superscript"/>
          <w:lang w:eastAsia="ko-KR"/>
        </w:rPr>
        <w:t>14</w:t>
      </w:r>
      <w:r w:rsidRPr="00D53B8D">
        <w:rPr>
          <w:rFonts w:eastAsia="Gulim"/>
          <w:color w:val="000000"/>
          <w:szCs w:val="24"/>
          <w:lang w:eastAsia="ko-KR"/>
        </w:rPr>
        <w:t>, Min Seo Kim</w:t>
      </w:r>
      <w:r>
        <w:rPr>
          <w:rFonts w:eastAsia="Gulim"/>
          <w:color w:val="000000"/>
          <w:szCs w:val="24"/>
          <w:vertAlign w:val="superscript"/>
          <w:lang w:eastAsia="ko-KR"/>
        </w:rPr>
        <w:t>15,16</w:t>
      </w:r>
      <w:r>
        <w:rPr>
          <w:rFonts w:eastAsia="Gulim"/>
          <w:color w:val="000000"/>
          <w:szCs w:val="24"/>
          <w:lang w:eastAsia="ko-KR"/>
        </w:rPr>
        <w:t xml:space="preserve">, </w:t>
      </w:r>
      <w:r w:rsidRPr="00D53B8D">
        <w:rPr>
          <w:rFonts w:eastAsia="Gulim"/>
          <w:color w:val="000000"/>
          <w:szCs w:val="24"/>
          <w:lang w:eastAsia="ko-KR"/>
        </w:rPr>
        <w:t>Paul Wasuwanich</w:t>
      </w:r>
      <w:r>
        <w:rPr>
          <w:rFonts w:eastAsia="Gulim"/>
          <w:color w:val="000000"/>
          <w:szCs w:val="24"/>
          <w:vertAlign w:val="superscript"/>
          <w:lang w:eastAsia="ko-KR"/>
        </w:rPr>
        <w:t>10</w:t>
      </w:r>
      <w:r w:rsidRPr="00D53B8D">
        <w:rPr>
          <w:rFonts w:eastAsia="Gulim"/>
          <w:color w:val="000000"/>
          <w:szCs w:val="24"/>
          <w:lang w:eastAsia="ko-KR"/>
        </w:rPr>
        <w:t>, Wikrom Karnsakul</w:t>
      </w:r>
      <w:r>
        <w:rPr>
          <w:rFonts w:eastAsia="Gulim"/>
          <w:color w:val="000000"/>
          <w:szCs w:val="24"/>
          <w:vertAlign w:val="superscript"/>
          <w:lang w:eastAsia="ko-KR"/>
        </w:rPr>
        <w:t>17</w:t>
      </w:r>
      <w:r w:rsidRPr="00D53B8D">
        <w:rPr>
          <w:rFonts w:eastAsia="Gulim"/>
          <w:color w:val="000000"/>
          <w:szCs w:val="24"/>
          <w:lang w:eastAsia="ko-KR"/>
        </w:rPr>
        <w:t xml:space="preserve">, </w:t>
      </w:r>
      <w:r w:rsidRPr="00751A8C">
        <w:rPr>
          <w:rFonts w:eastAsia="Gulim"/>
          <w:color w:val="000000"/>
          <w:szCs w:val="24"/>
          <w:lang w:eastAsia="ko-KR"/>
        </w:rPr>
        <w:t>Jae Il Shin</w:t>
      </w:r>
      <w:r>
        <w:rPr>
          <w:rFonts w:eastAsia="Gulim"/>
          <w:color w:val="000000"/>
          <w:szCs w:val="24"/>
          <w:vertAlign w:val="superscript"/>
          <w:lang w:eastAsia="ko-KR"/>
        </w:rPr>
        <w:t>3*</w:t>
      </w:r>
      <w:r w:rsidRPr="00751A8C">
        <w:rPr>
          <w:rFonts w:eastAsia="Gulim"/>
          <w:color w:val="000000"/>
          <w:szCs w:val="24"/>
          <w:lang w:eastAsia="ko-KR"/>
        </w:rPr>
        <w:t> and Andreas Kronbichl</w:t>
      </w:r>
      <w:r>
        <w:rPr>
          <w:rFonts w:eastAsia="Gulim" w:hint="eastAsia"/>
          <w:color w:val="000000"/>
          <w:szCs w:val="24"/>
          <w:lang w:eastAsia="ko-KR"/>
        </w:rPr>
        <w:t>e</w:t>
      </w:r>
      <w:r w:rsidRPr="00751A8C">
        <w:rPr>
          <w:rFonts w:eastAsia="Gulim"/>
          <w:color w:val="000000"/>
          <w:szCs w:val="24"/>
          <w:lang w:eastAsia="ko-KR"/>
        </w:rPr>
        <w:t>r</w:t>
      </w:r>
      <w:r>
        <w:rPr>
          <w:rFonts w:eastAsia="Gulim"/>
          <w:color w:val="000000"/>
          <w:szCs w:val="24"/>
          <w:vertAlign w:val="superscript"/>
          <w:lang w:eastAsia="ko-KR"/>
        </w:rPr>
        <w:t>18</w:t>
      </w:r>
    </w:p>
    <w:p w14:paraId="3F980810" w14:textId="77777777" w:rsidR="005C61F2" w:rsidRPr="00751A8C" w:rsidRDefault="005C61F2" w:rsidP="005C61F2">
      <w:pPr>
        <w:autoSpaceDE w:val="0"/>
        <w:autoSpaceDN w:val="0"/>
        <w:adjustRightInd w:val="0"/>
        <w:spacing w:after="0" w:line="480" w:lineRule="auto"/>
        <w:contextualSpacing/>
        <w:jc w:val="center"/>
        <w:rPr>
          <w:rFonts w:eastAsia="DengXian"/>
          <w:szCs w:val="24"/>
        </w:rPr>
      </w:pPr>
    </w:p>
    <w:p w14:paraId="467A1DE9" w14:textId="77777777" w:rsidR="005C61F2" w:rsidRPr="001C3806" w:rsidRDefault="005C61F2" w:rsidP="005C61F2">
      <w:pPr>
        <w:pStyle w:val="ListParagraph"/>
        <w:numPr>
          <w:ilvl w:val="0"/>
          <w:numId w:val="23"/>
        </w:numPr>
        <w:spacing w:line="360" w:lineRule="auto"/>
        <w:rPr>
          <w:sz w:val="22"/>
          <w:szCs w:val="24"/>
        </w:rPr>
      </w:pPr>
      <w:r w:rsidRPr="001C3806">
        <w:rPr>
          <w:sz w:val="22"/>
          <w:szCs w:val="24"/>
        </w:rPr>
        <w:t>Yonsei University College of Medicine, Seoul, Republic of Korea</w:t>
      </w:r>
    </w:p>
    <w:p w14:paraId="55DA5427" w14:textId="77777777" w:rsidR="005C61F2" w:rsidRPr="001C3806" w:rsidRDefault="005C61F2" w:rsidP="005C61F2">
      <w:pPr>
        <w:pStyle w:val="ListParagraph"/>
        <w:numPr>
          <w:ilvl w:val="0"/>
          <w:numId w:val="23"/>
        </w:numPr>
        <w:spacing w:line="360" w:lineRule="auto"/>
        <w:rPr>
          <w:sz w:val="22"/>
          <w:szCs w:val="24"/>
        </w:rPr>
      </w:pPr>
      <w:r w:rsidRPr="001C3806">
        <w:rPr>
          <w:sz w:val="22"/>
          <w:szCs w:val="24"/>
        </w:rPr>
        <w:t>Department of Nephrology, Yonsei University Wonju College of Medicine, Wonju, Republic of Korea</w:t>
      </w:r>
    </w:p>
    <w:p w14:paraId="33DB3436" w14:textId="77777777" w:rsidR="005C61F2" w:rsidRPr="001C3806" w:rsidRDefault="005C61F2" w:rsidP="005C61F2">
      <w:pPr>
        <w:pStyle w:val="ListParagraph"/>
        <w:numPr>
          <w:ilvl w:val="0"/>
          <w:numId w:val="23"/>
        </w:numPr>
        <w:spacing w:line="360" w:lineRule="auto"/>
        <w:rPr>
          <w:sz w:val="22"/>
          <w:szCs w:val="24"/>
        </w:rPr>
      </w:pPr>
      <w:r w:rsidRPr="001C3806">
        <w:rPr>
          <w:sz w:val="22"/>
          <w:szCs w:val="24"/>
        </w:rPr>
        <w:t>Department of Pediatrics, Yonsei University College of Medicine, Seoul, Republic of Korea</w:t>
      </w:r>
    </w:p>
    <w:p w14:paraId="7B6EBF80" w14:textId="77777777" w:rsidR="005C61F2" w:rsidRPr="001C3806" w:rsidRDefault="005C61F2" w:rsidP="005C61F2">
      <w:pPr>
        <w:pStyle w:val="ListParagraph"/>
        <w:numPr>
          <w:ilvl w:val="0"/>
          <w:numId w:val="23"/>
        </w:numPr>
        <w:spacing w:line="360" w:lineRule="auto"/>
        <w:rPr>
          <w:sz w:val="22"/>
          <w:szCs w:val="24"/>
        </w:rPr>
      </w:pPr>
      <w:r w:rsidRPr="001C3806">
        <w:rPr>
          <w:sz w:val="22"/>
          <w:szCs w:val="24"/>
        </w:rPr>
        <w:t>Laboratory Microorganisms and Active Biomolecules, Sciences Faculty of Tunis, University Tunis El Manar, Tunis, Tunisia</w:t>
      </w:r>
    </w:p>
    <w:p w14:paraId="62B58111" w14:textId="77777777" w:rsidR="005C61F2" w:rsidRPr="001C3806" w:rsidRDefault="005C61F2" w:rsidP="005C61F2">
      <w:pPr>
        <w:pStyle w:val="ListParagraph"/>
        <w:numPr>
          <w:ilvl w:val="0"/>
          <w:numId w:val="23"/>
        </w:numPr>
        <w:spacing w:line="360" w:lineRule="auto"/>
        <w:rPr>
          <w:rFonts w:eastAsia="DengXian"/>
          <w:sz w:val="22"/>
          <w:szCs w:val="24"/>
        </w:rPr>
      </w:pPr>
      <w:r w:rsidRPr="001C3806">
        <w:rPr>
          <w:sz w:val="22"/>
          <w:szCs w:val="24"/>
        </w:rPr>
        <w:t>Department of Pharmaceutical Sciences and Interdepartmental Research Center of Pharmacogenetics and Pharmacogenomics (CRIFF), University of Piemonte Orientale, Novara, Italy</w:t>
      </w:r>
    </w:p>
    <w:p w14:paraId="682554D8" w14:textId="77777777" w:rsidR="005C61F2" w:rsidRPr="001C3806" w:rsidRDefault="005C61F2" w:rsidP="005C61F2">
      <w:pPr>
        <w:pStyle w:val="ListParagraph"/>
        <w:numPr>
          <w:ilvl w:val="0"/>
          <w:numId w:val="23"/>
        </w:numPr>
        <w:spacing w:line="360" w:lineRule="auto"/>
        <w:rPr>
          <w:sz w:val="22"/>
          <w:szCs w:val="24"/>
        </w:rPr>
      </w:pPr>
      <w:r w:rsidRPr="001C3806">
        <w:rPr>
          <w:sz w:val="22"/>
          <w:szCs w:val="24"/>
        </w:rPr>
        <w:t>The Cambridge Centre for Sport and Exercise Science, Anglia Ruskin University, Cambridge, CB1 1PT, UK</w:t>
      </w:r>
    </w:p>
    <w:p w14:paraId="7B34E358" w14:textId="77777777" w:rsidR="005C61F2" w:rsidRPr="001C3806" w:rsidRDefault="005C61F2" w:rsidP="005C61F2">
      <w:pPr>
        <w:pStyle w:val="ListParagraph"/>
        <w:numPr>
          <w:ilvl w:val="0"/>
          <w:numId w:val="23"/>
        </w:numPr>
        <w:spacing w:line="360" w:lineRule="auto"/>
        <w:rPr>
          <w:sz w:val="22"/>
          <w:szCs w:val="24"/>
        </w:rPr>
      </w:pPr>
      <w:r w:rsidRPr="001C3806">
        <w:rPr>
          <w:sz w:val="22"/>
          <w:szCs w:val="24"/>
        </w:rPr>
        <w:t>Research and Development Unit, Parc Sanitari Sant Joan de Déu, CIBERSAM, 08830 Barcelona, Spain</w:t>
      </w:r>
    </w:p>
    <w:p w14:paraId="370290FE" w14:textId="77777777" w:rsidR="005C61F2" w:rsidRPr="001C3806" w:rsidRDefault="005C61F2" w:rsidP="005C61F2">
      <w:pPr>
        <w:pStyle w:val="ListParagraph"/>
        <w:numPr>
          <w:ilvl w:val="0"/>
          <w:numId w:val="23"/>
        </w:numPr>
        <w:spacing w:line="360" w:lineRule="auto"/>
        <w:rPr>
          <w:sz w:val="22"/>
          <w:szCs w:val="24"/>
        </w:rPr>
      </w:pPr>
      <w:r w:rsidRPr="001C3806">
        <w:rPr>
          <w:sz w:val="22"/>
          <w:szCs w:val="24"/>
        </w:rPr>
        <w:t>ICREA, Pg. Lluis Companys 23, 08010 Barcelona, Spain</w:t>
      </w:r>
    </w:p>
    <w:p w14:paraId="78813B02" w14:textId="77777777" w:rsidR="005C61F2" w:rsidRPr="001C3806" w:rsidRDefault="005C61F2" w:rsidP="005C61F2">
      <w:pPr>
        <w:pStyle w:val="ListParagraph"/>
        <w:numPr>
          <w:ilvl w:val="0"/>
          <w:numId w:val="23"/>
        </w:numPr>
        <w:spacing w:line="360" w:lineRule="auto"/>
        <w:rPr>
          <w:sz w:val="22"/>
          <w:szCs w:val="24"/>
        </w:rPr>
      </w:pPr>
      <w:r w:rsidRPr="001C3806">
        <w:rPr>
          <w:sz w:val="22"/>
          <w:szCs w:val="24"/>
        </w:rPr>
        <w:t>Faculty of Medicine, University of Versailles Saint-Quentin-en-Yvelines, 78000 Versailles, France</w:t>
      </w:r>
    </w:p>
    <w:p w14:paraId="10C1BAA9" w14:textId="77777777" w:rsidR="005C61F2" w:rsidRPr="001C3806" w:rsidRDefault="005C61F2" w:rsidP="005C61F2">
      <w:pPr>
        <w:pStyle w:val="ListParagraph"/>
        <w:numPr>
          <w:ilvl w:val="0"/>
          <w:numId w:val="23"/>
        </w:numPr>
        <w:spacing w:line="360" w:lineRule="auto"/>
        <w:rPr>
          <w:sz w:val="22"/>
          <w:szCs w:val="24"/>
        </w:rPr>
      </w:pPr>
      <w:r w:rsidRPr="001C3806">
        <w:rPr>
          <w:sz w:val="22"/>
          <w:szCs w:val="24"/>
        </w:rPr>
        <w:t>Department of Medicine, University of Florida College of Medicine, Gainesville, FL 32610, USA</w:t>
      </w:r>
    </w:p>
    <w:p w14:paraId="73228D7A" w14:textId="77777777" w:rsidR="005C61F2" w:rsidRPr="001C3806" w:rsidRDefault="005C61F2" w:rsidP="005C61F2">
      <w:pPr>
        <w:pStyle w:val="ListParagraph"/>
        <w:numPr>
          <w:ilvl w:val="0"/>
          <w:numId w:val="23"/>
        </w:numPr>
        <w:spacing w:line="360" w:lineRule="auto"/>
        <w:rPr>
          <w:sz w:val="22"/>
          <w:szCs w:val="24"/>
        </w:rPr>
      </w:pPr>
      <w:r w:rsidRPr="001C3806">
        <w:rPr>
          <w:sz w:val="22"/>
          <w:szCs w:val="24"/>
        </w:rPr>
        <w:t>Department of Global Health and Population, Harvard T.H. Chan School of Public Health, Boston, MA, USA</w:t>
      </w:r>
    </w:p>
    <w:p w14:paraId="0F9A8858" w14:textId="77777777" w:rsidR="005C61F2" w:rsidRPr="001C3806" w:rsidRDefault="005C61F2" w:rsidP="005C61F2">
      <w:pPr>
        <w:pStyle w:val="ListParagraph"/>
        <w:numPr>
          <w:ilvl w:val="0"/>
          <w:numId w:val="23"/>
        </w:numPr>
        <w:spacing w:line="360" w:lineRule="auto"/>
        <w:rPr>
          <w:sz w:val="22"/>
          <w:szCs w:val="24"/>
        </w:rPr>
      </w:pPr>
      <w:r w:rsidRPr="001C3806">
        <w:rPr>
          <w:sz w:val="22"/>
          <w:szCs w:val="24"/>
        </w:rPr>
        <w:t xml:space="preserve">Department of Pediatrics, CHA Bundang Medical Center, CHA University School of Medicine, Seongnam, </w:t>
      </w:r>
      <w:bookmarkStart w:id="4" w:name="_Hlk56957234"/>
      <w:r w:rsidRPr="001C3806">
        <w:rPr>
          <w:sz w:val="22"/>
          <w:szCs w:val="24"/>
        </w:rPr>
        <w:t>Republic of Korea</w:t>
      </w:r>
      <w:bookmarkEnd w:id="4"/>
    </w:p>
    <w:p w14:paraId="366D57BC" w14:textId="77777777" w:rsidR="005C61F2" w:rsidRPr="001C3806" w:rsidRDefault="005C61F2" w:rsidP="005C61F2">
      <w:pPr>
        <w:pStyle w:val="ListParagraph"/>
        <w:numPr>
          <w:ilvl w:val="0"/>
          <w:numId w:val="23"/>
        </w:numPr>
        <w:spacing w:line="360" w:lineRule="auto"/>
        <w:rPr>
          <w:sz w:val="22"/>
          <w:szCs w:val="24"/>
        </w:rPr>
      </w:pPr>
      <w:r w:rsidRPr="001C3806">
        <w:rPr>
          <w:sz w:val="22"/>
          <w:szCs w:val="24"/>
        </w:rPr>
        <w:lastRenderedPageBreak/>
        <w:t>Department of Pediatrics, Seoul National University Children's Hospital, Seoul National University College of Medicine, Seoul, Republic of Korea</w:t>
      </w:r>
    </w:p>
    <w:p w14:paraId="1BCB90E1" w14:textId="77777777" w:rsidR="005C61F2" w:rsidRPr="001C3806" w:rsidRDefault="005C61F2" w:rsidP="005C61F2">
      <w:pPr>
        <w:pStyle w:val="ListParagraph"/>
        <w:numPr>
          <w:ilvl w:val="0"/>
          <w:numId w:val="23"/>
        </w:numPr>
        <w:spacing w:line="360" w:lineRule="auto"/>
        <w:rPr>
          <w:sz w:val="22"/>
          <w:szCs w:val="24"/>
        </w:rPr>
      </w:pPr>
      <w:r w:rsidRPr="001C3806">
        <w:rPr>
          <w:sz w:val="22"/>
          <w:szCs w:val="24"/>
        </w:rPr>
        <w:t>Department of Data Science, Sejong University College of Software Convergence, Seoul, Republic of Korea</w:t>
      </w:r>
    </w:p>
    <w:p w14:paraId="6B81C973" w14:textId="77777777" w:rsidR="005C61F2" w:rsidRPr="001C3806" w:rsidRDefault="005C61F2" w:rsidP="005C61F2">
      <w:pPr>
        <w:pStyle w:val="ListParagraph"/>
        <w:numPr>
          <w:ilvl w:val="0"/>
          <w:numId w:val="23"/>
        </w:numPr>
        <w:spacing w:line="360" w:lineRule="auto"/>
        <w:rPr>
          <w:sz w:val="22"/>
          <w:szCs w:val="24"/>
        </w:rPr>
      </w:pPr>
      <w:r w:rsidRPr="001C3806">
        <w:rPr>
          <w:sz w:val="22"/>
          <w:szCs w:val="24"/>
        </w:rPr>
        <w:t>Korea University, College of Medicine, Seoul, Republic of Korea</w:t>
      </w:r>
    </w:p>
    <w:p w14:paraId="6D1A2614" w14:textId="77777777" w:rsidR="005C61F2" w:rsidRPr="001C3806" w:rsidRDefault="005C61F2" w:rsidP="005C61F2">
      <w:pPr>
        <w:pStyle w:val="ListParagraph"/>
        <w:numPr>
          <w:ilvl w:val="0"/>
          <w:numId w:val="23"/>
        </w:numPr>
        <w:spacing w:line="360" w:lineRule="auto"/>
        <w:rPr>
          <w:sz w:val="22"/>
          <w:szCs w:val="24"/>
        </w:rPr>
      </w:pPr>
      <w:r w:rsidRPr="001C3806">
        <w:rPr>
          <w:sz w:val="22"/>
          <w:szCs w:val="24"/>
        </w:rPr>
        <w:t>Cheongsan Public Health Center, Ministry of Health and Welfare, Wando, Republic of Korea</w:t>
      </w:r>
    </w:p>
    <w:p w14:paraId="1F33BD49" w14:textId="77777777" w:rsidR="005C61F2" w:rsidRPr="001C3806" w:rsidRDefault="005C61F2" w:rsidP="005C61F2">
      <w:pPr>
        <w:pStyle w:val="ListParagraph"/>
        <w:numPr>
          <w:ilvl w:val="0"/>
          <w:numId w:val="23"/>
        </w:numPr>
        <w:spacing w:line="360" w:lineRule="auto"/>
        <w:rPr>
          <w:sz w:val="22"/>
          <w:szCs w:val="24"/>
        </w:rPr>
      </w:pPr>
      <w:r w:rsidRPr="001C3806">
        <w:rPr>
          <w:sz w:val="22"/>
          <w:szCs w:val="24"/>
        </w:rPr>
        <w:t>Division of Pediatric Gastroenterology, Hepatology, and Nutrition, Department of Pediatrics, Johns Hopkins University School of Medicine, Baltimore, USA.</w:t>
      </w:r>
    </w:p>
    <w:p w14:paraId="1EF16247" w14:textId="77777777" w:rsidR="005C61F2" w:rsidRPr="001C3806" w:rsidRDefault="005C61F2" w:rsidP="005C61F2">
      <w:pPr>
        <w:pStyle w:val="ListParagraph"/>
        <w:numPr>
          <w:ilvl w:val="0"/>
          <w:numId w:val="23"/>
        </w:numPr>
        <w:spacing w:line="360" w:lineRule="auto"/>
        <w:rPr>
          <w:sz w:val="22"/>
          <w:szCs w:val="24"/>
        </w:rPr>
      </w:pPr>
      <w:r w:rsidRPr="001C3806">
        <w:rPr>
          <w:sz w:val="22"/>
          <w:szCs w:val="24"/>
        </w:rPr>
        <w:t>Department of Internal Medicine IV (Nephrology and Hypertension), Medical University Innsbruck, Innsbruck, Austria</w:t>
      </w:r>
    </w:p>
    <w:p w14:paraId="2D53FF95" w14:textId="77777777" w:rsidR="005C61F2" w:rsidRPr="001C3806" w:rsidRDefault="005C61F2" w:rsidP="005C61F2">
      <w:pPr>
        <w:spacing w:line="360" w:lineRule="auto"/>
        <w:contextualSpacing/>
        <w:rPr>
          <w:rFonts w:eastAsia="DengXian"/>
          <w:sz w:val="22"/>
        </w:rPr>
      </w:pPr>
    </w:p>
    <w:p w14:paraId="0A80BD0A" w14:textId="77777777" w:rsidR="005C61F2" w:rsidRPr="00A347F8" w:rsidRDefault="005C61F2" w:rsidP="005C61F2">
      <w:pPr>
        <w:spacing w:line="360" w:lineRule="auto"/>
        <w:contextualSpacing/>
        <w:rPr>
          <w:sz w:val="22"/>
          <w:lang w:eastAsia="en-US" w:bidi="en-US"/>
        </w:rPr>
      </w:pPr>
      <w:r w:rsidRPr="00A347F8">
        <w:rPr>
          <w:sz w:val="22"/>
          <w:lang w:eastAsia="en-US" w:bidi="en-US"/>
        </w:rPr>
        <w:t>†These authors contributed equally to this work</w:t>
      </w:r>
    </w:p>
    <w:p w14:paraId="07E0EE2C" w14:textId="77777777" w:rsidR="005C61F2" w:rsidRPr="00A347F8" w:rsidRDefault="005C61F2" w:rsidP="005C61F2">
      <w:pPr>
        <w:spacing w:after="100" w:line="480" w:lineRule="auto"/>
        <w:rPr>
          <w:sz w:val="22"/>
        </w:rPr>
      </w:pPr>
      <w:r w:rsidRPr="00A347F8">
        <w:rPr>
          <w:sz w:val="22"/>
        </w:rPr>
        <w:t>*Corresponding Author: Jae Il Shin, M.D., Ph.D.</w:t>
      </w:r>
    </w:p>
    <w:p w14:paraId="5B1DB0AD" w14:textId="77777777" w:rsidR="005C61F2" w:rsidRPr="00A347F8" w:rsidRDefault="005C61F2" w:rsidP="005C61F2">
      <w:pPr>
        <w:spacing w:line="480" w:lineRule="auto"/>
        <w:rPr>
          <w:sz w:val="22"/>
        </w:rPr>
      </w:pPr>
      <w:r w:rsidRPr="00A347F8">
        <w:rPr>
          <w:sz w:val="22"/>
        </w:rPr>
        <w:t>Address: 50 Yonsei-ro, Seodaemun-gu, C.P.O. Box 8044, Department of Pediatrics, Yonsei University College of Medicine, Seoul 03722, Republic of Korea</w:t>
      </w:r>
    </w:p>
    <w:p w14:paraId="1D0FBA83" w14:textId="77777777" w:rsidR="005C61F2" w:rsidRPr="00A347F8" w:rsidRDefault="005C61F2" w:rsidP="005C61F2">
      <w:pPr>
        <w:spacing w:line="480" w:lineRule="auto"/>
        <w:rPr>
          <w:sz w:val="22"/>
        </w:rPr>
      </w:pPr>
      <w:r w:rsidRPr="00A347F8">
        <w:rPr>
          <w:sz w:val="22"/>
        </w:rPr>
        <w:t>Tel: +82-2-2228-2050; Fax: +82-2-393-9118; E-mail: shinji@yuhs.ac</w:t>
      </w:r>
    </w:p>
    <w:p w14:paraId="7F72E903" w14:textId="77777777" w:rsidR="005C61F2" w:rsidRPr="00A347F8" w:rsidRDefault="005C61F2" w:rsidP="005C61F2">
      <w:pPr>
        <w:spacing w:line="480" w:lineRule="auto"/>
        <w:rPr>
          <w:rFonts w:eastAsiaTheme="majorEastAsia"/>
          <w:b/>
          <w:sz w:val="22"/>
          <w:lang w:eastAsia="ko-KR"/>
        </w:rPr>
      </w:pPr>
      <w:r w:rsidRPr="00A347F8">
        <w:rPr>
          <w:rFonts w:hint="eastAsia"/>
          <w:b/>
          <w:sz w:val="22"/>
        </w:rPr>
        <w:t>*</w:t>
      </w:r>
      <w:r w:rsidRPr="00A347F8">
        <w:rPr>
          <w:b/>
          <w:sz w:val="22"/>
        </w:rPr>
        <w:t>The authors disclose no financial or non-financial conflicts of interest.</w:t>
      </w:r>
    </w:p>
    <w:p w14:paraId="329AC50D" w14:textId="6ED8D65A" w:rsidR="005C61F2" w:rsidRDefault="005C61F2">
      <w:pPr>
        <w:spacing w:after="160" w:line="259" w:lineRule="auto"/>
        <w:jc w:val="both"/>
        <w:rPr>
          <w:szCs w:val="24"/>
        </w:rPr>
      </w:pPr>
      <w:r>
        <w:rPr>
          <w:szCs w:val="24"/>
        </w:rPr>
        <w:br w:type="page"/>
      </w:r>
    </w:p>
    <w:p w14:paraId="76865817" w14:textId="77777777" w:rsidR="00CD7E2E" w:rsidRPr="00801161" w:rsidRDefault="007C280A" w:rsidP="00FF2683">
      <w:pPr>
        <w:spacing w:after="0" w:line="360" w:lineRule="auto"/>
        <w:jc w:val="both"/>
        <w:rPr>
          <w:rFonts w:eastAsiaTheme="majorEastAsia"/>
          <w:b/>
          <w:szCs w:val="24"/>
          <w:lang w:eastAsia="ko-KR"/>
        </w:rPr>
      </w:pPr>
      <w:r w:rsidRPr="00801161">
        <w:rPr>
          <w:rFonts w:eastAsiaTheme="majorEastAsia"/>
          <w:b/>
          <w:szCs w:val="24"/>
          <w:lang w:eastAsia="ko-KR"/>
        </w:rPr>
        <w:lastRenderedPageBreak/>
        <w:t>Abstract</w:t>
      </w:r>
    </w:p>
    <w:p w14:paraId="61B8C739" w14:textId="5335FA81" w:rsidR="00B028BF" w:rsidRPr="00801161" w:rsidRDefault="00B028BF" w:rsidP="00B028BF">
      <w:pPr>
        <w:spacing w:after="0" w:line="360" w:lineRule="auto"/>
        <w:jc w:val="both"/>
        <w:rPr>
          <w:rFonts w:eastAsia="Dotum"/>
          <w:color w:val="000000"/>
          <w:szCs w:val="18"/>
        </w:rPr>
      </w:pPr>
      <w:r w:rsidRPr="00801161">
        <w:rPr>
          <w:rFonts w:eastAsia="Dotum"/>
          <w:color w:val="000000"/>
          <w:szCs w:val="18"/>
        </w:rPr>
        <w:t>Inflammatory bowel disease (IBD) is a chronic inflammatory disease of the gastrointestinal tract that mainly affects young people. IBD is associated with various gastrointestinal symptoms, and thus, affects the quality of life of patients. Currently, the pathogenesis of IBD is poorly understood. Although intestinal bacteria and host immune response are thought to be major factors in its pathogenesis, a sufficient explanation of their role in its pathophysiologic mechanism has not been presented. MicroRNAs (miRNAs), which are small RNA molecules that regulate gene expression, have gained attention as they are known to participate in the molecular interactions of IBD. Recent studies have confirmed the important role of miRNAs in targeting certain molecules in signaling pathways that regulate the homeostasis of the intestinal barrier, inflammatory reactions, and autophagy of the intestinal epithelium</w:t>
      </w:r>
      <w:r w:rsidRPr="00F706D1">
        <w:rPr>
          <w:rFonts w:eastAsia="Dotum"/>
          <w:color w:val="FF0000"/>
          <w:szCs w:val="18"/>
        </w:rPr>
        <w:t xml:space="preserve">. </w:t>
      </w:r>
      <w:bookmarkStart w:id="5" w:name="_Hlk70269380"/>
      <w:r w:rsidRPr="00F706D1">
        <w:rPr>
          <w:rFonts w:eastAsia="Dotum"/>
          <w:color w:val="FF0000"/>
          <w:szCs w:val="18"/>
        </w:rPr>
        <w:t xml:space="preserve">Several studies have </w:t>
      </w:r>
      <w:r w:rsidR="005E6071" w:rsidRPr="00F706D1">
        <w:rPr>
          <w:rFonts w:eastAsia="Dotum"/>
          <w:color w:val="FF0000"/>
          <w:szCs w:val="18"/>
        </w:rPr>
        <w:t>identified</w:t>
      </w:r>
      <w:r w:rsidRPr="00F706D1">
        <w:rPr>
          <w:rFonts w:eastAsia="Dotum"/>
          <w:color w:val="FF0000"/>
          <w:szCs w:val="18"/>
        </w:rPr>
        <w:t xml:space="preserve"> the specific miRNAs </w:t>
      </w:r>
      <w:r w:rsidR="00B3004E">
        <w:rPr>
          <w:rFonts w:eastAsia="Dotum"/>
          <w:color w:val="FF0000"/>
          <w:szCs w:val="18"/>
        </w:rPr>
        <w:t>associated with</w:t>
      </w:r>
      <w:r w:rsidR="00475BEE">
        <w:rPr>
          <w:rFonts w:eastAsia="Dotum"/>
          <w:color w:val="FF0000"/>
          <w:szCs w:val="18"/>
        </w:rPr>
        <w:t xml:space="preserve"> IBD </w:t>
      </w:r>
      <w:r w:rsidRPr="00F706D1">
        <w:rPr>
          <w:rFonts w:eastAsia="Dotum"/>
          <w:color w:val="FF0000"/>
          <w:szCs w:val="18"/>
        </w:rPr>
        <w:t xml:space="preserve">from colon tissues or serum samples of </w:t>
      </w:r>
      <w:r w:rsidR="004F6306">
        <w:rPr>
          <w:rFonts w:eastAsia="Dotum"/>
          <w:color w:val="FF0000"/>
          <w:szCs w:val="18"/>
        </w:rPr>
        <w:t xml:space="preserve">IBD </w:t>
      </w:r>
      <w:r w:rsidRPr="00F706D1">
        <w:rPr>
          <w:rFonts w:eastAsia="Dotum"/>
          <w:color w:val="FF0000"/>
          <w:szCs w:val="18"/>
        </w:rPr>
        <w:t xml:space="preserve">patients and </w:t>
      </w:r>
      <w:r w:rsidR="006153CC" w:rsidRPr="00F706D1">
        <w:rPr>
          <w:rFonts w:eastAsia="Dotum"/>
          <w:color w:val="FF0000"/>
          <w:szCs w:val="18"/>
        </w:rPr>
        <w:t xml:space="preserve">have attempted </w:t>
      </w:r>
      <w:r w:rsidR="0014685F" w:rsidRPr="00F706D1">
        <w:rPr>
          <w:rFonts w:eastAsia="Dotum"/>
          <w:color w:val="FF0000"/>
          <w:szCs w:val="18"/>
        </w:rPr>
        <w:t xml:space="preserve">to </w:t>
      </w:r>
      <w:r w:rsidRPr="00F706D1">
        <w:rPr>
          <w:rFonts w:eastAsia="Dotum"/>
          <w:color w:val="FF0000"/>
          <w:szCs w:val="18"/>
        </w:rPr>
        <w:t xml:space="preserve">use them as useful diagnostic biomarkers. Furthermore, </w:t>
      </w:r>
      <w:r w:rsidRPr="00F706D1">
        <w:rPr>
          <w:color w:val="FF0000"/>
          <w:szCs w:val="24"/>
          <w:lang w:eastAsia="ko-KR"/>
        </w:rPr>
        <w:t xml:space="preserve">some </w:t>
      </w:r>
      <w:r w:rsidR="006153CC" w:rsidRPr="00F706D1">
        <w:rPr>
          <w:color w:val="FF0000"/>
          <w:szCs w:val="24"/>
          <w:lang w:eastAsia="ko-KR"/>
        </w:rPr>
        <w:t>studies</w:t>
      </w:r>
      <w:r w:rsidRPr="00F706D1">
        <w:rPr>
          <w:color w:val="FF0000"/>
          <w:szCs w:val="24"/>
          <w:lang w:eastAsia="ko-KR"/>
        </w:rPr>
        <w:t xml:space="preserve"> have attempted to treat IBD through intracolonic administration of </w:t>
      </w:r>
      <w:r w:rsidR="00CB43FF" w:rsidRPr="00F706D1">
        <w:rPr>
          <w:color w:val="FF0000"/>
          <w:szCs w:val="24"/>
          <w:lang w:eastAsia="ko-KR"/>
        </w:rPr>
        <w:t xml:space="preserve">specific </w:t>
      </w:r>
      <w:r w:rsidRPr="00F706D1">
        <w:rPr>
          <w:color w:val="FF0000"/>
          <w:szCs w:val="24"/>
          <w:lang w:eastAsia="ko-KR"/>
        </w:rPr>
        <w:t>miRNAs in the form of nanoparticle</w:t>
      </w:r>
      <w:r w:rsidRPr="00F706D1">
        <w:rPr>
          <w:color w:val="FF0000"/>
          <w:szCs w:val="24"/>
        </w:rPr>
        <w:t>.</w:t>
      </w:r>
      <w:r w:rsidRPr="00F706D1">
        <w:rPr>
          <w:rFonts w:eastAsia="Dotum"/>
          <w:color w:val="FF0000"/>
          <w:szCs w:val="18"/>
        </w:rPr>
        <w:t xml:space="preserve"> This review summarizes the latest findings on the role of miRNAs in the pathogenesis, diagnosis, and treatment of IBD.</w:t>
      </w:r>
      <w:bookmarkEnd w:id="5"/>
    </w:p>
    <w:p w14:paraId="44C320FE" w14:textId="77777777" w:rsidR="00CD7E2E" w:rsidRPr="00B028BF" w:rsidRDefault="00CD7E2E" w:rsidP="00FF2683">
      <w:pPr>
        <w:spacing w:after="0" w:line="360" w:lineRule="auto"/>
        <w:jc w:val="both"/>
        <w:rPr>
          <w:rFonts w:eastAsia="DengXian"/>
          <w:color w:val="000000"/>
          <w:szCs w:val="18"/>
        </w:rPr>
      </w:pPr>
    </w:p>
    <w:p w14:paraId="0CD5907C" w14:textId="77777777" w:rsidR="00CD7E2E" w:rsidRPr="00801161" w:rsidRDefault="007C280A" w:rsidP="00FF2683">
      <w:pPr>
        <w:spacing w:after="0" w:line="360" w:lineRule="auto"/>
        <w:jc w:val="both"/>
        <w:rPr>
          <w:b/>
          <w:bCs/>
          <w:color w:val="000000"/>
          <w:szCs w:val="18"/>
          <w:lang w:eastAsia="ko-KR"/>
        </w:rPr>
      </w:pPr>
      <w:r w:rsidRPr="00801161">
        <w:rPr>
          <w:b/>
          <w:bCs/>
          <w:color w:val="000000"/>
          <w:szCs w:val="18"/>
          <w:lang w:eastAsia="ko-KR"/>
        </w:rPr>
        <w:t>Keywords</w:t>
      </w:r>
    </w:p>
    <w:p w14:paraId="7814A136" w14:textId="1E8C4655" w:rsidR="004A11BB" w:rsidRDefault="007C280A" w:rsidP="00FF2683">
      <w:pPr>
        <w:spacing w:after="0" w:line="360" w:lineRule="auto"/>
        <w:jc w:val="both"/>
        <w:rPr>
          <w:szCs w:val="24"/>
          <w:lang w:eastAsia="ko-KR"/>
        </w:rPr>
      </w:pPr>
      <w:r w:rsidRPr="00801161">
        <w:rPr>
          <w:szCs w:val="24"/>
          <w:lang w:eastAsia="ko-KR"/>
        </w:rPr>
        <w:t>inflammatory bowel disease</w:t>
      </w:r>
      <w:r w:rsidR="003C6E59" w:rsidRPr="00801161">
        <w:rPr>
          <w:szCs w:val="24"/>
          <w:lang w:eastAsia="ko-KR"/>
        </w:rPr>
        <w:t>s</w:t>
      </w:r>
      <w:r w:rsidRPr="00801161">
        <w:rPr>
          <w:szCs w:val="24"/>
          <w:lang w:eastAsia="ko-KR"/>
        </w:rPr>
        <w:t xml:space="preserve">; </w:t>
      </w:r>
      <w:r w:rsidR="00A0112D">
        <w:rPr>
          <w:szCs w:val="24"/>
          <w:lang w:eastAsia="ko-KR"/>
        </w:rPr>
        <w:t>c</w:t>
      </w:r>
      <w:r w:rsidR="004B024C" w:rsidRPr="00801161">
        <w:rPr>
          <w:szCs w:val="24"/>
          <w:lang w:eastAsia="ko-KR"/>
        </w:rPr>
        <w:t>rohn</w:t>
      </w:r>
      <w:r w:rsidR="00041486" w:rsidRPr="00801161">
        <w:rPr>
          <w:szCs w:val="24"/>
          <w:lang w:eastAsia="ko-KR"/>
        </w:rPr>
        <w:t>’s</w:t>
      </w:r>
      <w:r w:rsidR="004B024C" w:rsidRPr="00801161">
        <w:rPr>
          <w:szCs w:val="24"/>
          <w:lang w:eastAsia="ko-KR"/>
        </w:rPr>
        <w:t xml:space="preserve"> disease; ulcerative colitis; </w:t>
      </w:r>
      <w:r w:rsidRPr="00801161">
        <w:rPr>
          <w:szCs w:val="24"/>
          <w:lang w:eastAsia="ko-KR"/>
        </w:rPr>
        <w:t>microRNA</w:t>
      </w:r>
      <w:r w:rsidR="004B024C" w:rsidRPr="00801161">
        <w:rPr>
          <w:szCs w:val="24"/>
          <w:lang w:eastAsia="ko-KR"/>
        </w:rPr>
        <w:t>s</w:t>
      </w:r>
    </w:p>
    <w:p w14:paraId="0672F762" w14:textId="77777777" w:rsidR="004A11BB" w:rsidRDefault="004A11BB">
      <w:pPr>
        <w:spacing w:after="160" w:line="259" w:lineRule="auto"/>
        <w:jc w:val="both"/>
        <w:rPr>
          <w:szCs w:val="24"/>
          <w:lang w:eastAsia="ko-KR"/>
        </w:rPr>
      </w:pPr>
      <w:r>
        <w:rPr>
          <w:szCs w:val="24"/>
          <w:lang w:eastAsia="ko-KR"/>
        </w:rPr>
        <w:br w:type="page"/>
      </w:r>
    </w:p>
    <w:p w14:paraId="15B827F8" w14:textId="48D0B7A9" w:rsidR="00F706D1" w:rsidRPr="003C3CBB" w:rsidRDefault="00F706D1">
      <w:pPr>
        <w:spacing w:after="160" w:line="259" w:lineRule="auto"/>
        <w:jc w:val="both"/>
        <w:rPr>
          <w:b/>
          <w:color w:val="FF0000"/>
          <w:sz w:val="28"/>
          <w:szCs w:val="28"/>
        </w:rPr>
      </w:pPr>
      <w:r w:rsidRPr="003C3CBB">
        <w:rPr>
          <w:b/>
          <w:color w:val="FF0000"/>
          <w:sz w:val="28"/>
          <w:szCs w:val="28"/>
        </w:rPr>
        <w:lastRenderedPageBreak/>
        <w:t>Graphical Abstract</w:t>
      </w:r>
    </w:p>
    <w:p w14:paraId="0A229ECC" w14:textId="77777777" w:rsidR="00F706D1" w:rsidRDefault="00F706D1">
      <w:pPr>
        <w:spacing w:after="160" w:line="259" w:lineRule="auto"/>
        <w:jc w:val="both"/>
        <w:rPr>
          <w:b/>
          <w:sz w:val="28"/>
          <w:szCs w:val="28"/>
        </w:rPr>
      </w:pPr>
    </w:p>
    <w:p w14:paraId="40585633" w14:textId="5FD2D995" w:rsidR="00F706D1" w:rsidRDefault="00F706D1">
      <w:pPr>
        <w:spacing w:after="160" w:line="259" w:lineRule="auto"/>
        <w:jc w:val="both"/>
        <w:rPr>
          <w:b/>
          <w:sz w:val="28"/>
          <w:szCs w:val="28"/>
        </w:rPr>
      </w:pPr>
      <w:r>
        <w:rPr>
          <w:b/>
          <w:noProof/>
          <w:sz w:val="28"/>
          <w:szCs w:val="28"/>
          <w:lang w:val="en-GB" w:eastAsia="en-GB"/>
        </w:rPr>
        <w:drawing>
          <wp:inline distT="0" distB="0" distL="0" distR="0" wp14:anchorId="36F2109B" wp14:editId="4B5AD1C2">
            <wp:extent cx="5641149" cy="1979874"/>
            <wp:effectExtent l="19050" t="19050" r="17145" b="2095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660424" cy="1986639"/>
                    </a:xfrm>
                    <a:prstGeom prst="rect">
                      <a:avLst/>
                    </a:prstGeom>
                    <a:ln>
                      <a:solidFill>
                        <a:schemeClr val="accent1"/>
                      </a:solidFill>
                    </a:ln>
                  </pic:spPr>
                </pic:pic>
              </a:graphicData>
            </a:graphic>
          </wp:inline>
        </w:drawing>
      </w:r>
    </w:p>
    <w:p w14:paraId="4009F7F4" w14:textId="77777777" w:rsidR="00F706D1" w:rsidRDefault="00F706D1">
      <w:pPr>
        <w:spacing w:after="160" w:line="259" w:lineRule="auto"/>
        <w:jc w:val="both"/>
        <w:rPr>
          <w:b/>
          <w:sz w:val="28"/>
          <w:szCs w:val="28"/>
        </w:rPr>
      </w:pPr>
      <w:r>
        <w:rPr>
          <w:b/>
          <w:sz w:val="28"/>
          <w:szCs w:val="28"/>
        </w:rPr>
        <w:br w:type="page"/>
      </w:r>
    </w:p>
    <w:p w14:paraId="347D378D" w14:textId="57EF630F" w:rsidR="00CD7E2E" w:rsidRPr="00801161" w:rsidRDefault="007C280A" w:rsidP="00FF2683">
      <w:pPr>
        <w:spacing w:before="120" w:after="120" w:line="480" w:lineRule="auto"/>
        <w:jc w:val="both"/>
        <w:rPr>
          <w:b/>
          <w:sz w:val="28"/>
          <w:szCs w:val="28"/>
        </w:rPr>
      </w:pPr>
      <w:r w:rsidRPr="00801161">
        <w:rPr>
          <w:b/>
          <w:sz w:val="28"/>
          <w:szCs w:val="28"/>
        </w:rPr>
        <w:lastRenderedPageBreak/>
        <w:t>Introduction</w:t>
      </w:r>
    </w:p>
    <w:p w14:paraId="42C8FD7B" w14:textId="13C12E35" w:rsidR="00CD7E2E" w:rsidRPr="00801161" w:rsidRDefault="007C280A" w:rsidP="00FF2683">
      <w:pPr>
        <w:spacing w:before="120" w:after="120" w:line="480" w:lineRule="auto"/>
        <w:ind w:firstLine="800"/>
        <w:jc w:val="both"/>
        <w:rPr>
          <w:szCs w:val="24"/>
        </w:rPr>
      </w:pPr>
      <w:r w:rsidRPr="00801161">
        <w:rPr>
          <w:szCs w:val="24"/>
        </w:rPr>
        <w:t xml:space="preserve">Inflammatory bowel disease (IBD) is a complex and multifactorial condition characterized by chronic gastrointestinal tract inflammation. </w:t>
      </w:r>
      <w:r w:rsidR="006B6A90" w:rsidRPr="00801161">
        <w:rPr>
          <w:szCs w:val="24"/>
        </w:rPr>
        <w:t xml:space="preserve">There are </w:t>
      </w:r>
      <w:r w:rsidRPr="00801161">
        <w:rPr>
          <w:szCs w:val="24"/>
        </w:rPr>
        <w:t>two main forms</w:t>
      </w:r>
      <w:r w:rsidR="006B6A90" w:rsidRPr="00801161">
        <w:rPr>
          <w:szCs w:val="24"/>
        </w:rPr>
        <w:t xml:space="preserve"> of IBD</w:t>
      </w:r>
      <w:r w:rsidRPr="00801161">
        <w:rPr>
          <w:szCs w:val="24"/>
        </w:rPr>
        <w:t xml:space="preserve">: Crohn's disease (CD) and ulcerative colitis (UC). CD </w:t>
      </w:r>
      <w:r w:rsidR="00855748" w:rsidRPr="00801161">
        <w:rPr>
          <w:szCs w:val="24"/>
        </w:rPr>
        <w:t xml:space="preserve">is manifested as </w:t>
      </w:r>
      <w:r w:rsidRPr="00801161">
        <w:rPr>
          <w:szCs w:val="24"/>
        </w:rPr>
        <w:t xml:space="preserve">patchy transmural inflammatory patterns </w:t>
      </w:r>
      <w:r w:rsidR="00855748" w:rsidRPr="00801161">
        <w:rPr>
          <w:szCs w:val="24"/>
        </w:rPr>
        <w:t xml:space="preserve">that </w:t>
      </w:r>
      <w:r w:rsidRPr="00801161">
        <w:rPr>
          <w:szCs w:val="24"/>
        </w:rPr>
        <w:t xml:space="preserve">affect all layers of the intestinal wall in any portion of the gastrointestinal tract, whereas UC is limited to the innermost layers of </w:t>
      </w:r>
      <w:r w:rsidRPr="00801161">
        <w:rPr>
          <w:rFonts w:eastAsia="Malgun Gothic"/>
          <w:szCs w:val="24"/>
        </w:rPr>
        <w:t xml:space="preserve">the mucosa in the large intestine. CD and UC mainly affect </w:t>
      </w:r>
      <w:r w:rsidRPr="00801161">
        <w:rPr>
          <w:szCs w:val="24"/>
        </w:rPr>
        <w:t xml:space="preserve">young </w:t>
      </w:r>
      <w:r w:rsidR="00855748" w:rsidRPr="00801161">
        <w:rPr>
          <w:szCs w:val="24"/>
        </w:rPr>
        <w:t>people</w:t>
      </w:r>
      <w:r w:rsidRPr="00801161">
        <w:rPr>
          <w:szCs w:val="24"/>
        </w:rPr>
        <w:t>, causing bloody diarrhea, abdominal pain, malabsorption, fatigue, and impaired quality of life</w:t>
      </w:r>
      <w:r w:rsidR="00496887" w:rsidRPr="00801161">
        <w:rPr>
          <w:szCs w:val="24"/>
        </w:rPr>
        <w:t xml:space="preserve"> [1]</w:t>
      </w:r>
      <w:r w:rsidRPr="00801161">
        <w:rPr>
          <w:szCs w:val="24"/>
        </w:rPr>
        <w:t>. Long-lasting inflammation also increases the risk of colorectal cancer in p</w:t>
      </w:r>
      <w:r w:rsidR="00FF2683" w:rsidRPr="00801161">
        <w:rPr>
          <w:szCs w:val="24"/>
        </w:rPr>
        <w:t xml:space="preserve">atients with IBD, </w:t>
      </w:r>
      <w:r w:rsidR="00855748" w:rsidRPr="00801161">
        <w:rPr>
          <w:szCs w:val="24"/>
        </w:rPr>
        <w:t>which has</w:t>
      </w:r>
      <w:r w:rsidR="00FF2683" w:rsidRPr="00801161">
        <w:rPr>
          <w:szCs w:val="24"/>
        </w:rPr>
        <w:t xml:space="preserve"> </w:t>
      </w:r>
      <w:r w:rsidRPr="00801161">
        <w:rPr>
          <w:rFonts w:eastAsia="Malgun Gothic"/>
          <w:szCs w:val="24"/>
        </w:rPr>
        <w:t xml:space="preserve">a </w:t>
      </w:r>
      <w:r w:rsidR="006B6A90" w:rsidRPr="00801161">
        <w:rPr>
          <w:rFonts w:eastAsia="Malgun Gothic"/>
          <w:szCs w:val="24"/>
        </w:rPr>
        <w:t xml:space="preserve">mortality rate of </w:t>
      </w:r>
      <w:r w:rsidRPr="00801161">
        <w:rPr>
          <w:rFonts w:eastAsia="Malgun Gothic"/>
          <w:szCs w:val="24"/>
        </w:rPr>
        <w:t>10-</w:t>
      </w:r>
      <w:r w:rsidRPr="00801161">
        <w:rPr>
          <w:szCs w:val="24"/>
        </w:rPr>
        <w:t>15</w:t>
      </w:r>
      <w:r w:rsidR="00041486" w:rsidRPr="00801161">
        <w:rPr>
          <w:szCs w:val="24"/>
        </w:rPr>
        <w:t>%</w:t>
      </w:r>
      <w:r w:rsidRPr="00801161">
        <w:rPr>
          <w:szCs w:val="24"/>
        </w:rPr>
        <w:t xml:space="preserve"> </w:t>
      </w:r>
      <w:r w:rsidR="00D02B4E" w:rsidRPr="00801161">
        <w:rPr>
          <w:szCs w:val="24"/>
        </w:rPr>
        <w:t>[2]</w:t>
      </w:r>
      <w:r w:rsidRPr="00801161">
        <w:rPr>
          <w:szCs w:val="24"/>
        </w:rPr>
        <w:t>.</w:t>
      </w:r>
    </w:p>
    <w:p w14:paraId="33B128AF" w14:textId="73B12E70" w:rsidR="00CD7E2E" w:rsidRPr="00801161" w:rsidRDefault="007C280A" w:rsidP="00FF2683">
      <w:pPr>
        <w:spacing w:before="120" w:after="120" w:line="480" w:lineRule="auto"/>
        <w:ind w:firstLine="800"/>
        <w:jc w:val="both"/>
        <w:rPr>
          <w:szCs w:val="24"/>
        </w:rPr>
      </w:pPr>
      <w:r w:rsidRPr="00801161">
        <w:rPr>
          <w:szCs w:val="24"/>
        </w:rPr>
        <w:t xml:space="preserve">Rapid modernization and urbanization seem to be related to </w:t>
      </w:r>
      <w:r w:rsidRPr="00801161">
        <w:rPr>
          <w:rFonts w:eastAsia="Malgun Gothic"/>
          <w:szCs w:val="24"/>
        </w:rPr>
        <w:t xml:space="preserve">the increasing incidence of IBD, </w:t>
      </w:r>
      <w:r w:rsidR="00855748" w:rsidRPr="00801161">
        <w:rPr>
          <w:rFonts w:eastAsia="Malgun Gothic"/>
          <w:szCs w:val="24"/>
        </w:rPr>
        <w:t xml:space="preserve">which affects approximately </w:t>
      </w:r>
      <w:r w:rsidRPr="00801161">
        <w:rPr>
          <w:rFonts w:eastAsia="Malgun Gothic"/>
          <w:szCs w:val="24"/>
        </w:rPr>
        <w:t>0.5</w:t>
      </w:r>
      <w:r w:rsidR="00B175D3" w:rsidRPr="00801161">
        <w:rPr>
          <w:rFonts w:eastAsia="Malgun Gothic"/>
          <w:szCs w:val="24"/>
        </w:rPr>
        <w:t>%</w:t>
      </w:r>
      <w:r w:rsidRPr="00801161">
        <w:rPr>
          <w:rFonts w:eastAsia="Malgun Gothic"/>
          <w:szCs w:val="24"/>
        </w:rPr>
        <w:t xml:space="preserve"> of the general population in developed nations</w:t>
      </w:r>
      <w:r w:rsidR="006F10CD" w:rsidRPr="00801161">
        <w:rPr>
          <w:szCs w:val="24"/>
        </w:rPr>
        <w:t xml:space="preserve"> [3, 4]</w:t>
      </w:r>
      <w:r w:rsidRPr="00801161">
        <w:rPr>
          <w:szCs w:val="24"/>
        </w:rPr>
        <w:t xml:space="preserve">; however, the exact pathogenesis of IBD </w:t>
      </w:r>
      <w:r w:rsidR="00855748" w:rsidRPr="00801161">
        <w:rPr>
          <w:szCs w:val="24"/>
        </w:rPr>
        <w:t>remains</w:t>
      </w:r>
      <w:r w:rsidRPr="00801161">
        <w:rPr>
          <w:szCs w:val="24"/>
        </w:rPr>
        <w:t xml:space="preserve"> poorly understood. </w:t>
      </w:r>
      <w:r w:rsidR="006B6A90" w:rsidRPr="00801161">
        <w:rPr>
          <w:szCs w:val="24"/>
        </w:rPr>
        <w:t xml:space="preserve">Based on speculations, </w:t>
      </w:r>
      <w:r w:rsidR="00B175D3" w:rsidRPr="00801161">
        <w:rPr>
          <w:szCs w:val="24"/>
        </w:rPr>
        <w:t xml:space="preserve">IBD </w:t>
      </w:r>
      <w:r w:rsidRPr="00801161">
        <w:rPr>
          <w:szCs w:val="24"/>
        </w:rPr>
        <w:t xml:space="preserve">is presumed to be the result of complex interactions </w:t>
      </w:r>
      <w:r w:rsidR="00855748" w:rsidRPr="00801161">
        <w:rPr>
          <w:szCs w:val="24"/>
        </w:rPr>
        <w:t xml:space="preserve">among </w:t>
      </w:r>
      <w:r w:rsidRPr="00801161">
        <w:rPr>
          <w:szCs w:val="24"/>
        </w:rPr>
        <w:t>genetic, microbial, and environmental factors</w:t>
      </w:r>
      <w:r w:rsidR="0025008D" w:rsidRPr="00801161">
        <w:rPr>
          <w:szCs w:val="24"/>
        </w:rPr>
        <w:t xml:space="preserve"> </w:t>
      </w:r>
      <w:r w:rsidRPr="00FD697C">
        <w:rPr>
          <w:szCs w:val="24"/>
        </w:rPr>
        <w:t>[</w:t>
      </w:r>
      <w:r w:rsidR="00496887" w:rsidRPr="00FD697C">
        <w:rPr>
          <w:szCs w:val="24"/>
        </w:rPr>
        <w:t>1</w:t>
      </w:r>
      <w:r w:rsidRPr="00FD697C">
        <w:rPr>
          <w:szCs w:val="24"/>
        </w:rPr>
        <w:t>]</w:t>
      </w:r>
      <w:r w:rsidRPr="00801161">
        <w:rPr>
          <w:szCs w:val="24"/>
        </w:rPr>
        <w:t>. Genome-wide association studies (GWAS</w:t>
      </w:r>
      <w:r w:rsidR="00042348" w:rsidRPr="00801161">
        <w:rPr>
          <w:szCs w:val="24"/>
        </w:rPr>
        <w:t>s</w:t>
      </w:r>
      <w:r w:rsidRPr="00801161">
        <w:rPr>
          <w:szCs w:val="24"/>
        </w:rPr>
        <w:t xml:space="preserve">) have identified </w:t>
      </w:r>
      <w:r w:rsidR="006B6A90" w:rsidRPr="00801161">
        <w:rPr>
          <w:szCs w:val="24"/>
        </w:rPr>
        <w:t xml:space="preserve">the </w:t>
      </w:r>
      <w:r w:rsidRPr="00801161">
        <w:rPr>
          <w:szCs w:val="24"/>
        </w:rPr>
        <w:t xml:space="preserve">genetic susceptibility loci for IBD, and more than 240 of these </w:t>
      </w:r>
      <w:r w:rsidRPr="00801161">
        <w:rPr>
          <w:rFonts w:eastAsia="Malgun Gothic"/>
          <w:szCs w:val="24"/>
        </w:rPr>
        <w:t xml:space="preserve">loci </w:t>
      </w:r>
      <w:r w:rsidRPr="00801161">
        <w:rPr>
          <w:szCs w:val="24"/>
        </w:rPr>
        <w:t>have been reported</w:t>
      </w:r>
      <w:r w:rsidR="0025008D" w:rsidRPr="00801161">
        <w:rPr>
          <w:szCs w:val="24"/>
        </w:rPr>
        <w:t xml:space="preserve"> </w:t>
      </w:r>
      <w:r w:rsidR="005E02FD" w:rsidRPr="00FD697C">
        <w:rPr>
          <w:szCs w:val="24"/>
        </w:rPr>
        <w:t>[5</w:t>
      </w:r>
      <w:r w:rsidRPr="00FD697C">
        <w:rPr>
          <w:szCs w:val="24"/>
        </w:rPr>
        <w:t>-</w:t>
      </w:r>
      <w:r w:rsidR="005E02FD" w:rsidRPr="00FD697C">
        <w:rPr>
          <w:szCs w:val="24"/>
        </w:rPr>
        <w:t>8</w:t>
      </w:r>
      <w:r w:rsidRPr="00FD697C">
        <w:rPr>
          <w:szCs w:val="24"/>
        </w:rPr>
        <w:t>]</w:t>
      </w:r>
      <w:r w:rsidRPr="00801161">
        <w:rPr>
          <w:szCs w:val="24"/>
        </w:rPr>
        <w:t xml:space="preserve">. </w:t>
      </w:r>
      <w:r w:rsidR="004546AC" w:rsidRPr="00801161">
        <w:rPr>
          <w:szCs w:val="24"/>
        </w:rPr>
        <w:t>S</w:t>
      </w:r>
      <w:r w:rsidRPr="00801161">
        <w:rPr>
          <w:szCs w:val="24"/>
        </w:rPr>
        <w:t xml:space="preserve">ubstantial differences </w:t>
      </w:r>
      <w:r w:rsidR="004546AC" w:rsidRPr="00801161">
        <w:rPr>
          <w:szCs w:val="24"/>
        </w:rPr>
        <w:t xml:space="preserve">have been found </w:t>
      </w:r>
      <w:r w:rsidRPr="00801161">
        <w:rPr>
          <w:szCs w:val="24"/>
        </w:rPr>
        <w:t xml:space="preserve">between </w:t>
      </w:r>
      <w:r w:rsidR="00041486" w:rsidRPr="00801161">
        <w:rPr>
          <w:szCs w:val="24"/>
        </w:rPr>
        <w:t xml:space="preserve">different </w:t>
      </w:r>
      <w:r w:rsidRPr="00801161">
        <w:rPr>
          <w:szCs w:val="24"/>
        </w:rPr>
        <w:t>ethnic groups</w:t>
      </w:r>
      <w:r w:rsidR="0025008D" w:rsidRPr="00801161">
        <w:rPr>
          <w:szCs w:val="24"/>
        </w:rPr>
        <w:t xml:space="preserve"> </w:t>
      </w:r>
      <w:r w:rsidR="00741E89" w:rsidRPr="00FD697C">
        <w:rPr>
          <w:szCs w:val="24"/>
        </w:rPr>
        <w:t>[9</w:t>
      </w:r>
      <w:r w:rsidRPr="00FD697C">
        <w:rPr>
          <w:szCs w:val="24"/>
        </w:rPr>
        <w:t>, 1</w:t>
      </w:r>
      <w:r w:rsidR="00741E89" w:rsidRPr="00FD697C">
        <w:rPr>
          <w:szCs w:val="24"/>
        </w:rPr>
        <w:t>0</w:t>
      </w:r>
      <w:r w:rsidRPr="00FD697C">
        <w:rPr>
          <w:szCs w:val="24"/>
        </w:rPr>
        <w:t>]</w:t>
      </w:r>
      <w:r w:rsidR="008F7815" w:rsidRPr="00801161">
        <w:rPr>
          <w:szCs w:val="24"/>
        </w:rPr>
        <w:t>.</w:t>
      </w:r>
      <w:r w:rsidRPr="00801161">
        <w:rPr>
          <w:szCs w:val="24"/>
        </w:rPr>
        <w:t xml:space="preserve"> </w:t>
      </w:r>
      <w:r w:rsidR="008F7815" w:rsidRPr="00801161">
        <w:rPr>
          <w:szCs w:val="24"/>
        </w:rPr>
        <w:t>Moreover, t</w:t>
      </w:r>
      <w:r w:rsidRPr="00801161">
        <w:rPr>
          <w:szCs w:val="24"/>
        </w:rPr>
        <w:t>he existence of IBD susceptibility mutations is not sufficient to explain the entire disruption of intestinal homeostasis</w:t>
      </w:r>
      <w:r w:rsidR="00041486" w:rsidRPr="00801161">
        <w:rPr>
          <w:szCs w:val="24"/>
        </w:rPr>
        <w:t>; this is bec</w:t>
      </w:r>
      <w:r w:rsidRPr="00801161">
        <w:rPr>
          <w:szCs w:val="24"/>
        </w:rPr>
        <w:t>a</w:t>
      </w:r>
      <w:r w:rsidR="00041486" w:rsidRPr="00801161">
        <w:rPr>
          <w:szCs w:val="24"/>
        </w:rPr>
        <w:t>u</w:t>
      </w:r>
      <w:r w:rsidRPr="00801161">
        <w:rPr>
          <w:szCs w:val="24"/>
        </w:rPr>
        <w:t>s</w:t>
      </w:r>
      <w:r w:rsidR="00041486" w:rsidRPr="00801161">
        <w:rPr>
          <w:szCs w:val="24"/>
        </w:rPr>
        <w:t>e</w:t>
      </w:r>
      <w:r w:rsidRPr="00801161">
        <w:rPr>
          <w:szCs w:val="24"/>
        </w:rPr>
        <w:t xml:space="preserve"> twin studies </w:t>
      </w:r>
      <w:r w:rsidR="00041486" w:rsidRPr="00801161">
        <w:rPr>
          <w:szCs w:val="24"/>
        </w:rPr>
        <w:t xml:space="preserve">revealed </w:t>
      </w:r>
      <w:r w:rsidRPr="00801161">
        <w:rPr>
          <w:szCs w:val="24"/>
        </w:rPr>
        <w:t>low concordance between genetic variations and clinical presentation of the disease</w:t>
      </w:r>
      <w:r w:rsidR="0025008D" w:rsidRPr="00801161">
        <w:rPr>
          <w:szCs w:val="24"/>
        </w:rPr>
        <w:t xml:space="preserve"> </w:t>
      </w:r>
      <w:r w:rsidR="00E70E56" w:rsidRPr="00FD697C">
        <w:rPr>
          <w:szCs w:val="24"/>
        </w:rPr>
        <w:t>[11</w:t>
      </w:r>
      <w:r w:rsidRPr="00FD697C">
        <w:rPr>
          <w:szCs w:val="24"/>
        </w:rPr>
        <w:t>]</w:t>
      </w:r>
      <w:r w:rsidRPr="00801161">
        <w:rPr>
          <w:szCs w:val="24"/>
        </w:rPr>
        <w:t xml:space="preserve">. The role of </w:t>
      </w:r>
      <w:r w:rsidRPr="00801161">
        <w:rPr>
          <w:rFonts w:eastAsia="Malgun Gothic"/>
          <w:szCs w:val="24"/>
        </w:rPr>
        <w:t>the microbiome and lifestyle factors in the pathogenesis of IBD is unquestionable</w:t>
      </w:r>
      <w:r w:rsidR="006B6A90" w:rsidRPr="00801161">
        <w:rPr>
          <w:rFonts w:eastAsia="Malgun Gothic"/>
          <w:szCs w:val="24"/>
        </w:rPr>
        <w:t>; however,</w:t>
      </w:r>
      <w:r w:rsidRPr="00801161">
        <w:rPr>
          <w:rFonts w:eastAsia="Malgun Gothic"/>
          <w:szCs w:val="24"/>
        </w:rPr>
        <w:t xml:space="preserve"> these conditions </w:t>
      </w:r>
      <w:r w:rsidR="006B6A90" w:rsidRPr="00801161">
        <w:rPr>
          <w:rFonts w:eastAsia="Malgun Gothic"/>
          <w:szCs w:val="24"/>
        </w:rPr>
        <w:t xml:space="preserve">only </w:t>
      </w:r>
      <w:r w:rsidRPr="00801161">
        <w:rPr>
          <w:rFonts w:eastAsia="Malgun Gothic"/>
          <w:szCs w:val="24"/>
        </w:rPr>
        <w:t>cause disease in genetically susceptible individuals</w:t>
      </w:r>
      <w:r w:rsidR="0025008D" w:rsidRPr="00801161">
        <w:rPr>
          <w:szCs w:val="24"/>
        </w:rPr>
        <w:t xml:space="preserve"> </w:t>
      </w:r>
      <w:r w:rsidR="00E70E56" w:rsidRPr="00FD697C">
        <w:rPr>
          <w:szCs w:val="24"/>
        </w:rPr>
        <w:t>[12</w:t>
      </w:r>
      <w:r w:rsidRPr="00FD697C">
        <w:rPr>
          <w:szCs w:val="24"/>
        </w:rPr>
        <w:t>]</w:t>
      </w:r>
      <w:r w:rsidRPr="00801161">
        <w:rPr>
          <w:szCs w:val="24"/>
        </w:rPr>
        <w:t>.</w:t>
      </w:r>
    </w:p>
    <w:p w14:paraId="2E72829D" w14:textId="09C2D058" w:rsidR="00CD7E2E" w:rsidRPr="00801161" w:rsidRDefault="007C280A" w:rsidP="00FF2683">
      <w:pPr>
        <w:spacing w:before="120" w:after="120" w:line="480" w:lineRule="auto"/>
        <w:ind w:firstLine="800"/>
        <w:jc w:val="both"/>
        <w:rPr>
          <w:szCs w:val="24"/>
        </w:rPr>
      </w:pPr>
      <w:r w:rsidRPr="00801161">
        <w:rPr>
          <w:color w:val="000000" w:themeColor="text1"/>
          <w:szCs w:val="24"/>
        </w:rPr>
        <w:t>Recent molecular research has shown that microRNA</w:t>
      </w:r>
      <w:r w:rsidR="00B14731" w:rsidRPr="00801161">
        <w:rPr>
          <w:color w:val="000000" w:themeColor="text1"/>
          <w:szCs w:val="24"/>
        </w:rPr>
        <w:t>s</w:t>
      </w:r>
      <w:r w:rsidRPr="00801161">
        <w:rPr>
          <w:color w:val="000000" w:themeColor="text1"/>
          <w:szCs w:val="24"/>
        </w:rPr>
        <w:t xml:space="preserve"> (miRNAs</w:t>
      </w:r>
      <w:r w:rsidR="00012BB7" w:rsidRPr="00801161">
        <w:rPr>
          <w:color w:val="000000" w:themeColor="text1"/>
          <w:szCs w:val="24"/>
        </w:rPr>
        <w:t xml:space="preserve"> or miR</w:t>
      </w:r>
      <w:r w:rsidR="00C87674">
        <w:rPr>
          <w:color w:val="000000" w:themeColor="text1"/>
          <w:szCs w:val="24"/>
        </w:rPr>
        <w:t>-</w:t>
      </w:r>
      <w:r w:rsidRPr="00801161">
        <w:rPr>
          <w:color w:val="000000" w:themeColor="text1"/>
          <w:szCs w:val="24"/>
        </w:rPr>
        <w:t>) play important roles in the pathophysiology of IBD</w:t>
      </w:r>
      <w:r w:rsidR="0025008D" w:rsidRPr="00801161">
        <w:rPr>
          <w:color w:val="000000" w:themeColor="text1"/>
          <w:szCs w:val="24"/>
        </w:rPr>
        <w:t xml:space="preserve"> </w:t>
      </w:r>
      <w:r w:rsidR="006C7523" w:rsidRPr="00FD697C">
        <w:rPr>
          <w:color w:val="000000" w:themeColor="text1"/>
          <w:szCs w:val="24"/>
        </w:rPr>
        <w:t>[13</w:t>
      </w:r>
      <w:r w:rsidRPr="00FD697C">
        <w:rPr>
          <w:color w:val="000000" w:themeColor="text1"/>
          <w:szCs w:val="24"/>
        </w:rPr>
        <w:t>]</w:t>
      </w:r>
      <w:r w:rsidRPr="00801161">
        <w:rPr>
          <w:color w:val="000000" w:themeColor="text1"/>
          <w:szCs w:val="24"/>
        </w:rPr>
        <w:t xml:space="preserve">. miRNAs </w:t>
      </w:r>
      <w:r w:rsidRPr="00801161">
        <w:rPr>
          <w:szCs w:val="24"/>
        </w:rPr>
        <w:t xml:space="preserve">are evolutionarily conserved, </w:t>
      </w:r>
      <w:r w:rsidRPr="00801161">
        <w:rPr>
          <w:szCs w:val="24"/>
        </w:rPr>
        <w:lastRenderedPageBreak/>
        <w:t>endogenous, single-stranded, non-coding RNAs that bind to the 3</w:t>
      </w:r>
      <w:r w:rsidR="006B6A90" w:rsidRPr="00801161">
        <w:rPr>
          <w:szCs w:val="24"/>
        </w:rPr>
        <w:t>’</w:t>
      </w:r>
      <w:r w:rsidRPr="00801161">
        <w:rPr>
          <w:szCs w:val="24"/>
        </w:rPr>
        <w:t xml:space="preserve"> untranslated region (UTR), 5</w:t>
      </w:r>
      <w:r w:rsidR="006B6A90" w:rsidRPr="00801161">
        <w:rPr>
          <w:szCs w:val="24"/>
        </w:rPr>
        <w:t>’</w:t>
      </w:r>
      <w:r w:rsidRPr="00801161">
        <w:rPr>
          <w:szCs w:val="24"/>
        </w:rPr>
        <w:t xml:space="preserve"> UTR, or partially translated region of a target mRNA, inhibiting mRNA translation and blocking its expression</w:t>
      </w:r>
      <w:r w:rsidR="0025008D" w:rsidRPr="00801161">
        <w:rPr>
          <w:szCs w:val="24"/>
        </w:rPr>
        <w:t xml:space="preserve"> </w:t>
      </w:r>
      <w:r w:rsidRPr="00FD697C">
        <w:rPr>
          <w:szCs w:val="24"/>
        </w:rPr>
        <w:t>[</w:t>
      </w:r>
      <w:r w:rsidR="00B12925" w:rsidRPr="00FD697C">
        <w:rPr>
          <w:szCs w:val="24"/>
        </w:rPr>
        <w:t>14</w:t>
      </w:r>
      <w:r w:rsidRPr="00FD697C">
        <w:rPr>
          <w:szCs w:val="24"/>
        </w:rPr>
        <w:t>]</w:t>
      </w:r>
      <w:r w:rsidRPr="00801161">
        <w:rPr>
          <w:szCs w:val="24"/>
        </w:rPr>
        <w:t xml:space="preserve">. miRNAs are major regulators of cell function and homeostasis, and their abnormal activity has been </w:t>
      </w:r>
      <w:r w:rsidR="006B6A90" w:rsidRPr="00801161">
        <w:rPr>
          <w:szCs w:val="24"/>
        </w:rPr>
        <w:t xml:space="preserve">demonstrated </w:t>
      </w:r>
      <w:r w:rsidRPr="00801161">
        <w:rPr>
          <w:szCs w:val="24"/>
        </w:rPr>
        <w:t>in various diseases</w:t>
      </w:r>
      <w:r w:rsidRPr="00801161">
        <w:rPr>
          <w:rFonts w:eastAsia="Malgun Gothic"/>
          <w:szCs w:val="24"/>
        </w:rPr>
        <w:t xml:space="preserve">, including IBD. </w:t>
      </w:r>
      <w:r w:rsidR="00056484" w:rsidRPr="00801161">
        <w:rPr>
          <w:rFonts w:eastAsia="Malgun Gothic"/>
          <w:szCs w:val="24"/>
        </w:rPr>
        <w:t>Thus, n</w:t>
      </w:r>
      <w:r w:rsidRPr="00801161">
        <w:rPr>
          <w:rFonts w:eastAsia="Malgun Gothic"/>
          <w:szCs w:val="24"/>
        </w:rPr>
        <w:t xml:space="preserve">ovel treatment options </w:t>
      </w:r>
      <w:r w:rsidR="00B175D3" w:rsidRPr="00801161">
        <w:rPr>
          <w:rFonts w:eastAsia="Malgun Gothic"/>
          <w:szCs w:val="24"/>
        </w:rPr>
        <w:t xml:space="preserve">could be developed </w:t>
      </w:r>
      <w:r w:rsidRPr="00801161">
        <w:rPr>
          <w:rFonts w:eastAsia="Malgun Gothic"/>
          <w:szCs w:val="24"/>
        </w:rPr>
        <w:t xml:space="preserve">to alter imbalances </w:t>
      </w:r>
      <w:r w:rsidRPr="00801161">
        <w:rPr>
          <w:szCs w:val="24"/>
        </w:rPr>
        <w:t>in miRNA expression by targeting certain molecular pathways</w:t>
      </w:r>
      <w:r w:rsidR="005C640B" w:rsidRPr="00801161">
        <w:rPr>
          <w:szCs w:val="24"/>
        </w:rPr>
        <w:t xml:space="preserve"> [15]</w:t>
      </w:r>
      <w:r w:rsidRPr="00801161">
        <w:rPr>
          <w:szCs w:val="24"/>
        </w:rPr>
        <w:t xml:space="preserve">. In this study, we evaluated the role of miRNAs in IBD by examining published results of </w:t>
      </w:r>
      <w:r w:rsidR="004546AC" w:rsidRPr="00801161">
        <w:rPr>
          <w:szCs w:val="24"/>
        </w:rPr>
        <w:t xml:space="preserve">studies </w:t>
      </w:r>
      <w:r w:rsidRPr="00801161">
        <w:rPr>
          <w:szCs w:val="24"/>
        </w:rPr>
        <w:t>conducted in the past 2-3 years and suggest the</w:t>
      </w:r>
      <w:r w:rsidR="00DE316E">
        <w:rPr>
          <w:szCs w:val="24"/>
        </w:rPr>
        <w:t xml:space="preserve"> clinical</w:t>
      </w:r>
      <w:r w:rsidRPr="00801161">
        <w:rPr>
          <w:szCs w:val="24"/>
        </w:rPr>
        <w:t xml:space="preserve"> potential of miRNAs as biomarkers and/or new therapeutic strategies</w:t>
      </w:r>
      <w:r w:rsidR="006B6A90" w:rsidRPr="00801161">
        <w:rPr>
          <w:szCs w:val="24"/>
        </w:rPr>
        <w:t xml:space="preserve"> for IBD</w:t>
      </w:r>
      <w:r w:rsidRPr="00801161">
        <w:rPr>
          <w:szCs w:val="24"/>
        </w:rPr>
        <w:t>.</w:t>
      </w:r>
    </w:p>
    <w:p w14:paraId="7A098DFC" w14:textId="77777777" w:rsidR="00CD7E2E" w:rsidRPr="00801161" w:rsidRDefault="007C280A" w:rsidP="00FF2683">
      <w:pPr>
        <w:spacing w:before="120" w:after="120" w:line="480" w:lineRule="auto"/>
        <w:jc w:val="both"/>
        <w:rPr>
          <w:rFonts w:eastAsiaTheme="majorHAnsi"/>
          <w:b/>
          <w:sz w:val="28"/>
          <w:szCs w:val="28"/>
          <w:lang w:eastAsia="ko-KR"/>
        </w:rPr>
      </w:pPr>
      <w:r w:rsidRPr="00801161">
        <w:rPr>
          <w:b/>
          <w:sz w:val="28"/>
          <w:szCs w:val="28"/>
        </w:rPr>
        <w:t>Biosynthesis of microRNA</w:t>
      </w:r>
    </w:p>
    <w:p w14:paraId="5B98EB4A" w14:textId="6DFCDA49" w:rsidR="00CD7E2E" w:rsidRPr="00801161" w:rsidRDefault="007C280A" w:rsidP="00FF2683">
      <w:pPr>
        <w:spacing w:before="120" w:after="120" w:line="480" w:lineRule="auto"/>
        <w:ind w:firstLine="800"/>
        <w:jc w:val="both"/>
        <w:rPr>
          <w:szCs w:val="24"/>
          <w:lang w:eastAsia="ko-KR"/>
        </w:rPr>
      </w:pPr>
      <w:r w:rsidRPr="00801161">
        <w:rPr>
          <w:szCs w:val="24"/>
          <w:lang w:eastAsia="ko-KR"/>
        </w:rPr>
        <w:t xml:space="preserve">miRNAs are small, 18-21 nucleotide-long, evolutionarily conserved RNA molecules involved in the regulation of gene expression. The primary nuclear transcripts of miRNAs, or pri-miRNAs, are typically a few thousand nucleotides long and are located in introns, exons, or intergenic regions of </w:t>
      </w:r>
      <w:r w:rsidRPr="00801161">
        <w:rPr>
          <w:rFonts w:eastAsia="Malgun Gothic"/>
          <w:szCs w:val="24"/>
          <w:lang w:eastAsia="ko-KR"/>
        </w:rPr>
        <w:t xml:space="preserve">the human genome. Pri-miRNAs are processed into 70 nucleotide-long, stem-loop structured pre-miRNAs by the RNAse-3-type enzyme Drosha. Pre-miRNAs are then translocated to the cytosol from the nucleus and cleaved by the </w:t>
      </w:r>
      <w:r w:rsidRPr="00801161">
        <w:rPr>
          <w:szCs w:val="24"/>
          <w:lang w:eastAsia="ko-KR"/>
        </w:rPr>
        <w:t xml:space="preserve">endoribonuclease </w:t>
      </w:r>
      <w:r w:rsidR="0036196D" w:rsidRPr="00801161">
        <w:rPr>
          <w:szCs w:val="24"/>
          <w:lang w:eastAsia="ko-KR"/>
        </w:rPr>
        <w:t>Dicer</w:t>
      </w:r>
      <w:r w:rsidRPr="00801161">
        <w:rPr>
          <w:szCs w:val="24"/>
          <w:lang w:eastAsia="ko-KR"/>
        </w:rPr>
        <w:t>. The remaining miRNA duplex binds with Argonaute to form an RNA-induced silencing complex (RISC). The guidance strand directs the RISC to the complementary region in the 3'-UTR of the target mRNA, and the RISC makes post-</w:t>
      </w:r>
      <w:r w:rsidR="0036196D" w:rsidRPr="00801161">
        <w:rPr>
          <w:szCs w:val="24"/>
          <w:lang w:eastAsia="ko-KR"/>
        </w:rPr>
        <w:t>transcriptional modifications</w:t>
      </w:r>
      <w:r w:rsidRPr="00801161">
        <w:rPr>
          <w:szCs w:val="24"/>
          <w:lang w:eastAsia="ko-KR"/>
        </w:rPr>
        <w:t xml:space="preserve">. </w:t>
      </w:r>
      <w:r w:rsidR="006B6A90" w:rsidRPr="00801161">
        <w:rPr>
          <w:szCs w:val="24"/>
          <w:lang w:eastAsia="ko-KR"/>
        </w:rPr>
        <w:t>When</w:t>
      </w:r>
      <w:r w:rsidRPr="00801161">
        <w:rPr>
          <w:szCs w:val="24"/>
          <w:lang w:eastAsia="ko-KR"/>
        </w:rPr>
        <w:t xml:space="preserve"> an exact match</w:t>
      </w:r>
      <w:r w:rsidR="006B6A90" w:rsidRPr="00801161">
        <w:rPr>
          <w:szCs w:val="24"/>
          <w:lang w:eastAsia="ko-KR"/>
        </w:rPr>
        <w:t xml:space="preserve"> is found</w:t>
      </w:r>
      <w:r w:rsidRPr="00801161">
        <w:rPr>
          <w:szCs w:val="24"/>
          <w:lang w:eastAsia="ko-KR"/>
        </w:rPr>
        <w:t>, the target mRNA is degraded</w:t>
      </w:r>
      <w:r w:rsidR="0037658F" w:rsidRPr="00801161">
        <w:rPr>
          <w:szCs w:val="24"/>
          <w:lang w:eastAsia="ko-KR"/>
        </w:rPr>
        <w:t>; however, when</w:t>
      </w:r>
      <w:r w:rsidRPr="00801161">
        <w:rPr>
          <w:szCs w:val="24"/>
          <w:lang w:eastAsia="ko-KR"/>
        </w:rPr>
        <w:t xml:space="preserve"> </w:t>
      </w:r>
      <w:r w:rsidRPr="00801161">
        <w:rPr>
          <w:rFonts w:eastAsia="Malgun Gothic"/>
          <w:szCs w:val="24"/>
          <w:lang w:eastAsia="ko-KR"/>
        </w:rPr>
        <w:t xml:space="preserve">an incomplete match </w:t>
      </w:r>
      <w:r w:rsidR="0037658F" w:rsidRPr="00801161">
        <w:rPr>
          <w:rFonts w:eastAsia="Malgun Gothic"/>
          <w:szCs w:val="24"/>
          <w:lang w:eastAsia="ko-KR"/>
        </w:rPr>
        <w:t xml:space="preserve">occurs, </w:t>
      </w:r>
      <w:r w:rsidRPr="00801161">
        <w:rPr>
          <w:rFonts w:eastAsia="Malgun Gothic"/>
          <w:szCs w:val="24"/>
          <w:lang w:eastAsia="ko-KR"/>
        </w:rPr>
        <w:t>translation</w:t>
      </w:r>
      <w:r w:rsidR="0037658F" w:rsidRPr="00801161">
        <w:rPr>
          <w:rFonts w:eastAsia="Malgun Gothic"/>
          <w:szCs w:val="24"/>
          <w:lang w:eastAsia="ko-KR"/>
        </w:rPr>
        <w:t xml:space="preserve"> is destabilized</w:t>
      </w:r>
      <w:r w:rsidRPr="00801161">
        <w:rPr>
          <w:rFonts w:eastAsia="Malgun Gothic"/>
          <w:szCs w:val="24"/>
          <w:lang w:eastAsia="ko-KR"/>
        </w:rPr>
        <w:t xml:space="preserve"> [</w:t>
      </w:r>
      <w:r w:rsidR="0036196D" w:rsidRPr="00801161">
        <w:rPr>
          <w:szCs w:val="24"/>
          <w:lang w:eastAsia="ko-KR"/>
        </w:rPr>
        <w:t>14</w:t>
      </w:r>
      <w:r w:rsidRPr="00801161">
        <w:rPr>
          <w:szCs w:val="24"/>
          <w:lang w:eastAsia="ko-KR"/>
        </w:rPr>
        <w:t xml:space="preserve">]. </w:t>
      </w:r>
      <w:r w:rsidRPr="00801161">
        <w:rPr>
          <w:b/>
          <w:szCs w:val="24"/>
          <w:lang w:eastAsia="ko-KR"/>
        </w:rPr>
        <w:t>Figure 1</w:t>
      </w:r>
      <w:r w:rsidRPr="00801161">
        <w:rPr>
          <w:szCs w:val="24"/>
          <w:lang w:eastAsia="ko-KR"/>
        </w:rPr>
        <w:t xml:space="preserve"> briefly summarizes the biosynthesis of miRNAs and their mechanisms of action.</w:t>
      </w:r>
    </w:p>
    <w:p w14:paraId="148761B5" w14:textId="2E89109A" w:rsidR="00CD7E2E" w:rsidRPr="00801161" w:rsidRDefault="007C280A" w:rsidP="00FF2683">
      <w:pPr>
        <w:spacing w:before="120" w:after="120" w:line="480" w:lineRule="auto"/>
        <w:ind w:firstLine="800"/>
        <w:jc w:val="both"/>
        <w:rPr>
          <w:szCs w:val="24"/>
        </w:rPr>
      </w:pPr>
      <w:r w:rsidRPr="00801161">
        <w:rPr>
          <w:szCs w:val="24"/>
          <w:lang w:eastAsia="ko-KR"/>
        </w:rPr>
        <w:t>T</w:t>
      </w:r>
      <w:r w:rsidRPr="00801161">
        <w:rPr>
          <w:szCs w:val="24"/>
        </w:rPr>
        <w:t xml:space="preserve">he seed region responsible for identifying target mRNAs is a 6 nucleotide-long sequence from the 2nd to the 7th nucleotide of </w:t>
      </w:r>
      <w:r w:rsidRPr="00801161">
        <w:rPr>
          <w:rFonts w:eastAsia="Malgun Gothic"/>
          <w:szCs w:val="24"/>
        </w:rPr>
        <w:t xml:space="preserve">the miRNA. Based on similar seed sequences, miRNAs are classified into miRNA families. Members of a given miRNA family share almost </w:t>
      </w:r>
      <w:r w:rsidRPr="00801161">
        <w:rPr>
          <w:rFonts w:eastAsia="Malgun Gothic"/>
          <w:szCs w:val="24"/>
        </w:rPr>
        <w:lastRenderedPageBreak/>
        <w:t xml:space="preserve">the same pool of </w:t>
      </w:r>
      <w:r w:rsidRPr="00801161">
        <w:rPr>
          <w:szCs w:val="24"/>
        </w:rPr>
        <w:t xml:space="preserve">mRNAs as their target </w:t>
      </w:r>
      <w:r w:rsidR="0037658F" w:rsidRPr="00801161">
        <w:rPr>
          <w:szCs w:val="24"/>
        </w:rPr>
        <w:t>as they possess</w:t>
      </w:r>
      <w:r w:rsidRPr="00801161">
        <w:rPr>
          <w:szCs w:val="24"/>
        </w:rPr>
        <w:t xml:space="preserve"> the same seed region. Numerous miRNAs form clusters in the genome and are transcribed as one common pri-miRNA; therefore, their transcription is regulated simultaneously. </w:t>
      </w:r>
      <w:r w:rsidR="00720842" w:rsidRPr="00801161">
        <w:rPr>
          <w:szCs w:val="24"/>
        </w:rPr>
        <w:t xml:space="preserve">Notably, the </w:t>
      </w:r>
      <w:r w:rsidRPr="00801161">
        <w:rPr>
          <w:szCs w:val="24"/>
        </w:rPr>
        <w:t>role of miRNAs is redundant; multiple different miRNAs can control a single mRNA, and a given miRNA can inhibit numerous mRNAs. miRNA regulation does not act as a switch; rather, it functions as a synchronized tuner of gene expression</w:t>
      </w:r>
      <w:r w:rsidR="0025008D" w:rsidRPr="00801161">
        <w:rPr>
          <w:szCs w:val="24"/>
        </w:rPr>
        <w:t xml:space="preserve"> </w:t>
      </w:r>
      <w:r w:rsidR="0036196D" w:rsidRPr="00FD697C">
        <w:rPr>
          <w:szCs w:val="24"/>
        </w:rPr>
        <w:t>[16</w:t>
      </w:r>
      <w:r w:rsidRPr="00FD697C">
        <w:rPr>
          <w:szCs w:val="24"/>
        </w:rPr>
        <w:t>]</w:t>
      </w:r>
      <w:r w:rsidRPr="00801161">
        <w:rPr>
          <w:szCs w:val="24"/>
        </w:rPr>
        <w:t>.</w:t>
      </w:r>
    </w:p>
    <w:p w14:paraId="28BC1ED8" w14:textId="5B4EB8C4" w:rsidR="00CD7E2E" w:rsidRPr="00801161" w:rsidRDefault="007C280A" w:rsidP="00FF2683">
      <w:pPr>
        <w:spacing w:before="120" w:after="120" w:line="480" w:lineRule="auto"/>
        <w:jc w:val="both"/>
        <w:rPr>
          <w:b/>
          <w:sz w:val="28"/>
          <w:szCs w:val="28"/>
        </w:rPr>
      </w:pPr>
      <w:r w:rsidRPr="00801161">
        <w:rPr>
          <w:b/>
          <w:sz w:val="28"/>
          <w:szCs w:val="28"/>
        </w:rPr>
        <w:t xml:space="preserve">Brief description of </w:t>
      </w:r>
      <w:r w:rsidR="006B6A90" w:rsidRPr="00801161">
        <w:rPr>
          <w:b/>
          <w:sz w:val="28"/>
          <w:szCs w:val="28"/>
        </w:rPr>
        <w:t xml:space="preserve">the </w:t>
      </w:r>
      <w:r w:rsidRPr="00801161">
        <w:rPr>
          <w:b/>
          <w:sz w:val="28"/>
          <w:szCs w:val="28"/>
        </w:rPr>
        <w:t>pathophysiology</w:t>
      </w:r>
      <w:r w:rsidR="006B6A90" w:rsidRPr="00801161">
        <w:rPr>
          <w:b/>
          <w:sz w:val="28"/>
          <w:szCs w:val="28"/>
        </w:rPr>
        <w:t xml:space="preserve"> of IBD</w:t>
      </w:r>
    </w:p>
    <w:p w14:paraId="53F7FFE3" w14:textId="0AA8872B" w:rsidR="00EC348B" w:rsidRPr="00801161" w:rsidRDefault="007C280A" w:rsidP="00DD5727">
      <w:pPr>
        <w:spacing w:line="480" w:lineRule="auto"/>
        <w:jc w:val="both"/>
        <w:rPr>
          <w:szCs w:val="24"/>
        </w:rPr>
      </w:pPr>
      <w:r w:rsidRPr="00801161">
        <w:rPr>
          <w:szCs w:val="24"/>
        </w:rPr>
        <w:tab/>
        <w:t xml:space="preserve">Commensal bacteria are essential components in the maintenance of intestinal homeostasis. They provide essential nutrients, assist </w:t>
      </w:r>
      <w:r w:rsidR="00D61B07" w:rsidRPr="00801161">
        <w:rPr>
          <w:szCs w:val="24"/>
        </w:rPr>
        <w:t xml:space="preserve">in </w:t>
      </w:r>
      <w:r w:rsidRPr="00801161">
        <w:rPr>
          <w:szCs w:val="24"/>
        </w:rPr>
        <w:t>energy metabolism, and suppress the growth of pathogenic bacteria by competit</w:t>
      </w:r>
      <w:r w:rsidRPr="00801161">
        <w:rPr>
          <w:szCs w:val="24"/>
          <w:lang w:eastAsia="ko-KR"/>
        </w:rPr>
        <w:t>ive inhibition</w:t>
      </w:r>
      <w:r w:rsidRPr="00801161">
        <w:rPr>
          <w:szCs w:val="24"/>
        </w:rPr>
        <w:t xml:space="preserve"> in the intestine</w:t>
      </w:r>
      <w:r w:rsidR="00FE73F5" w:rsidRPr="00801161">
        <w:rPr>
          <w:szCs w:val="24"/>
        </w:rPr>
        <w:t xml:space="preserve"> [17]</w:t>
      </w:r>
      <w:r w:rsidRPr="00801161">
        <w:rPr>
          <w:szCs w:val="24"/>
        </w:rPr>
        <w:t xml:space="preserve">. Nevertheless, they </w:t>
      </w:r>
      <w:r w:rsidR="006B6A90" w:rsidRPr="00801161">
        <w:rPr>
          <w:szCs w:val="24"/>
          <w:lang w:eastAsia="ko-KR"/>
        </w:rPr>
        <w:t xml:space="preserve">can </w:t>
      </w:r>
      <w:r w:rsidR="00645169" w:rsidRPr="00801161">
        <w:rPr>
          <w:szCs w:val="24"/>
          <w:lang w:eastAsia="ko-KR"/>
        </w:rPr>
        <w:t xml:space="preserve">cause opportunistic infections and </w:t>
      </w:r>
      <w:r w:rsidR="0039104D" w:rsidRPr="00801161">
        <w:rPr>
          <w:szCs w:val="24"/>
          <w:lang w:eastAsia="ko-KR"/>
        </w:rPr>
        <w:t xml:space="preserve">are </w:t>
      </w:r>
      <w:r w:rsidR="00645169" w:rsidRPr="00801161">
        <w:rPr>
          <w:szCs w:val="24"/>
          <w:lang w:eastAsia="ko-KR"/>
        </w:rPr>
        <w:t xml:space="preserve">under </w:t>
      </w:r>
      <w:r w:rsidRPr="00801161">
        <w:rPr>
          <w:rFonts w:eastAsia="Malgun Gothic"/>
          <w:szCs w:val="24"/>
          <w:lang w:eastAsia="ko-KR"/>
        </w:rPr>
        <w:t>the surveillance</w:t>
      </w:r>
      <w:r w:rsidR="00645169" w:rsidRPr="00801161">
        <w:rPr>
          <w:szCs w:val="24"/>
          <w:lang w:eastAsia="ko-KR"/>
        </w:rPr>
        <w:t xml:space="preserve"> of host immunity.</w:t>
      </w:r>
      <w:r w:rsidR="00C211E5" w:rsidRPr="00801161">
        <w:rPr>
          <w:szCs w:val="24"/>
          <w:lang w:eastAsia="ko-KR"/>
        </w:rPr>
        <w:t xml:space="preserve"> </w:t>
      </w:r>
      <w:r w:rsidR="00D24908" w:rsidRPr="00801161">
        <w:rPr>
          <w:szCs w:val="24"/>
          <w:lang w:eastAsia="ko-KR"/>
        </w:rPr>
        <w:t>Consequently</w:t>
      </w:r>
      <w:r w:rsidR="00C211E5" w:rsidRPr="00801161">
        <w:rPr>
          <w:szCs w:val="24"/>
          <w:lang w:eastAsia="ko-KR"/>
        </w:rPr>
        <w:t xml:space="preserve">, </w:t>
      </w:r>
      <w:r w:rsidRPr="00801161">
        <w:rPr>
          <w:rFonts w:eastAsia="Malgun Gothic"/>
          <w:szCs w:val="24"/>
          <w:lang w:eastAsia="ko-KR"/>
        </w:rPr>
        <w:t>the h</w:t>
      </w:r>
      <w:r w:rsidR="00645169" w:rsidRPr="00801161">
        <w:rPr>
          <w:szCs w:val="24"/>
          <w:lang w:eastAsia="ko-KR"/>
        </w:rPr>
        <w:t xml:space="preserve">uman immune system </w:t>
      </w:r>
      <w:r w:rsidR="00645169" w:rsidRPr="00801161">
        <w:rPr>
          <w:szCs w:val="24"/>
        </w:rPr>
        <w:t>ha</w:t>
      </w:r>
      <w:r w:rsidR="00870277" w:rsidRPr="00801161">
        <w:rPr>
          <w:szCs w:val="24"/>
        </w:rPr>
        <w:t>s</w:t>
      </w:r>
      <w:r w:rsidR="00645169" w:rsidRPr="00801161">
        <w:rPr>
          <w:szCs w:val="24"/>
        </w:rPr>
        <w:t xml:space="preserve"> adapted to</w:t>
      </w:r>
      <w:r w:rsidR="00C211E5" w:rsidRPr="00801161">
        <w:rPr>
          <w:szCs w:val="24"/>
        </w:rPr>
        <w:t xml:space="preserve"> maintain </w:t>
      </w:r>
      <w:r w:rsidRPr="00801161">
        <w:rPr>
          <w:rFonts w:eastAsia="Malgun Gothic"/>
          <w:szCs w:val="24"/>
        </w:rPr>
        <w:t>a commensal</w:t>
      </w:r>
      <w:r w:rsidR="00C211E5" w:rsidRPr="00801161">
        <w:rPr>
          <w:szCs w:val="24"/>
        </w:rPr>
        <w:t xml:space="preserve"> relationship</w:t>
      </w:r>
      <w:r w:rsidR="00645169" w:rsidRPr="00801161">
        <w:rPr>
          <w:szCs w:val="24"/>
        </w:rPr>
        <w:t xml:space="preserve"> </w:t>
      </w:r>
      <w:r w:rsidR="00835200" w:rsidRPr="00801161">
        <w:rPr>
          <w:szCs w:val="24"/>
        </w:rPr>
        <w:t>by establishing a</w:t>
      </w:r>
      <w:r w:rsidR="00C211E5" w:rsidRPr="00801161">
        <w:rPr>
          <w:szCs w:val="24"/>
        </w:rPr>
        <w:t xml:space="preserve"> balance between immune suppression and activation. </w:t>
      </w:r>
      <w:r w:rsidR="00D61B07" w:rsidRPr="00801161">
        <w:rPr>
          <w:szCs w:val="24"/>
          <w:lang w:eastAsia="ko-KR"/>
        </w:rPr>
        <w:t>T</w:t>
      </w:r>
      <w:r w:rsidRPr="00801161">
        <w:rPr>
          <w:szCs w:val="24"/>
        </w:rPr>
        <w:t>he intestine is continuously exposed to large amounts of toxins and antigenic proteins from ingested foods. Therefore, a high level of immune tolerance is essential for intestinal homeostasis</w:t>
      </w:r>
      <w:r w:rsidR="00FE73F5" w:rsidRPr="00801161">
        <w:rPr>
          <w:szCs w:val="24"/>
        </w:rPr>
        <w:t xml:space="preserve"> [18]</w:t>
      </w:r>
      <w:r w:rsidRPr="00801161">
        <w:rPr>
          <w:szCs w:val="24"/>
        </w:rPr>
        <w:t>. However, well-</w:t>
      </w:r>
      <w:r w:rsidR="00C36602" w:rsidRPr="00801161">
        <w:rPr>
          <w:szCs w:val="24"/>
        </w:rPr>
        <w:t>controlled</w:t>
      </w:r>
      <w:r w:rsidRPr="00801161">
        <w:rPr>
          <w:szCs w:val="24"/>
        </w:rPr>
        <w:t xml:space="preserve"> immune </w:t>
      </w:r>
      <w:r w:rsidR="00C36602" w:rsidRPr="00801161">
        <w:rPr>
          <w:szCs w:val="24"/>
        </w:rPr>
        <w:t>responses</w:t>
      </w:r>
      <w:r w:rsidRPr="00801161">
        <w:rPr>
          <w:szCs w:val="24"/>
        </w:rPr>
        <w:t xml:space="preserve"> can be </w:t>
      </w:r>
      <w:r w:rsidR="0039104D" w:rsidRPr="00801161">
        <w:rPr>
          <w:szCs w:val="24"/>
        </w:rPr>
        <w:t xml:space="preserve">aberrantly </w:t>
      </w:r>
      <w:r w:rsidR="00942FFE" w:rsidRPr="00801161">
        <w:rPr>
          <w:szCs w:val="24"/>
        </w:rPr>
        <w:t xml:space="preserve">activated </w:t>
      </w:r>
      <w:r w:rsidR="00DD5727" w:rsidRPr="00801161">
        <w:rPr>
          <w:szCs w:val="24"/>
        </w:rPr>
        <w:t>by</w:t>
      </w:r>
      <w:r w:rsidR="00942FFE" w:rsidRPr="00801161">
        <w:rPr>
          <w:szCs w:val="24"/>
        </w:rPr>
        <w:t xml:space="preserve"> altered states of </w:t>
      </w:r>
      <w:r w:rsidR="00DD5727" w:rsidRPr="00801161">
        <w:rPr>
          <w:szCs w:val="24"/>
        </w:rPr>
        <w:t xml:space="preserve">intestinal bacteria or </w:t>
      </w:r>
      <w:r w:rsidRPr="00801161">
        <w:rPr>
          <w:rFonts w:eastAsia="Malgun Gothic"/>
          <w:szCs w:val="24"/>
        </w:rPr>
        <w:t xml:space="preserve">the intestinal barrier, </w:t>
      </w:r>
      <w:r w:rsidR="006B6A90" w:rsidRPr="00801161">
        <w:rPr>
          <w:rFonts w:eastAsia="Malgun Gothic"/>
          <w:szCs w:val="24"/>
        </w:rPr>
        <w:t xml:space="preserve">which are </w:t>
      </w:r>
      <w:r w:rsidRPr="00801161">
        <w:rPr>
          <w:rFonts w:eastAsia="Malgun Gothic"/>
          <w:szCs w:val="24"/>
        </w:rPr>
        <w:t xml:space="preserve">two important factors that </w:t>
      </w:r>
      <w:r w:rsidR="00DD5727" w:rsidRPr="00801161">
        <w:rPr>
          <w:szCs w:val="24"/>
        </w:rPr>
        <w:t>maintain immune tolerance.</w:t>
      </w:r>
      <w:r w:rsidRPr="00801161">
        <w:rPr>
          <w:szCs w:val="24"/>
        </w:rPr>
        <w:t xml:space="preserve"> From our </w:t>
      </w:r>
      <w:r w:rsidR="00D61B07" w:rsidRPr="00801161">
        <w:rPr>
          <w:szCs w:val="24"/>
        </w:rPr>
        <w:t>perspective</w:t>
      </w:r>
      <w:r w:rsidRPr="00801161">
        <w:rPr>
          <w:szCs w:val="24"/>
        </w:rPr>
        <w:t xml:space="preserve">, </w:t>
      </w:r>
      <w:r w:rsidR="00835200" w:rsidRPr="00801161">
        <w:rPr>
          <w:szCs w:val="24"/>
        </w:rPr>
        <w:t>a disruption in</w:t>
      </w:r>
      <w:r w:rsidRPr="00801161">
        <w:rPr>
          <w:szCs w:val="24"/>
        </w:rPr>
        <w:t xml:space="preserve"> physiological balance</w:t>
      </w:r>
      <w:r w:rsidR="00D61B07" w:rsidRPr="00801161">
        <w:rPr>
          <w:szCs w:val="24"/>
        </w:rPr>
        <w:t xml:space="preserve"> can result in the development of IBD</w:t>
      </w:r>
      <w:r w:rsidR="008141E7" w:rsidRPr="00801161">
        <w:rPr>
          <w:szCs w:val="24"/>
        </w:rPr>
        <w:t xml:space="preserve"> (</w:t>
      </w:r>
      <w:r w:rsidR="008141E7" w:rsidRPr="00801161">
        <w:rPr>
          <w:b/>
          <w:szCs w:val="24"/>
        </w:rPr>
        <w:t>Figure 2</w:t>
      </w:r>
      <w:r w:rsidR="008141E7" w:rsidRPr="00801161">
        <w:rPr>
          <w:szCs w:val="24"/>
        </w:rPr>
        <w:t>)</w:t>
      </w:r>
      <w:r w:rsidRPr="00801161">
        <w:rPr>
          <w:szCs w:val="24"/>
        </w:rPr>
        <w:t>.</w:t>
      </w:r>
    </w:p>
    <w:p w14:paraId="6C2082E0" w14:textId="03A2F4A7" w:rsidR="00EC348B" w:rsidRPr="00801161" w:rsidRDefault="007C280A" w:rsidP="001C132A">
      <w:pPr>
        <w:spacing w:line="480" w:lineRule="auto"/>
        <w:jc w:val="both"/>
        <w:rPr>
          <w:rFonts w:eastAsia="DengXian"/>
          <w:szCs w:val="24"/>
          <w:lang w:eastAsia="ko-KR"/>
        </w:rPr>
      </w:pPr>
      <w:r w:rsidRPr="00801161">
        <w:rPr>
          <w:rFonts w:eastAsia="DengXian"/>
          <w:szCs w:val="24"/>
        </w:rPr>
        <w:tab/>
        <w:t>Many immune cells, such as neutrophils, dendritic cells, macrophages, and lymphoid cells, reside in the intestinal epithelium and the underlying lamina propria. These cells are regulated by immune tolerance mechanisms</w:t>
      </w:r>
      <w:r w:rsidR="00942FFE" w:rsidRPr="00801161">
        <w:rPr>
          <w:rFonts w:eastAsia="DengXian"/>
          <w:szCs w:val="24"/>
        </w:rPr>
        <w:t>.</w:t>
      </w:r>
      <w:r w:rsidRPr="00801161">
        <w:rPr>
          <w:rFonts w:eastAsia="DengXian"/>
          <w:szCs w:val="24"/>
        </w:rPr>
        <w:t xml:space="preserve"> </w:t>
      </w:r>
      <w:r w:rsidRPr="00801161">
        <w:rPr>
          <w:color w:val="000000" w:themeColor="text1"/>
          <w:szCs w:val="24"/>
          <w:lang w:eastAsia="ko-KR"/>
        </w:rPr>
        <w:t xml:space="preserve">When macrophages phagocytose </w:t>
      </w:r>
      <w:r w:rsidR="00870277" w:rsidRPr="00801161">
        <w:rPr>
          <w:color w:val="000000" w:themeColor="text1"/>
          <w:szCs w:val="24"/>
          <w:lang w:eastAsia="ko-KR"/>
        </w:rPr>
        <w:t xml:space="preserve">the antigen from </w:t>
      </w:r>
      <w:r w:rsidRPr="00801161">
        <w:rPr>
          <w:color w:val="000000" w:themeColor="text1"/>
          <w:szCs w:val="24"/>
          <w:lang w:eastAsia="ko-KR"/>
        </w:rPr>
        <w:t xml:space="preserve">commensal bacteria, </w:t>
      </w:r>
      <w:r w:rsidRPr="00801161">
        <w:rPr>
          <w:color w:val="000000" w:themeColor="text1"/>
          <w:szCs w:val="24"/>
        </w:rPr>
        <w:t>interleukin</w:t>
      </w:r>
      <w:r w:rsidRPr="00801161">
        <w:rPr>
          <w:color w:val="000000" w:themeColor="text1"/>
          <w:szCs w:val="24"/>
          <w:lang w:eastAsia="ko-KR"/>
        </w:rPr>
        <w:t xml:space="preserve"> (IL)-10 is secreted from macrophages</w:t>
      </w:r>
      <w:r w:rsidR="00743F25" w:rsidRPr="00801161">
        <w:rPr>
          <w:color w:val="000000" w:themeColor="text1"/>
          <w:szCs w:val="24"/>
          <w:lang w:eastAsia="ko-KR"/>
        </w:rPr>
        <w:t xml:space="preserve"> [19]</w:t>
      </w:r>
      <w:r w:rsidRPr="00801161">
        <w:rPr>
          <w:color w:val="000000" w:themeColor="text1"/>
          <w:szCs w:val="24"/>
          <w:lang w:eastAsia="ko-KR"/>
        </w:rPr>
        <w:t xml:space="preserve">, </w:t>
      </w:r>
      <w:r w:rsidR="00827E6E" w:rsidRPr="00801161">
        <w:rPr>
          <w:color w:val="000000" w:themeColor="text1"/>
          <w:szCs w:val="24"/>
          <w:lang w:eastAsia="ko-KR"/>
        </w:rPr>
        <w:t xml:space="preserve">resulting in the promotion of the response of </w:t>
      </w:r>
      <w:r w:rsidRPr="00801161">
        <w:rPr>
          <w:rFonts w:eastAsia="Malgun Gothic"/>
          <w:color w:val="000000"/>
          <w:szCs w:val="24"/>
        </w:rPr>
        <w:t xml:space="preserve">a </w:t>
      </w:r>
      <w:r w:rsidR="0029180E" w:rsidRPr="00801161">
        <w:rPr>
          <w:color w:val="000000" w:themeColor="text1"/>
          <w:szCs w:val="24"/>
        </w:rPr>
        <w:t>cluster of differentiation</w:t>
      </w:r>
      <w:r w:rsidR="008817F8" w:rsidRPr="00801161">
        <w:rPr>
          <w:color w:val="000000" w:themeColor="text1"/>
          <w:szCs w:val="24"/>
        </w:rPr>
        <w:t xml:space="preserve"> </w:t>
      </w:r>
      <w:r w:rsidR="008817F8" w:rsidRPr="00801161">
        <w:rPr>
          <w:color w:val="000000" w:themeColor="text1"/>
          <w:szCs w:val="24"/>
          <w:lang w:eastAsia="ko-KR"/>
        </w:rPr>
        <w:t>4</w:t>
      </w:r>
      <w:r w:rsidR="008817F8" w:rsidRPr="00801161">
        <w:rPr>
          <w:color w:val="000000" w:themeColor="text1"/>
          <w:szCs w:val="24"/>
          <w:vertAlign w:val="superscript"/>
          <w:lang w:eastAsia="ko-KR"/>
        </w:rPr>
        <w:t>+</w:t>
      </w:r>
      <w:r w:rsidR="0029180E" w:rsidRPr="00801161">
        <w:rPr>
          <w:color w:val="000000" w:themeColor="text1"/>
          <w:szCs w:val="24"/>
        </w:rPr>
        <w:t xml:space="preserve"> (</w:t>
      </w:r>
      <w:r w:rsidRPr="00801161">
        <w:rPr>
          <w:color w:val="000000" w:themeColor="text1"/>
          <w:szCs w:val="24"/>
          <w:lang w:eastAsia="ko-KR"/>
        </w:rPr>
        <w:t>CD4</w:t>
      </w:r>
      <w:r w:rsidRPr="00801161">
        <w:rPr>
          <w:color w:val="000000" w:themeColor="text1"/>
          <w:szCs w:val="24"/>
          <w:vertAlign w:val="superscript"/>
          <w:lang w:eastAsia="ko-KR"/>
        </w:rPr>
        <w:t>+</w:t>
      </w:r>
      <w:r w:rsidR="008817F8" w:rsidRPr="00801161">
        <w:rPr>
          <w:color w:val="000000" w:themeColor="text1"/>
          <w:szCs w:val="24"/>
          <w:lang w:eastAsia="ko-KR"/>
        </w:rPr>
        <w:t>)</w:t>
      </w:r>
      <w:r w:rsidRPr="00801161">
        <w:rPr>
          <w:color w:val="000000" w:themeColor="text1"/>
          <w:szCs w:val="24"/>
          <w:lang w:eastAsia="ko-KR"/>
        </w:rPr>
        <w:t xml:space="preserve"> Treg cell</w:t>
      </w:r>
      <w:r w:rsidR="00827E6E" w:rsidRPr="00801161">
        <w:rPr>
          <w:color w:val="000000" w:themeColor="text1"/>
          <w:szCs w:val="24"/>
          <w:lang w:eastAsia="ko-KR"/>
        </w:rPr>
        <w:t>s</w:t>
      </w:r>
      <w:r w:rsidRPr="00801161">
        <w:rPr>
          <w:color w:val="000000" w:themeColor="text1"/>
          <w:szCs w:val="24"/>
          <w:lang w:eastAsia="ko-KR"/>
        </w:rPr>
        <w:t xml:space="preserve"> to suppres</w:t>
      </w:r>
      <w:r w:rsidR="00743F25" w:rsidRPr="00801161">
        <w:rPr>
          <w:color w:val="000000" w:themeColor="text1"/>
          <w:szCs w:val="24"/>
          <w:lang w:eastAsia="ko-KR"/>
        </w:rPr>
        <w:t xml:space="preserve">s </w:t>
      </w:r>
      <w:r w:rsidR="00743F25" w:rsidRPr="00801161">
        <w:rPr>
          <w:color w:val="000000" w:themeColor="text1"/>
          <w:szCs w:val="24"/>
          <w:lang w:eastAsia="ko-KR"/>
        </w:rPr>
        <w:lastRenderedPageBreak/>
        <w:t>inflammatory T cell reactions</w:t>
      </w:r>
      <w:r w:rsidRPr="00801161">
        <w:rPr>
          <w:szCs w:val="24"/>
          <w:lang w:eastAsia="ko-KR"/>
        </w:rPr>
        <w:t>. CD4</w:t>
      </w:r>
      <w:r w:rsidRPr="00801161">
        <w:rPr>
          <w:szCs w:val="24"/>
          <w:vertAlign w:val="superscript"/>
          <w:lang w:eastAsia="ko-KR"/>
        </w:rPr>
        <w:t>+</w:t>
      </w:r>
      <w:r w:rsidRPr="00801161">
        <w:rPr>
          <w:szCs w:val="24"/>
          <w:lang w:eastAsia="ko-KR"/>
        </w:rPr>
        <w:t xml:space="preserve"> Treg cells produce IL-10 and transforming growth factor </w:t>
      </w:r>
      <w:r w:rsidRPr="00801161">
        <w:rPr>
          <w:rFonts w:eastAsia="Malgun Gothic"/>
          <w:szCs w:val="24"/>
          <w:lang w:eastAsia="ko-KR"/>
        </w:rPr>
        <w:t>β</w:t>
      </w:r>
      <w:r w:rsidRPr="00801161">
        <w:rPr>
          <w:szCs w:val="24"/>
          <w:lang w:eastAsia="ko-KR"/>
        </w:rPr>
        <w:t>1 (TGF-</w:t>
      </w:r>
      <w:r w:rsidRPr="00801161">
        <w:rPr>
          <w:rFonts w:eastAsia="Malgun Gothic"/>
          <w:szCs w:val="24"/>
          <w:lang w:eastAsia="ko-KR"/>
        </w:rPr>
        <w:t>β</w:t>
      </w:r>
      <w:r w:rsidRPr="00801161">
        <w:rPr>
          <w:szCs w:val="24"/>
          <w:lang w:eastAsia="ko-KR"/>
        </w:rPr>
        <w:t xml:space="preserve">1) to change the subtype of macrophages into </w:t>
      </w:r>
      <w:r w:rsidRPr="00801161">
        <w:rPr>
          <w:rFonts w:eastAsia="Malgun Gothic"/>
          <w:szCs w:val="24"/>
          <w:lang w:eastAsia="ko-KR"/>
        </w:rPr>
        <w:t xml:space="preserve">an anti-inflammatory phenotype and to </w:t>
      </w:r>
      <w:r w:rsidRPr="00801161">
        <w:rPr>
          <w:szCs w:val="24"/>
          <w:lang w:eastAsia="ko-KR"/>
        </w:rPr>
        <w:t xml:space="preserve">facilitate peripheral development of Treg cells </w:t>
      </w:r>
      <w:r w:rsidR="000D0053" w:rsidRPr="00801161">
        <w:rPr>
          <w:szCs w:val="24"/>
          <w:lang w:eastAsia="ko-KR"/>
        </w:rPr>
        <w:t>[20]</w:t>
      </w:r>
      <w:r w:rsidRPr="00801161">
        <w:rPr>
          <w:szCs w:val="24"/>
          <w:lang w:eastAsia="ko-KR"/>
        </w:rPr>
        <w:t>. Serum amyloid A is an important acute reactant protein</w:t>
      </w:r>
      <w:r w:rsidR="00BC5F82" w:rsidRPr="00801161">
        <w:rPr>
          <w:szCs w:val="24"/>
          <w:lang w:eastAsia="ko-KR"/>
        </w:rPr>
        <w:t xml:space="preserve"> produced</w:t>
      </w:r>
      <w:r w:rsidRPr="00801161">
        <w:rPr>
          <w:szCs w:val="24"/>
          <w:lang w:eastAsia="ko-KR"/>
        </w:rPr>
        <w:t xml:space="preserve"> in the intestine</w:t>
      </w:r>
      <w:r w:rsidR="00BC5F82" w:rsidRPr="00801161">
        <w:rPr>
          <w:szCs w:val="24"/>
          <w:lang w:eastAsia="ko-KR"/>
        </w:rPr>
        <w:t xml:space="preserve"> and liver</w:t>
      </w:r>
      <w:r w:rsidR="00CF76E7" w:rsidRPr="00801161">
        <w:rPr>
          <w:szCs w:val="24"/>
          <w:lang w:eastAsia="ko-KR"/>
        </w:rPr>
        <w:t>. A previous study</w:t>
      </w:r>
      <w:r w:rsidRPr="00801161">
        <w:rPr>
          <w:szCs w:val="24"/>
          <w:lang w:eastAsia="ko-KR"/>
        </w:rPr>
        <w:t xml:space="preserve"> demonstrated that serum amyloid A </w:t>
      </w:r>
      <w:r w:rsidR="00827E6E" w:rsidRPr="00801161">
        <w:rPr>
          <w:szCs w:val="24"/>
          <w:lang w:eastAsia="ko-KR"/>
        </w:rPr>
        <w:t xml:space="preserve">had a higher </w:t>
      </w:r>
      <w:r w:rsidRPr="00801161">
        <w:rPr>
          <w:szCs w:val="24"/>
          <w:lang w:eastAsia="ko-KR"/>
        </w:rPr>
        <w:t xml:space="preserve">increase </w:t>
      </w:r>
      <w:r w:rsidR="00BC5F82" w:rsidRPr="00801161">
        <w:rPr>
          <w:szCs w:val="24"/>
          <w:lang w:eastAsia="ko-KR"/>
        </w:rPr>
        <w:t xml:space="preserve">in the presence of </w:t>
      </w:r>
      <w:r w:rsidRPr="00801161">
        <w:rPr>
          <w:szCs w:val="24"/>
          <w:lang w:eastAsia="ko-KR"/>
        </w:rPr>
        <w:t>intestinal microbiota</w:t>
      </w:r>
      <w:r w:rsidR="0039104D" w:rsidRPr="00801161">
        <w:rPr>
          <w:szCs w:val="24"/>
          <w:lang w:eastAsia="ko-KR"/>
        </w:rPr>
        <w:t xml:space="preserve"> than </w:t>
      </w:r>
      <w:r w:rsidRPr="00801161">
        <w:rPr>
          <w:rFonts w:eastAsia="Malgun Gothic"/>
          <w:szCs w:val="24"/>
          <w:lang w:eastAsia="ko-KR"/>
        </w:rPr>
        <w:t xml:space="preserve">in the </w:t>
      </w:r>
      <w:r w:rsidR="0039104D" w:rsidRPr="00801161">
        <w:rPr>
          <w:szCs w:val="24"/>
          <w:lang w:eastAsia="ko-KR"/>
        </w:rPr>
        <w:t>germ-free</w:t>
      </w:r>
      <w:r w:rsidR="006B6A90" w:rsidRPr="00801161">
        <w:rPr>
          <w:szCs w:val="24"/>
          <w:lang w:eastAsia="ko-KR"/>
        </w:rPr>
        <w:t xml:space="preserve"> state</w:t>
      </w:r>
      <w:r w:rsidRPr="00801161">
        <w:rPr>
          <w:szCs w:val="24"/>
          <w:lang w:eastAsia="ko-KR"/>
        </w:rPr>
        <w:t>.</w:t>
      </w:r>
      <w:r w:rsidR="00C1468D" w:rsidRPr="00801161">
        <w:rPr>
          <w:szCs w:val="24"/>
          <w:lang w:eastAsia="ko-KR"/>
        </w:rPr>
        <w:t xml:space="preserve"> </w:t>
      </w:r>
      <w:r w:rsidR="00951D94" w:rsidRPr="00801161">
        <w:rPr>
          <w:szCs w:val="24"/>
          <w:lang w:eastAsia="ko-KR"/>
        </w:rPr>
        <w:t>S</w:t>
      </w:r>
      <w:r w:rsidRPr="00801161">
        <w:rPr>
          <w:szCs w:val="24"/>
          <w:lang w:eastAsia="ko-KR"/>
        </w:rPr>
        <w:t xml:space="preserve">erum amyloid A </w:t>
      </w:r>
      <w:r w:rsidR="00C1468D" w:rsidRPr="00801161">
        <w:rPr>
          <w:szCs w:val="24"/>
          <w:lang w:eastAsia="ko-KR"/>
        </w:rPr>
        <w:t>enhances</w:t>
      </w:r>
      <w:r w:rsidRPr="00801161">
        <w:rPr>
          <w:szCs w:val="24"/>
          <w:lang w:eastAsia="ko-KR"/>
        </w:rPr>
        <w:t xml:space="preserve"> </w:t>
      </w:r>
      <w:r w:rsidR="00C1468D" w:rsidRPr="00801161">
        <w:rPr>
          <w:szCs w:val="24"/>
          <w:lang w:eastAsia="ko-KR"/>
        </w:rPr>
        <w:t>the recruitment</w:t>
      </w:r>
      <w:r w:rsidRPr="00801161">
        <w:rPr>
          <w:szCs w:val="24"/>
          <w:lang w:eastAsia="ko-KR"/>
        </w:rPr>
        <w:t xml:space="preserve"> </w:t>
      </w:r>
      <w:r w:rsidR="00C1468D" w:rsidRPr="00801161">
        <w:rPr>
          <w:szCs w:val="24"/>
          <w:lang w:eastAsia="ko-KR"/>
        </w:rPr>
        <w:t>of neutrophils to the</w:t>
      </w:r>
      <w:r w:rsidRPr="00801161">
        <w:rPr>
          <w:szCs w:val="24"/>
          <w:lang w:eastAsia="ko-KR"/>
        </w:rPr>
        <w:t xml:space="preserve"> intestine and increases pro-inflammatory gene expression in neutrophils, </w:t>
      </w:r>
      <w:r w:rsidR="00827E6E" w:rsidRPr="00801161">
        <w:rPr>
          <w:szCs w:val="24"/>
          <w:lang w:eastAsia="ko-KR"/>
        </w:rPr>
        <w:t>but</w:t>
      </w:r>
      <w:r w:rsidR="00A3212F" w:rsidRPr="00801161">
        <w:rPr>
          <w:szCs w:val="24"/>
          <w:lang w:eastAsia="ko-KR"/>
        </w:rPr>
        <w:t xml:space="preserve"> </w:t>
      </w:r>
      <w:r w:rsidRPr="00801161">
        <w:rPr>
          <w:szCs w:val="24"/>
          <w:lang w:eastAsia="ko-KR"/>
        </w:rPr>
        <w:t>decreases bactericidal capability and inflammatory tones</w:t>
      </w:r>
      <w:r w:rsidR="00097C88" w:rsidRPr="00801161">
        <w:rPr>
          <w:szCs w:val="24"/>
          <w:lang w:eastAsia="ko-KR"/>
        </w:rPr>
        <w:t xml:space="preserve"> [21, 22]</w:t>
      </w:r>
      <w:r w:rsidRPr="00801161">
        <w:rPr>
          <w:szCs w:val="24"/>
          <w:lang w:eastAsia="ko-KR"/>
        </w:rPr>
        <w:t xml:space="preserve">. These contradictory responses </w:t>
      </w:r>
      <w:r w:rsidR="00987CE8" w:rsidRPr="00801161">
        <w:rPr>
          <w:szCs w:val="24"/>
          <w:lang w:eastAsia="ko-KR"/>
        </w:rPr>
        <w:t xml:space="preserve">would not damage </w:t>
      </w:r>
      <w:r w:rsidRPr="00801161">
        <w:rPr>
          <w:rFonts w:eastAsia="Malgun Gothic"/>
          <w:szCs w:val="24"/>
          <w:lang w:eastAsia="ko-KR"/>
        </w:rPr>
        <w:t xml:space="preserve">the intestinal microbiota </w:t>
      </w:r>
      <w:r w:rsidR="002E5F43" w:rsidRPr="00801161">
        <w:rPr>
          <w:rFonts w:eastAsia="Malgun Gothic"/>
          <w:szCs w:val="24"/>
          <w:lang w:eastAsia="ko-KR"/>
        </w:rPr>
        <w:t xml:space="preserve">during the </w:t>
      </w:r>
      <w:r w:rsidR="00161924" w:rsidRPr="00801161">
        <w:rPr>
          <w:szCs w:val="24"/>
          <w:lang w:eastAsia="ko-KR"/>
        </w:rPr>
        <w:t>preventi</w:t>
      </w:r>
      <w:r w:rsidR="002E5F43" w:rsidRPr="00801161">
        <w:rPr>
          <w:szCs w:val="24"/>
          <w:lang w:eastAsia="ko-KR"/>
        </w:rPr>
        <w:t xml:space="preserve">on of </w:t>
      </w:r>
      <w:r w:rsidR="00161924" w:rsidRPr="00801161">
        <w:rPr>
          <w:szCs w:val="24"/>
          <w:lang w:eastAsia="ko-KR"/>
        </w:rPr>
        <w:t>oppo</w:t>
      </w:r>
      <w:r w:rsidR="00423AC8" w:rsidRPr="00801161">
        <w:rPr>
          <w:szCs w:val="24"/>
          <w:lang w:eastAsia="ko-KR"/>
        </w:rPr>
        <w:t>r</w:t>
      </w:r>
      <w:r w:rsidR="00161924" w:rsidRPr="00801161">
        <w:rPr>
          <w:szCs w:val="24"/>
          <w:lang w:eastAsia="ko-KR"/>
        </w:rPr>
        <w:t xml:space="preserve">tunistic infections by </w:t>
      </w:r>
      <w:r w:rsidR="00FD2DE6" w:rsidRPr="00801161">
        <w:rPr>
          <w:szCs w:val="24"/>
          <w:lang w:eastAsia="ko-KR"/>
        </w:rPr>
        <w:t>commensal bacteria</w:t>
      </w:r>
      <w:r w:rsidRPr="00801161">
        <w:rPr>
          <w:szCs w:val="24"/>
          <w:lang w:eastAsia="ko-KR"/>
        </w:rPr>
        <w:t xml:space="preserve">. </w:t>
      </w:r>
      <w:r w:rsidR="00161924" w:rsidRPr="00801161">
        <w:rPr>
          <w:szCs w:val="24"/>
        </w:rPr>
        <w:t>C</w:t>
      </w:r>
      <w:r w:rsidR="00161924" w:rsidRPr="00801161">
        <w:rPr>
          <w:szCs w:val="24"/>
          <w:lang w:eastAsia="ko-KR"/>
        </w:rPr>
        <w:t>D4</w:t>
      </w:r>
      <w:r w:rsidR="00161924" w:rsidRPr="00801161">
        <w:rPr>
          <w:szCs w:val="24"/>
          <w:vertAlign w:val="superscript"/>
          <w:lang w:eastAsia="ko-KR"/>
        </w:rPr>
        <w:t>+</w:t>
      </w:r>
      <w:r w:rsidR="00161924" w:rsidRPr="00801161">
        <w:rPr>
          <w:szCs w:val="24"/>
          <w:lang w:eastAsia="ko-KR"/>
        </w:rPr>
        <w:t xml:space="preserve"> T cells secrete IL-21 and TGF-</w:t>
      </w:r>
      <w:r w:rsidR="00161924" w:rsidRPr="00801161">
        <w:rPr>
          <w:rFonts w:eastAsia="Malgun Gothic"/>
          <w:szCs w:val="24"/>
          <w:lang w:eastAsia="ko-KR"/>
        </w:rPr>
        <w:t>β</w:t>
      </w:r>
      <w:r w:rsidR="00161924" w:rsidRPr="00801161">
        <w:rPr>
          <w:szCs w:val="24"/>
          <w:lang w:eastAsia="ko-KR"/>
        </w:rPr>
        <w:t xml:space="preserve">1 to stimulate immunoglobulin </w:t>
      </w:r>
      <w:r w:rsidR="00A3212F" w:rsidRPr="00801161">
        <w:rPr>
          <w:szCs w:val="24"/>
          <w:lang w:eastAsia="ko-KR"/>
        </w:rPr>
        <w:t xml:space="preserve">(Ig) </w:t>
      </w:r>
      <w:r w:rsidR="00161924" w:rsidRPr="00801161">
        <w:rPr>
          <w:szCs w:val="24"/>
          <w:lang w:eastAsia="ko-KR"/>
        </w:rPr>
        <w:t>class switching in B cells. The secreted IgA</w:t>
      </w:r>
      <w:r w:rsidR="00DC5483" w:rsidRPr="00801161">
        <w:rPr>
          <w:szCs w:val="24"/>
          <w:lang w:eastAsia="ko-KR"/>
        </w:rPr>
        <w:t>s</w:t>
      </w:r>
      <w:r w:rsidR="00161924" w:rsidRPr="00801161">
        <w:rPr>
          <w:szCs w:val="24"/>
          <w:lang w:eastAsia="ko-KR"/>
        </w:rPr>
        <w:t xml:space="preserve"> bind to </w:t>
      </w:r>
      <w:r w:rsidR="00987CE8" w:rsidRPr="00801161">
        <w:rPr>
          <w:szCs w:val="24"/>
          <w:lang w:eastAsia="ko-KR"/>
        </w:rPr>
        <w:t>commensal</w:t>
      </w:r>
      <w:r w:rsidR="00161924" w:rsidRPr="00801161">
        <w:rPr>
          <w:szCs w:val="24"/>
          <w:lang w:eastAsia="ko-KR"/>
        </w:rPr>
        <w:t xml:space="preserve"> bacteria in the</w:t>
      </w:r>
      <w:r w:rsidR="00FD2DE6" w:rsidRPr="00801161">
        <w:rPr>
          <w:szCs w:val="24"/>
          <w:lang w:eastAsia="ko-KR"/>
        </w:rPr>
        <w:t xml:space="preserve"> intestinal</w:t>
      </w:r>
      <w:r w:rsidR="00161924" w:rsidRPr="00801161">
        <w:rPr>
          <w:szCs w:val="24"/>
          <w:lang w:eastAsia="ko-KR"/>
        </w:rPr>
        <w:t xml:space="preserve"> lumen, which prevents bacteria from</w:t>
      </w:r>
      <w:r w:rsidR="00DA0DC2" w:rsidRPr="00801161">
        <w:rPr>
          <w:szCs w:val="24"/>
          <w:lang w:eastAsia="ko-KR"/>
        </w:rPr>
        <w:t xml:space="preserve"> </w:t>
      </w:r>
      <w:r w:rsidR="00DE36A7" w:rsidRPr="00801161">
        <w:rPr>
          <w:szCs w:val="24"/>
          <w:lang w:eastAsia="ko-KR"/>
        </w:rPr>
        <w:t>invading</w:t>
      </w:r>
      <w:r w:rsidR="00161924" w:rsidRPr="00801161">
        <w:rPr>
          <w:szCs w:val="24"/>
          <w:lang w:eastAsia="ko-KR"/>
        </w:rPr>
        <w:t xml:space="preserve"> the intestinal </w:t>
      </w:r>
      <w:r w:rsidR="00DA0DC2" w:rsidRPr="00801161">
        <w:rPr>
          <w:szCs w:val="24"/>
          <w:lang w:eastAsia="ko-KR"/>
        </w:rPr>
        <w:t xml:space="preserve">epithelium, </w:t>
      </w:r>
      <w:r w:rsidR="002115CF" w:rsidRPr="00801161">
        <w:rPr>
          <w:szCs w:val="24"/>
          <w:lang w:eastAsia="ko-KR"/>
        </w:rPr>
        <w:t>and</w:t>
      </w:r>
      <w:r w:rsidR="00DA0DC2" w:rsidRPr="00801161">
        <w:rPr>
          <w:szCs w:val="24"/>
          <w:lang w:eastAsia="ko-KR"/>
        </w:rPr>
        <w:t xml:space="preserve"> suppress the inflammatory reaction</w:t>
      </w:r>
      <w:r w:rsidR="000D35D3" w:rsidRPr="00801161">
        <w:rPr>
          <w:szCs w:val="24"/>
          <w:lang w:eastAsia="ko-KR"/>
        </w:rPr>
        <w:t xml:space="preserve"> </w:t>
      </w:r>
      <w:r w:rsidR="001A4C53" w:rsidRPr="00801161">
        <w:rPr>
          <w:szCs w:val="24"/>
          <w:lang w:eastAsia="ko-KR"/>
        </w:rPr>
        <w:t xml:space="preserve">of </w:t>
      </w:r>
      <w:r w:rsidRPr="00801161">
        <w:rPr>
          <w:rFonts w:eastAsia="Malgun Gothic"/>
          <w:szCs w:val="24"/>
          <w:lang w:eastAsia="ko-KR"/>
        </w:rPr>
        <w:t xml:space="preserve">the intestinal </w:t>
      </w:r>
      <w:r w:rsidR="000D35D3" w:rsidRPr="00801161">
        <w:rPr>
          <w:szCs w:val="24"/>
          <w:lang w:eastAsia="ko-KR"/>
        </w:rPr>
        <w:t>barrier</w:t>
      </w:r>
      <w:r w:rsidR="00786BD2" w:rsidRPr="00801161">
        <w:rPr>
          <w:szCs w:val="24"/>
          <w:lang w:eastAsia="ko-KR"/>
        </w:rPr>
        <w:t xml:space="preserve"> ag</w:t>
      </w:r>
      <w:r w:rsidR="00A3212F" w:rsidRPr="00801161">
        <w:rPr>
          <w:szCs w:val="24"/>
          <w:lang w:eastAsia="ko-KR"/>
        </w:rPr>
        <w:t>a</w:t>
      </w:r>
      <w:r w:rsidR="00786BD2" w:rsidRPr="00801161">
        <w:rPr>
          <w:szCs w:val="24"/>
          <w:lang w:eastAsia="ko-KR"/>
        </w:rPr>
        <w:t xml:space="preserve">inst </w:t>
      </w:r>
      <w:r w:rsidR="00987CE8" w:rsidRPr="00801161">
        <w:rPr>
          <w:szCs w:val="24"/>
          <w:lang w:eastAsia="ko-KR"/>
        </w:rPr>
        <w:t>commensal bacteria</w:t>
      </w:r>
      <w:r w:rsidR="00531889" w:rsidRPr="00801161">
        <w:rPr>
          <w:szCs w:val="24"/>
          <w:lang w:eastAsia="ko-KR"/>
        </w:rPr>
        <w:t xml:space="preserve"> [23</w:t>
      </w:r>
      <w:r w:rsidR="00161924" w:rsidRPr="00801161">
        <w:rPr>
          <w:szCs w:val="24"/>
          <w:lang w:eastAsia="ko-KR"/>
        </w:rPr>
        <w:t>].</w:t>
      </w:r>
      <w:r w:rsidR="00AD1EEC" w:rsidRPr="00801161">
        <w:rPr>
          <w:szCs w:val="24"/>
          <w:lang w:eastAsia="ko-KR"/>
        </w:rPr>
        <w:t xml:space="preserve"> </w:t>
      </w:r>
      <w:r w:rsidRPr="00801161">
        <w:rPr>
          <w:rFonts w:eastAsia="DengXian"/>
          <w:szCs w:val="24"/>
        </w:rPr>
        <w:t xml:space="preserve">Retinoic acid, a metabolite of </w:t>
      </w:r>
      <w:r w:rsidR="00097C88" w:rsidRPr="00801161">
        <w:rPr>
          <w:rFonts w:eastAsia="DengXian"/>
          <w:szCs w:val="24"/>
        </w:rPr>
        <w:t>vitamin A</w:t>
      </w:r>
      <w:r w:rsidRPr="00801161">
        <w:rPr>
          <w:rFonts w:eastAsia="DengXian"/>
          <w:szCs w:val="24"/>
        </w:rPr>
        <w:t xml:space="preserve">, is an important nutritional factor </w:t>
      </w:r>
      <w:r w:rsidR="0060302F" w:rsidRPr="00801161">
        <w:rPr>
          <w:rFonts w:eastAsia="DengXian"/>
          <w:szCs w:val="24"/>
        </w:rPr>
        <w:t xml:space="preserve">that is </w:t>
      </w:r>
      <w:r w:rsidR="007A5DB9" w:rsidRPr="00801161">
        <w:rPr>
          <w:rFonts w:eastAsia="DengXian"/>
          <w:szCs w:val="24"/>
        </w:rPr>
        <w:t xml:space="preserve">closely </w:t>
      </w:r>
      <w:r w:rsidR="0060302F" w:rsidRPr="00801161">
        <w:rPr>
          <w:rFonts w:eastAsia="DengXian"/>
          <w:szCs w:val="24"/>
        </w:rPr>
        <w:t xml:space="preserve">related to </w:t>
      </w:r>
      <w:r w:rsidRPr="00801161">
        <w:rPr>
          <w:rFonts w:eastAsia="DengXian"/>
          <w:szCs w:val="24"/>
        </w:rPr>
        <w:t xml:space="preserve">the immune </w:t>
      </w:r>
      <w:r w:rsidR="0060302F" w:rsidRPr="00801161">
        <w:rPr>
          <w:rFonts w:eastAsia="DengXian"/>
          <w:szCs w:val="24"/>
        </w:rPr>
        <w:t xml:space="preserve">response. </w:t>
      </w:r>
      <w:r w:rsidR="00862041" w:rsidRPr="00801161">
        <w:rPr>
          <w:rFonts w:eastAsia="DengXian"/>
          <w:szCs w:val="24"/>
        </w:rPr>
        <w:t xml:space="preserve">Retinoic acid </w:t>
      </w:r>
      <w:r w:rsidR="0060302F" w:rsidRPr="00801161">
        <w:rPr>
          <w:rFonts w:eastAsia="DengXian"/>
          <w:szCs w:val="24"/>
        </w:rPr>
        <w:t>plays</w:t>
      </w:r>
      <w:r w:rsidR="000D35D3" w:rsidRPr="00801161">
        <w:rPr>
          <w:rFonts w:eastAsia="DengXian"/>
          <w:szCs w:val="24"/>
        </w:rPr>
        <w:t xml:space="preserve"> an important role in </w:t>
      </w:r>
      <w:r w:rsidR="00C27360" w:rsidRPr="00801161">
        <w:rPr>
          <w:rFonts w:eastAsia="DengXian"/>
          <w:szCs w:val="24"/>
        </w:rPr>
        <w:t xml:space="preserve">maintaining intestinal homeostasis, specifically inducing </w:t>
      </w:r>
      <w:r w:rsidR="002E3CEA" w:rsidRPr="00801161">
        <w:rPr>
          <w:rFonts w:eastAsia="DengXian"/>
          <w:szCs w:val="24"/>
        </w:rPr>
        <w:t>intestinal immune tolerance</w:t>
      </w:r>
      <w:r w:rsidR="00C27360" w:rsidRPr="00801161">
        <w:rPr>
          <w:rFonts w:eastAsia="DengXian"/>
          <w:szCs w:val="24"/>
        </w:rPr>
        <w:t xml:space="preserve"> through the </w:t>
      </w:r>
      <w:r w:rsidR="00657059" w:rsidRPr="00801161">
        <w:rPr>
          <w:rFonts w:eastAsia="DengXian"/>
          <w:szCs w:val="24"/>
        </w:rPr>
        <w:t>actions of</w:t>
      </w:r>
      <w:r w:rsidR="00C27360" w:rsidRPr="00801161">
        <w:rPr>
          <w:rFonts w:eastAsia="DengXian"/>
          <w:szCs w:val="24"/>
        </w:rPr>
        <w:t xml:space="preserve"> CD103</w:t>
      </w:r>
      <w:r w:rsidR="00C27360" w:rsidRPr="00801161">
        <w:rPr>
          <w:rFonts w:eastAsia="DengXian"/>
          <w:szCs w:val="24"/>
          <w:vertAlign w:val="superscript"/>
        </w:rPr>
        <w:t>+</w:t>
      </w:r>
      <w:r w:rsidR="00C27360" w:rsidRPr="00801161">
        <w:rPr>
          <w:rFonts w:eastAsia="DengXian"/>
          <w:szCs w:val="24"/>
        </w:rPr>
        <w:t xml:space="preserve"> dendritic cells and innate lymphoid cells (ILCs)3</w:t>
      </w:r>
      <w:r w:rsidR="00531889" w:rsidRPr="00801161">
        <w:rPr>
          <w:rFonts w:eastAsia="DengXian"/>
          <w:szCs w:val="24"/>
        </w:rPr>
        <w:t xml:space="preserve"> [24]</w:t>
      </w:r>
      <w:r w:rsidR="00C27360" w:rsidRPr="00801161">
        <w:rPr>
          <w:rFonts w:eastAsia="DengXian"/>
          <w:szCs w:val="24"/>
        </w:rPr>
        <w:t>.</w:t>
      </w:r>
      <w:r w:rsidR="00E37212" w:rsidRPr="00801161">
        <w:rPr>
          <w:rFonts w:eastAsia="DengXian"/>
          <w:szCs w:val="24"/>
        </w:rPr>
        <w:t xml:space="preserve"> </w:t>
      </w:r>
      <w:r w:rsidR="002115CF" w:rsidRPr="00801161">
        <w:rPr>
          <w:rFonts w:eastAsia="DengXian"/>
          <w:szCs w:val="24"/>
        </w:rPr>
        <w:t>However</w:t>
      </w:r>
      <w:r w:rsidR="00D96A35" w:rsidRPr="00801161">
        <w:rPr>
          <w:rFonts w:eastAsia="DengXian"/>
          <w:szCs w:val="24"/>
        </w:rPr>
        <w:t>,</w:t>
      </w:r>
      <w:r w:rsidR="002115CF" w:rsidRPr="00801161">
        <w:rPr>
          <w:rFonts w:eastAsia="DengXian"/>
          <w:szCs w:val="24"/>
        </w:rPr>
        <w:t xml:space="preserve"> based on</w:t>
      </w:r>
      <w:r w:rsidR="00D96A35" w:rsidRPr="00801161">
        <w:rPr>
          <w:rFonts w:eastAsia="DengXian"/>
          <w:szCs w:val="24"/>
        </w:rPr>
        <w:t xml:space="preserve"> a recent study</w:t>
      </w:r>
      <w:r w:rsidR="002115CF" w:rsidRPr="00801161">
        <w:rPr>
          <w:rFonts w:eastAsia="DengXian"/>
          <w:szCs w:val="24"/>
        </w:rPr>
        <w:t>,</w:t>
      </w:r>
      <w:r w:rsidR="00D96A35" w:rsidRPr="00801161">
        <w:rPr>
          <w:rFonts w:eastAsia="DengXian"/>
          <w:szCs w:val="24"/>
        </w:rPr>
        <w:t xml:space="preserve"> </w:t>
      </w:r>
      <w:r w:rsidR="004663A3" w:rsidRPr="00801161">
        <w:rPr>
          <w:rFonts w:eastAsia="DengXian"/>
          <w:szCs w:val="24"/>
        </w:rPr>
        <w:t>commensal bacteria</w:t>
      </w:r>
      <w:r w:rsidR="00644A9E" w:rsidRPr="00801161">
        <w:rPr>
          <w:rFonts w:eastAsia="DengXian"/>
          <w:szCs w:val="24"/>
        </w:rPr>
        <w:t xml:space="preserve"> </w:t>
      </w:r>
      <w:r w:rsidR="00E6630C" w:rsidRPr="00801161">
        <w:rPr>
          <w:rFonts w:eastAsia="DengXian"/>
          <w:szCs w:val="24"/>
        </w:rPr>
        <w:t>reduced retinoic acid and IL-22 by inhibiting retinol dehydrogenase 7 (Rdh7) in intestinal epithelial cells</w:t>
      </w:r>
      <w:r w:rsidR="008E61AE" w:rsidRPr="00801161">
        <w:rPr>
          <w:rFonts w:eastAsia="DengXian"/>
          <w:szCs w:val="24"/>
        </w:rPr>
        <w:t xml:space="preserve">. </w:t>
      </w:r>
      <w:r w:rsidR="00A37D8B" w:rsidRPr="00801161">
        <w:rPr>
          <w:rFonts w:eastAsia="DengXian"/>
          <w:szCs w:val="24"/>
        </w:rPr>
        <w:t>Consequently</w:t>
      </w:r>
      <w:r w:rsidR="008E61AE" w:rsidRPr="00801161">
        <w:rPr>
          <w:rFonts w:eastAsia="DengXian"/>
          <w:szCs w:val="24"/>
        </w:rPr>
        <w:t>,</w:t>
      </w:r>
      <w:r w:rsidR="00E6630C" w:rsidRPr="00801161">
        <w:rPr>
          <w:rFonts w:eastAsia="DengXian"/>
          <w:szCs w:val="24"/>
        </w:rPr>
        <w:t xml:space="preserve"> </w:t>
      </w:r>
      <w:r w:rsidRPr="00801161">
        <w:rPr>
          <w:rFonts w:eastAsia="DengXian"/>
          <w:szCs w:val="24"/>
        </w:rPr>
        <w:t xml:space="preserve">the anti-microbial reaction was </w:t>
      </w:r>
      <w:r w:rsidR="00E37212" w:rsidRPr="00801161">
        <w:rPr>
          <w:rFonts w:eastAsia="DengXian"/>
          <w:szCs w:val="24"/>
        </w:rPr>
        <w:t>downregulated</w:t>
      </w:r>
      <w:r w:rsidR="008C26E5" w:rsidRPr="00801161">
        <w:rPr>
          <w:rFonts w:eastAsia="DengXian"/>
          <w:szCs w:val="24"/>
        </w:rPr>
        <w:t>,</w:t>
      </w:r>
      <w:r w:rsidR="00E6630C" w:rsidRPr="00801161">
        <w:rPr>
          <w:rFonts w:eastAsia="DengXian"/>
          <w:szCs w:val="24"/>
        </w:rPr>
        <w:t xml:space="preserve"> and a symbiotic state could be maintained</w:t>
      </w:r>
      <w:r w:rsidR="00531889" w:rsidRPr="00801161">
        <w:rPr>
          <w:rFonts w:eastAsia="DengXian"/>
          <w:szCs w:val="24"/>
        </w:rPr>
        <w:t xml:space="preserve"> [25]</w:t>
      </w:r>
      <w:r w:rsidR="00E6630C" w:rsidRPr="00801161">
        <w:rPr>
          <w:rFonts w:eastAsia="DengXian"/>
          <w:szCs w:val="24"/>
        </w:rPr>
        <w:t xml:space="preserve">. </w:t>
      </w:r>
      <w:r w:rsidR="002115CF" w:rsidRPr="00801161">
        <w:rPr>
          <w:rFonts w:eastAsia="DengXian"/>
          <w:szCs w:val="24"/>
        </w:rPr>
        <w:t>Such findings</w:t>
      </w:r>
      <w:r w:rsidR="00583B50" w:rsidRPr="00801161">
        <w:rPr>
          <w:rFonts w:eastAsia="DengXian"/>
          <w:szCs w:val="24"/>
        </w:rPr>
        <w:t xml:space="preserve"> indicate that</w:t>
      </w:r>
      <w:r w:rsidR="00153C27" w:rsidRPr="00801161">
        <w:rPr>
          <w:rFonts w:eastAsia="DengXian"/>
          <w:szCs w:val="24"/>
        </w:rPr>
        <w:t xml:space="preserve"> retinoic acid </w:t>
      </w:r>
      <w:r w:rsidR="008E61AE" w:rsidRPr="00801161">
        <w:rPr>
          <w:rFonts w:eastAsia="DengXian"/>
          <w:szCs w:val="24"/>
        </w:rPr>
        <w:t xml:space="preserve">has </w:t>
      </w:r>
      <w:r w:rsidR="00153C27" w:rsidRPr="00801161">
        <w:rPr>
          <w:rFonts w:eastAsia="DengXian"/>
          <w:szCs w:val="24"/>
        </w:rPr>
        <w:t xml:space="preserve">both tolerogenic capacity and antimicrobial activity. Thus, </w:t>
      </w:r>
      <w:r w:rsidR="00644A9E" w:rsidRPr="00801161">
        <w:rPr>
          <w:rFonts w:eastAsia="DengXian"/>
          <w:szCs w:val="24"/>
        </w:rPr>
        <w:t xml:space="preserve">intestinal </w:t>
      </w:r>
      <w:r w:rsidR="00E92CB7" w:rsidRPr="00801161">
        <w:rPr>
          <w:rFonts w:eastAsia="DengXian"/>
          <w:szCs w:val="24"/>
        </w:rPr>
        <w:t>immune tolerance</w:t>
      </w:r>
      <w:r w:rsidR="00E6630C" w:rsidRPr="00801161">
        <w:rPr>
          <w:rFonts w:eastAsia="DengXian"/>
          <w:szCs w:val="24"/>
        </w:rPr>
        <w:t xml:space="preserve"> does not</w:t>
      </w:r>
      <w:r w:rsidR="00583B50" w:rsidRPr="00801161">
        <w:rPr>
          <w:rFonts w:eastAsia="DengXian"/>
          <w:szCs w:val="24"/>
        </w:rPr>
        <w:t xml:space="preserve"> simply mean</w:t>
      </w:r>
      <w:r w:rsidR="00E6630C" w:rsidRPr="00801161">
        <w:rPr>
          <w:rFonts w:eastAsia="DengXian"/>
          <w:szCs w:val="24"/>
        </w:rPr>
        <w:t xml:space="preserve"> a </w:t>
      </w:r>
      <w:r w:rsidR="00583B50" w:rsidRPr="00801161">
        <w:rPr>
          <w:rFonts w:eastAsia="DengXian"/>
          <w:szCs w:val="24"/>
        </w:rPr>
        <w:t>decrease in intestinal immunity</w:t>
      </w:r>
      <w:r w:rsidRPr="00801161">
        <w:rPr>
          <w:rFonts w:eastAsia="DengXian"/>
          <w:szCs w:val="24"/>
        </w:rPr>
        <w:t xml:space="preserve">, but rather </w:t>
      </w:r>
      <w:r w:rsidR="00606702" w:rsidRPr="00801161">
        <w:rPr>
          <w:rFonts w:eastAsia="DengXian"/>
          <w:szCs w:val="24"/>
        </w:rPr>
        <w:t>a balanced</w:t>
      </w:r>
      <w:r w:rsidR="00A32049" w:rsidRPr="00801161">
        <w:rPr>
          <w:rFonts w:eastAsia="DengXian"/>
          <w:szCs w:val="24"/>
        </w:rPr>
        <w:t xml:space="preserve"> state in which </w:t>
      </w:r>
      <w:r w:rsidR="00583B50" w:rsidRPr="00801161">
        <w:rPr>
          <w:rFonts w:eastAsia="DengXian"/>
          <w:szCs w:val="24"/>
        </w:rPr>
        <w:t>anti-inflammatory and anti-microbial activities coexist.</w:t>
      </w:r>
      <w:r w:rsidR="00E92CB7" w:rsidRPr="00801161">
        <w:rPr>
          <w:rFonts w:eastAsia="DengXian"/>
          <w:szCs w:val="24"/>
        </w:rPr>
        <w:t xml:space="preserve"> </w:t>
      </w:r>
      <w:r w:rsidRPr="00801161">
        <w:rPr>
          <w:rFonts w:eastAsia="Malgun Gothic"/>
          <w:color w:val="000000"/>
          <w:szCs w:val="24"/>
        </w:rPr>
        <w:t xml:space="preserve">The </w:t>
      </w:r>
      <w:r w:rsidR="00A73384" w:rsidRPr="00801161">
        <w:rPr>
          <w:color w:val="000000" w:themeColor="text1"/>
          <w:szCs w:val="24"/>
        </w:rPr>
        <w:t>aryl hydrocarbon receptor</w:t>
      </w:r>
      <w:r w:rsidR="00A73384" w:rsidRPr="00801161">
        <w:rPr>
          <w:rFonts w:eastAsia="DengXian"/>
          <w:szCs w:val="24"/>
        </w:rPr>
        <w:t xml:space="preserve"> (</w:t>
      </w:r>
      <w:r w:rsidR="00423AC8" w:rsidRPr="00801161">
        <w:rPr>
          <w:rFonts w:eastAsia="DengXian"/>
          <w:szCs w:val="24"/>
        </w:rPr>
        <w:t>AhR</w:t>
      </w:r>
      <w:r w:rsidR="00A73384" w:rsidRPr="00801161">
        <w:rPr>
          <w:rFonts w:eastAsia="DengXian"/>
          <w:szCs w:val="24"/>
        </w:rPr>
        <w:t>)</w:t>
      </w:r>
      <w:r w:rsidR="00A32049" w:rsidRPr="00801161">
        <w:rPr>
          <w:rFonts w:eastAsia="DengXian"/>
          <w:szCs w:val="24"/>
        </w:rPr>
        <w:t xml:space="preserve"> </w:t>
      </w:r>
      <w:r w:rsidR="00CD2214" w:rsidRPr="00801161">
        <w:rPr>
          <w:rFonts w:eastAsia="DengXian"/>
          <w:szCs w:val="24"/>
        </w:rPr>
        <w:t>is a transcription factor</w:t>
      </w:r>
      <w:r w:rsidR="00A32049" w:rsidRPr="00801161">
        <w:rPr>
          <w:rFonts w:eastAsia="DengXian"/>
          <w:szCs w:val="24"/>
        </w:rPr>
        <w:t xml:space="preserve"> </w:t>
      </w:r>
      <w:r w:rsidR="00CD2214" w:rsidRPr="00801161">
        <w:rPr>
          <w:rFonts w:eastAsia="DengXian"/>
          <w:szCs w:val="24"/>
        </w:rPr>
        <w:t>that</w:t>
      </w:r>
      <w:r w:rsidR="00364033" w:rsidRPr="00801161">
        <w:rPr>
          <w:rFonts w:eastAsia="DengXian"/>
          <w:szCs w:val="24"/>
        </w:rPr>
        <w:t xml:space="preserve"> induces anti-inflammatory reactions at the gene level</w:t>
      </w:r>
      <w:r w:rsidR="00CD2214" w:rsidRPr="00801161">
        <w:rPr>
          <w:rFonts w:eastAsia="DengXian"/>
          <w:szCs w:val="24"/>
        </w:rPr>
        <w:t xml:space="preserve">. Previous studies </w:t>
      </w:r>
      <w:r w:rsidRPr="00801161">
        <w:rPr>
          <w:rFonts w:eastAsia="DengXian"/>
          <w:szCs w:val="24"/>
        </w:rPr>
        <w:t xml:space="preserve">have indicated that AhR </w:t>
      </w:r>
      <w:r w:rsidR="00CD2214" w:rsidRPr="00801161">
        <w:rPr>
          <w:rFonts w:eastAsia="DengXian"/>
          <w:szCs w:val="24"/>
        </w:rPr>
        <w:t xml:space="preserve">reduces intestinal inflammation through </w:t>
      </w:r>
      <w:r w:rsidR="009E2C86" w:rsidRPr="00801161">
        <w:rPr>
          <w:rFonts w:eastAsia="DengXian"/>
          <w:szCs w:val="24"/>
        </w:rPr>
        <w:t>anti-inflammatory mediators</w:t>
      </w:r>
      <w:r w:rsidR="006B6A90" w:rsidRPr="00801161">
        <w:rPr>
          <w:rFonts w:eastAsia="DengXian"/>
          <w:szCs w:val="24"/>
        </w:rPr>
        <w:t>,</w:t>
      </w:r>
      <w:r w:rsidR="009E2C86" w:rsidRPr="00801161">
        <w:rPr>
          <w:rFonts w:eastAsia="DengXian"/>
          <w:szCs w:val="24"/>
        </w:rPr>
        <w:t xml:space="preserve"> such as</w:t>
      </w:r>
      <w:r w:rsidR="00CE5993" w:rsidRPr="00801161">
        <w:rPr>
          <w:rFonts w:eastAsia="DengXian"/>
          <w:szCs w:val="24"/>
        </w:rPr>
        <w:t xml:space="preserve"> IL-10 and IL-22. </w:t>
      </w:r>
      <w:r w:rsidR="008E61AE" w:rsidRPr="00801161">
        <w:rPr>
          <w:rFonts w:eastAsia="DengXian"/>
          <w:szCs w:val="24"/>
        </w:rPr>
        <w:t>Several</w:t>
      </w:r>
      <w:r w:rsidR="009E2C86" w:rsidRPr="00801161">
        <w:rPr>
          <w:rFonts w:eastAsia="DengXian"/>
          <w:szCs w:val="24"/>
        </w:rPr>
        <w:t xml:space="preserve"> </w:t>
      </w:r>
      <w:r w:rsidR="009E2C86" w:rsidRPr="00801161">
        <w:rPr>
          <w:rFonts w:eastAsia="DengXian"/>
          <w:szCs w:val="24"/>
        </w:rPr>
        <w:lastRenderedPageBreak/>
        <w:t>AhR ligands</w:t>
      </w:r>
      <w:r w:rsidR="009F7895" w:rsidRPr="00801161">
        <w:rPr>
          <w:rFonts w:eastAsia="DengXian"/>
          <w:szCs w:val="24"/>
        </w:rPr>
        <w:t xml:space="preserve"> </w:t>
      </w:r>
      <w:r w:rsidR="008E61AE" w:rsidRPr="00801161">
        <w:rPr>
          <w:rFonts w:eastAsia="DengXian"/>
          <w:szCs w:val="24"/>
        </w:rPr>
        <w:t xml:space="preserve">exist </w:t>
      </w:r>
      <w:r w:rsidR="009F7895" w:rsidRPr="00801161">
        <w:rPr>
          <w:rFonts w:eastAsia="DengXian"/>
          <w:szCs w:val="24"/>
        </w:rPr>
        <w:t>in the intestine</w:t>
      </w:r>
      <w:r w:rsidR="009E2C86" w:rsidRPr="00801161">
        <w:rPr>
          <w:rFonts w:eastAsia="DengXian"/>
          <w:szCs w:val="24"/>
        </w:rPr>
        <w:t xml:space="preserve">, </w:t>
      </w:r>
      <w:r w:rsidR="00F049C5" w:rsidRPr="00801161">
        <w:rPr>
          <w:rFonts w:eastAsia="DengXian"/>
          <w:szCs w:val="24"/>
        </w:rPr>
        <w:t xml:space="preserve">the majority </w:t>
      </w:r>
      <w:r w:rsidR="009E2C86" w:rsidRPr="00801161">
        <w:rPr>
          <w:rFonts w:eastAsia="DengXian"/>
          <w:szCs w:val="24"/>
        </w:rPr>
        <w:t xml:space="preserve">of which </w:t>
      </w:r>
      <w:r w:rsidR="00F049C5" w:rsidRPr="00801161">
        <w:rPr>
          <w:rFonts w:eastAsia="DengXian"/>
          <w:szCs w:val="24"/>
        </w:rPr>
        <w:t>are metabo</w:t>
      </w:r>
      <w:r w:rsidR="007315B7" w:rsidRPr="00801161">
        <w:rPr>
          <w:rFonts w:eastAsia="DengXian"/>
          <w:szCs w:val="24"/>
        </w:rPr>
        <w:t>l</w:t>
      </w:r>
      <w:r w:rsidR="00F049C5" w:rsidRPr="00801161">
        <w:rPr>
          <w:rFonts w:eastAsia="DengXian"/>
          <w:szCs w:val="24"/>
        </w:rPr>
        <w:t>ites of</w:t>
      </w:r>
      <w:r w:rsidR="00CE5993" w:rsidRPr="00801161">
        <w:rPr>
          <w:rFonts w:eastAsia="DengXian"/>
          <w:szCs w:val="24"/>
        </w:rPr>
        <w:t xml:space="preserve"> commensal bacteria. Therefore, intestinal microbiota </w:t>
      </w:r>
      <w:r w:rsidR="00A65D39" w:rsidRPr="00801161">
        <w:rPr>
          <w:rFonts w:eastAsia="DengXian"/>
          <w:szCs w:val="24"/>
        </w:rPr>
        <w:t>cont</w:t>
      </w:r>
      <w:r w:rsidR="007315B7" w:rsidRPr="00801161">
        <w:rPr>
          <w:rFonts w:eastAsia="DengXian"/>
          <w:szCs w:val="24"/>
        </w:rPr>
        <w:t>ri</w:t>
      </w:r>
      <w:r w:rsidR="00A65D39" w:rsidRPr="00801161">
        <w:rPr>
          <w:rFonts w:eastAsia="DengXian"/>
          <w:szCs w:val="24"/>
        </w:rPr>
        <w:t>butes to</w:t>
      </w:r>
      <w:r w:rsidR="00CE5993" w:rsidRPr="00801161">
        <w:rPr>
          <w:rFonts w:eastAsia="DengXian"/>
          <w:szCs w:val="24"/>
        </w:rPr>
        <w:t xml:space="preserve"> </w:t>
      </w:r>
      <w:r w:rsidR="00F049C5" w:rsidRPr="00801161">
        <w:rPr>
          <w:rFonts w:eastAsia="DengXian"/>
          <w:szCs w:val="24"/>
        </w:rPr>
        <w:t>AhR</w:t>
      </w:r>
      <w:r w:rsidR="00D352B8" w:rsidRPr="00801161">
        <w:rPr>
          <w:rFonts w:eastAsia="DengXian"/>
          <w:szCs w:val="24"/>
        </w:rPr>
        <w:t>-</w:t>
      </w:r>
      <w:r w:rsidR="00CE5993" w:rsidRPr="00801161">
        <w:rPr>
          <w:rFonts w:eastAsia="DengXian"/>
          <w:szCs w:val="24"/>
        </w:rPr>
        <w:t>induced immunomodulation</w:t>
      </w:r>
      <w:r w:rsidR="009E0BB8" w:rsidRPr="00801161">
        <w:rPr>
          <w:rFonts w:eastAsia="DengXian"/>
          <w:szCs w:val="24"/>
        </w:rPr>
        <w:t xml:space="preserve"> [26, 27]</w:t>
      </w:r>
      <w:r w:rsidR="00CE5993" w:rsidRPr="00801161">
        <w:rPr>
          <w:rFonts w:eastAsia="DengXian"/>
          <w:szCs w:val="24"/>
        </w:rPr>
        <w:t xml:space="preserve">. </w:t>
      </w:r>
      <w:r w:rsidRPr="00801161">
        <w:rPr>
          <w:rFonts w:eastAsia="DengXian"/>
          <w:color w:val="000000" w:themeColor="text1"/>
          <w:szCs w:val="24"/>
        </w:rPr>
        <w:t>Taken together,</w:t>
      </w:r>
      <w:r w:rsidR="001C132A" w:rsidRPr="00801161">
        <w:rPr>
          <w:rFonts w:eastAsia="DengXian"/>
          <w:color w:val="000000" w:themeColor="text1"/>
          <w:szCs w:val="24"/>
        </w:rPr>
        <w:t xml:space="preserve"> host immunity has dual </w:t>
      </w:r>
      <w:r w:rsidR="00110D9C" w:rsidRPr="00801161">
        <w:rPr>
          <w:rFonts w:eastAsia="DengXian"/>
          <w:color w:val="000000" w:themeColor="text1"/>
          <w:szCs w:val="24"/>
        </w:rPr>
        <w:t>effects</w:t>
      </w:r>
      <w:r w:rsidR="00494FBF" w:rsidRPr="00801161">
        <w:rPr>
          <w:rFonts w:eastAsia="DengXian"/>
          <w:color w:val="000000" w:themeColor="text1"/>
          <w:szCs w:val="24"/>
        </w:rPr>
        <w:t xml:space="preserve"> on </w:t>
      </w:r>
      <w:r w:rsidRPr="00801161">
        <w:rPr>
          <w:rFonts w:eastAsia="DengXian"/>
          <w:color w:val="000000"/>
          <w:szCs w:val="24"/>
        </w:rPr>
        <w:t>the intestinal microbiota</w:t>
      </w:r>
      <w:r w:rsidR="001C132A" w:rsidRPr="00801161">
        <w:rPr>
          <w:rFonts w:eastAsia="DengXian"/>
          <w:color w:val="000000" w:themeColor="text1"/>
          <w:szCs w:val="24"/>
        </w:rPr>
        <w:t xml:space="preserve"> </w:t>
      </w:r>
      <w:r w:rsidR="00423AC8" w:rsidRPr="00801161">
        <w:rPr>
          <w:rFonts w:eastAsia="DengXian"/>
          <w:color w:val="000000" w:themeColor="text1"/>
          <w:szCs w:val="24"/>
        </w:rPr>
        <w:t>to maintain intestinal homeostas</w:t>
      </w:r>
      <w:r w:rsidR="00494FBF" w:rsidRPr="00801161">
        <w:rPr>
          <w:rFonts w:eastAsia="DengXian"/>
          <w:color w:val="000000" w:themeColor="text1"/>
          <w:szCs w:val="24"/>
        </w:rPr>
        <w:t>is. T</w:t>
      </w:r>
      <w:r w:rsidRPr="00801161">
        <w:rPr>
          <w:rFonts w:eastAsia="DengXian"/>
          <w:color w:val="000000" w:themeColor="text1"/>
          <w:szCs w:val="24"/>
        </w:rPr>
        <w:t>he i</w:t>
      </w:r>
      <w:r w:rsidR="00494FBF" w:rsidRPr="00801161">
        <w:rPr>
          <w:rFonts w:eastAsia="DengXian"/>
          <w:color w:val="000000" w:themeColor="text1"/>
          <w:szCs w:val="24"/>
        </w:rPr>
        <w:t xml:space="preserve">ntestinal immune system </w:t>
      </w:r>
      <w:r w:rsidRPr="00801161">
        <w:rPr>
          <w:rFonts w:eastAsia="DengXian"/>
          <w:color w:val="000000" w:themeColor="text1"/>
          <w:szCs w:val="24"/>
        </w:rPr>
        <w:t xml:space="preserve">should </w:t>
      </w:r>
      <w:r w:rsidR="00F70AE7" w:rsidRPr="00801161">
        <w:rPr>
          <w:rFonts w:eastAsia="DengXian"/>
          <w:color w:val="000000" w:themeColor="text1"/>
          <w:szCs w:val="24"/>
        </w:rPr>
        <w:t>maintain</w:t>
      </w:r>
      <w:r w:rsidRPr="00801161">
        <w:rPr>
          <w:rFonts w:eastAsia="DengXian"/>
          <w:color w:val="000000" w:themeColor="text1"/>
          <w:szCs w:val="24"/>
        </w:rPr>
        <w:t xml:space="preserve"> an appropriate </w:t>
      </w:r>
      <w:r w:rsidR="00F70AE7" w:rsidRPr="00801161">
        <w:rPr>
          <w:rFonts w:eastAsia="DengXian"/>
          <w:color w:val="000000" w:themeColor="text1"/>
          <w:szCs w:val="24"/>
        </w:rPr>
        <w:t xml:space="preserve">balance </w:t>
      </w:r>
      <w:r w:rsidR="001C132A" w:rsidRPr="00801161">
        <w:rPr>
          <w:rFonts w:eastAsia="DengXian"/>
          <w:color w:val="000000" w:themeColor="text1"/>
          <w:szCs w:val="24"/>
        </w:rPr>
        <w:t>between inflammatory and anti-inflammatory responses</w:t>
      </w:r>
      <w:r w:rsidRPr="00801161">
        <w:rPr>
          <w:rFonts w:eastAsia="DengXian"/>
          <w:color w:val="000000" w:themeColor="text1"/>
          <w:szCs w:val="24"/>
        </w:rPr>
        <w:t xml:space="preserve">. </w:t>
      </w:r>
      <w:r w:rsidR="000366C1" w:rsidRPr="00801161">
        <w:rPr>
          <w:rFonts w:eastAsia="DengXian"/>
          <w:color w:val="000000" w:themeColor="text1"/>
          <w:szCs w:val="24"/>
        </w:rPr>
        <w:t xml:space="preserve">Dysbiosis, </w:t>
      </w:r>
      <w:r w:rsidR="00F70AE7" w:rsidRPr="00801161">
        <w:rPr>
          <w:rFonts w:eastAsia="DengXian"/>
          <w:color w:val="000000" w:themeColor="text1"/>
          <w:szCs w:val="24"/>
        </w:rPr>
        <w:t xml:space="preserve">which is an </w:t>
      </w:r>
      <w:r w:rsidRPr="00801161">
        <w:rPr>
          <w:rFonts w:eastAsia="DengXian"/>
          <w:color w:val="000000" w:themeColor="text1"/>
          <w:szCs w:val="24"/>
        </w:rPr>
        <w:t xml:space="preserve">imbalance </w:t>
      </w:r>
      <w:r w:rsidR="00F70AE7" w:rsidRPr="00801161">
        <w:rPr>
          <w:rFonts w:eastAsia="DengXian"/>
          <w:color w:val="000000" w:themeColor="text1"/>
          <w:szCs w:val="24"/>
        </w:rPr>
        <w:t xml:space="preserve">in microbes </w:t>
      </w:r>
      <w:r w:rsidRPr="00801161">
        <w:rPr>
          <w:rFonts w:eastAsia="DengXian"/>
          <w:color w:val="000000" w:themeColor="text1"/>
          <w:szCs w:val="24"/>
        </w:rPr>
        <w:t>in the intestine</w:t>
      </w:r>
      <w:r w:rsidRPr="00801161">
        <w:rPr>
          <w:rFonts w:eastAsia="DengXian"/>
          <w:color w:val="000000"/>
          <w:szCs w:val="24"/>
        </w:rPr>
        <w:t xml:space="preserve">, </w:t>
      </w:r>
      <w:r w:rsidR="000366C1" w:rsidRPr="00801161">
        <w:rPr>
          <w:rFonts w:eastAsia="DengXian"/>
          <w:color w:val="000000" w:themeColor="text1"/>
          <w:szCs w:val="24"/>
        </w:rPr>
        <w:t>disrupts</w:t>
      </w:r>
      <w:r w:rsidR="00ED5F2F" w:rsidRPr="00801161">
        <w:rPr>
          <w:rFonts w:eastAsia="DengXian"/>
          <w:color w:val="000000" w:themeColor="text1"/>
          <w:szCs w:val="24"/>
        </w:rPr>
        <w:t xml:space="preserve"> </w:t>
      </w:r>
      <w:r w:rsidRPr="00801161">
        <w:rPr>
          <w:rFonts w:eastAsia="DengXian"/>
          <w:color w:val="000000" w:themeColor="text1"/>
          <w:szCs w:val="24"/>
        </w:rPr>
        <w:t>intestinal homeostasis and</w:t>
      </w:r>
      <w:r w:rsidR="00F70AE7" w:rsidRPr="00801161">
        <w:rPr>
          <w:rFonts w:eastAsia="DengXian"/>
          <w:color w:val="000000" w:themeColor="text1"/>
          <w:szCs w:val="24"/>
        </w:rPr>
        <w:t xml:space="preserve"> </w:t>
      </w:r>
      <w:r w:rsidRPr="00801161">
        <w:rPr>
          <w:rFonts w:eastAsia="DengXian"/>
          <w:color w:val="000000" w:themeColor="text1"/>
          <w:szCs w:val="24"/>
        </w:rPr>
        <w:t xml:space="preserve">should </w:t>
      </w:r>
      <w:r w:rsidR="00F70AE7" w:rsidRPr="00801161">
        <w:rPr>
          <w:rFonts w:eastAsia="DengXian"/>
          <w:color w:val="000000" w:themeColor="text1"/>
          <w:szCs w:val="24"/>
        </w:rPr>
        <w:t xml:space="preserve">thus </w:t>
      </w:r>
      <w:r w:rsidRPr="00801161">
        <w:rPr>
          <w:rFonts w:eastAsia="DengXian"/>
          <w:color w:val="000000" w:themeColor="text1"/>
          <w:szCs w:val="24"/>
        </w:rPr>
        <w:t>be considered</w:t>
      </w:r>
      <w:r w:rsidR="006B6A90" w:rsidRPr="00801161">
        <w:rPr>
          <w:rFonts w:eastAsia="DengXian"/>
          <w:color w:val="000000" w:themeColor="text1"/>
          <w:szCs w:val="24"/>
        </w:rPr>
        <w:t xml:space="preserve"> </w:t>
      </w:r>
      <w:r w:rsidR="00F70AE7" w:rsidRPr="00801161">
        <w:rPr>
          <w:rFonts w:eastAsia="DengXian"/>
          <w:color w:val="000000" w:themeColor="text1"/>
          <w:szCs w:val="24"/>
        </w:rPr>
        <w:t xml:space="preserve">as </w:t>
      </w:r>
      <w:r w:rsidRPr="00801161">
        <w:rPr>
          <w:rFonts w:eastAsia="DengXian"/>
          <w:color w:val="000000" w:themeColor="text1"/>
          <w:szCs w:val="24"/>
        </w:rPr>
        <w:t>a major cause of IBD</w:t>
      </w:r>
      <w:r w:rsidR="009E0BB8" w:rsidRPr="00801161">
        <w:rPr>
          <w:rFonts w:eastAsia="DengXian"/>
          <w:color w:val="000000" w:themeColor="text1"/>
          <w:szCs w:val="24"/>
        </w:rPr>
        <w:t xml:space="preserve"> [28</w:t>
      </w:r>
      <w:r w:rsidR="002B31FF" w:rsidRPr="00801161">
        <w:rPr>
          <w:rFonts w:eastAsia="DengXian"/>
          <w:color w:val="000000" w:themeColor="text1"/>
          <w:szCs w:val="24"/>
        </w:rPr>
        <w:t>]</w:t>
      </w:r>
      <w:r w:rsidRPr="00801161">
        <w:rPr>
          <w:rFonts w:eastAsia="DengXian"/>
          <w:color w:val="000000" w:themeColor="text1"/>
          <w:szCs w:val="24"/>
        </w:rPr>
        <w:t>.</w:t>
      </w:r>
    </w:p>
    <w:p w14:paraId="3649BC4B" w14:textId="3BB9A974" w:rsidR="003F3B59" w:rsidRPr="00801161" w:rsidRDefault="007C280A" w:rsidP="0080540D">
      <w:pPr>
        <w:spacing w:before="120" w:after="120" w:line="480" w:lineRule="auto"/>
        <w:ind w:firstLine="800"/>
        <w:jc w:val="both"/>
        <w:rPr>
          <w:szCs w:val="24"/>
        </w:rPr>
      </w:pPr>
      <w:r w:rsidRPr="00801161">
        <w:rPr>
          <w:rFonts w:eastAsia="Malgun Gothic"/>
          <w:szCs w:val="24"/>
        </w:rPr>
        <w:t xml:space="preserve">The </w:t>
      </w:r>
      <w:r w:rsidRPr="00801161">
        <w:rPr>
          <w:szCs w:val="24"/>
        </w:rPr>
        <w:t>intestinal epithelium is one of the key components that sustain</w:t>
      </w:r>
      <w:r w:rsidR="0088493F" w:rsidRPr="00801161">
        <w:rPr>
          <w:szCs w:val="24"/>
        </w:rPr>
        <w:t xml:space="preserve"> homeostasis of the intestine</w:t>
      </w:r>
      <w:r w:rsidRPr="00801161">
        <w:rPr>
          <w:szCs w:val="24"/>
        </w:rPr>
        <w:t xml:space="preserve">. The membranous barrier separates intestinal germs from </w:t>
      </w:r>
      <w:r w:rsidRPr="00801161">
        <w:rPr>
          <w:rFonts w:eastAsia="Malgun Gothic"/>
          <w:szCs w:val="24"/>
        </w:rPr>
        <w:t>the submucosal lymphoid tissue to prevent inflammatory responses</w:t>
      </w:r>
      <w:r w:rsidR="00430D02" w:rsidRPr="00801161">
        <w:rPr>
          <w:szCs w:val="24"/>
        </w:rPr>
        <w:t xml:space="preserve"> and</w:t>
      </w:r>
      <w:r w:rsidRPr="00801161">
        <w:rPr>
          <w:szCs w:val="24"/>
        </w:rPr>
        <w:t xml:space="preserve"> integrates molecular signals from dietary metabolites, commensal bacteria, and pathogens to regulate immune reactions </w:t>
      </w:r>
      <w:r w:rsidRPr="00FD697C">
        <w:rPr>
          <w:szCs w:val="24"/>
        </w:rPr>
        <w:t>[2</w:t>
      </w:r>
      <w:r w:rsidR="009E0BB8" w:rsidRPr="00FD697C">
        <w:rPr>
          <w:szCs w:val="24"/>
        </w:rPr>
        <w:t>9</w:t>
      </w:r>
      <w:r w:rsidRPr="00FD697C">
        <w:rPr>
          <w:szCs w:val="24"/>
        </w:rPr>
        <w:t>]</w:t>
      </w:r>
      <w:r w:rsidRPr="00801161">
        <w:rPr>
          <w:szCs w:val="24"/>
        </w:rPr>
        <w:t xml:space="preserve">. </w:t>
      </w:r>
      <w:r w:rsidRPr="00801161">
        <w:rPr>
          <w:color w:val="000000" w:themeColor="text1"/>
          <w:szCs w:val="24"/>
        </w:rPr>
        <w:t xml:space="preserve">Resident lymphoid cells, such as </w:t>
      </w:r>
      <w:r w:rsidR="0029180E" w:rsidRPr="00801161">
        <w:rPr>
          <w:color w:val="000000" w:themeColor="text1"/>
          <w:szCs w:val="24"/>
        </w:rPr>
        <w:t>NK</w:t>
      </w:r>
      <w:r w:rsidRPr="00801161">
        <w:rPr>
          <w:color w:val="000000" w:themeColor="text1"/>
          <w:szCs w:val="24"/>
        </w:rPr>
        <w:t xml:space="preserve"> T cells, </w:t>
      </w:r>
      <w:r w:rsidRPr="00801161">
        <w:rPr>
          <w:rFonts w:eastAsia="Malgun Gothic"/>
          <w:color w:val="000000" w:themeColor="text1"/>
          <w:szCs w:val="24"/>
        </w:rPr>
        <w:t>γ</w:t>
      </w:r>
      <w:r w:rsidRPr="00801161">
        <w:rPr>
          <w:color w:val="000000" w:themeColor="text1"/>
          <w:szCs w:val="24"/>
        </w:rPr>
        <w:t xml:space="preserve">δ T cells, </w:t>
      </w:r>
      <w:r w:rsidR="005F4221" w:rsidRPr="00801161">
        <w:rPr>
          <w:color w:val="000000" w:themeColor="text1"/>
          <w:szCs w:val="24"/>
        </w:rPr>
        <w:t>ILCs</w:t>
      </w:r>
      <w:r w:rsidRPr="00801161">
        <w:rPr>
          <w:color w:val="000000" w:themeColor="text1"/>
          <w:szCs w:val="24"/>
        </w:rPr>
        <w:t>, intraepithelial lymphocytes, and CD8</w:t>
      </w:r>
      <w:r w:rsidRPr="00801161">
        <w:rPr>
          <w:color w:val="000000" w:themeColor="text1"/>
          <w:szCs w:val="24"/>
          <w:vertAlign w:val="superscript"/>
        </w:rPr>
        <w:t>+</w:t>
      </w:r>
      <w:r w:rsidRPr="00801161">
        <w:rPr>
          <w:color w:val="000000" w:themeColor="text1"/>
          <w:szCs w:val="24"/>
        </w:rPr>
        <w:t xml:space="preserve"> mucosal-associated invariant T cells produce IL-6, IL-17, and IL-22 to activate the signal transducer and activator of transcription (STAT</w:t>
      </w:r>
      <w:r w:rsidR="00D518B9" w:rsidRPr="00801161">
        <w:rPr>
          <w:color w:val="000000" w:themeColor="text1"/>
          <w:szCs w:val="24"/>
        </w:rPr>
        <w:t xml:space="preserve">) </w:t>
      </w:r>
      <w:r w:rsidRPr="00801161">
        <w:rPr>
          <w:color w:val="000000" w:themeColor="text1"/>
          <w:szCs w:val="24"/>
        </w:rPr>
        <w:t>3 pathway in response to disruption of the intestinal barrier</w:t>
      </w:r>
      <w:r w:rsidRPr="00FD697C">
        <w:rPr>
          <w:color w:val="000000" w:themeColor="text1"/>
          <w:szCs w:val="24"/>
        </w:rPr>
        <w:t>. The</w:t>
      </w:r>
      <w:r w:rsidRPr="00801161">
        <w:rPr>
          <w:color w:val="000000" w:themeColor="text1"/>
          <w:szCs w:val="24"/>
        </w:rPr>
        <w:t xml:space="preserve"> </w:t>
      </w:r>
      <w:r w:rsidRPr="00801161">
        <w:rPr>
          <w:szCs w:val="24"/>
        </w:rPr>
        <w:t xml:space="preserve">STAT3 pathway promotes </w:t>
      </w:r>
      <w:r w:rsidR="006B6A90" w:rsidRPr="00801161">
        <w:rPr>
          <w:szCs w:val="24"/>
        </w:rPr>
        <w:t xml:space="preserve">the recovery of </w:t>
      </w:r>
      <w:r w:rsidRPr="00801161">
        <w:rPr>
          <w:szCs w:val="24"/>
        </w:rPr>
        <w:t xml:space="preserve">barrier function </w:t>
      </w:r>
      <w:r w:rsidR="006B6A90" w:rsidRPr="00801161">
        <w:rPr>
          <w:szCs w:val="24"/>
        </w:rPr>
        <w:t>and</w:t>
      </w:r>
      <w:r w:rsidRPr="00801161">
        <w:rPr>
          <w:szCs w:val="24"/>
        </w:rPr>
        <w:t xml:space="preserve"> increases mucus secretion and epithelial repair </w:t>
      </w:r>
      <w:r w:rsidR="00596958" w:rsidRPr="00FD697C">
        <w:rPr>
          <w:szCs w:val="24"/>
        </w:rPr>
        <w:t>[</w:t>
      </w:r>
      <w:r w:rsidR="009E0BB8" w:rsidRPr="00FD697C">
        <w:rPr>
          <w:szCs w:val="24"/>
        </w:rPr>
        <w:t>30</w:t>
      </w:r>
      <w:r w:rsidRPr="00FD697C">
        <w:rPr>
          <w:szCs w:val="24"/>
        </w:rPr>
        <w:t>]</w:t>
      </w:r>
      <w:r w:rsidRPr="00801161">
        <w:rPr>
          <w:szCs w:val="24"/>
        </w:rPr>
        <w:t xml:space="preserve">. Macrophages secrete type I interferon </w:t>
      </w:r>
      <w:r w:rsidR="0029180E" w:rsidRPr="00801161">
        <w:rPr>
          <w:szCs w:val="24"/>
        </w:rPr>
        <w:t xml:space="preserve">(IFN) </w:t>
      </w:r>
      <w:r w:rsidRPr="00801161">
        <w:rPr>
          <w:szCs w:val="24"/>
        </w:rPr>
        <w:t xml:space="preserve">and activate STAT1 and </w:t>
      </w:r>
      <w:r w:rsidR="00006D0D">
        <w:rPr>
          <w:szCs w:val="24"/>
        </w:rPr>
        <w:t>STAT</w:t>
      </w:r>
      <w:r w:rsidRPr="00801161">
        <w:rPr>
          <w:szCs w:val="24"/>
        </w:rPr>
        <w:t>2 pathways to prevent epithelial apoptosis, promote epithelial differentiation</w:t>
      </w:r>
      <w:r w:rsidRPr="00801161">
        <w:rPr>
          <w:rFonts w:eastAsia="Malgun Gothic"/>
          <w:szCs w:val="24"/>
        </w:rPr>
        <w:t xml:space="preserve">, and maintain the integrity of the intercellular barrier </w:t>
      </w:r>
      <w:r w:rsidR="009E0BB8" w:rsidRPr="00FD697C">
        <w:rPr>
          <w:szCs w:val="24"/>
        </w:rPr>
        <w:t>[31</w:t>
      </w:r>
      <w:r w:rsidRPr="00FD697C">
        <w:rPr>
          <w:szCs w:val="24"/>
        </w:rPr>
        <w:t>]</w:t>
      </w:r>
      <w:r w:rsidRPr="00801161">
        <w:rPr>
          <w:szCs w:val="24"/>
        </w:rPr>
        <w:t>. CD4</w:t>
      </w:r>
      <w:r w:rsidRPr="00801161">
        <w:rPr>
          <w:szCs w:val="24"/>
          <w:vertAlign w:val="superscript"/>
        </w:rPr>
        <w:t>+</w:t>
      </w:r>
      <w:r w:rsidRPr="00801161">
        <w:rPr>
          <w:szCs w:val="24"/>
        </w:rPr>
        <w:t xml:space="preserve"> T cells produce IL-17 and IL-22 in response to IL-23 and serum amyloid A, which results in the activation of </w:t>
      </w:r>
      <w:r w:rsidRPr="00801161">
        <w:rPr>
          <w:rFonts w:eastAsia="Malgun Gothic"/>
          <w:szCs w:val="24"/>
        </w:rPr>
        <w:t xml:space="preserve">the STAT3 pathway in the epithelium </w:t>
      </w:r>
      <w:r w:rsidRPr="00FD697C">
        <w:rPr>
          <w:szCs w:val="24"/>
        </w:rPr>
        <w:t>[</w:t>
      </w:r>
      <w:r w:rsidR="009E0BB8" w:rsidRPr="00FD697C">
        <w:rPr>
          <w:szCs w:val="24"/>
        </w:rPr>
        <w:t>32</w:t>
      </w:r>
      <w:r w:rsidRPr="00FD697C">
        <w:rPr>
          <w:szCs w:val="24"/>
        </w:rPr>
        <w:t>]</w:t>
      </w:r>
      <w:r w:rsidRPr="00801161">
        <w:rPr>
          <w:szCs w:val="24"/>
        </w:rPr>
        <w:t xml:space="preserve">. These interactions enhance the intestinal barrier against pathogenic luminal bacteria. </w:t>
      </w:r>
    </w:p>
    <w:p w14:paraId="45C958E5" w14:textId="346BC6CA" w:rsidR="00EC348B" w:rsidRPr="00801161" w:rsidRDefault="007C280A" w:rsidP="0080540D">
      <w:pPr>
        <w:spacing w:before="120" w:after="120" w:line="480" w:lineRule="auto"/>
        <w:ind w:firstLine="800"/>
        <w:jc w:val="both"/>
        <w:rPr>
          <w:szCs w:val="24"/>
        </w:rPr>
      </w:pPr>
      <w:r w:rsidRPr="00801161">
        <w:rPr>
          <w:szCs w:val="24"/>
          <w:lang w:eastAsia="ko-KR"/>
        </w:rPr>
        <w:t>When t</w:t>
      </w:r>
      <w:r w:rsidRPr="00801161">
        <w:rPr>
          <w:szCs w:val="24"/>
        </w:rPr>
        <w:t xml:space="preserve">he mucus barrier is broken, permeability through the epithelium increases. These situations are mostly due to the dysfunction of </w:t>
      </w:r>
      <w:r w:rsidRPr="00801161">
        <w:rPr>
          <w:rFonts w:eastAsia="Malgun Gothic"/>
          <w:szCs w:val="24"/>
        </w:rPr>
        <w:t xml:space="preserve">the mucosal barrier itself, or </w:t>
      </w:r>
      <w:r w:rsidRPr="00801161">
        <w:rPr>
          <w:szCs w:val="24"/>
        </w:rPr>
        <w:t xml:space="preserve">inflammatory damage. Mucous membrane disorder, tight junction disorder, increased intestinal permeability, </w:t>
      </w:r>
      <w:r w:rsidRPr="00801161">
        <w:rPr>
          <w:szCs w:val="24"/>
        </w:rPr>
        <w:lastRenderedPageBreak/>
        <w:t xml:space="preserve">and increased binding of </w:t>
      </w:r>
      <w:r w:rsidRPr="00801161">
        <w:rPr>
          <w:color w:val="000000" w:themeColor="text1"/>
          <w:szCs w:val="24"/>
        </w:rPr>
        <w:t>bacteria to epithelial cells can induce intestinal inflammation. Penetration of intestinal bacteria</w:t>
      </w:r>
      <w:r w:rsidRPr="00801161">
        <w:rPr>
          <w:rFonts w:eastAsia="Malgun Gothic"/>
          <w:color w:val="000000"/>
          <w:szCs w:val="24"/>
        </w:rPr>
        <w:t>,</w:t>
      </w:r>
      <w:r w:rsidR="006B3279" w:rsidRPr="00801161">
        <w:rPr>
          <w:color w:val="000000" w:themeColor="text1"/>
          <w:szCs w:val="24"/>
        </w:rPr>
        <w:t xml:space="preserve"> including intestinal microbiota</w:t>
      </w:r>
      <w:r w:rsidRPr="00801161">
        <w:rPr>
          <w:rFonts w:eastAsia="Malgun Gothic"/>
          <w:color w:val="000000"/>
          <w:szCs w:val="24"/>
        </w:rPr>
        <w:t>,</w:t>
      </w:r>
      <w:r w:rsidRPr="00801161">
        <w:rPr>
          <w:color w:val="000000" w:themeColor="text1"/>
          <w:szCs w:val="24"/>
        </w:rPr>
        <w:t xml:space="preserve"> into the </w:t>
      </w:r>
      <w:r w:rsidRPr="00801161">
        <w:rPr>
          <w:szCs w:val="24"/>
        </w:rPr>
        <w:t xml:space="preserve">lamina propria leads to recognition by phagocytes and </w:t>
      </w:r>
      <w:r w:rsidR="00890CDE" w:rsidRPr="00801161">
        <w:rPr>
          <w:szCs w:val="24"/>
        </w:rPr>
        <w:t xml:space="preserve">the </w:t>
      </w:r>
      <w:r w:rsidRPr="00801161">
        <w:rPr>
          <w:szCs w:val="24"/>
        </w:rPr>
        <w:t>production of inflammatory cytokines by macrophages.</w:t>
      </w:r>
      <w:r w:rsidR="0080540D" w:rsidRPr="00801161">
        <w:rPr>
          <w:szCs w:val="24"/>
        </w:rPr>
        <w:t xml:space="preserve"> </w:t>
      </w:r>
      <w:r w:rsidRPr="00801161">
        <w:rPr>
          <w:szCs w:val="24"/>
        </w:rPr>
        <w:t>Macrophages secrete IL-1</w:t>
      </w:r>
      <w:r w:rsidRPr="00801161">
        <w:rPr>
          <w:rFonts w:eastAsia="Malgun Gothic"/>
          <w:szCs w:val="24"/>
        </w:rPr>
        <w:t>β to promote the differentiation of CD4</w:t>
      </w:r>
      <w:r w:rsidRPr="00801161">
        <w:rPr>
          <w:rFonts w:eastAsia="Malgun Gothic"/>
          <w:szCs w:val="24"/>
          <w:vertAlign w:val="superscript"/>
        </w:rPr>
        <w:t>+</w:t>
      </w:r>
      <w:r w:rsidRPr="00801161">
        <w:rPr>
          <w:rFonts w:eastAsia="Malgun Gothic"/>
          <w:szCs w:val="24"/>
        </w:rPr>
        <w:t xml:space="preserve"> T cells into T helper 17 (Th17) cells and </w:t>
      </w:r>
      <w:r w:rsidR="006B6A90" w:rsidRPr="00801161">
        <w:rPr>
          <w:rFonts w:eastAsia="Malgun Gothic"/>
          <w:szCs w:val="24"/>
        </w:rPr>
        <w:t xml:space="preserve">the </w:t>
      </w:r>
      <w:r w:rsidRPr="00801161">
        <w:rPr>
          <w:rFonts w:eastAsia="Malgun Gothic"/>
          <w:szCs w:val="24"/>
        </w:rPr>
        <w:t xml:space="preserve">production of </w:t>
      </w:r>
      <w:r w:rsidRPr="00801161">
        <w:rPr>
          <w:szCs w:val="24"/>
        </w:rPr>
        <w:t xml:space="preserve">IFN-γ </w:t>
      </w:r>
      <w:r w:rsidRPr="00FD697C">
        <w:rPr>
          <w:szCs w:val="24"/>
        </w:rPr>
        <w:t>[3</w:t>
      </w:r>
      <w:r w:rsidR="009E0BB8" w:rsidRPr="00FD697C">
        <w:rPr>
          <w:szCs w:val="24"/>
        </w:rPr>
        <w:t>3</w:t>
      </w:r>
      <w:r w:rsidRPr="00FD697C">
        <w:rPr>
          <w:szCs w:val="24"/>
        </w:rPr>
        <w:t>, 3</w:t>
      </w:r>
      <w:r w:rsidR="009E0BB8" w:rsidRPr="00FD697C">
        <w:rPr>
          <w:szCs w:val="24"/>
        </w:rPr>
        <w:t>4</w:t>
      </w:r>
      <w:r w:rsidRPr="00FD697C">
        <w:rPr>
          <w:szCs w:val="24"/>
        </w:rPr>
        <w:t>]</w:t>
      </w:r>
      <w:r w:rsidRPr="00801161">
        <w:rPr>
          <w:szCs w:val="24"/>
        </w:rPr>
        <w:t>. Damaged epithelium releases IL-18</w:t>
      </w:r>
      <w:r w:rsidRPr="00801161">
        <w:rPr>
          <w:rFonts w:eastAsia="Malgun Gothic"/>
          <w:szCs w:val="24"/>
        </w:rPr>
        <w:t xml:space="preserve">, which disrupts goblet cell maturation and impairs its function, leading to further damage of the membranous barrier </w:t>
      </w:r>
      <w:r w:rsidRPr="00FD697C">
        <w:rPr>
          <w:szCs w:val="24"/>
        </w:rPr>
        <w:t>[3</w:t>
      </w:r>
      <w:r w:rsidR="009E0BB8" w:rsidRPr="00FD697C">
        <w:rPr>
          <w:szCs w:val="24"/>
        </w:rPr>
        <w:t>5</w:t>
      </w:r>
      <w:r w:rsidRPr="00FD697C">
        <w:rPr>
          <w:szCs w:val="24"/>
        </w:rPr>
        <w:t>]</w:t>
      </w:r>
      <w:r w:rsidRPr="00801161">
        <w:rPr>
          <w:szCs w:val="24"/>
        </w:rPr>
        <w:t xml:space="preserve">. Macrophages enhance the survival of pro-inflammatory T cells and stimulate epithelial apoptosis through </w:t>
      </w:r>
      <w:r w:rsidRPr="00801161">
        <w:rPr>
          <w:rFonts w:eastAsia="Malgun Gothic"/>
          <w:szCs w:val="24"/>
        </w:rPr>
        <w:t xml:space="preserve">the </w:t>
      </w:r>
      <w:r w:rsidRPr="00801161">
        <w:rPr>
          <w:szCs w:val="24"/>
        </w:rPr>
        <w:t>tumor necrosis factor-α (TNF‐</w:t>
      </w:r>
      <w:r w:rsidRPr="00801161">
        <w:rPr>
          <w:rFonts w:eastAsia="Malgun Gothic"/>
          <w:szCs w:val="24"/>
        </w:rPr>
        <w:t>α</w:t>
      </w:r>
      <w:r w:rsidRPr="00801161">
        <w:rPr>
          <w:szCs w:val="24"/>
        </w:rPr>
        <w:t xml:space="preserve">) signaling pathway </w:t>
      </w:r>
      <w:r w:rsidRPr="00FD697C">
        <w:rPr>
          <w:szCs w:val="24"/>
        </w:rPr>
        <w:t>[3</w:t>
      </w:r>
      <w:r w:rsidR="009E0BB8" w:rsidRPr="00FD697C">
        <w:rPr>
          <w:szCs w:val="24"/>
        </w:rPr>
        <w:t>6</w:t>
      </w:r>
      <w:r w:rsidRPr="00FD697C">
        <w:rPr>
          <w:szCs w:val="24"/>
        </w:rPr>
        <w:t>, 3</w:t>
      </w:r>
      <w:r w:rsidR="009E0BB8" w:rsidRPr="00FD697C">
        <w:rPr>
          <w:szCs w:val="24"/>
        </w:rPr>
        <w:t>7</w:t>
      </w:r>
      <w:r w:rsidRPr="00FD697C">
        <w:rPr>
          <w:szCs w:val="24"/>
        </w:rPr>
        <w:t>]</w:t>
      </w:r>
      <w:r w:rsidRPr="00801161">
        <w:rPr>
          <w:szCs w:val="24"/>
        </w:rPr>
        <w:t xml:space="preserve">. IL-6 from macrophages and granulocyte-macrophage colony-stimulating factor (GM-CSF) from </w:t>
      </w:r>
      <w:r w:rsidR="000D5C4E" w:rsidRPr="00801161">
        <w:rPr>
          <w:szCs w:val="24"/>
        </w:rPr>
        <w:t>ILC</w:t>
      </w:r>
      <w:r w:rsidRPr="00801161">
        <w:rPr>
          <w:szCs w:val="24"/>
        </w:rPr>
        <w:t xml:space="preserve">s recruit polymorphonuclear leukocytes, which secrete pro-inflammatory cytokines for pathogenic T cell responses </w:t>
      </w:r>
      <w:r w:rsidRPr="00FD697C">
        <w:rPr>
          <w:szCs w:val="24"/>
        </w:rPr>
        <w:t>[3</w:t>
      </w:r>
      <w:r w:rsidR="009E0BB8" w:rsidRPr="00FD697C">
        <w:rPr>
          <w:szCs w:val="24"/>
        </w:rPr>
        <w:t>8</w:t>
      </w:r>
      <w:r w:rsidRPr="00FD697C">
        <w:rPr>
          <w:szCs w:val="24"/>
        </w:rPr>
        <w:t>-</w:t>
      </w:r>
      <w:r w:rsidR="009E0BB8" w:rsidRPr="00FD697C">
        <w:rPr>
          <w:szCs w:val="24"/>
        </w:rPr>
        <w:t>40</w:t>
      </w:r>
      <w:r w:rsidRPr="00FD697C">
        <w:rPr>
          <w:szCs w:val="24"/>
        </w:rPr>
        <w:t>]</w:t>
      </w:r>
      <w:r w:rsidRPr="00801161">
        <w:rPr>
          <w:szCs w:val="24"/>
        </w:rPr>
        <w:t>. Repeated cycles of dysregulated immune responses result in chronic intestinal injury and fibrotic remodeling in patients with IBD</w:t>
      </w:r>
      <w:r w:rsidR="0080540D" w:rsidRPr="00801161">
        <w:rPr>
          <w:szCs w:val="24"/>
        </w:rPr>
        <w:t xml:space="preserve"> [</w:t>
      </w:r>
      <w:r w:rsidR="009E0BB8" w:rsidRPr="00801161">
        <w:rPr>
          <w:szCs w:val="24"/>
        </w:rPr>
        <w:t>41</w:t>
      </w:r>
      <w:r w:rsidR="0080540D" w:rsidRPr="00801161">
        <w:rPr>
          <w:szCs w:val="24"/>
        </w:rPr>
        <w:t>]</w:t>
      </w:r>
      <w:r w:rsidRPr="00801161">
        <w:rPr>
          <w:szCs w:val="24"/>
        </w:rPr>
        <w:t>.</w:t>
      </w:r>
    </w:p>
    <w:p w14:paraId="58642640" w14:textId="01851918" w:rsidR="00EC348B" w:rsidRPr="00801161" w:rsidRDefault="007C280A" w:rsidP="0080540D">
      <w:pPr>
        <w:spacing w:line="480" w:lineRule="auto"/>
        <w:jc w:val="both"/>
        <w:rPr>
          <w:szCs w:val="24"/>
          <w:lang w:eastAsia="ko-KR"/>
        </w:rPr>
      </w:pPr>
      <w:r w:rsidRPr="00801161">
        <w:rPr>
          <w:szCs w:val="24"/>
        </w:rPr>
        <w:tab/>
        <w:t xml:space="preserve">IBD </w:t>
      </w:r>
      <w:r w:rsidRPr="00801161">
        <w:rPr>
          <w:szCs w:val="24"/>
          <w:lang w:eastAsia="ko-KR"/>
        </w:rPr>
        <w:t>is a multifactorial disease. Although</w:t>
      </w:r>
      <w:r w:rsidR="00ED5F2F" w:rsidRPr="00801161">
        <w:rPr>
          <w:szCs w:val="24"/>
          <w:lang w:eastAsia="ko-KR"/>
        </w:rPr>
        <w:t xml:space="preserve"> dysbiosis of commensal bacteria and breakdown of </w:t>
      </w:r>
      <w:r w:rsidRPr="00801161">
        <w:rPr>
          <w:rFonts w:eastAsia="Malgun Gothic"/>
          <w:szCs w:val="24"/>
          <w:lang w:eastAsia="ko-KR"/>
        </w:rPr>
        <w:t>the intestinal barrier</w:t>
      </w:r>
      <w:r w:rsidRPr="00801161">
        <w:rPr>
          <w:szCs w:val="24"/>
          <w:lang w:eastAsia="ko-KR"/>
        </w:rPr>
        <w:t xml:space="preserve"> are considered as major pathological mechanisms in the development of IBD, other important factors</w:t>
      </w:r>
      <w:r w:rsidRPr="00801161">
        <w:rPr>
          <w:rFonts w:eastAsia="Malgun Gothic"/>
          <w:szCs w:val="24"/>
          <w:lang w:eastAsia="ko-KR"/>
        </w:rPr>
        <w:t xml:space="preserve"> such as genetic </w:t>
      </w:r>
      <w:r w:rsidRPr="00801161">
        <w:rPr>
          <w:szCs w:val="24"/>
          <w:lang w:eastAsia="ko-KR"/>
        </w:rPr>
        <w:t>aberrations</w:t>
      </w:r>
      <w:r w:rsidRPr="00801161">
        <w:rPr>
          <w:rFonts w:eastAsia="Malgun Gothic"/>
          <w:szCs w:val="24"/>
          <w:lang w:eastAsia="ko-KR"/>
        </w:rPr>
        <w:t xml:space="preserve"> </w:t>
      </w:r>
      <w:r w:rsidR="000D5C4E" w:rsidRPr="00801161">
        <w:rPr>
          <w:szCs w:val="24"/>
          <w:lang w:eastAsia="ko-KR"/>
        </w:rPr>
        <w:t xml:space="preserve">also </w:t>
      </w:r>
      <w:r w:rsidRPr="00801161">
        <w:rPr>
          <w:szCs w:val="24"/>
          <w:lang w:eastAsia="ko-KR"/>
        </w:rPr>
        <w:t xml:space="preserve">contribute to </w:t>
      </w:r>
      <w:r w:rsidR="00430D02" w:rsidRPr="00801161">
        <w:rPr>
          <w:szCs w:val="24"/>
          <w:lang w:eastAsia="ko-KR"/>
        </w:rPr>
        <w:t xml:space="preserve">its </w:t>
      </w:r>
      <w:r w:rsidRPr="00801161">
        <w:rPr>
          <w:szCs w:val="24"/>
          <w:lang w:eastAsia="ko-KR"/>
        </w:rPr>
        <w:t>development. In this regard, miRNAs are an emerging risk factor for IBD. miRNAs are involved in the maintenance of intestinal barrier integrity</w:t>
      </w:r>
      <w:r w:rsidR="004A1376" w:rsidRPr="00801161">
        <w:rPr>
          <w:szCs w:val="24"/>
          <w:lang w:eastAsia="ko-KR"/>
        </w:rPr>
        <w:t>,</w:t>
      </w:r>
      <w:r w:rsidRPr="00801161">
        <w:rPr>
          <w:szCs w:val="24"/>
          <w:lang w:eastAsia="ko-KR"/>
        </w:rPr>
        <w:t xml:space="preserve"> as well as a large number of intracellular signaling pathways involved in inflammatory or anti-inflammatory actions</w:t>
      </w:r>
      <w:r w:rsidR="00D61232" w:rsidRPr="00801161">
        <w:rPr>
          <w:szCs w:val="24"/>
          <w:lang w:eastAsia="ko-KR"/>
        </w:rPr>
        <w:t xml:space="preserve"> [</w:t>
      </w:r>
      <w:r w:rsidR="009E0BB8" w:rsidRPr="00801161">
        <w:rPr>
          <w:szCs w:val="24"/>
          <w:lang w:eastAsia="ko-KR"/>
        </w:rPr>
        <w:t>42</w:t>
      </w:r>
      <w:r w:rsidR="00D61232" w:rsidRPr="00801161">
        <w:rPr>
          <w:szCs w:val="24"/>
          <w:lang w:eastAsia="ko-KR"/>
        </w:rPr>
        <w:t>]</w:t>
      </w:r>
      <w:r w:rsidRPr="00801161">
        <w:rPr>
          <w:szCs w:val="24"/>
          <w:lang w:eastAsia="ko-KR"/>
        </w:rPr>
        <w:t>.</w:t>
      </w:r>
    </w:p>
    <w:p w14:paraId="151C5605" w14:textId="6A206996" w:rsidR="00CD7E2E" w:rsidRPr="00801161" w:rsidRDefault="007C280A" w:rsidP="00FF2683">
      <w:pPr>
        <w:spacing w:before="120" w:after="120" w:line="480" w:lineRule="auto"/>
        <w:jc w:val="both"/>
        <w:rPr>
          <w:b/>
          <w:sz w:val="28"/>
          <w:szCs w:val="28"/>
        </w:rPr>
      </w:pPr>
      <w:r w:rsidRPr="00801161">
        <w:rPr>
          <w:b/>
          <w:sz w:val="28"/>
          <w:szCs w:val="28"/>
        </w:rPr>
        <w:t xml:space="preserve">Role of miRNAs in </w:t>
      </w:r>
      <w:r w:rsidR="00E35BA9" w:rsidRPr="00801161">
        <w:rPr>
          <w:b/>
          <w:sz w:val="28"/>
          <w:szCs w:val="28"/>
        </w:rPr>
        <w:t xml:space="preserve">the </w:t>
      </w:r>
      <w:r w:rsidRPr="00801161">
        <w:rPr>
          <w:b/>
          <w:sz w:val="28"/>
          <w:szCs w:val="28"/>
        </w:rPr>
        <w:t>pathophysiology</w:t>
      </w:r>
      <w:r w:rsidR="00E35BA9" w:rsidRPr="00801161">
        <w:rPr>
          <w:b/>
          <w:sz w:val="28"/>
          <w:szCs w:val="28"/>
        </w:rPr>
        <w:t xml:space="preserve"> of IBD</w:t>
      </w:r>
    </w:p>
    <w:p w14:paraId="7B1CBF73" w14:textId="1FA3FBAC" w:rsidR="00CD7E2E" w:rsidRPr="00801161" w:rsidRDefault="007C280A" w:rsidP="00F945C9">
      <w:pPr>
        <w:spacing w:before="120" w:after="120" w:line="480" w:lineRule="auto"/>
        <w:ind w:firstLine="800"/>
        <w:jc w:val="both"/>
        <w:rPr>
          <w:b/>
          <w:bCs/>
          <w:szCs w:val="24"/>
        </w:rPr>
      </w:pPr>
      <w:r w:rsidRPr="00801161">
        <w:rPr>
          <w:szCs w:val="24"/>
        </w:rPr>
        <w:t xml:space="preserve">miRNAs have been reported to be associated with several </w:t>
      </w:r>
      <w:r w:rsidRPr="00801161">
        <w:rPr>
          <w:rFonts w:eastAsia="Malgun Gothic"/>
          <w:szCs w:val="24"/>
        </w:rPr>
        <w:t xml:space="preserve">pathophysiological factors </w:t>
      </w:r>
      <w:r w:rsidR="00301EA4" w:rsidRPr="00801161">
        <w:rPr>
          <w:szCs w:val="24"/>
        </w:rPr>
        <w:t>of</w:t>
      </w:r>
      <w:r w:rsidRPr="00801161">
        <w:rPr>
          <w:szCs w:val="24"/>
        </w:rPr>
        <w:t xml:space="preserve"> IBD. </w:t>
      </w:r>
      <w:r w:rsidR="00F945C9" w:rsidRPr="00801161">
        <w:rPr>
          <w:szCs w:val="24"/>
        </w:rPr>
        <w:t>miRNAs affect the intestinal barrier and inflammatory reactions through va</w:t>
      </w:r>
      <w:r w:rsidR="00D44A99" w:rsidRPr="00801161">
        <w:rPr>
          <w:szCs w:val="24"/>
        </w:rPr>
        <w:t>rious pathological mechanisms</w:t>
      </w:r>
      <w:r w:rsidR="00F945C9" w:rsidRPr="00801161">
        <w:rPr>
          <w:szCs w:val="24"/>
        </w:rPr>
        <w:t>.</w:t>
      </w:r>
      <w:r w:rsidRPr="00801161">
        <w:rPr>
          <w:szCs w:val="24"/>
        </w:rPr>
        <w:t xml:space="preserve"> </w:t>
      </w:r>
      <w:r w:rsidR="00D44A99" w:rsidRPr="00801161">
        <w:rPr>
          <w:szCs w:val="24"/>
        </w:rPr>
        <w:t>The pathogenic roles of</w:t>
      </w:r>
      <w:r w:rsidRPr="00801161">
        <w:rPr>
          <w:szCs w:val="24"/>
        </w:rPr>
        <w:t xml:space="preserve"> </w:t>
      </w:r>
      <w:r w:rsidR="00D44A99" w:rsidRPr="00801161">
        <w:rPr>
          <w:szCs w:val="24"/>
        </w:rPr>
        <w:t>miRNAs in IBD are summarized in</w:t>
      </w:r>
      <w:r w:rsidRPr="00801161">
        <w:rPr>
          <w:szCs w:val="24"/>
        </w:rPr>
        <w:t xml:space="preserve"> </w:t>
      </w:r>
      <w:r w:rsidRPr="00801161">
        <w:rPr>
          <w:bCs/>
          <w:szCs w:val="24"/>
        </w:rPr>
        <w:t>Table 1.</w:t>
      </w:r>
    </w:p>
    <w:p w14:paraId="18E9A37A" w14:textId="210162F0" w:rsidR="00CD7E2E" w:rsidRPr="00801161" w:rsidRDefault="007C280A" w:rsidP="00FF2683">
      <w:pPr>
        <w:spacing w:before="120" w:after="120" w:line="480" w:lineRule="auto"/>
        <w:jc w:val="both"/>
        <w:rPr>
          <w:rFonts w:ascii="Arial" w:hAnsi="Arial" w:cs="Arial"/>
          <w:szCs w:val="24"/>
        </w:rPr>
      </w:pPr>
      <w:r w:rsidRPr="00801161">
        <w:rPr>
          <w:rFonts w:ascii="Arial" w:hAnsi="Arial" w:cs="Arial"/>
          <w:b/>
          <w:bCs/>
          <w:color w:val="000000" w:themeColor="text1"/>
          <w:szCs w:val="24"/>
        </w:rPr>
        <w:t>miRNAs and</w:t>
      </w:r>
      <w:r w:rsidR="00234B26" w:rsidRPr="00801161">
        <w:rPr>
          <w:rFonts w:ascii="Arial" w:hAnsi="Arial" w:cs="Arial"/>
          <w:b/>
          <w:bCs/>
          <w:color w:val="000000" w:themeColor="text1"/>
          <w:szCs w:val="24"/>
        </w:rPr>
        <w:t xml:space="preserve"> the</w:t>
      </w:r>
      <w:r w:rsidRPr="00801161">
        <w:rPr>
          <w:rFonts w:ascii="Arial" w:hAnsi="Arial" w:cs="Arial"/>
          <w:b/>
          <w:bCs/>
          <w:color w:val="000000" w:themeColor="text1"/>
          <w:szCs w:val="24"/>
        </w:rPr>
        <w:t xml:space="preserve"> intestinal barrier in IBD</w:t>
      </w:r>
    </w:p>
    <w:p w14:paraId="56314D2B" w14:textId="4EFEF050" w:rsidR="00CD7E2E" w:rsidRPr="00801161" w:rsidRDefault="007C280A" w:rsidP="00FF2683">
      <w:pPr>
        <w:spacing w:before="120" w:after="120" w:line="480" w:lineRule="auto"/>
        <w:ind w:firstLine="800"/>
        <w:jc w:val="both"/>
        <w:rPr>
          <w:szCs w:val="24"/>
        </w:rPr>
      </w:pPr>
      <w:r w:rsidRPr="00801161">
        <w:rPr>
          <w:szCs w:val="24"/>
        </w:rPr>
        <w:lastRenderedPageBreak/>
        <w:t>Disrupted intestinal membranes are one of the most significant factors in the pathogenesis of IBD. TNF-</w:t>
      </w:r>
      <w:r w:rsidRPr="00801161">
        <w:rPr>
          <w:rFonts w:eastAsia="Malgun Gothic"/>
          <w:szCs w:val="24"/>
        </w:rPr>
        <w:t>α</w:t>
      </w:r>
      <w:r w:rsidRPr="00801161">
        <w:rPr>
          <w:szCs w:val="24"/>
        </w:rPr>
        <w:t xml:space="preserve"> is known to be a major pro-inflammatory cytokine in the pathogenesis of IBD</w:t>
      </w:r>
      <w:r w:rsidR="00234B26" w:rsidRPr="00801161">
        <w:rPr>
          <w:szCs w:val="24"/>
        </w:rPr>
        <w:t>.</w:t>
      </w:r>
      <w:r w:rsidRPr="00801161">
        <w:rPr>
          <w:szCs w:val="24"/>
        </w:rPr>
        <w:t xml:space="preserve"> </w:t>
      </w:r>
      <w:r w:rsidR="00DC7B28" w:rsidRPr="00801161">
        <w:rPr>
          <w:szCs w:val="24"/>
        </w:rPr>
        <w:t>Therefore</w:t>
      </w:r>
      <w:r w:rsidR="00040051" w:rsidRPr="00801161">
        <w:rPr>
          <w:szCs w:val="24"/>
        </w:rPr>
        <w:t>,</w:t>
      </w:r>
      <w:r w:rsidR="00234B26" w:rsidRPr="00801161">
        <w:rPr>
          <w:szCs w:val="24"/>
        </w:rPr>
        <w:t xml:space="preserve"> s</w:t>
      </w:r>
      <w:r w:rsidRPr="00801161">
        <w:rPr>
          <w:szCs w:val="24"/>
        </w:rPr>
        <w:t xml:space="preserve">everal </w:t>
      </w:r>
      <w:r w:rsidRPr="00801161">
        <w:rPr>
          <w:i/>
          <w:iCs/>
          <w:szCs w:val="24"/>
        </w:rPr>
        <w:t>in vitro</w:t>
      </w:r>
      <w:r w:rsidRPr="00801161">
        <w:rPr>
          <w:szCs w:val="24"/>
        </w:rPr>
        <w:t xml:space="preserve"> experiments have been conducted using intestinal epithelial cells to induce injury by TNF-</w:t>
      </w:r>
      <w:r w:rsidRPr="00801161">
        <w:rPr>
          <w:rFonts w:eastAsia="Malgun Gothic"/>
          <w:szCs w:val="24"/>
        </w:rPr>
        <w:t>α</w:t>
      </w:r>
      <w:r w:rsidR="00D61232" w:rsidRPr="00801161">
        <w:rPr>
          <w:rFonts w:eastAsia="Malgun Gothic"/>
          <w:szCs w:val="24"/>
        </w:rPr>
        <w:t xml:space="preserve"> </w:t>
      </w:r>
      <w:r w:rsidR="009E0BB8" w:rsidRPr="00FD697C">
        <w:rPr>
          <w:rFonts w:eastAsia="Malgun Gothic"/>
          <w:szCs w:val="24"/>
        </w:rPr>
        <w:t>[43</w:t>
      </w:r>
      <w:r w:rsidRPr="00FD697C">
        <w:rPr>
          <w:rFonts w:eastAsia="Malgun Gothic"/>
          <w:szCs w:val="24"/>
        </w:rPr>
        <w:t>]</w:t>
      </w:r>
      <w:r w:rsidRPr="00801161">
        <w:rPr>
          <w:rFonts w:eastAsia="Malgun Gothic"/>
          <w:szCs w:val="24"/>
        </w:rPr>
        <w:t>.</w:t>
      </w:r>
      <w:r w:rsidRPr="00801161">
        <w:rPr>
          <w:szCs w:val="24"/>
        </w:rPr>
        <w:t xml:space="preserve"> miR-191a and miR-212 are known to damage intestinal barriers</w:t>
      </w:r>
      <w:r w:rsidR="00301EA4" w:rsidRPr="00801161">
        <w:rPr>
          <w:rFonts w:eastAsia="Malgun Gothic"/>
          <w:szCs w:val="24"/>
        </w:rPr>
        <w:t>. In fact,</w:t>
      </w:r>
      <w:r w:rsidRPr="00801161">
        <w:rPr>
          <w:szCs w:val="24"/>
        </w:rPr>
        <w:t xml:space="preserve"> </w:t>
      </w:r>
      <w:r w:rsidRPr="00801161">
        <w:rPr>
          <w:i/>
          <w:iCs/>
          <w:szCs w:val="24"/>
        </w:rPr>
        <w:t>in vitro</w:t>
      </w:r>
      <w:r w:rsidRPr="00801161">
        <w:rPr>
          <w:szCs w:val="24"/>
        </w:rPr>
        <w:t xml:space="preserve"> studies have shown that their mimics downregulate the expression of zonula occludens (ZO</w:t>
      </w:r>
      <w:r w:rsidR="00C4649E" w:rsidRPr="00801161">
        <w:rPr>
          <w:szCs w:val="24"/>
        </w:rPr>
        <w:t>)</w:t>
      </w:r>
      <w:r w:rsidRPr="00801161">
        <w:rPr>
          <w:szCs w:val="24"/>
        </w:rPr>
        <w:t xml:space="preserve">-1, one of the major components of the tight junction between </w:t>
      </w:r>
      <w:r w:rsidRPr="00801161">
        <w:rPr>
          <w:rFonts w:eastAsia="Malgun Gothic"/>
          <w:szCs w:val="24"/>
        </w:rPr>
        <w:t>the intestinal epithelium</w:t>
      </w:r>
      <w:r w:rsidR="00D61232" w:rsidRPr="00801161">
        <w:rPr>
          <w:szCs w:val="24"/>
        </w:rPr>
        <w:t xml:space="preserve"> </w:t>
      </w:r>
      <w:r w:rsidRPr="00FD697C">
        <w:rPr>
          <w:szCs w:val="24"/>
        </w:rPr>
        <w:t>[4</w:t>
      </w:r>
      <w:r w:rsidR="009E0BB8" w:rsidRPr="00FD697C">
        <w:rPr>
          <w:szCs w:val="24"/>
        </w:rPr>
        <w:t>4</w:t>
      </w:r>
      <w:r w:rsidRPr="00FD697C">
        <w:rPr>
          <w:szCs w:val="24"/>
        </w:rPr>
        <w:t>, 4</w:t>
      </w:r>
      <w:r w:rsidR="009E0BB8" w:rsidRPr="00FD697C">
        <w:rPr>
          <w:szCs w:val="24"/>
        </w:rPr>
        <w:t>5</w:t>
      </w:r>
      <w:r w:rsidRPr="00FD697C">
        <w:rPr>
          <w:szCs w:val="24"/>
        </w:rPr>
        <w:t>]</w:t>
      </w:r>
      <w:r w:rsidRPr="00801161">
        <w:rPr>
          <w:szCs w:val="24"/>
        </w:rPr>
        <w:t xml:space="preserve">. </w:t>
      </w:r>
      <w:r w:rsidR="00234B26" w:rsidRPr="00801161">
        <w:rPr>
          <w:szCs w:val="24"/>
        </w:rPr>
        <w:t xml:space="preserve">By measuring </w:t>
      </w:r>
      <w:r w:rsidRPr="00801161">
        <w:rPr>
          <w:rFonts w:eastAsia="Malgun Gothic"/>
          <w:szCs w:val="24"/>
        </w:rPr>
        <w:t>the binding of m</w:t>
      </w:r>
      <w:r w:rsidRPr="00801161">
        <w:rPr>
          <w:szCs w:val="24"/>
        </w:rPr>
        <w:t xml:space="preserve">iR-675 in colon cells </w:t>
      </w:r>
      <w:r w:rsidRPr="00801161">
        <w:rPr>
          <w:i/>
          <w:iCs/>
          <w:szCs w:val="24"/>
        </w:rPr>
        <w:t>in vitro</w:t>
      </w:r>
      <w:r w:rsidR="00234B26" w:rsidRPr="00801161">
        <w:rPr>
          <w:szCs w:val="24"/>
        </w:rPr>
        <w:t xml:space="preserve">, Zou et al. </w:t>
      </w:r>
      <w:r w:rsidRPr="00801161">
        <w:rPr>
          <w:szCs w:val="24"/>
        </w:rPr>
        <w:t xml:space="preserve">found that miR-675 destabilized the mRNA of ZO-1 and cadherin E, </w:t>
      </w:r>
      <w:r w:rsidRPr="00801161">
        <w:rPr>
          <w:szCs w:val="24"/>
          <w:lang w:eastAsia="ko-KR"/>
        </w:rPr>
        <w:t xml:space="preserve">causing </w:t>
      </w:r>
      <w:r w:rsidRPr="00801161">
        <w:rPr>
          <w:szCs w:val="24"/>
        </w:rPr>
        <w:t>reduced expression of key molecules for intercellular tight junctions</w:t>
      </w:r>
      <w:r w:rsidR="00D61232" w:rsidRPr="00801161">
        <w:rPr>
          <w:szCs w:val="24"/>
        </w:rPr>
        <w:t xml:space="preserve"> </w:t>
      </w:r>
      <w:r w:rsidR="009E0BB8" w:rsidRPr="00FD697C">
        <w:rPr>
          <w:szCs w:val="24"/>
        </w:rPr>
        <w:t>[46</w:t>
      </w:r>
      <w:r w:rsidRPr="00FD697C">
        <w:rPr>
          <w:szCs w:val="24"/>
        </w:rPr>
        <w:t>]</w:t>
      </w:r>
      <w:r w:rsidRPr="00801161">
        <w:rPr>
          <w:szCs w:val="24"/>
        </w:rPr>
        <w:t>. Aquaporin 3 is another important protein in the intestinal membrane</w:t>
      </w:r>
      <w:r w:rsidR="00F4010A" w:rsidRPr="00801161">
        <w:rPr>
          <w:szCs w:val="24"/>
        </w:rPr>
        <w:t>.</w:t>
      </w:r>
      <w:r w:rsidRPr="00801161">
        <w:rPr>
          <w:szCs w:val="24"/>
        </w:rPr>
        <w:t xml:space="preserve"> </w:t>
      </w:r>
      <w:r w:rsidR="00F4010A" w:rsidRPr="00801161">
        <w:rPr>
          <w:szCs w:val="24"/>
        </w:rPr>
        <w:t>T</w:t>
      </w:r>
      <w:r w:rsidR="00301EA4" w:rsidRPr="00801161">
        <w:rPr>
          <w:szCs w:val="24"/>
        </w:rPr>
        <w:t xml:space="preserve">he </w:t>
      </w:r>
      <w:r w:rsidRPr="00801161">
        <w:rPr>
          <w:szCs w:val="24"/>
        </w:rPr>
        <w:t>overexpression</w:t>
      </w:r>
      <w:r w:rsidR="00301EA4" w:rsidRPr="00801161">
        <w:rPr>
          <w:szCs w:val="24"/>
        </w:rPr>
        <w:t xml:space="preserve"> of miR-874</w:t>
      </w:r>
      <w:r w:rsidRPr="00801161">
        <w:rPr>
          <w:szCs w:val="24"/>
        </w:rPr>
        <w:t xml:space="preserve"> </w:t>
      </w:r>
      <w:r w:rsidRPr="00801161">
        <w:rPr>
          <w:i/>
          <w:iCs/>
          <w:szCs w:val="24"/>
        </w:rPr>
        <w:t>in vitro</w:t>
      </w:r>
      <w:r w:rsidRPr="00801161">
        <w:rPr>
          <w:szCs w:val="24"/>
        </w:rPr>
        <w:t xml:space="preserve"> induced by pre-miR-874 transfection in intestinal epithelial cells was </w:t>
      </w:r>
      <w:r w:rsidR="00E35BA9" w:rsidRPr="00801161">
        <w:rPr>
          <w:szCs w:val="24"/>
        </w:rPr>
        <w:t xml:space="preserve">demonstrated </w:t>
      </w:r>
      <w:r w:rsidRPr="00801161">
        <w:rPr>
          <w:szCs w:val="24"/>
        </w:rPr>
        <w:t>to decrease the expression of aquaporin 3</w:t>
      </w:r>
      <w:r w:rsidR="00D61232" w:rsidRPr="00801161">
        <w:rPr>
          <w:szCs w:val="24"/>
        </w:rPr>
        <w:t xml:space="preserve"> </w:t>
      </w:r>
      <w:r w:rsidRPr="00FD697C">
        <w:rPr>
          <w:szCs w:val="24"/>
        </w:rPr>
        <w:t>[4</w:t>
      </w:r>
      <w:r w:rsidR="009E0BB8" w:rsidRPr="00FD697C">
        <w:rPr>
          <w:szCs w:val="24"/>
        </w:rPr>
        <w:t>7</w:t>
      </w:r>
      <w:r w:rsidRPr="00FD697C">
        <w:rPr>
          <w:szCs w:val="24"/>
        </w:rPr>
        <w:t>]</w:t>
      </w:r>
      <w:r w:rsidRPr="00801161">
        <w:rPr>
          <w:szCs w:val="24"/>
        </w:rPr>
        <w:t xml:space="preserve">. </w:t>
      </w:r>
      <w:r w:rsidR="00F4010A" w:rsidRPr="00801161">
        <w:rPr>
          <w:szCs w:val="24"/>
        </w:rPr>
        <w:t>E</w:t>
      </w:r>
      <w:r w:rsidRPr="00801161">
        <w:rPr>
          <w:szCs w:val="24"/>
        </w:rPr>
        <w:t>pidermal growth factor receptor (EGFR)</w:t>
      </w:r>
      <w:r w:rsidR="00F4010A" w:rsidRPr="00801161">
        <w:rPr>
          <w:szCs w:val="24"/>
        </w:rPr>
        <w:t xml:space="preserve"> was identified as the target gene of miR-122a</w:t>
      </w:r>
      <w:r w:rsidR="00301EA4" w:rsidRPr="00801161">
        <w:rPr>
          <w:szCs w:val="24"/>
        </w:rPr>
        <w:t xml:space="preserve">. </w:t>
      </w:r>
      <w:r w:rsidR="00F4010A" w:rsidRPr="00801161">
        <w:rPr>
          <w:szCs w:val="24"/>
        </w:rPr>
        <w:t>T</w:t>
      </w:r>
      <w:r w:rsidR="00301EA4" w:rsidRPr="00801161">
        <w:rPr>
          <w:szCs w:val="24"/>
        </w:rPr>
        <w:t xml:space="preserve">he </w:t>
      </w:r>
      <w:r w:rsidRPr="00801161">
        <w:rPr>
          <w:szCs w:val="24"/>
        </w:rPr>
        <w:t>overexpression of miR-122a</w:t>
      </w:r>
      <w:r w:rsidR="00301EA4" w:rsidRPr="00801161">
        <w:rPr>
          <w:szCs w:val="24"/>
        </w:rPr>
        <w:t xml:space="preserve"> was found to</w:t>
      </w:r>
      <w:r w:rsidRPr="00801161">
        <w:rPr>
          <w:szCs w:val="24"/>
        </w:rPr>
        <w:t xml:space="preserve"> increase zonulin expression and intestinal permeability</w:t>
      </w:r>
      <w:r w:rsidR="00D61232" w:rsidRPr="00801161">
        <w:rPr>
          <w:szCs w:val="24"/>
        </w:rPr>
        <w:t xml:space="preserve"> </w:t>
      </w:r>
      <w:r w:rsidRPr="00FD697C">
        <w:rPr>
          <w:szCs w:val="24"/>
        </w:rPr>
        <w:t>[4</w:t>
      </w:r>
      <w:r w:rsidR="009E0BB8" w:rsidRPr="00FD697C">
        <w:rPr>
          <w:szCs w:val="24"/>
        </w:rPr>
        <w:t>8</w:t>
      </w:r>
      <w:r w:rsidRPr="00FD697C">
        <w:rPr>
          <w:szCs w:val="24"/>
        </w:rPr>
        <w:t>]</w:t>
      </w:r>
      <w:r w:rsidRPr="00801161">
        <w:rPr>
          <w:szCs w:val="24"/>
        </w:rPr>
        <w:t xml:space="preserve">. </w:t>
      </w:r>
      <w:r w:rsidR="00F4010A" w:rsidRPr="00801161">
        <w:rPr>
          <w:szCs w:val="24"/>
        </w:rPr>
        <w:t xml:space="preserve">Further, the </w:t>
      </w:r>
      <w:r w:rsidRPr="00801161">
        <w:rPr>
          <w:szCs w:val="24"/>
        </w:rPr>
        <w:t>overexpression</w:t>
      </w:r>
      <w:r w:rsidR="00F4010A" w:rsidRPr="00801161">
        <w:rPr>
          <w:szCs w:val="24"/>
        </w:rPr>
        <w:t xml:space="preserve"> of miR-21</w:t>
      </w:r>
      <w:r w:rsidRPr="00801161">
        <w:rPr>
          <w:szCs w:val="24"/>
        </w:rPr>
        <w:t xml:space="preserve"> </w:t>
      </w:r>
      <w:r w:rsidRPr="00801161">
        <w:rPr>
          <w:i/>
          <w:iCs/>
          <w:szCs w:val="24"/>
        </w:rPr>
        <w:t>in vitro</w:t>
      </w:r>
      <w:r w:rsidRPr="00801161">
        <w:rPr>
          <w:szCs w:val="24"/>
        </w:rPr>
        <w:t xml:space="preserve"> </w:t>
      </w:r>
      <w:r w:rsidR="00F4010A" w:rsidRPr="00801161">
        <w:rPr>
          <w:szCs w:val="24"/>
        </w:rPr>
        <w:t xml:space="preserve">was found to </w:t>
      </w:r>
      <w:r w:rsidR="00E35BA9" w:rsidRPr="00801161">
        <w:rPr>
          <w:szCs w:val="24"/>
        </w:rPr>
        <w:t>caus</w:t>
      </w:r>
      <w:r w:rsidRPr="00801161">
        <w:rPr>
          <w:szCs w:val="24"/>
        </w:rPr>
        <w:t>e an increase in intestinal barrier defects and was suggested to target the phosphatase and tensin homolog</w:t>
      </w:r>
      <w:r w:rsidRPr="00801161">
        <w:rPr>
          <w:rFonts w:eastAsia="Malgun Gothic"/>
          <w:szCs w:val="24"/>
        </w:rPr>
        <w:t xml:space="preserve"> (PTEN</w:t>
      </w:r>
      <w:r w:rsidRPr="00801161">
        <w:rPr>
          <w:szCs w:val="24"/>
        </w:rPr>
        <w:t xml:space="preserve">)/PI3K (phosphoinositide 3-kinase)/Akt signaling pathway to enhance the paracellular permeability of </w:t>
      </w:r>
      <w:r w:rsidRPr="00801161">
        <w:rPr>
          <w:rFonts w:eastAsia="Malgun Gothic"/>
          <w:szCs w:val="24"/>
        </w:rPr>
        <w:t>the intestinal epithelium</w:t>
      </w:r>
      <w:r w:rsidR="00D61232" w:rsidRPr="00801161">
        <w:rPr>
          <w:szCs w:val="24"/>
        </w:rPr>
        <w:t xml:space="preserve"> </w:t>
      </w:r>
      <w:r w:rsidRPr="00FD697C">
        <w:rPr>
          <w:szCs w:val="24"/>
        </w:rPr>
        <w:t>[4</w:t>
      </w:r>
      <w:r w:rsidR="009E0BB8" w:rsidRPr="00FD697C">
        <w:rPr>
          <w:szCs w:val="24"/>
        </w:rPr>
        <w:t>9</w:t>
      </w:r>
      <w:r w:rsidRPr="00FD697C">
        <w:rPr>
          <w:szCs w:val="24"/>
        </w:rPr>
        <w:t>]</w:t>
      </w:r>
      <w:r w:rsidRPr="00801161">
        <w:rPr>
          <w:szCs w:val="24"/>
        </w:rPr>
        <w:t xml:space="preserve">. </w:t>
      </w:r>
      <w:r w:rsidR="00E35BA9" w:rsidRPr="00801161">
        <w:rPr>
          <w:szCs w:val="24"/>
        </w:rPr>
        <w:t xml:space="preserve">As </w:t>
      </w:r>
      <w:r w:rsidR="00301EA4" w:rsidRPr="00801161">
        <w:rPr>
          <w:szCs w:val="24"/>
        </w:rPr>
        <w:t xml:space="preserve">the </w:t>
      </w:r>
      <w:r w:rsidRPr="00801161">
        <w:rPr>
          <w:szCs w:val="24"/>
        </w:rPr>
        <w:t xml:space="preserve">miR-21 mimic suppressed the level of PTEN and increased the level of phospho-Akt (p-Akt) </w:t>
      </w:r>
      <w:r w:rsidRPr="00801161">
        <w:rPr>
          <w:i/>
          <w:iCs/>
          <w:szCs w:val="24"/>
        </w:rPr>
        <w:t>in vitro</w:t>
      </w:r>
      <w:r w:rsidRPr="00801161">
        <w:rPr>
          <w:szCs w:val="24"/>
        </w:rPr>
        <w:t xml:space="preserve">, Zhang et al. reported </w:t>
      </w:r>
      <w:r w:rsidR="00F4010A" w:rsidRPr="00801161">
        <w:rPr>
          <w:szCs w:val="24"/>
        </w:rPr>
        <w:t xml:space="preserve">the </w:t>
      </w:r>
      <w:r w:rsidRPr="00801161">
        <w:rPr>
          <w:szCs w:val="24"/>
        </w:rPr>
        <w:t xml:space="preserve">impairing </w:t>
      </w:r>
      <w:r w:rsidR="007C42DA" w:rsidRPr="00801161">
        <w:rPr>
          <w:szCs w:val="24"/>
        </w:rPr>
        <w:t xml:space="preserve">of </w:t>
      </w:r>
      <w:r w:rsidRPr="00801161">
        <w:rPr>
          <w:szCs w:val="24"/>
        </w:rPr>
        <w:t>intestinal permeability through the PTEN/PI3K/Akt pathway</w:t>
      </w:r>
      <w:r w:rsidR="007C42DA" w:rsidRPr="00801161">
        <w:rPr>
          <w:szCs w:val="24"/>
        </w:rPr>
        <w:t xml:space="preserve"> as a potential mechanism</w:t>
      </w:r>
      <w:r w:rsidR="00D61232" w:rsidRPr="00801161">
        <w:rPr>
          <w:szCs w:val="24"/>
        </w:rPr>
        <w:t xml:space="preserve"> </w:t>
      </w:r>
      <w:r w:rsidRPr="00FD697C">
        <w:rPr>
          <w:szCs w:val="24"/>
        </w:rPr>
        <w:t>[4</w:t>
      </w:r>
      <w:r w:rsidR="009E0BB8" w:rsidRPr="00FD697C">
        <w:rPr>
          <w:szCs w:val="24"/>
        </w:rPr>
        <w:t>9</w:t>
      </w:r>
      <w:r w:rsidRPr="00FD697C">
        <w:rPr>
          <w:szCs w:val="24"/>
        </w:rPr>
        <w:t>]</w:t>
      </w:r>
      <w:r w:rsidRPr="00801161">
        <w:rPr>
          <w:szCs w:val="24"/>
        </w:rPr>
        <w:t>.</w:t>
      </w:r>
    </w:p>
    <w:p w14:paraId="3C6A6042" w14:textId="27B720D4" w:rsidR="00CD7E2E" w:rsidRPr="00801161" w:rsidRDefault="007C42DA" w:rsidP="00FF2683">
      <w:pPr>
        <w:spacing w:before="120" w:after="120" w:line="480" w:lineRule="auto"/>
        <w:ind w:firstLine="800"/>
        <w:jc w:val="both"/>
        <w:rPr>
          <w:szCs w:val="24"/>
        </w:rPr>
      </w:pPr>
      <w:r w:rsidRPr="00801161">
        <w:rPr>
          <w:szCs w:val="24"/>
        </w:rPr>
        <w:t>S</w:t>
      </w:r>
      <w:r w:rsidR="007C280A" w:rsidRPr="00801161">
        <w:rPr>
          <w:szCs w:val="24"/>
        </w:rPr>
        <w:t xml:space="preserve">ome miRNAs have been reported to strengthen the intestinal barrier. Transfection of </w:t>
      </w:r>
      <w:r w:rsidR="00E35BA9" w:rsidRPr="00801161">
        <w:rPr>
          <w:szCs w:val="24"/>
        </w:rPr>
        <w:t xml:space="preserve">the </w:t>
      </w:r>
      <w:r w:rsidR="007C280A" w:rsidRPr="00801161">
        <w:rPr>
          <w:szCs w:val="24"/>
        </w:rPr>
        <w:t>miR-200b precursor in TNF-</w:t>
      </w:r>
      <w:r w:rsidR="007C280A" w:rsidRPr="00801161">
        <w:rPr>
          <w:rFonts w:eastAsiaTheme="minorHAnsi"/>
          <w:szCs w:val="24"/>
        </w:rPr>
        <w:t>α-treated</w:t>
      </w:r>
      <w:r w:rsidR="007C280A" w:rsidRPr="00801161">
        <w:rPr>
          <w:szCs w:val="24"/>
        </w:rPr>
        <w:t xml:space="preserve"> intestinal epithelium </w:t>
      </w:r>
      <w:r w:rsidR="007C280A" w:rsidRPr="00801161">
        <w:rPr>
          <w:i/>
          <w:iCs/>
          <w:szCs w:val="24"/>
        </w:rPr>
        <w:t>in vitro</w:t>
      </w:r>
      <w:r w:rsidR="007C280A" w:rsidRPr="00801161">
        <w:rPr>
          <w:szCs w:val="24"/>
        </w:rPr>
        <w:t xml:space="preserve"> inhibited </w:t>
      </w:r>
      <w:r w:rsidR="0037200B" w:rsidRPr="00801161">
        <w:rPr>
          <w:szCs w:val="24"/>
        </w:rPr>
        <w:t xml:space="preserve">the </w:t>
      </w:r>
      <w:r w:rsidR="007C280A" w:rsidRPr="00801161">
        <w:rPr>
          <w:szCs w:val="24"/>
        </w:rPr>
        <w:t>damage to trans</w:t>
      </w:r>
      <w:r w:rsidR="00C4649E" w:rsidRPr="00801161">
        <w:rPr>
          <w:szCs w:val="24"/>
        </w:rPr>
        <w:t>-</w:t>
      </w:r>
      <w:r w:rsidR="007C280A" w:rsidRPr="00801161">
        <w:rPr>
          <w:szCs w:val="24"/>
        </w:rPr>
        <w:t>epithelial electrical resistance and intercellular tight junctions</w:t>
      </w:r>
      <w:r w:rsidR="0037200B" w:rsidRPr="00801161">
        <w:rPr>
          <w:szCs w:val="24"/>
        </w:rPr>
        <w:t>. Further,</w:t>
      </w:r>
      <w:r w:rsidR="007C280A" w:rsidRPr="00801161">
        <w:rPr>
          <w:szCs w:val="24"/>
        </w:rPr>
        <w:t xml:space="preserve"> c-Jun and myosin light chain kinase (MLCK)</w:t>
      </w:r>
      <w:r w:rsidRPr="00801161">
        <w:rPr>
          <w:szCs w:val="24"/>
        </w:rPr>
        <w:t xml:space="preserve"> were demonstrated to be</w:t>
      </w:r>
      <w:r w:rsidR="00D61232" w:rsidRPr="00801161">
        <w:rPr>
          <w:szCs w:val="24"/>
        </w:rPr>
        <w:t xml:space="preserve"> </w:t>
      </w:r>
      <w:r w:rsidRPr="00801161">
        <w:rPr>
          <w:szCs w:val="24"/>
        </w:rPr>
        <w:t xml:space="preserve">the targets of miR-200b </w:t>
      </w:r>
      <w:r w:rsidR="007C280A" w:rsidRPr="00FD697C">
        <w:rPr>
          <w:szCs w:val="24"/>
        </w:rPr>
        <w:t>[</w:t>
      </w:r>
      <w:r w:rsidR="009E0BB8" w:rsidRPr="00FD697C">
        <w:rPr>
          <w:szCs w:val="24"/>
        </w:rPr>
        <w:t>50</w:t>
      </w:r>
      <w:r w:rsidR="007C280A" w:rsidRPr="00FD697C">
        <w:rPr>
          <w:szCs w:val="24"/>
        </w:rPr>
        <w:t>]</w:t>
      </w:r>
      <w:r w:rsidR="007C280A" w:rsidRPr="00801161">
        <w:rPr>
          <w:szCs w:val="24"/>
        </w:rPr>
        <w:t xml:space="preserve">. Haines et al. </w:t>
      </w:r>
      <w:r w:rsidRPr="00801161">
        <w:rPr>
          <w:szCs w:val="24"/>
        </w:rPr>
        <w:lastRenderedPageBreak/>
        <w:t xml:space="preserve">revealed </w:t>
      </w:r>
      <w:r w:rsidR="007C280A" w:rsidRPr="00801161">
        <w:rPr>
          <w:szCs w:val="24"/>
        </w:rPr>
        <w:t xml:space="preserve">that silencing </w:t>
      </w:r>
      <w:r w:rsidRPr="00801161">
        <w:rPr>
          <w:szCs w:val="24"/>
        </w:rPr>
        <w:t xml:space="preserve">the expression of </w:t>
      </w:r>
      <w:r w:rsidR="007C280A" w:rsidRPr="00801161">
        <w:rPr>
          <w:szCs w:val="24"/>
        </w:rPr>
        <w:t xml:space="preserve">protein tyrosine kinase 6 (PTK6) with miR-93 in </w:t>
      </w:r>
      <w:r w:rsidR="007C280A" w:rsidRPr="00801161">
        <w:rPr>
          <w:rFonts w:eastAsia="Malgun Gothic"/>
          <w:szCs w:val="24"/>
        </w:rPr>
        <w:t xml:space="preserve">the intestinal epithelium increased </w:t>
      </w:r>
      <w:r w:rsidR="006973E5" w:rsidRPr="00801161">
        <w:rPr>
          <w:rFonts w:eastAsia="Malgun Gothic"/>
          <w:szCs w:val="24"/>
        </w:rPr>
        <w:t xml:space="preserve">the </w:t>
      </w:r>
      <w:r w:rsidR="007C280A" w:rsidRPr="00801161">
        <w:rPr>
          <w:rFonts w:eastAsia="Malgun Gothic"/>
          <w:szCs w:val="24"/>
        </w:rPr>
        <w:t>resistance to TNF-</w:t>
      </w:r>
      <w:r w:rsidR="007C280A" w:rsidRPr="00801161">
        <w:rPr>
          <w:rFonts w:eastAsiaTheme="minorHAnsi"/>
          <w:szCs w:val="24"/>
        </w:rPr>
        <w:t>α-induced injury</w:t>
      </w:r>
      <w:r w:rsidR="00D61232" w:rsidRPr="00801161">
        <w:rPr>
          <w:rFonts w:eastAsiaTheme="minorHAnsi"/>
          <w:szCs w:val="24"/>
        </w:rPr>
        <w:t xml:space="preserve"> </w:t>
      </w:r>
      <w:r w:rsidR="007C280A" w:rsidRPr="00FD697C">
        <w:rPr>
          <w:szCs w:val="24"/>
        </w:rPr>
        <w:t>[</w:t>
      </w:r>
      <w:r w:rsidR="009E0BB8" w:rsidRPr="00FD697C">
        <w:rPr>
          <w:szCs w:val="24"/>
        </w:rPr>
        <w:t>51</w:t>
      </w:r>
      <w:r w:rsidR="007C280A" w:rsidRPr="00FD697C">
        <w:rPr>
          <w:szCs w:val="24"/>
        </w:rPr>
        <w:t>]</w:t>
      </w:r>
      <w:r w:rsidR="007C280A" w:rsidRPr="00801161">
        <w:rPr>
          <w:szCs w:val="24"/>
        </w:rPr>
        <w:t>.</w:t>
      </w:r>
    </w:p>
    <w:p w14:paraId="57FBA48F" w14:textId="77777777" w:rsidR="00CD7E2E" w:rsidRPr="00801161" w:rsidRDefault="007C280A" w:rsidP="00FF2683">
      <w:pPr>
        <w:spacing w:before="120" w:after="120" w:line="480" w:lineRule="auto"/>
        <w:jc w:val="both"/>
        <w:rPr>
          <w:rFonts w:ascii="Arial" w:hAnsi="Arial" w:cs="Arial"/>
          <w:szCs w:val="24"/>
        </w:rPr>
      </w:pPr>
      <w:r w:rsidRPr="00801161">
        <w:rPr>
          <w:rFonts w:ascii="Arial" w:hAnsi="Arial" w:cs="Arial"/>
          <w:b/>
          <w:bCs/>
          <w:color w:val="000000" w:themeColor="text1"/>
          <w:szCs w:val="24"/>
        </w:rPr>
        <w:t>miRNAs and immune response in IBD</w:t>
      </w:r>
    </w:p>
    <w:p w14:paraId="6BE4E0F5" w14:textId="2B1E5D07" w:rsidR="00CD7E2E" w:rsidRPr="00801161" w:rsidRDefault="007C280A" w:rsidP="00FF2683">
      <w:pPr>
        <w:spacing w:before="120" w:after="120" w:line="480" w:lineRule="auto"/>
        <w:ind w:firstLine="800"/>
        <w:jc w:val="both"/>
        <w:rPr>
          <w:szCs w:val="24"/>
        </w:rPr>
      </w:pPr>
      <w:r w:rsidRPr="00801161">
        <w:rPr>
          <w:szCs w:val="24"/>
        </w:rPr>
        <w:t xml:space="preserve">miRNAs </w:t>
      </w:r>
      <w:r w:rsidRPr="00801161">
        <w:rPr>
          <w:szCs w:val="24"/>
          <w:lang w:eastAsia="ko-KR"/>
        </w:rPr>
        <w:t xml:space="preserve">are </w:t>
      </w:r>
      <w:r w:rsidRPr="00801161">
        <w:rPr>
          <w:szCs w:val="24"/>
        </w:rPr>
        <w:t>known to contribute to</w:t>
      </w:r>
      <w:r w:rsidR="0037200B" w:rsidRPr="00801161">
        <w:rPr>
          <w:szCs w:val="24"/>
        </w:rPr>
        <w:t xml:space="preserve"> the</w:t>
      </w:r>
      <w:r w:rsidRPr="00801161">
        <w:rPr>
          <w:szCs w:val="24"/>
        </w:rPr>
        <w:t xml:space="preserve"> immunological reactions that lead to IBD. Shi et al. compared miR-21 knockout</w:t>
      </w:r>
      <w:r w:rsidR="00510B2F" w:rsidRPr="00801161">
        <w:rPr>
          <w:szCs w:val="24"/>
        </w:rPr>
        <w:t xml:space="preserve"> mice</w:t>
      </w:r>
      <w:r w:rsidRPr="00801161">
        <w:rPr>
          <w:szCs w:val="24"/>
        </w:rPr>
        <w:t xml:space="preserve"> </w:t>
      </w:r>
      <w:r w:rsidR="0068436E" w:rsidRPr="00801161">
        <w:rPr>
          <w:szCs w:val="24"/>
        </w:rPr>
        <w:t>to</w:t>
      </w:r>
      <w:r w:rsidRPr="00801161">
        <w:rPr>
          <w:szCs w:val="24"/>
        </w:rPr>
        <w:t xml:space="preserve"> wild-type mice after the induction of intestinal damage by dextran sulfate sodium (DSS); miR-21 knockout mice demonstrated reduced weight loss, intestinal inflammation (confirmed by histopathology), serum leukocyte levels, </w:t>
      </w:r>
      <w:r w:rsidRPr="00801161">
        <w:rPr>
          <w:szCs w:val="24"/>
          <w:lang w:eastAsia="ko-KR"/>
        </w:rPr>
        <w:t>and TNF-</w:t>
      </w:r>
      <w:r w:rsidRPr="00801161">
        <w:rPr>
          <w:rFonts w:eastAsia="Malgun Gothic"/>
          <w:szCs w:val="24"/>
        </w:rPr>
        <w:t>α and macrophage inflammatory protein 2 (MIP2) levels in colon culture supernatants compared to wild-type mice</w:t>
      </w:r>
      <w:r w:rsidR="00D61232" w:rsidRPr="00801161">
        <w:rPr>
          <w:rFonts w:eastAsia="Malgun Gothic"/>
          <w:szCs w:val="24"/>
        </w:rPr>
        <w:t xml:space="preserve"> </w:t>
      </w:r>
      <w:r w:rsidRPr="00FD697C">
        <w:rPr>
          <w:szCs w:val="24"/>
        </w:rPr>
        <w:t>[</w:t>
      </w:r>
      <w:r w:rsidR="009E0BB8" w:rsidRPr="00FD697C">
        <w:rPr>
          <w:szCs w:val="24"/>
        </w:rPr>
        <w:t>52</w:t>
      </w:r>
      <w:r w:rsidRPr="00FD697C">
        <w:rPr>
          <w:szCs w:val="24"/>
        </w:rPr>
        <w:t>]</w:t>
      </w:r>
      <w:r w:rsidRPr="00801161">
        <w:rPr>
          <w:rFonts w:eastAsia="Malgun Gothic"/>
          <w:szCs w:val="24"/>
        </w:rPr>
        <w:t xml:space="preserve">. miR-124 was reported to target the 3’-UTR of AhR to suppress its expression in Caco-2 cells and HT-29 cells </w:t>
      </w:r>
      <w:r w:rsidRPr="00801161">
        <w:rPr>
          <w:rFonts w:eastAsia="Malgun Gothic"/>
          <w:i/>
          <w:iCs/>
          <w:szCs w:val="24"/>
        </w:rPr>
        <w:t>in vitro</w:t>
      </w:r>
      <w:r w:rsidR="00D61232" w:rsidRPr="00801161">
        <w:rPr>
          <w:rFonts w:eastAsia="Malgun Gothic"/>
          <w:i/>
          <w:iCs/>
          <w:szCs w:val="24"/>
        </w:rPr>
        <w:t xml:space="preserve"> </w:t>
      </w:r>
      <w:r w:rsidRPr="00FD697C">
        <w:rPr>
          <w:szCs w:val="24"/>
        </w:rPr>
        <w:t>[5</w:t>
      </w:r>
      <w:r w:rsidR="009E0BB8" w:rsidRPr="00FD697C">
        <w:rPr>
          <w:szCs w:val="24"/>
        </w:rPr>
        <w:t>3</w:t>
      </w:r>
      <w:r w:rsidRPr="00FD697C">
        <w:rPr>
          <w:szCs w:val="24"/>
        </w:rPr>
        <w:t>]</w:t>
      </w:r>
      <w:r w:rsidRPr="00801161">
        <w:rPr>
          <w:rFonts w:eastAsia="Malgun Gothic"/>
          <w:szCs w:val="24"/>
        </w:rPr>
        <w:t xml:space="preserve">. Intracolonic administration of miR-124 inhibitors and precursors </w:t>
      </w:r>
      <w:r w:rsidR="0037200B" w:rsidRPr="00801161">
        <w:rPr>
          <w:rFonts w:eastAsia="Malgun Gothic"/>
          <w:szCs w:val="24"/>
        </w:rPr>
        <w:t xml:space="preserve">to </w:t>
      </w:r>
      <w:r w:rsidRPr="00801161">
        <w:rPr>
          <w:rFonts w:eastAsia="Malgun Gothic"/>
          <w:szCs w:val="24"/>
        </w:rPr>
        <w:t xml:space="preserve">2,4,6-trinitrobenzen acid (TNBS)-induced colitis mice </w:t>
      </w:r>
      <w:r w:rsidR="00510B2F" w:rsidRPr="00801161">
        <w:rPr>
          <w:rFonts w:eastAsia="Malgun Gothic"/>
          <w:szCs w:val="24"/>
        </w:rPr>
        <w:t xml:space="preserve">was found to </w:t>
      </w:r>
      <w:r w:rsidRPr="00801161">
        <w:rPr>
          <w:rFonts w:eastAsia="Malgun Gothic"/>
          <w:szCs w:val="24"/>
        </w:rPr>
        <w:t>alleviate and aggravate intestinal inflammation, respectively</w:t>
      </w:r>
      <w:r w:rsidR="00D61232" w:rsidRPr="00801161">
        <w:rPr>
          <w:rFonts w:eastAsia="Malgun Gothic"/>
          <w:szCs w:val="24"/>
        </w:rPr>
        <w:t xml:space="preserve"> </w:t>
      </w:r>
      <w:r w:rsidRPr="00FD697C">
        <w:rPr>
          <w:szCs w:val="24"/>
        </w:rPr>
        <w:t>[5</w:t>
      </w:r>
      <w:r w:rsidR="009E0BB8" w:rsidRPr="00FD697C">
        <w:rPr>
          <w:szCs w:val="24"/>
        </w:rPr>
        <w:t>3</w:t>
      </w:r>
      <w:r w:rsidRPr="00FD697C">
        <w:rPr>
          <w:szCs w:val="24"/>
        </w:rPr>
        <w:t>]</w:t>
      </w:r>
      <w:r w:rsidRPr="00801161">
        <w:rPr>
          <w:szCs w:val="24"/>
        </w:rPr>
        <w:t>.</w:t>
      </w:r>
    </w:p>
    <w:p w14:paraId="4696FD22" w14:textId="0FE987F3" w:rsidR="00CD7E2E" w:rsidRPr="00801161" w:rsidRDefault="007C280A" w:rsidP="00FF2683">
      <w:pPr>
        <w:spacing w:before="120" w:after="120" w:line="480" w:lineRule="auto"/>
        <w:ind w:firstLine="800"/>
        <w:jc w:val="both"/>
        <w:rPr>
          <w:rFonts w:eastAsiaTheme="minorHAnsi"/>
          <w:szCs w:val="24"/>
        </w:rPr>
      </w:pPr>
      <w:r w:rsidRPr="00801161">
        <w:rPr>
          <w:szCs w:val="24"/>
        </w:rPr>
        <w:t>Some miRNAs have been reported to suppress intestinal inflammation. Nucleotide-binding oligomerization domain-containing protein 2 (NOD2) is one of the genes clearly associated with CD</w:t>
      </w:r>
      <w:r w:rsidR="00D61232" w:rsidRPr="00801161">
        <w:rPr>
          <w:szCs w:val="24"/>
        </w:rPr>
        <w:t xml:space="preserve"> </w:t>
      </w:r>
      <w:r w:rsidRPr="00FD697C">
        <w:rPr>
          <w:szCs w:val="24"/>
        </w:rPr>
        <w:t>[5</w:t>
      </w:r>
      <w:r w:rsidR="009E0BB8" w:rsidRPr="00FD697C">
        <w:rPr>
          <w:szCs w:val="24"/>
        </w:rPr>
        <w:t>4</w:t>
      </w:r>
      <w:r w:rsidRPr="00FD697C">
        <w:rPr>
          <w:szCs w:val="24"/>
        </w:rPr>
        <w:t>]</w:t>
      </w:r>
      <w:r w:rsidR="00510B2F" w:rsidRPr="00801161">
        <w:rPr>
          <w:szCs w:val="24"/>
        </w:rPr>
        <w:t>. In fact,</w:t>
      </w:r>
      <w:r w:rsidRPr="00801161">
        <w:rPr>
          <w:szCs w:val="24"/>
        </w:rPr>
        <w:t xml:space="preserve"> Pierdomenico et al. reported its relationship with miR-320</w:t>
      </w:r>
      <w:r w:rsidR="00D61232" w:rsidRPr="00801161">
        <w:rPr>
          <w:szCs w:val="24"/>
        </w:rPr>
        <w:t xml:space="preserve"> </w:t>
      </w:r>
      <w:r w:rsidRPr="00FD697C">
        <w:rPr>
          <w:szCs w:val="24"/>
        </w:rPr>
        <w:t>[5</w:t>
      </w:r>
      <w:r w:rsidR="009E0BB8" w:rsidRPr="00FD697C">
        <w:rPr>
          <w:szCs w:val="24"/>
        </w:rPr>
        <w:t>5</w:t>
      </w:r>
      <w:r w:rsidRPr="00FD697C">
        <w:rPr>
          <w:szCs w:val="24"/>
        </w:rPr>
        <w:t>]</w:t>
      </w:r>
      <w:r w:rsidRPr="00801161">
        <w:rPr>
          <w:szCs w:val="24"/>
        </w:rPr>
        <w:t xml:space="preserve">. HT29 cells transfected with exogenous miR-320 </w:t>
      </w:r>
      <w:r w:rsidR="00510B2F" w:rsidRPr="00801161">
        <w:rPr>
          <w:szCs w:val="24"/>
        </w:rPr>
        <w:t xml:space="preserve">displayed a </w:t>
      </w:r>
      <w:r w:rsidRPr="00801161">
        <w:rPr>
          <w:szCs w:val="24"/>
        </w:rPr>
        <w:t>downregulated expression of NOD2, while miR-320 inhibitor increased NOD2 expression as well as its downstream signaling pathway</w:t>
      </w:r>
      <w:r w:rsidR="0068436E" w:rsidRPr="00801161">
        <w:rPr>
          <w:szCs w:val="24"/>
        </w:rPr>
        <w:t>,</w:t>
      </w:r>
      <w:r w:rsidRPr="00801161">
        <w:rPr>
          <w:szCs w:val="24"/>
        </w:rPr>
        <w:t xml:space="preserve"> leading to nuclear factor </w:t>
      </w:r>
      <w:r w:rsidRPr="00801161">
        <w:rPr>
          <w:rFonts w:eastAsia="Malgun Gothic"/>
          <w:szCs w:val="24"/>
        </w:rPr>
        <w:t>κB (NF-κB) and inflammatory cytokines</w:t>
      </w:r>
      <w:r w:rsidR="00D61232" w:rsidRPr="00801161">
        <w:rPr>
          <w:rFonts w:eastAsia="Malgun Gothic"/>
          <w:szCs w:val="24"/>
        </w:rPr>
        <w:t xml:space="preserve"> </w:t>
      </w:r>
      <w:r w:rsidRPr="00FD697C">
        <w:rPr>
          <w:rFonts w:eastAsia="Malgun Gothic"/>
          <w:szCs w:val="24"/>
        </w:rPr>
        <w:t>[5</w:t>
      </w:r>
      <w:r w:rsidR="009E0BB8" w:rsidRPr="00FD697C">
        <w:rPr>
          <w:rFonts w:eastAsia="Malgun Gothic"/>
          <w:szCs w:val="24"/>
        </w:rPr>
        <w:t>5</w:t>
      </w:r>
      <w:r w:rsidRPr="00FD697C">
        <w:rPr>
          <w:rFonts w:eastAsia="Malgun Gothic"/>
          <w:szCs w:val="24"/>
        </w:rPr>
        <w:t>]</w:t>
      </w:r>
      <w:r w:rsidRPr="00801161">
        <w:rPr>
          <w:rFonts w:eastAsia="Malgun Gothic"/>
          <w:szCs w:val="24"/>
        </w:rPr>
        <w:t xml:space="preserve">. </w:t>
      </w:r>
      <w:r w:rsidRPr="00801161">
        <w:rPr>
          <w:szCs w:val="24"/>
        </w:rPr>
        <w:t>Wu et al. used human monocyte-derived dendritic cells and CD4</w:t>
      </w:r>
      <w:r w:rsidRPr="00801161">
        <w:rPr>
          <w:szCs w:val="24"/>
          <w:vertAlign w:val="superscript"/>
        </w:rPr>
        <w:t>+</w:t>
      </w:r>
      <w:r w:rsidRPr="00801161">
        <w:rPr>
          <w:szCs w:val="24"/>
        </w:rPr>
        <w:t xml:space="preserve"> T cells isolated from </w:t>
      </w:r>
      <w:r w:rsidRPr="00801161">
        <w:rPr>
          <w:rFonts w:eastAsia="Malgun Gothic"/>
          <w:szCs w:val="24"/>
        </w:rPr>
        <w:t xml:space="preserve">the peripheral blood of IBD patients </w:t>
      </w:r>
      <w:r w:rsidRPr="00801161">
        <w:rPr>
          <w:szCs w:val="24"/>
        </w:rPr>
        <w:t xml:space="preserve">treated with </w:t>
      </w:r>
      <w:r w:rsidR="0068436E" w:rsidRPr="00801161">
        <w:rPr>
          <w:szCs w:val="24"/>
        </w:rPr>
        <w:t xml:space="preserve">the </w:t>
      </w:r>
      <w:r w:rsidRPr="00801161">
        <w:rPr>
          <w:szCs w:val="24"/>
        </w:rPr>
        <w:t xml:space="preserve">miR-10a precursor. The transfection caused decreased expression of IL-12/23p40 (p40 subunit of IL-12 and IL-23) in dendritic cells and suppression of </w:t>
      </w:r>
      <w:r w:rsidRPr="00801161">
        <w:rPr>
          <w:rFonts w:eastAsia="Malgun Gothic"/>
          <w:szCs w:val="24"/>
        </w:rPr>
        <w:t>IFN-γ, TNF</w:t>
      </w:r>
      <w:r w:rsidR="003431A7" w:rsidRPr="00801161">
        <w:rPr>
          <w:szCs w:val="24"/>
        </w:rPr>
        <w:t>-α</w:t>
      </w:r>
      <w:r w:rsidRPr="00801161">
        <w:rPr>
          <w:rFonts w:eastAsia="Malgun Gothic"/>
          <w:szCs w:val="24"/>
        </w:rPr>
        <w:t>, and IL-17A in CD4</w:t>
      </w:r>
      <w:r w:rsidRPr="00801161">
        <w:rPr>
          <w:rFonts w:eastAsia="Malgun Gothic"/>
          <w:szCs w:val="24"/>
          <w:vertAlign w:val="superscript"/>
        </w:rPr>
        <w:t>+</w:t>
      </w:r>
      <w:r w:rsidRPr="00801161">
        <w:rPr>
          <w:rFonts w:eastAsia="Malgun Gothic"/>
          <w:szCs w:val="24"/>
        </w:rPr>
        <w:t xml:space="preserve"> T cells, suggesting inhibited differentiation into Th1 and Th17 cells</w:t>
      </w:r>
      <w:r w:rsidR="00D61232" w:rsidRPr="00801161">
        <w:rPr>
          <w:rFonts w:eastAsia="Malgun Gothic"/>
          <w:szCs w:val="24"/>
        </w:rPr>
        <w:t xml:space="preserve"> </w:t>
      </w:r>
      <w:r w:rsidRPr="00FD697C">
        <w:rPr>
          <w:rFonts w:eastAsia="Malgun Gothic"/>
          <w:szCs w:val="24"/>
        </w:rPr>
        <w:t>[5</w:t>
      </w:r>
      <w:r w:rsidR="009E0BB8" w:rsidRPr="00FD697C">
        <w:rPr>
          <w:rFonts w:eastAsia="Malgun Gothic"/>
          <w:szCs w:val="24"/>
        </w:rPr>
        <w:t>6</w:t>
      </w:r>
      <w:r w:rsidRPr="00FD697C">
        <w:rPr>
          <w:rFonts w:eastAsia="Malgun Gothic"/>
          <w:szCs w:val="24"/>
        </w:rPr>
        <w:t>]</w:t>
      </w:r>
      <w:r w:rsidRPr="00801161">
        <w:rPr>
          <w:rFonts w:eastAsia="Malgun Gothic"/>
          <w:szCs w:val="24"/>
        </w:rPr>
        <w:t xml:space="preserve">. </w:t>
      </w:r>
      <w:r w:rsidR="00C14742" w:rsidRPr="00801161">
        <w:rPr>
          <w:color w:val="000000" w:themeColor="text1"/>
          <w:szCs w:val="24"/>
        </w:rPr>
        <w:t>C-X-C motif chemokine ligand</w:t>
      </w:r>
      <w:r w:rsidR="00C14742" w:rsidRPr="00801161">
        <w:rPr>
          <w:szCs w:val="24"/>
        </w:rPr>
        <w:t xml:space="preserve"> </w:t>
      </w:r>
      <w:r w:rsidR="008004B4" w:rsidRPr="008004B4">
        <w:rPr>
          <w:szCs w:val="24"/>
        </w:rPr>
        <w:t xml:space="preserve">12β </w:t>
      </w:r>
      <w:r w:rsidR="00C14742" w:rsidRPr="00801161">
        <w:rPr>
          <w:szCs w:val="24"/>
        </w:rPr>
        <w:t>(</w:t>
      </w:r>
      <w:r w:rsidRPr="00801161">
        <w:rPr>
          <w:szCs w:val="24"/>
        </w:rPr>
        <w:t>CXCL</w:t>
      </w:r>
      <w:r w:rsidR="008004B4" w:rsidRPr="008004B4">
        <w:rPr>
          <w:szCs w:val="24"/>
        </w:rPr>
        <w:t>12β</w:t>
      </w:r>
      <w:r w:rsidR="00C14742" w:rsidRPr="00801161">
        <w:rPr>
          <w:szCs w:val="24"/>
        </w:rPr>
        <w:t>)</w:t>
      </w:r>
      <w:r w:rsidRPr="00801161">
        <w:rPr>
          <w:rFonts w:eastAsiaTheme="minorHAnsi"/>
          <w:szCs w:val="24"/>
        </w:rPr>
        <w:t xml:space="preserve"> is an important </w:t>
      </w:r>
      <w:r w:rsidRPr="00801161">
        <w:rPr>
          <w:rFonts w:eastAsiaTheme="minorHAnsi"/>
          <w:szCs w:val="24"/>
        </w:rPr>
        <w:lastRenderedPageBreak/>
        <w:t>mediator of leukocyte migration</w:t>
      </w:r>
      <w:r w:rsidR="0037200B" w:rsidRPr="00801161">
        <w:rPr>
          <w:rFonts w:eastAsiaTheme="minorHAnsi"/>
          <w:szCs w:val="24"/>
        </w:rPr>
        <w:t>.</w:t>
      </w:r>
      <w:r w:rsidRPr="00801161">
        <w:rPr>
          <w:rFonts w:eastAsiaTheme="minorHAnsi"/>
          <w:szCs w:val="24"/>
        </w:rPr>
        <w:t xml:space="preserve"> Huang et al. used TNBS-induced colitis mice, IL-10 knockout colitis mice, and colon biopsy samples of CD patients to </w:t>
      </w:r>
      <w:r w:rsidR="0068436E" w:rsidRPr="00801161">
        <w:rPr>
          <w:rFonts w:eastAsiaTheme="minorHAnsi"/>
          <w:szCs w:val="24"/>
        </w:rPr>
        <w:t xml:space="preserve">identify </w:t>
      </w:r>
      <w:r w:rsidRPr="00801161">
        <w:rPr>
          <w:rFonts w:eastAsiaTheme="minorHAnsi"/>
          <w:szCs w:val="24"/>
        </w:rPr>
        <w:t xml:space="preserve">an inverse relationship between miR-141 </w:t>
      </w:r>
      <w:r w:rsidRPr="00801161">
        <w:rPr>
          <w:rFonts w:eastAsia="Malgun Gothic"/>
          <w:szCs w:val="24"/>
        </w:rPr>
        <w:t xml:space="preserve">expression and </w:t>
      </w:r>
      <w:r w:rsidRPr="00801161">
        <w:rPr>
          <w:rFonts w:eastAsiaTheme="minorHAnsi"/>
          <w:szCs w:val="24"/>
        </w:rPr>
        <w:t>CXCL12β</w:t>
      </w:r>
      <w:r w:rsidR="00D61232" w:rsidRPr="00801161">
        <w:rPr>
          <w:rFonts w:eastAsiaTheme="minorHAnsi"/>
          <w:szCs w:val="24"/>
        </w:rPr>
        <w:t xml:space="preserve"> </w:t>
      </w:r>
      <w:r w:rsidRPr="00FD697C">
        <w:rPr>
          <w:rFonts w:eastAsia="Malgun Gothic"/>
          <w:szCs w:val="24"/>
        </w:rPr>
        <w:t xml:space="preserve">levels </w:t>
      </w:r>
      <w:r w:rsidRPr="00FD697C">
        <w:rPr>
          <w:rFonts w:eastAsiaTheme="minorHAnsi"/>
          <w:szCs w:val="24"/>
        </w:rPr>
        <w:t>[5</w:t>
      </w:r>
      <w:r w:rsidR="009E0BB8" w:rsidRPr="00FD697C">
        <w:rPr>
          <w:rFonts w:eastAsiaTheme="minorHAnsi"/>
          <w:szCs w:val="24"/>
        </w:rPr>
        <w:t>7</w:t>
      </w:r>
      <w:r w:rsidRPr="00FD697C">
        <w:rPr>
          <w:rFonts w:eastAsiaTheme="minorHAnsi"/>
          <w:szCs w:val="24"/>
        </w:rPr>
        <w:t>]</w:t>
      </w:r>
      <w:r w:rsidRPr="00801161">
        <w:rPr>
          <w:rFonts w:eastAsiaTheme="minorHAnsi"/>
          <w:szCs w:val="24"/>
        </w:rPr>
        <w:t xml:space="preserve">. Intracolonic administration of miR-141 precursors and inhibitors </w:t>
      </w:r>
      <w:r w:rsidR="00BF3BAC" w:rsidRPr="00801161">
        <w:rPr>
          <w:rFonts w:eastAsiaTheme="minorHAnsi"/>
          <w:szCs w:val="24"/>
        </w:rPr>
        <w:t xml:space="preserve">to </w:t>
      </w:r>
      <w:r w:rsidRPr="00801161">
        <w:rPr>
          <w:rFonts w:eastAsiaTheme="minorHAnsi"/>
          <w:szCs w:val="24"/>
        </w:rPr>
        <w:t>both TNBS-colitis mice and IL-10 knockout mice alleviated and aggravated colitis, respectively</w:t>
      </w:r>
      <w:r w:rsidR="00D61232" w:rsidRPr="00801161">
        <w:rPr>
          <w:rFonts w:eastAsiaTheme="minorHAnsi"/>
          <w:szCs w:val="24"/>
        </w:rPr>
        <w:t xml:space="preserve"> </w:t>
      </w:r>
      <w:r w:rsidRPr="00FD697C">
        <w:rPr>
          <w:rFonts w:eastAsiaTheme="minorHAnsi"/>
          <w:szCs w:val="24"/>
        </w:rPr>
        <w:t>[5</w:t>
      </w:r>
      <w:r w:rsidR="00F43751" w:rsidRPr="00FD697C">
        <w:rPr>
          <w:rFonts w:eastAsiaTheme="minorHAnsi"/>
          <w:szCs w:val="24"/>
        </w:rPr>
        <w:t>7</w:t>
      </w:r>
      <w:r w:rsidRPr="00FD697C">
        <w:rPr>
          <w:rFonts w:eastAsiaTheme="minorHAnsi"/>
          <w:szCs w:val="24"/>
        </w:rPr>
        <w:t>]</w:t>
      </w:r>
      <w:r w:rsidRPr="00801161">
        <w:rPr>
          <w:rFonts w:eastAsiaTheme="minorHAnsi"/>
          <w:szCs w:val="24"/>
        </w:rPr>
        <w:t>.</w:t>
      </w:r>
    </w:p>
    <w:p w14:paraId="2979CB02" w14:textId="77777777" w:rsidR="00CD7E2E" w:rsidRPr="00801161" w:rsidRDefault="007C280A" w:rsidP="00FF2683">
      <w:pPr>
        <w:spacing w:before="120" w:after="120" w:line="480" w:lineRule="auto"/>
        <w:jc w:val="both"/>
        <w:rPr>
          <w:rFonts w:ascii="Arial" w:eastAsiaTheme="majorHAnsi" w:hAnsi="Arial" w:cs="Arial"/>
          <w:bCs/>
          <w:szCs w:val="24"/>
          <w:lang w:eastAsia="ko-KR"/>
        </w:rPr>
      </w:pPr>
      <w:r w:rsidRPr="00801161">
        <w:rPr>
          <w:rFonts w:ascii="Arial" w:hAnsi="Arial" w:cs="Arial"/>
          <w:b/>
          <w:bCs/>
          <w:color w:val="000000" w:themeColor="text1"/>
          <w:szCs w:val="24"/>
        </w:rPr>
        <w:t>miRNAs and autophagy in IBD</w:t>
      </w:r>
    </w:p>
    <w:p w14:paraId="406DD468" w14:textId="62D436F3" w:rsidR="00CD7E2E" w:rsidRPr="00801161" w:rsidRDefault="007C280A" w:rsidP="00FF2683">
      <w:pPr>
        <w:spacing w:before="120" w:after="120" w:line="480" w:lineRule="auto"/>
        <w:ind w:firstLine="800"/>
        <w:jc w:val="both"/>
        <w:rPr>
          <w:rFonts w:eastAsia="Malgun Gothic"/>
          <w:szCs w:val="24"/>
        </w:rPr>
      </w:pPr>
      <w:r w:rsidRPr="00801161">
        <w:rPr>
          <w:szCs w:val="24"/>
        </w:rPr>
        <w:t>Autophagy is a cellular response that degrades and recycles internal structures</w:t>
      </w:r>
      <w:r w:rsidRPr="00801161">
        <w:rPr>
          <w:rFonts w:eastAsia="Malgun Gothic"/>
          <w:szCs w:val="24"/>
        </w:rPr>
        <w:t xml:space="preserve">, such as organelles and macromolecules. </w:t>
      </w:r>
      <w:r w:rsidR="006851A9" w:rsidRPr="00801161">
        <w:rPr>
          <w:rFonts w:eastAsia="Malgun Gothic"/>
          <w:szCs w:val="24"/>
        </w:rPr>
        <w:t>Therefore,</w:t>
      </w:r>
      <w:r w:rsidR="00B6448F" w:rsidRPr="00801161">
        <w:rPr>
          <w:rFonts w:eastAsia="Malgun Gothic"/>
          <w:szCs w:val="24"/>
        </w:rPr>
        <w:t xml:space="preserve"> i</w:t>
      </w:r>
      <w:r w:rsidRPr="00801161">
        <w:rPr>
          <w:rFonts w:eastAsia="Malgun Gothic"/>
          <w:szCs w:val="24"/>
        </w:rPr>
        <w:t xml:space="preserve">ts purpose is to maintain cell homeostasis </w:t>
      </w:r>
      <w:r w:rsidRPr="00801161">
        <w:rPr>
          <w:szCs w:val="24"/>
        </w:rPr>
        <w:t>and regulate inflammatory responses</w:t>
      </w:r>
      <w:r w:rsidR="00D61232" w:rsidRPr="00801161">
        <w:rPr>
          <w:szCs w:val="24"/>
        </w:rPr>
        <w:t xml:space="preserve"> </w:t>
      </w:r>
      <w:r w:rsidRPr="00FD697C">
        <w:rPr>
          <w:szCs w:val="24"/>
        </w:rPr>
        <w:t>[5</w:t>
      </w:r>
      <w:r w:rsidR="00F43751" w:rsidRPr="00FD697C">
        <w:rPr>
          <w:szCs w:val="24"/>
        </w:rPr>
        <w:t>8</w:t>
      </w:r>
      <w:r w:rsidRPr="00FD697C">
        <w:rPr>
          <w:szCs w:val="24"/>
        </w:rPr>
        <w:t>]</w:t>
      </w:r>
      <w:r w:rsidRPr="00801161">
        <w:rPr>
          <w:szCs w:val="24"/>
        </w:rPr>
        <w:t>. Defects in autophagy can cause epithelial dysfunction and immune disruption, which play important roles in the pathogenesis of IBD</w:t>
      </w:r>
      <w:r w:rsidR="00D61232" w:rsidRPr="00801161">
        <w:rPr>
          <w:szCs w:val="24"/>
        </w:rPr>
        <w:t xml:space="preserve"> </w:t>
      </w:r>
      <w:r w:rsidRPr="00FD697C">
        <w:rPr>
          <w:szCs w:val="24"/>
        </w:rPr>
        <w:t>[5</w:t>
      </w:r>
      <w:r w:rsidR="00F43751" w:rsidRPr="00FD697C">
        <w:rPr>
          <w:szCs w:val="24"/>
        </w:rPr>
        <w:t>9</w:t>
      </w:r>
      <w:r w:rsidRPr="00FD697C">
        <w:rPr>
          <w:szCs w:val="24"/>
        </w:rPr>
        <w:t>]</w:t>
      </w:r>
      <w:r w:rsidRPr="00801161">
        <w:rPr>
          <w:szCs w:val="24"/>
        </w:rPr>
        <w:t>. Recent studies suggest that miRNAs target autophagy-susceptibility genes to regulate intestinal autophagy and control intestinal inflammation in IBD</w:t>
      </w:r>
      <w:r w:rsidR="00D61232" w:rsidRPr="00801161">
        <w:rPr>
          <w:szCs w:val="24"/>
        </w:rPr>
        <w:t xml:space="preserve"> </w:t>
      </w:r>
      <w:r w:rsidRPr="00FD697C">
        <w:rPr>
          <w:szCs w:val="24"/>
        </w:rPr>
        <w:t>[</w:t>
      </w:r>
      <w:r w:rsidR="00F43751" w:rsidRPr="00FD697C">
        <w:rPr>
          <w:szCs w:val="24"/>
        </w:rPr>
        <w:t>60</w:t>
      </w:r>
      <w:r w:rsidRPr="00FD697C">
        <w:rPr>
          <w:szCs w:val="24"/>
        </w:rPr>
        <w:t>]</w:t>
      </w:r>
      <w:r w:rsidRPr="00801161">
        <w:rPr>
          <w:szCs w:val="24"/>
        </w:rPr>
        <w:t>.</w:t>
      </w:r>
      <w:r w:rsidR="00F55A9D" w:rsidRPr="00801161">
        <w:rPr>
          <w:szCs w:val="24"/>
        </w:rPr>
        <w:t xml:space="preserve"> </w:t>
      </w:r>
      <w:r w:rsidRPr="00FD697C">
        <w:rPr>
          <w:i/>
          <w:iCs/>
          <w:szCs w:val="24"/>
        </w:rPr>
        <w:t>ATG16L1</w:t>
      </w:r>
      <w:r w:rsidRPr="00801161">
        <w:rPr>
          <w:szCs w:val="24"/>
        </w:rPr>
        <w:t xml:space="preserve"> is an autophagy-related gene that forms autophagosomes during autophagy</w:t>
      </w:r>
      <w:r w:rsidR="00D61232" w:rsidRPr="00801161">
        <w:rPr>
          <w:szCs w:val="24"/>
        </w:rPr>
        <w:t xml:space="preserve"> </w:t>
      </w:r>
      <w:r w:rsidRPr="00FD697C">
        <w:rPr>
          <w:szCs w:val="24"/>
        </w:rPr>
        <w:t>[</w:t>
      </w:r>
      <w:r w:rsidR="00F43751" w:rsidRPr="00FD697C">
        <w:rPr>
          <w:szCs w:val="24"/>
        </w:rPr>
        <w:t>61</w:t>
      </w:r>
      <w:r w:rsidRPr="00FD697C">
        <w:rPr>
          <w:szCs w:val="24"/>
        </w:rPr>
        <w:t>]</w:t>
      </w:r>
      <w:r w:rsidRPr="00801161">
        <w:rPr>
          <w:szCs w:val="24"/>
        </w:rPr>
        <w:t>.</w:t>
      </w:r>
      <w:r w:rsidRPr="00801161">
        <w:rPr>
          <w:szCs w:val="24"/>
          <w:lang w:eastAsia="ko-KR"/>
        </w:rPr>
        <w:t xml:space="preserve"> </w:t>
      </w:r>
      <w:r w:rsidRPr="00801161">
        <w:rPr>
          <w:szCs w:val="24"/>
        </w:rPr>
        <w:t xml:space="preserve">miR-346 was reported to downregulate the expression of </w:t>
      </w:r>
      <w:r w:rsidRPr="00801161">
        <w:rPr>
          <w:rFonts w:eastAsia="Malgun Gothic"/>
          <w:szCs w:val="24"/>
        </w:rPr>
        <w:t>the vitamin D receptor</w:t>
      </w:r>
      <w:r w:rsidR="0068436E" w:rsidRPr="00801161">
        <w:rPr>
          <w:rFonts w:eastAsia="Malgun Gothic"/>
          <w:szCs w:val="24"/>
        </w:rPr>
        <w:t>,</w:t>
      </w:r>
      <w:r w:rsidRPr="00801161">
        <w:rPr>
          <w:rFonts w:eastAsia="Malgun Gothic"/>
          <w:szCs w:val="24"/>
        </w:rPr>
        <w:t xml:space="preserve"> glycogen synthase kinase 3 beta</w:t>
      </w:r>
      <w:r w:rsidRPr="00801161">
        <w:rPr>
          <w:szCs w:val="24"/>
        </w:rPr>
        <w:t xml:space="preserve"> (GSK3</w:t>
      </w:r>
      <w:r w:rsidRPr="00801161">
        <w:rPr>
          <w:rFonts w:eastAsia="Malgun Gothic"/>
          <w:szCs w:val="24"/>
        </w:rPr>
        <w:t>B)</w:t>
      </w:r>
      <w:r w:rsidR="0068436E" w:rsidRPr="00801161">
        <w:rPr>
          <w:rFonts w:eastAsia="Malgun Gothic"/>
          <w:szCs w:val="24"/>
        </w:rPr>
        <w:t>,</w:t>
      </w:r>
      <w:r w:rsidRPr="00801161">
        <w:rPr>
          <w:rFonts w:eastAsia="Malgun Gothic"/>
          <w:szCs w:val="24"/>
        </w:rPr>
        <w:t xml:space="preserve"> to increase the level of </w:t>
      </w:r>
      <w:r w:rsidRPr="00FD697C">
        <w:rPr>
          <w:rFonts w:eastAsia="Malgun Gothic"/>
          <w:i/>
          <w:iCs/>
          <w:szCs w:val="24"/>
        </w:rPr>
        <w:t>ATG16L1</w:t>
      </w:r>
      <w:r w:rsidRPr="00801161">
        <w:rPr>
          <w:rFonts w:eastAsia="Malgun Gothic"/>
          <w:szCs w:val="24"/>
        </w:rPr>
        <w:t xml:space="preserve"> in colon biopsy samples of IBD patients</w:t>
      </w:r>
      <w:r w:rsidR="00D61232" w:rsidRPr="00801161">
        <w:rPr>
          <w:rFonts w:eastAsia="Malgun Gothic"/>
          <w:szCs w:val="24"/>
        </w:rPr>
        <w:t xml:space="preserve"> </w:t>
      </w:r>
      <w:r w:rsidRPr="00FD697C">
        <w:rPr>
          <w:rFonts w:eastAsia="Malgun Gothic"/>
          <w:szCs w:val="24"/>
        </w:rPr>
        <w:t>[</w:t>
      </w:r>
      <w:r w:rsidR="00F43751" w:rsidRPr="00FD697C">
        <w:rPr>
          <w:rFonts w:eastAsia="Malgun Gothic"/>
          <w:szCs w:val="24"/>
        </w:rPr>
        <w:t>62</w:t>
      </w:r>
      <w:r w:rsidRPr="00FD697C">
        <w:rPr>
          <w:rFonts w:eastAsia="Malgun Gothic"/>
          <w:szCs w:val="24"/>
        </w:rPr>
        <w:t>]</w:t>
      </w:r>
      <w:r w:rsidRPr="00801161">
        <w:rPr>
          <w:rFonts w:eastAsia="Malgun Gothic"/>
          <w:szCs w:val="24"/>
        </w:rPr>
        <w:t>. miR-665 represses X-box binding protein 1 (XBP1) and ORMDL sphingolipid biosynthesis regulator 3 (ORMDL3), which also stimulates autophagy</w:t>
      </w:r>
      <w:r w:rsidR="00D61232" w:rsidRPr="00801161">
        <w:rPr>
          <w:rFonts w:eastAsia="Malgun Gothic"/>
          <w:szCs w:val="24"/>
        </w:rPr>
        <w:t xml:space="preserve"> </w:t>
      </w:r>
      <w:r w:rsidRPr="00FD697C">
        <w:rPr>
          <w:rFonts w:eastAsia="Malgun Gothic"/>
          <w:szCs w:val="24"/>
        </w:rPr>
        <w:t>[6</w:t>
      </w:r>
      <w:r w:rsidR="00F43751" w:rsidRPr="00FD697C">
        <w:rPr>
          <w:rFonts w:eastAsia="Malgun Gothic"/>
          <w:szCs w:val="24"/>
        </w:rPr>
        <w:t>3</w:t>
      </w:r>
      <w:r w:rsidRPr="00FD697C">
        <w:rPr>
          <w:rFonts w:eastAsia="Malgun Gothic"/>
          <w:szCs w:val="24"/>
        </w:rPr>
        <w:t>]</w:t>
      </w:r>
      <w:r w:rsidRPr="00801161">
        <w:rPr>
          <w:rFonts w:eastAsia="Malgun Gothic"/>
          <w:szCs w:val="24"/>
        </w:rPr>
        <w:t>.</w:t>
      </w:r>
    </w:p>
    <w:p w14:paraId="507A7AF6" w14:textId="13B10C28" w:rsidR="00CD7E2E" w:rsidRPr="00801161" w:rsidRDefault="007C280A" w:rsidP="00FF2683">
      <w:pPr>
        <w:spacing w:before="120" w:after="120" w:line="480" w:lineRule="auto"/>
        <w:ind w:firstLine="800"/>
        <w:jc w:val="both"/>
        <w:rPr>
          <w:rFonts w:eastAsia="Malgun Gothic"/>
          <w:szCs w:val="24"/>
        </w:rPr>
      </w:pPr>
      <w:r w:rsidRPr="00801161">
        <w:rPr>
          <w:rFonts w:eastAsia="Malgun Gothic"/>
          <w:szCs w:val="24"/>
        </w:rPr>
        <w:t>Many miRNAs are</w:t>
      </w:r>
      <w:r w:rsidR="00F55A9D" w:rsidRPr="00801161">
        <w:rPr>
          <w:rFonts w:eastAsia="Malgun Gothic"/>
          <w:szCs w:val="24"/>
        </w:rPr>
        <w:t xml:space="preserve"> </w:t>
      </w:r>
      <w:r w:rsidRPr="00801161">
        <w:rPr>
          <w:rFonts w:eastAsia="Malgun Gothic"/>
          <w:szCs w:val="24"/>
        </w:rPr>
        <w:t xml:space="preserve">known to inhibit autophagy. miR-20a downregulates Beclin 1 (BECN1), </w:t>
      </w:r>
      <w:r w:rsidRPr="00FD697C">
        <w:rPr>
          <w:rFonts w:eastAsia="Malgun Gothic"/>
          <w:i/>
          <w:iCs/>
          <w:szCs w:val="24"/>
        </w:rPr>
        <w:t>ATG16L1</w:t>
      </w:r>
      <w:r w:rsidRPr="00801161">
        <w:rPr>
          <w:rFonts w:eastAsia="Malgun Gothic"/>
          <w:szCs w:val="24"/>
        </w:rPr>
        <w:t>, and sequestosome 1 (SQSTM1), which collectively slows down autophagy</w:t>
      </w:r>
      <w:r w:rsidR="00D61232" w:rsidRPr="00801161">
        <w:rPr>
          <w:rFonts w:eastAsia="Malgun Gothic"/>
          <w:szCs w:val="24"/>
        </w:rPr>
        <w:t xml:space="preserve"> </w:t>
      </w:r>
      <w:r w:rsidR="00A80738" w:rsidRPr="00FD697C">
        <w:rPr>
          <w:rFonts w:eastAsia="Malgun Gothic"/>
          <w:szCs w:val="24"/>
        </w:rPr>
        <w:t>[</w:t>
      </w:r>
      <w:r w:rsidRPr="00FD697C">
        <w:rPr>
          <w:rFonts w:eastAsia="Malgun Gothic"/>
          <w:szCs w:val="24"/>
        </w:rPr>
        <w:t>6</w:t>
      </w:r>
      <w:r w:rsidR="00F43751" w:rsidRPr="00FD697C">
        <w:rPr>
          <w:rFonts w:eastAsia="Malgun Gothic"/>
          <w:szCs w:val="24"/>
        </w:rPr>
        <w:t>4</w:t>
      </w:r>
      <w:r w:rsidRPr="00FD697C">
        <w:rPr>
          <w:rFonts w:eastAsia="Malgun Gothic"/>
          <w:szCs w:val="24"/>
        </w:rPr>
        <w:t>]</w:t>
      </w:r>
      <w:r w:rsidRPr="00801161">
        <w:rPr>
          <w:rFonts w:eastAsia="Malgun Gothic"/>
          <w:szCs w:val="24"/>
        </w:rPr>
        <w:t>. miR-30C</w:t>
      </w:r>
      <w:r w:rsidR="00D61232" w:rsidRPr="00801161">
        <w:rPr>
          <w:rFonts w:eastAsia="Malgun Gothic"/>
          <w:szCs w:val="24"/>
        </w:rPr>
        <w:t xml:space="preserve"> </w:t>
      </w:r>
      <w:r w:rsidRPr="00FD697C">
        <w:rPr>
          <w:rFonts w:eastAsia="Malgun Gothic"/>
          <w:szCs w:val="24"/>
        </w:rPr>
        <w:t>[6</w:t>
      </w:r>
      <w:r w:rsidR="00F43751" w:rsidRPr="00FD697C">
        <w:rPr>
          <w:rFonts w:eastAsia="Malgun Gothic"/>
          <w:szCs w:val="24"/>
        </w:rPr>
        <w:t>5</w:t>
      </w:r>
      <w:r w:rsidRPr="00FD697C">
        <w:rPr>
          <w:rFonts w:eastAsia="Malgun Gothic"/>
          <w:szCs w:val="24"/>
        </w:rPr>
        <w:t>]</w:t>
      </w:r>
      <w:r w:rsidRPr="00801161">
        <w:rPr>
          <w:rFonts w:eastAsia="Malgun Gothic"/>
          <w:szCs w:val="24"/>
        </w:rPr>
        <w:t>, miR-93, miR-106B</w:t>
      </w:r>
      <w:r w:rsidR="00D61232" w:rsidRPr="00801161">
        <w:rPr>
          <w:rFonts w:eastAsia="Malgun Gothic"/>
          <w:szCs w:val="24"/>
        </w:rPr>
        <w:t xml:space="preserve"> </w:t>
      </w:r>
      <w:r w:rsidRPr="00FD697C">
        <w:rPr>
          <w:rFonts w:eastAsia="Malgun Gothic"/>
          <w:szCs w:val="24"/>
        </w:rPr>
        <w:t>[6</w:t>
      </w:r>
      <w:r w:rsidR="00F43751" w:rsidRPr="00FD697C">
        <w:rPr>
          <w:rFonts w:eastAsia="Malgun Gothic"/>
          <w:szCs w:val="24"/>
        </w:rPr>
        <w:t>6</w:t>
      </w:r>
      <w:r w:rsidRPr="00FD697C">
        <w:rPr>
          <w:rFonts w:eastAsia="Malgun Gothic"/>
          <w:szCs w:val="24"/>
        </w:rPr>
        <w:t>, 6</w:t>
      </w:r>
      <w:r w:rsidR="00F43751" w:rsidRPr="00FD697C">
        <w:rPr>
          <w:rFonts w:eastAsia="Malgun Gothic"/>
          <w:szCs w:val="24"/>
        </w:rPr>
        <w:t>7</w:t>
      </w:r>
      <w:r w:rsidRPr="00FD697C">
        <w:rPr>
          <w:rFonts w:eastAsia="Malgun Gothic"/>
          <w:szCs w:val="24"/>
        </w:rPr>
        <w:t>]</w:t>
      </w:r>
      <w:r w:rsidRPr="00801161">
        <w:rPr>
          <w:rFonts w:eastAsia="Malgun Gothic"/>
          <w:szCs w:val="24"/>
        </w:rPr>
        <w:t>, and miR-142-3p</w:t>
      </w:r>
      <w:r w:rsidR="00D61232" w:rsidRPr="00801161">
        <w:rPr>
          <w:rFonts w:eastAsia="Malgun Gothic"/>
          <w:szCs w:val="24"/>
        </w:rPr>
        <w:t xml:space="preserve"> </w:t>
      </w:r>
      <w:r w:rsidRPr="00FD697C">
        <w:rPr>
          <w:rFonts w:eastAsia="Malgun Gothic"/>
          <w:szCs w:val="24"/>
        </w:rPr>
        <w:t>[6</w:t>
      </w:r>
      <w:r w:rsidR="00F43751" w:rsidRPr="00FD697C">
        <w:rPr>
          <w:rFonts w:eastAsia="Malgun Gothic"/>
          <w:szCs w:val="24"/>
        </w:rPr>
        <w:t>8</w:t>
      </w:r>
      <w:r w:rsidRPr="00FD697C">
        <w:rPr>
          <w:rFonts w:eastAsia="Malgun Gothic"/>
          <w:szCs w:val="24"/>
        </w:rPr>
        <w:t>]</w:t>
      </w:r>
      <w:r w:rsidRPr="00801161">
        <w:rPr>
          <w:rFonts w:eastAsia="Malgun Gothic"/>
          <w:szCs w:val="24"/>
        </w:rPr>
        <w:t xml:space="preserve"> also target the expression of </w:t>
      </w:r>
      <w:r w:rsidRPr="00FD697C">
        <w:rPr>
          <w:rFonts w:eastAsia="Malgun Gothic"/>
          <w:i/>
          <w:iCs/>
          <w:szCs w:val="24"/>
        </w:rPr>
        <w:t>ATG16L1</w:t>
      </w:r>
      <w:r w:rsidRPr="00801161">
        <w:rPr>
          <w:rFonts w:eastAsia="Malgun Gothic"/>
          <w:szCs w:val="24"/>
        </w:rPr>
        <w:t xml:space="preserve"> to prevent autophagy. miR-122</w:t>
      </w:r>
      <w:r w:rsidR="00D61232" w:rsidRPr="00801161">
        <w:rPr>
          <w:rFonts w:eastAsia="Malgun Gothic"/>
          <w:szCs w:val="24"/>
        </w:rPr>
        <w:t xml:space="preserve"> </w:t>
      </w:r>
      <w:r w:rsidRPr="00FD697C">
        <w:rPr>
          <w:rFonts w:eastAsia="Malgun Gothic"/>
          <w:szCs w:val="24"/>
        </w:rPr>
        <w:t>[6</w:t>
      </w:r>
      <w:r w:rsidR="00F43751" w:rsidRPr="00FD697C">
        <w:rPr>
          <w:rFonts w:eastAsia="Malgun Gothic"/>
          <w:szCs w:val="24"/>
        </w:rPr>
        <w:t>9</w:t>
      </w:r>
      <w:r w:rsidRPr="00FD697C">
        <w:rPr>
          <w:rFonts w:eastAsia="Malgun Gothic"/>
          <w:szCs w:val="24"/>
        </w:rPr>
        <w:t>]</w:t>
      </w:r>
      <w:r w:rsidRPr="00801161">
        <w:rPr>
          <w:rFonts w:eastAsia="Malgun Gothic"/>
          <w:szCs w:val="24"/>
        </w:rPr>
        <w:t>, miR-192</w:t>
      </w:r>
      <w:r w:rsidR="00D61232" w:rsidRPr="00801161">
        <w:rPr>
          <w:rFonts w:eastAsia="Malgun Gothic"/>
          <w:szCs w:val="24"/>
        </w:rPr>
        <w:t xml:space="preserve"> </w:t>
      </w:r>
      <w:r w:rsidRPr="00FD697C">
        <w:rPr>
          <w:rFonts w:eastAsia="Malgun Gothic"/>
          <w:szCs w:val="24"/>
        </w:rPr>
        <w:t>[</w:t>
      </w:r>
      <w:r w:rsidR="00F43751" w:rsidRPr="00FD697C">
        <w:rPr>
          <w:rFonts w:eastAsia="Malgun Gothic"/>
          <w:szCs w:val="24"/>
        </w:rPr>
        <w:t>70</w:t>
      </w:r>
      <w:r w:rsidRPr="00FD697C">
        <w:rPr>
          <w:rFonts w:eastAsia="Malgun Gothic"/>
          <w:szCs w:val="24"/>
        </w:rPr>
        <w:t>]</w:t>
      </w:r>
      <w:r w:rsidRPr="00801161">
        <w:rPr>
          <w:rFonts w:eastAsia="Malgun Gothic"/>
          <w:szCs w:val="24"/>
        </w:rPr>
        <w:t>, and miR-320</w:t>
      </w:r>
      <w:r w:rsidR="00514F66" w:rsidRPr="00801161">
        <w:rPr>
          <w:rFonts w:eastAsia="Malgun Gothic"/>
          <w:szCs w:val="24"/>
        </w:rPr>
        <w:t xml:space="preserve"> </w:t>
      </w:r>
      <w:r w:rsidRPr="00FD697C">
        <w:rPr>
          <w:rFonts w:eastAsia="Malgun Gothic"/>
          <w:szCs w:val="24"/>
        </w:rPr>
        <w:t>[5</w:t>
      </w:r>
      <w:r w:rsidR="00F43751" w:rsidRPr="00FD697C">
        <w:rPr>
          <w:rFonts w:eastAsia="Malgun Gothic"/>
          <w:szCs w:val="24"/>
        </w:rPr>
        <w:t>5</w:t>
      </w:r>
      <w:r w:rsidRPr="00FD697C">
        <w:rPr>
          <w:rFonts w:eastAsia="Malgun Gothic"/>
          <w:szCs w:val="24"/>
        </w:rPr>
        <w:t>]</w:t>
      </w:r>
      <w:r w:rsidRPr="00801161">
        <w:rPr>
          <w:rFonts w:eastAsia="Malgun Gothic"/>
          <w:szCs w:val="24"/>
        </w:rPr>
        <w:t xml:space="preserve"> </w:t>
      </w:r>
      <w:r w:rsidR="0068436E" w:rsidRPr="00801161">
        <w:rPr>
          <w:rFonts w:eastAsia="Malgun Gothic"/>
          <w:szCs w:val="24"/>
        </w:rPr>
        <w:t xml:space="preserve">were found to </w:t>
      </w:r>
      <w:r w:rsidRPr="00801161">
        <w:rPr>
          <w:rFonts w:eastAsia="Malgun Gothic"/>
          <w:szCs w:val="24"/>
        </w:rPr>
        <w:t>decrease the activity of NOD2 to block autophagy. miR-130a increases the level of phosphorylated mammalian target of rapamycin (p-mTOR)</w:t>
      </w:r>
      <w:r w:rsidR="00C762DF" w:rsidRPr="00801161">
        <w:rPr>
          <w:rFonts w:eastAsia="Malgun Gothic"/>
          <w:szCs w:val="24"/>
        </w:rPr>
        <w:t xml:space="preserve"> [71]</w:t>
      </w:r>
      <w:r w:rsidRPr="00801161">
        <w:rPr>
          <w:rFonts w:eastAsia="Malgun Gothic"/>
          <w:szCs w:val="24"/>
        </w:rPr>
        <w:t xml:space="preserve">, </w:t>
      </w:r>
      <w:r w:rsidR="00F01FDE" w:rsidRPr="00801161">
        <w:rPr>
          <w:rFonts w:eastAsia="Malgun Gothic"/>
          <w:szCs w:val="24"/>
        </w:rPr>
        <w:t xml:space="preserve">while </w:t>
      </w:r>
      <w:r w:rsidRPr="00801161">
        <w:rPr>
          <w:rFonts w:eastAsia="Malgun Gothic"/>
          <w:szCs w:val="24"/>
        </w:rPr>
        <w:t xml:space="preserve">miR-132, miR-223, miR-146b, and miR-155 reduce Forkhead box class O3 (FOXO3 </w:t>
      </w:r>
      <w:r w:rsidR="00ED55D6" w:rsidRPr="00801161">
        <w:rPr>
          <w:rFonts w:eastAsia="Malgun Gothic"/>
          <w:szCs w:val="24"/>
        </w:rPr>
        <w:t>or</w:t>
      </w:r>
      <w:r w:rsidRPr="00801161">
        <w:rPr>
          <w:rFonts w:eastAsia="Malgun Gothic"/>
          <w:szCs w:val="24"/>
        </w:rPr>
        <w:t xml:space="preserve"> FOXO3a) to inhibit </w:t>
      </w:r>
      <w:r w:rsidRPr="00801161">
        <w:rPr>
          <w:rFonts w:eastAsia="Malgun Gothic"/>
          <w:szCs w:val="24"/>
        </w:rPr>
        <w:lastRenderedPageBreak/>
        <w:t>autophagy</w:t>
      </w:r>
      <w:r w:rsidR="00C762DF" w:rsidRPr="00801161">
        <w:rPr>
          <w:rFonts w:eastAsia="Malgun Gothic"/>
          <w:szCs w:val="24"/>
        </w:rPr>
        <w:t xml:space="preserve"> </w:t>
      </w:r>
      <w:r w:rsidRPr="00FD697C">
        <w:rPr>
          <w:rFonts w:eastAsia="Malgun Gothic"/>
          <w:szCs w:val="24"/>
        </w:rPr>
        <w:t>[</w:t>
      </w:r>
      <w:r w:rsidR="00F43751" w:rsidRPr="00FD697C">
        <w:rPr>
          <w:rFonts w:eastAsia="Malgun Gothic"/>
          <w:szCs w:val="24"/>
        </w:rPr>
        <w:t>7</w:t>
      </w:r>
      <w:r w:rsidR="00C762DF" w:rsidRPr="00FD697C">
        <w:rPr>
          <w:rFonts w:eastAsia="Malgun Gothic"/>
          <w:szCs w:val="24"/>
        </w:rPr>
        <w:t>2</w:t>
      </w:r>
      <w:r w:rsidRPr="00FD697C">
        <w:rPr>
          <w:rFonts w:eastAsia="Malgun Gothic"/>
          <w:szCs w:val="24"/>
        </w:rPr>
        <w:t>-7</w:t>
      </w:r>
      <w:r w:rsidR="00F43751" w:rsidRPr="00FD697C">
        <w:rPr>
          <w:rFonts w:eastAsia="Malgun Gothic"/>
          <w:szCs w:val="24"/>
        </w:rPr>
        <w:t>6</w:t>
      </w:r>
      <w:r w:rsidRPr="00FD697C">
        <w:rPr>
          <w:rFonts w:eastAsia="Malgun Gothic"/>
          <w:szCs w:val="24"/>
        </w:rPr>
        <w:t>]</w:t>
      </w:r>
      <w:r w:rsidRPr="00801161">
        <w:rPr>
          <w:rFonts w:eastAsia="Malgun Gothic"/>
          <w:szCs w:val="24"/>
        </w:rPr>
        <w:t>. miR-196 blocks the accumulation of the lipid-modified form of microtubule-associated protein 1A/1B-light chain 3 (LC3-II) to prevent autophagy</w:t>
      </w:r>
      <w:r w:rsidR="00D61232" w:rsidRPr="00801161">
        <w:rPr>
          <w:rFonts w:eastAsia="Malgun Gothic"/>
          <w:szCs w:val="24"/>
        </w:rPr>
        <w:t xml:space="preserve"> </w:t>
      </w:r>
      <w:r w:rsidRPr="00FD697C">
        <w:rPr>
          <w:rFonts w:eastAsia="Malgun Gothic"/>
          <w:szCs w:val="24"/>
        </w:rPr>
        <w:t>[7</w:t>
      </w:r>
      <w:r w:rsidR="00F43751" w:rsidRPr="00FD697C">
        <w:rPr>
          <w:rFonts w:eastAsia="Malgun Gothic"/>
          <w:szCs w:val="24"/>
        </w:rPr>
        <w:t>7</w:t>
      </w:r>
      <w:r w:rsidRPr="00FD697C">
        <w:rPr>
          <w:rFonts w:eastAsia="Malgun Gothic"/>
          <w:szCs w:val="24"/>
        </w:rPr>
        <w:t>]</w:t>
      </w:r>
      <w:r w:rsidRPr="00801161">
        <w:rPr>
          <w:rFonts w:eastAsia="Malgun Gothic"/>
          <w:szCs w:val="24"/>
        </w:rPr>
        <w:t>.</w:t>
      </w:r>
    </w:p>
    <w:p w14:paraId="05CC1FC3" w14:textId="77777777" w:rsidR="00CD7E2E" w:rsidRPr="00801161" w:rsidRDefault="007C280A" w:rsidP="00FF2683">
      <w:pPr>
        <w:spacing w:before="120" w:after="120" w:line="480" w:lineRule="auto"/>
        <w:jc w:val="both"/>
        <w:rPr>
          <w:b/>
          <w:sz w:val="28"/>
          <w:szCs w:val="28"/>
        </w:rPr>
      </w:pPr>
      <w:r w:rsidRPr="00801161">
        <w:rPr>
          <w:b/>
          <w:sz w:val="28"/>
          <w:szCs w:val="28"/>
        </w:rPr>
        <w:t>Role of miRNAs in IBD diagnosis</w:t>
      </w:r>
    </w:p>
    <w:p w14:paraId="02EB4101" w14:textId="1BA68858" w:rsidR="00CD7E2E" w:rsidRPr="00801161" w:rsidRDefault="007C280A" w:rsidP="00FF2683">
      <w:pPr>
        <w:spacing w:before="120" w:after="120" w:line="480" w:lineRule="auto"/>
        <w:ind w:firstLine="800"/>
        <w:jc w:val="both"/>
        <w:rPr>
          <w:b/>
          <w:bCs/>
          <w:szCs w:val="24"/>
        </w:rPr>
      </w:pPr>
      <w:r w:rsidRPr="00801161">
        <w:rPr>
          <w:szCs w:val="24"/>
        </w:rPr>
        <w:t>Diagnosis and evaluation of IBD ha</w:t>
      </w:r>
      <w:r w:rsidR="00F01FDE" w:rsidRPr="00801161">
        <w:rPr>
          <w:szCs w:val="24"/>
        </w:rPr>
        <w:t>ve</w:t>
      </w:r>
      <w:r w:rsidRPr="00801161">
        <w:rPr>
          <w:szCs w:val="24"/>
        </w:rPr>
        <w:t xml:space="preserve"> always been challeng</w:t>
      </w:r>
      <w:r w:rsidR="00F01FDE" w:rsidRPr="00801161">
        <w:rPr>
          <w:szCs w:val="24"/>
        </w:rPr>
        <w:t>ing</w:t>
      </w:r>
      <w:r w:rsidRPr="00801161">
        <w:rPr>
          <w:szCs w:val="24"/>
        </w:rPr>
        <w:t>. IBD is diagnosed based on clinical manifestations and endoscopy with histopathological examination</w:t>
      </w:r>
      <w:r w:rsidR="00D61232" w:rsidRPr="00801161">
        <w:rPr>
          <w:szCs w:val="24"/>
        </w:rPr>
        <w:t xml:space="preserve"> </w:t>
      </w:r>
      <w:r w:rsidRPr="00FD697C">
        <w:rPr>
          <w:szCs w:val="24"/>
        </w:rPr>
        <w:t>[7</w:t>
      </w:r>
      <w:r w:rsidR="00F43751" w:rsidRPr="00FD697C">
        <w:rPr>
          <w:szCs w:val="24"/>
        </w:rPr>
        <w:t>8</w:t>
      </w:r>
      <w:r w:rsidRPr="00FD697C">
        <w:rPr>
          <w:szCs w:val="24"/>
        </w:rPr>
        <w:t>]</w:t>
      </w:r>
      <w:r w:rsidRPr="00801161">
        <w:rPr>
          <w:szCs w:val="24"/>
        </w:rPr>
        <w:t>; however, various clinical manifestations make diagnosis difficult, and endoscopy with histopathology requires the expertise of clinicians</w:t>
      </w:r>
      <w:r w:rsidR="00D61232" w:rsidRPr="00801161">
        <w:rPr>
          <w:szCs w:val="24"/>
        </w:rPr>
        <w:t xml:space="preserve"> </w:t>
      </w:r>
      <w:r w:rsidRPr="00FD697C">
        <w:rPr>
          <w:szCs w:val="24"/>
        </w:rPr>
        <w:t>[7</w:t>
      </w:r>
      <w:r w:rsidR="00F43751" w:rsidRPr="00FD697C">
        <w:rPr>
          <w:szCs w:val="24"/>
        </w:rPr>
        <w:t>9</w:t>
      </w:r>
      <w:r w:rsidRPr="00FD697C">
        <w:rPr>
          <w:szCs w:val="24"/>
        </w:rPr>
        <w:t>]</w:t>
      </w:r>
      <w:r w:rsidRPr="00801161">
        <w:rPr>
          <w:szCs w:val="24"/>
        </w:rPr>
        <w:t xml:space="preserve">. </w:t>
      </w:r>
      <w:r w:rsidR="0068436E" w:rsidRPr="00801161">
        <w:rPr>
          <w:szCs w:val="24"/>
        </w:rPr>
        <w:t xml:space="preserve">As </w:t>
      </w:r>
      <w:r w:rsidRPr="00801161">
        <w:rPr>
          <w:szCs w:val="24"/>
        </w:rPr>
        <w:t xml:space="preserve">miRNAs are known to be associated with the pathogenesis of IBD, several studies </w:t>
      </w:r>
      <w:r w:rsidRPr="00801161">
        <w:rPr>
          <w:rFonts w:eastAsia="Malgun Gothic"/>
          <w:szCs w:val="24"/>
        </w:rPr>
        <w:t xml:space="preserve">have suggested that miRNAs </w:t>
      </w:r>
      <w:r w:rsidRPr="00801161">
        <w:rPr>
          <w:szCs w:val="24"/>
        </w:rPr>
        <w:t xml:space="preserve">are non-invasive and inexpensive biomarkers. A list of possible candidates is provided in </w:t>
      </w:r>
      <w:r w:rsidRPr="00801161">
        <w:rPr>
          <w:bCs/>
          <w:szCs w:val="24"/>
        </w:rPr>
        <w:t>Table 2.</w:t>
      </w:r>
    </w:p>
    <w:p w14:paraId="16296994" w14:textId="5EC94BD1" w:rsidR="00CD7E2E" w:rsidRPr="00801161" w:rsidRDefault="007C280A" w:rsidP="00FF2683">
      <w:pPr>
        <w:spacing w:before="120" w:after="120" w:line="480" w:lineRule="auto"/>
        <w:jc w:val="both"/>
        <w:rPr>
          <w:rFonts w:ascii="Arial" w:hAnsi="Arial" w:cs="Arial"/>
          <w:szCs w:val="24"/>
        </w:rPr>
      </w:pPr>
      <w:r w:rsidRPr="00801161">
        <w:rPr>
          <w:rFonts w:ascii="Arial" w:hAnsi="Arial" w:cs="Arial"/>
          <w:b/>
          <w:bCs/>
          <w:color w:val="000000" w:themeColor="text1"/>
          <w:szCs w:val="24"/>
        </w:rPr>
        <w:t>miRNA signature from</w:t>
      </w:r>
      <w:r w:rsidR="0068436E" w:rsidRPr="00801161">
        <w:rPr>
          <w:rFonts w:ascii="Arial" w:hAnsi="Arial" w:cs="Arial"/>
          <w:b/>
          <w:bCs/>
          <w:color w:val="000000" w:themeColor="text1"/>
          <w:szCs w:val="24"/>
        </w:rPr>
        <w:t xml:space="preserve"> the</w:t>
      </w:r>
      <w:r w:rsidRPr="00801161">
        <w:rPr>
          <w:rFonts w:ascii="Arial" w:hAnsi="Arial" w:cs="Arial"/>
          <w:b/>
          <w:bCs/>
          <w:color w:val="000000" w:themeColor="text1"/>
          <w:szCs w:val="24"/>
        </w:rPr>
        <w:t xml:space="preserve"> colon tissues of IBD patients</w:t>
      </w:r>
    </w:p>
    <w:p w14:paraId="4DC41EAB" w14:textId="25DA2654" w:rsidR="00CD7E2E" w:rsidRPr="00801161" w:rsidRDefault="007C280A" w:rsidP="00FF2683">
      <w:pPr>
        <w:spacing w:before="120" w:after="120" w:line="480" w:lineRule="auto"/>
        <w:ind w:firstLine="800"/>
        <w:jc w:val="both"/>
        <w:rPr>
          <w:szCs w:val="24"/>
        </w:rPr>
      </w:pPr>
      <w:r w:rsidRPr="00801161">
        <w:rPr>
          <w:szCs w:val="24"/>
        </w:rPr>
        <w:t>Some studies found abnormal elevation of miRNA</w:t>
      </w:r>
      <w:r w:rsidR="00E02F93" w:rsidRPr="00801161">
        <w:rPr>
          <w:szCs w:val="24"/>
        </w:rPr>
        <w:t xml:space="preserve"> level</w:t>
      </w:r>
      <w:r w:rsidRPr="00801161">
        <w:rPr>
          <w:szCs w:val="24"/>
        </w:rPr>
        <w:t xml:space="preserve">s in </w:t>
      </w:r>
      <w:r w:rsidRPr="00801161">
        <w:rPr>
          <w:rFonts w:eastAsia="Malgun Gothic"/>
          <w:szCs w:val="24"/>
        </w:rPr>
        <w:t xml:space="preserve">the mucosal tissues of </w:t>
      </w:r>
      <w:r w:rsidRPr="00801161">
        <w:rPr>
          <w:szCs w:val="24"/>
        </w:rPr>
        <w:t xml:space="preserve">UC patients compared to those of healthy controls. </w:t>
      </w:r>
      <w:r w:rsidR="00B955B6" w:rsidRPr="00801161">
        <w:rPr>
          <w:szCs w:val="24"/>
        </w:rPr>
        <w:t xml:space="preserve">In fact, </w:t>
      </w:r>
      <w:r w:rsidRPr="00801161">
        <w:rPr>
          <w:szCs w:val="24"/>
        </w:rPr>
        <w:t>Wu et al. found that miR-16, miR-21, miR-23a, miR-24, miR-29a, miR-126, miR-195, and let-7f were upregulated in active UC patients compared to healthy controls</w:t>
      </w:r>
      <w:r w:rsidR="00D61232" w:rsidRPr="00801161">
        <w:rPr>
          <w:szCs w:val="24"/>
        </w:rPr>
        <w:t xml:space="preserve"> [</w:t>
      </w:r>
      <w:r w:rsidR="00F43751" w:rsidRPr="00801161">
        <w:rPr>
          <w:szCs w:val="24"/>
        </w:rPr>
        <w:t>80</w:t>
      </w:r>
      <w:r w:rsidR="00A359AD" w:rsidRPr="00801161">
        <w:rPr>
          <w:szCs w:val="24"/>
        </w:rPr>
        <w:t xml:space="preserve">]. </w:t>
      </w:r>
      <w:r w:rsidR="00B955B6" w:rsidRPr="00801161">
        <w:rPr>
          <w:szCs w:val="24"/>
        </w:rPr>
        <w:t xml:space="preserve">By </w:t>
      </w:r>
      <w:r w:rsidRPr="00801161">
        <w:rPr>
          <w:szCs w:val="24"/>
        </w:rPr>
        <w:t>compar</w:t>
      </w:r>
      <w:r w:rsidR="00B955B6" w:rsidRPr="00801161">
        <w:rPr>
          <w:szCs w:val="24"/>
        </w:rPr>
        <w:t>ing</w:t>
      </w:r>
      <w:r w:rsidRPr="00801161">
        <w:rPr>
          <w:szCs w:val="24"/>
        </w:rPr>
        <w:t xml:space="preserve"> </w:t>
      </w:r>
      <w:r w:rsidRPr="00801161">
        <w:rPr>
          <w:rFonts w:eastAsia="Malgun Gothic"/>
          <w:szCs w:val="24"/>
        </w:rPr>
        <w:t>the colonic mucosa of UC patients and healthy controls</w:t>
      </w:r>
      <w:r w:rsidR="00B955B6" w:rsidRPr="00801161">
        <w:rPr>
          <w:rFonts w:eastAsia="Malgun Gothic"/>
          <w:szCs w:val="24"/>
        </w:rPr>
        <w:t>,</w:t>
      </w:r>
      <w:r w:rsidRPr="00801161">
        <w:rPr>
          <w:rFonts w:eastAsia="Malgun Gothic"/>
          <w:szCs w:val="24"/>
        </w:rPr>
        <w:t xml:space="preserve"> </w:t>
      </w:r>
      <w:r w:rsidR="00B955B6" w:rsidRPr="00801161">
        <w:rPr>
          <w:szCs w:val="24"/>
        </w:rPr>
        <w:t>Fasseu et al.</w:t>
      </w:r>
      <w:r w:rsidRPr="00801161">
        <w:rPr>
          <w:rFonts w:eastAsia="Malgun Gothic"/>
          <w:szCs w:val="24"/>
        </w:rPr>
        <w:t xml:space="preserve"> showed that</w:t>
      </w:r>
      <w:r w:rsidRPr="00801161">
        <w:rPr>
          <w:szCs w:val="24"/>
        </w:rPr>
        <w:t xml:space="preserve"> miR-7, miR-26a, miR-29a, miR-29b, miR-31, miR-126* (the complement of miR-126), miR-127-3p, miR-135b, and miR-324-3p were increased in the inflamed mucosa of UC patients</w:t>
      </w:r>
      <w:r w:rsidR="00A359AD" w:rsidRPr="00801161">
        <w:rPr>
          <w:szCs w:val="24"/>
        </w:rPr>
        <w:t xml:space="preserve"> [</w:t>
      </w:r>
      <w:r w:rsidR="00F43751" w:rsidRPr="00801161">
        <w:rPr>
          <w:szCs w:val="24"/>
        </w:rPr>
        <w:t>81</w:t>
      </w:r>
      <w:r w:rsidRPr="00FD697C">
        <w:rPr>
          <w:szCs w:val="24"/>
        </w:rPr>
        <w:t>]</w:t>
      </w:r>
      <w:r w:rsidRPr="00801161">
        <w:rPr>
          <w:szCs w:val="24"/>
        </w:rPr>
        <w:t>. Takagi et al. found increased levels of miR-21, miR-155, miR-923, let-7a, let-7c, let-7d, and let-7g in colon biopsy specimens of active UC patients compared to healthy controls</w:t>
      </w:r>
      <w:r w:rsidR="00A359AD" w:rsidRPr="00801161">
        <w:rPr>
          <w:szCs w:val="24"/>
        </w:rPr>
        <w:t xml:space="preserve"> </w:t>
      </w:r>
      <w:r w:rsidRPr="00FD697C">
        <w:rPr>
          <w:szCs w:val="24"/>
        </w:rPr>
        <w:t>[</w:t>
      </w:r>
      <w:r w:rsidR="00F43751" w:rsidRPr="00FD697C">
        <w:rPr>
          <w:szCs w:val="24"/>
        </w:rPr>
        <w:t>82</w:t>
      </w:r>
      <w:r w:rsidRPr="00FD697C">
        <w:rPr>
          <w:szCs w:val="24"/>
        </w:rPr>
        <w:t>]</w:t>
      </w:r>
      <w:r w:rsidRPr="00801161">
        <w:rPr>
          <w:szCs w:val="24"/>
        </w:rPr>
        <w:t>. miR-126</w:t>
      </w:r>
      <w:r w:rsidR="00A359AD" w:rsidRPr="00801161">
        <w:rPr>
          <w:szCs w:val="24"/>
        </w:rPr>
        <w:t xml:space="preserve"> </w:t>
      </w:r>
      <w:r w:rsidRPr="00FD697C">
        <w:rPr>
          <w:szCs w:val="24"/>
        </w:rPr>
        <w:t>[</w:t>
      </w:r>
      <w:r w:rsidR="00A359AD" w:rsidRPr="00FD697C">
        <w:rPr>
          <w:szCs w:val="24"/>
        </w:rPr>
        <w:t>8</w:t>
      </w:r>
      <w:r w:rsidR="00F43751" w:rsidRPr="00FD697C">
        <w:rPr>
          <w:szCs w:val="24"/>
        </w:rPr>
        <w:t>3</w:t>
      </w:r>
      <w:r w:rsidRPr="00FD697C">
        <w:rPr>
          <w:szCs w:val="24"/>
        </w:rPr>
        <w:t>]</w:t>
      </w:r>
      <w:r w:rsidRPr="00801161">
        <w:rPr>
          <w:szCs w:val="24"/>
        </w:rPr>
        <w:t xml:space="preserve"> and miR-150</w:t>
      </w:r>
      <w:r w:rsidR="00A359AD" w:rsidRPr="00801161">
        <w:rPr>
          <w:szCs w:val="24"/>
        </w:rPr>
        <w:t xml:space="preserve"> </w:t>
      </w:r>
      <w:r w:rsidRPr="00FD697C">
        <w:rPr>
          <w:szCs w:val="24"/>
        </w:rPr>
        <w:t>[8</w:t>
      </w:r>
      <w:r w:rsidR="00F43751" w:rsidRPr="00FD697C">
        <w:rPr>
          <w:szCs w:val="24"/>
        </w:rPr>
        <w:t>4</w:t>
      </w:r>
      <w:r w:rsidRPr="00FD697C">
        <w:rPr>
          <w:szCs w:val="24"/>
        </w:rPr>
        <w:t>]</w:t>
      </w:r>
      <w:r w:rsidRPr="00801161">
        <w:rPr>
          <w:szCs w:val="24"/>
        </w:rPr>
        <w:t xml:space="preserve"> were elevated in the colonic mucosa of </w:t>
      </w:r>
      <w:r w:rsidRPr="00801161">
        <w:rPr>
          <w:rFonts w:eastAsia="Malgun Gothic"/>
          <w:szCs w:val="24"/>
        </w:rPr>
        <w:t xml:space="preserve">patients with active UC </w:t>
      </w:r>
      <w:r w:rsidRPr="00801161">
        <w:rPr>
          <w:szCs w:val="24"/>
        </w:rPr>
        <w:t xml:space="preserve">compared to controls. Frozen biopsy samples of distal colectomy </w:t>
      </w:r>
      <w:r w:rsidR="00D43EEE" w:rsidRPr="00801161">
        <w:rPr>
          <w:szCs w:val="24"/>
        </w:rPr>
        <w:t>from UC patients were found to have</w:t>
      </w:r>
      <w:r w:rsidR="00F01FDE" w:rsidRPr="00801161">
        <w:rPr>
          <w:szCs w:val="24"/>
        </w:rPr>
        <w:t xml:space="preserve"> </w:t>
      </w:r>
      <w:r w:rsidRPr="00801161">
        <w:rPr>
          <w:szCs w:val="24"/>
        </w:rPr>
        <w:t>significant increases in miR-31, miR-146a, miR-206, and miR-424</w:t>
      </w:r>
      <w:r w:rsidR="006333F4" w:rsidRPr="00801161">
        <w:rPr>
          <w:szCs w:val="24"/>
        </w:rPr>
        <w:t xml:space="preserve"> levels</w:t>
      </w:r>
      <w:r w:rsidRPr="00801161">
        <w:rPr>
          <w:szCs w:val="24"/>
        </w:rPr>
        <w:t xml:space="preserve"> </w:t>
      </w:r>
      <w:r w:rsidRPr="00FD697C">
        <w:rPr>
          <w:szCs w:val="24"/>
        </w:rPr>
        <w:t>[8</w:t>
      </w:r>
      <w:r w:rsidR="00F43751" w:rsidRPr="00FD697C">
        <w:rPr>
          <w:szCs w:val="24"/>
        </w:rPr>
        <w:t>5</w:t>
      </w:r>
      <w:r w:rsidRPr="00FD697C">
        <w:rPr>
          <w:szCs w:val="24"/>
        </w:rPr>
        <w:t>]</w:t>
      </w:r>
      <w:r w:rsidRPr="00801161">
        <w:rPr>
          <w:szCs w:val="24"/>
        </w:rPr>
        <w:t xml:space="preserve">. Coskun et al. identified increases in miR-20b, miR-26b, miR-98, miR-99a, and miR-203 </w:t>
      </w:r>
      <w:r w:rsidR="00B434E1" w:rsidRPr="00801161">
        <w:rPr>
          <w:szCs w:val="24"/>
        </w:rPr>
        <w:t xml:space="preserve">levels </w:t>
      </w:r>
      <w:r w:rsidRPr="00801161">
        <w:rPr>
          <w:szCs w:val="24"/>
        </w:rPr>
        <w:t>in colon biopsy samples of active UC patients compared to healthy controls, inactive UC patients</w:t>
      </w:r>
      <w:r w:rsidRPr="00801161">
        <w:rPr>
          <w:rFonts w:eastAsia="Malgun Gothic"/>
          <w:szCs w:val="24"/>
        </w:rPr>
        <w:t>, and CD patients</w:t>
      </w:r>
      <w:r w:rsidR="00A359AD" w:rsidRPr="00801161">
        <w:rPr>
          <w:szCs w:val="24"/>
        </w:rPr>
        <w:t xml:space="preserve"> </w:t>
      </w:r>
      <w:r w:rsidRPr="00FD697C">
        <w:rPr>
          <w:szCs w:val="24"/>
        </w:rPr>
        <w:t>[8</w:t>
      </w:r>
      <w:r w:rsidR="00F43751" w:rsidRPr="00FD697C">
        <w:rPr>
          <w:szCs w:val="24"/>
        </w:rPr>
        <w:t>6</w:t>
      </w:r>
      <w:r w:rsidRPr="00FD697C">
        <w:rPr>
          <w:szCs w:val="24"/>
        </w:rPr>
        <w:t>]</w:t>
      </w:r>
      <w:r w:rsidRPr="00801161">
        <w:rPr>
          <w:szCs w:val="24"/>
        </w:rPr>
        <w:t>.</w:t>
      </w:r>
    </w:p>
    <w:p w14:paraId="77D97709" w14:textId="1AC7DC78" w:rsidR="00CD7E2E" w:rsidRPr="00801161" w:rsidRDefault="007C280A" w:rsidP="00FF2683">
      <w:pPr>
        <w:spacing w:before="120" w:after="120" w:line="480" w:lineRule="auto"/>
        <w:ind w:firstLine="800"/>
        <w:jc w:val="both"/>
        <w:rPr>
          <w:szCs w:val="24"/>
        </w:rPr>
      </w:pPr>
      <w:r w:rsidRPr="00801161">
        <w:rPr>
          <w:szCs w:val="24"/>
        </w:rPr>
        <w:lastRenderedPageBreak/>
        <w:t>Decreased levels of miR-188-5p, miR-215, miR-320a</w:t>
      </w:r>
      <w:r w:rsidRPr="00801161">
        <w:rPr>
          <w:rFonts w:eastAsia="Malgun Gothic"/>
          <w:szCs w:val="24"/>
        </w:rPr>
        <w:t xml:space="preserve">, and miR-346 were observed </w:t>
      </w:r>
      <w:r w:rsidRPr="00801161">
        <w:rPr>
          <w:szCs w:val="24"/>
        </w:rPr>
        <w:t xml:space="preserve">in </w:t>
      </w:r>
      <w:r w:rsidRPr="00801161">
        <w:rPr>
          <w:rFonts w:eastAsia="Malgun Gothic"/>
          <w:szCs w:val="24"/>
        </w:rPr>
        <w:t>the inflamed mucosa of UC patients compared to controls</w:t>
      </w:r>
      <w:r w:rsidR="00A359AD" w:rsidRPr="00801161">
        <w:rPr>
          <w:szCs w:val="24"/>
        </w:rPr>
        <w:t xml:space="preserve"> </w:t>
      </w:r>
      <w:r w:rsidRPr="00FD697C">
        <w:rPr>
          <w:szCs w:val="24"/>
        </w:rPr>
        <w:t>[</w:t>
      </w:r>
      <w:r w:rsidR="00F43751" w:rsidRPr="00FD697C">
        <w:rPr>
          <w:szCs w:val="24"/>
        </w:rPr>
        <w:t>81</w:t>
      </w:r>
      <w:r w:rsidRPr="00FD697C">
        <w:rPr>
          <w:szCs w:val="24"/>
        </w:rPr>
        <w:t>]</w:t>
      </w:r>
      <w:r w:rsidRPr="00801161">
        <w:rPr>
          <w:szCs w:val="24"/>
        </w:rPr>
        <w:t xml:space="preserve">. miR-141 was found to be downregulated in the colonic mucosa of </w:t>
      </w:r>
      <w:r w:rsidRPr="00801161">
        <w:rPr>
          <w:rFonts w:eastAsia="Malgun Gothic"/>
          <w:szCs w:val="24"/>
        </w:rPr>
        <w:t xml:space="preserve">patients with active UC </w:t>
      </w:r>
      <w:r w:rsidRPr="00801161">
        <w:rPr>
          <w:szCs w:val="24"/>
        </w:rPr>
        <w:t>compared to healthy controls</w:t>
      </w:r>
      <w:r w:rsidR="00A359AD" w:rsidRPr="00801161">
        <w:rPr>
          <w:szCs w:val="24"/>
        </w:rPr>
        <w:t xml:space="preserve"> </w:t>
      </w:r>
      <w:r w:rsidRPr="00FD697C">
        <w:rPr>
          <w:szCs w:val="24"/>
        </w:rPr>
        <w:t>[8</w:t>
      </w:r>
      <w:r w:rsidR="00F43751" w:rsidRPr="00FD697C">
        <w:rPr>
          <w:szCs w:val="24"/>
        </w:rPr>
        <w:t>7</w:t>
      </w:r>
      <w:r w:rsidRPr="00FD697C">
        <w:rPr>
          <w:szCs w:val="24"/>
        </w:rPr>
        <w:t>]</w:t>
      </w:r>
      <w:r w:rsidRPr="00801161">
        <w:rPr>
          <w:szCs w:val="24"/>
        </w:rPr>
        <w:t xml:space="preserve">. miR-192, miR-375, and miR-422b were downregulated in colon biopsy samples from patients with active UC </w:t>
      </w:r>
      <w:r w:rsidR="00A359AD" w:rsidRPr="00FD697C">
        <w:rPr>
          <w:szCs w:val="24"/>
        </w:rPr>
        <w:t>[</w:t>
      </w:r>
      <w:r w:rsidR="00F43751" w:rsidRPr="00FD697C">
        <w:rPr>
          <w:szCs w:val="24"/>
        </w:rPr>
        <w:t>80</w:t>
      </w:r>
      <w:r w:rsidRPr="00FD697C">
        <w:rPr>
          <w:szCs w:val="24"/>
        </w:rPr>
        <w:t>]</w:t>
      </w:r>
      <w:r w:rsidRPr="00801161">
        <w:rPr>
          <w:szCs w:val="24"/>
        </w:rPr>
        <w:t>.</w:t>
      </w:r>
    </w:p>
    <w:p w14:paraId="6CB88A34" w14:textId="6C9913B9" w:rsidR="00CD7E2E" w:rsidRPr="00801161" w:rsidRDefault="007C280A" w:rsidP="00FF2683">
      <w:pPr>
        <w:spacing w:before="120" w:after="120" w:line="480" w:lineRule="auto"/>
        <w:ind w:firstLine="800"/>
        <w:jc w:val="both"/>
        <w:rPr>
          <w:szCs w:val="24"/>
        </w:rPr>
      </w:pPr>
      <w:r w:rsidRPr="00801161">
        <w:rPr>
          <w:szCs w:val="24"/>
        </w:rPr>
        <w:t xml:space="preserve">The mucosal tissue samples of </w:t>
      </w:r>
      <w:r w:rsidRPr="00801161">
        <w:rPr>
          <w:rFonts w:eastAsia="Malgun Gothic"/>
          <w:szCs w:val="24"/>
        </w:rPr>
        <w:t xml:space="preserve">patients with active CD </w:t>
      </w:r>
      <w:r w:rsidR="00B955B6" w:rsidRPr="00801161">
        <w:rPr>
          <w:szCs w:val="24"/>
        </w:rPr>
        <w:t>had</w:t>
      </w:r>
      <w:r w:rsidRPr="00801161">
        <w:rPr>
          <w:szCs w:val="24"/>
        </w:rPr>
        <w:t xml:space="preserve"> aberrant expression of miRNAs compared to controls. Fasseu et al. reported that miR-9, miR-21, miR-22, miR-26a, miR-29b, miR-29c, miR-30b, miR-31, miR-34c-5p, miR-106a, miR-126*, miR-127-3p, miR-130a, miR-133b, miR-146a, miR-146b-5p, miR-150, miR-155, miR-181c, miR-196a, miR-324-3p, and miR-375 were elevated in the inflamed mucosa of CD patients </w:t>
      </w:r>
      <w:r w:rsidR="00B955B6" w:rsidRPr="00801161">
        <w:rPr>
          <w:szCs w:val="24"/>
        </w:rPr>
        <w:t>relative to levels</w:t>
      </w:r>
      <w:r w:rsidRPr="00801161">
        <w:rPr>
          <w:szCs w:val="24"/>
        </w:rPr>
        <w:t xml:space="preserve"> in healthy controls</w:t>
      </w:r>
      <w:r w:rsidR="00A359AD" w:rsidRPr="00801161">
        <w:rPr>
          <w:szCs w:val="24"/>
        </w:rPr>
        <w:t xml:space="preserve"> </w:t>
      </w:r>
      <w:r w:rsidRPr="00FD697C">
        <w:rPr>
          <w:szCs w:val="24"/>
        </w:rPr>
        <w:t>[</w:t>
      </w:r>
      <w:r w:rsidR="00F43751" w:rsidRPr="00FD697C">
        <w:rPr>
          <w:szCs w:val="24"/>
        </w:rPr>
        <w:t>81</w:t>
      </w:r>
      <w:r w:rsidRPr="00FD697C">
        <w:rPr>
          <w:szCs w:val="24"/>
        </w:rPr>
        <w:t>]</w:t>
      </w:r>
      <w:r w:rsidRPr="00801161">
        <w:rPr>
          <w:szCs w:val="24"/>
        </w:rPr>
        <w:t xml:space="preserve">. </w:t>
      </w:r>
      <w:r w:rsidR="00B955B6" w:rsidRPr="00801161">
        <w:rPr>
          <w:szCs w:val="24"/>
        </w:rPr>
        <w:t xml:space="preserve">Further, </w:t>
      </w:r>
      <w:r w:rsidRPr="00801161">
        <w:rPr>
          <w:szCs w:val="24"/>
        </w:rPr>
        <w:t xml:space="preserve">Lin et al. showed </w:t>
      </w:r>
      <w:r w:rsidRPr="00801161">
        <w:rPr>
          <w:rFonts w:eastAsia="Malgun Gothic"/>
          <w:szCs w:val="24"/>
        </w:rPr>
        <w:t xml:space="preserve">that miR-31, miR-146a, miR-206, and miR-424 were increased in frozen biopsy samples of CD patients compared to controls, </w:t>
      </w:r>
      <w:r w:rsidR="00B955B6" w:rsidRPr="00801161">
        <w:rPr>
          <w:rFonts w:eastAsia="Malgun Gothic"/>
          <w:szCs w:val="24"/>
        </w:rPr>
        <w:t xml:space="preserve">similar to that found </w:t>
      </w:r>
      <w:r w:rsidRPr="00801161">
        <w:rPr>
          <w:rFonts w:eastAsia="Malgun Gothic"/>
          <w:szCs w:val="24"/>
        </w:rPr>
        <w:t>in UC patients</w:t>
      </w:r>
      <w:r w:rsidR="00A359AD" w:rsidRPr="00801161">
        <w:rPr>
          <w:szCs w:val="24"/>
        </w:rPr>
        <w:t xml:space="preserve"> </w:t>
      </w:r>
      <w:r w:rsidRPr="00FD697C">
        <w:rPr>
          <w:szCs w:val="24"/>
        </w:rPr>
        <w:t>[8</w:t>
      </w:r>
      <w:r w:rsidR="00F43751" w:rsidRPr="00FD697C">
        <w:rPr>
          <w:szCs w:val="24"/>
        </w:rPr>
        <w:t>5</w:t>
      </w:r>
      <w:r w:rsidRPr="00FD697C">
        <w:rPr>
          <w:szCs w:val="24"/>
        </w:rPr>
        <w:t>]</w:t>
      </w:r>
      <w:r w:rsidRPr="00801161">
        <w:rPr>
          <w:szCs w:val="24"/>
        </w:rPr>
        <w:t>. miR-106b</w:t>
      </w:r>
      <w:r w:rsidR="00A359AD" w:rsidRPr="00801161">
        <w:rPr>
          <w:szCs w:val="24"/>
        </w:rPr>
        <w:t xml:space="preserve"> </w:t>
      </w:r>
      <w:r w:rsidRPr="00FD697C">
        <w:rPr>
          <w:szCs w:val="24"/>
        </w:rPr>
        <w:t>[6</w:t>
      </w:r>
      <w:r w:rsidR="00F43751" w:rsidRPr="00FD697C">
        <w:rPr>
          <w:szCs w:val="24"/>
        </w:rPr>
        <w:t>6</w:t>
      </w:r>
      <w:r w:rsidRPr="00FD697C">
        <w:rPr>
          <w:szCs w:val="24"/>
        </w:rPr>
        <w:t>]</w:t>
      </w:r>
      <w:r w:rsidRPr="00801161">
        <w:rPr>
          <w:szCs w:val="24"/>
        </w:rPr>
        <w:t xml:space="preserve"> and miR-196</w:t>
      </w:r>
      <w:r w:rsidR="00A359AD" w:rsidRPr="00801161">
        <w:rPr>
          <w:szCs w:val="24"/>
        </w:rPr>
        <w:t xml:space="preserve"> </w:t>
      </w:r>
      <w:r w:rsidRPr="00FD697C">
        <w:rPr>
          <w:szCs w:val="24"/>
        </w:rPr>
        <w:t>[7</w:t>
      </w:r>
      <w:r w:rsidR="00F43751" w:rsidRPr="00FD697C">
        <w:rPr>
          <w:szCs w:val="24"/>
        </w:rPr>
        <w:t>7</w:t>
      </w:r>
      <w:r w:rsidRPr="00FD697C">
        <w:rPr>
          <w:szCs w:val="24"/>
        </w:rPr>
        <w:t>]</w:t>
      </w:r>
      <w:r w:rsidRPr="00801161">
        <w:rPr>
          <w:szCs w:val="24"/>
        </w:rPr>
        <w:t xml:space="preserve"> were upregulated in the intestinal epithelium of </w:t>
      </w:r>
      <w:r w:rsidRPr="00801161">
        <w:rPr>
          <w:rFonts w:eastAsia="Malgun Gothic"/>
          <w:szCs w:val="24"/>
        </w:rPr>
        <w:t xml:space="preserve">patients with active CD </w:t>
      </w:r>
      <w:r w:rsidRPr="00801161">
        <w:rPr>
          <w:szCs w:val="24"/>
        </w:rPr>
        <w:t xml:space="preserve">compared to controls. Schaefer et al. found </w:t>
      </w:r>
      <w:r w:rsidRPr="00801161">
        <w:rPr>
          <w:rFonts w:eastAsia="Malgun Gothic"/>
          <w:szCs w:val="24"/>
        </w:rPr>
        <w:t xml:space="preserve">an increase </w:t>
      </w:r>
      <w:r w:rsidRPr="00801161">
        <w:rPr>
          <w:szCs w:val="24"/>
        </w:rPr>
        <w:t>in miR-31, miR-101</w:t>
      </w:r>
      <w:r w:rsidRPr="00801161">
        <w:rPr>
          <w:rFonts w:eastAsia="Malgun Gothic"/>
          <w:szCs w:val="24"/>
        </w:rPr>
        <w:t xml:space="preserve">, and miR-146a </w:t>
      </w:r>
      <w:r w:rsidRPr="00801161">
        <w:rPr>
          <w:szCs w:val="24"/>
        </w:rPr>
        <w:t>levels in colon biopsy samples from CD patients compared to healthy controls</w:t>
      </w:r>
      <w:r w:rsidR="00A359AD" w:rsidRPr="00801161">
        <w:rPr>
          <w:szCs w:val="24"/>
        </w:rPr>
        <w:t xml:space="preserve"> </w:t>
      </w:r>
      <w:r w:rsidRPr="00FD697C">
        <w:rPr>
          <w:szCs w:val="24"/>
        </w:rPr>
        <w:t>[8</w:t>
      </w:r>
      <w:r w:rsidR="00F43751" w:rsidRPr="00FD697C">
        <w:rPr>
          <w:szCs w:val="24"/>
        </w:rPr>
        <w:t>8</w:t>
      </w:r>
      <w:r w:rsidRPr="00FD697C">
        <w:rPr>
          <w:szCs w:val="24"/>
        </w:rPr>
        <w:t>]</w:t>
      </w:r>
      <w:r w:rsidR="00835E52" w:rsidRPr="00801161">
        <w:rPr>
          <w:szCs w:val="24"/>
        </w:rPr>
        <w:t xml:space="preserve">. </w:t>
      </w:r>
      <w:r w:rsidR="00D43EEE" w:rsidRPr="00801161">
        <w:rPr>
          <w:szCs w:val="24"/>
        </w:rPr>
        <w:t xml:space="preserve">Further, </w:t>
      </w:r>
      <w:r w:rsidR="00835E52" w:rsidRPr="00801161">
        <w:rPr>
          <w:szCs w:val="24"/>
        </w:rPr>
        <w:t>m</w:t>
      </w:r>
      <w:r w:rsidRPr="00801161">
        <w:rPr>
          <w:szCs w:val="24"/>
        </w:rPr>
        <w:t xml:space="preserve">iR-7 and miR-375 </w:t>
      </w:r>
      <w:r w:rsidRPr="00801161">
        <w:rPr>
          <w:rFonts w:eastAsia="Malgun Gothic"/>
          <w:szCs w:val="24"/>
        </w:rPr>
        <w:t>levels were decreased in the actively inflamed colonic mucosa of CD patients</w:t>
      </w:r>
      <w:r w:rsidR="00A359AD" w:rsidRPr="00801161">
        <w:rPr>
          <w:szCs w:val="24"/>
        </w:rPr>
        <w:t xml:space="preserve"> </w:t>
      </w:r>
      <w:r w:rsidRPr="00FD697C">
        <w:rPr>
          <w:szCs w:val="24"/>
        </w:rPr>
        <w:t>[8</w:t>
      </w:r>
      <w:r w:rsidR="00F43751" w:rsidRPr="00FD697C">
        <w:rPr>
          <w:szCs w:val="24"/>
        </w:rPr>
        <w:t>8</w:t>
      </w:r>
      <w:r w:rsidRPr="00FD697C">
        <w:rPr>
          <w:szCs w:val="24"/>
        </w:rPr>
        <w:t>, 8</w:t>
      </w:r>
      <w:r w:rsidR="00F43751" w:rsidRPr="00FD697C">
        <w:rPr>
          <w:szCs w:val="24"/>
        </w:rPr>
        <w:t>9</w:t>
      </w:r>
      <w:r w:rsidRPr="00FD697C">
        <w:rPr>
          <w:szCs w:val="24"/>
        </w:rPr>
        <w:t>]</w:t>
      </w:r>
      <w:r w:rsidRPr="00801161">
        <w:rPr>
          <w:szCs w:val="24"/>
        </w:rPr>
        <w:t>.</w:t>
      </w:r>
    </w:p>
    <w:p w14:paraId="7E9AE97E" w14:textId="312C7199" w:rsidR="00CD7E2E" w:rsidRPr="00801161" w:rsidRDefault="00C82A8D" w:rsidP="00FF2683">
      <w:pPr>
        <w:spacing w:before="120" w:after="120" w:line="480" w:lineRule="auto"/>
        <w:ind w:firstLine="800"/>
        <w:jc w:val="both"/>
        <w:rPr>
          <w:szCs w:val="24"/>
        </w:rPr>
      </w:pPr>
      <w:r w:rsidRPr="00801161">
        <w:rPr>
          <w:rFonts w:eastAsia="Malgun Gothic"/>
          <w:szCs w:val="24"/>
        </w:rPr>
        <w:t>Among the miRNAs included in the differential analysis of IBD colon tissues</w:t>
      </w:r>
      <w:r w:rsidR="007C280A" w:rsidRPr="00801161">
        <w:rPr>
          <w:szCs w:val="24"/>
        </w:rPr>
        <w:t xml:space="preserve">, miR-21, miR-31, and miR-141 are suggested to be valuable targets for </w:t>
      </w:r>
      <w:r w:rsidR="007C280A" w:rsidRPr="00801161">
        <w:rPr>
          <w:rFonts w:eastAsia="Malgun Gothic"/>
          <w:szCs w:val="24"/>
        </w:rPr>
        <w:t>the diagnosis of IBD. m</w:t>
      </w:r>
      <w:r w:rsidR="007C280A" w:rsidRPr="00801161">
        <w:rPr>
          <w:szCs w:val="24"/>
        </w:rPr>
        <w:t>iR-21 is known to be an important factor in the pathogenesis of IBD as it modulates T-cell responses</w:t>
      </w:r>
      <w:r w:rsidR="00A359AD" w:rsidRPr="00801161">
        <w:rPr>
          <w:szCs w:val="24"/>
        </w:rPr>
        <w:t xml:space="preserve"> </w:t>
      </w:r>
      <w:r w:rsidR="00A359AD" w:rsidRPr="00FD697C">
        <w:rPr>
          <w:szCs w:val="24"/>
        </w:rPr>
        <w:t>[</w:t>
      </w:r>
      <w:r w:rsidR="00F43751" w:rsidRPr="00FD697C">
        <w:rPr>
          <w:szCs w:val="24"/>
        </w:rPr>
        <w:t>90</w:t>
      </w:r>
      <w:r w:rsidR="007C280A" w:rsidRPr="00FD697C">
        <w:rPr>
          <w:szCs w:val="24"/>
        </w:rPr>
        <w:t>]</w:t>
      </w:r>
      <w:r w:rsidR="007C280A" w:rsidRPr="00801161">
        <w:rPr>
          <w:szCs w:val="24"/>
        </w:rPr>
        <w:t xml:space="preserve"> and disrupts intercellular tight junctions in the intestinal epithelium</w:t>
      </w:r>
      <w:r w:rsidR="00A359AD" w:rsidRPr="00801161">
        <w:rPr>
          <w:szCs w:val="24"/>
        </w:rPr>
        <w:t xml:space="preserve"> </w:t>
      </w:r>
      <w:r w:rsidR="007C280A" w:rsidRPr="00FD697C">
        <w:rPr>
          <w:szCs w:val="24"/>
        </w:rPr>
        <w:t>[</w:t>
      </w:r>
      <w:r w:rsidR="00F43751" w:rsidRPr="00FD697C">
        <w:rPr>
          <w:szCs w:val="24"/>
        </w:rPr>
        <w:t>91</w:t>
      </w:r>
      <w:r w:rsidR="007C280A" w:rsidRPr="00FD697C">
        <w:rPr>
          <w:szCs w:val="24"/>
        </w:rPr>
        <w:t>]</w:t>
      </w:r>
      <w:r w:rsidR="007C280A" w:rsidRPr="00801161">
        <w:rPr>
          <w:szCs w:val="24"/>
        </w:rPr>
        <w:t xml:space="preserve">. miR-21 was </w:t>
      </w:r>
      <w:r w:rsidRPr="00801161">
        <w:rPr>
          <w:szCs w:val="24"/>
        </w:rPr>
        <w:t xml:space="preserve">found to be </w:t>
      </w:r>
      <w:r w:rsidR="007C280A" w:rsidRPr="00801161">
        <w:rPr>
          <w:szCs w:val="24"/>
        </w:rPr>
        <w:t>elevated in the mucosal tissue of both UC and CD</w:t>
      </w:r>
      <w:r w:rsidR="00A359AD" w:rsidRPr="00801161">
        <w:rPr>
          <w:szCs w:val="24"/>
        </w:rPr>
        <w:t xml:space="preserve"> </w:t>
      </w:r>
      <w:r w:rsidR="007C280A" w:rsidRPr="00FD697C">
        <w:rPr>
          <w:szCs w:val="24"/>
        </w:rPr>
        <w:t>[</w:t>
      </w:r>
      <w:r w:rsidR="00F43751" w:rsidRPr="00FD697C">
        <w:rPr>
          <w:szCs w:val="24"/>
        </w:rPr>
        <w:t>92</w:t>
      </w:r>
      <w:r w:rsidR="007C280A" w:rsidRPr="00FD697C">
        <w:rPr>
          <w:szCs w:val="24"/>
        </w:rPr>
        <w:t xml:space="preserve">, </w:t>
      </w:r>
      <w:r w:rsidR="00A359AD" w:rsidRPr="00FD697C">
        <w:rPr>
          <w:szCs w:val="24"/>
        </w:rPr>
        <w:t>9</w:t>
      </w:r>
      <w:r w:rsidR="00F43751" w:rsidRPr="00FD697C">
        <w:rPr>
          <w:szCs w:val="24"/>
        </w:rPr>
        <w:t>3</w:t>
      </w:r>
      <w:r w:rsidR="007C280A" w:rsidRPr="00FD697C">
        <w:rPr>
          <w:szCs w:val="24"/>
        </w:rPr>
        <w:t>]</w:t>
      </w:r>
      <w:r w:rsidR="007C280A" w:rsidRPr="00801161">
        <w:rPr>
          <w:szCs w:val="24"/>
        </w:rPr>
        <w:t>, and the knockout of miR-21 in a mouse model of DSS-induced colitis inhibit</w:t>
      </w:r>
      <w:r w:rsidRPr="00801161">
        <w:rPr>
          <w:szCs w:val="24"/>
        </w:rPr>
        <w:t xml:space="preserve">ed the </w:t>
      </w:r>
      <w:r w:rsidR="007C280A" w:rsidRPr="00801161">
        <w:rPr>
          <w:szCs w:val="24"/>
        </w:rPr>
        <w:t>inflammatory response and increased survival rate, indicating the importance of miR-21 in IBD</w:t>
      </w:r>
      <w:r w:rsidR="00A359AD" w:rsidRPr="00801161">
        <w:rPr>
          <w:szCs w:val="24"/>
        </w:rPr>
        <w:t xml:space="preserve"> </w:t>
      </w:r>
      <w:r w:rsidR="007C280A" w:rsidRPr="00FD697C">
        <w:rPr>
          <w:szCs w:val="24"/>
        </w:rPr>
        <w:t>[</w:t>
      </w:r>
      <w:r w:rsidR="00F43751" w:rsidRPr="00FD697C">
        <w:rPr>
          <w:szCs w:val="24"/>
        </w:rPr>
        <w:t>52</w:t>
      </w:r>
      <w:r w:rsidR="007C280A" w:rsidRPr="00FD697C">
        <w:rPr>
          <w:szCs w:val="24"/>
        </w:rPr>
        <w:t>]</w:t>
      </w:r>
      <w:r w:rsidR="007C280A" w:rsidRPr="00801161">
        <w:rPr>
          <w:szCs w:val="24"/>
        </w:rPr>
        <w:t xml:space="preserve">. miR-31 was </w:t>
      </w:r>
      <w:r w:rsidR="007C280A" w:rsidRPr="00801161">
        <w:rPr>
          <w:szCs w:val="24"/>
        </w:rPr>
        <w:lastRenderedPageBreak/>
        <w:t xml:space="preserve">upregulated in </w:t>
      </w:r>
      <w:r w:rsidR="0068436E" w:rsidRPr="00801161">
        <w:rPr>
          <w:szCs w:val="24"/>
        </w:rPr>
        <w:t xml:space="preserve">the </w:t>
      </w:r>
      <w:r w:rsidR="007C280A" w:rsidRPr="00801161">
        <w:rPr>
          <w:szCs w:val="24"/>
        </w:rPr>
        <w:t>colon tissues of both UC and CD patients</w:t>
      </w:r>
      <w:r w:rsidR="00A359AD" w:rsidRPr="00801161">
        <w:rPr>
          <w:szCs w:val="24"/>
        </w:rPr>
        <w:t xml:space="preserve"> </w:t>
      </w:r>
      <w:r w:rsidR="007C280A" w:rsidRPr="00FD697C">
        <w:rPr>
          <w:szCs w:val="24"/>
        </w:rPr>
        <w:t>[8</w:t>
      </w:r>
      <w:r w:rsidR="00F43751" w:rsidRPr="00FD697C">
        <w:rPr>
          <w:szCs w:val="24"/>
        </w:rPr>
        <w:t>8</w:t>
      </w:r>
      <w:r w:rsidR="007C280A" w:rsidRPr="00FD697C">
        <w:rPr>
          <w:szCs w:val="24"/>
        </w:rPr>
        <w:t>]</w:t>
      </w:r>
      <w:r w:rsidRPr="00801161">
        <w:rPr>
          <w:szCs w:val="24"/>
        </w:rPr>
        <w:t>; this miRNA</w:t>
      </w:r>
      <w:r w:rsidR="007C280A" w:rsidRPr="00801161">
        <w:rPr>
          <w:szCs w:val="24"/>
        </w:rPr>
        <w:t xml:space="preserve"> is known to target IL-25 to stimulate </w:t>
      </w:r>
      <w:r w:rsidR="007C280A" w:rsidRPr="00801161">
        <w:rPr>
          <w:rFonts w:eastAsia="Malgun Gothic"/>
          <w:szCs w:val="24"/>
        </w:rPr>
        <w:t>the Th1/Th17-mediated pro-inflammatory molecular pathway in mouse colitis models</w:t>
      </w:r>
      <w:r w:rsidR="00A359AD" w:rsidRPr="00801161">
        <w:rPr>
          <w:szCs w:val="24"/>
        </w:rPr>
        <w:t xml:space="preserve"> </w:t>
      </w:r>
      <w:r w:rsidR="007C280A" w:rsidRPr="00FD697C">
        <w:rPr>
          <w:szCs w:val="24"/>
        </w:rPr>
        <w:t>[9</w:t>
      </w:r>
      <w:r w:rsidR="00F43751" w:rsidRPr="00FD697C">
        <w:rPr>
          <w:szCs w:val="24"/>
        </w:rPr>
        <w:t>4</w:t>
      </w:r>
      <w:r w:rsidR="007C280A" w:rsidRPr="00FD697C">
        <w:rPr>
          <w:szCs w:val="24"/>
        </w:rPr>
        <w:t>]</w:t>
      </w:r>
      <w:r w:rsidR="007C280A" w:rsidRPr="00801161">
        <w:rPr>
          <w:szCs w:val="24"/>
        </w:rPr>
        <w:t xml:space="preserve">. miR-31 has also </w:t>
      </w:r>
      <w:r w:rsidR="007C280A" w:rsidRPr="00801161">
        <w:rPr>
          <w:rFonts w:eastAsia="Malgun Gothic"/>
          <w:szCs w:val="24"/>
        </w:rPr>
        <w:t xml:space="preserve">been suggested </w:t>
      </w:r>
      <w:r w:rsidR="007C280A" w:rsidRPr="00801161">
        <w:rPr>
          <w:szCs w:val="24"/>
        </w:rPr>
        <w:t xml:space="preserve">to </w:t>
      </w:r>
      <w:r w:rsidRPr="00801161">
        <w:rPr>
          <w:szCs w:val="24"/>
        </w:rPr>
        <w:t xml:space="preserve">be capable of </w:t>
      </w:r>
      <w:r w:rsidR="007C280A" w:rsidRPr="00801161">
        <w:rPr>
          <w:szCs w:val="24"/>
        </w:rPr>
        <w:t>distinguish</w:t>
      </w:r>
      <w:r w:rsidRPr="00801161">
        <w:rPr>
          <w:szCs w:val="24"/>
        </w:rPr>
        <w:t>ing</w:t>
      </w:r>
      <w:r w:rsidR="007C280A" w:rsidRPr="00801161">
        <w:rPr>
          <w:szCs w:val="24"/>
        </w:rPr>
        <w:t xml:space="preserve"> IBD from microscopic colitis, as its expression is elevated in IBD compared to microscopic colitis</w:t>
      </w:r>
      <w:r w:rsidR="00A359AD" w:rsidRPr="00801161">
        <w:rPr>
          <w:szCs w:val="24"/>
        </w:rPr>
        <w:t xml:space="preserve"> </w:t>
      </w:r>
      <w:r w:rsidR="007C280A" w:rsidRPr="00FD697C">
        <w:rPr>
          <w:szCs w:val="24"/>
        </w:rPr>
        <w:t>[9</w:t>
      </w:r>
      <w:r w:rsidR="00F43751" w:rsidRPr="00FD697C">
        <w:rPr>
          <w:szCs w:val="24"/>
        </w:rPr>
        <w:t>5</w:t>
      </w:r>
      <w:r w:rsidR="007C280A" w:rsidRPr="00FD697C">
        <w:rPr>
          <w:szCs w:val="24"/>
        </w:rPr>
        <w:t>]</w:t>
      </w:r>
      <w:r w:rsidR="00C14742" w:rsidRPr="00801161">
        <w:rPr>
          <w:szCs w:val="24"/>
        </w:rPr>
        <w:t xml:space="preserve">. miR-141 inhibits </w:t>
      </w:r>
      <w:r w:rsidR="007C280A" w:rsidRPr="00801161">
        <w:rPr>
          <w:szCs w:val="24"/>
        </w:rPr>
        <w:t xml:space="preserve">CXCL5 and CXCL12β, and its downregulation in IBD is expected to stimulate leukocyte recruitment and </w:t>
      </w:r>
      <w:r w:rsidR="007C280A" w:rsidRPr="00801161">
        <w:rPr>
          <w:rFonts w:eastAsia="Malgun Gothic"/>
          <w:szCs w:val="24"/>
        </w:rPr>
        <w:t>the consequent inflammatory response.</w:t>
      </w:r>
      <w:r w:rsidR="007C280A" w:rsidRPr="00801161">
        <w:rPr>
          <w:szCs w:val="24"/>
        </w:rPr>
        <w:t xml:space="preserve"> A decrease in miR-141 was </w:t>
      </w:r>
      <w:r w:rsidRPr="00801161">
        <w:rPr>
          <w:szCs w:val="24"/>
        </w:rPr>
        <w:t>observe</w:t>
      </w:r>
      <w:r w:rsidR="007C280A" w:rsidRPr="00801161">
        <w:rPr>
          <w:szCs w:val="24"/>
        </w:rPr>
        <w:t xml:space="preserve">d in the colon tissues of patients </w:t>
      </w:r>
      <w:r w:rsidR="007C280A" w:rsidRPr="00FD697C">
        <w:rPr>
          <w:rFonts w:eastAsia="Malgun Gothic"/>
          <w:szCs w:val="24"/>
        </w:rPr>
        <w:t xml:space="preserve">with UC </w:t>
      </w:r>
      <w:r w:rsidR="007C280A" w:rsidRPr="00FD697C">
        <w:rPr>
          <w:szCs w:val="24"/>
        </w:rPr>
        <w:t>[8</w:t>
      </w:r>
      <w:r w:rsidR="00F43751" w:rsidRPr="00FD697C">
        <w:rPr>
          <w:szCs w:val="24"/>
        </w:rPr>
        <w:t>7</w:t>
      </w:r>
      <w:r w:rsidR="007C280A" w:rsidRPr="00FD697C">
        <w:rPr>
          <w:szCs w:val="24"/>
        </w:rPr>
        <w:t>]</w:t>
      </w:r>
      <w:r w:rsidR="007C280A" w:rsidRPr="00801161">
        <w:rPr>
          <w:szCs w:val="24"/>
        </w:rPr>
        <w:t>.</w:t>
      </w:r>
    </w:p>
    <w:p w14:paraId="17FC89AD" w14:textId="06A9F455" w:rsidR="00CD7E2E" w:rsidRPr="00801161" w:rsidRDefault="00314C58" w:rsidP="00FF2683">
      <w:pPr>
        <w:spacing w:before="120" w:after="120" w:line="480" w:lineRule="auto"/>
        <w:ind w:firstLine="800"/>
        <w:jc w:val="both"/>
        <w:rPr>
          <w:szCs w:val="24"/>
        </w:rPr>
      </w:pPr>
      <w:r w:rsidRPr="00801161">
        <w:rPr>
          <w:szCs w:val="24"/>
        </w:rPr>
        <w:t xml:space="preserve">Furthermore, useful findings </w:t>
      </w:r>
      <w:r w:rsidR="00174B09" w:rsidRPr="00801161">
        <w:rPr>
          <w:szCs w:val="24"/>
        </w:rPr>
        <w:t>have been obtained</w:t>
      </w:r>
      <w:r w:rsidR="007C280A" w:rsidRPr="00801161">
        <w:rPr>
          <w:szCs w:val="24"/>
        </w:rPr>
        <w:t xml:space="preserve"> from the analysis of colon samples from patients</w:t>
      </w:r>
      <w:r w:rsidR="007C280A" w:rsidRPr="00801161">
        <w:rPr>
          <w:rFonts w:eastAsia="Malgun Gothic"/>
          <w:szCs w:val="24"/>
        </w:rPr>
        <w:t xml:space="preserve"> with IBD. </w:t>
      </w:r>
      <w:r w:rsidR="00174B09" w:rsidRPr="00801161">
        <w:rPr>
          <w:szCs w:val="24"/>
        </w:rPr>
        <w:t xml:space="preserve">After </w:t>
      </w:r>
      <w:r w:rsidR="007C280A" w:rsidRPr="00801161">
        <w:rPr>
          <w:szCs w:val="24"/>
        </w:rPr>
        <w:t>acquir</w:t>
      </w:r>
      <w:r w:rsidR="00174B09" w:rsidRPr="00801161">
        <w:rPr>
          <w:szCs w:val="24"/>
        </w:rPr>
        <w:t>ing</w:t>
      </w:r>
      <w:r w:rsidR="007C280A" w:rsidRPr="00801161">
        <w:rPr>
          <w:szCs w:val="24"/>
        </w:rPr>
        <w:t xml:space="preserve"> rectal biopsy samples of UC and CD patients</w:t>
      </w:r>
      <w:r w:rsidR="00174B09" w:rsidRPr="00801161">
        <w:rPr>
          <w:szCs w:val="24"/>
        </w:rPr>
        <w:t>, Zham et al.</w:t>
      </w:r>
      <w:r w:rsidR="007C280A" w:rsidRPr="00801161">
        <w:rPr>
          <w:szCs w:val="24"/>
        </w:rPr>
        <w:t xml:space="preserve"> found that miR-24 was increased in UC samples compared to</w:t>
      </w:r>
      <w:r w:rsidR="0068436E" w:rsidRPr="00801161">
        <w:rPr>
          <w:szCs w:val="24"/>
        </w:rPr>
        <w:t xml:space="preserve"> </w:t>
      </w:r>
      <w:r w:rsidR="007C280A" w:rsidRPr="00801161">
        <w:rPr>
          <w:szCs w:val="24"/>
        </w:rPr>
        <w:t xml:space="preserve">CD </w:t>
      </w:r>
      <w:r w:rsidR="00174B09" w:rsidRPr="00801161">
        <w:rPr>
          <w:szCs w:val="24"/>
        </w:rPr>
        <w:t xml:space="preserve">samples, </w:t>
      </w:r>
      <w:r w:rsidR="007C280A" w:rsidRPr="00801161">
        <w:rPr>
          <w:szCs w:val="24"/>
        </w:rPr>
        <w:t>with a sensitivity of 83.3% and specificity of 85.7% as a diagnostic biomarker</w:t>
      </w:r>
      <w:r w:rsidR="00A359AD" w:rsidRPr="00801161">
        <w:rPr>
          <w:szCs w:val="24"/>
        </w:rPr>
        <w:t xml:space="preserve"> </w:t>
      </w:r>
      <w:r w:rsidR="007C280A" w:rsidRPr="00FD697C">
        <w:rPr>
          <w:szCs w:val="24"/>
        </w:rPr>
        <w:t>[9</w:t>
      </w:r>
      <w:r w:rsidR="00F43751" w:rsidRPr="00FD697C">
        <w:rPr>
          <w:szCs w:val="24"/>
        </w:rPr>
        <w:t>6</w:t>
      </w:r>
      <w:r w:rsidR="007C280A" w:rsidRPr="00FD697C">
        <w:rPr>
          <w:szCs w:val="24"/>
        </w:rPr>
        <w:t>]</w:t>
      </w:r>
      <w:r w:rsidR="007C280A" w:rsidRPr="00801161">
        <w:rPr>
          <w:szCs w:val="24"/>
        </w:rPr>
        <w:t xml:space="preserve">. Jeremy et al. used matched colon biopsies from UC and CD patients to compare endoscopically involved regions with endoscopically uninvolved regions of each patient. miR-21, miR-31, </w:t>
      </w:r>
      <w:r w:rsidR="007C280A" w:rsidRPr="00FD697C">
        <w:t xml:space="preserve">miR-101, miR-142-3p, miR-142-5p, miR-155, miR-223, miR-375, and miR-494 </w:t>
      </w:r>
      <w:r w:rsidR="002B344A" w:rsidRPr="00801161">
        <w:t xml:space="preserve">levels </w:t>
      </w:r>
      <w:r w:rsidR="007C280A" w:rsidRPr="00FD697C">
        <w:t xml:space="preserve">were elevated in active CD lesions compared to inactive regions; miR-21, miR-101, miR-142-5p, miR-146a, miR-155, and miR-223 </w:t>
      </w:r>
      <w:r w:rsidR="003D06F8" w:rsidRPr="00801161">
        <w:t xml:space="preserve">levels </w:t>
      </w:r>
      <w:r w:rsidR="007C280A" w:rsidRPr="00FD697C">
        <w:t>were higher in active UC lesions than in inactive regions</w:t>
      </w:r>
      <w:r w:rsidR="00A359AD" w:rsidRPr="00FD697C">
        <w:t xml:space="preserve"> </w:t>
      </w:r>
      <w:r w:rsidR="00A359AD" w:rsidRPr="00FD697C">
        <w:rPr>
          <w:szCs w:val="24"/>
        </w:rPr>
        <w:t>[8</w:t>
      </w:r>
      <w:r w:rsidR="00F43751" w:rsidRPr="00FD697C">
        <w:rPr>
          <w:szCs w:val="24"/>
        </w:rPr>
        <w:t>8</w:t>
      </w:r>
      <w:r w:rsidR="007C280A" w:rsidRPr="00FD697C">
        <w:rPr>
          <w:szCs w:val="24"/>
        </w:rPr>
        <w:t>]</w:t>
      </w:r>
      <w:r w:rsidR="007C280A" w:rsidRPr="00801161">
        <w:rPr>
          <w:szCs w:val="24"/>
        </w:rPr>
        <w:t xml:space="preserve">. Guo et al. compared inflamed and non-inflamed mucosal samples of </w:t>
      </w:r>
      <w:r w:rsidR="007C280A" w:rsidRPr="00801161">
        <w:rPr>
          <w:rFonts w:eastAsia="Malgun Gothic"/>
          <w:szCs w:val="24"/>
        </w:rPr>
        <w:t>the terminal ileum of active CD patients</w:t>
      </w:r>
      <w:r w:rsidR="007C280A" w:rsidRPr="00801161">
        <w:rPr>
          <w:szCs w:val="24"/>
        </w:rPr>
        <w:t xml:space="preserve"> and found that miR-124-3p and miR-192-5p </w:t>
      </w:r>
      <w:r w:rsidR="005D1D40" w:rsidRPr="00801161">
        <w:rPr>
          <w:szCs w:val="24"/>
        </w:rPr>
        <w:t xml:space="preserve">levels </w:t>
      </w:r>
      <w:r w:rsidR="007C280A" w:rsidRPr="00801161">
        <w:rPr>
          <w:szCs w:val="24"/>
        </w:rPr>
        <w:t>were decreased, while miR-361-3p was upregulated in the inflamed mucosa of CD patients</w:t>
      </w:r>
      <w:r w:rsidR="00A359AD" w:rsidRPr="00801161">
        <w:rPr>
          <w:szCs w:val="24"/>
        </w:rPr>
        <w:t xml:space="preserve"> </w:t>
      </w:r>
      <w:r w:rsidR="007C280A" w:rsidRPr="00FD697C">
        <w:rPr>
          <w:szCs w:val="24"/>
        </w:rPr>
        <w:t>[9</w:t>
      </w:r>
      <w:r w:rsidR="00F43751" w:rsidRPr="00FD697C">
        <w:rPr>
          <w:szCs w:val="24"/>
        </w:rPr>
        <w:t>7</w:t>
      </w:r>
      <w:r w:rsidR="007C280A" w:rsidRPr="00FD697C">
        <w:rPr>
          <w:szCs w:val="24"/>
        </w:rPr>
        <w:t>]</w:t>
      </w:r>
      <w:r w:rsidR="007C280A" w:rsidRPr="00801161">
        <w:rPr>
          <w:szCs w:val="24"/>
        </w:rPr>
        <w:t>.</w:t>
      </w:r>
    </w:p>
    <w:p w14:paraId="4E3A71E9" w14:textId="150D012B" w:rsidR="00CD7E2E" w:rsidRPr="00801161" w:rsidRDefault="007C280A" w:rsidP="00FF2683">
      <w:pPr>
        <w:spacing w:before="120" w:after="120" w:line="480" w:lineRule="auto"/>
        <w:jc w:val="both"/>
        <w:rPr>
          <w:rFonts w:ascii="Arial" w:hAnsi="Arial" w:cs="Arial"/>
          <w:szCs w:val="24"/>
        </w:rPr>
      </w:pPr>
      <w:r w:rsidRPr="00801161">
        <w:rPr>
          <w:rFonts w:ascii="Arial" w:hAnsi="Arial" w:cs="Arial"/>
          <w:b/>
          <w:bCs/>
          <w:color w:val="000000" w:themeColor="text1"/>
          <w:szCs w:val="24"/>
        </w:rPr>
        <w:t>miRNA signature from</w:t>
      </w:r>
      <w:r w:rsidR="000F0805" w:rsidRPr="00801161">
        <w:rPr>
          <w:rFonts w:ascii="Arial" w:hAnsi="Arial" w:cs="Arial"/>
          <w:b/>
          <w:bCs/>
          <w:color w:val="000000" w:themeColor="text1"/>
          <w:szCs w:val="24"/>
        </w:rPr>
        <w:t xml:space="preserve"> the</w:t>
      </w:r>
      <w:r w:rsidRPr="00801161">
        <w:rPr>
          <w:rFonts w:ascii="Arial" w:hAnsi="Arial" w:cs="Arial"/>
          <w:b/>
          <w:bCs/>
          <w:color w:val="000000" w:themeColor="text1"/>
          <w:szCs w:val="24"/>
        </w:rPr>
        <w:t xml:space="preserve"> peripheral blood of IBD patients</w:t>
      </w:r>
    </w:p>
    <w:p w14:paraId="3330DD19" w14:textId="6F77B84B" w:rsidR="00CD7E2E" w:rsidRPr="00801161" w:rsidRDefault="0068436E" w:rsidP="004B6949">
      <w:pPr>
        <w:spacing w:after="120" w:line="480" w:lineRule="auto"/>
        <w:ind w:firstLine="799"/>
        <w:jc w:val="both"/>
        <w:rPr>
          <w:szCs w:val="24"/>
        </w:rPr>
      </w:pPr>
      <w:r w:rsidRPr="00801161">
        <w:rPr>
          <w:szCs w:val="24"/>
        </w:rPr>
        <w:t xml:space="preserve">As the acquisition of </w:t>
      </w:r>
      <w:r w:rsidR="007C280A" w:rsidRPr="00801161">
        <w:rPr>
          <w:szCs w:val="24"/>
        </w:rPr>
        <w:t xml:space="preserve">colon tissues requires a relatively invasive procedure compared to blood sampling, some studies </w:t>
      </w:r>
      <w:r w:rsidR="007C280A" w:rsidRPr="00801161">
        <w:rPr>
          <w:rFonts w:eastAsia="Malgun Gothic"/>
          <w:szCs w:val="24"/>
        </w:rPr>
        <w:t xml:space="preserve">have attempted to </w:t>
      </w:r>
      <w:r w:rsidR="007C280A" w:rsidRPr="00801161">
        <w:rPr>
          <w:szCs w:val="24"/>
        </w:rPr>
        <w:t xml:space="preserve">identify miRNA signatures from </w:t>
      </w:r>
      <w:r w:rsidR="000F0805" w:rsidRPr="00801161">
        <w:rPr>
          <w:szCs w:val="24"/>
        </w:rPr>
        <w:t xml:space="preserve">the </w:t>
      </w:r>
      <w:r w:rsidR="007C280A" w:rsidRPr="00801161">
        <w:rPr>
          <w:szCs w:val="24"/>
        </w:rPr>
        <w:t xml:space="preserve">peripheral blood of </w:t>
      </w:r>
      <w:r w:rsidR="007C280A" w:rsidRPr="00801161">
        <w:rPr>
          <w:rFonts w:eastAsia="Malgun Gothic"/>
          <w:szCs w:val="24"/>
        </w:rPr>
        <w:t>patients with active IBD</w:t>
      </w:r>
      <w:r w:rsidR="007C280A" w:rsidRPr="00801161">
        <w:rPr>
          <w:szCs w:val="24"/>
        </w:rPr>
        <w:t xml:space="preserve">. Paraskevi et al. reported increased </w:t>
      </w:r>
      <w:r w:rsidR="007C280A" w:rsidRPr="00801161">
        <w:rPr>
          <w:rFonts w:eastAsia="Malgun Gothic"/>
          <w:szCs w:val="24"/>
        </w:rPr>
        <w:t>levels of m</w:t>
      </w:r>
      <w:r w:rsidR="007C280A" w:rsidRPr="00801161">
        <w:rPr>
          <w:szCs w:val="24"/>
        </w:rPr>
        <w:t xml:space="preserve">iR-16, miR-23a, miR-29a, miR-106a, miR-107, miR-126, miR-191, miR-199a-5p, miR-200c, </w:t>
      </w:r>
      <w:r w:rsidR="007C280A" w:rsidRPr="00801161">
        <w:rPr>
          <w:szCs w:val="24"/>
        </w:rPr>
        <w:lastRenderedPageBreak/>
        <w:t xml:space="preserve">miR-362-3p, and miR-532-3p in </w:t>
      </w:r>
      <w:r w:rsidR="007C280A" w:rsidRPr="00801161">
        <w:rPr>
          <w:rFonts w:eastAsia="Malgun Gothic"/>
          <w:szCs w:val="24"/>
        </w:rPr>
        <w:t xml:space="preserve">the blood </w:t>
      </w:r>
      <w:r w:rsidR="007C280A" w:rsidRPr="00801161">
        <w:rPr>
          <w:szCs w:val="24"/>
        </w:rPr>
        <w:t xml:space="preserve">of CD patients compared to healthy controls, and elevated levels of miR-16, miR-21, miR-28-5p, miR-151-5p, miR-155, and miR-199a-5p in </w:t>
      </w:r>
      <w:r w:rsidR="007C280A" w:rsidRPr="00801161">
        <w:rPr>
          <w:rFonts w:eastAsia="Malgun Gothic"/>
          <w:szCs w:val="24"/>
        </w:rPr>
        <w:t xml:space="preserve">the blood </w:t>
      </w:r>
      <w:r w:rsidR="007C280A" w:rsidRPr="00801161">
        <w:rPr>
          <w:szCs w:val="24"/>
        </w:rPr>
        <w:t>of UC patients compared to controls</w:t>
      </w:r>
      <w:r w:rsidR="00A359AD" w:rsidRPr="00801161">
        <w:rPr>
          <w:szCs w:val="24"/>
        </w:rPr>
        <w:t xml:space="preserve"> </w:t>
      </w:r>
      <w:r w:rsidR="007C280A" w:rsidRPr="00FD697C">
        <w:rPr>
          <w:szCs w:val="24"/>
        </w:rPr>
        <w:t>[9</w:t>
      </w:r>
      <w:r w:rsidR="00F43751" w:rsidRPr="00FD697C">
        <w:rPr>
          <w:szCs w:val="24"/>
        </w:rPr>
        <w:t>8</w:t>
      </w:r>
      <w:r w:rsidR="007C280A" w:rsidRPr="00FD697C">
        <w:rPr>
          <w:szCs w:val="24"/>
        </w:rPr>
        <w:t>]</w:t>
      </w:r>
      <w:r w:rsidR="007C280A" w:rsidRPr="00801161">
        <w:rPr>
          <w:szCs w:val="24"/>
        </w:rPr>
        <w:t xml:space="preserve">. Wu et al. found increased levels of miR-199a-5p, miR-340*, miR-362-3p, miR-532-3p, and miRplus-E1271, and decreased levels of miR-149* and miRplus-F1065 in the blood of </w:t>
      </w:r>
      <w:r w:rsidR="007C280A" w:rsidRPr="00801161">
        <w:rPr>
          <w:rFonts w:eastAsia="Malgun Gothic"/>
          <w:szCs w:val="24"/>
        </w:rPr>
        <w:t xml:space="preserve">patients with active CD </w:t>
      </w:r>
      <w:r w:rsidR="007C280A" w:rsidRPr="00801161">
        <w:rPr>
          <w:szCs w:val="24"/>
        </w:rPr>
        <w:t xml:space="preserve">compared </w:t>
      </w:r>
      <w:r w:rsidR="00C73022" w:rsidRPr="00801161">
        <w:rPr>
          <w:szCs w:val="24"/>
        </w:rPr>
        <w:t xml:space="preserve">to </w:t>
      </w:r>
      <w:r w:rsidR="007C280A" w:rsidRPr="00801161">
        <w:rPr>
          <w:szCs w:val="24"/>
        </w:rPr>
        <w:t>controls</w:t>
      </w:r>
      <w:r w:rsidR="00A359AD" w:rsidRPr="00801161">
        <w:rPr>
          <w:szCs w:val="24"/>
        </w:rPr>
        <w:t xml:space="preserve"> </w:t>
      </w:r>
      <w:r w:rsidR="007C280A" w:rsidRPr="00FD697C">
        <w:rPr>
          <w:szCs w:val="24"/>
        </w:rPr>
        <w:t>[9</w:t>
      </w:r>
      <w:r w:rsidR="00F43751" w:rsidRPr="00FD697C">
        <w:rPr>
          <w:szCs w:val="24"/>
        </w:rPr>
        <w:t>9</w:t>
      </w:r>
      <w:r w:rsidR="007C280A" w:rsidRPr="00FD697C">
        <w:rPr>
          <w:szCs w:val="24"/>
        </w:rPr>
        <w:t>]</w:t>
      </w:r>
      <w:r w:rsidR="007C280A" w:rsidRPr="00801161">
        <w:rPr>
          <w:szCs w:val="24"/>
        </w:rPr>
        <w:t xml:space="preserve">. </w:t>
      </w:r>
      <w:r w:rsidR="000F0805" w:rsidRPr="00801161">
        <w:rPr>
          <w:szCs w:val="24"/>
        </w:rPr>
        <w:t xml:space="preserve">The levels of </w:t>
      </w:r>
      <w:r w:rsidR="007C280A" w:rsidRPr="00801161">
        <w:rPr>
          <w:szCs w:val="24"/>
          <w:lang w:eastAsia="ko-KR"/>
        </w:rPr>
        <w:t xml:space="preserve">miR-28-5p, miR-103-2*, miR-151-5p, miR-199a-5p, miR-340*, miR-362-3p, miR-532-3p, and miRplus-E1271 were increased, while </w:t>
      </w:r>
      <w:r w:rsidR="000F0805" w:rsidRPr="00801161">
        <w:rPr>
          <w:szCs w:val="24"/>
          <w:lang w:eastAsia="ko-KR"/>
        </w:rPr>
        <w:t xml:space="preserve">that of </w:t>
      </w:r>
      <w:r w:rsidR="007C280A" w:rsidRPr="00801161">
        <w:rPr>
          <w:szCs w:val="24"/>
          <w:lang w:eastAsia="ko-KR"/>
        </w:rPr>
        <w:t>miR-505* was decreased in the peripheral blood samples of active UC patients compared to healthy controls</w:t>
      </w:r>
      <w:r w:rsidR="00A359AD" w:rsidRPr="00801161">
        <w:rPr>
          <w:szCs w:val="24"/>
          <w:lang w:eastAsia="ko-KR"/>
        </w:rPr>
        <w:t xml:space="preserve"> </w:t>
      </w:r>
      <w:r w:rsidR="007C280A" w:rsidRPr="00FD697C">
        <w:rPr>
          <w:szCs w:val="24"/>
          <w:lang w:eastAsia="ko-KR"/>
        </w:rPr>
        <w:t>[9</w:t>
      </w:r>
      <w:r w:rsidR="00F43751" w:rsidRPr="00FD697C">
        <w:rPr>
          <w:szCs w:val="24"/>
          <w:lang w:eastAsia="ko-KR"/>
        </w:rPr>
        <w:t>9</w:t>
      </w:r>
      <w:r w:rsidR="007C280A" w:rsidRPr="00FD697C">
        <w:rPr>
          <w:szCs w:val="24"/>
          <w:lang w:eastAsia="ko-KR"/>
        </w:rPr>
        <w:t>]</w:t>
      </w:r>
      <w:r w:rsidR="007C280A" w:rsidRPr="00801161">
        <w:rPr>
          <w:szCs w:val="24"/>
          <w:lang w:eastAsia="ko-KR"/>
        </w:rPr>
        <w:t xml:space="preserve">. </w:t>
      </w:r>
      <w:r w:rsidR="000F0805" w:rsidRPr="00801161">
        <w:rPr>
          <w:szCs w:val="24"/>
          <w:lang w:eastAsia="ko-KR"/>
        </w:rPr>
        <w:t xml:space="preserve">By </w:t>
      </w:r>
      <w:r w:rsidR="007C280A" w:rsidRPr="00801161">
        <w:rPr>
          <w:szCs w:val="24"/>
          <w:lang w:eastAsia="ko-KR"/>
        </w:rPr>
        <w:t>measur</w:t>
      </w:r>
      <w:r w:rsidR="000F0805" w:rsidRPr="00801161">
        <w:rPr>
          <w:szCs w:val="24"/>
          <w:lang w:eastAsia="ko-KR"/>
        </w:rPr>
        <w:t>ing</w:t>
      </w:r>
      <w:r w:rsidR="007C280A" w:rsidRPr="00801161">
        <w:rPr>
          <w:szCs w:val="24"/>
          <w:lang w:eastAsia="ko-KR"/>
        </w:rPr>
        <w:t xml:space="preserve"> miRNAs from </w:t>
      </w:r>
      <w:r w:rsidR="007C280A" w:rsidRPr="00801161">
        <w:rPr>
          <w:rFonts w:eastAsia="Malgun Gothic"/>
          <w:szCs w:val="24"/>
          <w:lang w:eastAsia="ko-KR"/>
        </w:rPr>
        <w:t>the platelet fraction</w:t>
      </w:r>
      <w:r w:rsidR="000F0805" w:rsidRPr="00801161">
        <w:rPr>
          <w:rFonts w:eastAsia="Malgun Gothic"/>
          <w:szCs w:val="24"/>
          <w:lang w:eastAsia="ko-KR"/>
        </w:rPr>
        <w:t xml:space="preserve">, </w:t>
      </w:r>
      <w:r w:rsidR="000F0805" w:rsidRPr="00801161">
        <w:rPr>
          <w:szCs w:val="24"/>
          <w:lang w:eastAsia="ko-KR"/>
        </w:rPr>
        <w:t>Duttagupta et al.</w:t>
      </w:r>
      <w:r w:rsidR="007C280A" w:rsidRPr="00801161">
        <w:rPr>
          <w:rFonts w:eastAsia="Malgun Gothic"/>
          <w:szCs w:val="24"/>
          <w:lang w:eastAsia="ko-KR"/>
        </w:rPr>
        <w:t xml:space="preserve"> found increased levels of miR-188-5p, miR-378, miR-422a, miR-500, miR-501-5p, miR-769-5p, and miR-874 </w:t>
      </w:r>
      <w:r w:rsidR="007C280A" w:rsidRPr="00801161">
        <w:rPr>
          <w:szCs w:val="24"/>
          <w:lang w:eastAsia="ko-KR"/>
        </w:rPr>
        <w:t>in blood samples from UC patients compared to controls</w:t>
      </w:r>
      <w:r w:rsidR="00A359AD" w:rsidRPr="00801161">
        <w:rPr>
          <w:szCs w:val="24"/>
          <w:lang w:eastAsia="ko-KR"/>
        </w:rPr>
        <w:t xml:space="preserve"> </w:t>
      </w:r>
      <w:r w:rsidR="007C280A" w:rsidRPr="00FD697C">
        <w:rPr>
          <w:szCs w:val="24"/>
          <w:lang w:eastAsia="ko-KR"/>
        </w:rPr>
        <w:t>[</w:t>
      </w:r>
      <w:r w:rsidR="00F43751" w:rsidRPr="00FD697C">
        <w:rPr>
          <w:szCs w:val="24"/>
          <w:lang w:eastAsia="ko-KR"/>
        </w:rPr>
        <w:t>100</w:t>
      </w:r>
      <w:r w:rsidR="007C280A" w:rsidRPr="00FD697C">
        <w:rPr>
          <w:szCs w:val="24"/>
          <w:lang w:eastAsia="ko-KR"/>
        </w:rPr>
        <w:t>]</w:t>
      </w:r>
      <w:r w:rsidR="007C280A" w:rsidRPr="00801161">
        <w:rPr>
          <w:szCs w:val="24"/>
          <w:lang w:eastAsia="ko-KR"/>
        </w:rPr>
        <w:t>. Schaefer et al. collected peripheral blood from UC and CD patients with normal controls and reported elevated levels of miR-19a, miR-101, miR-142-5p, miR-223, miR-375, and miR-494</w:t>
      </w:r>
      <w:r w:rsidR="00A64AFC" w:rsidRPr="00801161">
        <w:rPr>
          <w:szCs w:val="24"/>
          <w:lang w:eastAsia="ko-KR"/>
        </w:rPr>
        <w:t>,</w:t>
      </w:r>
      <w:r w:rsidR="007C280A" w:rsidRPr="00801161">
        <w:rPr>
          <w:szCs w:val="24"/>
          <w:lang w:eastAsia="ko-KR"/>
        </w:rPr>
        <w:t xml:space="preserve"> and reduced levels of miR-21, miR-31, and miR-146a in the blood samples of UC patients compared to healthy controls; </w:t>
      </w:r>
      <w:r w:rsidR="000F0805" w:rsidRPr="00801161">
        <w:rPr>
          <w:szCs w:val="24"/>
          <w:lang w:eastAsia="ko-KR"/>
        </w:rPr>
        <w:t xml:space="preserve">the levels of </w:t>
      </w:r>
      <w:r w:rsidR="007C280A" w:rsidRPr="00801161">
        <w:rPr>
          <w:szCs w:val="24"/>
          <w:lang w:eastAsia="ko-KR"/>
        </w:rPr>
        <w:t xml:space="preserve">miR-101 and miR-375 were increased, while </w:t>
      </w:r>
      <w:r w:rsidR="000F0805" w:rsidRPr="00801161">
        <w:rPr>
          <w:szCs w:val="24"/>
          <w:lang w:eastAsia="ko-KR"/>
        </w:rPr>
        <w:t xml:space="preserve">those of </w:t>
      </w:r>
      <w:r w:rsidR="007C280A" w:rsidRPr="00801161">
        <w:rPr>
          <w:szCs w:val="24"/>
          <w:lang w:eastAsia="ko-KR"/>
        </w:rPr>
        <w:t>miR-21, miR-31, miR-146a, and miR-155 were decreased in the whole blood of CD patients compared to controls</w:t>
      </w:r>
      <w:r w:rsidR="00A359AD" w:rsidRPr="00801161">
        <w:rPr>
          <w:szCs w:val="24"/>
          <w:lang w:eastAsia="ko-KR"/>
        </w:rPr>
        <w:t xml:space="preserve"> </w:t>
      </w:r>
      <w:r w:rsidR="007C280A" w:rsidRPr="00FD697C">
        <w:rPr>
          <w:szCs w:val="24"/>
          <w:lang w:eastAsia="ko-KR"/>
        </w:rPr>
        <w:t>[8</w:t>
      </w:r>
      <w:r w:rsidR="00F43751" w:rsidRPr="00FD697C">
        <w:rPr>
          <w:szCs w:val="24"/>
          <w:lang w:eastAsia="ko-KR"/>
        </w:rPr>
        <w:t>8</w:t>
      </w:r>
      <w:r w:rsidR="007C280A" w:rsidRPr="00FD697C">
        <w:rPr>
          <w:szCs w:val="24"/>
          <w:lang w:eastAsia="ko-KR"/>
        </w:rPr>
        <w:t>]</w:t>
      </w:r>
      <w:r w:rsidR="007C280A" w:rsidRPr="00801161">
        <w:rPr>
          <w:szCs w:val="24"/>
          <w:lang w:eastAsia="ko-KR"/>
        </w:rPr>
        <w:t xml:space="preserve">. </w:t>
      </w:r>
      <w:bookmarkStart w:id="6" w:name="_Hlk43039589"/>
      <w:r w:rsidR="007C280A" w:rsidRPr="00801161">
        <w:rPr>
          <w:szCs w:val="24"/>
          <w:lang w:eastAsia="ko-KR"/>
        </w:rPr>
        <w:t xml:space="preserve">Zahm et al. reported elevated </w:t>
      </w:r>
      <w:r w:rsidR="007C280A" w:rsidRPr="00801161">
        <w:rPr>
          <w:rFonts w:eastAsia="Malgun Gothic"/>
          <w:szCs w:val="24"/>
        </w:rPr>
        <w:t xml:space="preserve">levels of </w:t>
      </w:r>
      <w:r w:rsidR="007C280A" w:rsidRPr="00801161">
        <w:rPr>
          <w:szCs w:val="24"/>
        </w:rPr>
        <w:t>miR-16, miR-20a, miR-21, miR-30e, miR-93, miR-106a, miR-140, miR-192, miR-195, and miR-484 in serum samples from pediatric CD patients compared to normal controls</w:t>
      </w:r>
      <w:bookmarkEnd w:id="6"/>
      <w:r w:rsidR="00A359AD" w:rsidRPr="00801161">
        <w:rPr>
          <w:szCs w:val="24"/>
        </w:rPr>
        <w:t xml:space="preserve"> </w:t>
      </w:r>
      <w:r w:rsidR="007C280A" w:rsidRPr="00FD697C">
        <w:rPr>
          <w:szCs w:val="24"/>
        </w:rPr>
        <w:t>[</w:t>
      </w:r>
      <w:r w:rsidR="00F43751" w:rsidRPr="00FD697C">
        <w:rPr>
          <w:szCs w:val="24"/>
        </w:rPr>
        <w:t>101</w:t>
      </w:r>
      <w:r w:rsidR="007C280A" w:rsidRPr="00FD697C">
        <w:rPr>
          <w:szCs w:val="24"/>
        </w:rPr>
        <w:t>]</w:t>
      </w:r>
      <w:r w:rsidR="007C280A" w:rsidRPr="00801161">
        <w:rPr>
          <w:szCs w:val="24"/>
        </w:rPr>
        <w:t>.</w:t>
      </w:r>
    </w:p>
    <w:p w14:paraId="749EDFAC" w14:textId="03285D12" w:rsidR="00CD7E2E" w:rsidRPr="00801161" w:rsidRDefault="007C280A" w:rsidP="004B6949">
      <w:pPr>
        <w:spacing w:after="120" w:line="480" w:lineRule="auto"/>
        <w:ind w:firstLine="799"/>
        <w:jc w:val="both"/>
        <w:rPr>
          <w:szCs w:val="24"/>
        </w:rPr>
      </w:pPr>
      <w:r w:rsidRPr="00801161">
        <w:rPr>
          <w:szCs w:val="24"/>
        </w:rPr>
        <w:t xml:space="preserve">Viennois et al. found that </w:t>
      </w:r>
      <w:r w:rsidR="00A64AFC" w:rsidRPr="00801161">
        <w:rPr>
          <w:szCs w:val="24"/>
        </w:rPr>
        <w:t xml:space="preserve">the levels of </w:t>
      </w:r>
      <w:r w:rsidRPr="00801161">
        <w:rPr>
          <w:szCs w:val="24"/>
        </w:rPr>
        <w:t>miR-29b-3p, miR-122-5p, miR-146a-3p, miR-150-5p, miR-192-5p, miR-194-5p, and miR-375-3p were elevated in the serum of IL10 (-/-) mice, which distinguished peripheral blood samples from UC patients and healthy controls with 83.3% sensitivity</w:t>
      </w:r>
      <w:r w:rsidR="00A359AD" w:rsidRPr="00801161">
        <w:rPr>
          <w:szCs w:val="24"/>
        </w:rPr>
        <w:t xml:space="preserve"> </w:t>
      </w:r>
      <w:r w:rsidRPr="00FD697C">
        <w:rPr>
          <w:szCs w:val="24"/>
        </w:rPr>
        <w:t>[</w:t>
      </w:r>
      <w:r w:rsidR="00F43751" w:rsidRPr="00FD697C">
        <w:rPr>
          <w:szCs w:val="24"/>
        </w:rPr>
        <w:t>102</w:t>
      </w:r>
      <w:r w:rsidRPr="00FD697C">
        <w:rPr>
          <w:szCs w:val="24"/>
        </w:rPr>
        <w:t>]</w:t>
      </w:r>
      <w:r w:rsidRPr="00801161">
        <w:rPr>
          <w:szCs w:val="24"/>
        </w:rPr>
        <w:t xml:space="preserve">. Wu et al. reported that the serum levels of eight miRNAs (miR-28, miR-103-2*, miR-149*, miR-151, miR-340*, miR-505*, miR-532, and miR-plus-E1153) </w:t>
      </w:r>
      <w:r w:rsidR="0008736A" w:rsidRPr="00801161">
        <w:rPr>
          <w:szCs w:val="24"/>
        </w:rPr>
        <w:t xml:space="preserve">could be used to </w:t>
      </w:r>
      <w:r w:rsidRPr="00801161">
        <w:rPr>
          <w:szCs w:val="24"/>
        </w:rPr>
        <w:t>distinguish UC from CD</w:t>
      </w:r>
      <w:r w:rsidR="00A359AD" w:rsidRPr="00801161">
        <w:rPr>
          <w:szCs w:val="24"/>
        </w:rPr>
        <w:t xml:space="preserve"> </w:t>
      </w:r>
      <w:r w:rsidRPr="00FD697C">
        <w:rPr>
          <w:szCs w:val="24"/>
        </w:rPr>
        <w:t>[9</w:t>
      </w:r>
      <w:r w:rsidR="00F43751" w:rsidRPr="00FD697C">
        <w:rPr>
          <w:szCs w:val="24"/>
        </w:rPr>
        <w:t>9</w:t>
      </w:r>
      <w:r w:rsidRPr="00FD697C">
        <w:rPr>
          <w:szCs w:val="24"/>
        </w:rPr>
        <w:t>]</w:t>
      </w:r>
      <w:r w:rsidRPr="00801161">
        <w:rPr>
          <w:szCs w:val="24"/>
        </w:rPr>
        <w:t xml:space="preserve">. Jansen et al. used reverse-transcription </w:t>
      </w:r>
      <w:r w:rsidRPr="00801161">
        <w:rPr>
          <w:szCs w:val="24"/>
        </w:rPr>
        <w:lastRenderedPageBreak/>
        <w:t xml:space="preserve">polymerase chain reaction (RT-PCR) to measure </w:t>
      </w:r>
      <w:r w:rsidR="0008736A" w:rsidRPr="00801161">
        <w:rPr>
          <w:szCs w:val="24"/>
        </w:rPr>
        <w:t xml:space="preserve">the </w:t>
      </w:r>
      <w:r w:rsidRPr="00801161">
        <w:rPr>
          <w:szCs w:val="24"/>
        </w:rPr>
        <w:t>miRNA levels in serum samples of CD patients and healthy controls</w:t>
      </w:r>
      <w:r w:rsidR="0008736A" w:rsidRPr="00801161">
        <w:rPr>
          <w:szCs w:val="24"/>
        </w:rPr>
        <w:t>. Thereafter, they</w:t>
      </w:r>
      <w:r w:rsidRPr="00801161">
        <w:rPr>
          <w:szCs w:val="24"/>
        </w:rPr>
        <w:t xml:space="preserve"> proposed</w:t>
      </w:r>
      <w:r w:rsidR="0008736A" w:rsidRPr="00801161">
        <w:rPr>
          <w:szCs w:val="24"/>
        </w:rPr>
        <w:t xml:space="preserve"> that</w:t>
      </w:r>
      <w:r w:rsidRPr="00801161">
        <w:rPr>
          <w:szCs w:val="24"/>
        </w:rPr>
        <w:t xml:space="preserve"> a decrease in serum miR-16b</w:t>
      </w:r>
      <w:r w:rsidR="0008736A" w:rsidRPr="00801161">
        <w:rPr>
          <w:szCs w:val="24"/>
        </w:rPr>
        <w:t xml:space="preserve"> could be used</w:t>
      </w:r>
      <w:r w:rsidRPr="00801161">
        <w:rPr>
          <w:szCs w:val="24"/>
        </w:rPr>
        <w:t xml:space="preserve"> to diagnose CD, which yielded an area under the curve of 65%</w:t>
      </w:r>
      <w:r w:rsidR="00A359AD" w:rsidRPr="00801161">
        <w:rPr>
          <w:szCs w:val="24"/>
        </w:rPr>
        <w:t xml:space="preserve"> </w:t>
      </w:r>
      <w:r w:rsidRPr="00FD697C">
        <w:rPr>
          <w:szCs w:val="24"/>
        </w:rPr>
        <w:t>[</w:t>
      </w:r>
      <w:r w:rsidR="00A359AD" w:rsidRPr="00FD697C">
        <w:rPr>
          <w:szCs w:val="24"/>
        </w:rPr>
        <w:t>10</w:t>
      </w:r>
      <w:r w:rsidR="00F43751" w:rsidRPr="00FD697C">
        <w:rPr>
          <w:szCs w:val="24"/>
        </w:rPr>
        <w:t>3</w:t>
      </w:r>
      <w:r w:rsidRPr="00FD697C">
        <w:rPr>
          <w:szCs w:val="24"/>
        </w:rPr>
        <w:t>]</w:t>
      </w:r>
      <w:r w:rsidRPr="00801161">
        <w:rPr>
          <w:szCs w:val="24"/>
        </w:rPr>
        <w:t xml:space="preserve">. Zham et al. measured 11 miRNAs (miR-16, miR-20a, miR-21, miR-30e, miR-93, miR-106a, miR-140, miR-192, miR-195, miR-484, and let7b) in serum samples from CD patients and healthy controls and reported </w:t>
      </w:r>
      <w:r w:rsidR="0008736A" w:rsidRPr="00801161">
        <w:rPr>
          <w:szCs w:val="24"/>
        </w:rPr>
        <w:t xml:space="preserve">that </w:t>
      </w:r>
      <w:r w:rsidRPr="00801161">
        <w:rPr>
          <w:szCs w:val="24"/>
        </w:rPr>
        <w:t>their elevation</w:t>
      </w:r>
      <w:r w:rsidR="0008736A" w:rsidRPr="00801161">
        <w:rPr>
          <w:szCs w:val="24"/>
        </w:rPr>
        <w:t xml:space="preserve"> served</w:t>
      </w:r>
      <w:r w:rsidRPr="00801161">
        <w:rPr>
          <w:szCs w:val="24"/>
        </w:rPr>
        <w:t xml:space="preserve"> as a diagnostic marker for CD with a sensitivity of 70%–83% and specificity of 75%</w:t>
      </w:r>
      <w:r w:rsidR="00A359AD" w:rsidRPr="00801161">
        <w:rPr>
          <w:szCs w:val="24"/>
        </w:rPr>
        <w:t>–</w:t>
      </w:r>
      <w:r w:rsidR="00F43751" w:rsidRPr="00FD697C">
        <w:rPr>
          <w:szCs w:val="24"/>
        </w:rPr>
        <w:t>101</w:t>
      </w:r>
      <w:r w:rsidRPr="00FD697C">
        <w:rPr>
          <w:szCs w:val="24"/>
        </w:rPr>
        <w:t>%</w:t>
      </w:r>
      <w:r w:rsidRPr="00801161">
        <w:rPr>
          <w:szCs w:val="24"/>
        </w:rPr>
        <w:t xml:space="preserve">. </w:t>
      </w:r>
      <w:r w:rsidR="0008736A" w:rsidRPr="00801161">
        <w:rPr>
          <w:szCs w:val="24"/>
        </w:rPr>
        <w:t xml:space="preserve">By </w:t>
      </w:r>
      <w:r w:rsidRPr="00801161">
        <w:rPr>
          <w:szCs w:val="24"/>
        </w:rPr>
        <w:t>perform</w:t>
      </w:r>
      <w:r w:rsidR="0008736A" w:rsidRPr="00801161">
        <w:rPr>
          <w:szCs w:val="24"/>
        </w:rPr>
        <w:t>ing</w:t>
      </w:r>
      <w:r w:rsidRPr="00801161">
        <w:rPr>
          <w:szCs w:val="24"/>
        </w:rPr>
        <w:t xml:space="preserve"> miRNA microarray analysis of</w:t>
      </w:r>
      <w:r w:rsidR="0008736A" w:rsidRPr="00801161">
        <w:rPr>
          <w:szCs w:val="24"/>
        </w:rPr>
        <w:t xml:space="preserve"> the</w:t>
      </w:r>
      <w:r w:rsidRPr="00801161">
        <w:rPr>
          <w:szCs w:val="24"/>
        </w:rPr>
        <w:t xml:space="preserve"> saliva from UC</w:t>
      </w:r>
      <w:r w:rsidRPr="00801161">
        <w:rPr>
          <w:rFonts w:eastAsia="Malgun Gothic"/>
          <w:szCs w:val="24"/>
        </w:rPr>
        <w:t xml:space="preserve"> patients, CD patients, and healthy controls</w:t>
      </w:r>
      <w:r w:rsidR="0008736A" w:rsidRPr="00801161">
        <w:rPr>
          <w:rFonts w:eastAsia="Malgun Gothic"/>
          <w:szCs w:val="24"/>
        </w:rPr>
        <w:t xml:space="preserve">, </w:t>
      </w:r>
      <w:r w:rsidR="0008736A" w:rsidRPr="00801161">
        <w:rPr>
          <w:szCs w:val="24"/>
        </w:rPr>
        <w:t>Schaefer et al.</w:t>
      </w:r>
      <w:r w:rsidRPr="00801161">
        <w:rPr>
          <w:rFonts w:eastAsia="Malgun Gothic"/>
          <w:szCs w:val="24"/>
        </w:rPr>
        <w:t xml:space="preserve"> found increases </w:t>
      </w:r>
      <w:r w:rsidRPr="00801161">
        <w:rPr>
          <w:szCs w:val="24"/>
        </w:rPr>
        <w:t xml:space="preserve">in </w:t>
      </w:r>
      <w:r w:rsidR="0008736A" w:rsidRPr="00801161">
        <w:rPr>
          <w:szCs w:val="24"/>
        </w:rPr>
        <w:t xml:space="preserve">the levels of </w:t>
      </w:r>
      <w:r w:rsidRPr="00801161">
        <w:rPr>
          <w:szCs w:val="24"/>
        </w:rPr>
        <w:t xml:space="preserve">miR-21, miR-31, and miR-142-3p and a decrease in miR-142-5p levels in UC patients, </w:t>
      </w:r>
      <w:r w:rsidRPr="00801161">
        <w:rPr>
          <w:rFonts w:eastAsia="Malgun Gothic"/>
          <w:szCs w:val="24"/>
        </w:rPr>
        <w:t xml:space="preserve">while saliva samples </w:t>
      </w:r>
      <w:r w:rsidRPr="00801161">
        <w:rPr>
          <w:szCs w:val="24"/>
        </w:rPr>
        <w:t xml:space="preserve">from CD patients showed elevated miR-26a and miR-101 </w:t>
      </w:r>
      <w:r w:rsidRPr="00801161">
        <w:rPr>
          <w:rFonts w:eastAsia="Malgun Gothic"/>
          <w:szCs w:val="24"/>
        </w:rPr>
        <w:t>levels compared to controls</w:t>
      </w:r>
      <w:r w:rsidR="00A359AD" w:rsidRPr="00801161">
        <w:rPr>
          <w:szCs w:val="24"/>
        </w:rPr>
        <w:t xml:space="preserve"> </w:t>
      </w:r>
      <w:r w:rsidRPr="00FD697C">
        <w:rPr>
          <w:szCs w:val="24"/>
        </w:rPr>
        <w:t>[8</w:t>
      </w:r>
      <w:r w:rsidR="00F43751" w:rsidRPr="00FD697C">
        <w:rPr>
          <w:szCs w:val="24"/>
        </w:rPr>
        <w:t>8</w:t>
      </w:r>
      <w:r w:rsidRPr="00FD697C">
        <w:rPr>
          <w:szCs w:val="24"/>
        </w:rPr>
        <w:t>]</w:t>
      </w:r>
      <w:r w:rsidRPr="00801161">
        <w:rPr>
          <w:szCs w:val="24"/>
        </w:rPr>
        <w:t>.</w:t>
      </w:r>
    </w:p>
    <w:p w14:paraId="0DF7B04A" w14:textId="606EBD4B" w:rsidR="00CD7E2E" w:rsidRPr="00801161" w:rsidRDefault="007C280A" w:rsidP="00FF2683">
      <w:pPr>
        <w:spacing w:before="120" w:after="120" w:line="480" w:lineRule="auto"/>
        <w:ind w:firstLine="800"/>
        <w:jc w:val="both"/>
        <w:rPr>
          <w:szCs w:val="24"/>
          <w:lang w:eastAsia="ko-KR"/>
        </w:rPr>
      </w:pPr>
      <w:r w:rsidRPr="00801161">
        <w:rPr>
          <w:szCs w:val="24"/>
          <w:lang w:eastAsia="ko-KR"/>
        </w:rPr>
        <w:t>Gallo et al. suggested that miRNAs in human saliva and serum samples mainly exist in the form of exosomes (encapsulated microvesicles)</w:t>
      </w:r>
      <w:r w:rsidR="00A359AD" w:rsidRPr="00801161">
        <w:rPr>
          <w:szCs w:val="24"/>
          <w:lang w:eastAsia="ko-KR"/>
        </w:rPr>
        <w:t xml:space="preserve"> </w:t>
      </w:r>
      <w:r w:rsidR="00A359AD" w:rsidRPr="00FD697C">
        <w:rPr>
          <w:szCs w:val="24"/>
          <w:lang w:eastAsia="ko-KR"/>
        </w:rPr>
        <w:t>[10</w:t>
      </w:r>
      <w:r w:rsidR="00321DB0" w:rsidRPr="00FD697C">
        <w:rPr>
          <w:szCs w:val="24"/>
          <w:lang w:eastAsia="ko-KR"/>
        </w:rPr>
        <w:t>4</w:t>
      </w:r>
      <w:r w:rsidRPr="00FD697C">
        <w:rPr>
          <w:szCs w:val="24"/>
          <w:lang w:eastAsia="ko-KR"/>
        </w:rPr>
        <w:t>]</w:t>
      </w:r>
      <w:r w:rsidRPr="00801161">
        <w:rPr>
          <w:szCs w:val="24"/>
          <w:lang w:eastAsia="ko-KR"/>
        </w:rPr>
        <w:t xml:space="preserve">. </w:t>
      </w:r>
      <w:r w:rsidR="00DF77FF" w:rsidRPr="00801161">
        <w:rPr>
          <w:color w:val="000000" w:themeColor="text1"/>
          <w:szCs w:val="24"/>
          <w:lang w:eastAsia="ko-KR"/>
        </w:rPr>
        <w:t>Vickers</w:t>
      </w:r>
      <w:r w:rsidRPr="00801161">
        <w:rPr>
          <w:color w:val="000000" w:themeColor="text1"/>
          <w:szCs w:val="24"/>
          <w:lang w:eastAsia="ko-KR"/>
        </w:rPr>
        <w:t xml:space="preserve"> et al. </w:t>
      </w:r>
      <w:r w:rsidR="0068436E" w:rsidRPr="00801161">
        <w:rPr>
          <w:color w:val="000000" w:themeColor="text1"/>
          <w:szCs w:val="24"/>
          <w:lang w:eastAsia="ko-KR"/>
        </w:rPr>
        <w:t>present</w:t>
      </w:r>
      <w:r w:rsidRPr="00801161">
        <w:rPr>
          <w:color w:val="000000" w:themeColor="text1"/>
          <w:szCs w:val="24"/>
          <w:lang w:eastAsia="ko-KR"/>
        </w:rPr>
        <w:t>ed evidence that miRNAs are transported by high-density lipoprotein (HDL) to recipient cells</w:t>
      </w:r>
      <w:r w:rsidR="00A359AD" w:rsidRPr="00801161">
        <w:rPr>
          <w:color w:val="000000" w:themeColor="text1"/>
          <w:szCs w:val="24"/>
          <w:lang w:eastAsia="ko-KR"/>
        </w:rPr>
        <w:t xml:space="preserve"> </w:t>
      </w:r>
      <w:r w:rsidRPr="00FD697C">
        <w:rPr>
          <w:color w:val="000000" w:themeColor="text1"/>
          <w:szCs w:val="24"/>
          <w:lang w:eastAsia="ko-KR"/>
        </w:rPr>
        <w:t>[10</w:t>
      </w:r>
      <w:r w:rsidR="00321DB0" w:rsidRPr="00FD697C">
        <w:rPr>
          <w:color w:val="000000" w:themeColor="text1"/>
          <w:szCs w:val="24"/>
          <w:lang w:eastAsia="ko-KR"/>
        </w:rPr>
        <w:t>5</w:t>
      </w:r>
      <w:r w:rsidRPr="00FD697C">
        <w:rPr>
          <w:color w:val="000000" w:themeColor="text1"/>
          <w:szCs w:val="24"/>
          <w:lang w:eastAsia="ko-KR"/>
        </w:rPr>
        <w:t>]</w:t>
      </w:r>
      <w:r w:rsidRPr="00801161">
        <w:rPr>
          <w:color w:val="000000" w:themeColor="text1"/>
          <w:szCs w:val="24"/>
          <w:lang w:eastAsia="ko-KR"/>
        </w:rPr>
        <w:t xml:space="preserve">. </w:t>
      </w:r>
      <w:r w:rsidRPr="00801161">
        <w:rPr>
          <w:szCs w:val="24"/>
          <w:lang w:eastAsia="ko-KR"/>
        </w:rPr>
        <w:t>Exosomes and HDL can protect miRNAs from ribonucleases in the blood, which makes it easier to measure miRNA levels in serum samples.</w:t>
      </w:r>
    </w:p>
    <w:p w14:paraId="7232C273" w14:textId="1360D25F" w:rsidR="00CD7E2E" w:rsidRPr="00801161" w:rsidRDefault="007C280A" w:rsidP="00FF2683">
      <w:pPr>
        <w:spacing w:before="120" w:after="120" w:line="480" w:lineRule="auto"/>
        <w:jc w:val="both"/>
        <w:rPr>
          <w:rFonts w:eastAsiaTheme="majorHAnsi"/>
          <w:b/>
          <w:bCs/>
          <w:sz w:val="28"/>
          <w:szCs w:val="28"/>
          <w:lang w:eastAsia="ko-KR"/>
        </w:rPr>
      </w:pPr>
      <w:r w:rsidRPr="00801161">
        <w:rPr>
          <w:b/>
          <w:sz w:val="28"/>
          <w:szCs w:val="28"/>
        </w:rPr>
        <w:t xml:space="preserve">Role of miRNAs in </w:t>
      </w:r>
      <w:r w:rsidR="00A64AFC" w:rsidRPr="00801161">
        <w:rPr>
          <w:b/>
          <w:sz w:val="28"/>
          <w:szCs w:val="28"/>
        </w:rPr>
        <w:t xml:space="preserve">the </w:t>
      </w:r>
      <w:r w:rsidRPr="00801161">
        <w:rPr>
          <w:b/>
          <w:sz w:val="28"/>
          <w:szCs w:val="28"/>
        </w:rPr>
        <w:t>treatment</w:t>
      </w:r>
      <w:r w:rsidR="00A64AFC" w:rsidRPr="00801161">
        <w:rPr>
          <w:b/>
          <w:sz w:val="28"/>
          <w:szCs w:val="28"/>
        </w:rPr>
        <w:t xml:space="preserve"> of IBD</w:t>
      </w:r>
    </w:p>
    <w:p w14:paraId="205A9F21" w14:textId="4C009D81" w:rsidR="00CD7E2E" w:rsidRPr="00801161" w:rsidRDefault="007C280A" w:rsidP="00FF2683">
      <w:pPr>
        <w:spacing w:before="120" w:after="120" w:line="480" w:lineRule="auto"/>
        <w:ind w:firstLine="800"/>
        <w:jc w:val="both"/>
        <w:rPr>
          <w:szCs w:val="24"/>
        </w:rPr>
      </w:pPr>
      <w:r w:rsidRPr="00801161">
        <w:rPr>
          <w:szCs w:val="24"/>
          <w:lang w:eastAsia="ko-KR"/>
        </w:rPr>
        <w:t xml:space="preserve">As </w:t>
      </w:r>
      <w:r w:rsidRPr="00801161">
        <w:rPr>
          <w:i/>
          <w:iCs/>
          <w:szCs w:val="24"/>
          <w:lang w:eastAsia="ko-KR"/>
        </w:rPr>
        <w:t>in vitro</w:t>
      </w:r>
      <w:r w:rsidRPr="00801161">
        <w:rPr>
          <w:szCs w:val="24"/>
          <w:lang w:eastAsia="ko-KR"/>
        </w:rPr>
        <w:t xml:space="preserve"> studies have confirmed the importance of miRNAs in the pathophysiology of IBD, some researchers have attempted </w:t>
      </w:r>
      <w:r w:rsidR="0008736A" w:rsidRPr="00801161">
        <w:rPr>
          <w:szCs w:val="24"/>
          <w:lang w:eastAsia="ko-KR"/>
        </w:rPr>
        <w:t xml:space="preserve">to administered miRNAs </w:t>
      </w:r>
      <w:r w:rsidRPr="00801161">
        <w:rPr>
          <w:i/>
          <w:iCs/>
          <w:szCs w:val="24"/>
          <w:lang w:eastAsia="ko-KR"/>
        </w:rPr>
        <w:t>in vivo</w:t>
      </w:r>
      <w:r w:rsidRPr="00801161">
        <w:rPr>
          <w:szCs w:val="24"/>
          <w:lang w:eastAsia="ko-KR"/>
        </w:rPr>
        <w:t xml:space="preserve"> to mice with experimental colitis</w:t>
      </w:r>
      <w:r w:rsidRPr="00801161">
        <w:rPr>
          <w:szCs w:val="24"/>
        </w:rPr>
        <w:t xml:space="preserve">. Intracolonic administration of miRNA mimic molecules and antagonists led to </w:t>
      </w:r>
      <w:r w:rsidRPr="00801161">
        <w:rPr>
          <w:rFonts w:eastAsia="Malgun Gothic"/>
          <w:szCs w:val="24"/>
        </w:rPr>
        <w:t>the overexpression and inhibition of miRNA expression, respectively</w:t>
      </w:r>
      <w:r w:rsidR="00A359AD" w:rsidRPr="00801161">
        <w:rPr>
          <w:szCs w:val="24"/>
        </w:rPr>
        <w:t xml:space="preserve"> </w:t>
      </w:r>
      <w:r w:rsidRPr="00FD697C">
        <w:rPr>
          <w:szCs w:val="24"/>
        </w:rPr>
        <w:t>[10</w:t>
      </w:r>
      <w:r w:rsidR="00DF77FF" w:rsidRPr="00FD697C">
        <w:rPr>
          <w:szCs w:val="24"/>
        </w:rPr>
        <w:t>6</w:t>
      </w:r>
      <w:r w:rsidRPr="00FD697C">
        <w:rPr>
          <w:szCs w:val="24"/>
        </w:rPr>
        <w:t>]</w:t>
      </w:r>
      <w:r w:rsidRPr="00801161">
        <w:rPr>
          <w:szCs w:val="24"/>
        </w:rPr>
        <w:t xml:space="preserve">. </w:t>
      </w:r>
    </w:p>
    <w:p w14:paraId="4F977773" w14:textId="77777777" w:rsidR="00CD7E2E" w:rsidRPr="00801161" w:rsidRDefault="007C280A" w:rsidP="00FF2683">
      <w:pPr>
        <w:spacing w:before="120" w:after="120" w:line="480" w:lineRule="auto"/>
        <w:jc w:val="both"/>
        <w:rPr>
          <w:rFonts w:ascii="Arial" w:hAnsi="Arial" w:cs="Arial"/>
          <w:szCs w:val="24"/>
        </w:rPr>
      </w:pPr>
      <w:r w:rsidRPr="00801161">
        <w:rPr>
          <w:rFonts w:ascii="Arial" w:hAnsi="Arial" w:cs="Arial"/>
          <w:b/>
          <w:bCs/>
          <w:color w:val="000000" w:themeColor="text1"/>
          <w:szCs w:val="24"/>
          <w:lang w:eastAsia="ko-KR"/>
        </w:rPr>
        <w:t>Nanoparticle-mediated approach</w:t>
      </w:r>
    </w:p>
    <w:p w14:paraId="00CE550B" w14:textId="263BD359" w:rsidR="00CD7E2E" w:rsidRPr="00801161" w:rsidRDefault="007C280A" w:rsidP="00FF2683">
      <w:pPr>
        <w:spacing w:before="120" w:after="120" w:line="480" w:lineRule="auto"/>
        <w:ind w:firstLine="800"/>
        <w:jc w:val="both"/>
        <w:rPr>
          <w:szCs w:val="24"/>
        </w:rPr>
      </w:pPr>
      <w:r w:rsidRPr="00801161">
        <w:rPr>
          <w:szCs w:val="24"/>
        </w:rPr>
        <w:t xml:space="preserve">Tian et al. found that </w:t>
      </w:r>
      <w:r w:rsidR="00E112C1" w:rsidRPr="00801161">
        <w:rPr>
          <w:szCs w:val="24"/>
        </w:rPr>
        <w:t xml:space="preserve">the delivery of the </w:t>
      </w:r>
      <w:r w:rsidRPr="00801161">
        <w:rPr>
          <w:szCs w:val="24"/>
        </w:rPr>
        <w:t xml:space="preserve">miR-31 mimic into the colon of DSS-colitis mice alleviated </w:t>
      </w:r>
      <w:r w:rsidRPr="00801161">
        <w:rPr>
          <w:rFonts w:eastAsia="Malgun Gothic"/>
          <w:szCs w:val="24"/>
        </w:rPr>
        <w:t xml:space="preserve">the inflammatory response. miR-31 was bound to encapsulating microspheres </w:t>
      </w:r>
      <w:r w:rsidRPr="00801161">
        <w:rPr>
          <w:rFonts w:eastAsia="Malgun Gothic"/>
          <w:szCs w:val="24"/>
        </w:rPr>
        <w:lastRenderedPageBreak/>
        <w:t xml:space="preserve">and administered </w:t>
      </w:r>
      <w:r w:rsidR="00E112C1" w:rsidRPr="00801161">
        <w:rPr>
          <w:rFonts w:eastAsia="Malgun Gothic"/>
          <w:szCs w:val="24"/>
        </w:rPr>
        <w:t xml:space="preserve">via </w:t>
      </w:r>
      <w:r w:rsidRPr="00801161">
        <w:rPr>
          <w:rFonts w:eastAsia="Malgun Gothic"/>
          <w:szCs w:val="24"/>
        </w:rPr>
        <w:t xml:space="preserve">enema, </w:t>
      </w:r>
      <w:r w:rsidRPr="00801161">
        <w:rPr>
          <w:szCs w:val="24"/>
        </w:rPr>
        <w:t xml:space="preserve">resulting in </w:t>
      </w:r>
      <w:r w:rsidRPr="00801161">
        <w:rPr>
          <w:rFonts w:eastAsia="Malgun Gothic"/>
          <w:szCs w:val="24"/>
        </w:rPr>
        <w:t>a slower loss of body weight and colon length, as well as increased epithelial proliferation and reduced inflammation, as confirmed by colon biopsy</w:t>
      </w:r>
      <w:r w:rsidR="00A359AD" w:rsidRPr="00801161">
        <w:rPr>
          <w:szCs w:val="24"/>
        </w:rPr>
        <w:t xml:space="preserve"> </w:t>
      </w:r>
      <w:r w:rsidRPr="00FD697C">
        <w:rPr>
          <w:szCs w:val="24"/>
        </w:rPr>
        <w:t>[10</w:t>
      </w:r>
      <w:r w:rsidR="00DF77FF" w:rsidRPr="00FD697C">
        <w:rPr>
          <w:szCs w:val="24"/>
        </w:rPr>
        <w:t>7</w:t>
      </w:r>
      <w:r w:rsidRPr="00FD697C">
        <w:rPr>
          <w:szCs w:val="24"/>
        </w:rPr>
        <w:t>]</w:t>
      </w:r>
      <w:r w:rsidRPr="00801161">
        <w:rPr>
          <w:szCs w:val="24"/>
        </w:rPr>
        <w:t xml:space="preserve">. Neudecker et al. also reported </w:t>
      </w:r>
      <w:r w:rsidRPr="00801161">
        <w:rPr>
          <w:rFonts w:eastAsia="Malgun Gothic"/>
          <w:szCs w:val="24"/>
        </w:rPr>
        <w:t xml:space="preserve">the attenuation of occult bleeding, weight loss, and edema in DSS-colitis mice after </w:t>
      </w:r>
      <w:r w:rsidRPr="00801161">
        <w:rPr>
          <w:szCs w:val="24"/>
          <w:lang w:eastAsia="ko-KR"/>
        </w:rPr>
        <w:t xml:space="preserve">intracolonic </w:t>
      </w:r>
      <w:r w:rsidRPr="00801161">
        <w:rPr>
          <w:szCs w:val="24"/>
        </w:rPr>
        <w:t>administration of synthetic murine miR-223 mimetic in nanoparticle lipid emulsion</w:t>
      </w:r>
      <w:r w:rsidR="00A359AD" w:rsidRPr="00801161">
        <w:rPr>
          <w:szCs w:val="24"/>
        </w:rPr>
        <w:t xml:space="preserve"> </w:t>
      </w:r>
      <w:r w:rsidRPr="00FD697C">
        <w:rPr>
          <w:szCs w:val="24"/>
        </w:rPr>
        <w:t>[10</w:t>
      </w:r>
      <w:r w:rsidR="00DF77FF" w:rsidRPr="00FD697C">
        <w:rPr>
          <w:szCs w:val="24"/>
        </w:rPr>
        <w:t>8</w:t>
      </w:r>
      <w:r w:rsidRPr="00FD697C">
        <w:rPr>
          <w:szCs w:val="24"/>
        </w:rPr>
        <w:t>]</w:t>
      </w:r>
      <w:r w:rsidRPr="00801161">
        <w:rPr>
          <w:szCs w:val="24"/>
        </w:rPr>
        <w:t xml:space="preserve">. The intracolonic administration of miR-141 precursors in mice with TNBS-induced colitis resulted in </w:t>
      </w:r>
      <w:r w:rsidRPr="00801161">
        <w:rPr>
          <w:rFonts w:eastAsia="Malgun Gothic"/>
          <w:szCs w:val="24"/>
        </w:rPr>
        <w:t xml:space="preserve">a decrease </w:t>
      </w:r>
      <w:r w:rsidRPr="00801161">
        <w:rPr>
          <w:szCs w:val="24"/>
        </w:rPr>
        <w:t>in CXCL12</w:t>
      </w:r>
      <w:r w:rsidRPr="00801161">
        <w:rPr>
          <w:rFonts w:eastAsia="Malgun Gothic"/>
          <w:szCs w:val="24"/>
        </w:rPr>
        <w:t>β expression and leukocyte infiltration in the intestine</w:t>
      </w:r>
      <w:r w:rsidR="00A359AD" w:rsidRPr="00801161">
        <w:rPr>
          <w:rFonts w:eastAsia="Malgun Gothic"/>
          <w:szCs w:val="24"/>
        </w:rPr>
        <w:t xml:space="preserve"> </w:t>
      </w:r>
      <w:r w:rsidRPr="00FD697C">
        <w:rPr>
          <w:szCs w:val="24"/>
        </w:rPr>
        <w:t>[5</w:t>
      </w:r>
      <w:r w:rsidR="00F7244F" w:rsidRPr="00FD697C">
        <w:rPr>
          <w:szCs w:val="24"/>
        </w:rPr>
        <w:t>7</w:t>
      </w:r>
      <w:r w:rsidRPr="00FD697C">
        <w:rPr>
          <w:szCs w:val="24"/>
        </w:rPr>
        <w:t>]</w:t>
      </w:r>
      <w:r w:rsidRPr="00801161">
        <w:rPr>
          <w:szCs w:val="24"/>
        </w:rPr>
        <w:t xml:space="preserve">. miR-146b </w:t>
      </w:r>
      <w:r w:rsidR="00C24485" w:rsidRPr="00801161">
        <w:rPr>
          <w:szCs w:val="24"/>
        </w:rPr>
        <w:t xml:space="preserve">was </w:t>
      </w:r>
      <w:r w:rsidRPr="00801161">
        <w:rPr>
          <w:szCs w:val="24"/>
        </w:rPr>
        <w:t>also</w:t>
      </w:r>
      <w:r w:rsidR="00C24485" w:rsidRPr="00801161">
        <w:rPr>
          <w:szCs w:val="24"/>
        </w:rPr>
        <w:t xml:space="preserve"> found to</w:t>
      </w:r>
      <w:r w:rsidRPr="00801161">
        <w:rPr>
          <w:szCs w:val="24"/>
        </w:rPr>
        <w:t xml:space="preserve"> alleviate intestinal inflammation when administered into the peritoneum of DSS-induced colitis mice with expression vectors</w:t>
      </w:r>
      <w:r w:rsidR="00A359AD" w:rsidRPr="00801161">
        <w:rPr>
          <w:szCs w:val="24"/>
        </w:rPr>
        <w:t xml:space="preserve"> </w:t>
      </w:r>
      <w:r w:rsidRPr="00FD697C">
        <w:rPr>
          <w:szCs w:val="24"/>
        </w:rPr>
        <w:t>[7</w:t>
      </w:r>
      <w:r w:rsidR="00FC1234" w:rsidRPr="00FD697C">
        <w:rPr>
          <w:szCs w:val="24"/>
        </w:rPr>
        <w:t>4</w:t>
      </w:r>
      <w:r w:rsidRPr="00FD697C">
        <w:rPr>
          <w:szCs w:val="24"/>
        </w:rPr>
        <w:t>]</w:t>
      </w:r>
      <w:r w:rsidRPr="00801161">
        <w:rPr>
          <w:szCs w:val="24"/>
        </w:rPr>
        <w:t xml:space="preserve">. </w:t>
      </w:r>
      <w:r w:rsidR="00C24485" w:rsidRPr="00801161">
        <w:rPr>
          <w:szCs w:val="24"/>
        </w:rPr>
        <w:t xml:space="preserve">By </w:t>
      </w:r>
      <w:r w:rsidR="00FB3859" w:rsidRPr="00801161">
        <w:rPr>
          <w:szCs w:val="24"/>
        </w:rPr>
        <w:t>us</w:t>
      </w:r>
      <w:r w:rsidR="00C24485" w:rsidRPr="00801161">
        <w:rPr>
          <w:szCs w:val="24"/>
        </w:rPr>
        <w:t>ing</w:t>
      </w:r>
      <w:r w:rsidR="00FB3859" w:rsidRPr="00801161">
        <w:rPr>
          <w:szCs w:val="24"/>
        </w:rPr>
        <w:t xml:space="preserve"> a mouse model of </w:t>
      </w:r>
      <w:r w:rsidRPr="00801161">
        <w:rPr>
          <w:szCs w:val="24"/>
        </w:rPr>
        <w:t>TNBS-induced colitis</w:t>
      </w:r>
      <w:r w:rsidR="00C24485" w:rsidRPr="00801161">
        <w:rPr>
          <w:szCs w:val="24"/>
        </w:rPr>
        <w:t>,</w:t>
      </w:r>
      <w:r w:rsidRPr="00801161">
        <w:rPr>
          <w:szCs w:val="24"/>
        </w:rPr>
        <w:t xml:space="preserve"> </w:t>
      </w:r>
      <w:r w:rsidR="00C24485" w:rsidRPr="00801161">
        <w:rPr>
          <w:szCs w:val="24"/>
        </w:rPr>
        <w:t>Cheng et al.</w:t>
      </w:r>
      <w:r w:rsidRPr="00801161">
        <w:rPr>
          <w:szCs w:val="24"/>
        </w:rPr>
        <w:t xml:space="preserve"> </w:t>
      </w:r>
      <w:r w:rsidR="00C24485" w:rsidRPr="00801161">
        <w:rPr>
          <w:szCs w:val="24"/>
        </w:rPr>
        <w:t xml:space="preserve">demonstrated </w:t>
      </w:r>
      <w:r w:rsidRPr="00801161">
        <w:rPr>
          <w:szCs w:val="24"/>
        </w:rPr>
        <w:t xml:space="preserve">that </w:t>
      </w:r>
      <w:r w:rsidR="00C24485" w:rsidRPr="00801161">
        <w:rPr>
          <w:szCs w:val="24"/>
        </w:rPr>
        <w:t xml:space="preserve">the </w:t>
      </w:r>
      <w:r w:rsidRPr="00801161">
        <w:rPr>
          <w:szCs w:val="24"/>
        </w:rPr>
        <w:t xml:space="preserve">intracolonic administration of pre-miR-19b can suppress the inflammatory process, with </w:t>
      </w:r>
      <w:r w:rsidRPr="00801161">
        <w:rPr>
          <w:i/>
          <w:iCs/>
          <w:szCs w:val="24"/>
        </w:rPr>
        <w:t>in vitro</w:t>
      </w:r>
      <w:r w:rsidRPr="00801161">
        <w:rPr>
          <w:szCs w:val="24"/>
        </w:rPr>
        <w:t xml:space="preserve"> results suggesting that miR-19b inhibits suppressor of cytokine signaling 3 (SOCS3) to reduce inflammation of</w:t>
      </w:r>
      <w:r w:rsidR="00C24485" w:rsidRPr="00801161">
        <w:rPr>
          <w:szCs w:val="24"/>
        </w:rPr>
        <w:t xml:space="preserve"> the</w:t>
      </w:r>
      <w:r w:rsidRPr="00801161">
        <w:rPr>
          <w:szCs w:val="24"/>
        </w:rPr>
        <w:t xml:space="preserve"> intestinal epithelium in IBD</w:t>
      </w:r>
      <w:r w:rsidR="00A359AD" w:rsidRPr="00801161">
        <w:rPr>
          <w:szCs w:val="24"/>
        </w:rPr>
        <w:t xml:space="preserve"> </w:t>
      </w:r>
      <w:r w:rsidRPr="00FD697C">
        <w:rPr>
          <w:szCs w:val="24"/>
        </w:rPr>
        <w:t>[10</w:t>
      </w:r>
      <w:r w:rsidR="00F7244F" w:rsidRPr="00FD697C">
        <w:rPr>
          <w:szCs w:val="24"/>
        </w:rPr>
        <w:t>9</w:t>
      </w:r>
      <w:r w:rsidRPr="00FD697C">
        <w:rPr>
          <w:szCs w:val="24"/>
        </w:rPr>
        <w:t>]</w:t>
      </w:r>
      <w:r w:rsidRPr="00801161">
        <w:rPr>
          <w:szCs w:val="24"/>
        </w:rPr>
        <w:t xml:space="preserve">. miR-200b bound to microvesicles was administered to intestinal epithelial cells in vitro and </w:t>
      </w:r>
      <w:r w:rsidRPr="00801161">
        <w:rPr>
          <w:rFonts w:eastAsia="Malgun Gothic"/>
          <w:szCs w:val="24"/>
        </w:rPr>
        <w:t>the colon of TNBS</w:t>
      </w:r>
      <w:r w:rsidRPr="00801161">
        <w:rPr>
          <w:szCs w:val="24"/>
        </w:rPr>
        <w:t>-colitis mice in vivo</w:t>
      </w:r>
      <w:r w:rsidR="00C24485" w:rsidRPr="00801161">
        <w:rPr>
          <w:szCs w:val="24"/>
        </w:rPr>
        <w:t>; this administration resulted in the</w:t>
      </w:r>
      <w:r w:rsidRPr="00801161">
        <w:rPr>
          <w:szCs w:val="24"/>
        </w:rPr>
        <w:t xml:space="preserve"> attenuation of intestinal fibrosis with suppression of TGF-β1 mediated epithelium-to-mesenchyme transition</w:t>
      </w:r>
      <w:r w:rsidR="00A359AD" w:rsidRPr="00801161">
        <w:rPr>
          <w:szCs w:val="24"/>
        </w:rPr>
        <w:t xml:space="preserve"> </w:t>
      </w:r>
      <w:r w:rsidR="00F7244F" w:rsidRPr="00FD697C">
        <w:rPr>
          <w:szCs w:val="24"/>
        </w:rPr>
        <w:t>[110</w:t>
      </w:r>
      <w:r w:rsidRPr="00FD697C">
        <w:rPr>
          <w:szCs w:val="24"/>
        </w:rPr>
        <w:t>]</w:t>
      </w:r>
      <w:r w:rsidRPr="00801161">
        <w:rPr>
          <w:szCs w:val="24"/>
        </w:rPr>
        <w:t>.</w:t>
      </w:r>
    </w:p>
    <w:p w14:paraId="06A12772" w14:textId="1BA6728D" w:rsidR="00CD7E2E" w:rsidRPr="00801161" w:rsidRDefault="007C280A" w:rsidP="00FF2683">
      <w:pPr>
        <w:spacing w:before="120" w:after="120" w:line="480" w:lineRule="auto"/>
        <w:ind w:firstLine="800"/>
        <w:jc w:val="both"/>
        <w:rPr>
          <w:szCs w:val="24"/>
          <w:lang w:eastAsia="ko-KR"/>
        </w:rPr>
      </w:pPr>
      <w:r w:rsidRPr="00801161">
        <w:rPr>
          <w:szCs w:val="24"/>
        </w:rPr>
        <w:t>Other routes of administration have been attempted to deliver miRNA mimic molecules to mice</w:t>
      </w:r>
      <w:r w:rsidRPr="00801161">
        <w:rPr>
          <w:rFonts w:eastAsia="Malgun Gothic"/>
          <w:szCs w:val="24"/>
        </w:rPr>
        <w:t xml:space="preserve"> with colitis. Zhang et al. purified nanoparticles from edible ginger and found that the</w:t>
      </w:r>
      <w:r w:rsidR="00F962A2" w:rsidRPr="00801161">
        <w:rPr>
          <w:rFonts w:eastAsia="Malgun Gothic"/>
          <w:szCs w:val="24"/>
        </w:rPr>
        <w:t>ir</w:t>
      </w:r>
      <w:r w:rsidRPr="00801161">
        <w:rPr>
          <w:rFonts w:eastAsia="Malgun Gothic"/>
          <w:szCs w:val="24"/>
        </w:rPr>
        <w:t xml:space="preserve"> oral administration </w:t>
      </w:r>
      <w:r w:rsidR="00F962A2" w:rsidRPr="00801161">
        <w:rPr>
          <w:rFonts w:eastAsia="Malgun Gothic"/>
          <w:szCs w:val="24"/>
        </w:rPr>
        <w:t>by</w:t>
      </w:r>
      <w:r w:rsidRPr="00801161">
        <w:rPr>
          <w:szCs w:val="24"/>
        </w:rPr>
        <w:t xml:space="preserve"> colitis mice reduced the severity of colitis and promoted wound healing. The nanoparticles contained around 125 microRNAs</w:t>
      </w:r>
      <w:r w:rsidR="00F962A2" w:rsidRPr="00801161">
        <w:rPr>
          <w:szCs w:val="24"/>
        </w:rPr>
        <w:t>. Further,</w:t>
      </w:r>
      <w:r w:rsidRPr="00801161">
        <w:rPr>
          <w:szCs w:val="24"/>
        </w:rPr>
        <w:t xml:space="preserve"> </w:t>
      </w:r>
      <w:r w:rsidR="00F962A2" w:rsidRPr="00801161">
        <w:rPr>
          <w:szCs w:val="24"/>
        </w:rPr>
        <w:t xml:space="preserve">the </w:t>
      </w:r>
      <w:r w:rsidRPr="00801161">
        <w:rPr>
          <w:szCs w:val="24"/>
        </w:rPr>
        <w:t xml:space="preserve">colon samples </w:t>
      </w:r>
      <w:r w:rsidR="00F962A2" w:rsidRPr="00801161">
        <w:rPr>
          <w:szCs w:val="24"/>
        </w:rPr>
        <w:t xml:space="preserve">of </w:t>
      </w:r>
      <w:r w:rsidRPr="00801161">
        <w:rPr>
          <w:szCs w:val="24"/>
        </w:rPr>
        <w:t xml:space="preserve">mice </w:t>
      </w:r>
      <w:r w:rsidR="00F962A2" w:rsidRPr="00801161">
        <w:rPr>
          <w:szCs w:val="24"/>
        </w:rPr>
        <w:t>administere</w:t>
      </w:r>
      <w:r w:rsidRPr="00801161">
        <w:rPr>
          <w:szCs w:val="24"/>
        </w:rPr>
        <w:t xml:space="preserve">d the nanoparticles </w:t>
      </w:r>
      <w:r w:rsidR="00F962A2" w:rsidRPr="00801161">
        <w:rPr>
          <w:szCs w:val="24"/>
        </w:rPr>
        <w:t xml:space="preserve">had a </w:t>
      </w:r>
      <w:r w:rsidRPr="00801161">
        <w:rPr>
          <w:szCs w:val="24"/>
        </w:rPr>
        <w:t>decrease</w:t>
      </w:r>
      <w:r w:rsidR="00F962A2" w:rsidRPr="00801161">
        <w:rPr>
          <w:szCs w:val="24"/>
        </w:rPr>
        <w:t xml:space="preserve"> in</w:t>
      </w:r>
      <w:r w:rsidRPr="00801161">
        <w:rPr>
          <w:szCs w:val="24"/>
        </w:rPr>
        <w:t xml:space="preserve"> pro-inflammatory cytokines (TNF-</w:t>
      </w:r>
      <w:r w:rsidRPr="00801161">
        <w:rPr>
          <w:rFonts w:eastAsia="Malgun Gothic"/>
          <w:szCs w:val="24"/>
        </w:rPr>
        <w:t>α</w:t>
      </w:r>
      <w:r w:rsidRPr="00801161">
        <w:rPr>
          <w:szCs w:val="24"/>
          <w:lang w:eastAsia="ko-KR"/>
        </w:rPr>
        <w:t>, IL-6, and IL-1</w:t>
      </w:r>
      <w:r w:rsidRPr="00801161">
        <w:rPr>
          <w:rFonts w:eastAsia="Malgun Gothic"/>
          <w:szCs w:val="24"/>
          <w:lang w:eastAsia="ko-KR"/>
        </w:rPr>
        <w:t>β</w:t>
      </w:r>
      <w:r w:rsidRPr="00801161">
        <w:rPr>
          <w:szCs w:val="24"/>
          <w:lang w:eastAsia="ko-KR"/>
        </w:rPr>
        <w:t>), increase</w:t>
      </w:r>
      <w:r w:rsidR="00F962A2" w:rsidRPr="00801161">
        <w:rPr>
          <w:szCs w:val="24"/>
          <w:lang w:eastAsia="ko-KR"/>
        </w:rPr>
        <w:t xml:space="preserve"> in</w:t>
      </w:r>
      <w:r w:rsidRPr="00801161">
        <w:rPr>
          <w:szCs w:val="24"/>
          <w:lang w:eastAsia="ko-KR"/>
        </w:rPr>
        <w:t xml:space="preserve"> anti-inflammatory cytokines (IL-10 and IL-22), and increase</w:t>
      </w:r>
      <w:r w:rsidR="00F962A2" w:rsidRPr="00801161">
        <w:rPr>
          <w:szCs w:val="24"/>
          <w:lang w:eastAsia="ko-KR"/>
        </w:rPr>
        <w:t xml:space="preserve"> in the</w:t>
      </w:r>
      <w:r w:rsidRPr="00801161">
        <w:rPr>
          <w:szCs w:val="24"/>
          <w:lang w:eastAsia="ko-KR"/>
        </w:rPr>
        <w:t xml:space="preserve"> proliferation of </w:t>
      </w:r>
      <w:r w:rsidR="00F962A2" w:rsidRPr="00801161">
        <w:rPr>
          <w:szCs w:val="24"/>
          <w:lang w:eastAsia="ko-KR"/>
        </w:rPr>
        <w:t xml:space="preserve">the </w:t>
      </w:r>
      <w:r w:rsidRPr="00801161">
        <w:rPr>
          <w:szCs w:val="24"/>
          <w:lang w:eastAsia="ko-KR"/>
        </w:rPr>
        <w:t xml:space="preserve">epithelium </w:t>
      </w:r>
      <w:r w:rsidR="00F962A2" w:rsidRPr="00801161">
        <w:rPr>
          <w:szCs w:val="24"/>
          <w:lang w:eastAsia="ko-KR"/>
        </w:rPr>
        <w:t>based on</w:t>
      </w:r>
      <w:r w:rsidRPr="00801161">
        <w:rPr>
          <w:szCs w:val="24"/>
          <w:lang w:eastAsia="ko-KR"/>
        </w:rPr>
        <w:t xml:space="preserve"> the biopsy</w:t>
      </w:r>
      <w:r w:rsidR="00A359AD" w:rsidRPr="00801161">
        <w:rPr>
          <w:szCs w:val="24"/>
          <w:lang w:eastAsia="ko-KR"/>
        </w:rPr>
        <w:t xml:space="preserve"> </w:t>
      </w:r>
      <w:r w:rsidRPr="00FD697C">
        <w:rPr>
          <w:szCs w:val="24"/>
          <w:lang w:eastAsia="ko-KR"/>
        </w:rPr>
        <w:t>[1</w:t>
      </w:r>
      <w:r w:rsidR="00F7244F" w:rsidRPr="00FD697C">
        <w:rPr>
          <w:szCs w:val="24"/>
          <w:lang w:eastAsia="ko-KR"/>
        </w:rPr>
        <w:t>11</w:t>
      </w:r>
      <w:r w:rsidRPr="00FD697C">
        <w:rPr>
          <w:szCs w:val="24"/>
          <w:lang w:eastAsia="ko-KR"/>
        </w:rPr>
        <w:t>]</w:t>
      </w:r>
      <w:r w:rsidRPr="00801161">
        <w:rPr>
          <w:szCs w:val="24"/>
          <w:lang w:eastAsia="ko-KR"/>
        </w:rPr>
        <w:t xml:space="preserve">. Fukata et al. attempted </w:t>
      </w:r>
      <w:r w:rsidR="00F962A2" w:rsidRPr="00801161">
        <w:rPr>
          <w:szCs w:val="24"/>
          <w:lang w:eastAsia="ko-KR"/>
        </w:rPr>
        <w:t xml:space="preserve">to </w:t>
      </w:r>
      <w:r w:rsidRPr="00801161">
        <w:rPr>
          <w:szCs w:val="24"/>
          <w:lang w:eastAsia="ko-KR"/>
        </w:rPr>
        <w:t>intravenous</w:t>
      </w:r>
      <w:r w:rsidR="00F962A2" w:rsidRPr="00801161">
        <w:rPr>
          <w:szCs w:val="24"/>
          <w:lang w:eastAsia="ko-KR"/>
        </w:rPr>
        <w:t>ly</w:t>
      </w:r>
      <w:r w:rsidRPr="00801161">
        <w:rPr>
          <w:szCs w:val="24"/>
          <w:lang w:eastAsia="ko-KR"/>
        </w:rPr>
        <w:t xml:space="preserve"> </w:t>
      </w:r>
      <w:r w:rsidR="00F962A2" w:rsidRPr="00801161">
        <w:rPr>
          <w:szCs w:val="24"/>
          <w:lang w:eastAsia="ko-KR"/>
        </w:rPr>
        <w:t>administer</w:t>
      </w:r>
      <w:r w:rsidRPr="00801161">
        <w:rPr>
          <w:szCs w:val="24"/>
          <w:lang w:eastAsia="ko-KR"/>
        </w:rPr>
        <w:t xml:space="preserve"> miR-29a-3p and miR-29b-3p bound to supercarbonate apatite</w:t>
      </w:r>
      <w:r w:rsidR="00E112C1" w:rsidRPr="00801161">
        <w:rPr>
          <w:szCs w:val="24"/>
          <w:lang w:eastAsia="ko-KR"/>
        </w:rPr>
        <w:t>. These researchers</w:t>
      </w:r>
      <w:r w:rsidRPr="00801161">
        <w:rPr>
          <w:szCs w:val="24"/>
          <w:lang w:eastAsia="ko-KR"/>
        </w:rPr>
        <w:t xml:space="preserve"> reported </w:t>
      </w:r>
      <w:r w:rsidRPr="00801161">
        <w:rPr>
          <w:rFonts w:eastAsia="Malgun Gothic"/>
          <w:szCs w:val="24"/>
          <w:lang w:eastAsia="ko-KR"/>
        </w:rPr>
        <w:t xml:space="preserve">a decrease </w:t>
      </w:r>
      <w:r w:rsidRPr="00801161">
        <w:rPr>
          <w:szCs w:val="24"/>
          <w:lang w:eastAsia="ko-KR"/>
        </w:rPr>
        <w:t xml:space="preserve">in </w:t>
      </w:r>
      <w:r w:rsidRPr="00801161">
        <w:rPr>
          <w:rFonts w:eastAsia="Malgun Gothic"/>
          <w:szCs w:val="24"/>
          <w:lang w:eastAsia="ko-KR"/>
        </w:rPr>
        <w:t>the inflammatory response in DSS-colitis mice</w:t>
      </w:r>
      <w:r w:rsidR="00E112C1" w:rsidRPr="00801161">
        <w:rPr>
          <w:rFonts w:eastAsia="Malgun Gothic"/>
          <w:szCs w:val="24"/>
          <w:lang w:eastAsia="ko-KR"/>
        </w:rPr>
        <w:t xml:space="preserve"> and revealed</w:t>
      </w:r>
      <w:r w:rsidRPr="00801161">
        <w:rPr>
          <w:rFonts w:eastAsia="Malgun Gothic"/>
          <w:szCs w:val="24"/>
          <w:lang w:eastAsia="ko-KR"/>
        </w:rPr>
        <w:t xml:space="preserve"> </w:t>
      </w:r>
      <w:r w:rsidRPr="00801161">
        <w:rPr>
          <w:rFonts w:eastAsia="Malgun Gothic"/>
          <w:szCs w:val="24"/>
          <w:lang w:eastAsia="ko-KR"/>
        </w:rPr>
        <w:lastRenderedPageBreak/>
        <w:t xml:space="preserve">that </w:t>
      </w:r>
      <w:r w:rsidR="00E112C1" w:rsidRPr="00801161">
        <w:rPr>
          <w:rFonts w:eastAsia="Malgun Gothic"/>
          <w:szCs w:val="24"/>
          <w:lang w:eastAsia="ko-KR"/>
        </w:rPr>
        <w:t xml:space="preserve">the </w:t>
      </w:r>
      <w:r w:rsidRPr="00801161">
        <w:rPr>
          <w:rFonts w:eastAsia="Malgun Gothic"/>
          <w:szCs w:val="24"/>
          <w:lang w:eastAsia="ko-KR"/>
        </w:rPr>
        <w:t>subcutaneous injection of miR-29b bound to supercarbonate apatite inhibited the immune response by targeting CD11c</w:t>
      </w:r>
      <w:r w:rsidRPr="00801161">
        <w:rPr>
          <w:szCs w:val="24"/>
          <w:vertAlign w:val="superscript"/>
          <w:lang w:eastAsia="ko-KR"/>
        </w:rPr>
        <w:t>+</w:t>
      </w:r>
      <w:r w:rsidRPr="00801161">
        <w:rPr>
          <w:szCs w:val="24"/>
          <w:lang w:eastAsia="ko-KR"/>
        </w:rPr>
        <w:t xml:space="preserve"> dendritic cells in a DSS-colitis model</w:t>
      </w:r>
      <w:r w:rsidR="00A359AD" w:rsidRPr="00801161">
        <w:rPr>
          <w:szCs w:val="24"/>
          <w:lang w:eastAsia="ko-KR"/>
        </w:rPr>
        <w:t xml:space="preserve"> </w:t>
      </w:r>
      <w:r w:rsidRPr="00FD697C">
        <w:rPr>
          <w:szCs w:val="24"/>
          <w:lang w:eastAsia="ko-KR"/>
        </w:rPr>
        <w:t>[1</w:t>
      </w:r>
      <w:r w:rsidR="00F7244F" w:rsidRPr="00FD697C">
        <w:rPr>
          <w:szCs w:val="24"/>
          <w:lang w:eastAsia="ko-KR"/>
        </w:rPr>
        <w:t>12</w:t>
      </w:r>
      <w:r w:rsidRPr="00FD697C">
        <w:rPr>
          <w:szCs w:val="24"/>
          <w:lang w:eastAsia="ko-KR"/>
        </w:rPr>
        <w:t>]</w:t>
      </w:r>
      <w:r w:rsidRPr="00801161">
        <w:rPr>
          <w:szCs w:val="24"/>
          <w:lang w:eastAsia="ko-KR"/>
        </w:rPr>
        <w:t>.</w:t>
      </w:r>
      <w:bookmarkStart w:id="7" w:name="_Toc40621886"/>
    </w:p>
    <w:p w14:paraId="6F72E67A" w14:textId="77777777" w:rsidR="00CD7E2E" w:rsidRPr="00801161" w:rsidRDefault="007C280A" w:rsidP="00FF2683">
      <w:pPr>
        <w:spacing w:before="120" w:after="120" w:line="480" w:lineRule="auto"/>
        <w:jc w:val="both"/>
        <w:rPr>
          <w:b/>
          <w:sz w:val="28"/>
          <w:szCs w:val="28"/>
        </w:rPr>
      </w:pPr>
      <w:r w:rsidRPr="00801161">
        <w:rPr>
          <w:b/>
          <w:sz w:val="28"/>
          <w:szCs w:val="28"/>
        </w:rPr>
        <w:t>Conclusion</w:t>
      </w:r>
      <w:bookmarkEnd w:id="7"/>
    </w:p>
    <w:p w14:paraId="2600C626" w14:textId="1FB7D23B" w:rsidR="00CD7E2E" w:rsidRPr="00801161" w:rsidRDefault="007C280A" w:rsidP="00FF2683">
      <w:pPr>
        <w:spacing w:before="120" w:after="120" w:line="480" w:lineRule="auto"/>
        <w:ind w:firstLine="800"/>
        <w:jc w:val="both"/>
        <w:rPr>
          <w:rFonts w:eastAsiaTheme="majorEastAsia"/>
          <w:color w:val="000000" w:themeColor="text1"/>
          <w:szCs w:val="24"/>
          <w:lang w:eastAsia="ko-KR"/>
        </w:rPr>
      </w:pPr>
      <w:r w:rsidRPr="00801161">
        <w:rPr>
          <w:rFonts w:eastAsiaTheme="majorEastAsia"/>
          <w:color w:val="000000" w:themeColor="text1"/>
          <w:szCs w:val="24"/>
          <w:lang w:eastAsia="ko-KR"/>
        </w:rPr>
        <w:t xml:space="preserve">IBD is a multifactorial disease associated with </w:t>
      </w:r>
      <w:r w:rsidR="00C71D1A" w:rsidRPr="00801161">
        <w:rPr>
          <w:rFonts w:eastAsiaTheme="majorEastAsia"/>
          <w:color w:val="000000" w:themeColor="text1"/>
          <w:szCs w:val="24"/>
          <w:lang w:eastAsia="ko-KR"/>
        </w:rPr>
        <w:t xml:space="preserve">environmental and genetic factors. Dysbiosis of commensal bacteria and breakdown of </w:t>
      </w:r>
      <w:r w:rsidR="006604A5" w:rsidRPr="00801161">
        <w:rPr>
          <w:rFonts w:eastAsiaTheme="majorEastAsia"/>
          <w:color w:val="000000" w:themeColor="text1"/>
          <w:szCs w:val="24"/>
          <w:lang w:eastAsia="ko-KR"/>
        </w:rPr>
        <w:t xml:space="preserve">the </w:t>
      </w:r>
      <w:r w:rsidR="00C71D1A" w:rsidRPr="00801161">
        <w:rPr>
          <w:rFonts w:eastAsiaTheme="majorEastAsia"/>
          <w:color w:val="000000" w:themeColor="text1"/>
          <w:szCs w:val="24"/>
          <w:lang w:eastAsia="ko-KR"/>
        </w:rPr>
        <w:t xml:space="preserve">intestinal barrier integrity are considered </w:t>
      </w:r>
      <w:r w:rsidR="006604A5" w:rsidRPr="00801161">
        <w:rPr>
          <w:rFonts w:eastAsiaTheme="majorEastAsia"/>
          <w:color w:val="000000" w:themeColor="text1"/>
          <w:szCs w:val="24"/>
          <w:lang w:eastAsia="ko-KR"/>
        </w:rPr>
        <w:t xml:space="preserve">to be </w:t>
      </w:r>
      <w:r w:rsidR="00C71D1A" w:rsidRPr="00801161">
        <w:rPr>
          <w:rFonts w:eastAsiaTheme="majorEastAsia"/>
          <w:color w:val="000000" w:themeColor="text1"/>
          <w:szCs w:val="24"/>
          <w:lang w:eastAsia="ko-KR"/>
        </w:rPr>
        <w:t>major factors in the development of IBD</w:t>
      </w:r>
      <w:r w:rsidR="006604A5" w:rsidRPr="00801161">
        <w:rPr>
          <w:rFonts w:eastAsiaTheme="majorEastAsia"/>
          <w:color w:val="000000" w:themeColor="text1"/>
          <w:szCs w:val="24"/>
          <w:lang w:eastAsia="ko-KR"/>
        </w:rPr>
        <w:t xml:space="preserve">. However, </w:t>
      </w:r>
      <w:r w:rsidR="00C71D1A" w:rsidRPr="00801161">
        <w:rPr>
          <w:rFonts w:eastAsiaTheme="majorEastAsia"/>
          <w:color w:val="000000" w:themeColor="text1"/>
          <w:szCs w:val="24"/>
          <w:lang w:eastAsia="ko-KR"/>
        </w:rPr>
        <w:t>recent studies have indicated that genetic factors</w:t>
      </w:r>
      <w:r w:rsidRPr="00801161">
        <w:rPr>
          <w:rFonts w:eastAsia="Malgun Gothic"/>
          <w:color w:val="000000"/>
          <w:szCs w:val="24"/>
          <w:lang w:eastAsia="ko-KR"/>
        </w:rPr>
        <w:t xml:space="preserve">, including </w:t>
      </w:r>
      <w:r w:rsidR="00C71D1A" w:rsidRPr="00801161">
        <w:rPr>
          <w:rFonts w:eastAsiaTheme="majorEastAsia"/>
          <w:color w:val="000000" w:themeColor="text1"/>
          <w:szCs w:val="24"/>
          <w:lang w:eastAsia="ko-KR"/>
        </w:rPr>
        <w:t>miRNA</w:t>
      </w:r>
      <w:r w:rsidR="00803DEA" w:rsidRPr="00801161">
        <w:rPr>
          <w:rFonts w:eastAsiaTheme="majorEastAsia"/>
          <w:color w:val="000000" w:themeColor="text1"/>
          <w:szCs w:val="24"/>
          <w:lang w:eastAsia="ko-KR"/>
        </w:rPr>
        <w:t xml:space="preserve"> dysregulation</w:t>
      </w:r>
      <w:r w:rsidRPr="00801161">
        <w:rPr>
          <w:rFonts w:eastAsia="Malgun Gothic"/>
          <w:color w:val="000000"/>
          <w:szCs w:val="24"/>
          <w:lang w:eastAsia="ko-KR"/>
        </w:rPr>
        <w:t>,</w:t>
      </w:r>
      <w:r w:rsidR="00C71D1A" w:rsidRPr="00801161">
        <w:rPr>
          <w:rFonts w:eastAsiaTheme="majorEastAsia"/>
          <w:color w:val="000000" w:themeColor="text1"/>
          <w:szCs w:val="24"/>
          <w:lang w:eastAsia="ko-KR"/>
        </w:rPr>
        <w:t xml:space="preserve"> play a major role in the pathophysiology</w:t>
      </w:r>
      <w:r w:rsidRPr="00801161">
        <w:rPr>
          <w:rFonts w:eastAsia="Malgun Gothic"/>
          <w:color w:val="000000"/>
          <w:szCs w:val="24"/>
          <w:lang w:eastAsia="ko-KR"/>
        </w:rPr>
        <w:t xml:space="preserve"> of IBD. </w:t>
      </w:r>
      <w:r w:rsidRPr="00801161">
        <w:rPr>
          <w:rFonts w:eastAsiaTheme="majorEastAsia"/>
          <w:color w:val="000000" w:themeColor="text1"/>
          <w:szCs w:val="24"/>
          <w:lang w:eastAsia="ko-KR"/>
        </w:rPr>
        <w:t xml:space="preserve">Numerous miRNAs participate in the complex regulatory system of intestinal inflammation. </w:t>
      </w:r>
      <w:r w:rsidR="00E25D6B" w:rsidRPr="00801161">
        <w:rPr>
          <w:rFonts w:eastAsiaTheme="majorEastAsia"/>
          <w:color w:val="000000" w:themeColor="text1"/>
          <w:szCs w:val="24"/>
          <w:lang w:eastAsia="ko-KR"/>
        </w:rPr>
        <w:t>Further, t</w:t>
      </w:r>
      <w:r w:rsidRPr="00801161">
        <w:rPr>
          <w:rFonts w:eastAsiaTheme="majorEastAsia"/>
          <w:color w:val="000000" w:themeColor="text1"/>
          <w:szCs w:val="24"/>
          <w:lang w:eastAsia="ko-KR"/>
        </w:rPr>
        <w:t xml:space="preserve">he number of molecular interactions seems to be </w:t>
      </w:r>
      <w:r w:rsidR="00BC2562" w:rsidRPr="00801161">
        <w:rPr>
          <w:rFonts w:eastAsiaTheme="majorEastAsia"/>
          <w:color w:val="000000" w:themeColor="text1"/>
          <w:szCs w:val="24"/>
          <w:lang w:eastAsia="ko-KR"/>
        </w:rPr>
        <w:t>uncountable</w:t>
      </w:r>
      <w:r w:rsidR="006604A5" w:rsidRPr="00801161">
        <w:rPr>
          <w:rFonts w:eastAsiaTheme="majorEastAsia"/>
          <w:color w:val="000000" w:themeColor="text1"/>
          <w:szCs w:val="24"/>
          <w:lang w:eastAsia="ko-KR"/>
        </w:rPr>
        <w:t>; however,</w:t>
      </w:r>
      <w:r w:rsidRPr="00801161">
        <w:rPr>
          <w:rFonts w:eastAsiaTheme="majorEastAsia"/>
          <w:color w:val="000000" w:themeColor="text1"/>
          <w:szCs w:val="24"/>
          <w:lang w:eastAsia="ko-KR"/>
        </w:rPr>
        <w:t xml:space="preserve"> </w:t>
      </w:r>
      <w:r w:rsidR="00132812" w:rsidRPr="00801161">
        <w:rPr>
          <w:rFonts w:eastAsiaTheme="majorEastAsia"/>
          <w:color w:val="000000" w:themeColor="text1"/>
          <w:szCs w:val="24"/>
          <w:lang w:eastAsia="ko-KR"/>
        </w:rPr>
        <w:t xml:space="preserve">recent findings </w:t>
      </w:r>
      <w:r w:rsidRPr="00801161">
        <w:rPr>
          <w:rFonts w:eastAsiaTheme="majorEastAsia"/>
          <w:color w:val="000000" w:themeColor="text1"/>
          <w:szCs w:val="24"/>
          <w:lang w:eastAsia="ko-KR"/>
        </w:rPr>
        <w:t xml:space="preserve">suggest </w:t>
      </w:r>
      <w:r w:rsidR="00F962A2" w:rsidRPr="00801161">
        <w:rPr>
          <w:rFonts w:eastAsiaTheme="majorEastAsia"/>
          <w:color w:val="000000" w:themeColor="text1"/>
          <w:szCs w:val="24"/>
          <w:lang w:eastAsia="ko-KR"/>
        </w:rPr>
        <w:t xml:space="preserve">the </w:t>
      </w:r>
      <w:r w:rsidRPr="00801161">
        <w:rPr>
          <w:rFonts w:eastAsiaTheme="majorEastAsia"/>
          <w:color w:val="000000" w:themeColor="text1"/>
          <w:szCs w:val="24"/>
          <w:lang w:eastAsia="ko-KR"/>
        </w:rPr>
        <w:t xml:space="preserve">targeting </w:t>
      </w:r>
      <w:r w:rsidR="00F962A2" w:rsidRPr="00801161">
        <w:rPr>
          <w:rFonts w:eastAsiaTheme="majorEastAsia"/>
          <w:color w:val="000000" w:themeColor="text1"/>
          <w:szCs w:val="24"/>
          <w:lang w:eastAsia="ko-KR"/>
        </w:rPr>
        <w:t xml:space="preserve">of </w:t>
      </w:r>
      <w:r w:rsidRPr="00801161">
        <w:rPr>
          <w:rFonts w:eastAsiaTheme="majorEastAsia"/>
          <w:color w:val="000000" w:themeColor="text1"/>
          <w:szCs w:val="24"/>
          <w:lang w:eastAsia="ko-KR"/>
        </w:rPr>
        <w:t xml:space="preserve">certain miRNAs as clinical biomarkers or treatment options. </w:t>
      </w:r>
      <w:r w:rsidR="00E25D6B" w:rsidRPr="00801161">
        <w:rPr>
          <w:rFonts w:eastAsiaTheme="majorEastAsia"/>
          <w:color w:val="000000" w:themeColor="text1"/>
          <w:szCs w:val="24"/>
          <w:lang w:eastAsia="ko-KR"/>
        </w:rPr>
        <w:t xml:space="preserve">Additional </w:t>
      </w:r>
      <w:r w:rsidRPr="00801161">
        <w:rPr>
          <w:rFonts w:eastAsiaTheme="majorEastAsia"/>
          <w:i/>
          <w:iCs/>
          <w:color w:val="000000" w:themeColor="text1"/>
          <w:szCs w:val="24"/>
          <w:lang w:eastAsia="ko-KR"/>
        </w:rPr>
        <w:t>in vivo</w:t>
      </w:r>
      <w:r w:rsidRPr="00801161">
        <w:rPr>
          <w:rFonts w:eastAsiaTheme="majorEastAsia"/>
          <w:color w:val="000000" w:themeColor="text1"/>
          <w:szCs w:val="24"/>
          <w:lang w:eastAsia="ko-KR"/>
        </w:rPr>
        <w:t xml:space="preserve"> studies should be conducted to validate data from </w:t>
      </w:r>
      <w:r w:rsidRPr="00801161">
        <w:rPr>
          <w:rFonts w:eastAsiaTheme="majorEastAsia"/>
          <w:i/>
          <w:iCs/>
          <w:color w:val="000000" w:themeColor="text1"/>
          <w:szCs w:val="24"/>
          <w:lang w:eastAsia="ko-KR"/>
        </w:rPr>
        <w:t>in vitro</w:t>
      </w:r>
      <w:r w:rsidRPr="00801161">
        <w:rPr>
          <w:rFonts w:eastAsiaTheme="majorEastAsia"/>
          <w:color w:val="000000" w:themeColor="text1"/>
          <w:szCs w:val="24"/>
          <w:lang w:eastAsia="ko-KR"/>
        </w:rPr>
        <w:t xml:space="preserve"> </w:t>
      </w:r>
      <w:r w:rsidR="00F962A2" w:rsidRPr="00801161">
        <w:rPr>
          <w:rFonts w:eastAsiaTheme="majorEastAsia"/>
          <w:color w:val="000000" w:themeColor="text1"/>
          <w:szCs w:val="24"/>
          <w:lang w:eastAsia="ko-KR"/>
        </w:rPr>
        <w:t xml:space="preserve">studies </w:t>
      </w:r>
      <w:r w:rsidRPr="00801161">
        <w:rPr>
          <w:rFonts w:eastAsiaTheme="majorEastAsia"/>
          <w:color w:val="000000" w:themeColor="text1"/>
          <w:szCs w:val="24"/>
          <w:lang w:eastAsia="ko-KR"/>
        </w:rPr>
        <w:t xml:space="preserve">and </w:t>
      </w:r>
      <w:r w:rsidR="00F962A2" w:rsidRPr="00801161">
        <w:rPr>
          <w:rFonts w:eastAsiaTheme="majorEastAsia"/>
          <w:color w:val="000000" w:themeColor="text1"/>
          <w:szCs w:val="24"/>
          <w:lang w:eastAsia="ko-KR"/>
        </w:rPr>
        <w:t xml:space="preserve">assess </w:t>
      </w:r>
      <w:r w:rsidRPr="00801161">
        <w:rPr>
          <w:rFonts w:eastAsia="Malgun Gothic"/>
          <w:color w:val="000000"/>
          <w:szCs w:val="24"/>
          <w:lang w:eastAsia="ko-KR"/>
        </w:rPr>
        <w:t>the practicality of manipulati</w:t>
      </w:r>
      <w:r w:rsidR="00F962A2" w:rsidRPr="00801161">
        <w:rPr>
          <w:rFonts w:eastAsia="Malgun Gothic"/>
          <w:color w:val="000000"/>
          <w:szCs w:val="24"/>
          <w:lang w:eastAsia="ko-KR"/>
        </w:rPr>
        <w:t>ng</w:t>
      </w:r>
      <w:r w:rsidRPr="00801161">
        <w:rPr>
          <w:rFonts w:eastAsia="Malgun Gothic"/>
          <w:color w:val="000000"/>
          <w:szCs w:val="24"/>
          <w:lang w:eastAsia="ko-KR"/>
        </w:rPr>
        <w:t xml:space="preserve"> miRNA expression in IBD.</w:t>
      </w:r>
    </w:p>
    <w:p w14:paraId="25B84C3E" w14:textId="77777777" w:rsidR="00DE28CF" w:rsidRPr="004443A1" w:rsidRDefault="00DE28CF" w:rsidP="00DE28CF">
      <w:pPr>
        <w:spacing w:before="120" w:after="120" w:line="480" w:lineRule="auto"/>
        <w:jc w:val="both"/>
        <w:rPr>
          <w:rFonts w:eastAsia="Gulim" w:cs="Gulim"/>
          <w:b/>
          <w:bCs/>
          <w:kern w:val="36"/>
          <w:sz w:val="28"/>
          <w:szCs w:val="28"/>
        </w:rPr>
      </w:pPr>
      <w:r w:rsidRPr="004443A1">
        <w:rPr>
          <w:rFonts w:eastAsia="Gulim" w:cs="Gulim"/>
          <w:b/>
          <w:bCs/>
          <w:kern w:val="36"/>
          <w:sz w:val="28"/>
          <w:szCs w:val="28"/>
        </w:rPr>
        <w:t>Abbreviations</w:t>
      </w:r>
    </w:p>
    <w:p w14:paraId="2A51B653" w14:textId="77777777" w:rsidR="00DE28CF" w:rsidRDefault="00DE28CF" w:rsidP="00DE28CF">
      <w:pPr>
        <w:spacing w:before="120" w:after="120" w:line="480" w:lineRule="auto"/>
        <w:jc w:val="both"/>
        <w:rPr>
          <w:color w:val="000000" w:themeColor="text1"/>
          <w:szCs w:val="24"/>
        </w:rPr>
      </w:pPr>
      <w:bookmarkStart w:id="8" w:name="_Hlk63448992"/>
      <w:r w:rsidRPr="00A341BC">
        <w:rPr>
          <w:color w:val="000000" w:themeColor="text1"/>
          <w:szCs w:val="24"/>
        </w:rPr>
        <w:t xml:space="preserve">AhR: aryl hydrocarbon receptor; Akt: protein kinase B; ATG5: autophagy related 5; ATG16L1: autophagy related 16 like 1; BECN1: Beclin 1; </w:t>
      </w:r>
      <w:r>
        <w:rPr>
          <w:color w:val="000000" w:themeColor="text1"/>
          <w:szCs w:val="24"/>
        </w:rPr>
        <w:t xml:space="preserve">CD: </w:t>
      </w:r>
      <w:r w:rsidRPr="008F37FB">
        <w:rPr>
          <w:szCs w:val="24"/>
        </w:rPr>
        <w:t>Crohn's disease</w:t>
      </w:r>
      <w:r>
        <w:rPr>
          <w:szCs w:val="24"/>
        </w:rPr>
        <w:t xml:space="preserve">; </w:t>
      </w:r>
      <w:r w:rsidRPr="00A341BC">
        <w:rPr>
          <w:color w:val="000000" w:themeColor="text1"/>
          <w:szCs w:val="24"/>
        </w:rPr>
        <w:t>C</w:t>
      </w:r>
      <w:r>
        <w:rPr>
          <w:color w:val="000000" w:themeColor="text1"/>
          <w:szCs w:val="24"/>
        </w:rPr>
        <w:t>D</w:t>
      </w:r>
      <w:r>
        <w:rPr>
          <w:color w:val="000000" w:themeColor="text1"/>
          <w:szCs w:val="24"/>
          <w:vertAlign w:val="superscript"/>
        </w:rPr>
        <w:t>+</w:t>
      </w:r>
      <w:r w:rsidRPr="00A341BC">
        <w:rPr>
          <w:color w:val="000000" w:themeColor="text1"/>
          <w:szCs w:val="24"/>
        </w:rPr>
        <w:t xml:space="preserve">: cluster of differentiation; CXCL: C-X-C motif chemokine ligand; </w:t>
      </w:r>
      <w:r>
        <w:rPr>
          <w:color w:val="000000" w:themeColor="text1"/>
          <w:szCs w:val="24"/>
        </w:rPr>
        <w:t xml:space="preserve">DSS: </w:t>
      </w:r>
      <w:r w:rsidRPr="00F9576B">
        <w:rPr>
          <w:color w:val="000000" w:themeColor="text1"/>
          <w:szCs w:val="24"/>
        </w:rPr>
        <w:t>Dextran sulfate sodium</w:t>
      </w:r>
      <w:r>
        <w:rPr>
          <w:color w:val="000000" w:themeColor="text1"/>
          <w:szCs w:val="24"/>
        </w:rPr>
        <w:t xml:space="preserve">; </w:t>
      </w:r>
      <w:r w:rsidRPr="00A341BC">
        <w:rPr>
          <w:color w:val="000000" w:themeColor="text1"/>
          <w:szCs w:val="24"/>
        </w:rPr>
        <w:t>EGFR: epidermal growth factor receptor; FOXO3</w:t>
      </w:r>
      <w:r>
        <w:rPr>
          <w:color w:val="000000" w:themeColor="text1"/>
          <w:szCs w:val="24"/>
        </w:rPr>
        <w:t xml:space="preserve"> or</w:t>
      </w:r>
      <w:r w:rsidRPr="00A341BC">
        <w:rPr>
          <w:color w:val="000000" w:themeColor="text1"/>
          <w:szCs w:val="24"/>
        </w:rPr>
        <w:t xml:space="preserve"> FOXO3a: Forkhead box class O3; GM-CSF: granulocyte-macrophage colony-stimulating factor; GSK3B: glycogen synthase kinase 3 beta;</w:t>
      </w:r>
      <w:r>
        <w:rPr>
          <w:color w:val="000000" w:themeColor="text1"/>
          <w:szCs w:val="24"/>
        </w:rPr>
        <w:t xml:space="preserve"> GWAS: </w:t>
      </w:r>
      <w:r w:rsidRPr="008F37FB">
        <w:rPr>
          <w:szCs w:val="24"/>
        </w:rPr>
        <w:t>Genome-wide association studies</w:t>
      </w:r>
      <w:r>
        <w:rPr>
          <w:szCs w:val="24"/>
        </w:rPr>
        <w:t xml:space="preserve">; HDL: </w:t>
      </w:r>
      <w:r>
        <w:rPr>
          <w:color w:val="000000" w:themeColor="text1"/>
          <w:szCs w:val="24"/>
          <w:lang w:eastAsia="ko-KR"/>
        </w:rPr>
        <w:t>high-density lipoprotein;</w:t>
      </w:r>
      <w:r w:rsidRPr="00DF77FF">
        <w:rPr>
          <w:color w:val="000000" w:themeColor="text1"/>
          <w:szCs w:val="24"/>
          <w:lang w:eastAsia="ko-KR"/>
        </w:rPr>
        <w:t xml:space="preserve"> </w:t>
      </w:r>
      <w:r>
        <w:rPr>
          <w:color w:val="000000" w:themeColor="text1"/>
          <w:szCs w:val="24"/>
        </w:rPr>
        <w:t xml:space="preserve">IBD: inflammatory bowel disease; </w:t>
      </w:r>
      <w:r w:rsidRPr="00A341BC">
        <w:rPr>
          <w:color w:val="000000" w:themeColor="text1"/>
          <w:szCs w:val="24"/>
        </w:rPr>
        <w:t xml:space="preserve">IFN: interferon; Ig-: immunoglobulin; IL-: interleukin-; IL-12/23p40: p40 subunit of IL-12 and IL-23; ILC: innate lymphoid cell; LC3-II: the lipid modified form of microtubule-associated protein 1A/1B-light chain 3; MIP2: macrophage inflammatory protein 2; miRNA, miR: microRNA; MLCK: myosin light chain kinase; NF-κB: nuclear factor-light-chain-enhancer of activated B cells; </w:t>
      </w:r>
      <w:r>
        <w:rPr>
          <w:color w:val="000000" w:themeColor="text1"/>
          <w:szCs w:val="24"/>
        </w:rPr>
        <w:t xml:space="preserve">NK T cell: natural killer T cell; </w:t>
      </w:r>
      <w:r w:rsidRPr="00A341BC">
        <w:rPr>
          <w:color w:val="000000" w:themeColor="text1"/>
          <w:szCs w:val="24"/>
        </w:rPr>
        <w:t xml:space="preserve">NOD2: nucleotide-binding </w:t>
      </w:r>
      <w:r w:rsidRPr="00A341BC">
        <w:rPr>
          <w:color w:val="000000" w:themeColor="text1"/>
          <w:szCs w:val="24"/>
        </w:rPr>
        <w:lastRenderedPageBreak/>
        <w:t xml:space="preserve">oligomerization domain-containing protein 2; ORMDL3: ORMDL sphingolipid biosynthesis regulator 3; </w:t>
      </w:r>
      <w:r>
        <w:rPr>
          <w:color w:val="000000" w:themeColor="text1"/>
          <w:szCs w:val="24"/>
        </w:rPr>
        <w:t>p-</w:t>
      </w:r>
      <w:r w:rsidRPr="00A341BC">
        <w:rPr>
          <w:color w:val="000000" w:themeColor="text1"/>
          <w:szCs w:val="24"/>
        </w:rPr>
        <w:t xml:space="preserve">Akt: </w:t>
      </w:r>
      <w:r>
        <w:rPr>
          <w:color w:val="000000" w:themeColor="text1"/>
          <w:szCs w:val="24"/>
        </w:rPr>
        <w:t>phosphor-</w:t>
      </w:r>
      <w:r w:rsidRPr="00A341BC">
        <w:rPr>
          <w:color w:val="000000" w:themeColor="text1"/>
          <w:szCs w:val="24"/>
        </w:rPr>
        <w:t>protein kinase B</w:t>
      </w:r>
      <w:r>
        <w:rPr>
          <w:color w:val="000000" w:themeColor="text1"/>
          <w:szCs w:val="24"/>
        </w:rPr>
        <w:t xml:space="preserve">; </w:t>
      </w:r>
      <w:r w:rsidRPr="00A341BC">
        <w:rPr>
          <w:color w:val="000000" w:themeColor="text1"/>
          <w:szCs w:val="24"/>
        </w:rPr>
        <w:t>PI3K: phosphoinositide 3-kinase; PIP2: phosphatidylinositol 4,5-biphosphate; PMN: polymorphonuclear leukocyte; p-mTOR: phosphorylated mammalian target of rapamycin; PTEN: phosphatase and tensin homolog; PTK6: protein tyrosine kinase 6; RA: retinoic acid;</w:t>
      </w:r>
      <w:r w:rsidRPr="001727BB">
        <w:t xml:space="preserve"> </w:t>
      </w:r>
      <w:r w:rsidRPr="001727BB">
        <w:rPr>
          <w:color w:val="000000" w:themeColor="text1"/>
          <w:szCs w:val="24"/>
        </w:rPr>
        <w:t>REG3:</w:t>
      </w:r>
      <w:r>
        <w:rPr>
          <w:color w:val="000000" w:themeColor="text1"/>
          <w:szCs w:val="24"/>
        </w:rPr>
        <w:t xml:space="preserve"> </w:t>
      </w:r>
      <w:r w:rsidRPr="001727BB">
        <w:rPr>
          <w:color w:val="000000" w:themeColor="text1"/>
          <w:szCs w:val="24"/>
        </w:rPr>
        <w:t>Regenerating islet-derived protein 3</w:t>
      </w:r>
      <w:r>
        <w:rPr>
          <w:color w:val="000000" w:themeColor="text1"/>
          <w:szCs w:val="24"/>
        </w:rPr>
        <w:t xml:space="preserve">; </w:t>
      </w:r>
      <w:r w:rsidRPr="00A341BC">
        <w:rPr>
          <w:color w:val="000000" w:themeColor="text1"/>
          <w:szCs w:val="24"/>
        </w:rPr>
        <w:t xml:space="preserve">RISC: RNA-induced silencing complex; </w:t>
      </w:r>
      <w:r>
        <w:rPr>
          <w:szCs w:val="24"/>
        </w:rPr>
        <w:t xml:space="preserve">RT-PCR: reverse-transcription polymerase chain reaction; </w:t>
      </w:r>
      <w:r w:rsidRPr="00A341BC">
        <w:rPr>
          <w:color w:val="000000" w:themeColor="text1"/>
          <w:szCs w:val="24"/>
        </w:rPr>
        <w:t xml:space="preserve">SAA: serum amyloid A; SFB: segmented filamentous bacteria; SHIP-1: Src homology 2 domain containing inositol polyphosphate 5-phosphatase 1; SIAH2: Siah E3 ubiquitin protein ligase 2; </w:t>
      </w:r>
      <w:r>
        <w:rPr>
          <w:szCs w:val="24"/>
        </w:rPr>
        <w:t xml:space="preserve">SOCS3: suppressor of cytokine signaling 3; </w:t>
      </w:r>
      <w:r w:rsidRPr="00A341BC">
        <w:rPr>
          <w:color w:val="000000" w:themeColor="text1"/>
          <w:szCs w:val="24"/>
        </w:rPr>
        <w:t>STAT: signal transducers and activators of transcription; SQSTM1: sequestosome 1; TAK1: transforming growth factor beta-activated kinase 1; TGF</w:t>
      </w:r>
      <w:r w:rsidRPr="008817F8">
        <w:rPr>
          <w:rFonts w:eastAsia="Malgun Gothic"/>
          <w:szCs w:val="24"/>
          <w:lang w:eastAsia="ko-KR"/>
        </w:rPr>
        <w:t xml:space="preserve"> </w:t>
      </w:r>
      <w:r w:rsidRPr="00B2516E">
        <w:rPr>
          <w:rFonts w:eastAsia="Malgun Gothic"/>
          <w:szCs w:val="24"/>
          <w:lang w:eastAsia="ko-KR"/>
        </w:rPr>
        <w:t>β</w:t>
      </w:r>
      <w:r>
        <w:rPr>
          <w:rFonts w:eastAsia="Malgun Gothic"/>
          <w:szCs w:val="24"/>
          <w:lang w:eastAsia="ko-KR"/>
        </w:rPr>
        <w:t>1</w:t>
      </w:r>
      <w:r w:rsidRPr="00A341BC">
        <w:rPr>
          <w:color w:val="000000" w:themeColor="text1"/>
          <w:szCs w:val="24"/>
        </w:rPr>
        <w:t>: transforming growth factor</w:t>
      </w:r>
      <w:r>
        <w:rPr>
          <w:color w:val="000000" w:themeColor="text1"/>
          <w:szCs w:val="24"/>
        </w:rPr>
        <w:t xml:space="preserve"> </w:t>
      </w:r>
      <w:r w:rsidRPr="00B2516E">
        <w:rPr>
          <w:rFonts w:eastAsia="Malgun Gothic"/>
          <w:szCs w:val="24"/>
          <w:lang w:eastAsia="ko-KR"/>
        </w:rPr>
        <w:t>β</w:t>
      </w:r>
      <w:r>
        <w:rPr>
          <w:rFonts w:eastAsia="Malgun Gothic"/>
          <w:szCs w:val="24"/>
          <w:lang w:eastAsia="ko-KR"/>
        </w:rPr>
        <w:t>1</w:t>
      </w:r>
      <w:r w:rsidRPr="00A341BC">
        <w:rPr>
          <w:color w:val="000000" w:themeColor="text1"/>
          <w:szCs w:val="24"/>
        </w:rPr>
        <w:t xml:space="preserve">; Th1: T helper type 1; </w:t>
      </w:r>
      <w:r>
        <w:rPr>
          <w:color w:val="000000" w:themeColor="text1"/>
          <w:szCs w:val="24"/>
        </w:rPr>
        <w:t xml:space="preserve">Th2: T helper type 2; </w:t>
      </w:r>
      <w:r w:rsidRPr="00A341BC">
        <w:rPr>
          <w:color w:val="000000" w:themeColor="text1"/>
          <w:szCs w:val="24"/>
        </w:rPr>
        <w:t>Th17: T helper type 17;</w:t>
      </w:r>
      <w:r>
        <w:rPr>
          <w:color w:val="000000" w:themeColor="text1"/>
          <w:szCs w:val="24"/>
        </w:rPr>
        <w:t xml:space="preserve"> TNBS: </w:t>
      </w:r>
      <w:r>
        <w:rPr>
          <w:rFonts w:eastAsia="Malgun Gothic"/>
          <w:szCs w:val="24"/>
        </w:rPr>
        <w:t xml:space="preserve">2,4,6-trinitrobenzen sulfonic acid; </w:t>
      </w:r>
      <w:r w:rsidRPr="00A341BC">
        <w:rPr>
          <w:color w:val="000000" w:themeColor="text1"/>
          <w:szCs w:val="24"/>
        </w:rPr>
        <w:t>TNF</w:t>
      </w:r>
      <w:r w:rsidRPr="008F37FB">
        <w:rPr>
          <w:szCs w:val="24"/>
        </w:rPr>
        <w:t>-α</w:t>
      </w:r>
      <w:r w:rsidRPr="00A341BC">
        <w:rPr>
          <w:color w:val="000000" w:themeColor="text1"/>
          <w:szCs w:val="24"/>
        </w:rPr>
        <w:t>: tumor necrosis factor</w:t>
      </w:r>
      <w:r w:rsidRPr="008F37FB">
        <w:rPr>
          <w:szCs w:val="24"/>
        </w:rPr>
        <w:t>-α</w:t>
      </w:r>
      <w:r w:rsidRPr="00A341BC">
        <w:rPr>
          <w:color w:val="000000" w:themeColor="text1"/>
          <w:szCs w:val="24"/>
        </w:rPr>
        <w:t xml:space="preserve">; Treg cell: regulatory T cell; </w:t>
      </w:r>
      <w:r>
        <w:rPr>
          <w:color w:val="000000" w:themeColor="text1"/>
          <w:szCs w:val="24"/>
        </w:rPr>
        <w:t xml:space="preserve">UC: ulcerative colitis; UTR: </w:t>
      </w:r>
      <w:r w:rsidRPr="008F37FB">
        <w:rPr>
          <w:szCs w:val="24"/>
        </w:rPr>
        <w:t>untranslated region</w:t>
      </w:r>
      <w:r>
        <w:rPr>
          <w:szCs w:val="24"/>
        </w:rPr>
        <w:t xml:space="preserve">; </w:t>
      </w:r>
      <w:r w:rsidRPr="00A341BC">
        <w:rPr>
          <w:color w:val="000000" w:themeColor="text1"/>
          <w:szCs w:val="24"/>
        </w:rPr>
        <w:t>XBP</w:t>
      </w:r>
      <w:r>
        <w:rPr>
          <w:color w:val="000000" w:themeColor="text1"/>
          <w:szCs w:val="24"/>
        </w:rPr>
        <w:t>1: X-box binding protein 1; ZO</w:t>
      </w:r>
      <w:bookmarkStart w:id="9" w:name="_Toc21198954"/>
      <w:bookmarkStart w:id="10" w:name="_Toc504728342"/>
      <w:bookmarkStart w:id="11" w:name="_Toc40621889"/>
      <w:r>
        <w:rPr>
          <w:color w:val="000000" w:themeColor="text1"/>
          <w:szCs w:val="24"/>
        </w:rPr>
        <w:t>: zonula occludens.</w:t>
      </w:r>
    </w:p>
    <w:bookmarkEnd w:id="8"/>
    <w:bookmarkEnd w:id="9"/>
    <w:bookmarkEnd w:id="10"/>
    <w:bookmarkEnd w:id="11"/>
    <w:p w14:paraId="1BCC52CA" w14:textId="77777777" w:rsidR="00DE28CF" w:rsidRPr="004443A1" w:rsidRDefault="00DE28CF" w:rsidP="00DE28CF">
      <w:pPr>
        <w:spacing w:before="120" w:after="120" w:line="480" w:lineRule="auto"/>
        <w:jc w:val="both"/>
        <w:rPr>
          <w:b/>
          <w:sz w:val="28"/>
          <w:szCs w:val="28"/>
        </w:rPr>
      </w:pPr>
      <w:r>
        <w:rPr>
          <w:b/>
          <w:sz w:val="28"/>
          <w:szCs w:val="28"/>
        </w:rPr>
        <w:t>Contributions</w:t>
      </w:r>
    </w:p>
    <w:p w14:paraId="0890D18C" w14:textId="77777777" w:rsidR="00DE28CF" w:rsidRPr="0065027F" w:rsidRDefault="00DE28CF" w:rsidP="00DE28CF">
      <w:pPr>
        <w:widowControl w:val="0"/>
        <w:autoSpaceDE w:val="0"/>
        <w:autoSpaceDN w:val="0"/>
        <w:spacing w:before="120" w:after="120" w:line="480" w:lineRule="auto"/>
        <w:jc w:val="both"/>
        <w:rPr>
          <w:rFonts w:eastAsia="Malgun Gothic"/>
          <w:kern w:val="2"/>
          <w:szCs w:val="24"/>
          <w:lang w:eastAsia="ko-KR"/>
        </w:rPr>
      </w:pPr>
      <w:r w:rsidRPr="0065027F">
        <w:rPr>
          <w:rFonts w:eastAsia="Malgun Gothic"/>
          <w:kern w:val="2"/>
          <w:szCs w:val="24"/>
          <w:lang w:eastAsia="ko-KR"/>
        </w:rPr>
        <w:t>All authors made substantial contributions to all of the following: (1) conception and design of the study, data acquisition, or analysis and interpretation of data; (2) drafting or critical revision of the article for intellectual content; and (3) final approval of version to be submitted.</w:t>
      </w:r>
    </w:p>
    <w:p w14:paraId="36C3AA3F" w14:textId="77777777" w:rsidR="00DE28CF" w:rsidRPr="004443A1" w:rsidRDefault="00DE28CF" w:rsidP="00DE28CF">
      <w:pPr>
        <w:spacing w:before="120" w:after="120" w:line="480" w:lineRule="auto"/>
        <w:rPr>
          <w:b/>
          <w:bCs/>
          <w:kern w:val="36"/>
          <w:sz w:val="28"/>
          <w:szCs w:val="28"/>
          <w:lang w:eastAsia="ko-KR"/>
        </w:rPr>
      </w:pPr>
      <w:r w:rsidRPr="004443A1">
        <w:rPr>
          <w:b/>
          <w:bCs/>
          <w:kern w:val="36"/>
          <w:sz w:val="28"/>
          <w:szCs w:val="28"/>
          <w:lang w:eastAsia="ko-KR"/>
        </w:rPr>
        <w:t>Competing interests</w:t>
      </w:r>
    </w:p>
    <w:p w14:paraId="0B670A2F" w14:textId="77777777" w:rsidR="00DE28CF" w:rsidRDefault="00DE28CF" w:rsidP="00DE28CF">
      <w:pPr>
        <w:spacing w:before="120" w:after="120" w:line="480" w:lineRule="auto"/>
        <w:rPr>
          <w:bCs/>
          <w:kern w:val="36"/>
          <w:szCs w:val="24"/>
          <w:lang w:eastAsia="ko-KR"/>
        </w:rPr>
      </w:pPr>
      <w:r w:rsidRPr="001C0289">
        <w:rPr>
          <w:bCs/>
          <w:kern w:val="36"/>
          <w:szCs w:val="24"/>
          <w:lang w:eastAsia="ko-KR"/>
        </w:rPr>
        <w:t>All authors confirm to have no actual or potential conflict of interests.</w:t>
      </w:r>
      <w:bookmarkStart w:id="12" w:name="_Toc40621891"/>
    </w:p>
    <w:bookmarkEnd w:id="12"/>
    <w:p w14:paraId="0AFE51A5" w14:textId="77777777" w:rsidR="00DE28CF" w:rsidRDefault="00DE28CF" w:rsidP="00DE28CF">
      <w:pPr>
        <w:spacing w:before="120" w:after="120" w:line="480" w:lineRule="auto"/>
        <w:rPr>
          <w:rStyle w:val="selectable"/>
          <w:rFonts w:eastAsiaTheme="majorEastAsia"/>
          <w:b/>
          <w:sz w:val="28"/>
          <w:szCs w:val="28"/>
        </w:rPr>
      </w:pPr>
      <w:r w:rsidRPr="004443A1">
        <w:rPr>
          <w:rStyle w:val="selectable"/>
          <w:rFonts w:eastAsiaTheme="majorEastAsia"/>
          <w:b/>
          <w:sz w:val="28"/>
          <w:szCs w:val="28"/>
        </w:rPr>
        <w:t>References</w:t>
      </w:r>
    </w:p>
    <w:p w14:paraId="598ECCA1" w14:textId="77777777" w:rsidR="00DE28CF" w:rsidRPr="004E1632" w:rsidRDefault="00DE28CF" w:rsidP="00DE28CF">
      <w:pPr>
        <w:pStyle w:val="EndNoteBibliography"/>
        <w:numPr>
          <w:ilvl w:val="0"/>
          <w:numId w:val="21"/>
        </w:numPr>
        <w:spacing w:after="0" w:line="480" w:lineRule="auto"/>
        <w:rPr>
          <w:color w:val="000000" w:themeColor="text1"/>
          <w:lang w:eastAsia="ko-KR"/>
        </w:rPr>
      </w:pPr>
      <w:r w:rsidRPr="004E1632">
        <w:rPr>
          <w:color w:val="000000" w:themeColor="text1"/>
          <w:lang w:eastAsia="ko-KR"/>
        </w:rPr>
        <w:t>Guan Q.</w:t>
      </w:r>
      <w:r w:rsidRPr="004E1632">
        <w:rPr>
          <w:rFonts w:hint="eastAsia"/>
          <w:color w:val="000000" w:themeColor="text1"/>
          <w:lang w:eastAsia="ko-KR"/>
        </w:rPr>
        <w:t xml:space="preserve"> </w:t>
      </w:r>
      <w:r w:rsidRPr="004E1632">
        <w:rPr>
          <w:color w:val="000000" w:themeColor="text1"/>
          <w:lang w:eastAsia="ko-KR"/>
        </w:rPr>
        <w:t>A Comprehensive Review and Update on the Pathogenesis of Inflammatory Bowel Disease. J Immunol Res. 2019; 2019: 7247238.</w:t>
      </w:r>
    </w:p>
    <w:p w14:paraId="564D2456"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lastRenderedPageBreak/>
        <w:t>Stidham RW, Higgins PDR. Colorectal Cancer in Inflammatory Bowel Disease. Clin Colon Rectal Surg. 2018; 31: 168-783.</w:t>
      </w:r>
    </w:p>
    <w:p w14:paraId="6877EE00"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Ng SC, Shi HY, Hamidi N, Underwood FE, Tang W, Benchimol EI, et al. Worldwide incidence and prevalence of inflammatory bowel disease in the 21st century: a systematic review of population-based studies. Lancet. 2018; 390: 2769-78.</w:t>
      </w:r>
    </w:p>
    <w:p w14:paraId="5BF27261"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Kaplan GG, Windsor JW. The four epidemiological stages in the global evolution of inflammatory bowel disease. Nat Rev Gastroenterol Hepatol. 2021; 18: 56-66.</w:t>
      </w:r>
    </w:p>
    <w:p w14:paraId="7F1AE128"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Uniken Venema WT, Voskuil MD, Dijkstra G, Weersma RK, Festen EA. The genetic background of inflammatory bowel disease: from correlation to causality. J Pathol. 2017; 241: 146-58.</w:t>
      </w:r>
    </w:p>
    <w:p w14:paraId="453CA747"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Ellinghaus D, Jostins L, Spain SL, Cortes A, Bethune J, Han B, et al. Analysis of five chronic inflammatory diseases identifies 27 new associations and highlights disease-specific patterns at shared loci. Nat Genet. 2016; 48: 510-8.</w:t>
      </w:r>
    </w:p>
    <w:p w14:paraId="42EA306D"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de Lange KM, Moutsianas L, Lee JC, Lamb CA, Luo Y, Kennedy NA, et al. Genome-wide association study implicates immune activation of multiple integrin genes in inflammatory bowel disease. Nat Genet. 2017; 49: 256-61.</w:t>
      </w:r>
    </w:p>
    <w:p w14:paraId="2D509313" w14:textId="77777777" w:rsidR="00DE28CF" w:rsidRDefault="00DE28CF" w:rsidP="00DE28CF">
      <w:pPr>
        <w:pStyle w:val="EndNoteBibliography"/>
        <w:numPr>
          <w:ilvl w:val="0"/>
          <w:numId w:val="21"/>
        </w:numPr>
        <w:spacing w:after="0" w:line="480" w:lineRule="auto"/>
        <w:rPr>
          <w:rFonts w:eastAsia="DengXian"/>
          <w:color w:val="000000" w:themeColor="text1"/>
        </w:rPr>
      </w:pPr>
      <w:r w:rsidRPr="004E1632">
        <w:rPr>
          <w:color w:val="000000" w:themeColor="text1"/>
        </w:rPr>
        <w:t>Huang H, Fang M, Jostins L, Umićević Mirkov M, Boucher G, Anderson CA, et al. Fine-mapping inflammatory bowel disease loci to single-variant resolution. Nature. 2017; 547: 173-</w:t>
      </w:r>
      <w:r>
        <w:rPr>
          <w:color w:val="000000" w:themeColor="text1"/>
        </w:rPr>
        <w:t>8.</w:t>
      </w:r>
    </w:p>
    <w:p w14:paraId="072712B4"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Liu JZ, van Sommeren S, Huang H, Ng SC, Alberts R, Takahashi A, et al. Association analyses identify 38 susceptibility loci for inflammatory bowel disease and highlight shared genetic risk across populations. Nat Genet. 2015; 47: 979-86.</w:t>
      </w:r>
    </w:p>
    <w:p w14:paraId="01052BDB"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Park SC, Jeen YT. Genetic Studies of Inflammatory Bowel Disease-Focusing on Asian Patients. Cells. 2019; 8.</w:t>
      </w:r>
    </w:p>
    <w:p w14:paraId="3E702755"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lastRenderedPageBreak/>
        <w:t>Spehlmann ME, Begun AZ, Burghardt J, Lepage P, Raedler A, Schreiber S. Epidemiology of inflammatory bowel disease in a German twin cohort: results of a nationwide study. Inflamm Bowel Dis. 2008; 14: 968-76.</w:t>
      </w:r>
    </w:p>
    <w:p w14:paraId="6FA1B940"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Halme L, Paavola-Sakki P, Turunen U, Lappalainen M, Farkkila M, Kontula K. Family and twin studies in inflammatory bowel disease. World J Gastroenterol. 2006; 12: 3668-72.</w:t>
      </w:r>
    </w:p>
    <w:p w14:paraId="2A4CBB98" w14:textId="77777777" w:rsidR="00DE28CF" w:rsidRPr="004E1632" w:rsidRDefault="00DE28CF" w:rsidP="00DE28CF">
      <w:pPr>
        <w:pStyle w:val="EndNoteBibliography"/>
        <w:numPr>
          <w:ilvl w:val="0"/>
          <w:numId w:val="21"/>
        </w:numPr>
        <w:spacing w:after="0" w:line="480" w:lineRule="auto"/>
        <w:rPr>
          <w:color w:val="000000" w:themeColor="text1"/>
          <w:lang w:eastAsia="ko-KR"/>
        </w:rPr>
      </w:pPr>
      <w:r w:rsidRPr="004E1632">
        <w:rPr>
          <w:color w:val="000000" w:themeColor="text1"/>
          <w:lang w:eastAsia="ko-KR"/>
        </w:rPr>
        <w:t>Soroosh A, Koutsioumpa M, Pothoulakis C, Iliopoulos D.</w:t>
      </w:r>
      <w:r w:rsidRPr="004E1632">
        <w:rPr>
          <w:rFonts w:hint="eastAsia"/>
          <w:color w:val="000000" w:themeColor="text1"/>
          <w:lang w:eastAsia="ko-KR"/>
        </w:rPr>
        <w:t xml:space="preserve"> </w:t>
      </w:r>
      <w:r w:rsidRPr="004E1632">
        <w:rPr>
          <w:color w:val="000000" w:themeColor="text1"/>
          <w:lang w:eastAsia="ko-KR"/>
        </w:rPr>
        <w:t>Functional role and therapeutic targeting of microRNAs in inflammatory bowel disease. Am J Physiol Gastrointest Liver Physiol. 2018; 314: G256-62.</w:t>
      </w:r>
    </w:p>
    <w:p w14:paraId="5CC58D0F" w14:textId="77777777" w:rsidR="00DE28CF" w:rsidRPr="004E1632" w:rsidRDefault="00DE28CF" w:rsidP="00DE28CF">
      <w:pPr>
        <w:pStyle w:val="EndNoteBibliography"/>
        <w:numPr>
          <w:ilvl w:val="0"/>
          <w:numId w:val="21"/>
        </w:numPr>
        <w:spacing w:after="0" w:line="480" w:lineRule="auto"/>
        <w:rPr>
          <w:color w:val="000000" w:themeColor="text1"/>
          <w:lang w:eastAsia="ko-KR"/>
        </w:rPr>
      </w:pPr>
      <w:r w:rsidRPr="004E1632">
        <w:rPr>
          <w:color w:val="000000" w:themeColor="text1"/>
          <w:lang w:eastAsia="ko-KR"/>
        </w:rPr>
        <w:t>O'Brien J, Hayder H, Zayed Y, Peng C.</w:t>
      </w:r>
      <w:r w:rsidRPr="004E1632">
        <w:rPr>
          <w:rFonts w:hint="eastAsia"/>
          <w:color w:val="000000" w:themeColor="text1"/>
          <w:lang w:eastAsia="ko-KR"/>
        </w:rPr>
        <w:t xml:space="preserve"> </w:t>
      </w:r>
      <w:r w:rsidRPr="004E1632">
        <w:rPr>
          <w:color w:val="000000" w:themeColor="text1"/>
          <w:lang w:eastAsia="ko-KR"/>
        </w:rPr>
        <w:t>Overview of MicroRNA Biogenesis, Mechanisms of Actions, and Circulation. Front Endocrinol (Lausanne). 2018 ;9 : 402.</w:t>
      </w:r>
    </w:p>
    <w:p w14:paraId="21C1664C" w14:textId="77777777" w:rsidR="00DE28CF" w:rsidRPr="004E1632" w:rsidRDefault="00DE28CF" w:rsidP="00DE28CF">
      <w:pPr>
        <w:pStyle w:val="EndNoteBibliography"/>
        <w:numPr>
          <w:ilvl w:val="0"/>
          <w:numId w:val="21"/>
        </w:numPr>
        <w:spacing w:after="0" w:line="480" w:lineRule="auto"/>
        <w:rPr>
          <w:color w:val="000000" w:themeColor="text1"/>
          <w:lang w:eastAsia="ko-KR"/>
        </w:rPr>
      </w:pPr>
      <w:r w:rsidRPr="004E1632">
        <w:rPr>
          <w:color w:val="000000" w:themeColor="text1"/>
          <w:lang w:eastAsia="ko-KR"/>
        </w:rPr>
        <w:t>Lu Q, Wu R, Zhao M, Garcia-Gomez A, Ballestar E.</w:t>
      </w:r>
      <w:r w:rsidRPr="004E1632">
        <w:rPr>
          <w:rFonts w:hint="eastAsia"/>
          <w:color w:val="000000" w:themeColor="text1"/>
          <w:lang w:eastAsia="ko-KR"/>
        </w:rPr>
        <w:t xml:space="preserve"> </w:t>
      </w:r>
      <w:r w:rsidRPr="004E1632">
        <w:rPr>
          <w:color w:val="000000" w:themeColor="text1"/>
          <w:lang w:eastAsia="ko-KR"/>
        </w:rPr>
        <w:t>miRNAs as Therapeutic Targets in Inflammatory Disease. Trends Pharmacol Sci. 2019 ; 40: 853-65.</w:t>
      </w:r>
    </w:p>
    <w:p w14:paraId="137E3007" w14:textId="77777777" w:rsidR="00DE28CF" w:rsidRPr="004E1632" w:rsidRDefault="00DE28CF" w:rsidP="00DE28CF">
      <w:pPr>
        <w:pStyle w:val="EndNoteBibliography"/>
        <w:numPr>
          <w:ilvl w:val="0"/>
          <w:numId w:val="21"/>
        </w:numPr>
        <w:spacing w:after="0" w:line="480" w:lineRule="auto"/>
        <w:rPr>
          <w:color w:val="000000" w:themeColor="text1"/>
          <w:lang w:eastAsia="ko-KR"/>
        </w:rPr>
      </w:pPr>
      <w:r w:rsidRPr="004E1632">
        <w:rPr>
          <w:color w:val="000000" w:themeColor="text1"/>
          <w:lang w:eastAsia="ko-KR"/>
        </w:rPr>
        <w:t>Vidigal JA, Ventura A. The biological functions of miRNAs: lessons from in vivo studies. Trends Cell Biol. 2015; 25: 137-47.</w:t>
      </w:r>
    </w:p>
    <w:p w14:paraId="6B053BC8" w14:textId="77777777" w:rsidR="00DE28CF" w:rsidRPr="004E1632" w:rsidRDefault="00DE28CF" w:rsidP="00DE28CF">
      <w:pPr>
        <w:pStyle w:val="EndNoteBibliography"/>
        <w:numPr>
          <w:ilvl w:val="0"/>
          <w:numId w:val="21"/>
        </w:numPr>
        <w:spacing w:after="0" w:line="480" w:lineRule="auto"/>
        <w:rPr>
          <w:color w:val="000000" w:themeColor="text1"/>
          <w:lang w:eastAsia="ko-KR"/>
        </w:rPr>
      </w:pPr>
      <w:r w:rsidRPr="004E1632">
        <w:rPr>
          <w:color w:val="000000" w:themeColor="text1"/>
          <w:lang w:eastAsia="ko-KR"/>
        </w:rPr>
        <w:t>Lozupone CA, Stombaugh JI, Gordon JI, Jansson JK, Knight R. Diversity, stability and resilience of the human gut microbiota. Nature. 2012 ;489 :220-30.</w:t>
      </w:r>
    </w:p>
    <w:p w14:paraId="42D34D2F" w14:textId="77777777" w:rsidR="00DE28CF" w:rsidRPr="004E1632" w:rsidRDefault="00DE28CF" w:rsidP="00DE28CF">
      <w:pPr>
        <w:pStyle w:val="EndNoteBibliography"/>
        <w:numPr>
          <w:ilvl w:val="0"/>
          <w:numId w:val="21"/>
        </w:numPr>
        <w:spacing w:after="0" w:line="480" w:lineRule="auto"/>
        <w:rPr>
          <w:color w:val="000000" w:themeColor="text1"/>
          <w:lang w:eastAsia="ko-KR"/>
        </w:rPr>
      </w:pPr>
      <w:r w:rsidRPr="004E1632">
        <w:rPr>
          <w:color w:val="000000" w:themeColor="text1"/>
          <w:lang w:eastAsia="ko-KR"/>
        </w:rPr>
        <w:t>Rooks MG, Garrett WS. Gut microbiota, metabolites and host immunity. Nat Rev Immunol. 2016; 16: 341-52.</w:t>
      </w:r>
    </w:p>
    <w:p w14:paraId="3F44E2B6" w14:textId="77777777" w:rsidR="00DE28CF" w:rsidRPr="004E1632" w:rsidRDefault="00DE28CF" w:rsidP="00DE28CF">
      <w:pPr>
        <w:pStyle w:val="EndNoteBibliography"/>
        <w:numPr>
          <w:ilvl w:val="0"/>
          <w:numId w:val="21"/>
        </w:numPr>
        <w:spacing w:after="0" w:line="480" w:lineRule="auto"/>
        <w:rPr>
          <w:color w:val="000000" w:themeColor="text1"/>
          <w:lang w:eastAsia="ko-KR"/>
        </w:rPr>
      </w:pPr>
      <w:r w:rsidRPr="004E1632">
        <w:rPr>
          <w:color w:val="000000" w:themeColor="text1"/>
          <w:lang w:eastAsia="ko-KR"/>
        </w:rPr>
        <w:t>Krause P, Morris V, Greenbaum JA, Park Y, Bjoerheden U, Mikulski Z, et al. IL-10-producing intestinal macrophages prevent excessive antibacterial innate immunity by limiting IL-23 synthesis. Nat Commun. 2015 ; 6: 7055.</w:t>
      </w:r>
    </w:p>
    <w:p w14:paraId="50BA2367" w14:textId="77777777" w:rsidR="00DE28CF" w:rsidRPr="004E1632" w:rsidRDefault="00DE28CF" w:rsidP="00DE28CF">
      <w:pPr>
        <w:pStyle w:val="EndNoteBibliography"/>
        <w:numPr>
          <w:ilvl w:val="0"/>
          <w:numId w:val="21"/>
        </w:numPr>
        <w:spacing w:after="0" w:line="480" w:lineRule="auto"/>
        <w:rPr>
          <w:color w:val="000000" w:themeColor="text1"/>
          <w:lang w:eastAsia="ko-KR"/>
        </w:rPr>
      </w:pPr>
      <w:r w:rsidRPr="004E1632">
        <w:rPr>
          <w:color w:val="000000" w:themeColor="text1"/>
          <w:lang w:eastAsia="ko-KR"/>
        </w:rPr>
        <w:t>Zigmond E, Bernshtein B, Friedlander G, Walker CR, Yona S, Kim KW, et al. Macrophage-restricted interleukin-10 receptor deficiency, but not IL-10 deficiency, causes severe spontaneous colitis. Immunity. 2014 ; 40: 720-33.</w:t>
      </w:r>
    </w:p>
    <w:p w14:paraId="0FED049B" w14:textId="77777777" w:rsidR="00DE28CF" w:rsidRPr="004E1632" w:rsidRDefault="00DE28CF" w:rsidP="00DE28CF">
      <w:pPr>
        <w:pStyle w:val="EndNoteBibliography"/>
        <w:numPr>
          <w:ilvl w:val="0"/>
          <w:numId w:val="21"/>
        </w:numPr>
        <w:spacing w:after="0" w:line="480" w:lineRule="auto"/>
        <w:rPr>
          <w:color w:val="000000" w:themeColor="text1"/>
          <w:lang w:eastAsia="ko-KR"/>
        </w:rPr>
      </w:pPr>
      <w:r w:rsidRPr="004E1632">
        <w:rPr>
          <w:color w:val="000000" w:themeColor="text1"/>
          <w:lang w:eastAsia="ko-KR"/>
        </w:rPr>
        <w:lastRenderedPageBreak/>
        <w:t>Murdoch CC, Espenschied ST, Matty MA, Mueller O, Tobin DM, Rawls JF.</w:t>
      </w:r>
      <w:r w:rsidRPr="004E1632">
        <w:rPr>
          <w:rFonts w:hint="eastAsia"/>
          <w:color w:val="000000" w:themeColor="text1"/>
          <w:lang w:eastAsia="ko-KR"/>
        </w:rPr>
        <w:t xml:space="preserve"> </w:t>
      </w:r>
      <w:r w:rsidRPr="004E1632">
        <w:rPr>
          <w:color w:val="000000" w:themeColor="text1"/>
          <w:lang w:eastAsia="ko-KR"/>
        </w:rPr>
        <w:t>Intestinal Serum amyloid A suppresses systemic neutrophil activation and bactericidal activity in response to microbiota colonization. PLoS Pathog. 2019 ; 15: e1007381.</w:t>
      </w:r>
    </w:p>
    <w:p w14:paraId="12D66E27" w14:textId="77777777" w:rsidR="00DE28CF" w:rsidRDefault="00DE28CF" w:rsidP="00DE28CF">
      <w:pPr>
        <w:pStyle w:val="EndNoteBibliography"/>
        <w:numPr>
          <w:ilvl w:val="0"/>
          <w:numId w:val="21"/>
        </w:numPr>
        <w:spacing w:after="0" w:line="480" w:lineRule="auto"/>
        <w:rPr>
          <w:color w:val="000000" w:themeColor="text1"/>
          <w:lang w:eastAsia="ko-KR"/>
        </w:rPr>
      </w:pPr>
      <w:r w:rsidRPr="004E1632">
        <w:rPr>
          <w:color w:val="000000" w:themeColor="text1"/>
          <w:lang w:eastAsia="ko-KR"/>
        </w:rPr>
        <w:t>Zhang G, Liu J, Wu L, Fan Y, Sun L, Qian F, et al. Elevated Expression of Serum Amyloid A 3 Protects Colon Epithelium Against Acute Injury Through TLR2-Dependent Induction of Neutrophil IL-22 Expression in a Mouse Model of Colitis. Front Immunol. 2018 ; 9: 1503.</w:t>
      </w:r>
    </w:p>
    <w:p w14:paraId="474C785A" w14:textId="77777777" w:rsidR="00DE28CF" w:rsidRDefault="00DE28CF" w:rsidP="00DE28CF">
      <w:pPr>
        <w:pStyle w:val="EndNoteBibliography"/>
        <w:numPr>
          <w:ilvl w:val="0"/>
          <w:numId w:val="21"/>
        </w:numPr>
        <w:spacing w:after="0" w:line="480" w:lineRule="auto"/>
        <w:rPr>
          <w:color w:val="000000" w:themeColor="text1"/>
        </w:rPr>
      </w:pPr>
      <w:r w:rsidRPr="004E1632">
        <w:rPr>
          <w:color w:val="000000" w:themeColor="text1"/>
        </w:rPr>
        <w:t>Macpherson AJ, Yilmaz B, Limenitakis JP, Ganal-Vonarburg SC. IgA Function in Relation to the Intestinal Microbiota. Annu Rev Immunol. 2018; 36: 359-81.</w:t>
      </w:r>
    </w:p>
    <w:p w14:paraId="5BB1F8A6" w14:textId="77777777" w:rsidR="00DE28CF" w:rsidRPr="00B7514F" w:rsidRDefault="00DE28CF" w:rsidP="00DE28CF">
      <w:pPr>
        <w:pStyle w:val="EndNoteBibliography"/>
        <w:numPr>
          <w:ilvl w:val="0"/>
          <w:numId w:val="21"/>
        </w:numPr>
        <w:spacing w:after="0" w:line="480" w:lineRule="auto"/>
        <w:rPr>
          <w:color w:val="000000" w:themeColor="text1"/>
        </w:rPr>
      </w:pPr>
      <w:r w:rsidRPr="00B7514F">
        <w:rPr>
          <w:color w:val="000000" w:themeColor="text1"/>
        </w:rPr>
        <w:t>Oliveira LM, Teixeira FME, Sato MN. Impact of Retinoic Acid on Immune Cells and Inflammatory Diseases. Mediators Inflamm. 2018; 2018:3067126.</w:t>
      </w:r>
    </w:p>
    <w:p w14:paraId="559CDDFB" w14:textId="77777777" w:rsidR="00DE28CF" w:rsidRPr="00B7514F" w:rsidRDefault="00DE28CF" w:rsidP="00DE28CF">
      <w:pPr>
        <w:pStyle w:val="EndNoteBibliography"/>
        <w:numPr>
          <w:ilvl w:val="0"/>
          <w:numId w:val="21"/>
        </w:numPr>
        <w:spacing w:after="0" w:line="480" w:lineRule="auto"/>
        <w:rPr>
          <w:color w:val="000000" w:themeColor="text1"/>
          <w:lang w:eastAsia="ko-KR"/>
        </w:rPr>
      </w:pPr>
      <w:r w:rsidRPr="00B7514F">
        <w:rPr>
          <w:color w:val="000000" w:themeColor="text1"/>
          <w:lang w:eastAsia="ko-KR"/>
        </w:rPr>
        <w:t>Grizotte-Lake M, Zhong G, Duncan K, Kirkwood J, Iyer N, Smolenski I, et al. Commensals Suppress Intestinal Epithelial Cell Retinoic Acid Synthesis to Regulate Interleukin-22 Activity and Prevent Microbial Dysbiosis. Immunity. 2018 ; 49: 1103-15.e6.</w:t>
      </w:r>
    </w:p>
    <w:p w14:paraId="7DFCD2AD" w14:textId="77777777" w:rsidR="00DE28CF" w:rsidRDefault="00DE28CF" w:rsidP="00DE28CF">
      <w:pPr>
        <w:pStyle w:val="EndNoteBibliography"/>
        <w:numPr>
          <w:ilvl w:val="0"/>
          <w:numId w:val="21"/>
        </w:numPr>
        <w:spacing w:after="0" w:line="480" w:lineRule="auto"/>
        <w:rPr>
          <w:color w:val="000000" w:themeColor="text1"/>
          <w:lang w:eastAsia="ko-KR"/>
        </w:rPr>
      </w:pPr>
      <w:r w:rsidRPr="00B7514F">
        <w:rPr>
          <w:color w:val="000000" w:themeColor="text1"/>
          <w:lang w:eastAsia="ko-KR"/>
        </w:rPr>
        <w:t>Pernomian L, Duarte-Silva M, de Barros Cardoso CR. The Aryl Hydrocarbon Receptor (AHR) as a Potential Target for the Control of Intestinal Inflammation: Insights from an Immune and Bacteria Sensor Receptor.</w:t>
      </w:r>
      <w:r>
        <w:rPr>
          <w:color w:val="000000" w:themeColor="text1"/>
          <w:lang w:eastAsia="ko-KR"/>
        </w:rPr>
        <w:t xml:space="preserve"> Clin Rev Allergy Immunol. 2020</w:t>
      </w:r>
      <w:r w:rsidRPr="00B7514F">
        <w:rPr>
          <w:color w:val="000000" w:themeColor="text1"/>
          <w:lang w:eastAsia="ko-KR"/>
        </w:rPr>
        <w:t>;</w:t>
      </w:r>
      <w:r>
        <w:rPr>
          <w:color w:val="000000" w:themeColor="text1"/>
          <w:lang w:eastAsia="ko-KR"/>
        </w:rPr>
        <w:t xml:space="preserve"> </w:t>
      </w:r>
      <w:r w:rsidRPr="00B7514F">
        <w:rPr>
          <w:color w:val="000000" w:themeColor="text1"/>
          <w:lang w:eastAsia="ko-KR"/>
        </w:rPr>
        <w:t>59:</w:t>
      </w:r>
      <w:r>
        <w:rPr>
          <w:color w:val="000000" w:themeColor="text1"/>
          <w:lang w:eastAsia="ko-KR"/>
        </w:rPr>
        <w:t xml:space="preserve"> </w:t>
      </w:r>
      <w:r w:rsidRPr="00B7514F">
        <w:rPr>
          <w:color w:val="000000" w:themeColor="text1"/>
          <w:lang w:eastAsia="ko-KR"/>
        </w:rPr>
        <w:t>382-90.</w:t>
      </w:r>
    </w:p>
    <w:p w14:paraId="672B37A6" w14:textId="77777777" w:rsidR="00DE28CF" w:rsidRPr="00B7514F" w:rsidRDefault="00DE28CF" w:rsidP="00DE28CF">
      <w:pPr>
        <w:pStyle w:val="EndNoteBibliography"/>
        <w:numPr>
          <w:ilvl w:val="0"/>
          <w:numId w:val="21"/>
        </w:numPr>
        <w:spacing w:after="0" w:line="480" w:lineRule="auto"/>
        <w:rPr>
          <w:color w:val="000000" w:themeColor="text1"/>
          <w:lang w:eastAsia="ko-KR"/>
        </w:rPr>
      </w:pPr>
      <w:r w:rsidRPr="00B7514F">
        <w:rPr>
          <w:color w:val="000000" w:themeColor="text1"/>
          <w:lang w:eastAsia="ko-KR"/>
        </w:rPr>
        <w:t>Schanz O, Chijiiwa R, Cengiz SC, Majlesain Y, Weighardt H, Takeyama H,</w:t>
      </w:r>
      <w:r>
        <w:rPr>
          <w:color w:val="000000" w:themeColor="text1"/>
          <w:lang w:eastAsia="ko-KR"/>
        </w:rPr>
        <w:t xml:space="preserve"> et al.</w:t>
      </w:r>
      <w:r w:rsidRPr="00B7514F">
        <w:rPr>
          <w:color w:val="000000" w:themeColor="text1"/>
          <w:lang w:eastAsia="ko-KR"/>
        </w:rPr>
        <w:t>. Dietary AhR Ligands Regulate AhRR Expression in Intestinal Immune Cells and Intestinal Microbiota Composition.</w:t>
      </w:r>
      <w:r>
        <w:rPr>
          <w:color w:val="000000" w:themeColor="text1"/>
          <w:lang w:eastAsia="ko-KR"/>
        </w:rPr>
        <w:t xml:space="preserve"> </w:t>
      </w:r>
      <w:r w:rsidRPr="00B7514F">
        <w:rPr>
          <w:color w:val="000000" w:themeColor="text1"/>
          <w:lang w:eastAsia="ko-KR"/>
        </w:rPr>
        <w:t>Int J Mol Sci. 2020;</w:t>
      </w:r>
      <w:r>
        <w:rPr>
          <w:color w:val="000000" w:themeColor="text1"/>
          <w:lang w:eastAsia="ko-KR"/>
        </w:rPr>
        <w:t xml:space="preserve"> </w:t>
      </w:r>
      <w:r w:rsidRPr="00B7514F">
        <w:rPr>
          <w:color w:val="000000" w:themeColor="text1"/>
          <w:lang w:eastAsia="ko-KR"/>
        </w:rPr>
        <w:t>21:</w:t>
      </w:r>
      <w:r>
        <w:rPr>
          <w:color w:val="000000" w:themeColor="text1"/>
          <w:lang w:eastAsia="ko-KR"/>
        </w:rPr>
        <w:t xml:space="preserve"> </w:t>
      </w:r>
      <w:r w:rsidRPr="00B7514F">
        <w:rPr>
          <w:color w:val="000000" w:themeColor="text1"/>
          <w:lang w:eastAsia="ko-KR"/>
        </w:rPr>
        <w:t>3189.</w:t>
      </w:r>
    </w:p>
    <w:p w14:paraId="0002BE70" w14:textId="77777777" w:rsidR="00DE28CF" w:rsidRPr="004E1632" w:rsidRDefault="00DE28CF" w:rsidP="00DE28CF">
      <w:pPr>
        <w:pStyle w:val="EndNoteBibliography"/>
        <w:numPr>
          <w:ilvl w:val="0"/>
          <w:numId w:val="21"/>
        </w:numPr>
        <w:spacing w:after="0" w:line="480" w:lineRule="auto"/>
        <w:rPr>
          <w:color w:val="000000" w:themeColor="text1"/>
          <w:lang w:eastAsia="ko-KR"/>
        </w:rPr>
      </w:pPr>
      <w:r w:rsidRPr="004E1632">
        <w:rPr>
          <w:color w:val="000000" w:themeColor="text1"/>
          <w:lang w:eastAsia="ko-KR"/>
        </w:rPr>
        <w:t>Yu LC.</w:t>
      </w:r>
      <w:r w:rsidRPr="004E1632">
        <w:rPr>
          <w:rFonts w:hint="eastAsia"/>
          <w:color w:val="000000" w:themeColor="text1"/>
          <w:lang w:eastAsia="ko-KR"/>
        </w:rPr>
        <w:t xml:space="preserve"> </w:t>
      </w:r>
      <w:r w:rsidRPr="004E1632">
        <w:rPr>
          <w:color w:val="000000" w:themeColor="text1"/>
          <w:lang w:eastAsia="ko-KR"/>
        </w:rPr>
        <w:t>Microbiota dysbiosis and barrier dysfunction in inflammatory bowel disease and colorectal cancers: exploring a common ground hypothesis. J Biomed Sci. 2018 ; 25: 79.</w:t>
      </w:r>
    </w:p>
    <w:p w14:paraId="04508E15"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 xml:space="preserve">Odenwald MA, Turner JR. The intestinal epithelial barrier: a therapeutic target? Nat Rev Gastroenterol Hepatol. 2017; 14: 9-21. </w:t>
      </w:r>
    </w:p>
    <w:p w14:paraId="2167625F"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lastRenderedPageBreak/>
        <w:t>Pickert G, Neufert C, Leppkes M, Zheng Y, Wittkopf N, Warntjen M, et al. STAT3 links IL-22 signaling in intestinal epithelial cells to mucosal wound healing. J Exp Med. 2009; 206: 1465-72.</w:t>
      </w:r>
    </w:p>
    <w:p w14:paraId="1635944D"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Kotredes KP, Thomas B, Gamero AM. The Protective Role of Type I Interferons in the Gastrointestinal Tract. Front Immunol. 2017; 8: 410</w:t>
      </w:r>
    </w:p>
    <w:p w14:paraId="20871AC7"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Shih VF, Cox J, Kljavin NM, Dengler HS, Reichelt M, Kumar P, et al. Homeostatic IL-23 receptor signaling limits Th17 response through IL-22-mediated containment of commensal microbiota. Proc Natl Acad Sci U S A. 2014; 111: 13942-7.</w:t>
      </w:r>
    </w:p>
    <w:p w14:paraId="7A1AFEBC"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Coccia M, Harrison OJ, Schiering C, Asquith MJ, Becher B, Powrie F, et al. IL-1beta mediates chronic intestinal inflammation by promoting the accumulation of IL-17A secreting innate lymphoid cells and CD4(+) Th17 cells. J Exp Med. 2012; 209: 1595-609.</w:t>
      </w:r>
    </w:p>
    <w:p w14:paraId="78AB6635"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Zielinski CE, Mele F, Aschenbrenner D, Jarrossay D, Ronchi F, Gattorno M, et al. Pathogen-induced human TH17 cells produce IFN-gamma or IL-10 and are regulated by IL-1beta. Nature. 2012; 484: 514-8.</w:t>
      </w:r>
    </w:p>
    <w:p w14:paraId="627CFF74"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Nowarski R, Jackson R, Gagliani N, de Zoete MR, Palm NW, Bailis W, et al. Epithelial IL-18 Equilibrium Controls Barrier Function in Colitis. Cell. 2015; 163: 1444-56.</w:t>
      </w:r>
    </w:p>
    <w:p w14:paraId="7060FD3F"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Atreya R, Zimmer M, Bartsch B, Waldner MJ, Atreya I, Neumann H, et al. Antibodies against tumor necrosis factor (TNF) induce T-cell apoptosis in patients with inflammatory bowel diseases via TNF receptor 2 and intestinal CD14(+) macrophages. Gastroenterology. 2011; 141: 2026-38.</w:t>
      </w:r>
    </w:p>
    <w:p w14:paraId="53E0609B"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Pott J, Kabat AM, Maloy KJ. Intestinal Epithelial Cell Autophagy Is Required to Protect against TNF-Induced Apoptosis during Chronic Colitis in Mice. Cell Host Microbe. 2018; 23: 191-202 e4.</w:t>
      </w:r>
    </w:p>
    <w:p w14:paraId="61E70AED"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Hunter CA, Jones SA. IL-6 as a keystone cytokine in health and disease. Nat Immunol. 2015; 16: 448-57.</w:t>
      </w:r>
    </w:p>
    <w:p w14:paraId="779B0029"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lastRenderedPageBreak/>
        <w:t>Griseri T, McKenzie BS, Schiering C, Powrie F. Dysregulated hematopoietic stem and progenitor cell activity promotes interleukin-23-driven chronic intestinal inflammation. Immunity. 2012; 37: 1116-29.</w:t>
      </w:r>
    </w:p>
    <w:p w14:paraId="10620B79"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Griseri T, Arnold IC, Pearson C, Krausgruber T, Schiering C, Franchini F, et al. Granulocyte Macrophage Colony-Stimulating Factor-Activated Eosinophils Promote Interleukin-23 Driven Chronic Colitis. Immunity. 2015; 43: 187-99.</w:t>
      </w:r>
    </w:p>
    <w:p w14:paraId="1C5EEE10" w14:textId="77777777" w:rsidR="00DE28CF" w:rsidRPr="004E1632" w:rsidRDefault="00DE28CF" w:rsidP="00DE28CF">
      <w:pPr>
        <w:pStyle w:val="EndNoteBibliography"/>
        <w:numPr>
          <w:ilvl w:val="0"/>
          <w:numId w:val="21"/>
        </w:numPr>
        <w:spacing w:after="0" w:line="480" w:lineRule="auto"/>
        <w:rPr>
          <w:color w:val="000000" w:themeColor="text1"/>
          <w:lang w:eastAsia="ko-KR"/>
        </w:rPr>
      </w:pPr>
      <w:r w:rsidRPr="004E1632">
        <w:rPr>
          <w:color w:val="000000" w:themeColor="text1"/>
          <w:lang w:eastAsia="ko-KR"/>
        </w:rPr>
        <w:t>Fan H, Wang A, Wang Y, Sun Y, Han J, Chen W, et al. Innate Lymphoid Cells: Regulators of Gut Barrier Function and Immune Homeostasis. J Immunol Res. 2019 ; 2019: 2525984.</w:t>
      </w:r>
    </w:p>
    <w:p w14:paraId="00DF8BC5" w14:textId="77777777" w:rsidR="00DE28CF" w:rsidRPr="004E1632" w:rsidRDefault="00DE28CF" w:rsidP="00DE28CF">
      <w:pPr>
        <w:pStyle w:val="EndNoteBibliography"/>
        <w:numPr>
          <w:ilvl w:val="0"/>
          <w:numId w:val="21"/>
        </w:numPr>
        <w:spacing w:after="0" w:line="480" w:lineRule="auto"/>
        <w:rPr>
          <w:color w:val="000000" w:themeColor="text1"/>
          <w:lang w:eastAsia="ko-KR"/>
        </w:rPr>
      </w:pPr>
      <w:r w:rsidRPr="004E1632">
        <w:rPr>
          <w:color w:val="000000" w:themeColor="text1"/>
          <w:lang w:eastAsia="ko-KR"/>
        </w:rPr>
        <w:t>Schaefer JS. MicroRNAs: how many in inflammatory bowel disease? Curr Opin Gastroenterol. 2016; 32: 258-66.</w:t>
      </w:r>
    </w:p>
    <w:p w14:paraId="1B01C1A3"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Ma TY, Boivin MA, Ye D, Pedram A, Said HM. Mechanism of TNF-{alpha} modulation of Caco-2 intestinal epithelial tight junction barrier: role of myosin light-chain kinase protein expression. Am J Physiol Gastrointest Liver Physiol. 2005; 288: G422-30.</w:t>
      </w:r>
    </w:p>
    <w:p w14:paraId="2D6E3F1E"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Wang L, Zhang R, Chen J, Wu Q, Kuang Z. Baicalin Protects against TNF-alpha-Induced Injury by Down-Regulating miR-191a That Targets the Tight Junction Protein ZO-1 in IEC-6 Cells. Biol Pharm Bull. 2017; 40: 435-43.</w:t>
      </w:r>
    </w:p>
    <w:p w14:paraId="79782A04"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Tang Y, Zhang L, Forsyth CB, Shaikh M, Song S, Keshavarzian A. The Role of miR-212 and iNOS in Alcohol-Induced Intestinal Barrier Dysfunction and Steatohepatitis. Alcohol Clin Exp Res. 2015; 39: 1632-41.</w:t>
      </w:r>
    </w:p>
    <w:p w14:paraId="11F0C1EC"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Zou T, Jaladanki SK, Liu L, Xiao L, Chung HK, Wang JY, et al. H19 Long Noncoding RNA Regulates Intestinal Epithelial Barrier Function via MicroRNA 675 by Interacting with RNA-Binding Protein HuR. Mol Cell Biol. 2016; 36: 1332-41.</w:t>
      </w:r>
    </w:p>
    <w:p w14:paraId="5C4C2A2A"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Zhi X, Tao J, Li Z, Jiang B, Feng J, Yang L, et al. MiR-874 promotes intestinal barrier dysfunction through targeting AQP3 following intestinal ischemic injury. FEBS Lett. 2014; 588: 757-63.</w:t>
      </w:r>
    </w:p>
    <w:p w14:paraId="70FA6645"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lastRenderedPageBreak/>
        <w:t>Zhang B, Tian Y, Jiang P, Jiang Y, Li C, Liu T, et al. MicroRNA-122a Regulates Zonulin by Targeting EGFR in Intestinal Epithelial Dysfunction. Cell Physiol Biochem. 2017; 42: 848-58.</w:t>
      </w:r>
    </w:p>
    <w:p w14:paraId="51325D2D"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Zhang L, Shen J, Cheng J, Fan X. MicroRNA-21 regulates intestinal epithelial tight junction permeability. Cell Biochem Funct. 2015; 33: 235-40.</w:t>
      </w:r>
    </w:p>
    <w:p w14:paraId="142D67C9"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Shen Y, Zhou M, Yan J, Gong Z, Xiao Y, Zhang C, et al. miR-200b inhibits TNF-alpha-induced IL-8 secretion and tight junction disruption of intestinal epithelial cells in vitro. Am J Physiol Gastrointest Liver Physiol. 2017; 312: G123-G32.</w:t>
      </w:r>
    </w:p>
    <w:p w14:paraId="2CF334BB"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Haines RJ, Beard RS, Jr., Eitner RA, Chen L, Wu MH. TNFalpha/IFNgamma Mediated Intestinal Epithelial Barrier Dysfunction Is Attenuated by MicroRNA-93 Downregulation of PTK6 in Mouse Colonic Epithelial Cells. PLoS One. 2016; 11: e0154351.</w:t>
      </w:r>
    </w:p>
    <w:p w14:paraId="093AB1F1"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Shi C, Liang Y, Yang J, Xia Y, Chen H, Han H, et al. MicroRNA-21 knockout improve the survival rate in DSS induced fatal colitis through protecting against inflammation and tissue injury. PLoS One. 2013; 8: e66814.</w:t>
      </w:r>
    </w:p>
    <w:p w14:paraId="2BC93362"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Zhao Y, Ma T, Chen W, Chen Y, Li M, Ren L, et al. MicroRNA-124 Promotes Intestinal Inflammation by Targeting Aryl Hydrocarbon Receptor in Crohn's Disease. J Crohns Colitis. 2016; 10: 703-12.</w:t>
      </w:r>
    </w:p>
    <w:p w14:paraId="60C4FF5B"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Corridoni D, Arseneau KO, Cominelli F. Functional defects in NOD2 signaling in experimental and human Crohn disease. Gut Microbes. 2014; 5: 340-4.</w:t>
      </w:r>
    </w:p>
    <w:p w14:paraId="00852E37"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Pierdomenico M, Cesi V, Cucchiara S, Vitali R, Prete E, Costanzo M, et al. NOD2 Is Regulated By Mir-320 in Physiological Conditions but this Control Is Altered in Inflamed Tissues of Patients with Inflammatory Bowel Disease. Inflamm Bowel Dis. 2016; 22: 315-26.</w:t>
      </w:r>
    </w:p>
    <w:p w14:paraId="104A9387"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Wu W, He C, Liu C, Cao AT, Xue X, Evans-Marin HL, et al. miR-10a inhibits dendritic cell activation and Th1/Th17 cell immune responses in IBD. Gut. 2015; 64: 1755-64.</w:t>
      </w:r>
    </w:p>
    <w:p w14:paraId="180A6795"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lastRenderedPageBreak/>
        <w:t>Huang Z, Shi T, Zhou Q, Shi S, Zhao R, Shi H, et al. miR-141 Regulates colonic leukocytic trafficking by targeting CXCL12beta during murine colitis and human Crohn's disease. Gut. 2014; 63: 1247-57.</w:t>
      </w:r>
    </w:p>
    <w:p w14:paraId="62346D52"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Yang Z, Klionsky DJ. Eaten alive: a history of macroautophagy. Nat Cell Biol. 2010; 12: 814-22.</w:t>
      </w:r>
    </w:p>
    <w:p w14:paraId="1052CF1A"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Lapaquette P, Bringer MA, Darfeuille-Michaud A. Defects in autophagy favour adherent-invasive Escherichia coli persistence within macrophages leading to increased pro-inflammatory response. Cell Microbiol. 2012; 14: 791-807.</w:t>
      </w:r>
    </w:p>
    <w:p w14:paraId="53DFCE3E"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Wang S, Huang Y, Zhou C, Wu H, Zhao J, Wu L, et al. The Role of Autophagy and Related MicroRNAs in Inflammatory Bowel Disease. Gastroenterol Res Pract. 2018; 2018: 7565076.</w:t>
      </w:r>
    </w:p>
    <w:p w14:paraId="4BF80A66"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Salem M, Ammitzboell M, Nys K, Seidelin JB, Nielsen OH. ATG16L1: A multifunctional susceptibility factor in Crohn disease. Autophagy. 2015; 11: 585-94.</w:t>
      </w:r>
    </w:p>
    <w:p w14:paraId="05B3B7C9" w14:textId="77777777" w:rsidR="00DE28CF" w:rsidRPr="00F57886" w:rsidRDefault="00DE28CF" w:rsidP="00DE28CF">
      <w:pPr>
        <w:pStyle w:val="EndNoteBibliography"/>
        <w:numPr>
          <w:ilvl w:val="0"/>
          <w:numId w:val="21"/>
        </w:numPr>
        <w:spacing w:after="0" w:line="480" w:lineRule="auto"/>
        <w:rPr>
          <w:color w:val="000000" w:themeColor="text1"/>
        </w:rPr>
      </w:pPr>
      <w:r w:rsidRPr="004E1632">
        <w:rPr>
          <w:color w:val="000000" w:themeColor="text1"/>
        </w:rPr>
        <w:t xml:space="preserve">Chen Y, Du J, Zhang Z, Liu T, Shi Y, Ge X, et al. MicroRNA-346 mediates tumor necrosis </w:t>
      </w:r>
      <w:r w:rsidRPr="00F57886">
        <w:rPr>
          <w:color w:val="000000" w:themeColor="text1"/>
        </w:rPr>
        <w:t>factor alpha-induced downregulation of gut epithelial vitamin D receptor in inflammatory bowel diseases. Inflamm Bowel Dis. 2014; 20: 1910-8.</w:t>
      </w:r>
    </w:p>
    <w:p w14:paraId="5A9E4D7E"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t>Li M, Zhang S, Qiu Y, He Y, Chen B, Mao R, et al. Upregulation of miR-665 promotes apoptosis and colitis in inflammatory bowel disease by repressing the endoplasmic reticulum stress components XBP1 and ORMDL3. Cell Death Dis. 2017; 8: e2699.</w:t>
      </w:r>
    </w:p>
    <w:p w14:paraId="060FD2D0"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t>Liu L, He J, Wei X, Wan G, Lao Y, Xu W, et al. MicroRNA-20a-mediated loss of autophagy contributes to breast tumorigenesis by promoting genomic damage and instability.</w:t>
      </w:r>
      <w:r w:rsidRPr="00F57886">
        <w:t xml:space="preserve"> </w:t>
      </w:r>
      <w:r w:rsidRPr="00F57886">
        <w:rPr>
          <w:color w:val="000000" w:themeColor="text1"/>
        </w:rPr>
        <w:t>Oncogene. 2017; 36: 5874-84.</w:t>
      </w:r>
    </w:p>
    <w:p w14:paraId="28172897"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t>Nguyen HT, Dalmasso G, Muller S, Carriere J, Seibold F, Darfeuille-Michaud A. Crohn's disease-associated adherent invasive Escherichia coli modulate levels of microRNAs in intestinal epithelial cells to reduce autophagy. Gastroenterology. 2014; 146: 508-19.</w:t>
      </w:r>
    </w:p>
    <w:p w14:paraId="1B7CF715"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lastRenderedPageBreak/>
        <w:t>Lu C, Chen J, Xu HG, Zhou X, He Q, Li YL, et al. MIR106B and MIR93 prevent removal of bacteria from epithelial cells by disrupting ATG16L1-mediated autophagy. Gastroenterology. 2014; 146: 188-99.</w:t>
      </w:r>
    </w:p>
    <w:p w14:paraId="241FAC62"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t>Li N, Miao Y, Shan Y, Liu B, Li Y, Zhao L, et al. MiR-106b and miR-93 regulate cell progression by suppression of PTEN via PI3K/Akt pathway in breast cancer. Cell Death Dis. 2017; 8: e2796.</w:t>
      </w:r>
    </w:p>
    <w:p w14:paraId="6E24F794"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t>Zhai Z, Wu F, Dong F, Chuang AY, Messer JS, Boone DL, et al. Human autophagy gene ATG16L1 is post-transcriptionally regulated by MIR142-3p. Autophagy. 2014; 10: 468-79.</w:t>
      </w:r>
    </w:p>
    <w:p w14:paraId="1B3AC9A7"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t>Chen Y, Wang C, Liu Y, Tang L, Zheng M, Xu C, et al. miR-122 targets NOD2 to decrease intestinal epithelial cell injury in Crohn's disease. Biochem Biophys Res Commun. 2013; 438: 133-9.</w:t>
      </w:r>
    </w:p>
    <w:p w14:paraId="3956B9E6"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t>Chuang AY, Chuang JC, Zhai Z, Wu F, Kwon JH. NOD2 expression is regulated by microRNAs in colonic epithelial HCT116 cells. Inflamm Bowel Dis. 2014; 20: 126-35.</w:t>
      </w:r>
    </w:p>
    <w:p w14:paraId="4F26892A"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t>Wang Y, Zhang X, Tang W, Lin Z, Xu L, Dong R, et al. miR-130a upregulates mTOR pathway by targeting TSC1 and is transactivated by NF-kappaB in high-grade serous ovarian carcinoma. Cell Death Differ. 2017; 24: 2089-100</w:t>
      </w:r>
    </w:p>
    <w:p w14:paraId="1468FD95"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t>Kim HY, Kwon HY, Ha Thi HT, Lee HJ, Kim GI, Hahm KB, et al. MicroRNA-132 and microRNA-223 control positive feedback circuit by regulating FOXO3a in inflammatory bowel disease. J Gastroenterol Hepatol. 2016; 31: 1727-35.</w:t>
      </w:r>
    </w:p>
    <w:p w14:paraId="1AD4F122"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t>Birnie KA, Yip YY, Ng DC, Kirschner MB, Reid G, Prele CM, et al. Loss of miR-223 and JNK Signaling Contribute to Elevated Stathmin in Malignant Pleural Mesothelioma. Mol Cancer Res. 2015; 13: 1106-18.</w:t>
      </w:r>
    </w:p>
    <w:p w14:paraId="76335B12"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lastRenderedPageBreak/>
        <w:t>Nata T, Fujiya M, Ueno N, Moriichi K, Konishi H, Tanabe H, et al. MicroRNA-146b improves intestinal injury in mouse colitis by activating nuclear factor-kappaB and improving epithelial barrier function. J Gene Med. 2013; 15: 249-60.</w:t>
      </w:r>
    </w:p>
    <w:p w14:paraId="2B39CACF"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t>Rouquette-Jazdanian AK, Kortum RL, Li W, Merrill RK, Nguyen PH, Samelson LE, et al. miR-155 Controls Lymphoproliferation in LAT Mutant Mice by Restraining T-Cell Apoptosis via SHIP-1/mTOR and PAK1/FOXO3/BIM Pathways. PLoS One. 2015; 10: e0131823.</w:t>
      </w:r>
    </w:p>
    <w:p w14:paraId="6326380C"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t>Huang X, Shen Y, Liu M, Bi C, Jiang C, Iqbal J, et al. Quantitative proteomics reveals that miR-155 regulates the PI3K-AKT pathway in diffuse large B-cell lymphoma. Am J Pathol. 2012; 181: 26-33.</w:t>
      </w:r>
    </w:p>
    <w:p w14:paraId="4C40FDD3"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t>Brest P, Lapaquette P, Souidi M, Lebrigand K, Cesaro A, Vouret-Craviari V, et al. A synonymous variant in IRGM alters a binding site for miR-196 and causes deregulation of IRGM-dependent xenophagy in Crohn's disease. Nat Genet. 2011; 43: 242-5.</w:t>
      </w:r>
    </w:p>
    <w:p w14:paraId="74565CD8"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t>Melmed GY, Siegel CA, Spiegel BM, Allen JI, Cima R, Colombel JF, et al. Quality indicators for inflammatory bowel disease: development of process and outcome measures. Inflamm Bowel Dis. 2013; 19: 662-8.</w:t>
      </w:r>
    </w:p>
    <w:p w14:paraId="3034B877"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t>Canavese G, Villanacci V, Sapino A, Rocca R, Daperno M, Suriani R, et al. The diagnosis of inflammatory bowel disease is often unsupported in clinical practice. Dig Liver Dis. 2015; 47: 20-3.</w:t>
      </w:r>
    </w:p>
    <w:p w14:paraId="71957994"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t>Wu F, Zikusoka M, Trindade A, Dassopoulos T, Harris ML, Bayless TM, et al. MicroRNAs are differentially expressed in ulcerative colitis and alter expression of macrophage inflammatory peptide-2 alpha. Gastroenterology. 2008; 135: 1624-35 e24.</w:t>
      </w:r>
    </w:p>
    <w:p w14:paraId="0E66267E" w14:textId="77777777" w:rsidR="00DE28CF" w:rsidRPr="00F57886" w:rsidRDefault="00DE28CF" w:rsidP="00DE28CF">
      <w:pPr>
        <w:pStyle w:val="EndNoteBibliography"/>
        <w:numPr>
          <w:ilvl w:val="0"/>
          <w:numId w:val="21"/>
        </w:numPr>
        <w:spacing w:after="0" w:line="480" w:lineRule="auto"/>
        <w:rPr>
          <w:color w:val="000000" w:themeColor="text1"/>
        </w:rPr>
      </w:pPr>
      <w:r w:rsidRPr="00F57886">
        <w:rPr>
          <w:color w:val="000000" w:themeColor="text1"/>
        </w:rPr>
        <w:t>Fasseu M, Treton X, Guichard C, Pedruzzi E, Cazals-Hatem D, Richard C, et al. Identification of restricted subsets of mature microRNA abnormally expressed in inactive colonic mucosa of patients with inflammatory bowel disease. PLoS One. 2010; 5.</w:t>
      </w:r>
    </w:p>
    <w:p w14:paraId="7FDF6FD5"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lastRenderedPageBreak/>
        <w:t>Takagi T, Naito Y, Mizushima K, Hirata I, Yagi N, Tomatsuri N, et al. Increased expression of microRNA in the inflamed colonic mucosa of patients with active ulcerative colitis. J Gastroenterol Hepatol. 2010; 25 Suppl 1: S129-33.</w:t>
      </w:r>
    </w:p>
    <w:p w14:paraId="39D24A32"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Feng X, Wang H, Ye S, Guan J, Tan W, Cheng S, et al. Up-regulation of microRNA-126 may contribute to pathogenesis of ulcerative colitis via regulating NF-kappaB inhibitor IkappaBalpha. PLoS One. 2012; 7: e52782.</w:t>
      </w:r>
    </w:p>
    <w:p w14:paraId="537537E7"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Bian Z, Li L, Cui J, Zhang H, Liu Y, Zhang CY, et al. Role of miR-150-targeting c-Myb in colonic epithelial disruption during dextran sulphate sodium-induced murine experimental colitis and human ulcerative colitis. J Pathol. 2011; 225: 544-53.</w:t>
      </w:r>
    </w:p>
    <w:p w14:paraId="52EE8DA8"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Lin J, Welker NC, Zhao Z, Li Y, Zhang J, Reuss SA, et al. Novel specific microRNA biomarkers in idiopathic inflammatory bowel disease unrelated to disease activity. Mod Pathol. 2014; 27: 602-8.</w:t>
      </w:r>
    </w:p>
    <w:p w14:paraId="24BD3FB9"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Coskun M, Bjerrum JT, Seidelin JB, Troelsen JT, Olsen J, Nielsen OH. miR-20b, miR-98, miR-125b-1*, and let-7e* as new potential diagnostic biomarkers in ulcerative colitis. World J Gastroenterol. 2013; 19: 4289-99.</w:t>
      </w:r>
    </w:p>
    <w:p w14:paraId="0B425FF2"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Cai M, Chen S, Hu W. MicroRNA-141 Is Involved in Ulcerative Colitis Pathogenesis via Aiming at CXCL5. J Interferon Cytokine Res. 2017; 37: 415-20.</w:t>
      </w:r>
    </w:p>
    <w:p w14:paraId="0C678230"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Schaefer JS, Attumi T, Opekun AR, Abraham B, Hou J, Shelby H, et al. MicroRNA signatures differentiate Crohn's disease from ulcerative colitis. BMC Immunol. 2015; 16: 5.</w:t>
      </w:r>
    </w:p>
    <w:p w14:paraId="79FA128C"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Nguyen HT, Dalmasso G, Yan Y, Laroui H, Dahan S, Mayer L, et al. MicroRNA-7 modulates CD98 expression during intestinal epithelial cell differentiation. J Biol Chem. 2010; 285: 1479-89.</w:t>
      </w:r>
    </w:p>
    <w:p w14:paraId="09A67E06"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lastRenderedPageBreak/>
        <w:t>Ando Y, Mazzurana L, Forkel M, Okazaki K, Aoi M, Schmidt PT, et al. Downregulation of MicroRNA-21 in Colonic CD3+ T Cells in UC Remission. Inflamm Bowel Dis. 2016; 22: 2788-93.</w:t>
      </w:r>
    </w:p>
    <w:p w14:paraId="533D54B7"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Yang Y, Ma Y, Shi C, Chen H, Zhang H, Chen N, et al. Overexpression of miR-21 in patients with ulcerative colitis impairs intestinal epithelial barrier function through targeting the Rho GTPase RhoB. Biochem Biophys Res Commun. 2013; 434: 746-52.</w:t>
      </w:r>
    </w:p>
    <w:p w14:paraId="72E7D495"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Thorlacius-Ussing G, Schnack Nielsen B, Andersen V, Holmstrom K, Pedersen AE. Expression and Localization of miR-21 and miR-126 in Mucosal Tissue from Patients with Inflammatory Bowel Disease. Inflamm Bowel Dis. 2017; 23: 739-52.</w:t>
      </w:r>
    </w:p>
    <w:p w14:paraId="42D34BBE"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Wu F, Zhang S, Dassopoulos T, Harris ML, Bayless TM, Meltzer SJ, et al. Identification of microRNAs associated with ileal and colonic Crohn's disease. Inflamm Bowel Dis. 2010; 16: 1729-38.</w:t>
      </w:r>
    </w:p>
    <w:p w14:paraId="3F0D9C5A"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Shi T, Xie Y, Fu Y, Zhou Q, Ma Z, Ma J, et al. The signaling axis of microRNA-31/interleukin-25 regulates Th1/Th17-mediated inflammation response in colitis. Mucosal Immunol. 2017; 10: 983-95.</w:t>
      </w:r>
    </w:p>
    <w:p w14:paraId="08340ADB"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Zhang C, Zhao Z, Osman H, Watson R, Nalbantoglu I, Lin J. Differential expression of miR-31 between inflammatory bowel disease and microscopic colitis. Microrna. 2014; 3: 155-9.</w:t>
      </w:r>
    </w:p>
    <w:p w14:paraId="4F912516"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Zahm AM, Hand NJ, Tsoucas DM, Le Guen CL, Baldassano RN, Friedman JR. Rectal microRNAs are perturbed in pediatric inflammatory bowel disease of the colon. J Crohns Colitis. 2014; 8: 1108-17.</w:t>
      </w:r>
    </w:p>
    <w:p w14:paraId="0E48994F"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Guo Z, Wu R, Gong J, Zhu W, Li Y, Wang Z, et al. Altered microRNA expression in inflamed and non-inflamed terminal ileal mucosa of adult patients with active Crohn's disease. J Gastroenterol Hepatol. 2015; 30: 109-16.</w:t>
      </w:r>
    </w:p>
    <w:p w14:paraId="122E16C9"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lastRenderedPageBreak/>
        <w:t>Paraskevi A, Theodoropoulos G, Papaconstantinou I, Mantzaris G, Nikiteas N, Gazouli M. Circulating MicroRNA in inflammatory bowel disease. J Crohns Colitis. 2012; 6: 900-4.</w:t>
      </w:r>
    </w:p>
    <w:p w14:paraId="0D2CE182"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Wu F, Guo NJ, Tian H, Marohn M, Gearhart S, Bayless TM, et al. Peripheral blood microRNAs distinguish active ulcerative colitis and Crohn's disease. Inflamm Bowel Dis. 2011; 17: 241-50.</w:t>
      </w:r>
    </w:p>
    <w:p w14:paraId="0DD3EC74"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Duttagupta R, DiRienzo S, Jiang R, Bowers J, Gollub J, Kao J, et al. Genome-wide maps of circulating miRNA biomarkers for ulcerative colitis. PLoS One. 2012; 7: e31241.</w:t>
      </w:r>
    </w:p>
    <w:p w14:paraId="1622E8C6"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Zahm AM, Thayu M, Hand NJ, Horner A, Leonard MB, Friedman JR. Circulating microRNA is a biomarker of pediatric Crohn disease. J Pediatr Gastroenterol Nutr. 2011; 53: 26-33.</w:t>
      </w:r>
    </w:p>
    <w:p w14:paraId="5448A41C" w14:textId="77777777" w:rsidR="00DE28CF" w:rsidRDefault="00DE28CF" w:rsidP="00DE28CF">
      <w:pPr>
        <w:pStyle w:val="EndNoteBibliography"/>
        <w:numPr>
          <w:ilvl w:val="0"/>
          <w:numId w:val="21"/>
        </w:numPr>
        <w:spacing w:after="0" w:line="480" w:lineRule="auto"/>
        <w:rPr>
          <w:color w:val="000000" w:themeColor="text1"/>
        </w:rPr>
      </w:pPr>
      <w:r w:rsidRPr="004D01E6">
        <w:rPr>
          <w:color w:val="000000" w:themeColor="text1"/>
        </w:rPr>
        <w:t>Viennois E, Zhao Y, Han MK, Xiao B, Zhang M, Prasad M, et al. Serum miRNA signature diagnoses and discriminates murine colitis subtypes and predicts ulcerative colitis in humans. Sci Rep. 2017; 7: 2520.</w:t>
      </w:r>
    </w:p>
    <w:p w14:paraId="01CC9826" w14:textId="77777777" w:rsidR="00DE28CF" w:rsidRPr="004D01E6" w:rsidRDefault="00DE28CF" w:rsidP="00DE28CF">
      <w:pPr>
        <w:pStyle w:val="EndNoteBibliography"/>
        <w:numPr>
          <w:ilvl w:val="0"/>
          <w:numId w:val="21"/>
        </w:numPr>
        <w:spacing w:after="0" w:line="480" w:lineRule="auto"/>
        <w:rPr>
          <w:color w:val="000000" w:themeColor="text1"/>
        </w:rPr>
      </w:pPr>
      <w:r w:rsidRPr="004D01E6">
        <w:rPr>
          <w:color w:val="000000" w:themeColor="text1"/>
        </w:rPr>
        <w:t>Jensen MD, Andersen RF, Christensen H, Nathan T, Kjeldsen J, Madsen JS. Circulating microRNAs as biomarkers of adult Crohn's disease. Eur J Gastroenterol Hepatol. 2015; 27: 1038-44.</w:t>
      </w:r>
    </w:p>
    <w:p w14:paraId="20F59258"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Gallo A, Tandon M, Alevizos I, Illei GG. The majority of microRNAs detectable in serum and saliva is concentrated in exosomes. PLoS One. 2012; 7: e30679.</w:t>
      </w:r>
    </w:p>
    <w:p w14:paraId="07FBF7B7"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Vickers KC, Palmisano BT, Shoucri BM, Shamburek RD, Remaley AT. MicroRNAs are transported in plasma and delivered to recipient cells by high-density lipoproteins. Nat Cell Biol. 2011; 13: 423-33.</w:t>
      </w:r>
    </w:p>
    <w:p w14:paraId="685AE55E"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Chen WX, Ren LH, Shi RH. Implication of miRNAs for inflammatory bowel disease treatment: Systematic review. World J Gastrointest Pathophysiol. 2014; 5: 63-70.</w:t>
      </w:r>
    </w:p>
    <w:p w14:paraId="021E48B4"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lastRenderedPageBreak/>
        <w:t>Tian Y, Xu J, Li Y, Zhao R, Du S, Lv C, et al. MicroRNA-31 Reduces Inflammatory Signaling and Promotes Regeneration in Colon Epithelium, and Delivery of Mimics in Microspheres Reduces Colitis in Mice. Gastroenterology. 2019; 156: 2281-96 e6.</w:t>
      </w:r>
    </w:p>
    <w:p w14:paraId="5ED7D70A"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Neudecker V, Haneklaus M, Jensen O, Khailova L, Masterson JC, Tye H, et al. Myeloid-derived miR-223 regulates intestinal inflammation via repression of the NLRP3 inflammasome. J Exp Med. 2017; 214: 1737-52.</w:t>
      </w:r>
    </w:p>
    <w:p w14:paraId="19617693"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Cheng X, Zhang X, Su J, Zhang Y, Zhou W, Zhou J, et al. miR-19b downregulates intestinal SOCS3 to reduce intestinal inflammation in Crohn's disease. Sci Rep. 2015; 5: 10397.</w:t>
      </w:r>
    </w:p>
    <w:p w14:paraId="4B0EAB03"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Yang J, Zhou CZ, Zhu R, Fan H, Liu XX, Duan XY, et al. miR-200b-containing microvesicles attenuate experimental colitis associated intestinal fibrosis by inhibiting epithelial-mesenchymal transition. J Gastroenterol Hepatol. 2017; 32: 1966-74.</w:t>
      </w:r>
    </w:p>
    <w:p w14:paraId="0CC3621E" w14:textId="77777777" w:rsidR="00DE28CF" w:rsidRPr="004E1632" w:rsidRDefault="00DE28CF" w:rsidP="00DE28CF">
      <w:pPr>
        <w:pStyle w:val="EndNoteBibliography"/>
        <w:numPr>
          <w:ilvl w:val="0"/>
          <w:numId w:val="21"/>
        </w:numPr>
        <w:spacing w:after="0" w:line="480" w:lineRule="auto"/>
        <w:rPr>
          <w:color w:val="000000" w:themeColor="text1"/>
        </w:rPr>
      </w:pPr>
      <w:r w:rsidRPr="004E1632">
        <w:rPr>
          <w:color w:val="000000" w:themeColor="text1"/>
        </w:rPr>
        <w:t>Zhang M, Viennois E, Prasad M, Zhang Y, Wang L, Zhang Z, et al. Edible ginger-derived nanoparticles: A novel therapeutic approach for the prevention and treatment of inflammatory bowel disease and colitis-associated cancer. Biomaterials. 2016; 101: 321-40.</w:t>
      </w:r>
    </w:p>
    <w:p w14:paraId="3E97CC13" w14:textId="77777777" w:rsidR="00DE28CF" w:rsidRDefault="00DE28CF" w:rsidP="00DE28CF">
      <w:pPr>
        <w:pStyle w:val="EndNoteBibliography"/>
        <w:numPr>
          <w:ilvl w:val="0"/>
          <w:numId w:val="21"/>
        </w:numPr>
        <w:spacing w:line="480" w:lineRule="auto"/>
        <w:rPr>
          <w:color w:val="000000" w:themeColor="text1"/>
        </w:rPr>
      </w:pPr>
      <w:r w:rsidRPr="004E1632">
        <w:rPr>
          <w:color w:val="000000" w:themeColor="text1"/>
        </w:rPr>
        <w:t>Fukata T, Mizushima T, Nishimura J, Okuzaki D, Wu X, Hirose H, et al. The Supercarbonate Apatite-MicroRNA Complex Inhibits Dextran Sodium Sulfate-Induced Colitis. Mol Ther Nucleic Acids. 2018; 12: 658-71.</w:t>
      </w:r>
    </w:p>
    <w:p w14:paraId="06BE62B8" w14:textId="77777777" w:rsidR="000074DE" w:rsidRPr="00801161" w:rsidRDefault="000074DE" w:rsidP="000074DE"/>
    <w:p w14:paraId="50DDE830" w14:textId="77777777" w:rsidR="00506030" w:rsidRPr="00FD697C" w:rsidRDefault="007C280A">
      <w:pPr>
        <w:spacing w:after="160" w:line="259" w:lineRule="auto"/>
        <w:jc w:val="both"/>
        <w:rPr>
          <w:color w:val="000000" w:themeColor="text1"/>
        </w:rPr>
      </w:pPr>
      <w:r w:rsidRPr="00801161">
        <w:rPr>
          <w:color w:val="000000" w:themeColor="text1"/>
        </w:rPr>
        <w:br w:type="page"/>
      </w:r>
    </w:p>
    <w:p w14:paraId="6C214DE1" w14:textId="77777777" w:rsidR="00474785" w:rsidRPr="00FD697C" w:rsidRDefault="007C280A" w:rsidP="00FF2683">
      <w:pPr>
        <w:spacing w:line="360" w:lineRule="auto"/>
        <w:jc w:val="both"/>
        <w:rPr>
          <w:rFonts w:ascii="Arial" w:hAnsi="Arial" w:cs="Arial"/>
          <w:b/>
          <w:szCs w:val="24"/>
          <w:lang w:eastAsia="ko-KR"/>
        </w:rPr>
      </w:pPr>
      <w:r w:rsidRPr="00801161">
        <w:rPr>
          <w:rFonts w:ascii="Arial" w:hAnsi="Arial" w:cs="Arial"/>
          <w:b/>
          <w:noProof/>
          <w:szCs w:val="24"/>
          <w:lang w:val="en-GB" w:eastAsia="en-GB"/>
        </w:rPr>
        <w:lastRenderedPageBreak/>
        <w:drawing>
          <wp:inline distT="0" distB="0" distL="0" distR="0" wp14:anchorId="4C98A39E" wp14:editId="16C9AFB4">
            <wp:extent cx="5199888" cy="2234184"/>
            <wp:effectExtent l="0" t="0" r="127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559635" name="그림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99888" cy="2234184"/>
                    </a:xfrm>
                    <a:prstGeom prst="rect">
                      <a:avLst/>
                    </a:prstGeom>
                  </pic:spPr>
                </pic:pic>
              </a:graphicData>
            </a:graphic>
          </wp:inline>
        </w:drawing>
      </w:r>
    </w:p>
    <w:p w14:paraId="54B5A5C6" w14:textId="77777777" w:rsidR="00474785" w:rsidRPr="00801161" w:rsidRDefault="007C280A" w:rsidP="00BE1CCF">
      <w:pPr>
        <w:pStyle w:val="Caption"/>
        <w:spacing w:line="360" w:lineRule="auto"/>
        <w:rPr>
          <w:rFonts w:ascii="Arial" w:hAnsi="Arial" w:cs="Arial"/>
          <w:b w:val="0"/>
          <w:sz w:val="24"/>
          <w:szCs w:val="24"/>
          <w:lang w:eastAsia="ko-KR"/>
        </w:rPr>
      </w:pPr>
      <w:r w:rsidRPr="00801161">
        <w:rPr>
          <w:rFonts w:ascii="Arial" w:hAnsi="Arial" w:cs="Arial"/>
          <w:sz w:val="24"/>
          <w:szCs w:val="24"/>
        </w:rPr>
        <w:t xml:space="preserve">Figure 1. </w:t>
      </w:r>
      <w:r w:rsidRPr="00801161">
        <w:rPr>
          <w:rFonts w:ascii="Arial" w:hAnsi="Arial" w:cs="Arial"/>
          <w:b w:val="0"/>
          <w:sz w:val="24"/>
          <w:szCs w:val="24"/>
        </w:rPr>
        <w:t xml:space="preserve">Biosynthesis of miRNA and the mechanism of action. </w:t>
      </w:r>
      <w:r w:rsidRPr="00801161">
        <w:rPr>
          <w:rFonts w:ascii="Arial" w:hAnsi="Arial" w:cs="Arial"/>
          <w:b w:val="0"/>
          <w:sz w:val="24"/>
          <w:szCs w:val="24"/>
          <w:lang w:eastAsia="ko-KR"/>
        </w:rPr>
        <w:t>miRNA: microRNA; RISC: RNA-induced silencing complex.</w:t>
      </w:r>
    </w:p>
    <w:p w14:paraId="57A592A4" w14:textId="77777777" w:rsidR="00474785" w:rsidRPr="00801161" w:rsidRDefault="007C280A">
      <w:pPr>
        <w:spacing w:after="160" w:line="259" w:lineRule="auto"/>
        <w:jc w:val="both"/>
        <w:rPr>
          <w:rFonts w:ascii="Arial" w:hAnsi="Arial" w:cs="Arial"/>
          <w:bCs/>
          <w:szCs w:val="24"/>
          <w:lang w:eastAsia="ko-KR"/>
        </w:rPr>
      </w:pPr>
      <w:r w:rsidRPr="00801161">
        <w:rPr>
          <w:rFonts w:ascii="Arial" w:hAnsi="Arial" w:cs="Arial"/>
          <w:b/>
          <w:szCs w:val="24"/>
          <w:lang w:eastAsia="ko-KR"/>
        </w:rPr>
        <w:br w:type="page"/>
      </w:r>
    </w:p>
    <w:p w14:paraId="05F78522" w14:textId="77777777" w:rsidR="00474785" w:rsidRPr="00801161" w:rsidRDefault="007C280A" w:rsidP="00474785">
      <w:pPr>
        <w:rPr>
          <w:lang w:eastAsia="ko-KR"/>
        </w:rPr>
      </w:pPr>
      <w:r w:rsidRPr="00801161">
        <w:rPr>
          <w:noProof/>
          <w:lang w:val="en-GB" w:eastAsia="en-GB"/>
        </w:rPr>
        <w:lastRenderedPageBreak/>
        <w:drawing>
          <wp:inline distT="0" distB="0" distL="0" distR="0" wp14:anchorId="526654EC" wp14:editId="3AD4B4FB">
            <wp:extent cx="5731510" cy="3223895"/>
            <wp:effectExtent l="0" t="0" r="254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963144" name="그림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3223895"/>
                    </a:xfrm>
                    <a:prstGeom prst="rect">
                      <a:avLst/>
                    </a:prstGeom>
                  </pic:spPr>
                </pic:pic>
              </a:graphicData>
            </a:graphic>
          </wp:inline>
        </w:drawing>
      </w:r>
    </w:p>
    <w:p w14:paraId="03BB1DE1" w14:textId="6DF24658" w:rsidR="00BE1CCF" w:rsidRPr="00801161" w:rsidRDefault="007C280A" w:rsidP="00BE1CCF">
      <w:pPr>
        <w:spacing w:line="360" w:lineRule="auto"/>
        <w:jc w:val="both"/>
        <w:rPr>
          <w:rFonts w:ascii="Arial" w:hAnsi="Arial" w:cs="Arial"/>
          <w:bCs/>
          <w:szCs w:val="24"/>
          <w:lang w:eastAsia="ko-KR"/>
        </w:rPr>
      </w:pPr>
      <w:r w:rsidRPr="00801161">
        <w:rPr>
          <w:rFonts w:ascii="Arial" w:hAnsi="Arial" w:cs="Arial"/>
          <w:b/>
          <w:bCs/>
          <w:szCs w:val="24"/>
          <w:lang w:eastAsia="ko-KR"/>
        </w:rPr>
        <w:t xml:space="preserve">Figure 2. </w:t>
      </w:r>
      <w:r w:rsidRPr="00801161">
        <w:rPr>
          <w:rFonts w:ascii="Arial" w:hAnsi="Arial" w:cs="Arial"/>
          <w:bCs/>
          <w:szCs w:val="24"/>
          <w:lang w:eastAsia="ko-KR"/>
        </w:rPr>
        <w:t>Intracellular interactions in intestinal homeostasis and inflammation. In intestinal homeostasis, commensal bacteria and dietary metabolites</w:t>
      </w:r>
      <w:r w:rsidR="006C5350" w:rsidRPr="00801161">
        <w:rPr>
          <w:rFonts w:ascii="Arial" w:hAnsi="Arial" w:cs="Arial"/>
          <w:bCs/>
          <w:szCs w:val="24"/>
          <w:lang w:eastAsia="ko-KR"/>
        </w:rPr>
        <w:t>,</w:t>
      </w:r>
      <w:r w:rsidRPr="00801161">
        <w:rPr>
          <w:rFonts w:ascii="Arial" w:hAnsi="Arial" w:cs="Arial"/>
          <w:bCs/>
          <w:szCs w:val="24"/>
          <w:lang w:eastAsia="ko-KR"/>
        </w:rPr>
        <w:t xml:space="preserve"> such as RA and AhR ligands</w:t>
      </w:r>
      <w:r w:rsidR="006C5350" w:rsidRPr="00801161">
        <w:rPr>
          <w:rFonts w:ascii="Arial" w:hAnsi="Arial" w:cs="Arial"/>
          <w:bCs/>
          <w:szCs w:val="24"/>
          <w:lang w:eastAsia="ko-KR"/>
        </w:rPr>
        <w:t>,</w:t>
      </w:r>
      <w:r w:rsidRPr="00801161">
        <w:rPr>
          <w:rFonts w:ascii="Arial" w:hAnsi="Arial" w:cs="Arial"/>
          <w:bCs/>
          <w:szCs w:val="24"/>
          <w:lang w:eastAsia="ko-KR"/>
        </w:rPr>
        <w:t xml:space="preserve"> induce immune tolerance through the action of Treg cells and anti-inflammatory cytokines</w:t>
      </w:r>
      <w:r w:rsidR="006C5350" w:rsidRPr="00801161">
        <w:rPr>
          <w:rFonts w:ascii="Arial" w:hAnsi="Arial" w:cs="Arial"/>
          <w:bCs/>
          <w:szCs w:val="24"/>
          <w:lang w:eastAsia="ko-KR"/>
        </w:rPr>
        <w:t>,</w:t>
      </w:r>
      <w:r w:rsidRPr="00801161">
        <w:rPr>
          <w:rFonts w:ascii="Arial" w:hAnsi="Arial" w:cs="Arial"/>
          <w:bCs/>
          <w:szCs w:val="24"/>
          <w:lang w:eastAsia="ko-KR"/>
        </w:rPr>
        <w:t xml:space="preserve"> including IL-10 and TGF-β1. Various immune cells are recruited into </w:t>
      </w:r>
      <w:r w:rsidR="00627339" w:rsidRPr="00801161">
        <w:rPr>
          <w:rFonts w:ascii="Arial" w:hAnsi="Arial" w:cs="Arial"/>
          <w:bCs/>
          <w:szCs w:val="24"/>
          <w:lang w:eastAsia="ko-KR"/>
        </w:rPr>
        <w:t xml:space="preserve">the </w:t>
      </w:r>
      <w:r w:rsidRPr="00801161">
        <w:rPr>
          <w:rFonts w:ascii="Arial" w:hAnsi="Arial" w:cs="Arial"/>
          <w:bCs/>
          <w:szCs w:val="24"/>
          <w:lang w:eastAsia="ko-KR"/>
        </w:rPr>
        <w:t xml:space="preserve">intestinal lamina propria but </w:t>
      </w:r>
      <w:r w:rsidR="006C5350" w:rsidRPr="00801161">
        <w:rPr>
          <w:rFonts w:ascii="Arial" w:hAnsi="Arial" w:cs="Arial"/>
          <w:bCs/>
          <w:szCs w:val="24"/>
          <w:lang w:eastAsia="ko-KR"/>
        </w:rPr>
        <w:t xml:space="preserve">are </w:t>
      </w:r>
      <w:r w:rsidRPr="00801161">
        <w:rPr>
          <w:rFonts w:ascii="Arial" w:hAnsi="Arial" w:cs="Arial"/>
          <w:bCs/>
          <w:szCs w:val="24"/>
          <w:lang w:eastAsia="ko-KR"/>
        </w:rPr>
        <w:t xml:space="preserve">not activated. </w:t>
      </w:r>
      <w:r w:rsidR="006C5350" w:rsidRPr="00801161">
        <w:rPr>
          <w:rFonts w:ascii="Arial" w:hAnsi="Arial" w:cs="Arial"/>
          <w:bCs/>
          <w:szCs w:val="24"/>
          <w:lang w:eastAsia="ko-KR"/>
        </w:rPr>
        <w:t>However</w:t>
      </w:r>
      <w:r w:rsidRPr="00801161">
        <w:rPr>
          <w:rFonts w:ascii="Arial" w:hAnsi="Arial" w:cs="Arial"/>
          <w:bCs/>
          <w:szCs w:val="24"/>
          <w:lang w:eastAsia="ko-KR"/>
        </w:rPr>
        <w:t>, IgA produced by plasma cells, and anti-microbial peptides</w:t>
      </w:r>
      <w:r w:rsidR="006C5350" w:rsidRPr="00801161">
        <w:rPr>
          <w:rFonts w:ascii="Arial" w:hAnsi="Arial" w:cs="Arial"/>
          <w:bCs/>
          <w:szCs w:val="24"/>
          <w:lang w:eastAsia="ko-KR"/>
        </w:rPr>
        <w:t>,</w:t>
      </w:r>
      <w:r w:rsidRPr="00801161">
        <w:rPr>
          <w:rFonts w:ascii="Arial" w:hAnsi="Arial" w:cs="Arial"/>
          <w:bCs/>
          <w:szCs w:val="24"/>
          <w:lang w:eastAsia="ko-KR"/>
        </w:rPr>
        <w:t xml:space="preserve"> including REG3 and defensin</w:t>
      </w:r>
      <w:r w:rsidR="00C22956" w:rsidRPr="00801161">
        <w:rPr>
          <w:rFonts w:ascii="Arial" w:hAnsi="Arial" w:cs="Arial"/>
          <w:bCs/>
          <w:szCs w:val="24"/>
          <w:lang w:eastAsia="ko-KR"/>
        </w:rPr>
        <w:t>,</w:t>
      </w:r>
      <w:r w:rsidRPr="00801161">
        <w:rPr>
          <w:rFonts w:ascii="Arial" w:hAnsi="Arial" w:cs="Arial"/>
          <w:bCs/>
          <w:szCs w:val="24"/>
          <w:lang w:eastAsia="ko-KR"/>
        </w:rPr>
        <w:t xml:space="preserve"> </w:t>
      </w:r>
      <w:r w:rsidR="006C5350" w:rsidRPr="00801161">
        <w:rPr>
          <w:rFonts w:ascii="Arial" w:hAnsi="Arial" w:cs="Arial"/>
          <w:bCs/>
          <w:szCs w:val="24"/>
          <w:lang w:eastAsia="ko-KR"/>
        </w:rPr>
        <w:t xml:space="preserve">which </w:t>
      </w:r>
      <w:r w:rsidRPr="00801161">
        <w:rPr>
          <w:rFonts w:ascii="Arial" w:hAnsi="Arial" w:cs="Arial"/>
          <w:bCs/>
          <w:szCs w:val="24"/>
          <w:lang w:eastAsia="ko-KR"/>
        </w:rPr>
        <w:t>are secreted from ILC3 and Th17 cells</w:t>
      </w:r>
      <w:r w:rsidR="006C5350" w:rsidRPr="00801161">
        <w:rPr>
          <w:rFonts w:ascii="Arial" w:hAnsi="Arial" w:cs="Arial"/>
          <w:bCs/>
          <w:szCs w:val="24"/>
          <w:lang w:eastAsia="ko-KR"/>
        </w:rPr>
        <w:t>,</w:t>
      </w:r>
      <w:r w:rsidRPr="00801161">
        <w:rPr>
          <w:rFonts w:ascii="Arial" w:hAnsi="Arial" w:cs="Arial"/>
          <w:bCs/>
          <w:szCs w:val="24"/>
          <w:lang w:eastAsia="ko-KR"/>
        </w:rPr>
        <w:t xml:space="preserve"> prevent the pathogenic colonization of intestinal bacteria and invasion through</w:t>
      </w:r>
      <w:r w:rsidR="006C5350" w:rsidRPr="00801161">
        <w:rPr>
          <w:rFonts w:ascii="Arial" w:hAnsi="Arial" w:cs="Arial"/>
          <w:bCs/>
          <w:szCs w:val="24"/>
          <w:lang w:eastAsia="ko-KR"/>
        </w:rPr>
        <w:t xml:space="preserve"> the</w:t>
      </w:r>
      <w:r w:rsidRPr="00801161">
        <w:rPr>
          <w:rFonts w:ascii="Arial" w:hAnsi="Arial" w:cs="Arial"/>
          <w:bCs/>
          <w:szCs w:val="24"/>
          <w:lang w:eastAsia="ko-KR"/>
        </w:rPr>
        <w:t xml:space="preserve"> intestinal epithelium. In intestinal inflammation, direct invasion of commensal or pathogenic bacteria through</w:t>
      </w:r>
      <w:r w:rsidR="006C5350" w:rsidRPr="00801161">
        <w:rPr>
          <w:rFonts w:ascii="Arial" w:hAnsi="Arial" w:cs="Arial"/>
          <w:bCs/>
          <w:szCs w:val="24"/>
          <w:lang w:eastAsia="ko-KR"/>
        </w:rPr>
        <w:t xml:space="preserve"> the</w:t>
      </w:r>
      <w:r w:rsidRPr="00801161">
        <w:rPr>
          <w:rFonts w:ascii="Arial" w:hAnsi="Arial" w:cs="Arial"/>
          <w:bCs/>
          <w:szCs w:val="24"/>
          <w:lang w:eastAsia="ko-KR"/>
        </w:rPr>
        <w:t xml:space="preserve"> broken intestinal barrier cause</w:t>
      </w:r>
      <w:r w:rsidR="006C5350" w:rsidRPr="00801161">
        <w:rPr>
          <w:rFonts w:ascii="Arial" w:hAnsi="Arial" w:cs="Arial"/>
          <w:bCs/>
          <w:szCs w:val="24"/>
          <w:lang w:eastAsia="ko-KR"/>
        </w:rPr>
        <w:t>s</w:t>
      </w:r>
      <w:r w:rsidRPr="00801161">
        <w:rPr>
          <w:rFonts w:ascii="Arial" w:hAnsi="Arial" w:cs="Arial"/>
          <w:bCs/>
          <w:szCs w:val="24"/>
          <w:lang w:eastAsia="ko-KR"/>
        </w:rPr>
        <w:t xml:space="preserve"> inflammatory responses. Various immune cells and cytokines induce inflammatory reactions and augment anti-microbial activity. </w:t>
      </w:r>
      <w:r w:rsidRPr="00801161">
        <w:rPr>
          <w:rFonts w:ascii="Arial" w:hAnsi="Arial" w:cs="Arial"/>
          <w:color w:val="000000" w:themeColor="text1"/>
          <w:szCs w:val="24"/>
        </w:rPr>
        <w:t>AhR: aryl hydrocarbon receptor; IFN: interferon; IL-: interleukin; ILC: innate lymphoid cell; NK T cell: natural killer T cell; PMN: polymorphonuclear leukocyte; RA: retinoic acid;</w:t>
      </w:r>
      <w:r w:rsidRPr="00801161">
        <w:rPr>
          <w:rFonts w:ascii="Arial" w:hAnsi="Arial" w:cs="Arial"/>
          <w:szCs w:val="24"/>
        </w:rPr>
        <w:t xml:space="preserve"> REG3: </w:t>
      </w:r>
      <w:r w:rsidRPr="00801161">
        <w:rPr>
          <w:rFonts w:ascii="Arial" w:hAnsi="Arial" w:cs="Arial"/>
          <w:color w:val="000000" w:themeColor="text1"/>
          <w:szCs w:val="24"/>
        </w:rPr>
        <w:t>Regenerating islet-derived protein 3; TGF</w:t>
      </w:r>
      <w:r w:rsidRPr="00801161">
        <w:rPr>
          <w:rFonts w:ascii="Arial" w:eastAsia="Malgun Gothic" w:hAnsi="Arial" w:cs="Arial"/>
          <w:szCs w:val="24"/>
          <w:lang w:eastAsia="ko-KR"/>
        </w:rPr>
        <w:t xml:space="preserve"> β1</w:t>
      </w:r>
      <w:r w:rsidRPr="00801161">
        <w:rPr>
          <w:rFonts w:ascii="Arial" w:hAnsi="Arial" w:cs="Arial"/>
          <w:color w:val="000000" w:themeColor="text1"/>
          <w:szCs w:val="24"/>
        </w:rPr>
        <w:t xml:space="preserve">: transforming growth factor </w:t>
      </w:r>
      <w:r w:rsidRPr="00801161">
        <w:rPr>
          <w:rFonts w:ascii="Arial" w:eastAsia="Malgun Gothic" w:hAnsi="Arial" w:cs="Arial"/>
          <w:szCs w:val="24"/>
          <w:lang w:eastAsia="ko-KR"/>
        </w:rPr>
        <w:t>β1</w:t>
      </w:r>
      <w:r w:rsidRPr="00801161">
        <w:rPr>
          <w:rFonts w:ascii="Arial" w:hAnsi="Arial" w:cs="Arial"/>
          <w:color w:val="000000" w:themeColor="text1"/>
          <w:szCs w:val="24"/>
        </w:rPr>
        <w:t>; Th1: T helper type 1; Th2: T helper type 2; Th17: T helper type 17; TNF</w:t>
      </w:r>
      <w:r w:rsidRPr="00801161">
        <w:rPr>
          <w:rFonts w:ascii="Arial" w:hAnsi="Arial" w:cs="Arial"/>
          <w:szCs w:val="24"/>
        </w:rPr>
        <w:t>-α</w:t>
      </w:r>
      <w:r w:rsidRPr="00801161">
        <w:rPr>
          <w:rFonts w:ascii="Arial" w:hAnsi="Arial" w:cs="Arial"/>
          <w:color w:val="000000" w:themeColor="text1"/>
          <w:szCs w:val="24"/>
        </w:rPr>
        <w:t>: tumor necrosis factor</w:t>
      </w:r>
      <w:r w:rsidRPr="00801161">
        <w:rPr>
          <w:rFonts w:ascii="Arial" w:hAnsi="Arial" w:cs="Arial"/>
          <w:szCs w:val="24"/>
        </w:rPr>
        <w:t>-α</w:t>
      </w:r>
      <w:r w:rsidRPr="00801161">
        <w:rPr>
          <w:rFonts w:ascii="Arial" w:hAnsi="Arial" w:cs="Arial"/>
          <w:color w:val="000000" w:themeColor="text1"/>
          <w:szCs w:val="24"/>
        </w:rPr>
        <w:t>; Treg cell: regulatory T cell.</w:t>
      </w:r>
    </w:p>
    <w:p w14:paraId="3C7600E1" w14:textId="77777777" w:rsidR="00BE1CCF" w:rsidRPr="00801161" w:rsidRDefault="00BE1CCF" w:rsidP="00FF2683">
      <w:pPr>
        <w:spacing w:line="360" w:lineRule="auto"/>
        <w:jc w:val="both"/>
        <w:rPr>
          <w:rFonts w:eastAsia="DengXian"/>
          <w:szCs w:val="24"/>
        </w:rPr>
      </w:pPr>
    </w:p>
    <w:p w14:paraId="160C7DCD" w14:textId="77777777" w:rsidR="00CD7E2E" w:rsidRPr="00801161" w:rsidRDefault="007C280A" w:rsidP="00083746">
      <w:pPr>
        <w:spacing w:after="160" w:line="259" w:lineRule="auto"/>
        <w:jc w:val="both"/>
        <w:rPr>
          <w:rFonts w:eastAsia="DengXian"/>
          <w:szCs w:val="24"/>
        </w:rPr>
      </w:pPr>
      <w:r w:rsidRPr="00801161">
        <w:rPr>
          <w:rFonts w:eastAsia="DengXian"/>
          <w:szCs w:val="24"/>
        </w:rPr>
        <w:br w:type="page"/>
      </w:r>
    </w:p>
    <w:p w14:paraId="7842CE94" w14:textId="77777777" w:rsidR="00291808" w:rsidRPr="00801161" w:rsidRDefault="00291808" w:rsidP="00B70308">
      <w:pPr>
        <w:spacing w:line="360" w:lineRule="auto"/>
        <w:jc w:val="both"/>
        <w:rPr>
          <w:rFonts w:ascii="Arial" w:hAnsi="Arial" w:cs="Arial"/>
          <w:bCs/>
          <w:sz w:val="20"/>
          <w:szCs w:val="20"/>
          <w:lang w:eastAsia="ko-KR"/>
        </w:rPr>
        <w:sectPr w:rsidR="00291808" w:rsidRPr="00801161" w:rsidSect="00FF2683">
          <w:pgSz w:w="11906" w:h="16838"/>
          <w:pgMar w:top="1701" w:right="1440" w:bottom="1440" w:left="1440" w:header="851" w:footer="992" w:gutter="0"/>
          <w:cols w:space="425"/>
          <w:docGrid w:linePitch="360"/>
        </w:sectPr>
      </w:pPr>
    </w:p>
    <w:p w14:paraId="35FBEAF1" w14:textId="3D8A5E9A" w:rsidR="00CD7E2E" w:rsidRPr="00801161" w:rsidRDefault="007C280A" w:rsidP="00FF2683">
      <w:pPr>
        <w:spacing w:after="120" w:line="360" w:lineRule="auto"/>
        <w:jc w:val="both"/>
        <w:rPr>
          <w:b/>
          <w:szCs w:val="24"/>
        </w:rPr>
      </w:pPr>
      <w:r w:rsidRPr="00801161">
        <w:rPr>
          <w:rFonts w:ascii="Arial" w:hAnsi="Arial" w:cs="Arial"/>
          <w:b/>
          <w:szCs w:val="24"/>
        </w:rPr>
        <w:lastRenderedPageBreak/>
        <w:t xml:space="preserve">Table 1. </w:t>
      </w:r>
      <w:r w:rsidR="00627339" w:rsidRPr="00801161">
        <w:rPr>
          <w:rFonts w:ascii="Arial" w:hAnsi="Arial" w:cs="Arial"/>
          <w:szCs w:val="24"/>
        </w:rPr>
        <w:t>R</w:t>
      </w:r>
      <w:r w:rsidRPr="00801161">
        <w:rPr>
          <w:rFonts w:ascii="Arial" w:hAnsi="Arial" w:cs="Arial"/>
          <w:szCs w:val="24"/>
        </w:rPr>
        <w:t>ole</w:t>
      </w:r>
      <w:r w:rsidR="00627339" w:rsidRPr="00801161">
        <w:rPr>
          <w:rFonts w:ascii="Arial" w:hAnsi="Arial" w:cs="Arial"/>
          <w:szCs w:val="24"/>
        </w:rPr>
        <w:t>s</w:t>
      </w:r>
      <w:r w:rsidRPr="00801161">
        <w:rPr>
          <w:rFonts w:ascii="Arial" w:hAnsi="Arial" w:cs="Arial"/>
          <w:szCs w:val="24"/>
        </w:rPr>
        <w:t xml:space="preserve"> of miRNAs in the pathogenesis of inflammatory bowel disease</w:t>
      </w:r>
    </w:p>
    <w:tbl>
      <w:tblPr>
        <w:tblStyle w:val="TableGrid"/>
        <w:tblW w:w="13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3"/>
        <w:gridCol w:w="2548"/>
        <w:gridCol w:w="8638"/>
        <w:gridCol w:w="947"/>
      </w:tblGrid>
      <w:tr w:rsidR="00DB7DB1" w:rsidRPr="00801161" w14:paraId="265B4E38" w14:textId="77777777" w:rsidTr="00FF2683">
        <w:trPr>
          <w:trHeight w:val="451"/>
        </w:trPr>
        <w:tc>
          <w:tcPr>
            <w:tcW w:w="1553" w:type="dxa"/>
            <w:tcBorders>
              <w:top w:val="single" w:sz="8" w:space="0" w:color="auto"/>
              <w:bottom w:val="single" w:sz="4" w:space="0" w:color="auto"/>
            </w:tcBorders>
            <w:shd w:val="clear" w:color="auto" w:fill="auto"/>
            <w:vAlign w:val="center"/>
          </w:tcPr>
          <w:p w14:paraId="1C70FE0A" w14:textId="77777777" w:rsidR="00CD7E2E" w:rsidRPr="00801161" w:rsidRDefault="007C280A" w:rsidP="00FF2683">
            <w:pPr>
              <w:spacing w:after="0" w:line="240" w:lineRule="auto"/>
              <w:jc w:val="both"/>
              <w:rPr>
                <w:b/>
                <w:bCs/>
                <w:sz w:val="21"/>
                <w:szCs w:val="21"/>
              </w:rPr>
            </w:pPr>
            <w:r w:rsidRPr="00801161">
              <w:rPr>
                <w:b/>
                <w:bCs/>
                <w:sz w:val="21"/>
                <w:szCs w:val="21"/>
              </w:rPr>
              <w:t>miRNAs</w:t>
            </w:r>
          </w:p>
        </w:tc>
        <w:tc>
          <w:tcPr>
            <w:tcW w:w="2548" w:type="dxa"/>
            <w:tcBorders>
              <w:top w:val="single" w:sz="8" w:space="0" w:color="auto"/>
              <w:bottom w:val="single" w:sz="4" w:space="0" w:color="auto"/>
            </w:tcBorders>
            <w:shd w:val="clear" w:color="auto" w:fill="auto"/>
            <w:vAlign w:val="center"/>
          </w:tcPr>
          <w:p w14:paraId="35CE7AFC" w14:textId="77777777" w:rsidR="00CD7E2E" w:rsidRPr="00801161" w:rsidRDefault="007C280A" w:rsidP="00FF2683">
            <w:pPr>
              <w:spacing w:after="0" w:line="240" w:lineRule="auto"/>
              <w:jc w:val="both"/>
              <w:rPr>
                <w:b/>
                <w:bCs/>
                <w:sz w:val="20"/>
                <w:szCs w:val="20"/>
              </w:rPr>
            </w:pPr>
            <w:r w:rsidRPr="00801161">
              <w:rPr>
                <w:b/>
                <w:bCs/>
                <w:sz w:val="20"/>
                <w:szCs w:val="20"/>
              </w:rPr>
              <w:t>Targets</w:t>
            </w:r>
          </w:p>
        </w:tc>
        <w:tc>
          <w:tcPr>
            <w:tcW w:w="8638" w:type="dxa"/>
            <w:tcBorders>
              <w:top w:val="single" w:sz="8" w:space="0" w:color="auto"/>
              <w:bottom w:val="single" w:sz="4" w:space="0" w:color="auto"/>
            </w:tcBorders>
            <w:shd w:val="clear" w:color="auto" w:fill="auto"/>
            <w:vAlign w:val="center"/>
          </w:tcPr>
          <w:p w14:paraId="4D50D59C" w14:textId="77777777" w:rsidR="00CD7E2E" w:rsidRPr="00801161" w:rsidRDefault="007C280A" w:rsidP="00FF2683">
            <w:pPr>
              <w:spacing w:after="0" w:line="240" w:lineRule="auto"/>
              <w:jc w:val="both"/>
              <w:rPr>
                <w:b/>
                <w:bCs/>
                <w:sz w:val="20"/>
                <w:szCs w:val="20"/>
              </w:rPr>
            </w:pPr>
            <w:r w:rsidRPr="00801161">
              <w:rPr>
                <w:b/>
                <w:bCs/>
                <w:sz w:val="20"/>
                <w:szCs w:val="20"/>
              </w:rPr>
              <w:t>Functions</w:t>
            </w:r>
          </w:p>
        </w:tc>
        <w:tc>
          <w:tcPr>
            <w:tcW w:w="946" w:type="dxa"/>
            <w:tcBorders>
              <w:top w:val="single" w:sz="8" w:space="0" w:color="auto"/>
              <w:bottom w:val="single" w:sz="4" w:space="0" w:color="auto"/>
            </w:tcBorders>
            <w:shd w:val="clear" w:color="auto" w:fill="auto"/>
            <w:vAlign w:val="center"/>
          </w:tcPr>
          <w:p w14:paraId="311FA720" w14:textId="77777777" w:rsidR="00CD7E2E" w:rsidRPr="00801161" w:rsidRDefault="007C280A" w:rsidP="00FF2683">
            <w:pPr>
              <w:spacing w:after="0" w:line="240" w:lineRule="auto"/>
              <w:jc w:val="both"/>
              <w:rPr>
                <w:b/>
                <w:bCs/>
                <w:sz w:val="20"/>
                <w:szCs w:val="20"/>
              </w:rPr>
            </w:pPr>
            <w:r w:rsidRPr="00801161">
              <w:rPr>
                <w:b/>
                <w:bCs/>
                <w:sz w:val="20"/>
                <w:szCs w:val="20"/>
              </w:rPr>
              <w:t>Ref.</w:t>
            </w:r>
          </w:p>
        </w:tc>
      </w:tr>
      <w:tr w:rsidR="00DB7DB1" w:rsidRPr="00801161" w14:paraId="4D772C96" w14:textId="77777777" w:rsidTr="00FF2683">
        <w:trPr>
          <w:trHeight w:val="451"/>
        </w:trPr>
        <w:tc>
          <w:tcPr>
            <w:tcW w:w="13686" w:type="dxa"/>
            <w:gridSpan w:val="4"/>
            <w:tcBorders>
              <w:top w:val="single" w:sz="4" w:space="0" w:color="auto"/>
              <w:bottom w:val="single" w:sz="4" w:space="0" w:color="auto"/>
            </w:tcBorders>
            <w:shd w:val="clear" w:color="auto" w:fill="auto"/>
            <w:vAlign w:val="center"/>
          </w:tcPr>
          <w:p w14:paraId="17D47AC9" w14:textId="77777777" w:rsidR="00CD7E2E" w:rsidRPr="00801161" w:rsidRDefault="007C280A" w:rsidP="00FF2683">
            <w:pPr>
              <w:spacing w:after="0" w:line="240" w:lineRule="auto"/>
              <w:jc w:val="both"/>
              <w:rPr>
                <w:b/>
                <w:sz w:val="21"/>
                <w:szCs w:val="21"/>
              </w:rPr>
            </w:pPr>
            <w:r w:rsidRPr="00801161">
              <w:rPr>
                <w:b/>
                <w:sz w:val="21"/>
                <w:szCs w:val="21"/>
              </w:rPr>
              <w:t>miRNAs that weaken the intestinal barrier</w:t>
            </w:r>
          </w:p>
        </w:tc>
      </w:tr>
      <w:tr w:rsidR="00DB7DB1" w:rsidRPr="00801161" w14:paraId="1A32A65E" w14:textId="77777777" w:rsidTr="00FF2683">
        <w:trPr>
          <w:trHeight w:val="451"/>
        </w:trPr>
        <w:tc>
          <w:tcPr>
            <w:tcW w:w="1553" w:type="dxa"/>
            <w:tcBorders>
              <w:top w:val="single" w:sz="4" w:space="0" w:color="auto"/>
            </w:tcBorders>
            <w:shd w:val="clear" w:color="auto" w:fill="auto"/>
            <w:vAlign w:val="center"/>
          </w:tcPr>
          <w:p w14:paraId="6FF65FD7" w14:textId="77777777" w:rsidR="00CD7E2E" w:rsidRPr="00801161" w:rsidRDefault="007C280A" w:rsidP="00FF2683">
            <w:pPr>
              <w:spacing w:after="0" w:line="240" w:lineRule="auto"/>
              <w:jc w:val="both"/>
              <w:rPr>
                <w:sz w:val="20"/>
                <w:szCs w:val="20"/>
              </w:rPr>
            </w:pPr>
            <w:r w:rsidRPr="00801161">
              <w:rPr>
                <w:sz w:val="20"/>
                <w:szCs w:val="20"/>
              </w:rPr>
              <w:t>miR-21</w:t>
            </w:r>
          </w:p>
        </w:tc>
        <w:tc>
          <w:tcPr>
            <w:tcW w:w="2548" w:type="dxa"/>
            <w:tcBorders>
              <w:top w:val="single" w:sz="4" w:space="0" w:color="auto"/>
            </w:tcBorders>
            <w:shd w:val="clear" w:color="auto" w:fill="auto"/>
            <w:vAlign w:val="center"/>
          </w:tcPr>
          <w:p w14:paraId="59C7A3C7" w14:textId="77777777" w:rsidR="00CD7E2E" w:rsidRPr="00801161" w:rsidRDefault="007C280A" w:rsidP="00FF2683">
            <w:pPr>
              <w:spacing w:after="0" w:line="240" w:lineRule="auto"/>
              <w:jc w:val="both"/>
              <w:rPr>
                <w:sz w:val="20"/>
                <w:szCs w:val="20"/>
              </w:rPr>
            </w:pPr>
            <w:r w:rsidRPr="00801161">
              <w:rPr>
                <w:sz w:val="20"/>
                <w:szCs w:val="20"/>
              </w:rPr>
              <w:t>PTEN/PI3K/Akt pathway</w:t>
            </w:r>
          </w:p>
        </w:tc>
        <w:tc>
          <w:tcPr>
            <w:tcW w:w="8638" w:type="dxa"/>
            <w:tcBorders>
              <w:top w:val="single" w:sz="4" w:space="0" w:color="auto"/>
            </w:tcBorders>
            <w:shd w:val="clear" w:color="auto" w:fill="auto"/>
            <w:vAlign w:val="center"/>
          </w:tcPr>
          <w:p w14:paraId="5AE3000E" w14:textId="7DE14A21" w:rsidR="00CD7E2E" w:rsidRPr="00801161" w:rsidRDefault="007C280A" w:rsidP="00FF2683">
            <w:pPr>
              <w:spacing w:after="0" w:line="240" w:lineRule="auto"/>
              <w:jc w:val="both"/>
              <w:rPr>
                <w:sz w:val="20"/>
                <w:szCs w:val="20"/>
              </w:rPr>
            </w:pPr>
            <w:r w:rsidRPr="00801161">
              <w:rPr>
                <w:sz w:val="20"/>
                <w:szCs w:val="20"/>
              </w:rPr>
              <w:t>Increase</w:t>
            </w:r>
            <w:r w:rsidR="004F1472" w:rsidRPr="00801161">
              <w:rPr>
                <w:sz w:val="20"/>
                <w:szCs w:val="20"/>
              </w:rPr>
              <w:t>s</w:t>
            </w:r>
            <w:r w:rsidRPr="00801161">
              <w:rPr>
                <w:sz w:val="20"/>
                <w:szCs w:val="20"/>
              </w:rPr>
              <w:t xml:space="preserve"> </w:t>
            </w:r>
            <w:r w:rsidR="00627339" w:rsidRPr="00801161">
              <w:rPr>
                <w:sz w:val="20"/>
                <w:szCs w:val="20"/>
              </w:rPr>
              <w:t xml:space="preserve">the </w:t>
            </w:r>
            <w:r w:rsidRPr="00801161">
              <w:rPr>
                <w:sz w:val="20"/>
                <w:szCs w:val="20"/>
              </w:rPr>
              <w:t>paracellular permeability of</w:t>
            </w:r>
            <w:r w:rsidR="004F1472" w:rsidRPr="00801161">
              <w:rPr>
                <w:sz w:val="20"/>
                <w:szCs w:val="20"/>
              </w:rPr>
              <w:t xml:space="preserve"> the</w:t>
            </w:r>
            <w:r w:rsidRPr="00801161">
              <w:rPr>
                <w:sz w:val="20"/>
                <w:szCs w:val="20"/>
              </w:rPr>
              <w:t xml:space="preserve"> intestinal epithelium</w:t>
            </w:r>
          </w:p>
        </w:tc>
        <w:tc>
          <w:tcPr>
            <w:tcW w:w="946" w:type="dxa"/>
            <w:tcBorders>
              <w:top w:val="single" w:sz="4" w:space="0" w:color="auto"/>
            </w:tcBorders>
            <w:shd w:val="clear" w:color="auto" w:fill="auto"/>
            <w:vAlign w:val="center"/>
          </w:tcPr>
          <w:p w14:paraId="5185EF1A" w14:textId="77777777" w:rsidR="00CD7E2E" w:rsidRPr="00801161" w:rsidRDefault="007C280A" w:rsidP="00FF2683">
            <w:pPr>
              <w:spacing w:after="0" w:line="240" w:lineRule="auto"/>
              <w:jc w:val="both"/>
              <w:rPr>
                <w:sz w:val="20"/>
                <w:szCs w:val="20"/>
              </w:rPr>
            </w:pPr>
            <w:r w:rsidRPr="00FD697C">
              <w:rPr>
                <w:sz w:val="20"/>
                <w:szCs w:val="20"/>
              </w:rPr>
              <w:t>[49]</w:t>
            </w:r>
          </w:p>
        </w:tc>
      </w:tr>
      <w:tr w:rsidR="00DB7DB1" w:rsidRPr="00801161" w14:paraId="03470984" w14:textId="77777777" w:rsidTr="00FF2683">
        <w:trPr>
          <w:trHeight w:val="451"/>
        </w:trPr>
        <w:tc>
          <w:tcPr>
            <w:tcW w:w="1553" w:type="dxa"/>
            <w:shd w:val="clear" w:color="auto" w:fill="auto"/>
            <w:vAlign w:val="center"/>
          </w:tcPr>
          <w:p w14:paraId="24252989" w14:textId="77777777" w:rsidR="00CD7E2E" w:rsidRPr="00801161" w:rsidRDefault="007C280A" w:rsidP="00FF2683">
            <w:pPr>
              <w:spacing w:after="0" w:line="240" w:lineRule="auto"/>
              <w:jc w:val="both"/>
              <w:rPr>
                <w:sz w:val="20"/>
                <w:szCs w:val="20"/>
              </w:rPr>
            </w:pPr>
            <w:r w:rsidRPr="00801161">
              <w:rPr>
                <w:sz w:val="20"/>
                <w:szCs w:val="20"/>
              </w:rPr>
              <w:t>miR-122a</w:t>
            </w:r>
          </w:p>
        </w:tc>
        <w:tc>
          <w:tcPr>
            <w:tcW w:w="2548" w:type="dxa"/>
            <w:shd w:val="clear" w:color="auto" w:fill="auto"/>
            <w:vAlign w:val="center"/>
          </w:tcPr>
          <w:p w14:paraId="40B727E3" w14:textId="77777777" w:rsidR="00CD7E2E" w:rsidRPr="00801161" w:rsidRDefault="007C280A" w:rsidP="00FF2683">
            <w:pPr>
              <w:spacing w:after="0" w:line="240" w:lineRule="auto"/>
              <w:jc w:val="both"/>
              <w:rPr>
                <w:sz w:val="20"/>
                <w:szCs w:val="20"/>
              </w:rPr>
            </w:pPr>
            <w:r w:rsidRPr="00801161">
              <w:rPr>
                <w:sz w:val="20"/>
                <w:szCs w:val="20"/>
              </w:rPr>
              <w:t>EGFR</w:t>
            </w:r>
          </w:p>
        </w:tc>
        <w:tc>
          <w:tcPr>
            <w:tcW w:w="8638" w:type="dxa"/>
            <w:shd w:val="clear" w:color="auto" w:fill="auto"/>
            <w:vAlign w:val="center"/>
          </w:tcPr>
          <w:p w14:paraId="4D82155E" w14:textId="53B1EB5B" w:rsidR="00CD7E2E" w:rsidRPr="00801161" w:rsidRDefault="007C280A" w:rsidP="00FF2683">
            <w:pPr>
              <w:spacing w:after="0" w:line="240" w:lineRule="auto"/>
              <w:jc w:val="both"/>
              <w:rPr>
                <w:sz w:val="20"/>
                <w:szCs w:val="20"/>
              </w:rPr>
            </w:pPr>
            <w:r w:rsidRPr="00801161">
              <w:rPr>
                <w:sz w:val="20"/>
                <w:szCs w:val="20"/>
                <w:lang w:eastAsia="ko-KR"/>
              </w:rPr>
              <w:t>Enhance</w:t>
            </w:r>
            <w:r w:rsidR="004F1472" w:rsidRPr="00801161">
              <w:rPr>
                <w:sz w:val="20"/>
                <w:szCs w:val="20"/>
                <w:lang w:eastAsia="ko-KR"/>
              </w:rPr>
              <w:t>s the</w:t>
            </w:r>
            <w:r w:rsidRPr="00801161">
              <w:rPr>
                <w:sz w:val="20"/>
                <w:szCs w:val="20"/>
                <w:lang w:eastAsia="ko-KR"/>
              </w:rPr>
              <w:t xml:space="preserve"> expression of zonulin and increase</w:t>
            </w:r>
            <w:r w:rsidR="004F1472" w:rsidRPr="00801161">
              <w:rPr>
                <w:sz w:val="20"/>
                <w:szCs w:val="20"/>
                <w:lang w:eastAsia="ko-KR"/>
              </w:rPr>
              <w:t>s</w:t>
            </w:r>
            <w:r w:rsidRPr="00801161">
              <w:rPr>
                <w:sz w:val="20"/>
                <w:szCs w:val="20"/>
                <w:lang w:eastAsia="ko-KR"/>
              </w:rPr>
              <w:t xml:space="preserve"> epithelial permeability</w:t>
            </w:r>
          </w:p>
        </w:tc>
        <w:tc>
          <w:tcPr>
            <w:tcW w:w="946" w:type="dxa"/>
            <w:shd w:val="clear" w:color="auto" w:fill="auto"/>
            <w:vAlign w:val="center"/>
          </w:tcPr>
          <w:p w14:paraId="127A9230" w14:textId="77777777" w:rsidR="00CD7E2E" w:rsidRPr="00801161" w:rsidRDefault="007C280A" w:rsidP="00FF2683">
            <w:pPr>
              <w:spacing w:after="0" w:line="240" w:lineRule="auto"/>
              <w:jc w:val="both"/>
              <w:rPr>
                <w:sz w:val="20"/>
                <w:szCs w:val="20"/>
              </w:rPr>
            </w:pPr>
            <w:r w:rsidRPr="00FD697C">
              <w:rPr>
                <w:sz w:val="20"/>
                <w:szCs w:val="20"/>
              </w:rPr>
              <w:t>[4</w:t>
            </w:r>
            <w:r w:rsidR="008C129D" w:rsidRPr="00FD697C">
              <w:rPr>
                <w:sz w:val="20"/>
                <w:szCs w:val="20"/>
              </w:rPr>
              <w:t>8</w:t>
            </w:r>
            <w:r w:rsidRPr="00FD697C">
              <w:rPr>
                <w:sz w:val="20"/>
                <w:szCs w:val="20"/>
              </w:rPr>
              <w:t>]</w:t>
            </w:r>
          </w:p>
        </w:tc>
      </w:tr>
      <w:tr w:rsidR="00DB7DB1" w:rsidRPr="00801161" w14:paraId="6EC6BFDB" w14:textId="77777777" w:rsidTr="00FF2683">
        <w:trPr>
          <w:trHeight w:val="451"/>
        </w:trPr>
        <w:tc>
          <w:tcPr>
            <w:tcW w:w="1553" w:type="dxa"/>
            <w:shd w:val="clear" w:color="auto" w:fill="auto"/>
            <w:vAlign w:val="center"/>
          </w:tcPr>
          <w:p w14:paraId="5744CAC5" w14:textId="77777777" w:rsidR="00CD7E2E" w:rsidRPr="00801161" w:rsidRDefault="007C280A" w:rsidP="00FF2683">
            <w:pPr>
              <w:spacing w:after="0" w:line="240" w:lineRule="auto"/>
              <w:jc w:val="both"/>
              <w:rPr>
                <w:sz w:val="20"/>
                <w:szCs w:val="20"/>
              </w:rPr>
            </w:pPr>
            <w:r w:rsidRPr="00801161">
              <w:rPr>
                <w:sz w:val="20"/>
                <w:szCs w:val="20"/>
              </w:rPr>
              <w:t>miR-191a, -212</w:t>
            </w:r>
          </w:p>
        </w:tc>
        <w:tc>
          <w:tcPr>
            <w:tcW w:w="2548" w:type="dxa"/>
            <w:shd w:val="clear" w:color="auto" w:fill="auto"/>
            <w:vAlign w:val="center"/>
          </w:tcPr>
          <w:p w14:paraId="0523BBCB" w14:textId="77777777" w:rsidR="00CD7E2E" w:rsidRPr="00801161" w:rsidRDefault="007C280A" w:rsidP="00FF2683">
            <w:pPr>
              <w:spacing w:after="0" w:line="240" w:lineRule="auto"/>
              <w:jc w:val="both"/>
              <w:rPr>
                <w:sz w:val="20"/>
                <w:szCs w:val="20"/>
              </w:rPr>
            </w:pPr>
            <w:r w:rsidRPr="00801161">
              <w:rPr>
                <w:sz w:val="20"/>
                <w:szCs w:val="20"/>
              </w:rPr>
              <w:t>ZO-1</w:t>
            </w:r>
          </w:p>
        </w:tc>
        <w:tc>
          <w:tcPr>
            <w:tcW w:w="8638" w:type="dxa"/>
            <w:shd w:val="clear" w:color="auto" w:fill="auto"/>
            <w:vAlign w:val="center"/>
          </w:tcPr>
          <w:p w14:paraId="46E80528" w14:textId="77777777" w:rsidR="00CD7E2E" w:rsidRPr="00801161" w:rsidRDefault="007C280A" w:rsidP="00FF2683">
            <w:pPr>
              <w:spacing w:after="0" w:line="240" w:lineRule="auto"/>
              <w:jc w:val="both"/>
              <w:rPr>
                <w:sz w:val="20"/>
                <w:szCs w:val="20"/>
              </w:rPr>
            </w:pPr>
            <w:r w:rsidRPr="00801161">
              <w:rPr>
                <w:sz w:val="20"/>
                <w:szCs w:val="20"/>
              </w:rPr>
              <w:t>Reduce the expression of ZO-1</w:t>
            </w:r>
          </w:p>
        </w:tc>
        <w:tc>
          <w:tcPr>
            <w:tcW w:w="946" w:type="dxa"/>
            <w:shd w:val="clear" w:color="auto" w:fill="auto"/>
            <w:vAlign w:val="center"/>
          </w:tcPr>
          <w:p w14:paraId="4E1AA207" w14:textId="77777777" w:rsidR="00CD7E2E" w:rsidRPr="00801161" w:rsidRDefault="007C280A" w:rsidP="00FF2683">
            <w:pPr>
              <w:spacing w:after="0" w:line="240" w:lineRule="auto"/>
              <w:jc w:val="both"/>
              <w:rPr>
                <w:sz w:val="20"/>
                <w:szCs w:val="20"/>
              </w:rPr>
            </w:pPr>
            <w:r w:rsidRPr="00FD697C">
              <w:rPr>
                <w:sz w:val="20"/>
                <w:szCs w:val="20"/>
              </w:rPr>
              <w:t>[4</w:t>
            </w:r>
            <w:r w:rsidR="008C129D" w:rsidRPr="00FD697C">
              <w:rPr>
                <w:sz w:val="20"/>
                <w:szCs w:val="20"/>
              </w:rPr>
              <w:t>4</w:t>
            </w:r>
            <w:r w:rsidRPr="00FD697C">
              <w:rPr>
                <w:sz w:val="20"/>
                <w:szCs w:val="20"/>
              </w:rPr>
              <w:t>, 4</w:t>
            </w:r>
            <w:r w:rsidR="008C129D" w:rsidRPr="00FD697C">
              <w:rPr>
                <w:sz w:val="20"/>
                <w:szCs w:val="20"/>
              </w:rPr>
              <w:t>5</w:t>
            </w:r>
            <w:r w:rsidRPr="00FD697C">
              <w:rPr>
                <w:sz w:val="20"/>
                <w:szCs w:val="20"/>
              </w:rPr>
              <w:t>]</w:t>
            </w:r>
          </w:p>
        </w:tc>
      </w:tr>
      <w:tr w:rsidR="00DB7DB1" w:rsidRPr="00801161" w14:paraId="0DC64355" w14:textId="77777777" w:rsidTr="00FF2683">
        <w:trPr>
          <w:trHeight w:val="451"/>
        </w:trPr>
        <w:tc>
          <w:tcPr>
            <w:tcW w:w="1553" w:type="dxa"/>
            <w:shd w:val="clear" w:color="auto" w:fill="auto"/>
            <w:vAlign w:val="center"/>
          </w:tcPr>
          <w:p w14:paraId="59BB222D" w14:textId="77777777" w:rsidR="00CD7E2E" w:rsidRPr="00801161" w:rsidRDefault="007C280A" w:rsidP="00FF2683">
            <w:pPr>
              <w:spacing w:after="0" w:line="240" w:lineRule="auto"/>
              <w:jc w:val="both"/>
              <w:rPr>
                <w:sz w:val="20"/>
                <w:szCs w:val="20"/>
              </w:rPr>
            </w:pPr>
            <w:r w:rsidRPr="00801161">
              <w:rPr>
                <w:sz w:val="20"/>
                <w:szCs w:val="20"/>
              </w:rPr>
              <w:t>miR-675</w:t>
            </w:r>
          </w:p>
        </w:tc>
        <w:tc>
          <w:tcPr>
            <w:tcW w:w="2548" w:type="dxa"/>
            <w:shd w:val="clear" w:color="auto" w:fill="auto"/>
            <w:vAlign w:val="center"/>
          </w:tcPr>
          <w:p w14:paraId="7B1B0EA8" w14:textId="77777777" w:rsidR="00CD7E2E" w:rsidRPr="00801161" w:rsidRDefault="007C280A" w:rsidP="00FF2683">
            <w:pPr>
              <w:spacing w:after="0" w:line="240" w:lineRule="auto"/>
              <w:jc w:val="both"/>
              <w:rPr>
                <w:sz w:val="20"/>
                <w:szCs w:val="20"/>
              </w:rPr>
            </w:pPr>
            <w:r w:rsidRPr="00801161">
              <w:rPr>
                <w:sz w:val="20"/>
                <w:szCs w:val="20"/>
              </w:rPr>
              <w:t>Cadherin E, ZO-1</w:t>
            </w:r>
          </w:p>
        </w:tc>
        <w:tc>
          <w:tcPr>
            <w:tcW w:w="8638" w:type="dxa"/>
            <w:shd w:val="clear" w:color="auto" w:fill="auto"/>
            <w:vAlign w:val="center"/>
          </w:tcPr>
          <w:p w14:paraId="580E3BF7" w14:textId="2147B935" w:rsidR="00CD7E2E" w:rsidRPr="00801161" w:rsidRDefault="007C280A" w:rsidP="00FF2683">
            <w:pPr>
              <w:spacing w:after="0" w:line="240" w:lineRule="auto"/>
              <w:jc w:val="both"/>
              <w:rPr>
                <w:sz w:val="20"/>
                <w:szCs w:val="20"/>
              </w:rPr>
            </w:pPr>
            <w:r w:rsidRPr="00801161">
              <w:rPr>
                <w:sz w:val="20"/>
                <w:szCs w:val="20"/>
              </w:rPr>
              <w:t>Destabilize</w:t>
            </w:r>
            <w:r w:rsidR="004F1472" w:rsidRPr="00801161">
              <w:rPr>
                <w:sz w:val="20"/>
                <w:szCs w:val="20"/>
              </w:rPr>
              <w:t>s the</w:t>
            </w:r>
            <w:r w:rsidRPr="00801161">
              <w:rPr>
                <w:sz w:val="20"/>
                <w:szCs w:val="20"/>
              </w:rPr>
              <w:t xml:space="preserve"> mRNA of cadherin E and ZO-1</w:t>
            </w:r>
          </w:p>
        </w:tc>
        <w:tc>
          <w:tcPr>
            <w:tcW w:w="946" w:type="dxa"/>
            <w:shd w:val="clear" w:color="auto" w:fill="auto"/>
            <w:vAlign w:val="center"/>
          </w:tcPr>
          <w:p w14:paraId="351F532A" w14:textId="77777777" w:rsidR="00CD7E2E" w:rsidRPr="00801161" w:rsidRDefault="007C280A" w:rsidP="00FF2683">
            <w:pPr>
              <w:spacing w:after="0" w:line="240" w:lineRule="auto"/>
              <w:jc w:val="both"/>
              <w:rPr>
                <w:sz w:val="20"/>
                <w:szCs w:val="20"/>
              </w:rPr>
            </w:pPr>
            <w:r w:rsidRPr="00FD697C">
              <w:rPr>
                <w:sz w:val="20"/>
                <w:szCs w:val="20"/>
              </w:rPr>
              <w:t>[4</w:t>
            </w:r>
            <w:r w:rsidR="008C129D" w:rsidRPr="00FD697C">
              <w:rPr>
                <w:sz w:val="20"/>
                <w:szCs w:val="20"/>
              </w:rPr>
              <w:t>6</w:t>
            </w:r>
            <w:r w:rsidRPr="00FD697C">
              <w:rPr>
                <w:sz w:val="20"/>
                <w:szCs w:val="20"/>
              </w:rPr>
              <w:t>]</w:t>
            </w:r>
          </w:p>
        </w:tc>
      </w:tr>
      <w:tr w:rsidR="00DB7DB1" w:rsidRPr="00801161" w14:paraId="39143019" w14:textId="77777777" w:rsidTr="00FF2683">
        <w:trPr>
          <w:trHeight w:val="451"/>
        </w:trPr>
        <w:tc>
          <w:tcPr>
            <w:tcW w:w="1553" w:type="dxa"/>
            <w:tcBorders>
              <w:bottom w:val="single" w:sz="4" w:space="0" w:color="auto"/>
            </w:tcBorders>
            <w:shd w:val="clear" w:color="auto" w:fill="auto"/>
            <w:vAlign w:val="center"/>
          </w:tcPr>
          <w:p w14:paraId="0A11DBE3" w14:textId="77777777" w:rsidR="00CD7E2E" w:rsidRPr="00801161" w:rsidRDefault="007C280A" w:rsidP="00FF2683">
            <w:pPr>
              <w:spacing w:after="0" w:line="240" w:lineRule="auto"/>
              <w:jc w:val="both"/>
              <w:rPr>
                <w:sz w:val="20"/>
                <w:szCs w:val="20"/>
              </w:rPr>
            </w:pPr>
            <w:r w:rsidRPr="00801161">
              <w:rPr>
                <w:sz w:val="20"/>
                <w:szCs w:val="20"/>
              </w:rPr>
              <w:t>miR-874</w:t>
            </w:r>
          </w:p>
        </w:tc>
        <w:tc>
          <w:tcPr>
            <w:tcW w:w="2548" w:type="dxa"/>
            <w:tcBorders>
              <w:bottom w:val="single" w:sz="4" w:space="0" w:color="auto"/>
            </w:tcBorders>
            <w:shd w:val="clear" w:color="auto" w:fill="auto"/>
            <w:vAlign w:val="center"/>
          </w:tcPr>
          <w:p w14:paraId="6A2D5C4B" w14:textId="77777777" w:rsidR="00CD7E2E" w:rsidRPr="00801161" w:rsidRDefault="007C280A" w:rsidP="00FF2683">
            <w:pPr>
              <w:spacing w:after="0" w:line="240" w:lineRule="auto"/>
              <w:jc w:val="both"/>
              <w:rPr>
                <w:sz w:val="20"/>
                <w:szCs w:val="20"/>
              </w:rPr>
            </w:pPr>
            <w:r w:rsidRPr="00801161">
              <w:rPr>
                <w:sz w:val="20"/>
                <w:szCs w:val="20"/>
              </w:rPr>
              <w:t>Aquaporin 3</w:t>
            </w:r>
          </w:p>
        </w:tc>
        <w:tc>
          <w:tcPr>
            <w:tcW w:w="8638" w:type="dxa"/>
            <w:tcBorders>
              <w:bottom w:val="single" w:sz="4" w:space="0" w:color="auto"/>
            </w:tcBorders>
            <w:shd w:val="clear" w:color="auto" w:fill="auto"/>
            <w:vAlign w:val="center"/>
          </w:tcPr>
          <w:p w14:paraId="693A985D" w14:textId="5798EAE3" w:rsidR="00CD7E2E" w:rsidRPr="00801161" w:rsidRDefault="007C280A" w:rsidP="00FF2683">
            <w:pPr>
              <w:spacing w:after="0" w:line="240" w:lineRule="auto"/>
              <w:jc w:val="both"/>
              <w:rPr>
                <w:sz w:val="20"/>
                <w:szCs w:val="20"/>
              </w:rPr>
            </w:pPr>
            <w:r w:rsidRPr="00801161">
              <w:rPr>
                <w:sz w:val="20"/>
                <w:szCs w:val="20"/>
              </w:rPr>
              <w:t>Decrease</w:t>
            </w:r>
            <w:r w:rsidR="004F1472" w:rsidRPr="00801161">
              <w:rPr>
                <w:sz w:val="20"/>
                <w:szCs w:val="20"/>
              </w:rPr>
              <w:t>s</w:t>
            </w:r>
            <w:r w:rsidRPr="00801161">
              <w:rPr>
                <w:sz w:val="20"/>
                <w:szCs w:val="20"/>
              </w:rPr>
              <w:t xml:space="preserve"> the expression of aquaporin 3</w:t>
            </w:r>
          </w:p>
        </w:tc>
        <w:tc>
          <w:tcPr>
            <w:tcW w:w="946" w:type="dxa"/>
            <w:tcBorders>
              <w:bottom w:val="single" w:sz="4" w:space="0" w:color="auto"/>
            </w:tcBorders>
            <w:shd w:val="clear" w:color="auto" w:fill="auto"/>
            <w:vAlign w:val="center"/>
          </w:tcPr>
          <w:p w14:paraId="07F40FF0" w14:textId="77777777" w:rsidR="00CD7E2E" w:rsidRPr="00801161" w:rsidRDefault="007C280A" w:rsidP="00FF2683">
            <w:pPr>
              <w:spacing w:after="0" w:line="240" w:lineRule="auto"/>
              <w:jc w:val="both"/>
              <w:rPr>
                <w:sz w:val="20"/>
                <w:szCs w:val="20"/>
              </w:rPr>
            </w:pPr>
            <w:r w:rsidRPr="00FD697C">
              <w:rPr>
                <w:sz w:val="20"/>
                <w:szCs w:val="20"/>
              </w:rPr>
              <w:t>[4</w:t>
            </w:r>
            <w:r w:rsidR="008C129D" w:rsidRPr="00FD697C">
              <w:rPr>
                <w:sz w:val="20"/>
                <w:szCs w:val="20"/>
              </w:rPr>
              <w:t>7</w:t>
            </w:r>
            <w:r w:rsidRPr="00FD697C">
              <w:rPr>
                <w:sz w:val="20"/>
                <w:szCs w:val="20"/>
              </w:rPr>
              <w:t>]</w:t>
            </w:r>
          </w:p>
        </w:tc>
      </w:tr>
      <w:tr w:rsidR="00DB7DB1" w:rsidRPr="00801161" w14:paraId="6C061A73" w14:textId="77777777" w:rsidTr="00FF2683">
        <w:trPr>
          <w:trHeight w:val="451"/>
        </w:trPr>
        <w:tc>
          <w:tcPr>
            <w:tcW w:w="13686" w:type="dxa"/>
            <w:gridSpan w:val="4"/>
            <w:tcBorders>
              <w:top w:val="single" w:sz="4" w:space="0" w:color="auto"/>
              <w:bottom w:val="single" w:sz="4" w:space="0" w:color="auto"/>
            </w:tcBorders>
            <w:shd w:val="clear" w:color="auto" w:fill="auto"/>
            <w:vAlign w:val="center"/>
          </w:tcPr>
          <w:p w14:paraId="5685F49D" w14:textId="77777777" w:rsidR="00CD7E2E" w:rsidRPr="00801161" w:rsidRDefault="007C280A" w:rsidP="00FF2683">
            <w:pPr>
              <w:spacing w:after="0" w:line="240" w:lineRule="auto"/>
              <w:jc w:val="both"/>
              <w:rPr>
                <w:b/>
                <w:sz w:val="21"/>
                <w:szCs w:val="21"/>
              </w:rPr>
            </w:pPr>
            <w:r w:rsidRPr="00801161">
              <w:rPr>
                <w:b/>
                <w:sz w:val="21"/>
                <w:szCs w:val="21"/>
              </w:rPr>
              <w:t>miRNAs that strengthen the intestinal barrier</w:t>
            </w:r>
          </w:p>
        </w:tc>
      </w:tr>
      <w:tr w:rsidR="00DB7DB1" w:rsidRPr="00801161" w14:paraId="7466DDD6" w14:textId="77777777" w:rsidTr="00FF2683">
        <w:trPr>
          <w:trHeight w:val="451"/>
        </w:trPr>
        <w:tc>
          <w:tcPr>
            <w:tcW w:w="1553" w:type="dxa"/>
            <w:tcBorders>
              <w:top w:val="single" w:sz="4" w:space="0" w:color="auto"/>
            </w:tcBorders>
            <w:shd w:val="clear" w:color="auto" w:fill="auto"/>
            <w:vAlign w:val="center"/>
          </w:tcPr>
          <w:p w14:paraId="4131B1CD" w14:textId="77777777" w:rsidR="00CD7E2E" w:rsidRPr="00801161" w:rsidRDefault="007C280A" w:rsidP="00FF2683">
            <w:pPr>
              <w:spacing w:after="0" w:line="240" w:lineRule="auto"/>
              <w:jc w:val="both"/>
              <w:rPr>
                <w:sz w:val="20"/>
                <w:szCs w:val="20"/>
              </w:rPr>
            </w:pPr>
            <w:r w:rsidRPr="00801161">
              <w:rPr>
                <w:sz w:val="20"/>
                <w:szCs w:val="20"/>
              </w:rPr>
              <w:t>miR-93</w:t>
            </w:r>
          </w:p>
        </w:tc>
        <w:tc>
          <w:tcPr>
            <w:tcW w:w="2548" w:type="dxa"/>
            <w:tcBorders>
              <w:top w:val="single" w:sz="4" w:space="0" w:color="auto"/>
            </w:tcBorders>
            <w:shd w:val="clear" w:color="auto" w:fill="auto"/>
            <w:vAlign w:val="center"/>
          </w:tcPr>
          <w:p w14:paraId="2A7EE169" w14:textId="77777777" w:rsidR="00CD7E2E" w:rsidRPr="00801161" w:rsidRDefault="007C280A" w:rsidP="00FF2683">
            <w:pPr>
              <w:spacing w:after="0" w:line="240" w:lineRule="auto"/>
              <w:jc w:val="both"/>
              <w:rPr>
                <w:sz w:val="20"/>
                <w:szCs w:val="20"/>
              </w:rPr>
            </w:pPr>
            <w:r w:rsidRPr="00801161">
              <w:rPr>
                <w:sz w:val="20"/>
                <w:szCs w:val="20"/>
              </w:rPr>
              <w:t>PTK6</w:t>
            </w:r>
          </w:p>
        </w:tc>
        <w:tc>
          <w:tcPr>
            <w:tcW w:w="8638" w:type="dxa"/>
            <w:tcBorders>
              <w:top w:val="single" w:sz="4" w:space="0" w:color="auto"/>
            </w:tcBorders>
            <w:shd w:val="clear" w:color="auto" w:fill="auto"/>
            <w:vAlign w:val="center"/>
          </w:tcPr>
          <w:p w14:paraId="609A4E1D" w14:textId="2077EEFE" w:rsidR="00CD7E2E" w:rsidRPr="00801161" w:rsidRDefault="007C280A" w:rsidP="00FF2683">
            <w:pPr>
              <w:spacing w:after="0" w:line="240" w:lineRule="auto"/>
              <w:jc w:val="both"/>
              <w:rPr>
                <w:sz w:val="20"/>
                <w:szCs w:val="20"/>
              </w:rPr>
            </w:pPr>
            <w:r w:rsidRPr="00801161">
              <w:rPr>
                <w:sz w:val="20"/>
                <w:szCs w:val="20"/>
              </w:rPr>
              <w:t>Reduce</w:t>
            </w:r>
            <w:r w:rsidR="004F1472" w:rsidRPr="00801161">
              <w:rPr>
                <w:sz w:val="20"/>
                <w:szCs w:val="20"/>
              </w:rPr>
              <w:t>s</w:t>
            </w:r>
            <w:r w:rsidRPr="00801161">
              <w:rPr>
                <w:sz w:val="20"/>
                <w:szCs w:val="20"/>
              </w:rPr>
              <w:t xml:space="preserve"> the expression of PTK6, and its downregulation attenuates epithelial injury</w:t>
            </w:r>
          </w:p>
        </w:tc>
        <w:tc>
          <w:tcPr>
            <w:tcW w:w="946" w:type="dxa"/>
            <w:tcBorders>
              <w:top w:val="single" w:sz="4" w:space="0" w:color="auto"/>
            </w:tcBorders>
            <w:shd w:val="clear" w:color="auto" w:fill="auto"/>
            <w:vAlign w:val="center"/>
          </w:tcPr>
          <w:p w14:paraId="1AB387A1" w14:textId="77777777" w:rsidR="00CD7E2E" w:rsidRPr="00801161" w:rsidRDefault="007C280A" w:rsidP="00FF2683">
            <w:pPr>
              <w:spacing w:after="0" w:line="240" w:lineRule="auto"/>
              <w:jc w:val="both"/>
              <w:rPr>
                <w:sz w:val="20"/>
                <w:szCs w:val="20"/>
              </w:rPr>
            </w:pPr>
            <w:r w:rsidRPr="00FD697C">
              <w:rPr>
                <w:sz w:val="20"/>
                <w:szCs w:val="20"/>
              </w:rPr>
              <w:t>[</w:t>
            </w:r>
            <w:r w:rsidR="008C129D" w:rsidRPr="00FD697C">
              <w:rPr>
                <w:sz w:val="20"/>
                <w:szCs w:val="20"/>
              </w:rPr>
              <w:t>51</w:t>
            </w:r>
            <w:r w:rsidRPr="00FD697C">
              <w:rPr>
                <w:sz w:val="20"/>
                <w:szCs w:val="20"/>
              </w:rPr>
              <w:t>]</w:t>
            </w:r>
          </w:p>
        </w:tc>
      </w:tr>
      <w:tr w:rsidR="00DB7DB1" w:rsidRPr="00801161" w14:paraId="34862848" w14:textId="77777777" w:rsidTr="00FF2683">
        <w:trPr>
          <w:trHeight w:val="451"/>
        </w:trPr>
        <w:tc>
          <w:tcPr>
            <w:tcW w:w="1553" w:type="dxa"/>
            <w:tcBorders>
              <w:bottom w:val="single" w:sz="4" w:space="0" w:color="auto"/>
            </w:tcBorders>
            <w:shd w:val="clear" w:color="auto" w:fill="auto"/>
            <w:vAlign w:val="center"/>
          </w:tcPr>
          <w:p w14:paraId="29595D58" w14:textId="77777777" w:rsidR="00CD7E2E" w:rsidRPr="00801161" w:rsidRDefault="007C280A" w:rsidP="00FF2683">
            <w:pPr>
              <w:spacing w:after="0" w:line="240" w:lineRule="auto"/>
              <w:jc w:val="both"/>
              <w:rPr>
                <w:sz w:val="20"/>
                <w:szCs w:val="20"/>
              </w:rPr>
            </w:pPr>
            <w:r w:rsidRPr="00801161">
              <w:rPr>
                <w:sz w:val="20"/>
                <w:szCs w:val="20"/>
              </w:rPr>
              <w:t>miR-200b</w:t>
            </w:r>
          </w:p>
        </w:tc>
        <w:tc>
          <w:tcPr>
            <w:tcW w:w="2548" w:type="dxa"/>
            <w:tcBorders>
              <w:bottom w:val="single" w:sz="4" w:space="0" w:color="auto"/>
            </w:tcBorders>
            <w:shd w:val="clear" w:color="auto" w:fill="auto"/>
            <w:vAlign w:val="center"/>
          </w:tcPr>
          <w:p w14:paraId="645EC385" w14:textId="77777777" w:rsidR="00CD7E2E" w:rsidRPr="00801161" w:rsidRDefault="007C280A" w:rsidP="00FF2683">
            <w:pPr>
              <w:spacing w:after="0" w:line="240" w:lineRule="auto"/>
              <w:jc w:val="both"/>
              <w:rPr>
                <w:sz w:val="20"/>
                <w:szCs w:val="20"/>
              </w:rPr>
            </w:pPr>
            <w:r w:rsidRPr="00801161">
              <w:rPr>
                <w:sz w:val="20"/>
                <w:szCs w:val="20"/>
              </w:rPr>
              <w:t>c-Jun, MLCK</w:t>
            </w:r>
          </w:p>
        </w:tc>
        <w:tc>
          <w:tcPr>
            <w:tcW w:w="8638" w:type="dxa"/>
            <w:tcBorders>
              <w:bottom w:val="single" w:sz="4" w:space="0" w:color="auto"/>
            </w:tcBorders>
            <w:shd w:val="clear" w:color="auto" w:fill="auto"/>
            <w:vAlign w:val="center"/>
          </w:tcPr>
          <w:p w14:paraId="227FBB41" w14:textId="265F1EE1" w:rsidR="00CD7E2E" w:rsidRPr="00801161" w:rsidRDefault="007C280A" w:rsidP="00FF2683">
            <w:pPr>
              <w:spacing w:after="0" w:line="240" w:lineRule="auto"/>
              <w:jc w:val="both"/>
              <w:rPr>
                <w:sz w:val="20"/>
                <w:szCs w:val="20"/>
              </w:rPr>
            </w:pPr>
            <w:r w:rsidRPr="00801161">
              <w:rPr>
                <w:sz w:val="20"/>
                <w:szCs w:val="20"/>
                <w:lang w:eastAsia="ko-KR"/>
              </w:rPr>
              <w:t>Decrease</w:t>
            </w:r>
            <w:r w:rsidR="004F1472" w:rsidRPr="00801161">
              <w:rPr>
                <w:sz w:val="20"/>
                <w:szCs w:val="20"/>
                <w:lang w:eastAsia="ko-KR"/>
              </w:rPr>
              <w:t>s</w:t>
            </w:r>
            <w:r w:rsidRPr="00801161">
              <w:rPr>
                <w:sz w:val="20"/>
                <w:szCs w:val="20"/>
                <w:lang w:eastAsia="ko-KR"/>
              </w:rPr>
              <w:t xml:space="preserve"> epithelial damage induced by TNF-</w:t>
            </w:r>
            <w:r w:rsidRPr="00801161">
              <w:rPr>
                <w:rFonts w:eastAsiaTheme="minorHAnsi"/>
                <w:sz w:val="20"/>
                <w:szCs w:val="20"/>
              </w:rPr>
              <w:t xml:space="preserve">α in </w:t>
            </w:r>
            <w:r w:rsidR="004F1472" w:rsidRPr="00801161">
              <w:rPr>
                <w:rFonts w:eastAsiaTheme="minorHAnsi"/>
                <w:sz w:val="20"/>
                <w:szCs w:val="20"/>
              </w:rPr>
              <w:t xml:space="preserve">the </w:t>
            </w:r>
            <w:r w:rsidRPr="00801161">
              <w:rPr>
                <w:rFonts w:eastAsiaTheme="minorHAnsi"/>
                <w:sz w:val="20"/>
                <w:szCs w:val="20"/>
              </w:rPr>
              <w:t>intestinal epithelium</w:t>
            </w:r>
          </w:p>
        </w:tc>
        <w:tc>
          <w:tcPr>
            <w:tcW w:w="946" w:type="dxa"/>
            <w:tcBorders>
              <w:bottom w:val="single" w:sz="4" w:space="0" w:color="auto"/>
            </w:tcBorders>
            <w:shd w:val="clear" w:color="auto" w:fill="auto"/>
            <w:vAlign w:val="center"/>
          </w:tcPr>
          <w:p w14:paraId="193F82B5" w14:textId="77777777" w:rsidR="00CD7E2E" w:rsidRPr="00801161" w:rsidRDefault="007C280A" w:rsidP="00FF2683">
            <w:pPr>
              <w:spacing w:after="0" w:line="240" w:lineRule="auto"/>
              <w:jc w:val="both"/>
              <w:rPr>
                <w:sz w:val="20"/>
                <w:szCs w:val="20"/>
              </w:rPr>
            </w:pPr>
            <w:r w:rsidRPr="00FD697C">
              <w:rPr>
                <w:sz w:val="20"/>
                <w:szCs w:val="20"/>
              </w:rPr>
              <w:t>[</w:t>
            </w:r>
            <w:r w:rsidR="008C129D" w:rsidRPr="00FD697C">
              <w:rPr>
                <w:sz w:val="20"/>
                <w:szCs w:val="20"/>
              </w:rPr>
              <w:t>50</w:t>
            </w:r>
            <w:r w:rsidRPr="00FD697C">
              <w:rPr>
                <w:sz w:val="20"/>
                <w:szCs w:val="20"/>
              </w:rPr>
              <w:t>]</w:t>
            </w:r>
          </w:p>
        </w:tc>
      </w:tr>
      <w:tr w:rsidR="00DB7DB1" w:rsidRPr="00801161" w14:paraId="1229D1BB" w14:textId="77777777" w:rsidTr="00FF2683">
        <w:trPr>
          <w:trHeight w:val="451"/>
        </w:trPr>
        <w:tc>
          <w:tcPr>
            <w:tcW w:w="13686" w:type="dxa"/>
            <w:gridSpan w:val="4"/>
            <w:tcBorders>
              <w:top w:val="single" w:sz="4" w:space="0" w:color="auto"/>
              <w:bottom w:val="single" w:sz="4" w:space="0" w:color="auto"/>
            </w:tcBorders>
            <w:shd w:val="clear" w:color="auto" w:fill="auto"/>
            <w:vAlign w:val="center"/>
          </w:tcPr>
          <w:p w14:paraId="19C4136C" w14:textId="77777777" w:rsidR="00CD7E2E" w:rsidRPr="00801161" w:rsidRDefault="007C280A" w:rsidP="00FF2683">
            <w:pPr>
              <w:spacing w:after="0" w:line="240" w:lineRule="auto"/>
              <w:jc w:val="both"/>
              <w:rPr>
                <w:b/>
                <w:sz w:val="21"/>
                <w:szCs w:val="21"/>
              </w:rPr>
            </w:pPr>
            <w:r w:rsidRPr="00801161">
              <w:rPr>
                <w:b/>
                <w:sz w:val="21"/>
                <w:szCs w:val="21"/>
              </w:rPr>
              <w:t>miRNAs that increase inflammation</w:t>
            </w:r>
          </w:p>
        </w:tc>
      </w:tr>
      <w:tr w:rsidR="00DB7DB1" w:rsidRPr="00801161" w14:paraId="709F517C" w14:textId="77777777" w:rsidTr="00FF2683">
        <w:trPr>
          <w:trHeight w:val="451"/>
        </w:trPr>
        <w:tc>
          <w:tcPr>
            <w:tcW w:w="1553" w:type="dxa"/>
            <w:tcBorders>
              <w:top w:val="single" w:sz="4" w:space="0" w:color="auto"/>
            </w:tcBorders>
            <w:shd w:val="clear" w:color="auto" w:fill="auto"/>
            <w:vAlign w:val="center"/>
          </w:tcPr>
          <w:p w14:paraId="695FAEF3" w14:textId="77777777" w:rsidR="00CD7E2E" w:rsidRPr="00801161" w:rsidRDefault="007C280A" w:rsidP="00FF2683">
            <w:pPr>
              <w:spacing w:after="0" w:line="240" w:lineRule="auto"/>
              <w:jc w:val="both"/>
              <w:rPr>
                <w:sz w:val="20"/>
                <w:szCs w:val="20"/>
              </w:rPr>
            </w:pPr>
            <w:r w:rsidRPr="00801161">
              <w:rPr>
                <w:sz w:val="20"/>
                <w:szCs w:val="20"/>
              </w:rPr>
              <w:t>miR-21</w:t>
            </w:r>
          </w:p>
        </w:tc>
        <w:tc>
          <w:tcPr>
            <w:tcW w:w="2548" w:type="dxa"/>
            <w:tcBorders>
              <w:top w:val="single" w:sz="4" w:space="0" w:color="auto"/>
            </w:tcBorders>
            <w:shd w:val="clear" w:color="auto" w:fill="auto"/>
            <w:vAlign w:val="center"/>
          </w:tcPr>
          <w:p w14:paraId="16C78D13" w14:textId="77777777" w:rsidR="00CD7E2E" w:rsidRPr="00801161" w:rsidRDefault="007C280A" w:rsidP="00FF2683">
            <w:pPr>
              <w:spacing w:after="0" w:line="240" w:lineRule="auto"/>
              <w:jc w:val="both"/>
              <w:rPr>
                <w:sz w:val="20"/>
                <w:szCs w:val="20"/>
              </w:rPr>
            </w:pPr>
            <w:r w:rsidRPr="00801161">
              <w:rPr>
                <w:sz w:val="20"/>
                <w:szCs w:val="20"/>
              </w:rPr>
              <w:t>MIP2, TNF-</w:t>
            </w:r>
            <w:r w:rsidRPr="00801161">
              <w:rPr>
                <w:rFonts w:eastAsiaTheme="minorHAnsi"/>
                <w:sz w:val="20"/>
                <w:szCs w:val="20"/>
              </w:rPr>
              <w:t>α</w:t>
            </w:r>
          </w:p>
        </w:tc>
        <w:tc>
          <w:tcPr>
            <w:tcW w:w="8638" w:type="dxa"/>
            <w:tcBorders>
              <w:top w:val="single" w:sz="4" w:space="0" w:color="auto"/>
            </w:tcBorders>
            <w:shd w:val="clear" w:color="auto" w:fill="auto"/>
            <w:vAlign w:val="center"/>
          </w:tcPr>
          <w:p w14:paraId="007BE1DB" w14:textId="2A306E4A" w:rsidR="00CD7E2E" w:rsidRPr="00801161" w:rsidRDefault="007C280A" w:rsidP="00FF2683">
            <w:pPr>
              <w:spacing w:after="0" w:line="240" w:lineRule="auto"/>
              <w:jc w:val="both"/>
              <w:rPr>
                <w:sz w:val="20"/>
                <w:szCs w:val="20"/>
              </w:rPr>
            </w:pPr>
            <w:r w:rsidRPr="00801161">
              <w:rPr>
                <w:sz w:val="20"/>
                <w:szCs w:val="20"/>
              </w:rPr>
              <w:t>Increase</w:t>
            </w:r>
            <w:r w:rsidR="004F1472" w:rsidRPr="00801161">
              <w:rPr>
                <w:sz w:val="20"/>
                <w:szCs w:val="20"/>
              </w:rPr>
              <w:t>s</w:t>
            </w:r>
            <w:r w:rsidRPr="00801161">
              <w:rPr>
                <w:sz w:val="20"/>
                <w:szCs w:val="20"/>
              </w:rPr>
              <w:t xml:space="preserve"> the level of MIP2 and TNF-</w:t>
            </w:r>
            <w:r w:rsidRPr="00801161">
              <w:rPr>
                <w:rFonts w:eastAsiaTheme="minorHAnsi"/>
                <w:sz w:val="20"/>
                <w:szCs w:val="20"/>
              </w:rPr>
              <w:t>α</w:t>
            </w:r>
          </w:p>
        </w:tc>
        <w:tc>
          <w:tcPr>
            <w:tcW w:w="946" w:type="dxa"/>
            <w:tcBorders>
              <w:top w:val="single" w:sz="4" w:space="0" w:color="auto"/>
            </w:tcBorders>
            <w:shd w:val="clear" w:color="auto" w:fill="auto"/>
            <w:vAlign w:val="center"/>
          </w:tcPr>
          <w:p w14:paraId="2B943AC5" w14:textId="77777777" w:rsidR="00CD7E2E" w:rsidRPr="00801161" w:rsidRDefault="007C280A" w:rsidP="00FF2683">
            <w:pPr>
              <w:spacing w:after="0" w:line="240" w:lineRule="auto"/>
              <w:jc w:val="both"/>
              <w:rPr>
                <w:sz w:val="20"/>
                <w:szCs w:val="20"/>
              </w:rPr>
            </w:pPr>
            <w:r w:rsidRPr="00FD697C">
              <w:rPr>
                <w:sz w:val="20"/>
                <w:szCs w:val="20"/>
              </w:rPr>
              <w:t>[</w:t>
            </w:r>
            <w:r w:rsidR="008C129D" w:rsidRPr="00FD697C">
              <w:rPr>
                <w:sz w:val="20"/>
                <w:szCs w:val="20"/>
              </w:rPr>
              <w:t>52</w:t>
            </w:r>
            <w:r w:rsidRPr="00FD697C">
              <w:rPr>
                <w:sz w:val="20"/>
                <w:szCs w:val="20"/>
              </w:rPr>
              <w:t>]</w:t>
            </w:r>
          </w:p>
        </w:tc>
      </w:tr>
      <w:tr w:rsidR="00DB7DB1" w:rsidRPr="00801161" w14:paraId="75DC4762" w14:textId="77777777" w:rsidTr="00FF2683">
        <w:trPr>
          <w:trHeight w:val="451"/>
        </w:trPr>
        <w:tc>
          <w:tcPr>
            <w:tcW w:w="1553" w:type="dxa"/>
            <w:tcBorders>
              <w:bottom w:val="single" w:sz="4" w:space="0" w:color="auto"/>
            </w:tcBorders>
            <w:shd w:val="clear" w:color="auto" w:fill="auto"/>
            <w:vAlign w:val="center"/>
          </w:tcPr>
          <w:p w14:paraId="2B05F70D" w14:textId="77777777" w:rsidR="00CD7E2E" w:rsidRPr="00801161" w:rsidRDefault="007C280A" w:rsidP="00FF2683">
            <w:pPr>
              <w:spacing w:after="0" w:line="240" w:lineRule="auto"/>
              <w:jc w:val="both"/>
              <w:rPr>
                <w:sz w:val="20"/>
                <w:szCs w:val="20"/>
              </w:rPr>
            </w:pPr>
            <w:r w:rsidRPr="00801161">
              <w:rPr>
                <w:sz w:val="20"/>
                <w:szCs w:val="20"/>
              </w:rPr>
              <w:t>miR-124</w:t>
            </w:r>
          </w:p>
        </w:tc>
        <w:tc>
          <w:tcPr>
            <w:tcW w:w="2548" w:type="dxa"/>
            <w:tcBorders>
              <w:bottom w:val="single" w:sz="4" w:space="0" w:color="auto"/>
            </w:tcBorders>
            <w:shd w:val="clear" w:color="auto" w:fill="auto"/>
            <w:vAlign w:val="center"/>
          </w:tcPr>
          <w:p w14:paraId="1EE3664C" w14:textId="77777777" w:rsidR="00CD7E2E" w:rsidRPr="00801161" w:rsidRDefault="007C280A" w:rsidP="00FF2683">
            <w:pPr>
              <w:spacing w:after="0" w:line="240" w:lineRule="auto"/>
              <w:jc w:val="both"/>
              <w:rPr>
                <w:sz w:val="20"/>
                <w:szCs w:val="20"/>
              </w:rPr>
            </w:pPr>
            <w:r w:rsidRPr="00801161">
              <w:rPr>
                <w:sz w:val="20"/>
                <w:szCs w:val="20"/>
              </w:rPr>
              <w:t>AhR</w:t>
            </w:r>
          </w:p>
        </w:tc>
        <w:tc>
          <w:tcPr>
            <w:tcW w:w="8638" w:type="dxa"/>
            <w:tcBorders>
              <w:bottom w:val="single" w:sz="4" w:space="0" w:color="auto"/>
            </w:tcBorders>
            <w:shd w:val="clear" w:color="auto" w:fill="auto"/>
            <w:vAlign w:val="center"/>
          </w:tcPr>
          <w:p w14:paraId="14D82A68" w14:textId="005C131E" w:rsidR="00CD7E2E" w:rsidRPr="00801161" w:rsidRDefault="007C280A" w:rsidP="00FF2683">
            <w:pPr>
              <w:spacing w:after="0" w:line="240" w:lineRule="auto"/>
              <w:jc w:val="both"/>
              <w:rPr>
                <w:sz w:val="20"/>
                <w:szCs w:val="20"/>
              </w:rPr>
            </w:pPr>
            <w:r w:rsidRPr="00801161">
              <w:rPr>
                <w:sz w:val="20"/>
                <w:szCs w:val="20"/>
              </w:rPr>
              <w:t>Suppress</w:t>
            </w:r>
            <w:r w:rsidR="004F1472" w:rsidRPr="00801161">
              <w:rPr>
                <w:sz w:val="20"/>
                <w:szCs w:val="20"/>
              </w:rPr>
              <w:t xml:space="preserve">es </w:t>
            </w:r>
            <w:r w:rsidRPr="00801161">
              <w:rPr>
                <w:sz w:val="20"/>
                <w:szCs w:val="20"/>
              </w:rPr>
              <w:t>AhR expression and increase</w:t>
            </w:r>
            <w:r w:rsidR="004F1472" w:rsidRPr="00801161">
              <w:rPr>
                <w:sz w:val="20"/>
                <w:szCs w:val="20"/>
              </w:rPr>
              <w:t>s</w:t>
            </w:r>
            <w:r w:rsidRPr="00801161">
              <w:rPr>
                <w:sz w:val="20"/>
                <w:szCs w:val="20"/>
              </w:rPr>
              <w:t xml:space="preserve"> pro-inflammatory cytokine production</w:t>
            </w:r>
          </w:p>
        </w:tc>
        <w:tc>
          <w:tcPr>
            <w:tcW w:w="946" w:type="dxa"/>
            <w:tcBorders>
              <w:bottom w:val="single" w:sz="4" w:space="0" w:color="auto"/>
            </w:tcBorders>
            <w:shd w:val="clear" w:color="auto" w:fill="auto"/>
            <w:vAlign w:val="center"/>
          </w:tcPr>
          <w:p w14:paraId="43DFA57B" w14:textId="77777777" w:rsidR="00CD7E2E" w:rsidRPr="00801161" w:rsidRDefault="007C280A" w:rsidP="00FF2683">
            <w:pPr>
              <w:spacing w:after="0" w:line="240" w:lineRule="auto"/>
              <w:jc w:val="both"/>
              <w:rPr>
                <w:sz w:val="20"/>
                <w:szCs w:val="20"/>
              </w:rPr>
            </w:pPr>
            <w:r w:rsidRPr="00FD697C">
              <w:rPr>
                <w:sz w:val="20"/>
                <w:szCs w:val="20"/>
              </w:rPr>
              <w:t>[5</w:t>
            </w:r>
            <w:r w:rsidR="008C129D" w:rsidRPr="00FD697C">
              <w:rPr>
                <w:sz w:val="20"/>
                <w:szCs w:val="20"/>
              </w:rPr>
              <w:t>3</w:t>
            </w:r>
            <w:r w:rsidRPr="00FD697C">
              <w:rPr>
                <w:sz w:val="20"/>
                <w:szCs w:val="20"/>
              </w:rPr>
              <w:t>]</w:t>
            </w:r>
          </w:p>
        </w:tc>
      </w:tr>
      <w:tr w:rsidR="00DB7DB1" w:rsidRPr="00801161" w14:paraId="30122AEF" w14:textId="77777777" w:rsidTr="00FF2683">
        <w:trPr>
          <w:trHeight w:val="451"/>
        </w:trPr>
        <w:tc>
          <w:tcPr>
            <w:tcW w:w="13686" w:type="dxa"/>
            <w:gridSpan w:val="4"/>
            <w:tcBorders>
              <w:top w:val="single" w:sz="4" w:space="0" w:color="auto"/>
              <w:bottom w:val="single" w:sz="4" w:space="0" w:color="auto"/>
            </w:tcBorders>
            <w:shd w:val="clear" w:color="auto" w:fill="auto"/>
            <w:vAlign w:val="center"/>
          </w:tcPr>
          <w:p w14:paraId="1EAB636E" w14:textId="77777777" w:rsidR="00CD7E2E" w:rsidRPr="00801161" w:rsidRDefault="007C280A" w:rsidP="00FF2683">
            <w:pPr>
              <w:spacing w:after="0" w:line="240" w:lineRule="auto"/>
              <w:jc w:val="both"/>
              <w:rPr>
                <w:b/>
                <w:sz w:val="21"/>
                <w:szCs w:val="21"/>
              </w:rPr>
            </w:pPr>
            <w:r w:rsidRPr="00801161">
              <w:rPr>
                <w:b/>
                <w:sz w:val="21"/>
                <w:szCs w:val="21"/>
              </w:rPr>
              <w:t>miRNAs that decrease inflammation</w:t>
            </w:r>
          </w:p>
        </w:tc>
      </w:tr>
      <w:tr w:rsidR="00DB7DB1" w:rsidRPr="00801161" w14:paraId="3A7B7914" w14:textId="77777777" w:rsidTr="00FF2683">
        <w:trPr>
          <w:trHeight w:val="451"/>
        </w:trPr>
        <w:tc>
          <w:tcPr>
            <w:tcW w:w="1553" w:type="dxa"/>
            <w:tcBorders>
              <w:top w:val="single" w:sz="4" w:space="0" w:color="auto"/>
            </w:tcBorders>
            <w:shd w:val="clear" w:color="auto" w:fill="auto"/>
            <w:vAlign w:val="center"/>
          </w:tcPr>
          <w:p w14:paraId="4405E09A" w14:textId="77777777" w:rsidR="00CD7E2E" w:rsidRPr="00801161" w:rsidRDefault="007C280A" w:rsidP="00FF2683">
            <w:pPr>
              <w:spacing w:after="0" w:line="240" w:lineRule="auto"/>
              <w:jc w:val="both"/>
              <w:rPr>
                <w:sz w:val="20"/>
                <w:szCs w:val="20"/>
              </w:rPr>
            </w:pPr>
            <w:r w:rsidRPr="00801161">
              <w:rPr>
                <w:sz w:val="20"/>
                <w:szCs w:val="20"/>
              </w:rPr>
              <w:t>miR-10a</w:t>
            </w:r>
          </w:p>
        </w:tc>
        <w:tc>
          <w:tcPr>
            <w:tcW w:w="2548" w:type="dxa"/>
            <w:tcBorders>
              <w:top w:val="single" w:sz="4" w:space="0" w:color="auto"/>
            </w:tcBorders>
            <w:shd w:val="clear" w:color="auto" w:fill="auto"/>
            <w:vAlign w:val="center"/>
          </w:tcPr>
          <w:p w14:paraId="30863C41" w14:textId="77777777" w:rsidR="00CD7E2E" w:rsidRPr="00801161" w:rsidRDefault="007C280A" w:rsidP="00FF2683">
            <w:pPr>
              <w:spacing w:after="0" w:line="240" w:lineRule="auto"/>
              <w:jc w:val="both"/>
              <w:rPr>
                <w:sz w:val="20"/>
                <w:szCs w:val="20"/>
              </w:rPr>
            </w:pPr>
            <w:r w:rsidRPr="00801161">
              <w:rPr>
                <w:sz w:val="20"/>
                <w:szCs w:val="20"/>
              </w:rPr>
              <w:t>IL-12/23p40</w:t>
            </w:r>
          </w:p>
        </w:tc>
        <w:tc>
          <w:tcPr>
            <w:tcW w:w="8638" w:type="dxa"/>
            <w:tcBorders>
              <w:top w:val="single" w:sz="4" w:space="0" w:color="auto"/>
            </w:tcBorders>
            <w:shd w:val="clear" w:color="auto" w:fill="auto"/>
            <w:vAlign w:val="center"/>
          </w:tcPr>
          <w:p w14:paraId="28C247F5" w14:textId="4D1AF0B2" w:rsidR="00CD7E2E" w:rsidRPr="00801161" w:rsidRDefault="007C280A" w:rsidP="00FF2683">
            <w:pPr>
              <w:spacing w:after="0" w:line="240" w:lineRule="auto"/>
              <w:jc w:val="both"/>
              <w:rPr>
                <w:sz w:val="20"/>
                <w:szCs w:val="20"/>
              </w:rPr>
            </w:pPr>
            <w:r w:rsidRPr="00801161">
              <w:rPr>
                <w:sz w:val="20"/>
                <w:szCs w:val="20"/>
              </w:rPr>
              <w:t>Downregulate</w:t>
            </w:r>
            <w:r w:rsidR="004F1472" w:rsidRPr="00801161">
              <w:rPr>
                <w:sz w:val="20"/>
                <w:szCs w:val="20"/>
              </w:rPr>
              <w:t>s</w:t>
            </w:r>
            <w:r w:rsidRPr="00801161">
              <w:rPr>
                <w:sz w:val="20"/>
                <w:szCs w:val="20"/>
              </w:rPr>
              <w:t xml:space="preserve"> the expression of </w:t>
            </w:r>
            <w:r w:rsidRPr="00801161">
              <w:rPr>
                <w:sz w:val="20"/>
                <w:szCs w:val="20"/>
                <w:lang w:eastAsia="ko-KR"/>
              </w:rPr>
              <w:t>IL-12/23p40</w:t>
            </w:r>
            <w:r w:rsidRPr="00801161">
              <w:rPr>
                <w:sz w:val="20"/>
                <w:szCs w:val="20"/>
              </w:rPr>
              <w:t xml:space="preserve"> and Th1/Th17 cell responses</w:t>
            </w:r>
          </w:p>
        </w:tc>
        <w:tc>
          <w:tcPr>
            <w:tcW w:w="946" w:type="dxa"/>
            <w:tcBorders>
              <w:top w:val="single" w:sz="4" w:space="0" w:color="auto"/>
            </w:tcBorders>
            <w:shd w:val="clear" w:color="auto" w:fill="auto"/>
            <w:vAlign w:val="center"/>
          </w:tcPr>
          <w:p w14:paraId="404F3A46" w14:textId="77777777" w:rsidR="00CD7E2E" w:rsidRPr="00801161" w:rsidRDefault="007C280A" w:rsidP="00FF2683">
            <w:pPr>
              <w:spacing w:after="0" w:line="240" w:lineRule="auto"/>
              <w:jc w:val="both"/>
              <w:rPr>
                <w:sz w:val="20"/>
                <w:szCs w:val="20"/>
              </w:rPr>
            </w:pPr>
            <w:r w:rsidRPr="00FD697C">
              <w:rPr>
                <w:sz w:val="20"/>
                <w:szCs w:val="20"/>
              </w:rPr>
              <w:t>[5</w:t>
            </w:r>
            <w:r w:rsidR="008C129D" w:rsidRPr="00FD697C">
              <w:rPr>
                <w:sz w:val="20"/>
                <w:szCs w:val="20"/>
              </w:rPr>
              <w:t>6</w:t>
            </w:r>
            <w:r w:rsidRPr="00FD697C">
              <w:rPr>
                <w:sz w:val="20"/>
                <w:szCs w:val="20"/>
              </w:rPr>
              <w:t>]</w:t>
            </w:r>
          </w:p>
        </w:tc>
      </w:tr>
      <w:tr w:rsidR="00DB7DB1" w:rsidRPr="00801161" w14:paraId="611A3B24" w14:textId="77777777" w:rsidTr="00FF2683">
        <w:trPr>
          <w:trHeight w:val="451"/>
        </w:trPr>
        <w:tc>
          <w:tcPr>
            <w:tcW w:w="1553" w:type="dxa"/>
            <w:shd w:val="clear" w:color="auto" w:fill="auto"/>
            <w:vAlign w:val="center"/>
          </w:tcPr>
          <w:p w14:paraId="2DE0D274" w14:textId="77777777" w:rsidR="00CD7E2E" w:rsidRPr="00801161" w:rsidRDefault="007C280A" w:rsidP="00FF2683">
            <w:pPr>
              <w:spacing w:after="0" w:line="240" w:lineRule="auto"/>
              <w:jc w:val="both"/>
              <w:rPr>
                <w:sz w:val="20"/>
                <w:szCs w:val="20"/>
              </w:rPr>
            </w:pPr>
            <w:r w:rsidRPr="00801161">
              <w:rPr>
                <w:sz w:val="20"/>
                <w:szCs w:val="20"/>
              </w:rPr>
              <w:t>miR-141</w:t>
            </w:r>
          </w:p>
        </w:tc>
        <w:tc>
          <w:tcPr>
            <w:tcW w:w="2548" w:type="dxa"/>
            <w:shd w:val="clear" w:color="auto" w:fill="auto"/>
            <w:vAlign w:val="center"/>
          </w:tcPr>
          <w:p w14:paraId="24F66BFB" w14:textId="77777777" w:rsidR="00CD7E2E" w:rsidRPr="00801161" w:rsidRDefault="007C280A" w:rsidP="00FF2683">
            <w:pPr>
              <w:spacing w:after="0" w:line="240" w:lineRule="auto"/>
              <w:jc w:val="both"/>
              <w:rPr>
                <w:sz w:val="20"/>
                <w:szCs w:val="20"/>
              </w:rPr>
            </w:pPr>
            <w:r w:rsidRPr="00801161">
              <w:rPr>
                <w:sz w:val="20"/>
                <w:szCs w:val="20"/>
              </w:rPr>
              <w:t>CXCL12</w:t>
            </w:r>
            <w:r w:rsidRPr="00801161">
              <w:rPr>
                <w:rFonts w:eastAsiaTheme="minorHAnsi"/>
                <w:sz w:val="20"/>
                <w:szCs w:val="20"/>
              </w:rPr>
              <w:t>β</w:t>
            </w:r>
          </w:p>
        </w:tc>
        <w:tc>
          <w:tcPr>
            <w:tcW w:w="8638" w:type="dxa"/>
            <w:shd w:val="clear" w:color="auto" w:fill="auto"/>
            <w:vAlign w:val="center"/>
          </w:tcPr>
          <w:p w14:paraId="1C994CBC" w14:textId="1D90C27E" w:rsidR="00CD7E2E" w:rsidRPr="00801161" w:rsidRDefault="007C280A" w:rsidP="00FF2683">
            <w:pPr>
              <w:spacing w:after="0" w:line="240" w:lineRule="auto"/>
              <w:jc w:val="both"/>
              <w:rPr>
                <w:sz w:val="20"/>
                <w:szCs w:val="20"/>
              </w:rPr>
            </w:pPr>
            <w:r w:rsidRPr="00801161">
              <w:rPr>
                <w:sz w:val="20"/>
                <w:szCs w:val="20"/>
              </w:rPr>
              <w:t>Inhibit</w:t>
            </w:r>
            <w:r w:rsidR="004F1472" w:rsidRPr="00801161">
              <w:rPr>
                <w:sz w:val="20"/>
                <w:szCs w:val="20"/>
              </w:rPr>
              <w:t>s</w:t>
            </w:r>
            <w:r w:rsidRPr="00801161">
              <w:rPr>
                <w:sz w:val="20"/>
                <w:szCs w:val="20"/>
              </w:rPr>
              <w:t xml:space="preserve"> CXCL12</w:t>
            </w:r>
            <w:r w:rsidRPr="00801161">
              <w:rPr>
                <w:rFonts w:eastAsiaTheme="minorHAnsi"/>
                <w:sz w:val="20"/>
                <w:szCs w:val="20"/>
              </w:rPr>
              <w:t>β-mediated leukocyte migration</w:t>
            </w:r>
          </w:p>
        </w:tc>
        <w:tc>
          <w:tcPr>
            <w:tcW w:w="946" w:type="dxa"/>
            <w:shd w:val="clear" w:color="auto" w:fill="auto"/>
            <w:vAlign w:val="center"/>
          </w:tcPr>
          <w:p w14:paraId="402185E3" w14:textId="77777777" w:rsidR="00CD7E2E" w:rsidRPr="00801161" w:rsidRDefault="007C280A" w:rsidP="00FF2683">
            <w:pPr>
              <w:spacing w:after="0" w:line="240" w:lineRule="auto"/>
              <w:jc w:val="both"/>
              <w:rPr>
                <w:sz w:val="20"/>
                <w:szCs w:val="20"/>
              </w:rPr>
            </w:pPr>
            <w:r w:rsidRPr="00FD697C">
              <w:rPr>
                <w:sz w:val="20"/>
                <w:szCs w:val="20"/>
              </w:rPr>
              <w:t>[5</w:t>
            </w:r>
            <w:r w:rsidR="008C129D" w:rsidRPr="00FD697C">
              <w:rPr>
                <w:sz w:val="20"/>
                <w:szCs w:val="20"/>
              </w:rPr>
              <w:t>7</w:t>
            </w:r>
            <w:r w:rsidRPr="00FD697C">
              <w:rPr>
                <w:sz w:val="20"/>
                <w:szCs w:val="20"/>
              </w:rPr>
              <w:t>]</w:t>
            </w:r>
          </w:p>
        </w:tc>
      </w:tr>
      <w:tr w:rsidR="00DB7DB1" w:rsidRPr="00801161" w14:paraId="2178536F" w14:textId="77777777" w:rsidTr="00FF2683">
        <w:trPr>
          <w:trHeight w:val="451"/>
        </w:trPr>
        <w:tc>
          <w:tcPr>
            <w:tcW w:w="1553" w:type="dxa"/>
            <w:tcBorders>
              <w:bottom w:val="single" w:sz="4" w:space="0" w:color="auto"/>
            </w:tcBorders>
            <w:shd w:val="clear" w:color="auto" w:fill="auto"/>
            <w:vAlign w:val="center"/>
          </w:tcPr>
          <w:p w14:paraId="465BC093" w14:textId="77777777" w:rsidR="00CD7E2E" w:rsidRPr="00801161" w:rsidRDefault="007C280A" w:rsidP="00FF2683">
            <w:pPr>
              <w:spacing w:after="0" w:line="240" w:lineRule="auto"/>
              <w:jc w:val="both"/>
              <w:rPr>
                <w:sz w:val="20"/>
                <w:szCs w:val="20"/>
              </w:rPr>
            </w:pPr>
            <w:r w:rsidRPr="00801161">
              <w:rPr>
                <w:sz w:val="20"/>
                <w:szCs w:val="20"/>
              </w:rPr>
              <w:t>miR-320</w:t>
            </w:r>
          </w:p>
        </w:tc>
        <w:tc>
          <w:tcPr>
            <w:tcW w:w="2548" w:type="dxa"/>
            <w:tcBorders>
              <w:bottom w:val="single" w:sz="4" w:space="0" w:color="auto"/>
            </w:tcBorders>
            <w:shd w:val="clear" w:color="auto" w:fill="auto"/>
            <w:vAlign w:val="center"/>
          </w:tcPr>
          <w:p w14:paraId="48F7A1D7" w14:textId="77777777" w:rsidR="00CD7E2E" w:rsidRPr="00801161" w:rsidRDefault="007C280A" w:rsidP="00FF2683">
            <w:pPr>
              <w:spacing w:after="0" w:line="240" w:lineRule="auto"/>
              <w:jc w:val="both"/>
              <w:rPr>
                <w:sz w:val="20"/>
                <w:szCs w:val="20"/>
              </w:rPr>
            </w:pPr>
            <w:r w:rsidRPr="00801161">
              <w:rPr>
                <w:sz w:val="20"/>
                <w:szCs w:val="20"/>
              </w:rPr>
              <w:t>NOD2</w:t>
            </w:r>
          </w:p>
        </w:tc>
        <w:tc>
          <w:tcPr>
            <w:tcW w:w="8638" w:type="dxa"/>
            <w:tcBorders>
              <w:bottom w:val="single" w:sz="4" w:space="0" w:color="auto"/>
            </w:tcBorders>
            <w:shd w:val="clear" w:color="auto" w:fill="auto"/>
            <w:vAlign w:val="center"/>
          </w:tcPr>
          <w:p w14:paraId="5F089829" w14:textId="55822FD8" w:rsidR="00CD7E2E" w:rsidRPr="00801161" w:rsidRDefault="007C280A" w:rsidP="00FF2683">
            <w:pPr>
              <w:spacing w:after="0" w:line="240" w:lineRule="auto"/>
              <w:jc w:val="both"/>
              <w:rPr>
                <w:sz w:val="20"/>
                <w:szCs w:val="20"/>
              </w:rPr>
            </w:pPr>
            <w:r w:rsidRPr="00801161">
              <w:rPr>
                <w:sz w:val="20"/>
                <w:szCs w:val="20"/>
              </w:rPr>
              <w:t>Decrease</w:t>
            </w:r>
            <w:r w:rsidR="004F1472" w:rsidRPr="00801161">
              <w:rPr>
                <w:sz w:val="20"/>
                <w:szCs w:val="20"/>
              </w:rPr>
              <w:t>s</w:t>
            </w:r>
            <w:r w:rsidRPr="00801161">
              <w:rPr>
                <w:sz w:val="20"/>
                <w:szCs w:val="20"/>
              </w:rPr>
              <w:t xml:space="preserve"> the expression of NOD2</w:t>
            </w:r>
          </w:p>
        </w:tc>
        <w:tc>
          <w:tcPr>
            <w:tcW w:w="946" w:type="dxa"/>
            <w:tcBorders>
              <w:bottom w:val="single" w:sz="4" w:space="0" w:color="auto"/>
            </w:tcBorders>
            <w:shd w:val="clear" w:color="auto" w:fill="auto"/>
            <w:vAlign w:val="center"/>
          </w:tcPr>
          <w:p w14:paraId="67C23BAD" w14:textId="77777777" w:rsidR="00CD7E2E" w:rsidRPr="00801161" w:rsidRDefault="007C280A" w:rsidP="00FF2683">
            <w:pPr>
              <w:spacing w:after="0" w:line="240" w:lineRule="auto"/>
              <w:jc w:val="both"/>
              <w:rPr>
                <w:sz w:val="20"/>
                <w:szCs w:val="20"/>
              </w:rPr>
            </w:pPr>
            <w:r w:rsidRPr="00FD697C">
              <w:rPr>
                <w:sz w:val="20"/>
                <w:szCs w:val="20"/>
              </w:rPr>
              <w:t>[5</w:t>
            </w:r>
            <w:r w:rsidR="008C129D" w:rsidRPr="00FD697C">
              <w:rPr>
                <w:sz w:val="20"/>
                <w:szCs w:val="20"/>
              </w:rPr>
              <w:t>5</w:t>
            </w:r>
            <w:r w:rsidRPr="00FD697C">
              <w:rPr>
                <w:sz w:val="20"/>
                <w:szCs w:val="20"/>
              </w:rPr>
              <w:t>]</w:t>
            </w:r>
          </w:p>
        </w:tc>
      </w:tr>
      <w:tr w:rsidR="00DB7DB1" w:rsidRPr="00801161" w14:paraId="5E5BDAA7" w14:textId="77777777" w:rsidTr="00FF2683">
        <w:trPr>
          <w:trHeight w:val="451"/>
        </w:trPr>
        <w:tc>
          <w:tcPr>
            <w:tcW w:w="13686" w:type="dxa"/>
            <w:gridSpan w:val="4"/>
            <w:tcBorders>
              <w:top w:val="single" w:sz="4" w:space="0" w:color="auto"/>
              <w:bottom w:val="single" w:sz="4" w:space="0" w:color="auto"/>
            </w:tcBorders>
            <w:shd w:val="clear" w:color="auto" w:fill="auto"/>
            <w:vAlign w:val="center"/>
          </w:tcPr>
          <w:p w14:paraId="20259F45" w14:textId="77777777" w:rsidR="00CD7E2E" w:rsidRPr="00801161" w:rsidRDefault="007C280A" w:rsidP="00FF2683">
            <w:pPr>
              <w:spacing w:after="0" w:line="240" w:lineRule="auto"/>
              <w:jc w:val="both"/>
              <w:rPr>
                <w:b/>
                <w:sz w:val="21"/>
                <w:szCs w:val="21"/>
              </w:rPr>
            </w:pPr>
            <w:r w:rsidRPr="00801161">
              <w:rPr>
                <w:b/>
                <w:sz w:val="21"/>
                <w:szCs w:val="21"/>
              </w:rPr>
              <w:t>miRNAs that enhance autophagy</w:t>
            </w:r>
          </w:p>
        </w:tc>
      </w:tr>
      <w:tr w:rsidR="00DB7DB1" w:rsidRPr="00801161" w14:paraId="20AD0F51" w14:textId="77777777" w:rsidTr="00FF2683">
        <w:trPr>
          <w:trHeight w:val="451"/>
        </w:trPr>
        <w:tc>
          <w:tcPr>
            <w:tcW w:w="1553" w:type="dxa"/>
            <w:tcBorders>
              <w:top w:val="single" w:sz="4" w:space="0" w:color="auto"/>
            </w:tcBorders>
            <w:shd w:val="clear" w:color="auto" w:fill="auto"/>
            <w:vAlign w:val="center"/>
          </w:tcPr>
          <w:p w14:paraId="04E0288A" w14:textId="77777777" w:rsidR="00CD7E2E" w:rsidRPr="00801161" w:rsidRDefault="007C280A" w:rsidP="00FF2683">
            <w:pPr>
              <w:spacing w:after="0" w:line="240" w:lineRule="auto"/>
              <w:jc w:val="both"/>
              <w:rPr>
                <w:sz w:val="20"/>
                <w:szCs w:val="20"/>
              </w:rPr>
            </w:pPr>
            <w:r w:rsidRPr="00801161">
              <w:rPr>
                <w:sz w:val="20"/>
                <w:szCs w:val="20"/>
              </w:rPr>
              <w:lastRenderedPageBreak/>
              <w:t>miR-346</w:t>
            </w:r>
          </w:p>
        </w:tc>
        <w:tc>
          <w:tcPr>
            <w:tcW w:w="2548" w:type="dxa"/>
            <w:tcBorders>
              <w:top w:val="single" w:sz="4" w:space="0" w:color="auto"/>
            </w:tcBorders>
            <w:shd w:val="clear" w:color="auto" w:fill="auto"/>
            <w:vAlign w:val="center"/>
          </w:tcPr>
          <w:p w14:paraId="267FF0E1" w14:textId="77777777" w:rsidR="00CD7E2E" w:rsidRPr="00801161" w:rsidRDefault="007C280A" w:rsidP="00FF2683">
            <w:pPr>
              <w:spacing w:after="0" w:line="240" w:lineRule="auto"/>
              <w:jc w:val="both"/>
              <w:rPr>
                <w:sz w:val="20"/>
                <w:szCs w:val="20"/>
              </w:rPr>
            </w:pPr>
            <w:r w:rsidRPr="00801161">
              <w:rPr>
                <w:sz w:val="20"/>
                <w:szCs w:val="20"/>
              </w:rPr>
              <w:t>Vitamin-D receptor, GSK3B</w:t>
            </w:r>
          </w:p>
        </w:tc>
        <w:tc>
          <w:tcPr>
            <w:tcW w:w="8638" w:type="dxa"/>
            <w:tcBorders>
              <w:top w:val="single" w:sz="4" w:space="0" w:color="auto"/>
            </w:tcBorders>
            <w:shd w:val="clear" w:color="auto" w:fill="auto"/>
            <w:vAlign w:val="center"/>
          </w:tcPr>
          <w:p w14:paraId="1548AACD" w14:textId="7E7243A9" w:rsidR="00CD7E2E" w:rsidRPr="00801161" w:rsidRDefault="007C280A" w:rsidP="00FF2683">
            <w:pPr>
              <w:spacing w:after="0" w:line="240" w:lineRule="auto"/>
              <w:jc w:val="both"/>
              <w:rPr>
                <w:sz w:val="20"/>
                <w:szCs w:val="20"/>
              </w:rPr>
            </w:pPr>
            <w:r w:rsidRPr="00801161">
              <w:rPr>
                <w:sz w:val="20"/>
                <w:szCs w:val="20"/>
              </w:rPr>
              <w:t>Downregulate</w:t>
            </w:r>
            <w:r w:rsidR="004F1472" w:rsidRPr="00801161">
              <w:rPr>
                <w:sz w:val="20"/>
                <w:szCs w:val="20"/>
              </w:rPr>
              <w:t>s</w:t>
            </w:r>
            <w:r w:rsidRPr="00801161">
              <w:rPr>
                <w:sz w:val="20"/>
                <w:szCs w:val="20"/>
              </w:rPr>
              <w:t xml:space="preserve"> the expression of GSK3B, which increases ATG16L1</w:t>
            </w:r>
          </w:p>
        </w:tc>
        <w:tc>
          <w:tcPr>
            <w:tcW w:w="946" w:type="dxa"/>
            <w:tcBorders>
              <w:top w:val="single" w:sz="4" w:space="0" w:color="auto"/>
            </w:tcBorders>
            <w:shd w:val="clear" w:color="auto" w:fill="auto"/>
            <w:vAlign w:val="center"/>
          </w:tcPr>
          <w:p w14:paraId="1FCD43C1" w14:textId="77777777" w:rsidR="00CD7E2E" w:rsidRPr="00801161" w:rsidRDefault="007C280A" w:rsidP="00FF2683">
            <w:pPr>
              <w:spacing w:after="0" w:line="240" w:lineRule="auto"/>
              <w:jc w:val="both"/>
              <w:rPr>
                <w:sz w:val="20"/>
                <w:szCs w:val="20"/>
              </w:rPr>
            </w:pPr>
            <w:r w:rsidRPr="00FD697C">
              <w:rPr>
                <w:sz w:val="20"/>
                <w:szCs w:val="20"/>
              </w:rPr>
              <w:t>[</w:t>
            </w:r>
            <w:r w:rsidR="003644A5" w:rsidRPr="00FD697C">
              <w:rPr>
                <w:sz w:val="20"/>
                <w:szCs w:val="20"/>
              </w:rPr>
              <w:t>62</w:t>
            </w:r>
            <w:r w:rsidRPr="00FD697C">
              <w:rPr>
                <w:sz w:val="20"/>
                <w:szCs w:val="20"/>
              </w:rPr>
              <w:t>]</w:t>
            </w:r>
          </w:p>
        </w:tc>
      </w:tr>
      <w:tr w:rsidR="00DB7DB1" w:rsidRPr="00801161" w14:paraId="680761EC" w14:textId="77777777" w:rsidTr="00FF2683">
        <w:trPr>
          <w:trHeight w:val="451"/>
        </w:trPr>
        <w:tc>
          <w:tcPr>
            <w:tcW w:w="1553" w:type="dxa"/>
            <w:tcBorders>
              <w:bottom w:val="single" w:sz="4" w:space="0" w:color="auto"/>
            </w:tcBorders>
            <w:shd w:val="clear" w:color="auto" w:fill="auto"/>
            <w:vAlign w:val="center"/>
          </w:tcPr>
          <w:p w14:paraId="2A3165DA" w14:textId="77777777" w:rsidR="00CD7E2E" w:rsidRPr="00801161" w:rsidRDefault="007C280A" w:rsidP="00FF2683">
            <w:pPr>
              <w:spacing w:after="0" w:line="240" w:lineRule="auto"/>
              <w:jc w:val="both"/>
              <w:rPr>
                <w:sz w:val="20"/>
                <w:szCs w:val="20"/>
              </w:rPr>
            </w:pPr>
            <w:r w:rsidRPr="00801161">
              <w:rPr>
                <w:sz w:val="20"/>
                <w:szCs w:val="20"/>
              </w:rPr>
              <w:t>miR-665</w:t>
            </w:r>
          </w:p>
        </w:tc>
        <w:tc>
          <w:tcPr>
            <w:tcW w:w="2548" w:type="dxa"/>
            <w:tcBorders>
              <w:bottom w:val="single" w:sz="4" w:space="0" w:color="auto"/>
            </w:tcBorders>
            <w:shd w:val="clear" w:color="auto" w:fill="auto"/>
            <w:vAlign w:val="center"/>
          </w:tcPr>
          <w:p w14:paraId="441D245A" w14:textId="77777777" w:rsidR="00CD7E2E" w:rsidRPr="00801161" w:rsidRDefault="007C280A" w:rsidP="00FF2683">
            <w:pPr>
              <w:spacing w:after="0" w:line="240" w:lineRule="auto"/>
              <w:jc w:val="both"/>
              <w:rPr>
                <w:sz w:val="20"/>
                <w:szCs w:val="20"/>
              </w:rPr>
            </w:pPr>
            <w:r w:rsidRPr="00801161">
              <w:rPr>
                <w:sz w:val="20"/>
                <w:szCs w:val="20"/>
              </w:rPr>
              <w:t>XBP1, ORMDL3</w:t>
            </w:r>
          </w:p>
        </w:tc>
        <w:tc>
          <w:tcPr>
            <w:tcW w:w="8638" w:type="dxa"/>
            <w:tcBorders>
              <w:bottom w:val="single" w:sz="4" w:space="0" w:color="auto"/>
            </w:tcBorders>
            <w:shd w:val="clear" w:color="auto" w:fill="auto"/>
            <w:vAlign w:val="center"/>
          </w:tcPr>
          <w:p w14:paraId="2D086777" w14:textId="4A0DD00E" w:rsidR="00CD7E2E" w:rsidRPr="00801161" w:rsidRDefault="007C280A" w:rsidP="00FF2683">
            <w:pPr>
              <w:spacing w:after="0" w:line="240" w:lineRule="auto"/>
              <w:jc w:val="both"/>
              <w:rPr>
                <w:sz w:val="20"/>
                <w:szCs w:val="20"/>
              </w:rPr>
            </w:pPr>
            <w:r w:rsidRPr="00801161">
              <w:rPr>
                <w:sz w:val="20"/>
                <w:szCs w:val="20"/>
              </w:rPr>
              <w:t>Repress</w:t>
            </w:r>
            <w:r w:rsidR="004F1472" w:rsidRPr="00801161">
              <w:rPr>
                <w:sz w:val="20"/>
                <w:szCs w:val="20"/>
              </w:rPr>
              <w:t>es</w:t>
            </w:r>
            <w:r w:rsidRPr="00801161">
              <w:rPr>
                <w:sz w:val="20"/>
                <w:szCs w:val="20"/>
              </w:rPr>
              <w:t xml:space="preserve"> XBP1 and ORMDL3 expression</w:t>
            </w:r>
          </w:p>
        </w:tc>
        <w:tc>
          <w:tcPr>
            <w:tcW w:w="946" w:type="dxa"/>
            <w:tcBorders>
              <w:bottom w:val="single" w:sz="4" w:space="0" w:color="auto"/>
            </w:tcBorders>
            <w:shd w:val="clear" w:color="auto" w:fill="auto"/>
            <w:vAlign w:val="center"/>
          </w:tcPr>
          <w:p w14:paraId="367600BF" w14:textId="77777777" w:rsidR="00CD7E2E" w:rsidRPr="00801161" w:rsidRDefault="007C280A" w:rsidP="00FF2683">
            <w:pPr>
              <w:spacing w:after="0" w:line="240" w:lineRule="auto"/>
              <w:jc w:val="both"/>
              <w:rPr>
                <w:sz w:val="20"/>
                <w:szCs w:val="20"/>
              </w:rPr>
            </w:pPr>
            <w:r w:rsidRPr="00FD697C">
              <w:rPr>
                <w:sz w:val="20"/>
                <w:szCs w:val="20"/>
              </w:rPr>
              <w:t>[6</w:t>
            </w:r>
            <w:r w:rsidR="003644A5" w:rsidRPr="00FD697C">
              <w:rPr>
                <w:sz w:val="20"/>
                <w:szCs w:val="20"/>
              </w:rPr>
              <w:t>3</w:t>
            </w:r>
            <w:r w:rsidRPr="00FD697C">
              <w:rPr>
                <w:sz w:val="20"/>
                <w:szCs w:val="20"/>
              </w:rPr>
              <w:t>]</w:t>
            </w:r>
          </w:p>
        </w:tc>
      </w:tr>
      <w:tr w:rsidR="00DB7DB1" w:rsidRPr="00801161" w14:paraId="24EDE96B" w14:textId="77777777" w:rsidTr="00FF2683">
        <w:trPr>
          <w:trHeight w:val="451"/>
        </w:trPr>
        <w:tc>
          <w:tcPr>
            <w:tcW w:w="13686" w:type="dxa"/>
            <w:gridSpan w:val="4"/>
            <w:tcBorders>
              <w:top w:val="single" w:sz="4" w:space="0" w:color="auto"/>
              <w:bottom w:val="single" w:sz="4" w:space="0" w:color="auto"/>
            </w:tcBorders>
            <w:shd w:val="clear" w:color="auto" w:fill="auto"/>
            <w:vAlign w:val="center"/>
          </w:tcPr>
          <w:p w14:paraId="7E447FF6" w14:textId="77777777" w:rsidR="00CD7E2E" w:rsidRPr="00801161" w:rsidRDefault="007C280A" w:rsidP="00FF2683">
            <w:pPr>
              <w:spacing w:after="0" w:line="240" w:lineRule="auto"/>
              <w:jc w:val="both"/>
              <w:rPr>
                <w:b/>
                <w:sz w:val="21"/>
                <w:szCs w:val="21"/>
              </w:rPr>
            </w:pPr>
            <w:r w:rsidRPr="00801161">
              <w:rPr>
                <w:b/>
                <w:sz w:val="21"/>
                <w:szCs w:val="21"/>
              </w:rPr>
              <w:t>miRNAs that inhibit autophagy</w:t>
            </w:r>
          </w:p>
        </w:tc>
      </w:tr>
      <w:tr w:rsidR="00DB7DB1" w:rsidRPr="00801161" w14:paraId="752CA0D0" w14:textId="77777777" w:rsidTr="00FF2683">
        <w:trPr>
          <w:trHeight w:val="451"/>
        </w:trPr>
        <w:tc>
          <w:tcPr>
            <w:tcW w:w="1553" w:type="dxa"/>
            <w:tcBorders>
              <w:top w:val="single" w:sz="4" w:space="0" w:color="auto"/>
            </w:tcBorders>
            <w:shd w:val="clear" w:color="auto" w:fill="auto"/>
            <w:vAlign w:val="center"/>
          </w:tcPr>
          <w:p w14:paraId="56207AD2" w14:textId="77777777" w:rsidR="00CD7E2E" w:rsidRPr="00801161" w:rsidRDefault="007C280A" w:rsidP="00FF2683">
            <w:pPr>
              <w:spacing w:after="0" w:line="240" w:lineRule="auto"/>
              <w:jc w:val="both"/>
              <w:rPr>
                <w:sz w:val="20"/>
                <w:szCs w:val="20"/>
              </w:rPr>
            </w:pPr>
            <w:r w:rsidRPr="00801161">
              <w:rPr>
                <w:sz w:val="20"/>
                <w:szCs w:val="20"/>
              </w:rPr>
              <w:t>miR-20a</w:t>
            </w:r>
          </w:p>
        </w:tc>
        <w:tc>
          <w:tcPr>
            <w:tcW w:w="2548" w:type="dxa"/>
            <w:tcBorders>
              <w:top w:val="single" w:sz="4" w:space="0" w:color="auto"/>
            </w:tcBorders>
            <w:shd w:val="clear" w:color="auto" w:fill="auto"/>
            <w:vAlign w:val="center"/>
          </w:tcPr>
          <w:p w14:paraId="3714B909" w14:textId="77777777" w:rsidR="00CD7E2E" w:rsidRPr="00801161" w:rsidRDefault="007C280A" w:rsidP="00FF2683">
            <w:pPr>
              <w:spacing w:after="0" w:line="240" w:lineRule="auto"/>
              <w:jc w:val="both"/>
              <w:rPr>
                <w:sz w:val="20"/>
                <w:szCs w:val="20"/>
              </w:rPr>
            </w:pPr>
            <w:r w:rsidRPr="00801161">
              <w:rPr>
                <w:sz w:val="20"/>
                <w:szCs w:val="20"/>
              </w:rPr>
              <w:t>ATG16L1, SQSTM1</w:t>
            </w:r>
          </w:p>
        </w:tc>
        <w:tc>
          <w:tcPr>
            <w:tcW w:w="8638" w:type="dxa"/>
            <w:tcBorders>
              <w:top w:val="single" w:sz="4" w:space="0" w:color="auto"/>
            </w:tcBorders>
            <w:shd w:val="clear" w:color="auto" w:fill="auto"/>
            <w:vAlign w:val="center"/>
          </w:tcPr>
          <w:p w14:paraId="310B5394" w14:textId="77777777" w:rsidR="00CD7E2E" w:rsidRPr="00801161" w:rsidRDefault="007C280A" w:rsidP="00FF2683">
            <w:pPr>
              <w:spacing w:after="0" w:line="240" w:lineRule="auto"/>
              <w:jc w:val="both"/>
              <w:rPr>
                <w:sz w:val="20"/>
                <w:szCs w:val="20"/>
              </w:rPr>
            </w:pPr>
            <w:r w:rsidRPr="00801161">
              <w:rPr>
                <w:sz w:val="20"/>
                <w:szCs w:val="20"/>
              </w:rPr>
              <w:t>Downregulates BECN1, ATG16L1, and SQSTM1</w:t>
            </w:r>
          </w:p>
        </w:tc>
        <w:tc>
          <w:tcPr>
            <w:tcW w:w="946" w:type="dxa"/>
            <w:tcBorders>
              <w:top w:val="single" w:sz="4" w:space="0" w:color="auto"/>
            </w:tcBorders>
            <w:shd w:val="clear" w:color="auto" w:fill="auto"/>
            <w:vAlign w:val="center"/>
          </w:tcPr>
          <w:p w14:paraId="1A922F48" w14:textId="77777777" w:rsidR="00CD7E2E" w:rsidRPr="00801161" w:rsidRDefault="007C280A" w:rsidP="00FF2683">
            <w:pPr>
              <w:spacing w:after="0" w:line="240" w:lineRule="auto"/>
              <w:jc w:val="both"/>
              <w:rPr>
                <w:sz w:val="20"/>
                <w:szCs w:val="20"/>
              </w:rPr>
            </w:pPr>
            <w:r w:rsidRPr="00FD697C">
              <w:rPr>
                <w:sz w:val="20"/>
                <w:szCs w:val="20"/>
              </w:rPr>
              <w:t>[6</w:t>
            </w:r>
            <w:r w:rsidR="003644A5" w:rsidRPr="00FD697C">
              <w:rPr>
                <w:sz w:val="20"/>
                <w:szCs w:val="20"/>
              </w:rPr>
              <w:t>4</w:t>
            </w:r>
            <w:r w:rsidRPr="00FD697C">
              <w:rPr>
                <w:sz w:val="20"/>
                <w:szCs w:val="20"/>
              </w:rPr>
              <w:t>]</w:t>
            </w:r>
          </w:p>
        </w:tc>
      </w:tr>
      <w:tr w:rsidR="00DB7DB1" w:rsidRPr="00801161" w14:paraId="1ED1E72E" w14:textId="77777777" w:rsidTr="00FF2683">
        <w:trPr>
          <w:trHeight w:val="451"/>
        </w:trPr>
        <w:tc>
          <w:tcPr>
            <w:tcW w:w="1553" w:type="dxa"/>
            <w:shd w:val="clear" w:color="auto" w:fill="auto"/>
            <w:vAlign w:val="center"/>
          </w:tcPr>
          <w:p w14:paraId="4C224C97" w14:textId="77777777" w:rsidR="00CD7E2E" w:rsidRPr="00801161" w:rsidRDefault="007C280A" w:rsidP="00FF2683">
            <w:pPr>
              <w:spacing w:after="0" w:line="240" w:lineRule="auto"/>
              <w:jc w:val="both"/>
              <w:rPr>
                <w:sz w:val="20"/>
                <w:szCs w:val="20"/>
              </w:rPr>
            </w:pPr>
            <w:r w:rsidRPr="00801161">
              <w:rPr>
                <w:sz w:val="20"/>
                <w:szCs w:val="20"/>
              </w:rPr>
              <w:t>miR-30C</w:t>
            </w:r>
          </w:p>
        </w:tc>
        <w:tc>
          <w:tcPr>
            <w:tcW w:w="2548" w:type="dxa"/>
            <w:shd w:val="clear" w:color="auto" w:fill="auto"/>
            <w:vAlign w:val="center"/>
          </w:tcPr>
          <w:p w14:paraId="5AE10E9A" w14:textId="77777777" w:rsidR="00CD7E2E" w:rsidRPr="00801161" w:rsidRDefault="007C280A" w:rsidP="00FF2683">
            <w:pPr>
              <w:spacing w:after="0" w:line="240" w:lineRule="auto"/>
              <w:jc w:val="both"/>
              <w:rPr>
                <w:sz w:val="20"/>
                <w:szCs w:val="20"/>
              </w:rPr>
            </w:pPr>
            <w:r w:rsidRPr="00801161">
              <w:rPr>
                <w:sz w:val="20"/>
                <w:szCs w:val="20"/>
              </w:rPr>
              <w:t>ATG5, ATG16L1</w:t>
            </w:r>
          </w:p>
        </w:tc>
        <w:tc>
          <w:tcPr>
            <w:tcW w:w="8638" w:type="dxa"/>
            <w:shd w:val="clear" w:color="auto" w:fill="auto"/>
            <w:vAlign w:val="center"/>
          </w:tcPr>
          <w:p w14:paraId="06FA0A4F" w14:textId="77777777" w:rsidR="00CD7E2E" w:rsidRPr="00801161" w:rsidRDefault="007C280A" w:rsidP="00FF2683">
            <w:pPr>
              <w:spacing w:after="0" w:line="240" w:lineRule="auto"/>
              <w:jc w:val="both"/>
              <w:rPr>
                <w:sz w:val="20"/>
                <w:szCs w:val="20"/>
              </w:rPr>
            </w:pPr>
            <w:r w:rsidRPr="00801161">
              <w:rPr>
                <w:sz w:val="20"/>
                <w:szCs w:val="20"/>
              </w:rPr>
              <w:t>Reduces the level of ATG5 and ATG16L1</w:t>
            </w:r>
          </w:p>
        </w:tc>
        <w:tc>
          <w:tcPr>
            <w:tcW w:w="946" w:type="dxa"/>
            <w:shd w:val="clear" w:color="auto" w:fill="auto"/>
            <w:vAlign w:val="center"/>
          </w:tcPr>
          <w:p w14:paraId="416A1C71" w14:textId="77777777" w:rsidR="00CD7E2E" w:rsidRPr="00801161" w:rsidRDefault="007C280A" w:rsidP="00FF2683">
            <w:pPr>
              <w:spacing w:after="0" w:line="240" w:lineRule="auto"/>
              <w:jc w:val="both"/>
              <w:rPr>
                <w:sz w:val="20"/>
                <w:szCs w:val="20"/>
              </w:rPr>
            </w:pPr>
            <w:r w:rsidRPr="00FD697C">
              <w:rPr>
                <w:sz w:val="20"/>
                <w:szCs w:val="20"/>
              </w:rPr>
              <w:t>[6</w:t>
            </w:r>
            <w:r w:rsidR="003644A5" w:rsidRPr="00FD697C">
              <w:rPr>
                <w:sz w:val="20"/>
                <w:szCs w:val="20"/>
              </w:rPr>
              <w:t>5</w:t>
            </w:r>
            <w:r w:rsidRPr="00FD697C">
              <w:rPr>
                <w:sz w:val="20"/>
                <w:szCs w:val="20"/>
              </w:rPr>
              <w:t>]</w:t>
            </w:r>
          </w:p>
        </w:tc>
      </w:tr>
      <w:tr w:rsidR="00DB7DB1" w:rsidRPr="00801161" w14:paraId="07FE1BFD" w14:textId="77777777" w:rsidTr="00FF2683">
        <w:trPr>
          <w:trHeight w:val="451"/>
        </w:trPr>
        <w:tc>
          <w:tcPr>
            <w:tcW w:w="1553" w:type="dxa"/>
            <w:shd w:val="clear" w:color="auto" w:fill="auto"/>
            <w:vAlign w:val="center"/>
          </w:tcPr>
          <w:p w14:paraId="759E982A" w14:textId="77777777" w:rsidR="00CD7E2E" w:rsidRPr="00801161" w:rsidRDefault="007C280A" w:rsidP="00FF2683">
            <w:pPr>
              <w:spacing w:after="0" w:line="240" w:lineRule="auto"/>
              <w:jc w:val="both"/>
              <w:rPr>
                <w:sz w:val="20"/>
                <w:szCs w:val="20"/>
              </w:rPr>
            </w:pPr>
            <w:r w:rsidRPr="00801161">
              <w:rPr>
                <w:sz w:val="20"/>
                <w:szCs w:val="20"/>
              </w:rPr>
              <w:t>miR-93, -106B</w:t>
            </w:r>
          </w:p>
        </w:tc>
        <w:tc>
          <w:tcPr>
            <w:tcW w:w="2548" w:type="dxa"/>
            <w:shd w:val="clear" w:color="auto" w:fill="auto"/>
            <w:vAlign w:val="center"/>
          </w:tcPr>
          <w:p w14:paraId="604075E5" w14:textId="77777777" w:rsidR="00CD7E2E" w:rsidRPr="00801161" w:rsidRDefault="007C280A" w:rsidP="00FF2683">
            <w:pPr>
              <w:spacing w:after="0" w:line="240" w:lineRule="auto"/>
              <w:jc w:val="both"/>
              <w:rPr>
                <w:sz w:val="20"/>
                <w:szCs w:val="20"/>
              </w:rPr>
            </w:pPr>
            <w:r w:rsidRPr="00801161">
              <w:rPr>
                <w:sz w:val="20"/>
                <w:szCs w:val="20"/>
              </w:rPr>
              <w:t>ATG16L1, PTEN</w:t>
            </w:r>
          </w:p>
        </w:tc>
        <w:tc>
          <w:tcPr>
            <w:tcW w:w="8638" w:type="dxa"/>
            <w:shd w:val="clear" w:color="auto" w:fill="auto"/>
            <w:vAlign w:val="center"/>
          </w:tcPr>
          <w:p w14:paraId="23F7CF19" w14:textId="77777777" w:rsidR="00CD7E2E" w:rsidRPr="00801161" w:rsidRDefault="007C280A" w:rsidP="00FF2683">
            <w:pPr>
              <w:spacing w:after="0" w:line="240" w:lineRule="auto"/>
              <w:jc w:val="both"/>
              <w:rPr>
                <w:sz w:val="20"/>
                <w:szCs w:val="20"/>
              </w:rPr>
            </w:pPr>
            <w:r w:rsidRPr="00801161">
              <w:rPr>
                <w:sz w:val="20"/>
                <w:szCs w:val="20"/>
              </w:rPr>
              <w:t>Suppress ATG16L1 expression and PTEN activity</w:t>
            </w:r>
          </w:p>
        </w:tc>
        <w:tc>
          <w:tcPr>
            <w:tcW w:w="946" w:type="dxa"/>
            <w:shd w:val="clear" w:color="auto" w:fill="auto"/>
            <w:vAlign w:val="center"/>
          </w:tcPr>
          <w:p w14:paraId="74D0C40D" w14:textId="77777777" w:rsidR="00CD7E2E" w:rsidRPr="00801161" w:rsidRDefault="007C280A" w:rsidP="00FF2683">
            <w:pPr>
              <w:spacing w:after="0" w:line="240" w:lineRule="auto"/>
              <w:jc w:val="both"/>
              <w:rPr>
                <w:sz w:val="20"/>
                <w:szCs w:val="20"/>
              </w:rPr>
            </w:pPr>
            <w:r w:rsidRPr="00FD697C">
              <w:rPr>
                <w:sz w:val="20"/>
                <w:szCs w:val="20"/>
              </w:rPr>
              <w:t>[6</w:t>
            </w:r>
            <w:r w:rsidR="003644A5" w:rsidRPr="00FD697C">
              <w:rPr>
                <w:sz w:val="20"/>
                <w:szCs w:val="20"/>
              </w:rPr>
              <w:t>6</w:t>
            </w:r>
            <w:r w:rsidRPr="00FD697C">
              <w:rPr>
                <w:sz w:val="20"/>
                <w:szCs w:val="20"/>
              </w:rPr>
              <w:t>, 6</w:t>
            </w:r>
            <w:r w:rsidR="003644A5" w:rsidRPr="00FD697C">
              <w:rPr>
                <w:sz w:val="20"/>
                <w:szCs w:val="20"/>
              </w:rPr>
              <w:t>7</w:t>
            </w:r>
            <w:r w:rsidRPr="00FD697C">
              <w:rPr>
                <w:sz w:val="20"/>
                <w:szCs w:val="20"/>
              </w:rPr>
              <w:t>]</w:t>
            </w:r>
          </w:p>
        </w:tc>
      </w:tr>
      <w:tr w:rsidR="00DB7DB1" w:rsidRPr="00801161" w14:paraId="46A0B971" w14:textId="77777777" w:rsidTr="00FF2683">
        <w:trPr>
          <w:trHeight w:val="451"/>
        </w:trPr>
        <w:tc>
          <w:tcPr>
            <w:tcW w:w="1553" w:type="dxa"/>
            <w:shd w:val="clear" w:color="auto" w:fill="auto"/>
            <w:vAlign w:val="center"/>
          </w:tcPr>
          <w:p w14:paraId="3A8476BA" w14:textId="77777777" w:rsidR="00CD7E2E" w:rsidRPr="00801161" w:rsidRDefault="007C280A" w:rsidP="00FF2683">
            <w:pPr>
              <w:spacing w:after="0" w:line="240" w:lineRule="auto"/>
              <w:jc w:val="both"/>
              <w:rPr>
                <w:sz w:val="20"/>
                <w:szCs w:val="20"/>
              </w:rPr>
            </w:pPr>
            <w:r w:rsidRPr="00801161">
              <w:rPr>
                <w:sz w:val="20"/>
                <w:szCs w:val="20"/>
              </w:rPr>
              <w:t>miR-122</w:t>
            </w:r>
          </w:p>
        </w:tc>
        <w:tc>
          <w:tcPr>
            <w:tcW w:w="2548" w:type="dxa"/>
            <w:shd w:val="clear" w:color="auto" w:fill="auto"/>
            <w:vAlign w:val="center"/>
          </w:tcPr>
          <w:p w14:paraId="06CB91CB" w14:textId="77777777" w:rsidR="00CD7E2E" w:rsidRPr="00801161" w:rsidRDefault="007C280A" w:rsidP="00FF2683">
            <w:pPr>
              <w:spacing w:after="0" w:line="240" w:lineRule="auto"/>
              <w:jc w:val="both"/>
              <w:rPr>
                <w:sz w:val="20"/>
                <w:szCs w:val="20"/>
              </w:rPr>
            </w:pPr>
            <w:r w:rsidRPr="00801161">
              <w:rPr>
                <w:sz w:val="20"/>
                <w:szCs w:val="20"/>
              </w:rPr>
              <w:t>NOD2, NF-κB</w:t>
            </w:r>
          </w:p>
        </w:tc>
        <w:tc>
          <w:tcPr>
            <w:tcW w:w="8638" w:type="dxa"/>
            <w:shd w:val="clear" w:color="auto" w:fill="auto"/>
            <w:vAlign w:val="center"/>
          </w:tcPr>
          <w:p w14:paraId="4AA4D284" w14:textId="77777777" w:rsidR="00CD7E2E" w:rsidRPr="00801161" w:rsidRDefault="007C280A" w:rsidP="00FF2683">
            <w:pPr>
              <w:spacing w:after="0" w:line="240" w:lineRule="auto"/>
              <w:jc w:val="both"/>
              <w:rPr>
                <w:sz w:val="20"/>
                <w:szCs w:val="20"/>
              </w:rPr>
            </w:pPr>
            <w:r w:rsidRPr="00801161">
              <w:rPr>
                <w:sz w:val="20"/>
                <w:szCs w:val="20"/>
              </w:rPr>
              <w:t>Inhibits NOD2 activity and increases NF-κB</w:t>
            </w:r>
          </w:p>
        </w:tc>
        <w:tc>
          <w:tcPr>
            <w:tcW w:w="946" w:type="dxa"/>
            <w:shd w:val="clear" w:color="auto" w:fill="auto"/>
            <w:vAlign w:val="center"/>
          </w:tcPr>
          <w:p w14:paraId="302CED84" w14:textId="77777777" w:rsidR="00CD7E2E" w:rsidRPr="00801161" w:rsidRDefault="007C280A" w:rsidP="00FF2683">
            <w:pPr>
              <w:spacing w:after="0" w:line="240" w:lineRule="auto"/>
              <w:jc w:val="both"/>
              <w:rPr>
                <w:sz w:val="20"/>
                <w:szCs w:val="20"/>
              </w:rPr>
            </w:pPr>
            <w:r w:rsidRPr="00FD697C">
              <w:rPr>
                <w:sz w:val="20"/>
                <w:szCs w:val="20"/>
              </w:rPr>
              <w:t>[6</w:t>
            </w:r>
            <w:r w:rsidR="003644A5" w:rsidRPr="00FD697C">
              <w:rPr>
                <w:sz w:val="20"/>
                <w:szCs w:val="20"/>
              </w:rPr>
              <w:t>9</w:t>
            </w:r>
            <w:r w:rsidRPr="00FD697C">
              <w:rPr>
                <w:sz w:val="20"/>
                <w:szCs w:val="20"/>
              </w:rPr>
              <w:t>]</w:t>
            </w:r>
          </w:p>
        </w:tc>
      </w:tr>
      <w:tr w:rsidR="00DB7DB1" w:rsidRPr="00801161" w14:paraId="331F42A0" w14:textId="77777777" w:rsidTr="00FF2683">
        <w:trPr>
          <w:trHeight w:val="451"/>
        </w:trPr>
        <w:tc>
          <w:tcPr>
            <w:tcW w:w="1553" w:type="dxa"/>
            <w:shd w:val="clear" w:color="auto" w:fill="auto"/>
            <w:vAlign w:val="center"/>
          </w:tcPr>
          <w:p w14:paraId="1EF711C0" w14:textId="77777777" w:rsidR="00CD7E2E" w:rsidRPr="00801161" w:rsidRDefault="007C280A" w:rsidP="00FF2683">
            <w:pPr>
              <w:spacing w:after="0" w:line="240" w:lineRule="auto"/>
              <w:jc w:val="both"/>
              <w:rPr>
                <w:sz w:val="20"/>
                <w:szCs w:val="20"/>
              </w:rPr>
            </w:pPr>
            <w:r w:rsidRPr="00801161">
              <w:rPr>
                <w:sz w:val="20"/>
                <w:szCs w:val="20"/>
              </w:rPr>
              <w:t>miR-130a</w:t>
            </w:r>
          </w:p>
        </w:tc>
        <w:tc>
          <w:tcPr>
            <w:tcW w:w="2548" w:type="dxa"/>
            <w:shd w:val="clear" w:color="auto" w:fill="auto"/>
            <w:vAlign w:val="center"/>
          </w:tcPr>
          <w:p w14:paraId="0770A33B" w14:textId="77777777" w:rsidR="00CD7E2E" w:rsidRPr="00801161" w:rsidRDefault="007C280A" w:rsidP="00FF2683">
            <w:pPr>
              <w:spacing w:after="0" w:line="240" w:lineRule="auto"/>
              <w:jc w:val="both"/>
              <w:rPr>
                <w:sz w:val="20"/>
                <w:szCs w:val="20"/>
              </w:rPr>
            </w:pPr>
            <w:r w:rsidRPr="00801161">
              <w:rPr>
                <w:sz w:val="20"/>
                <w:szCs w:val="20"/>
              </w:rPr>
              <w:t>p-mTOR</w:t>
            </w:r>
          </w:p>
        </w:tc>
        <w:tc>
          <w:tcPr>
            <w:tcW w:w="8638" w:type="dxa"/>
            <w:shd w:val="clear" w:color="auto" w:fill="auto"/>
            <w:vAlign w:val="center"/>
          </w:tcPr>
          <w:p w14:paraId="0732D5EB" w14:textId="77777777" w:rsidR="00CD7E2E" w:rsidRPr="00801161" w:rsidRDefault="007C280A" w:rsidP="00FF2683">
            <w:pPr>
              <w:spacing w:after="0" w:line="240" w:lineRule="auto"/>
              <w:jc w:val="both"/>
              <w:rPr>
                <w:sz w:val="20"/>
                <w:szCs w:val="20"/>
              </w:rPr>
            </w:pPr>
            <w:r w:rsidRPr="00801161">
              <w:rPr>
                <w:sz w:val="20"/>
                <w:szCs w:val="20"/>
              </w:rPr>
              <w:t>Increases the level of p-mTOR</w:t>
            </w:r>
          </w:p>
        </w:tc>
        <w:tc>
          <w:tcPr>
            <w:tcW w:w="946" w:type="dxa"/>
            <w:shd w:val="clear" w:color="auto" w:fill="auto"/>
            <w:vAlign w:val="center"/>
          </w:tcPr>
          <w:p w14:paraId="444556C9" w14:textId="77777777" w:rsidR="00CD7E2E" w:rsidRPr="00801161" w:rsidRDefault="007C280A" w:rsidP="00FE3B0D">
            <w:pPr>
              <w:spacing w:after="0" w:line="240" w:lineRule="auto"/>
              <w:jc w:val="both"/>
              <w:rPr>
                <w:sz w:val="20"/>
                <w:szCs w:val="20"/>
              </w:rPr>
            </w:pPr>
            <w:r w:rsidRPr="00FD697C">
              <w:rPr>
                <w:sz w:val="20"/>
                <w:szCs w:val="20"/>
              </w:rPr>
              <w:t>[71]</w:t>
            </w:r>
          </w:p>
        </w:tc>
      </w:tr>
      <w:tr w:rsidR="00DB7DB1" w:rsidRPr="00801161" w14:paraId="29CA56FD" w14:textId="77777777" w:rsidTr="00FF2683">
        <w:trPr>
          <w:trHeight w:val="451"/>
        </w:trPr>
        <w:tc>
          <w:tcPr>
            <w:tcW w:w="1553" w:type="dxa"/>
            <w:shd w:val="clear" w:color="auto" w:fill="auto"/>
            <w:vAlign w:val="center"/>
          </w:tcPr>
          <w:p w14:paraId="514BB34A" w14:textId="77777777" w:rsidR="00CD7E2E" w:rsidRPr="00801161" w:rsidRDefault="007C280A" w:rsidP="00FF2683">
            <w:pPr>
              <w:spacing w:after="0" w:line="240" w:lineRule="auto"/>
              <w:jc w:val="both"/>
              <w:rPr>
                <w:sz w:val="20"/>
                <w:szCs w:val="20"/>
              </w:rPr>
            </w:pPr>
            <w:r w:rsidRPr="00801161">
              <w:rPr>
                <w:sz w:val="20"/>
                <w:szCs w:val="20"/>
              </w:rPr>
              <w:t>miR-132, -223</w:t>
            </w:r>
          </w:p>
        </w:tc>
        <w:tc>
          <w:tcPr>
            <w:tcW w:w="2548" w:type="dxa"/>
            <w:shd w:val="clear" w:color="auto" w:fill="auto"/>
            <w:vAlign w:val="center"/>
          </w:tcPr>
          <w:p w14:paraId="6029FC71" w14:textId="77777777" w:rsidR="00CD7E2E" w:rsidRPr="00801161" w:rsidRDefault="007C280A" w:rsidP="00FF2683">
            <w:pPr>
              <w:spacing w:after="0" w:line="240" w:lineRule="auto"/>
              <w:jc w:val="both"/>
              <w:rPr>
                <w:sz w:val="20"/>
                <w:szCs w:val="20"/>
              </w:rPr>
            </w:pPr>
            <w:r w:rsidRPr="00801161">
              <w:rPr>
                <w:sz w:val="20"/>
                <w:szCs w:val="20"/>
              </w:rPr>
              <w:t>FOXO3a</w:t>
            </w:r>
          </w:p>
        </w:tc>
        <w:tc>
          <w:tcPr>
            <w:tcW w:w="8638" w:type="dxa"/>
            <w:shd w:val="clear" w:color="auto" w:fill="auto"/>
            <w:vAlign w:val="center"/>
          </w:tcPr>
          <w:p w14:paraId="45C65DBB" w14:textId="67560FDB" w:rsidR="00CD7E2E" w:rsidRPr="00801161" w:rsidRDefault="007C280A" w:rsidP="00FF2683">
            <w:pPr>
              <w:spacing w:after="0" w:line="240" w:lineRule="auto"/>
              <w:jc w:val="both"/>
              <w:rPr>
                <w:sz w:val="20"/>
                <w:szCs w:val="20"/>
              </w:rPr>
            </w:pPr>
            <w:r w:rsidRPr="00801161">
              <w:rPr>
                <w:sz w:val="20"/>
                <w:szCs w:val="20"/>
              </w:rPr>
              <w:t>Downregulate FOXO3a, which enhances NF-κB signaling</w:t>
            </w:r>
          </w:p>
        </w:tc>
        <w:tc>
          <w:tcPr>
            <w:tcW w:w="946" w:type="dxa"/>
            <w:shd w:val="clear" w:color="auto" w:fill="auto"/>
            <w:vAlign w:val="center"/>
          </w:tcPr>
          <w:p w14:paraId="6606B13D" w14:textId="77777777" w:rsidR="00CD7E2E" w:rsidRPr="00801161" w:rsidRDefault="007C280A" w:rsidP="00FF2683">
            <w:pPr>
              <w:spacing w:after="0" w:line="240" w:lineRule="auto"/>
              <w:jc w:val="both"/>
              <w:rPr>
                <w:sz w:val="20"/>
                <w:szCs w:val="20"/>
              </w:rPr>
            </w:pPr>
            <w:r w:rsidRPr="00FD697C">
              <w:rPr>
                <w:sz w:val="20"/>
                <w:szCs w:val="20"/>
              </w:rPr>
              <w:t>[</w:t>
            </w:r>
            <w:r w:rsidR="003644A5" w:rsidRPr="00FD697C">
              <w:rPr>
                <w:sz w:val="20"/>
                <w:szCs w:val="20"/>
              </w:rPr>
              <w:t>7</w:t>
            </w:r>
            <w:r w:rsidR="007423B1" w:rsidRPr="00FD697C">
              <w:rPr>
                <w:sz w:val="20"/>
                <w:szCs w:val="20"/>
              </w:rPr>
              <w:t>2</w:t>
            </w:r>
            <w:r w:rsidRPr="00FD697C">
              <w:rPr>
                <w:sz w:val="20"/>
                <w:szCs w:val="20"/>
              </w:rPr>
              <w:t>]</w:t>
            </w:r>
          </w:p>
        </w:tc>
      </w:tr>
      <w:tr w:rsidR="00DB7DB1" w:rsidRPr="00801161" w14:paraId="56A13509" w14:textId="77777777" w:rsidTr="00FF2683">
        <w:trPr>
          <w:trHeight w:val="451"/>
        </w:trPr>
        <w:tc>
          <w:tcPr>
            <w:tcW w:w="1553" w:type="dxa"/>
            <w:shd w:val="clear" w:color="auto" w:fill="auto"/>
            <w:vAlign w:val="center"/>
          </w:tcPr>
          <w:p w14:paraId="5277FBFB" w14:textId="77777777" w:rsidR="00CD7E2E" w:rsidRPr="00801161" w:rsidRDefault="007C280A" w:rsidP="00FF2683">
            <w:pPr>
              <w:spacing w:after="0" w:line="240" w:lineRule="auto"/>
              <w:jc w:val="both"/>
              <w:rPr>
                <w:sz w:val="20"/>
                <w:szCs w:val="20"/>
              </w:rPr>
            </w:pPr>
            <w:r w:rsidRPr="00801161">
              <w:rPr>
                <w:sz w:val="20"/>
                <w:szCs w:val="20"/>
              </w:rPr>
              <w:t>miR-142-3p</w:t>
            </w:r>
          </w:p>
        </w:tc>
        <w:tc>
          <w:tcPr>
            <w:tcW w:w="2548" w:type="dxa"/>
            <w:shd w:val="clear" w:color="auto" w:fill="auto"/>
            <w:vAlign w:val="center"/>
          </w:tcPr>
          <w:p w14:paraId="600A9E61" w14:textId="77777777" w:rsidR="00CD7E2E" w:rsidRPr="00801161" w:rsidRDefault="007C280A" w:rsidP="00FF2683">
            <w:pPr>
              <w:spacing w:after="0" w:line="240" w:lineRule="auto"/>
              <w:jc w:val="both"/>
              <w:rPr>
                <w:sz w:val="20"/>
                <w:szCs w:val="20"/>
              </w:rPr>
            </w:pPr>
            <w:r w:rsidRPr="00801161">
              <w:rPr>
                <w:sz w:val="20"/>
                <w:szCs w:val="20"/>
              </w:rPr>
              <w:t>ATG16L1</w:t>
            </w:r>
          </w:p>
        </w:tc>
        <w:tc>
          <w:tcPr>
            <w:tcW w:w="8638" w:type="dxa"/>
            <w:shd w:val="clear" w:color="auto" w:fill="auto"/>
            <w:vAlign w:val="center"/>
          </w:tcPr>
          <w:p w14:paraId="126AD30C" w14:textId="77777777" w:rsidR="00CD7E2E" w:rsidRPr="00801161" w:rsidRDefault="007C280A" w:rsidP="00FF2683">
            <w:pPr>
              <w:spacing w:after="0" w:line="240" w:lineRule="auto"/>
              <w:jc w:val="both"/>
              <w:rPr>
                <w:sz w:val="20"/>
                <w:szCs w:val="20"/>
              </w:rPr>
            </w:pPr>
            <w:r w:rsidRPr="00801161">
              <w:rPr>
                <w:sz w:val="20"/>
                <w:szCs w:val="20"/>
              </w:rPr>
              <w:t>Decreases ATG16L1 mRNA and protein levels</w:t>
            </w:r>
          </w:p>
        </w:tc>
        <w:tc>
          <w:tcPr>
            <w:tcW w:w="946" w:type="dxa"/>
            <w:shd w:val="clear" w:color="auto" w:fill="auto"/>
            <w:vAlign w:val="center"/>
          </w:tcPr>
          <w:p w14:paraId="272F24BD" w14:textId="77777777" w:rsidR="00CD7E2E" w:rsidRPr="00801161" w:rsidRDefault="007C280A" w:rsidP="00FF2683">
            <w:pPr>
              <w:spacing w:after="0" w:line="240" w:lineRule="auto"/>
              <w:jc w:val="both"/>
              <w:rPr>
                <w:sz w:val="20"/>
                <w:szCs w:val="20"/>
              </w:rPr>
            </w:pPr>
            <w:r w:rsidRPr="00FD697C">
              <w:rPr>
                <w:sz w:val="20"/>
                <w:szCs w:val="20"/>
              </w:rPr>
              <w:t>[6</w:t>
            </w:r>
            <w:r w:rsidR="003644A5" w:rsidRPr="00FD697C">
              <w:rPr>
                <w:sz w:val="20"/>
                <w:szCs w:val="20"/>
              </w:rPr>
              <w:t>8</w:t>
            </w:r>
            <w:r w:rsidRPr="00FD697C">
              <w:rPr>
                <w:sz w:val="20"/>
                <w:szCs w:val="20"/>
              </w:rPr>
              <w:t>]</w:t>
            </w:r>
          </w:p>
        </w:tc>
      </w:tr>
      <w:tr w:rsidR="00DB7DB1" w:rsidRPr="00801161" w14:paraId="0F9DEAF9" w14:textId="77777777" w:rsidTr="00FF2683">
        <w:trPr>
          <w:trHeight w:val="451"/>
        </w:trPr>
        <w:tc>
          <w:tcPr>
            <w:tcW w:w="1553" w:type="dxa"/>
            <w:shd w:val="clear" w:color="auto" w:fill="auto"/>
            <w:vAlign w:val="center"/>
          </w:tcPr>
          <w:p w14:paraId="017C73F6" w14:textId="77777777" w:rsidR="00CD7E2E" w:rsidRPr="00801161" w:rsidRDefault="007C280A" w:rsidP="00FF2683">
            <w:pPr>
              <w:spacing w:after="0" w:line="240" w:lineRule="auto"/>
              <w:jc w:val="both"/>
              <w:rPr>
                <w:sz w:val="20"/>
                <w:szCs w:val="20"/>
              </w:rPr>
            </w:pPr>
            <w:r w:rsidRPr="00801161">
              <w:rPr>
                <w:sz w:val="20"/>
                <w:szCs w:val="20"/>
              </w:rPr>
              <w:t>miR-146b</w:t>
            </w:r>
          </w:p>
        </w:tc>
        <w:tc>
          <w:tcPr>
            <w:tcW w:w="2548" w:type="dxa"/>
            <w:shd w:val="clear" w:color="auto" w:fill="auto"/>
            <w:vAlign w:val="center"/>
          </w:tcPr>
          <w:p w14:paraId="1E79681B" w14:textId="77777777" w:rsidR="00CD7E2E" w:rsidRPr="00801161" w:rsidRDefault="007C280A" w:rsidP="00FF2683">
            <w:pPr>
              <w:spacing w:after="0" w:line="240" w:lineRule="auto"/>
              <w:jc w:val="both"/>
              <w:rPr>
                <w:sz w:val="20"/>
                <w:szCs w:val="20"/>
              </w:rPr>
            </w:pPr>
            <w:r w:rsidRPr="00801161">
              <w:rPr>
                <w:sz w:val="20"/>
                <w:szCs w:val="20"/>
              </w:rPr>
              <w:t>SIAH2, FOXO3</w:t>
            </w:r>
          </w:p>
        </w:tc>
        <w:tc>
          <w:tcPr>
            <w:tcW w:w="8638" w:type="dxa"/>
            <w:shd w:val="clear" w:color="auto" w:fill="auto"/>
            <w:vAlign w:val="center"/>
          </w:tcPr>
          <w:p w14:paraId="329B8F14" w14:textId="75575355" w:rsidR="00CD7E2E" w:rsidRPr="00801161" w:rsidRDefault="007C280A" w:rsidP="00FF2683">
            <w:pPr>
              <w:spacing w:after="0" w:line="240" w:lineRule="auto"/>
              <w:jc w:val="both"/>
              <w:rPr>
                <w:sz w:val="20"/>
                <w:szCs w:val="20"/>
              </w:rPr>
            </w:pPr>
            <w:r w:rsidRPr="00801161">
              <w:rPr>
                <w:sz w:val="20"/>
                <w:szCs w:val="20"/>
              </w:rPr>
              <w:t xml:space="preserve">Decreases SIAH2 and FOXO3 expression and activates </w:t>
            </w:r>
            <w:r w:rsidR="00CC18D1" w:rsidRPr="00801161">
              <w:rPr>
                <w:sz w:val="20"/>
                <w:szCs w:val="20"/>
              </w:rPr>
              <w:t xml:space="preserve">the </w:t>
            </w:r>
            <w:r w:rsidRPr="00801161">
              <w:rPr>
                <w:sz w:val="20"/>
                <w:szCs w:val="20"/>
              </w:rPr>
              <w:t>NF-κB pathway</w:t>
            </w:r>
          </w:p>
        </w:tc>
        <w:tc>
          <w:tcPr>
            <w:tcW w:w="946" w:type="dxa"/>
            <w:shd w:val="clear" w:color="auto" w:fill="auto"/>
            <w:vAlign w:val="center"/>
          </w:tcPr>
          <w:p w14:paraId="14CCCB3F" w14:textId="77777777" w:rsidR="00CD7E2E" w:rsidRPr="00801161" w:rsidRDefault="007C280A" w:rsidP="00FF2683">
            <w:pPr>
              <w:spacing w:after="0" w:line="240" w:lineRule="auto"/>
              <w:jc w:val="both"/>
              <w:rPr>
                <w:sz w:val="20"/>
                <w:szCs w:val="20"/>
              </w:rPr>
            </w:pPr>
            <w:r w:rsidRPr="00FD697C">
              <w:rPr>
                <w:sz w:val="20"/>
                <w:szCs w:val="20"/>
              </w:rPr>
              <w:t>[7</w:t>
            </w:r>
            <w:r w:rsidR="007423B1" w:rsidRPr="00FD697C">
              <w:rPr>
                <w:sz w:val="20"/>
                <w:szCs w:val="20"/>
              </w:rPr>
              <w:t>4</w:t>
            </w:r>
            <w:r w:rsidRPr="00FD697C">
              <w:rPr>
                <w:sz w:val="20"/>
                <w:szCs w:val="20"/>
              </w:rPr>
              <w:t>]</w:t>
            </w:r>
          </w:p>
        </w:tc>
      </w:tr>
      <w:tr w:rsidR="00DB7DB1" w:rsidRPr="00801161" w14:paraId="57647A0D" w14:textId="77777777" w:rsidTr="00FF2683">
        <w:trPr>
          <w:trHeight w:val="451"/>
        </w:trPr>
        <w:tc>
          <w:tcPr>
            <w:tcW w:w="1553" w:type="dxa"/>
            <w:shd w:val="clear" w:color="auto" w:fill="auto"/>
            <w:vAlign w:val="center"/>
          </w:tcPr>
          <w:p w14:paraId="384BFB55" w14:textId="77777777" w:rsidR="00CD7E2E" w:rsidRPr="00801161" w:rsidRDefault="007C280A" w:rsidP="00FF2683">
            <w:pPr>
              <w:spacing w:after="0" w:line="240" w:lineRule="auto"/>
              <w:jc w:val="both"/>
              <w:rPr>
                <w:sz w:val="20"/>
                <w:szCs w:val="20"/>
              </w:rPr>
            </w:pPr>
            <w:r w:rsidRPr="00801161">
              <w:rPr>
                <w:sz w:val="20"/>
                <w:szCs w:val="20"/>
              </w:rPr>
              <w:t>miR-155</w:t>
            </w:r>
          </w:p>
        </w:tc>
        <w:tc>
          <w:tcPr>
            <w:tcW w:w="2548" w:type="dxa"/>
            <w:shd w:val="clear" w:color="auto" w:fill="auto"/>
            <w:vAlign w:val="center"/>
          </w:tcPr>
          <w:p w14:paraId="55F5B5CB" w14:textId="77777777" w:rsidR="00CD7E2E" w:rsidRPr="00801161" w:rsidRDefault="007C280A" w:rsidP="00FF2683">
            <w:pPr>
              <w:spacing w:after="0" w:line="240" w:lineRule="auto"/>
              <w:jc w:val="both"/>
              <w:rPr>
                <w:sz w:val="20"/>
                <w:szCs w:val="20"/>
              </w:rPr>
            </w:pPr>
            <w:r w:rsidRPr="00801161">
              <w:rPr>
                <w:sz w:val="20"/>
                <w:szCs w:val="20"/>
              </w:rPr>
              <w:t>SHIP-1, FOXO3a</w:t>
            </w:r>
          </w:p>
        </w:tc>
        <w:tc>
          <w:tcPr>
            <w:tcW w:w="8638" w:type="dxa"/>
            <w:shd w:val="clear" w:color="auto" w:fill="auto"/>
            <w:vAlign w:val="center"/>
          </w:tcPr>
          <w:p w14:paraId="4E4C2109" w14:textId="22DBDF86" w:rsidR="00CD7E2E" w:rsidRPr="00801161" w:rsidRDefault="007C280A" w:rsidP="00FF2683">
            <w:pPr>
              <w:spacing w:after="0" w:line="240" w:lineRule="auto"/>
              <w:jc w:val="both"/>
              <w:rPr>
                <w:sz w:val="20"/>
                <w:szCs w:val="20"/>
              </w:rPr>
            </w:pPr>
            <w:r w:rsidRPr="00801161">
              <w:rPr>
                <w:sz w:val="20"/>
                <w:szCs w:val="20"/>
              </w:rPr>
              <w:t xml:space="preserve">Increases Akt activity by decreasing SHIP-1, downregulates FOXO3a </w:t>
            </w:r>
            <w:r w:rsidR="00627339" w:rsidRPr="00801161">
              <w:rPr>
                <w:sz w:val="20"/>
                <w:szCs w:val="20"/>
              </w:rPr>
              <w:t xml:space="preserve">and </w:t>
            </w:r>
            <w:r w:rsidRPr="00801161">
              <w:rPr>
                <w:sz w:val="20"/>
                <w:szCs w:val="20"/>
              </w:rPr>
              <w:t>enhanc</w:t>
            </w:r>
            <w:r w:rsidR="00627339" w:rsidRPr="00801161">
              <w:rPr>
                <w:sz w:val="20"/>
                <w:szCs w:val="20"/>
              </w:rPr>
              <w:t>es</w:t>
            </w:r>
            <w:r w:rsidRPr="00801161">
              <w:rPr>
                <w:sz w:val="20"/>
                <w:szCs w:val="20"/>
              </w:rPr>
              <w:t xml:space="preserve"> </w:t>
            </w:r>
            <w:r w:rsidR="00CC18D1" w:rsidRPr="00801161">
              <w:rPr>
                <w:sz w:val="20"/>
                <w:szCs w:val="20"/>
              </w:rPr>
              <w:t xml:space="preserve">the </w:t>
            </w:r>
            <w:r w:rsidRPr="00801161">
              <w:rPr>
                <w:sz w:val="20"/>
                <w:szCs w:val="20"/>
              </w:rPr>
              <w:t>NF-κB pathway</w:t>
            </w:r>
          </w:p>
        </w:tc>
        <w:tc>
          <w:tcPr>
            <w:tcW w:w="946" w:type="dxa"/>
            <w:shd w:val="clear" w:color="auto" w:fill="auto"/>
            <w:vAlign w:val="center"/>
          </w:tcPr>
          <w:p w14:paraId="599C2C83" w14:textId="77777777" w:rsidR="00CD7E2E" w:rsidRPr="00801161" w:rsidRDefault="007C280A" w:rsidP="00FF2683">
            <w:pPr>
              <w:spacing w:after="0" w:line="240" w:lineRule="auto"/>
              <w:jc w:val="both"/>
              <w:rPr>
                <w:sz w:val="20"/>
                <w:szCs w:val="20"/>
              </w:rPr>
            </w:pPr>
            <w:r w:rsidRPr="00FD697C">
              <w:rPr>
                <w:sz w:val="20"/>
                <w:szCs w:val="20"/>
              </w:rPr>
              <w:t>[</w:t>
            </w:r>
            <w:r w:rsidR="007423B1" w:rsidRPr="00FD697C">
              <w:rPr>
                <w:sz w:val="20"/>
                <w:szCs w:val="20"/>
              </w:rPr>
              <w:t>75, 76</w:t>
            </w:r>
            <w:r w:rsidRPr="00FD697C">
              <w:rPr>
                <w:sz w:val="20"/>
                <w:szCs w:val="20"/>
              </w:rPr>
              <w:t>]</w:t>
            </w:r>
          </w:p>
        </w:tc>
      </w:tr>
      <w:tr w:rsidR="00DB7DB1" w:rsidRPr="00801161" w14:paraId="0DD55371" w14:textId="77777777" w:rsidTr="00FF2683">
        <w:trPr>
          <w:trHeight w:val="451"/>
        </w:trPr>
        <w:tc>
          <w:tcPr>
            <w:tcW w:w="1553" w:type="dxa"/>
            <w:shd w:val="clear" w:color="auto" w:fill="auto"/>
            <w:vAlign w:val="center"/>
          </w:tcPr>
          <w:p w14:paraId="44AB241B" w14:textId="77777777" w:rsidR="00CD7E2E" w:rsidRPr="00801161" w:rsidRDefault="007C280A" w:rsidP="00FF2683">
            <w:pPr>
              <w:spacing w:after="0" w:line="240" w:lineRule="auto"/>
              <w:jc w:val="both"/>
              <w:rPr>
                <w:sz w:val="20"/>
                <w:szCs w:val="20"/>
              </w:rPr>
            </w:pPr>
            <w:r w:rsidRPr="00801161">
              <w:rPr>
                <w:sz w:val="20"/>
                <w:szCs w:val="20"/>
              </w:rPr>
              <w:t>miR-192</w:t>
            </w:r>
          </w:p>
        </w:tc>
        <w:tc>
          <w:tcPr>
            <w:tcW w:w="2548" w:type="dxa"/>
            <w:shd w:val="clear" w:color="auto" w:fill="auto"/>
            <w:vAlign w:val="center"/>
          </w:tcPr>
          <w:p w14:paraId="74950269" w14:textId="77777777" w:rsidR="00CD7E2E" w:rsidRPr="00801161" w:rsidRDefault="007C280A" w:rsidP="00FF2683">
            <w:pPr>
              <w:spacing w:after="0" w:line="240" w:lineRule="auto"/>
              <w:jc w:val="both"/>
              <w:rPr>
                <w:sz w:val="20"/>
                <w:szCs w:val="20"/>
              </w:rPr>
            </w:pPr>
            <w:r w:rsidRPr="00801161">
              <w:rPr>
                <w:sz w:val="20"/>
                <w:szCs w:val="20"/>
              </w:rPr>
              <w:t>NOD2, NF-κB</w:t>
            </w:r>
          </w:p>
        </w:tc>
        <w:tc>
          <w:tcPr>
            <w:tcW w:w="8638" w:type="dxa"/>
            <w:shd w:val="clear" w:color="auto" w:fill="auto"/>
            <w:vAlign w:val="center"/>
          </w:tcPr>
          <w:p w14:paraId="138A77D9" w14:textId="77777777" w:rsidR="00CD7E2E" w:rsidRPr="00801161" w:rsidRDefault="007C280A" w:rsidP="00FF2683">
            <w:pPr>
              <w:spacing w:after="0" w:line="240" w:lineRule="auto"/>
              <w:jc w:val="both"/>
              <w:rPr>
                <w:sz w:val="20"/>
                <w:szCs w:val="20"/>
              </w:rPr>
            </w:pPr>
            <w:r w:rsidRPr="00801161">
              <w:rPr>
                <w:sz w:val="20"/>
                <w:szCs w:val="20"/>
              </w:rPr>
              <w:t>Downregulates NOD2 expression and inhibits NF-κB activity</w:t>
            </w:r>
          </w:p>
        </w:tc>
        <w:tc>
          <w:tcPr>
            <w:tcW w:w="946" w:type="dxa"/>
            <w:shd w:val="clear" w:color="auto" w:fill="auto"/>
            <w:vAlign w:val="center"/>
          </w:tcPr>
          <w:p w14:paraId="4224837E" w14:textId="77777777" w:rsidR="00CD7E2E" w:rsidRPr="00801161" w:rsidRDefault="007C280A" w:rsidP="00FF2683">
            <w:pPr>
              <w:spacing w:after="0" w:line="240" w:lineRule="auto"/>
              <w:jc w:val="both"/>
              <w:rPr>
                <w:sz w:val="20"/>
                <w:szCs w:val="20"/>
              </w:rPr>
            </w:pPr>
            <w:r w:rsidRPr="00FD697C">
              <w:rPr>
                <w:sz w:val="20"/>
                <w:szCs w:val="20"/>
              </w:rPr>
              <w:t>[</w:t>
            </w:r>
            <w:r w:rsidR="003644A5" w:rsidRPr="00FD697C">
              <w:rPr>
                <w:sz w:val="20"/>
                <w:szCs w:val="20"/>
              </w:rPr>
              <w:t>70</w:t>
            </w:r>
            <w:r w:rsidRPr="00FD697C">
              <w:rPr>
                <w:sz w:val="20"/>
                <w:szCs w:val="20"/>
              </w:rPr>
              <w:t>]</w:t>
            </w:r>
          </w:p>
        </w:tc>
      </w:tr>
      <w:tr w:rsidR="00DB7DB1" w:rsidRPr="00801161" w14:paraId="749F9C52" w14:textId="77777777" w:rsidTr="00FF2683">
        <w:trPr>
          <w:trHeight w:val="451"/>
        </w:trPr>
        <w:tc>
          <w:tcPr>
            <w:tcW w:w="1553" w:type="dxa"/>
            <w:shd w:val="clear" w:color="auto" w:fill="auto"/>
            <w:vAlign w:val="center"/>
          </w:tcPr>
          <w:p w14:paraId="4BEEC149" w14:textId="77777777" w:rsidR="00CD7E2E" w:rsidRPr="00801161" w:rsidRDefault="007C280A" w:rsidP="00FF2683">
            <w:pPr>
              <w:spacing w:after="0" w:line="240" w:lineRule="auto"/>
              <w:jc w:val="both"/>
              <w:rPr>
                <w:sz w:val="20"/>
                <w:szCs w:val="20"/>
              </w:rPr>
            </w:pPr>
            <w:r w:rsidRPr="00801161">
              <w:rPr>
                <w:sz w:val="20"/>
                <w:szCs w:val="20"/>
              </w:rPr>
              <w:t>miR-196</w:t>
            </w:r>
          </w:p>
        </w:tc>
        <w:tc>
          <w:tcPr>
            <w:tcW w:w="2548" w:type="dxa"/>
            <w:shd w:val="clear" w:color="auto" w:fill="auto"/>
            <w:vAlign w:val="center"/>
          </w:tcPr>
          <w:p w14:paraId="2179DFF1" w14:textId="77777777" w:rsidR="00CD7E2E" w:rsidRPr="00801161" w:rsidRDefault="007C280A" w:rsidP="00FF2683">
            <w:pPr>
              <w:spacing w:after="0" w:line="240" w:lineRule="auto"/>
              <w:jc w:val="both"/>
              <w:rPr>
                <w:sz w:val="20"/>
                <w:szCs w:val="20"/>
              </w:rPr>
            </w:pPr>
            <w:r w:rsidRPr="00801161">
              <w:rPr>
                <w:sz w:val="20"/>
                <w:szCs w:val="20"/>
              </w:rPr>
              <w:t>LC3-II</w:t>
            </w:r>
          </w:p>
        </w:tc>
        <w:tc>
          <w:tcPr>
            <w:tcW w:w="8638" w:type="dxa"/>
            <w:shd w:val="clear" w:color="auto" w:fill="auto"/>
            <w:vAlign w:val="center"/>
          </w:tcPr>
          <w:p w14:paraId="5B90F2E5" w14:textId="77777777" w:rsidR="00CD7E2E" w:rsidRPr="00801161" w:rsidRDefault="007C280A" w:rsidP="00FF2683">
            <w:pPr>
              <w:spacing w:after="0" w:line="240" w:lineRule="auto"/>
              <w:jc w:val="both"/>
              <w:rPr>
                <w:sz w:val="20"/>
                <w:szCs w:val="20"/>
              </w:rPr>
            </w:pPr>
            <w:r w:rsidRPr="00801161">
              <w:rPr>
                <w:sz w:val="20"/>
                <w:szCs w:val="20"/>
              </w:rPr>
              <w:t>Inhibits the accumulation of LC3-II</w:t>
            </w:r>
          </w:p>
        </w:tc>
        <w:tc>
          <w:tcPr>
            <w:tcW w:w="946" w:type="dxa"/>
            <w:shd w:val="clear" w:color="auto" w:fill="auto"/>
            <w:vAlign w:val="center"/>
          </w:tcPr>
          <w:p w14:paraId="62C32CEE" w14:textId="77777777" w:rsidR="00CD7E2E" w:rsidRPr="00801161" w:rsidRDefault="007C280A" w:rsidP="00FF2683">
            <w:pPr>
              <w:spacing w:after="0" w:line="240" w:lineRule="auto"/>
              <w:jc w:val="both"/>
              <w:rPr>
                <w:sz w:val="20"/>
                <w:szCs w:val="20"/>
              </w:rPr>
            </w:pPr>
            <w:r w:rsidRPr="00FD697C">
              <w:rPr>
                <w:sz w:val="20"/>
                <w:szCs w:val="20"/>
              </w:rPr>
              <w:t>[7</w:t>
            </w:r>
            <w:r w:rsidR="003644A5" w:rsidRPr="00FD697C">
              <w:rPr>
                <w:sz w:val="20"/>
                <w:szCs w:val="20"/>
              </w:rPr>
              <w:t>7</w:t>
            </w:r>
            <w:r w:rsidRPr="00FD697C">
              <w:rPr>
                <w:sz w:val="20"/>
                <w:szCs w:val="20"/>
              </w:rPr>
              <w:t>]</w:t>
            </w:r>
          </w:p>
        </w:tc>
      </w:tr>
      <w:tr w:rsidR="00DB7DB1" w:rsidRPr="00801161" w14:paraId="7DFFC709" w14:textId="77777777" w:rsidTr="00FF2683">
        <w:trPr>
          <w:trHeight w:val="451"/>
        </w:trPr>
        <w:tc>
          <w:tcPr>
            <w:tcW w:w="1553" w:type="dxa"/>
            <w:tcBorders>
              <w:bottom w:val="single" w:sz="4" w:space="0" w:color="auto"/>
            </w:tcBorders>
            <w:shd w:val="clear" w:color="auto" w:fill="auto"/>
            <w:vAlign w:val="center"/>
          </w:tcPr>
          <w:p w14:paraId="2A3CEB47" w14:textId="77777777" w:rsidR="00CD7E2E" w:rsidRPr="00801161" w:rsidRDefault="007C280A" w:rsidP="00FF2683">
            <w:pPr>
              <w:spacing w:after="0" w:line="240" w:lineRule="auto"/>
              <w:jc w:val="both"/>
              <w:rPr>
                <w:sz w:val="20"/>
                <w:szCs w:val="20"/>
              </w:rPr>
            </w:pPr>
            <w:r w:rsidRPr="00801161">
              <w:rPr>
                <w:sz w:val="20"/>
                <w:szCs w:val="20"/>
              </w:rPr>
              <w:t>miR-320</w:t>
            </w:r>
          </w:p>
        </w:tc>
        <w:tc>
          <w:tcPr>
            <w:tcW w:w="2548" w:type="dxa"/>
            <w:tcBorders>
              <w:bottom w:val="single" w:sz="4" w:space="0" w:color="auto"/>
            </w:tcBorders>
            <w:shd w:val="clear" w:color="auto" w:fill="auto"/>
            <w:vAlign w:val="center"/>
          </w:tcPr>
          <w:p w14:paraId="7E1AD56F" w14:textId="77777777" w:rsidR="00CD7E2E" w:rsidRPr="00801161" w:rsidRDefault="007C280A" w:rsidP="00FF2683">
            <w:pPr>
              <w:spacing w:after="0" w:line="240" w:lineRule="auto"/>
              <w:jc w:val="both"/>
              <w:rPr>
                <w:sz w:val="20"/>
                <w:szCs w:val="20"/>
              </w:rPr>
            </w:pPr>
            <w:r w:rsidRPr="00801161">
              <w:rPr>
                <w:sz w:val="20"/>
                <w:szCs w:val="20"/>
              </w:rPr>
              <w:t>NOD2</w:t>
            </w:r>
          </w:p>
        </w:tc>
        <w:tc>
          <w:tcPr>
            <w:tcW w:w="8638" w:type="dxa"/>
            <w:tcBorders>
              <w:bottom w:val="single" w:sz="4" w:space="0" w:color="auto"/>
            </w:tcBorders>
            <w:shd w:val="clear" w:color="auto" w:fill="auto"/>
            <w:vAlign w:val="center"/>
          </w:tcPr>
          <w:p w14:paraId="667B10F0" w14:textId="77777777" w:rsidR="00CD7E2E" w:rsidRPr="00801161" w:rsidRDefault="007C280A" w:rsidP="00FF2683">
            <w:pPr>
              <w:spacing w:after="0" w:line="240" w:lineRule="auto"/>
              <w:jc w:val="both"/>
              <w:rPr>
                <w:sz w:val="20"/>
                <w:szCs w:val="20"/>
              </w:rPr>
            </w:pPr>
            <w:r w:rsidRPr="00801161">
              <w:rPr>
                <w:sz w:val="20"/>
                <w:szCs w:val="20"/>
              </w:rPr>
              <w:t>Reduces NOD2 expression</w:t>
            </w:r>
          </w:p>
        </w:tc>
        <w:tc>
          <w:tcPr>
            <w:tcW w:w="946" w:type="dxa"/>
            <w:tcBorders>
              <w:bottom w:val="single" w:sz="4" w:space="0" w:color="auto"/>
            </w:tcBorders>
            <w:shd w:val="clear" w:color="auto" w:fill="auto"/>
            <w:vAlign w:val="center"/>
          </w:tcPr>
          <w:p w14:paraId="1A45ACB8" w14:textId="77777777" w:rsidR="00CD7E2E" w:rsidRPr="00801161" w:rsidRDefault="007C280A" w:rsidP="00FF2683">
            <w:pPr>
              <w:spacing w:after="0" w:line="240" w:lineRule="auto"/>
              <w:jc w:val="both"/>
              <w:rPr>
                <w:sz w:val="20"/>
                <w:szCs w:val="20"/>
              </w:rPr>
            </w:pPr>
            <w:r w:rsidRPr="00FD697C">
              <w:rPr>
                <w:sz w:val="20"/>
                <w:szCs w:val="20"/>
              </w:rPr>
              <w:t>[5</w:t>
            </w:r>
            <w:r w:rsidR="003644A5" w:rsidRPr="00FD697C">
              <w:rPr>
                <w:sz w:val="20"/>
                <w:szCs w:val="20"/>
              </w:rPr>
              <w:t>5</w:t>
            </w:r>
            <w:r w:rsidRPr="00FD697C">
              <w:rPr>
                <w:sz w:val="20"/>
                <w:szCs w:val="20"/>
              </w:rPr>
              <w:t>]</w:t>
            </w:r>
          </w:p>
        </w:tc>
      </w:tr>
    </w:tbl>
    <w:p w14:paraId="5883AD50" w14:textId="77777777" w:rsidR="00CD7E2E" w:rsidRPr="00801161" w:rsidRDefault="00CD7E2E" w:rsidP="00FF2683">
      <w:pPr>
        <w:spacing w:after="120" w:line="240" w:lineRule="auto"/>
        <w:rPr>
          <w:rFonts w:ascii="Arial" w:hAnsi="Arial" w:cs="Arial"/>
          <w:b/>
          <w:bCs/>
          <w:sz w:val="22"/>
        </w:rPr>
      </w:pPr>
    </w:p>
    <w:p w14:paraId="4E9CB871" w14:textId="77777777" w:rsidR="00CD7E2E" w:rsidRPr="00801161" w:rsidRDefault="007C280A">
      <w:pPr>
        <w:spacing w:after="160" w:line="259" w:lineRule="auto"/>
        <w:jc w:val="both"/>
        <w:rPr>
          <w:rFonts w:ascii="Arial" w:hAnsi="Arial" w:cs="Arial"/>
          <w:b/>
          <w:bCs/>
          <w:sz w:val="22"/>
        </w:rPr>
      </w:pPr>
      <w:r w:rsidRPr="00801161">
        <w:rPr>
          <w:rFonts w:ascii="Arial" w:hAnsi="Arial" w:cs="Arial"/>
          <w:b/>
          <w:bCs/>
          <w:sz w:val="22"/>
        </w:rPr>
        <w:br w:type="page"/>
      </w:r>
    </w:p>
    <w:p w14:paraId="6D5CB3D8" w14:textId="77777777" w:rsidR="00CD7E2E" w:rsidRPr="00801161" w:rsidRDefault="007C280A" w:rsidP="00FF2683">
      <w:pPr>
        <w:spacing w:after="120" w:line="240" w:lineRule="auto"/>
        <w:rPr>
          <w:rFonts w:ascii="Arial" w:hAnsi="Arial" w:cs="Arial"/>
          <w:b/>
          <w:bCs/>
          <w:sz w:val="22"/>
        </w:rPr>
      </w:pPr>
      <w:r w:rsidRPr="00801161">
        <w:rPr>
          <w:rFonts w:ascii="Arial" w:hAnsi="Arial" w:cs="Arial"/>
          <w:b/>
          <w:bCs/>
          <w:sz w:val="22"/>
        </w:rPr>
        <w:lastRenderedPageBreak/>
        <w:t xml:space="preserve">Table 2. </w:t>
      </w:r>
      <w:r w:rsidRPr="00801161">
        <w:rPr>
          <w:rFonts w:ascii="Arial" w:hAnsi="Arial" w:cs="Arial"/>
          <w:bCs/>
          <w:sz w:val="22"/>
        </w:rPr>
        <w:t>miRNA signatures in inflammatory bowel disease</w:t>
      </w:r>
    </w:p>
    <w:tbl>
      <w:tblPr>
        <w:tblStyle w:val="TableGrid"/>
        <w:tblW w:w="136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3"/>
        <w:gridCol w:w="1568"/>
        <w:gridCol w:w="8505"/>
        <w:gridCol w:w="1892"/>
      </w:tblGrid>
      <w:tr w:rsidR="00DB7DB1" w:rsidRPr="00801161" w14:paraId="7198C79D" w14:textId="77777777" w:rsidTr="00CF5BAA">
        <w:trPr>
          <w:trHeight w:val="454"/>
        </w:trPr>
        <w:tc>
          <w:tcPr>
            <w:tcW w:w="1693" w:type="dxa"/>
            <w:tcBorders>
              <w:top w:val="single" w:sz="8" w:space="0" w:color="auto"/>
              <w:bottom w:val="single" w:sz="8" w:space="0" w:color="auto"/>
            </w:tcBorders>
            <w:shd w:val="clear" w:color="auto" w:fill="auto"/>
            <w:vAlign w:val="center"/>
          </w:tcPr>
          <w:p w14:paraId="186C5BC9" w14:textId="77777777" w:rsidR="00CD7E2E" w:rsidRPr="00801161" w:rsidRDefault="007C280A" w:rsidP="00FF2683">
            <w:pPr>
              <w:spacing w:after="0" w:line="240" w:lineRule="auto"/>
              <w:jc w:val="both"/>
              <w:rPr>
                <w:b/>
                <w:bCs/>
                <w:sz w:val="21"/>
                <w:szCs w:val="21"/>
              </w:rPr>
            </w:pPr>
            <w:r w:rsidRPr="00801161">
              <w:rPr>
                <w:b/>
                <w:bCs/>
                <w:sz w:val="21"/>
                <w:szCs w:val="21"/>
              </w:rPr>
              <w:t>Sample type</w:t>
            </w:r>
          </w:p>
        </w:tc>
        <w:tc>
          <w:tcPr>
            <w:tcW w:w="1568" w:type="dxa"/>
            <w:tcBorders>
              <w:top w:val="single" w:sz="8" w:space="0" w:color="auto"/>
              <w:bottom w:val="single" w:sz="8" w:space="0" w:color="auto"/>
            </w:tcBorders>
            <w:shd w:val="clear" w:color="auto" w:fill="auto"/>
            <w:vAlign w:val="center"/>
          </w:tcPr>
          <w:p w14:paraId="1009DA4E" w14:textId="77777777" w:rsidR="00CD7E2E" w:rsidRPr="00801161" w:rsidRDefault="007C280A" w:rsidP="00FF2683">
            <w:pPr>
              <w:spacing w:after="0" w:line="240" w:lineRule="auto"/>
              <w:jc w:val="both"/>
              <w:rPr>
                <w:b/>
                <w:bCs/>
                <w:sz w:val="21"/>
                <w:szCs w:val="21"/>
              </w:rPr>
            </w:pPr>
            <w:r w:rsidRPr="00801161">
              <w:rPr>
                <w:b/>
                <w:bCs/>
                <w:sz w:val="21"/>
                <w:szCs w:val="21"/>
              </w:rPr>
              <w:t>Expression</w:t>
            </w:r>
          </w:p>
        </w:tc>
        <w:tc>
          <w:tcPr>
            <w:tcW w:w="8505" w:type="dxa"/>
            <w:tcBorders>
              <w:top w:val="single" w:sz="8" w:space="0" w:color="auto"/>
              <w:bottom w:val="single" w:sz="8" w:space="0" w:color="auto"/>
            </w:tcBorders>
            <w:shd w:val="clear" w:color="auto" w:fill="auto"/>
            <w:vAlign w:val="center"/>
          </w:tcPr>
          <w:p w14:paraId="6508A339" w14:textId="77777777" w:rsidR="00CD7E2E" w:rsidRPr="00801161" w:rsidRDefault="007C280A" w:rsidP="00FF2683">
            <w:pPr>
              <w:spacing w:after="0" w:line="240" w:lineRule="auto"/>
              <w:jc w:val="both"/>
              <w:rPr>
                <w:b/>
                <w:bCs/>
                <w:sz w:val="21"/>
                <w:szCs w:val="21"/>
              </w:rPr>
            </w:pPr>
            <w:r w:rsidRPr="00801161">
              <w:rPr>
                <w:b/>
                <w:bCs/>
                <w:sz w:val="21"/>
                <w:szCs w:val="21"/>
              </w:rPr>
              <w:t>miRNAs</w:t>
            </w:r>
          </w:p>
        </w:tc>
        <w:tc>
          <w:tcPr>
            <w:tcW w:w="1892" w:type="dxa"/>
            <w:tcBorders>
              <w:top w:val="single" w:sz="8" w:space="0" w:color="auto"/>
              <w:bottom w:val="single" w:sz="8" w:space="0" w:color="auto"/>
            </w:tcBorders>
            <w:shd w:val="clear" w:color="auto" w:fill="auto"/>
            <w:vAlign w:val="center"/>
          </w:tcPr>
          <w:p w14:paraId="176AA716" w14:textId="77777777" w:rsidR="00CD7E2E" w:rsidRPr="00801161" w:rsidRDefault="007C280A" w:rsidP="00FF2683">
            <w:pPr>
              <w:spacing w:after="0" w:line="240" w:lineRule="auto"/>
              <w:jc w:val="both"/>
              <w:rPr>
                <w:b/>
                <w:bCs/>
                <w:sz w:val="21"/>
                <w:szCs w:val="21"/>
              </w:rPr>
            </w:pPr>
            <w:r w:rsidRPr="00801161">
              <w:rPr>
                <w:b/>
                <w:bCs/>
                <w:sz w:val="21"/>
                <w:szCs w:val="21"/>
              </w:rPr>
              <w:t>Ref.</w:t>
            </w:r>
          </w:p>
        </w:tc>
      </w:tr>
      <w:tr w:rsidR="00DB7DB1" w:rsidRPr="00801161" w14:paraId="5513E4A2" w14:textId="77777777" w:rsidTr="00FF2683">
        <w:trPr>
          <w:trHeight w:val="454"/>
        </w:trPr>
        <w:tc>
          <w:tcPr>
            <w:tcW w:w="13658" w:type="dxa"/>
            <w:gridSpan w:val="4"/>
            <w:tcBorders>
              <w:top w:val="single" w:sz="8" w:space="0" w:color="auto"/>
              <w:bottom w:val="single" w:sz="8" w:space="0" w:color="auto"/>
            </w:tcBorders>
            <w:shd w:val="clear" w:color="auto" w:fill="auto"/>
            <w:vAlign w:val="center"/>
          </w:tcPr>
          <w:p w14:paraId="0D2EBCF6" w14:textId="77777777" w:rsidR="00CD7E2E" w:rsidRPr="00801161" w:rsidRDefault="007C280A" w:rsidP="00FF2683">
            <w:pPr>
              <w:spacing w:after="0" w:line="240" w:lineRule="auto"/>
              <w:jc w:val="both"/>
              <w:rPr>
                <w:b/>
                <w:sz w:val="21"/>
                <w:szCs w:val="21"/>
              </w:rPr>
            </w:pPr>
            <w:r w:rsidRPr="00801161">
              <w:rPr>
                <w:b/>
                <w:sz w:val="21"/>
                <w:szCs w:val="21"/>
              </w:rPr>
              <w:t>Ulcerative colitis vs. healthy controls</w:t>
            </w:r>
          </w:p>
        </w:tc>
      </w:tr>
      <w:tr w:rsidR="00DB7DB1" w:rsidRPr="00801161" w14:paraId="7E25851B" w14:textId="77777777" w:rsidTr="00CF5BAA">
        <w:trPr>
          <w:trHeight w:val="1020"/>
        </w:trPr>
        <w:tc>
          <w:tcPr>
            <w:tcW w:w="1693" w:type="dxa"/>
            <w:vMerge w:val="restart"/>
            <w:tcBorders>
              <w:top w:val="single" w:sz="8" w:space="0" w:color="auto"/>
            </w:tcBorders>
            <w:shd w:val="clear" w:color="auto" w:fill="auto"/>
            <w:vAlign w:val="center"/>
          </w:tcPr>
          <w:p w14:paraId="77370EB0" w14:textId="77777777" w:rsidR="00CD7E2E" w:rsidRPr="00801161" w:rsidRDefault="00CD7E2E" w:rsidP="00FF2683">
            <w:pPr>
              <w:spacing w:after="0" w:line="240" w:lineRule="auto"/>
              <w:jc w:val="both"/>
              <w:rPr>
                <w:sz w:val="20"/>
                <w:szCs w:val="20"/>
              </w:rPr>
            </w:pPr>
          </w:p>
          <w:p w14:paraId="163B6F19" w14:textId="77777777" w:rsidR="00CD7E2E" w:rsidRPr="00801161" w:rsidRDefault="007C280A" w:rsidP="00FF2683">
            <w:pPr>
              <w:spacing w:after="0" w:line="240" w:lineRule="auto"/>
              <w:jc w:val="both"/>
              <w:rPr>
                <w:sz w:val="20"/>
                <w:szCs w:val="20"/>
              </w:rPr>
            </w:pPr>
            <w:r w:rsidRPr="00801161">
              <w:rPr>
                <w:sz w:val="20"/>
                <w:szCs w:val="20"/>
              </w:rPr>
              <w:t>Mucosal tissue</w:t>
            </w:r>
          </w:p>
        </w:tc>
        <w:tc>
          <w:tcPr>
            <w:tcW w:w="1568" w:type="dxa"/>
            <w:tcBorders>
              <w:top w:val="single" w:sz="8" w:space="0" w:color="auto"/>
            </w:tcBorders>
            <w:shd w:val="clear" w:color="auto" w:fill="auto"/>
            <w:vAlign w:val="center"/>
          </w:tcPr>
          <w:p w14:paraId="0121E0FC" w14:textId="77777777" w:rsidR="00CD7E2E" w:rsidRPr="00801161" w:rsidRDefault="007C280A" w:rsidP="00FF2683">
            <w:pPr>
              <w:spacing w:after="0" w:line="240" w:lineRule="auto"/>
              <w:jc w:val="both"/>
              <w:rPr>
                <w:sz w:val="20"/>
                <w:szCs w:val="20"/>
              </w:rPr>
            </w:pPr>
            <w:r w:rsidRPr="00801161">
              <w:rPr>
                <w:sz w:val="20"/>
                <w:szCs w:val="20"/>
              </w:rPr>
              <w:t>Upregulated</w:t>
            </w:r>
          </w:p>
        </w:tc>
        <w:tc>
          <w:tcPr>
            <w:tcW w:w="8505" w:type="dxa"/>
            <w:tcBorders>
              <w:top w:val="single" w:sz="8" w:space="0" w:color="auto"/>
            </w:tcBorders>
            <w:shd w:val="clear" w:color="auto" w:fill="auto"/>
            <w:vAlign w:val="center"/>
          </w:tcPr>
          <w:p w14:paraId="0BC0E14B" w14:textId="77777777" w:rsidR="00CD7E2E" w:rsidRPr="00801161" w:rsidRDefault="007C280A" w:rsidP="00FF2683">
            <w:pPr>
              <w:spacing w:after="0"/>
              <w:jc w:val="both"/>
              <w:rPr>
                <w:sz w:val="20"/>
                <w:szCs w:val="20"/>
              </w:rPr>
            </w:pPr>
            <w:r w:rsidRPr="00801161">
              <w:rPr>
                <w:sz w:val="20"/>
                <w:szCs w:val="20"/>
              </w:rPr>
              <w:t>miR-7, miR-16, miR-20b, miR-21, miR-23a, miR-24, miR-26a, miR-26b, miR-29a, miR-29b, miR-31, miR-98, miR-99a, miR-126, miR-126*, miR-127-3p, miR-135b, miR-146a, miR-150, miR-155, miR-195, miR-203, miR-206, miR-324-3p, miR-424, miR-923, let-7a, let-7c, let-7d, let-7f, let-7g</w:t>
            </w:r>
          </w:p>
        </w:tc>
        <w:tc>
          <w:tcPr>
            <w:tcW w:w="1892" w:type="dxa"/>
            <w:tcBorders>
              <w:top w:val="single" w:sz="8" w:space="0" w:color="auto"/>
            </w:tcBorders>
            <w:shd w:val="clear" w:color="auto" w:fill="auto"/>
            <w:vAlign w:val="center"/>
          </w:tcPr>
          <w:p w14:paraId="018FA124" w14:textId="77777777" w:rsidR="00CD7E2E" w:rsidRPr="00801161" w:rsidRDefault="007C280A" w:rsidP="00EF1197">
            <w:pPr>
              <w:spacing w:after="0" w:line="240" w:lineRule="auto"/>
              <w:jc w:val="both"/>
              <w:rPr>
                <w:sz w:val="20"/>
                <w:szCs w:val="20"/>
              </w:rPr>
            </w:pPr>
            <w:r w:rsidRPr="00FD697C">
              <w:rPr>
                <w:sz w:val="20"/>
                <w:szCs w:val="20"/>
              </w:rPr>
              <w:t>[</w:t>
            </w:r>
            <w:r w:rsidR="003644A5" w:rsidRPr="00FD697C">
              <w:rPr>
                <w:sz w:val="20"/>
                <w:szCs w:val="20"/>
              </w:rPr>
              <w:t>8</w:t>
            </w:r>
            <w:r w:rsidR="00A36E4C" w:rsidRPr="00FD697C">
              <w:rPr>
                <w:sz w:val="20"/>
                <w:szCs w:val="20"/>
              </w:rPr>
              <w:t>0</w:t>
            </w:r>
            <w:r w:rsidRPr="00FD697C">
              <w:rPr>
                <w:sz w:val="20"/>
                <w:szCs w:val="20"/>
              </w:rPr>
              <w:t>-8</w:t>
            </w:r>
            <w:r w:rsidR="00A36E4C" w:rsidRPr="00FD697C">
              <w:rPr>
                <w:sz w:val="20"/>
                <w:szCs w:val="20"/>
              </w:rPr>
              <w:t>6]</w:t>
            </w:r>
          </w:p>
        </w:tc>
      </w:tr>
      <w:tr w:rsidR="00DB7DB1" w:rsidRPr="00801161" w14:paraId="1CCE16B6" w14:textId="77777777" w:rsidTr="00CF5BAA">
        <w:trPr>
          <w:trHeight w:val="454"/>
        </w:trPr>
        <w:tc>
          <w:tcPr>
            <w:tcW w:w="1693" w:type="dxa"/>
            <w:vMerge/>
            <w:shd w:val="clear" w:color="auto" w:fill="auto"/>
            <w:vAlign w:val="center"/>
          </w:tcPr>
          <w:p w14:paraId="007046A6" w14:textId="77777777" w:rsidR="00CD7E2E" w:rsidRPr="00801161" w:rsidRDefault="00CD7E2E" w:rsidP="00FF2683">
            <w:pPr>
              <w:spacing w:after="0" w:line="240" w:lineRule="auto"/>
              <w:jc w:val="both"/>
              <w:rPr>
                <w:sz w:val="20"/>
                <w:szCs w:val="20"/>
              </w:rPr>
            </w:pPr>
          </w:p>
        </w:tc>
        <w:tc>
          <w:tcPr>
            <w:tcW w:w="1568" w:type="dxa"/>
            <w:shd w:val="clear" w:color="auto" w:fill="auto"/>
            <w:vAlign w:val="center"/>
          </w:tcPr>
          <w:p w14:paraId="6E530FDD" w14:textId="77777777" w:rsidR="00CD7E2E" w:rsidRPr="00801161" w:rsidRDefault="007C280A" w:rsidP="00FF2683">
            <w:pPr>
              <w:spacing w:after="0" w:line="240" w:lineRule="auto"/>
              <w:jc w:val="both"/>
              <w:rPr>
                <w:sz w:val="20"/>
                <w:szCs w:val="20"/>
              </w:rPr>
            </w:pPr>
            <w:r w:rsidRPr="00801161">
              <w:rPr>
                <w:sz w:val="20"/>
                <w:szCs w:val="20"/>
              </w:rPr>
              <w:t>Downregulated</w:t>
            </w:r>
          </w:p>
        </w:tc>
        <w:tc>
          <w:tcPr>
            <w:tcW w:w="8505" w:type="dxa"/>
            <w:shd w:val="clear" w:color="auto" w:fill="auto"/>
            <w:vAlign w:val="center"/>
          </w:tcPr>
          <w:p w14:paraId="03948F05" w14:textId="77777777" w:rsidR="00CD7E2E" w:rsidRPr="00801161" w:rsidRDefault="007C280A" w:rsidP="00FF2683">
            <w:pPr>
              <w:spacing w:after="0" w:line="240" w:lineRule="auto"/>
              <w:jc w:val="both"/>
              <w:rPr>
                <w:sz w:val="20"/>
                <w:szCs w:val="20"/>
              </w:rPr>
            </w:pPr>
            <w:r w:rsidRPr="00801161">
              <w:rPr>
                <w:sz w:val="20"/>
                <w:szCs w:val="20"/>
              </w:rPr>
              <w:t>miR-141, miR-188-5p, miR-192, miR-215, miR-320a, miR-346, miR-375, miR-422b</w:t>
            </w:r>
          </w:p>
        </w:tc>
        <w:tc>
          <w:tcPr>
            <w:tcW w:w="1892" w:type="dxa"/>
            <w:shd w:val="clear" w:color="auto" w:fill="auto"/>
            <w:vAlign w:val="center"/>
          </w:tcPr>
          <w:p w14:paraId="753F69E3" w14:textId="77777777" w:rsidR="00CD7E2E" w:rsidRPr="00801161" w:rsidRDefault="007C280A" w:rsidP="00EF1197">
            <w:pPr>
              <w:spacing w:after="0" w:line="240" w:lineRule="auto"/>
              <w:jc w:val="both"/>
              <w:rPr>
                <w:sz w:val="20"/>
                <w:szCs w:val="20"/>
              </w:rPr>
            </w:pPr>
            <w:r w:rsidRPr="00FD697C">
              <w:rPr>
                <w:sz w:val="20"/>
                <w:szCs w:val="20"/>
              </w:rPr>
              <w:t>[</w:t>
            </w:r>
            <w:r w:rsidR="003644A5" w:rsidRPr="00FD697C">
              <w:rPr>
                <w:sz w:val="20"/>
                <w:szCs w:val="20"/>
              </w:rPr>
              <w:t>8</w:t>
            </w:r>
            <w:r w:rsidR="00A36E4C" w:rsidRPr="00FD697C">
              <w:rPr>
                <w:sz w:val="20"/>
                <w:szCs w:val="20"/>
              </w:rPr>
              <w:t>0</w:t>
            </w:r>
            <w:r w:rsidRPr="00FD697C">
              <w:rPr>
                <w:sz w:val="20"/>
                <w:szCs w:val="20"/>
              </w:rPr>
              <w:t xml:space="preserve">, </w:t>
            </w:r>
            <w:r w:rsidR="003644A5" w:rsidRPr="00FD697C">
              <w:rPr>
                <w:sz w:val="20"/>
                <w:szCs w:val="20"/>
              </w:rPr>
              <w:t>8</w:t>
            </w:r>
            <w:r w:rsidR="00A36E4C" w:rsidRPr="00FD697C">
              <w:rPr>
                <w:sz w:val="20"/>
                <w:szCs w:val="20"/>
              </w:rPr>
              <w:t>1</w:t>
            </w:r>
            <w:r w:rsidRPr="00FD697C">
              <w:rPr>
                <w:sz w:val="20"/>
                <w:szCs w:val="20"/>
              </w:rPr>
              <w:t>, 8</w:t>
            </w:r>
            <w:r w:rsidR="00A36E4C" w:rsidRPr="00FD697C">
              <w:rPr>
                <w:sz w:val="20"/>
                <w:szCs w:val="20"/>
              </w:rPr>
              <w:t>7</w:t>
            </w:r>
            <w:r w:rsidRPr="00FD697C">
              <w:rPr>
                <w:sz w:val="20"/>
                <w:szCs w:val="20"/>
              </w:rPr>
              <w:t>]</w:t>
            </w:r>
          </w:p>
        </w:tc>
      </w:tr>
      <w:tr w:rsidR="00DB7DB1" w:rsidRPr="00801161" w14:paraId="54F1A8AE" w14:textId="77777777" w:rsidTr="00CF5BAA">
        <w:trPr>
          <w:trHeight w:val="1020"/>
        </w:trPr>
        <w:tc>
          <w:tcPr>
            <w:tcW w:w="1693" w:type="dxa"/>
            <w:vMerge w:val="restart"/>
            <w:shd w:val="clear" w:color="auto" w:fill="auto"/>
            <w:vAlign w:val="center"/>
          </w:tcPr>
          <w:p w14:paraId="294A17AA" w14:textId="77777777" w:rsidR="00CD7E2E" w:rsidRPr="00801161" w:rsidRDefault="00CD7E2E" w:rsidP="00FF2683">
            <w:pPr>
              <w:spacing w:after="0" w:line="240" w:lineRule="auto"/>
              <w:jc w:val="both"/>
              <w:rPr>
                <w:sz w:val="20"/>
                <w:szCs w:val="20"/>
              </w:rPr>
            </w:pPr>
          </w:p>
          <w:p w14:paraId="1A7A9C8B" w14:textId="77777777" w:rsidR="00CD7E2E" w:rsidRPr="00801161" w:rsidRDefault="007C280A" w:rsidP="00FF2683">
            <w:pPr>
              <w:spacing w:after="0" w:line="240" w:lineRule="auto"/>
              <w:jc w:val="both"/>
              <w:rPr>
                <w:sz w:val="20"/>
                <w:szCs w:val="20"/>
              </w:rPr>
            </w:pPr>
            <w:r w:rsidRPr="00801161">
              <w:rPr>
                <w:sz w:val="20"/>
                <w:szCs w:val="20"/>
              </w:rPr>
              <w:t>Peripheral blood</w:t>
            </w:r>
          </w:p>
        </w:tc>
        <w:tc>
          <w:tcPr>
            <w:tcW w:w="1568" w:type="dxa"/>
            <w:shd w:val="clear" w:color="auto" w:fill="auto"/>
            <w:vAlign w:val="center"/>
          </w:tcPr>
          <w:p w14:paraId="6CD4346B" w14:textId="77777777" w:rsidR="00CD7E2E" w:rsidRPr="00801161" w:rsidRDefault="007C280A" w:rsidP="00FF2683">
            <w:pPr>
              <w:spacing w:after="0" w:line="240" w:lineRule="auto"/>
              <w:jc w:val="both"/>
              <w:rPr>
                <w:sz w:val="20"/>
                <w:szCs w:val="20"/>
              </w:rPr>
            </w:pPr>
            <w:r w:rsidRPr="00801161">
              <w:rPr>
                <w:sz w:val="20"/>
                <w:szCs w:val="20"/>
              </w:rPr>
              <w:t>Upregulated</w:t>
            </w:r>
          </w:p>
        </w:tc>
        <w:tc>
          <w:tcPr>
            <w:tcW w:w="8505" w:type="dxa"/>
            <w:shd w:val="clear" w:color="auto" w:fill="auto"/>
            <w:vAlign w:val="center"/>
          </w:tcPr>
          <w:p w14:paraId="23EBE85B" w14:textId="77777777" w:rsidR="00CD7E2E" w:rsidRPr="00801161" w:rsidRDefault="007C280A" w:rsidP="00FF2683">
            <w:pPr>
              <w:spacing w:after="0"/>
              <w:jc w:val="both"/>
              <w:rPr>
                <w:sz w:val="20"/>
                <w:szCs w:val="20"/>
              </w:rPr>
            </w:pPr>
            <w:r w:rsidRPr="00801161">
              <w:rPr>
                <w:sz w:val="20"/>
                <w:szCs w:val="20"/>
              </w:rPr>
              <w:t>miR-16, miR-19a, miR-21</w:t>
            </w:r>
            <w:r w:rsidRPr="00801161">
              <w:rPr>
                <w:sz w:val="20"/>
                <w:szCs w:val="20"/>
                <w:lang w:eastAsia="ko-KR"/>
              </w:rPr>
              <w:t>†</w:t>
            </w:r>
            <w:r w:rsidRPr="00801161">
              <w:rPr>
                <w:sz w:val="20"/>
                <w:szCs w:val="20"/>
              </w:rPr>
              <w:t>, miR-28-5p, miR-101, miR-103-2, miR-142-5p, miR-151-5p, miR-155, miR-188-5p, miR-199a-5p, miR-223, miR-340, miR-362-3p, miR-375, miR-378, miR-422a, miR-494, miR-500, miR-501-5p, miR-532-3p, miR-769-5p, miR-874, miRplus-E1271</w:t>
            </w:r>
          </w:p>
        </w:tc>
        <w:tc>
          <w:tcPr>
            <w:tcW w:w="1892" w:type="dxa"/>
            <w:shd w:val="clear" w:color="auto" w:fill="auto"/>
            <w:vAlign w:val="center"/>
          </w:tcPr>
          <w:p w14:paraId="2C3DABB9" w14:textId="77777777" w:rsidR="00CD7E2E" w:rsidRPr="00801161" w:rsidRDefault="007C280A" w:rsidP="00EF1197">
            <w:pPr>
              <w:spacing w:after="0" w:line="240" w:lineRule="auto"/>
              <w:jc w:val="both"/>
              <w:rPr>
                <w:sz w:val="20"/>
                <w:szCs w:val="20"/>
              </w:rPr>
            </w:pPr>
            <w:r w:rsidRPr="00FD697C">
              <w:rPr>
                <w:sz w:val="20"/>
                <w:szCs w:val="20"/>
              </w:rPr>
              <w:t>[8</w:t>
            </w:r>
            <w:r w:rsidR="00A36E4C" w:rsidRPr="00FD697C">
              <w:rPr>
                <w:sz w:val="20"/>
                <w:szCs w:val="20"/>
              </w:rPr>
              <w:t>8</w:t>
            </w:r>
            <w:r w:rsidRPr="00FD697C">
              <w:rPr>
                <w:sz w:val="20"/>
                <w:szCs w:val="20"/>
              </w:rPr>
              <w:t>, 9</w:t>
            </w:r>
            <w:r w:rsidR="00A36E4C" w:rsidRPr="00FD697C">
              <w:rPr>
                <w:sz w:val="20"/>
                <w:szCs w:val="20"/>
              </w:rPr>
              <w:t>8</w:t>
            </w:r>
            <w:r w:rsidRPr="00FD697C">
              <w:rPr>
                <w:sz w:val="20"/>
                <w:szCs w:val="20"/>
              </w:rPr>
              <w:t>-</w:t>
            </w:r>
            <w:r w:rsidR="003644A5" w:rsidRPr="00FD697C">
              <w:rPr>
                <w:sz w:val="20"/>
                <w:szCs w:val="20"/>
              </w:rPr>
              <w:t>10</w:t>
            </w:r>
            <w:r w:rsidR="00A36E4C" w:rsidRPr="00FD697C">
              <w:rPr>
                <w:sz w:val="20"/>
                <w:szCs w:val="20"/>
              </w:rPr>
              <w:t>0</w:t>
            </w:r>
            <w:r w:rsidRPr="00FD697C">
              <w:rPr>
                <w:sz w:val="20"/>
                <w:szCs w:val="20"/>
              </w:rPr>
              <w:t>]</w:t>
            </w:r>
          </w:p>
        </w:tc>
      </w:tr>
      <w:tr w:rsidR="00DB7DB1" w:rsidRPr="00801161" w14:paraId="3617EECF" w14:textId="77777777" w:rsidTr="00CF5BAA">
        <w:trPr>
          <w:trHeight w:val="454"/>
        </w:trPr>
        <w:tc>
          <w:tcPr>
            <w:tcW w:w="1693" w:type="dxa"/>
            <w:vMerge/>
            <w:tcBorders>
              <w:bottom w:val="single" w:sz="8" w:space="0" w:color="auto"/>
            </w:tcBorders>
            <w:shd w:val="clear" w:color="auto" w:fill="auto"/>
            <w:vAlign w:val="center"/>
          </w:tcPr>
          <w:p w14:paraId="55E0F832" w14:textId="77777777" w:rsidR="00CD7E2E" w:rsidRPr="00801161" w:rsidRDefault="00CD7E2E" w:rsidP="00FF2683">
            <w:pPr>
              <w:spacing w:after="0" w:line="240" w:lineRule="auto"/>
              <w:jc w:val="both"/>
              <w:rPr>
                <w:sz w:val="20"/>
                <w:szCs w:val="20"/>
              </w:rPr>
            </w:pPr>
          </w:p>
        </w:tc>
        <w:tc>
          <w:tcPr>
            <w:tcW w:w="1568" w:type="dxa"/>
            <w:tcBorders>
              <w:bottom w:val="single" w:sz="8" w:space="0" w:color="auto"/>
            </w:tcBorders>
            <w:shd w:val="clear" w:color="auto" w:fill="auto"/>
            <w:vAlign w:val="center"/>
          </w:tcPr>
          <w:p w14:paraId="329E7FF7" w14:textId="77777777" w:rsidR="00CD7E2E" w:rsidRPr="00801161" w:rsidRDefault="007C280A" w:rsidP="00FF2683">
            <w:pPr>
              <w:spacing w:after="0" w:line="240" w:lineRule="auto"/>
              <w:jc w:val="both"/>
              <w:rPr>
                <w:sz w:val="20"/>
                <w:szCs w:val="20"/>
              </w:rPr>
            </w:pPr>
            <w:r w:rsidRPr="00801161">
              <w:rPr>
                <w:sz w:val="20"/>
                <w:szCs w:val="20"/>
              </w:rPr>
              <w:t>Downregulated</w:t>
            </w:r>
          </w:p>
        </w:tc>
        <w:tc>
          <w:tcPr>
            <w:tcW w:w="8505" w:type="dxa"/>
            <w:tcBorders>
              <w:bottom w:val="single" w:sz="8" w:space="0" w:color="auto"/>
            </w:tcBorders>
            <w:shd w:val="clear" w:color="auto" w:fill="auto"/>
            <w:vAlign w:val="center"/>
          </w:tcPr>
          <w:p w14:paraId="059FEC7E" w14:textId="77777777" w:rsidR="00CD7E2E" w:rsidRPr="00801161" w:rsidRDefault="007C280A" w:rsidP="00FF2683">
            <w:pPr>
              <w:spacing w:after="0" w:line="240" w:lineRule="auto"/>
              <w:jc w:val="both"/>
              <w:rPr>
                <w:sz w:val="20"/>
                <w:szCs w:val="20"/>
              </w:rPr>
            </w:pPr>
            <w:r w:rsidRPr="00801161">
              <w:rPr>
                <w:sz w:val="20"/>
                <w:szCs w:val="20"/>
              </w:rPr>
              <w:t>miR-21</w:t>
            </w:r>
            <w:r w:rsidRPr="00801161">
              <w:rPr>
                <w:sz w:val="20"/>
                <w:szCs w:val="20"/>
                <w:lang w:eastAsia="ko-KR"/>
              </w:rPr>
              <w:t>†</w:t>
            </w:r>
            <w:r w:rsidRPr="00801161">
              <w:rPr>
                <w:sz w:val="20"/>
                <w:szCs w:val="20"/>
              </w:rPr>
              <w:t>, miR-31, miR-146a, miR-505</w:t>
            </w:r>
          </w:p>
        </w:tc>
        <w:tc>
          <w:tcPr>
            <w:tcW w:w="1892" w:type="dxa"/>
            <w:tcBorders>
              <w:bottom w:val="single" w:sz="8" w:space="0" w:color="auto"/>
            </w:tcBorders>
            <w:shd w:val="clear" w:color="auto" w:fill="auto"/>
            <w:vAlign w:val="center"/>
          </w:tcPr>
          <w:p w14:paraId="6340555E" w14:textId="77777777" w:rsidR="00CD7E2E" w:rsidRPr="00801161" w:rsidRDefault="007C280A" w:rsidP="00EF1197">
            <w:pPr>
              <w:spacing w:after="0" w:line="240" w:lineRule="auto"/>
              <w:jc w:val="both"/>
              <w:rPr>
                <w:sz w:val="20"/>
                <w:szCs w:val="20"/>
              </w:rPr>
            </w:pPr>
            <w:r w:rsidRPr="00FD697C">
              <w:rPr>
                <w:sz w:val="20"/>
                <w:szCs w:val="20"/>
              </w:rPr>
              <w:t>[8</w:t>
            </w:r>
            <w:r w:rsidR="00A36E4C" w:rsidRPr="00FD697C">
              <w:rPr>
                <w:sz w:val="20"/>
                <w:szCs w:val="20"/>
              </w:rPr>
              <w:t>8</w:t>
            </w:r>
            <w:r w:rsidRPr="00FD697C">
              <w:rPr>
                <w:sz w:val="20"/>
                <w:szCs w:val="20"/>
              </w:rPr>
              <w:t xml:space="preserve">, </w:t>
            </w:r>
            <w:r w:rsidR="00A36E4C" w:rsidRPr="00FD697C">
              <w:rPr>
                <w:sz w:val="20"/>
                <w:szCs w:val="20"/>
              </w:rPr>
              <w:t>99</w:t>
            </w:r>
            <w:r w:rsidRPr="00FD697C">
              <w:rPr>
                <w:sz w:val="20"/>
                <w:szCs w:val="20"/>
              </w:rPr>
              <w:t>]</w:t>
            </w:r>
          </w:p>
        </w:tc>
      </w:tr>
      <w:tr w:rsidR="00DB7DB1" w:rsidRPr="00801161" w14:paraId="330E0D01" w14:textId="77777777" w:rsidTr="00FF2683">
        <w:trPr>
          <w:trHeight w:val="454"/>
        </w:trPr>
        <w:tc>
          <w:tcPr>
            <w:tcW w:w="13658" w:type="dxa"/>
            <w:gridSpan w:val="4"/>
            <w:tcBorders>
              <w:top w:val="single" w:sz="8" w:space="0" w:color="auto"/>
              <w:bottom w:val="single" w:sz="8" w:space="0" w:color="auto"/>
            </w:tcBorders>
            <w:shd w:val="clear" w:color="auto" w:fill="auto"/>
            <w:vAlign w:val="center"/>
          </w:tcPr>
          <w:p w14:paraId="4F31581C" w14:textId="77777777" w:rsidR="00CD7E2E" w:rsidRPr="00801161" w:rsidRDefault="007C280A" w:rsidP="00FF2683">
            <w:pPr>
              <w:spacing w:after="0" w:line="240" w:lineRule="auto"/>
              <w:jc w:val="both"/>
              <w:rPr>
                <w:b/>
                <w:sz w:val="21"/>
                <w:szCs w:val="21"/>
              </w:rPr>
            </w:pPr>
            <w:r w:rsidRPr="00801161">
              <w:rPr>
                <w:b/>
                <w:sz w:val="21"/>
                <w:szCs w:val="21"/>
              </w:rPr>
              <w:t>Crohn’s disease vs. healthy controls</w:t>
            </w:r>
          </w:p>
        </w:tc>
      </w:tr>
      <w:tr w:rsidR="00DB7DB1" w:rsidRPr="00801161" w14:paraId="3A2F675F" w14:textId="77777777" w:rsidTr="00CF5BAA">
        <w:trPr>
          <w:trHeight w:val="1020"/>
        </w:trPr>
        <w:tc>
          <w:tcPr>
            <w:tcW w:w="1693" w:type="dxa"/>
            <w:vMerge w:val="restart"/>
            <w:tcBorders>
              <w:top w:val="single" w:sz="8" w:space="0" w:color="auto"/>
            </w:tcBorders>
            <w:shd w:val="clear" w:color="auto" w:fill="auto"/>
            <w:vAlign w:val="center"/>
          </w:tcPr>
          <w:p w14:paraId="3D15A93E" w14:textId="77777777" w:rsidR="00CD7E2E" w:rsidRPr="00801161" w:rsidRDefault="00CD7E2E" w:rsidP="00FF2683">
            <w:pPr>
              <w:spacing w:after="0" w:line="240" w:lineRule="auto"/>
              <w:jc w:val="both"/>
              <w:rPr>
                <w:sz w:val="20"/>
                <w:szCs w:val="20"/>
              </w:rPr>
            </w:pPr>
          </w:p>
          <w:p w14:paraId="030A8D1D" w14:textId="77777777" w:rsidR="00CD7E2E" w:rsidRPr="00801161" w:rsidRDefault="007C280A" w:rsidP="00FF2683">
            <w:pPr>
              <w:spacing w:after="0" w:line="240" w:lineRule="auto"/>
              <w:jc w:val="both"/>
              <w:rPr>
                <w:sz w:val="20"/>
                <w:szCs w:val="20"/>
              </w:rPr>
            </w:pPr>
            <w:r w:rsidRPr="00801161">
              <w:rPr>
                <w:sz w:val="20"/>
                <w:szCs w:val="20"/>
              </w:rPr>
              <w:t>Mucosal tissues</w:t>
            </w:r>
          </w:p>
        </w:tc>
        <w:tc>
          <w:tcPr>
            <w:tcW w:w="1568" w:type="dxa"/>
            <w:tcBorders>
              <w:top w:val="single" w:sz="8" w:space="0" w:color="auto"/>
            </w:tcBorders>
            <w:shd w:val="clear" w:color="auto" w:fill="auto"/>
            <w:vAlign w:val="center"/>
          </w:tcPr>
          <w:p w14:paraId="46D43FFE" w14:textId="77777777" w:rsidR="00CD7E2E" w:rsidRPr="00801161" w:rsidRDefault="007C280A" w:rsidP="00FF2683">
            <w:pPr>
              <w:spacing w:after="0" w:line="240" w:lineRule="auto"/>
              <w:jc w:val="both"/>
              <w:rPr>
                <w:sz w:val="20"/>
                <w:szCs w:val="20"/>
              </w:rPr>
            </w:pPr>
            <w:r w:rsidRPr="00801161">
              <w:rPr>
                <w:sz w:val="20"/>
                <w:szCs w:val="20"/>
              </w:rPr>
              <w:t>Upregulated</w:t>
            </w:r>
          </w:p>
        </w:tc>
        <w:tc>
          <w:tcPr>
            <w:tcW w:w="8505" w:type="dxa"/>
            <w:tcBorders>
              <w:top w:val="single" w:sz="8" w:space="0" w:color="auto"/>
            </w:tcBorders>
            <w:shd w:val="clear" w:color="auto" w:fill="auto"/>
            <w:vAlign w:val="center"/>
          </w:tcPr>
          <w:p w14:paraId="57A7BE6E" w14:textId="77777777" w:rsidR="00CD7E2E" w:rsidRPr="00801161" w:rsidRDefault="007C280A" w:rsidP="00FF2683">
            <w:pPr>
              <w:spacing w:after="0"/>
              <w:jc w:val="both"/>
              <w:rPr>
                <w:sz w:val="20"/>
                <w:szCs w:val="20"/>
              </w:rPr>
            </w:pPr>
            <w:r w:rsidRPr="00801161">
              <w:rPr>
                <w:sz w:val="20"/>
                <w:szCs w:val="20"/>
              </w:rPr>
              <w:t>miR-9, miR-21, miR-22, miR-26a, miR-29b, miR-29c, miR-30b, miR-31, miR-34c-5p, miR-101, miR-106a, miR-106b, miR-126*, miR-127-3p, miR-130a, miR-133b, miR-146a, miR-146b-5p, miR-150, miR-155, miR-181c, miR-196, miR-196a, miR-206, miR-324-3p, miR-375, miR-424</w:t>
            </w:r>
          </w:p>
        </w:tc>
        <w:tc>
          <w:tcPr>
            <w:tcW w:w="1892" w:type="dxa"/>
            <w:tcBorders>
              <w:top w:val="single" w:sz="8" w:space="0" w:color="auto"/>
            </w:tcBorders>
            <w:shd w:val="clear" w:color="auto" w:fill="auto"/>
            <w:vAlign w:val="center"/>
          </w:tcPr>
          <w:p w14:paraId="5941538E" w14:textId="77777777" w:rsidR="00CD7E2E" w:rsidRPr="00801161" w:rsidRDefault="007C280A" w:rsidP="00EF1197">
            <w:pPr>
              <w:spacing w:after="0" w:line="240" w:lineRule="auto"/>
              <w:jc w:val="both"/>
              <w:rPr>
                <w:sz w:val="20"/>
                <w:szCs w:val="20"/>
              </w:rPr>
            </w:pPr>
            <w:r w:rsidRPr="00FD697C">
              <w:rPr>
                <w:sz w:val="20"/>
                <w:szCs w:val="20"/>
              </w:rPr>
              <w:t>[6</w:t>
            </w:r>
            <w:r w:rsidR="00C47FC3" w:rsidRPr="00FD697C">
              <w:rPr>
                <w:sz w:val="20"/>
                <w:szCs w:val="20"/>
              </w:rPr>
              <w:t>6</w:t>
            </w:r>
            <w:r w:rsidRPr="00FD697C">
              <w:rPr>
                <w:sz w:val="20"/>
                <w:szCs w:val="20"/>
              </w:rPr>
              <w:t>, 7</w:t>
            </w:r>
            <w:r w:rsidR="00C47FC3" w:rsidRPr="00FD697C">
              <w:rPr>
                <w:sz w:val="20"/>
                <w:szCs w:val="20"/>
              </w:rPr>
              <w:t>7</w:t>
            </w:r>
            <w:r w:rsidRPr="00FD697C">
              <w:rPr>
                <w:sz w:val="20"/>
                <w:szCs w:val="20"/>
              </w:rPr>
              <w:t xml:space="preserve">, </w:t>
            </w:r>
            <w:r w:rsidR="00C47FC3" w:rsidRPr="00FD697C">
              <w:rPr>
                <w:sz w:val="20"/>
                <w:szCs w:val="20"/>
              </w:rPr>
              <w:t>8</w:t>
            </w:r>
            <w:r w:rsidR="00A36E4C" w:rsidRPr="00FD697C">
              <w:rPr>
                <w:sz w:val="20"/>
                <w:szCs w:val="20"/>
              </w:rPr>
              <w:t>1</w:t>
            </w:r>
            <w:r w:rsidRPr="00FD697C">
              <w:rPr>
                <w:sz w:val="20"/>
                <w:szCs w:val="20"/>
              </w:rPr>
              <w:t>, 8</w:t>
            </w:r>
            <w:r w:rsidR="00A36E4C" w:rsidRPr="00FD697C">
              <w:rPr>
                <w:sz w:val="20"/>
                <w:szCs w:val="20"/>
              </w:rPr>
              <w:t>5</w:t>
            </w:r>
            <w:r w:rsidR="00EF1197" w:rsidRPr="00FD697C">
              <w:rPr>
                <w:sz w:val="20"/>
                <w:szCs w:val="20"/>
              </w:rPr>
              <w:t>, 8</w:t>
            </w:r>
            <w:r w:rsidR="00A36E4C" w:rsidRPr="00FD697C">
              <w:rPr>
                <w:sz w:val="20"/>
                <w:szCs w:val="20"/>
              </w:rPr>
              <w:t>8</w:t>
            </w:r>
            <w:r w:rsidRPr="00FD697C">
              <w:rPr>
                <w:sz w:val="20"/>
                <w:szCs w:val="20"/>
              </w:rPr>
              <w:t>]</w:t>
            </w:r>
          </w:p>
        </w:tc>
      </w:tr>
      <w:tr w:rsidR="00DB7DB1" w:rsidRPr="00801161" w14:paraId="2864DE26" w14:textId="77777777" w:rsidTr="00CF5BAA">
        <w:trPr>
          <w:trHeight w:val="454"/>
        </w:trPr>
        <w:tc>
          <w:tcPr>
            <w:tcW w:w="1693" w:type="dxa"/>
            <w:vMerge/>
            <w:shd w:val="clear" w:color="auto" w:fill="auto"/>
            <w:vAlign w:val="center"/>
          </w:tcPr>
          <w:p w14:paraId="479D79DC" w14:textId="77777777" w:rsidR="00CD7E2E" w:rsidRPr="00801161" w:rsidRDefault="00CD7E2E" w:rsidP="00FF2683">
            <w:pPr>
              <w:spacing w:after="0" w:line="240" w:lineRule="auto"/>
              <w:jc w:val="both"/>
              <w:rPr>
                <w:sz w:val="20"/>
                <w:szCs w:val="20"/>
              </w:rPr>
            </w:pPr>
          </w:p>
        </w:tc>
        <w:tc>
          <w:tcPr>
            <w:tcW w:w="1568" w:type="dxa"/>
            <w:shd w:val="clear" w:color="auto" w:fill="auto"/>
            <w:vAlign w:val="center"/>
          </w:tcPr>
          <w:p w14:paraId="7F58B84C" w14:textId="77777777" w:rsidR="00CD7E2E" w:rsidRPr="00801161" w:rsidRDefault="007C280A" w:rsidP="00FF2683">
            <w:pPr>
              <w:spacing w:after="0" w:line="240" w:lineRule="auto"/>
              <w:jc w:val="both"/>
              <w:rPr>
                <w:sz w:val="20"/>
                <w:szCs w:val="20"/>
              </w:rPr>
            </w:pPr>
            <w:r w:rsidRPr="00801161">
              <w:rPr>
                <w:sz w:val="20"/>
                <w:szCs w:val="20"/>
              </w:rPr>
              <w:t>Downregulated</w:t>
            </w:r>
          </w:p>
        </w:tc>
        <w:tc>
          <w:tcPr>
            <w:tcW w:w="8505" w:type="dxa"/>
            <w:shd w:val="clear" w:color="auto" w:fill="auto"/>
            <w:vAlign w:val="center"/>
          </w:tcPr>
          <w:p w14:paraId="09A3317A" w14:textId="77777777" w:rsidR="00CD7E2E" w:rsidRPr="00801161" w:rsidRDefault="007C280A" w:rsidP="00FF2683">
            <w:pPr>
              <w:spacing w:after="0" w:line="240" w:lineRule="auto"/>
              <w:jc w:val="both"/>
              <w:rPr>
                <w:sz w:val="20"/>
                <w:szCs w:val="20"/>
              </w:rPr>
            </w:pPr>
            <w:r w:rsidRPr="00801161">
              <w:rPr>
                <w:sz w:val="20"/>
                <w:szCs w:val="20"/>
              </w:rPr>
              <w:t>miR-7, miR-375</w:t>
            </w:r>
          </w:p>
        </w:tc>
        <w:tc>
          <w:tcPr>
            <w:tcW w:w="1892" w:type="dxa"/>
            <w:shd w:val="clear" w:color="auto" w:fill="auto"/>
            <w:vAlign w:val="center"/>
          </w:tcPr>
          <w:p w14:paraId="54ADBE28" w14:textId="77777777" w:rsidR="00CD7E2E" w:rsidRPr="00801161" w:rsidRDefault="007C280A" w:rsidP="00EF1197">
            <w:pPr>
              <w:spacing w:after="0" w:line="240" w:lineRule="auto"/>
              <w:jc w:val="both"/>
              <w:rPr>
                <w:sz w:val="20"/>
                <w:szCs w:val="20"/>
              </w:rPr>
            </w:pPr>
            <w:r w:rsidRPr="00FD697C">
              <w:rPr>
                <w:sz w:val="20"/>
                <w:szCs w:val="20"/>
              </w:rPr>
              <w:t>[8</w:t>
            </w:r>
            <w:r w:rsidR="00A36E4C" w:rsidRPr="00FD697C">
              <w:rPr>
                <w:sz w:val="20"/>
                <w:szCs w:val="20"/>
              </w:rPr>
              <w:t>8</w:t>
            </w:r>
            <w:r w:rsidRPr="00FD697C">
              <w:rPr>
                <w:sz w:val="20"/>
                <w:szCs w:val="20"/>
              </w:rPr>
              <w:t xml:space="preserve">, </w:t>
            </w:r>
            <w:r w:rsidR="00A36E4C" w:rsidRPr="00FD697C">
              <w:rPr>
                <w:sz w:val="20"/>
                <w:szCs w:val="20"/>
              </w:rPr>
              <w:t>89</w:t>
            </w:r>
            <w:r w:rsidRPr="00FD697C">
              <w:rPr>
                <w:sz w:val="20"/>
                <w:szCs w:val="20"/>
              </w:rPr>
              <w:t>]</w:t>
            </w:r>
          </w:p>
        </w:tc>
      </w:tr>
      <w:tr w:rsidR="00DB7DB1" w:rsidRPr="00801161" w14:paraId="4ABD18F3" w14:textId="77777777" w:rsidTr="00CF5BAA">
        <w:trPr>
          <w:trHeight w:val="1022"/>
        </w:trPr>
        <w:tc>
          <w:tcPr>
            <w:tcW w:w="1693" w:type="dxa"/>
            <w:vMerge w:val="restart"/>
            <w:tcBorders>
              <w:bottom w:val="single" w:sz="8" w:space="0" w:color="auto"/>
            </w:tcBorders>
            <w:shd w:val="clear" w:color="auto" w:fill="auto"/>
            <w:vAlign w:val="center"/>
          </w:tcPr>
          <w:p w14:paraId="40AB1492" w14:textId="77777777" w:rsidR="00CD7E2E" w:rsidRPr="00801161" w:rsidRDefault="00CD7E2E" w:rsidP="00FF2683">
            <w:pPr>
              <w:spacing w:after="0" w:line="240" w:lineRule="auto"/>
              <w:jc w:val="both"/>
              <w:rPr>
                <w:sz w:val="20"/>
                <w:szCs w:val="20"/>
              </w:rPr>
            </w:pPr>
          </w:p>
          <w:p w14:paraId="7E410ACA" w14:textId="77777777" w:rsidR="00CD7E2E" w:rsidRPr="00801161" w:rsidRDefault="007C280A" w:rsidP="00FF2683">
            <w:pPr>
              <w:spacing w:after="0" w:line="240" w:lineRule="auto"/>
              <w:jc w:val="both"/>
              <w:rPr>
                <w:sz w:val="20"/>
                <w:szCs w:val="20"/>
              </w:rPr>
            </w:pPr>
            <w:r w:rsidRPr="00801161">
              <w:rPr>
                <w:sz w:val="20"/>
                <w:szCs w:val="20"/>
              </w:rPr>
              <w:t>Peripheral blood</w:t>
            </w:r>
          </w:p>
        </w:tc>
        <w:tc>
          <w:tcPr>
            <w:tcW w:w="1568" w:type="dxa"/>
            <w:shd w:val="clear" w:color="auto" w:fill="auto"/>
            <w:vAlign w:val="center"/>
          </w:tcPr>
          <w:p w14:paraId="2047DAD9" w14:textId="77777777" w:rsidR="00CD7E2E" w:rsidRPr="00801161" w:rsidRDefault="007C280A" w:rsidP="00FF2683">
            <w:pPr>
              <w:spacing w:after="0" w:line="240" w:lineRule="auto"/>
              <w:jc w:val="both"/>
              <w:rPr>
                <w:sz w:val="20"/>
                <w:szCs w:val="20"/>
              </w:rPr>
            </w:pPr>
            <w:r w:rsidRPr="00801161">
              <w:rPr>
                <w:sz w:val="20"/>
                <w:szCs w:val="20"/>
              </w:rPr>
              <w:t>Upregulated</w:t>
            </w:r>
          </w:p>
        </w:tc>
        <w:tc>
          <w:tcPr>
            <w:tcW w:w="8505" w:type="dxa"/>
            <w:shd w:val="clear" w:color="auto" w:fill="auto"/>
            <w:vAlign w:val="center"/>
          </w:tcPr>
          <w:p w14:paraId="7FA38D39" w14:textId="77777777" w:rsidR="00CD7E2E" w:rsidRPr="00801161" w:rsidRDefault="007C280A" w:rsidP="00FF2683">
            <w:pPr>
              <w:spacing w:after="0"/>
              <w:jc w:val="both"/>
              <w:rPr>
                <w:sz w:val="20"/>
                <w:szCs w:val="20"/>
              </w:rPr>
            </w:pPr>
            <w:r w:rsidRPr="00801161">
              <w:rPr>
                <w:sz w:val="20"/>
                <w:szCs w:val="20"/>
              </w:rPr>
              <w:t>miR-16, miR-20a</w:t>
            </w:r>
            <w:r w:rsidRPr="00801161">
              <w:rPr>
                <w:sz w:val="20"/>
                <w:szCs w:val="20"/>
                <w:lang w:eastAsia="ko-KR"/>
              </w:rPr>
              <w:t>‡</w:t>
            </w:r>
            <w:r w:rsidRPr="00801161">
              <w:rPr>
                <w:sz w:val="20"/>
                <w:szCs w:val="20"/>
              </w:rPr>
              <w:t>, miR-21</w:t>
            </w:r>
            <w:r w:rsidRPr="00801161">
              <w:rPr>
                <w:sz w:val="20"/>
                <w:szCs w:val="20"/>
                <w:lang w:eastAsia="ko-KR"/>
              </w:rPr>
              <w:t>‡</w:t>
            </w:r>
            <w:r w:rsidRPr="00801161">
              <w:rPr>
                <w:sz w:val="20"/>
                <w:szCs w:val="20"/>
              </w:rPr>
              <w:t>, miR-23a, miR-29a, miR-30e</w:t>
            </w:r>
            <w:r w:rsidRPr="00801161">
              <w:rPr>
                <w:sz w:val="20"/>
                <w:szCs w:val="20"/>
                <w:lang w:eastAsia="ko-KR"/>
              </w:rPr>
              <w:t>‡</w:t>
            </w:r>
            <w:r w:rsidRPr="00801161">
              <w:rPr>
                <w:sz w:val="20"/>
                <w:szCs w:val="20"/>
              </w:rPr>
              <w:t>, miR-93</w:t>
            </w:r>
            <w:r w:rsidRPr="00801161">
              <w:rPr>
                <w:sz w:val="20"/>
                <w:szCs w:val="20"/>
                <w:lang w:eastAsia="ko-KR"/>
              </w:rPr>
              <w:t>‡</w:t>
            </w:r>
            <w:r w:rsidRPr="00801161">
              <w:rPr>
                <w:sz w:val="20"/>
                <w:szCs w:val="20"/>
              </w:rPr>
              <w:t>, miR-101, miR-106a, miR-107, miR-126, miR-140</w:t>
            </w:r>
            <w:r w:rsidRPr="00801161">
              <w:rPr>
                <w:sz w:val="20"/>
                <w:szCs w:val="20"/>
                <w:lang w:eastAsia="ko-KR"/>
              </w:rPr>
              <w:t>‡</w:t>
            </w:r>
            <w:r w:rsidRPr="00801161">
              <w:rPr>
                <w:sz w:val="20"/>
                <w:szCs w:val="20"/>
              </w:rPr>
              <w:t>, miR-191, miR-192</w:t>
            </w:r>
            <w:r w:rsidRPr="00801161">
              <w:rPr>
                <w:sz w:val="20"/>
                <w:szCs w:val="20"/>
                <w:lang w:eastAsia="ko-KR"/>
              </w:rPr>
              <w:t>‡</w:t>
            </w:r>
            <w:r w:rsidRPr="00801161">
              <w:rPr>
                <w:sz w:val="20"/>
                <w:szCs w:val="20"/>
              </w:rPr>
              <w:t>, miR-195</w:t>
            </w:r>
            <w:r w:rsidRPr="00801161">
              <w:rPr>
                <w:sz w:val="20"/>
                <w:szCs w:val="20"/>
                <w:lang w:eastAsia="ko-KR"/>
              </w:rPr>
              <w:t>‡</w:t>
            </w:r>
            <w:r w:rsidRPr="00801161">
              <w:rPr>
                <w:sz w:val="20"/>
                <w:szCs w:val="20"/>
              </w:rPr>
              <w:t>, miR-199a-5p, miR-200c, miR-362-3p, miR-375, miR-484</w:t>
            </w:r>
            <w:r w:rsidRPr="00801161">
              <w:rPr>
                <w:sz w:val="20"/>
                <w:szCs w:val="20"/>
                <w:lang w:eastAsia="ko-KR"/>
              </w:rPr>
              <w:t>‡</w:t>
            </w:r>
            <w:r w:rsidRPr="00801161">
              <w:rPr>
                <w:sz w:val="20"/>
                <w:szCs w:val="20"/>
              </w:rPr>
              <w:t>, miR-532-3p</w:t>
            </w:r>
          </w:p>
        </w:tc>
        <w:tc>
          <w:tcPr>
            <w:tcW w:w="1892" w:type="dxa"/>
            <w:shd w:val="clear" w:color="auto" w:fill="auto"/>
            <w:vAlign w:val="center"/>
          </w:tcPr>
          <w:p w14:paraId="406DAE1B" w14:textId="77777777" w:rsidR="00CD7E2E" w:rsidRPr="00801161" w:rsidRDefault="007C280A" w:rsidP="00EF1197">
            <w:pPr>
              <w:spacing w:after="0" w:line="240" w:lineRule="auto"/>
              <w:jc w:val="both"/>
              <w:rPr>
                <w:sz w:val="20"/>
                <w:szCs w:val="20"/>
              </w:rPr>
            </w:pPr>
            <w:r w:rsidRPr="00FD697C">
              <w:rPr>
                <w:sz w:val="20"/>
                <w:szCs w:val="20"/>
              </w:rPr>
              <w:t>[8</w:t>
            </w:r>
            <w:r w:rsidR="00A36E4C" w:rsidRPr="00FD697C">
              <w:rPr>
                <w:sz w:val="20"/>
                <w:szCs w:val="20"/>
              </w:rPr>
              <w:t>8</w:t>
            </w:r>
            <w:r w:rsidRPr="00FD697C">
              <w:rPr>
                <w:sz w:val="20"/>
                <w:szCs w:val="20"/>
              </w:rPr>
              <w:t>, 9</w:t>
            </w:r>
            <w:r w:rsidR="00A36E4C" w:rsidRPr="00FD697C">
              <w:rPr>
                <w:sz w:val="20"/>
                <w:szCs w:val="20"/>
              </w:rPr>
              <w:t>8</w:t>
            </w:r>
            <w:r w:rsidRPr="00FD697C">
              <w:rPr>
                <w:sz w:val="20"/>
                <w:szCs w:val="20"/>
              </w:rPr>
              <w:t xml:space="preserve">, </w:t>
            </w:r>
            <w:r w:rsidR="00C47FC3" w:rsidRPr="00FD697C">
              <w:rPr>
                <w:sz w:val="20"/>
                <w:szCs w:val="20"/>
              </w:rPr>
              <w:t>10</w:t>
            </w:r>
            <w:r w:rsidR="00A36E4C" w:rsidRPr="00FD697C">
              <w:rPr>
                <w:sz w:val="20"/>
                <w:szCs w:val="20"/>
              </w:rPr>
              <w:t>1</w:t>
            </w:r>
            <w:r w:rsidRPr="00FD697C">
              <w:rPr>
                <w:sz w:val="20"/>
                <w:szCs w:val="20"/>
              </w:rPr>
              <w:t>]</w:t>
            </w:r>
          </w:p>
        </w:tc>
      </w:tr>
      <w:tr w:rsidR="00DB7DB1" w:rsidRPr="00801161" w14:paraId="312F0D0E" w14:textId="77777777" w:rsidTr="00CF5BAA">
        <w:trPr>
          <w:trHeight w:val="454"/>
        </w:trPr>
        <w:tc>
          <w:tcPr>
            <w:tcW w:w="1693" w:type="dxa"/>
            <w:vMerge/>
            <w:tcBorders>
              <w:bottom w:val="single" w:sz="8" w:space="0" w:color="auto"/>
            </w:tcBorders>
            <w:shd w:val="clear" w:color="auto" w:fill="auto"/>
            <w:vAlign w:val="center"/>
          </w:tcPr>
          <w:p w14:paraId="537305A2" w14:textId="77777777" w:rsidR="00CD7E2E" w:rsidRPr="00801161" w:rsidRDefault="00CD7E2E" w:rsidP="00FF2683">
            <w:pPr>
              <w:spacing w:after="0" w:line="240" w:lineRule="auto"/>
              <w:jc w:val="both"/>
              <w:rPr>
                <w:sz w:val="20"/>
                <w:szCs w:val="20"/>
              </w:rPr>
            </w:pPr>
          </w:p>
        </w:tc>
        <w:tc>
          <w:tcPr>
            <w:tcW w:w="1568" w:type="dxa"/>
            <w:tcBorders>
              <w:bottom w:val="single" w:sz="8" w:space="0" w:color="auto"/>
            </w:tcBorders>
            <w:shd w:val="clear" w:color="auto" w:fill="auto"/>
            <w:vAlign w:val="center"/>
          </w:tcPr>
          <w:p w14:paraId="7EABEC24" w14:textId="77777777" w:rsidR="00CD7E2E" w:rsidRPr="00801161" w:rsidRDefault="007C280A" w:rsidP="00FF2683">
            <w:pPr>
              <w:spacing w:after="0" w:line="240" w:lineRule="auto"/>
              <w:jc w:val="both"/>
              <w:rPr>
                <w:sz w:val="20"/>
                <w:szCs w:val="20"/>
                <w:lang w:eastAsia="ko-KR"/>
              </w:rPr>
            </w:pPr>
            <w:r w:rsidRPr="00801161">
              <w:rPr>
                <w:sz w:val="20"/>
                <w:szCs w:val="20"/>
                <w:lang w:eastAsia="ko-KR"/>
              </w:rPr>
              <w:t>Downregulated</w:t>
            </w:r>
          </w:p>
        </w:tc>
        <w:tc>
          <w:tcPr>
            <w:tcW w:w="8505" w:type="dxa"/>
            <w:tcBorders>
              <w:bottom w:val="single" w:sz="8" w:space="0" w:color="auto"/>
            </w:tcBorders>
            <w:shd w:val="clear" w:color="auto" w:fill="auto"/>
            <w:vAlign w:val="center"/>
          </w:tcPr>
          <w:p w14:paraId="248F2E8B" w14:textId="77777777" w:rsidR="00CD7E2E" w:rsidRPr="00801161" w:rsidRDefault="007C280A" w:rsidP="00FF2683">
            <w:pPr>
              <w:spacing w:after="0" w:line="240" w:lineRule="auto"/>
              <w:jc w:val="both"/>
              <w:rPr>
                <w:sz w:val="20"/>
                <w:szCs w:val="20"/>
                <w:lang w:eastAsia="ko-KR"/>
              </w:rPr>
            </w:pPr>
            <w:r w:rsidRPr="00801161">
              <w:rPr>
                <w:sz w:val="20"/>
                <w:szCs w:val="20"/>
                <w:lang w:eastAsia="ko-KR"/>
              </w:rPr>
              <w:t>miR-21, miR-31, miR-146a, miR-155</w:t>
            </w:r>
          </w:p>
        </w:tc>
        <w:tc>
          <w:tcPr>
            <w:tcW w:w="1892" w:type="dxa"/>
            <w:tcBorders>
              <w:bottom w:val="single" w:sz="8" w:space="0" w:color="auto"/>
            </w:tcBorders>
            <w:shd w:val="clear" w:color="auto" w:fill="auto"/>
            <w:vAlign w:val="center"/>
          </w:tcPr>
          <w:p w14:paraId="23F961F0" w14:textId="77777777" w:rsidR="00CD7E2E" w:rsidRPr="00801161" w:rsidRDefault="007C280A" w:rsidP="00EF1197">
            <w:pPr>
              <w:spacing w:after="0" w:line="240" w:lineRule="auto"/>
              <w:jc w:val="both"/>
              <w:rPr>
                <w:sz w:val="20"/>
                <w:szCs w:val="20"/>
              </w:rPr>
            </w:pPr>
            <w:r w:rsidRPr="00FD697C">
              <w:rPr>
                <w:sz w:val="20"/>
                <w:szCs w:val="20"/>
              </w:rPr>
              <w:t>[8</w:t>
            </w:r>
            <w:r w:rsidR="00A36E4C" w:rsidRPr="00FD697C">
              <w:rPr>
                <w:sz w:val="20"/>
                <w:szCs w:val="20"/>
              </w:rPr>
              <w:t>8</w:t>
            </w:r>
            <w:r w:rsidRPr="00FD697C">
              <w:rPr>
                <w:sz w:val="20"/>
                <w:szCs w:val="20"/>
              </w:rPr>
              <w:t>]</w:t>
            </w:r>
          </w:p>
        </w:tc>
      </w:tr>
    </w:tbl>
    <w:p w14:paraId="751495E5" w14:textId="56A85642" w:rsidR="00CD7E2E" w:rsidRPr="00801161" w:rsidRDefault="007C280A" w:rsidP="00FF2683">
      <w:pPr>
        <w:spacing w:after="0" w:line="240" w:lineRule="auto"/>
        <w:rPr>
          <w:sz w:val="20"/>
          <w:szCs w:val="20"/>
          <w:lang w:eastAsia="ko-KR"/>
        </w:rPr>
      </w:pPr>
      <w:r w:rsidRPr="00801161">
        <w:rPr>
          <w:sz w:val="20"/>
          <w:szCs w:val="20"/>
          <w:lang w:eastAsia="ko-KR"/>
        </w:rPr>
        <w:t xml:space="preserve">*Complementary miRNA, </w:t>
      </w:r>
      <w:r w:rsidRPr="00801161">
        <w:rPr>
          <w:rFonts w:asciiTheme="minorEastAsia" w:hAnsiTheme="minorEastAsia"/>
          <w:sz w:val="20"/>
          <w:szCs w:val="20"/>
          <w:lang w:eastAsia="ko-KR"/>
        </w:rPr>
        <w:t>†</w:t>
      </w:r>
      <w:r w:rsidRPr="00801161">
        <w:rPr>
          <w:sz w:val="20"/>
          <w:szCs w:val="20"/>
          <w:lang w:eastAsia="ko-KR"/>
        </w:rPr>
        <w:t>Upregulation from</w:t>
      </w:r>
      <w:r w:rsidR="00EF1197" w:rsidRPr="00801161">
        <w:rPr>
          <w:sz w:val="20"/>
          <w:szCs w:val="20"/>
          <w:lang w:eastAsia="ko-KR"/>
        </w:rPr>
        <w:t xml:space="preserve"> </w:t>
      </w:r>
      <w:r w:rsidRPr="00FD697C">
        <w:rPr>
          <w:sz w:val="20"/>
          <w:szCs w:val="20"/>
        </w:rPr>
        <w:t>[9</w:t>
      </w:r>
      <w:r w:rsidR="00A36E4C" w:rsidRPr="00FD697C">
        <w:rPr>
          <w:sz w:val="20"/>
          <w:szCs w:val="20"/>
        </w:rPr>
        <w:t>8</w:t>
      </w:r>
      <w:r w:rsidRPr="00FD697C">
        <w:rPr>
          <w:sz w:val="20"/>
          <w:szCs w:val="20"/>
        </w:rPr>
        <w:t>]</w:t>
      </w:r>
      <w:r w:rsidRPr="00801161">
        <w:rPr>
          <w:sz w:val="20"/>
          <w:szCs w:val="20"/>
        </w:rPr>
        <w:t xml:space="preserve"> and downregulation from</w:t>
      </w:r>
      <w:r w:rsidR="00EF1197" w:rsidRPr="00801161">
        <w:rPr>
          <w:sz w:val="20"/>
          <w:szCs w:val="20"/>
        </w:rPr>
        <w:t xml:space="preserve"> </w:t>
      </w:r>
      <w:r w:rsidRPr="00FD697C">
        <w:rPr>
          <w:sz w:val="20"/>
          <w:szCs w:val="20"/>
        </w:rPr>
        <w:t>[8</w:t>
      </w:r>
      <w:r w:rsidR="00895F91" w:rsidRPr="00FD697C">
        <w:rPr>
          <w:sz w:val="20"/>
          <w:szCs w:val="20"/>
        </w:rPr>
        <w:t>8</w:t>
      </w:r>
      <w:r w:rsidRPr="00FD697C">
        <w:rPr>
          <w:sz w:val="20"/>
          <w:szCs w:val="20"/>
        </w:rPr>
        <w:t>]</w:t>
      </w:r>
      <w:r w:rsidRPr="00801161">
        <w:rPr>
          <w:sz w:val="20"/>
          <w:szCs w:val="20"/>
        </w:rPr>
        <w:t xml:space="preserve">, </w:t>
      </w:r>
      <w:r w:rsidRPr="00801161">
        <w:rPr>
          <w:rFonts w:asciiTheme="minorEastAsia" w:hAnsiTheme="minorEastAsia"/>
          <w:sz w:val="20"/>
          <w:szCs w:val="20"/>
          <w:lang w:eastAsia="ko-KR"/>
        </w:rPr>
        <w:t>‡</w:t>
      </w:r>
      <w:r w:rsidR="00627339" w:rsidRPr="00801161">
        <w:rPr>
          <w:sz w:val="20"/>
          <w:szCs w:val="20"/>
          <w:lang w:eastAsia="ko-KR"/>
        </w:rPr>
        <w:t>F</w:t>
      </w:r>
      <w:r w:rsidRPr="00801161">
        <w:rPr>
          <w:sz w:val="20"/>
          <w:szCs w:val="20"/>
          <w:lang w:eastAsia="ko-KR"/>
        </w:rPr>
        <w:t>rom pediatric patients</w:t>
      </w:r>
      <w:r w:rsidR="00EF1197" w:rsidRPr="00801161">
        <w:rPr>
          <w:sz w:val="20"/>
          <w:szCs w:val="20"/>
          <w:lang w:eastAsia="ko-KR"/>
        </w:rPr>
        <w:t xml:space="preserve"> </w:t>
      </w:r>
      <w:r w:rsidRPr="00FD697C">
        <w:rPr>
          <w:sz w:val="20"/>
          <w:szCs w:val="20"/>
          <w:lang w:eastAsia="ko-KR"/>
        </w:rPr>
        <w:t>[</w:t>
      </w:r>
      <w:r w:rsidR="00C47FC3" w:rsidRPr="00FD697C">
        <w:rPr>
          <w:sz w:val="20"/>
          <w:szCs w:val="20"/>
          <w:lang w:eastAsia="ko-KR"/>
        </w:rPr>
        <w:t>10</w:t>
      </w:r>
      <w:r w:rsidR="00895F91" w:rsidRPr="00FD697C">
        <w:rPr>
          <w:sz w:val="20"/>
          <w:szCs w:val="20"/>
          <w:lang w:eastAsia="ko-KR"/>
        </w:rPr>
        <w:t>1</w:t>
      </w:r>
      <w:r w:rsidRPr="00FD697C">
        <w:rPr>
          <w:sz w:val="20"/>
          <w:szCs w:val="20"/>
          <w:lang w:eastAsia="ko-KR"/>
        </w:rPr>
        <w:t>]</w:t>
      </w:r>
    </w:p>
    <w:p w14:paraId="31C75ACB" w14:textId="77777777" w:rsidR="00CD7E2E" w:rsidRPr="00801161" w:rsidRDefault="00CD7E2E" w:rsidP="00FF2683">
      <w:pPr>
        <w:spacing w:line="360" w:lineRule="auto"/>
        <w:jc w:val="both"/>
        <w:rPr>
          <w:rFonts w:eastAsia="DengXian"/>
          <w:szCs w:val="24"/>
        </w:rPr>
      </w:pPr>
    </w:p>
    <w:p w14:paraId="47F2E71A" w14:textId="77777777" w:rsidR="00FF2683" w:rsidRPr="00801161" w:rsidRDefault="00FF2683"/>
    <w:sectPr w:rsidR="00FF2683" w:rsidRPr="00801161" w:rsidSect="00FF2683">
      <w:pgSz w:w="16838" w:h="11906" w:orient="landscape"/>
      <w:pgMar w:top="1440" w:right="1701"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B197B" w14:textId="77777777" w:rsidR="00B33CAE" w:rsidRDefault="00B33CAE" w:rsidP="00F478A1">
      <w:pPr>
        <w:spacing w:after="0" w:line="240" w:lineRule="auto"/>
      </w:pPr>
      <w:r>
        <w:separator/>
      </w:r>
    </w:p>
  </w:endnote>
  <w:endnote w:type="continuationSeparator" w:id="0">
    <w:p w14:paraId="2837BDD6" w14:textId="77777777" w:rsidR="00B33CAE" w:rsidRDefault="00B33CAE" w:rsidP="00F47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Gulim">
    <w:altName w:val="Arial Unicode MS"/>
    <w:panose1 w:val="020B0600000101010101"/>
    <w:charset w:val="81"/>
    <w:family w:val="roman"/>
    <w:notTrueType/>
    <w:pitch w:val="fixed"/>
    <w:sig w:usb0="00000000"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DengXian">
    <w:altName w:val="Arial Unicode MS"/>
    <w:charset w:val="86"/>
    <w:family w:val="auto"/>
    <w:pitch w:val="variable"/>
    <w:sig w:usb0="00000000" w:usb1="38CF7CFA" w:usb2="00000016" w:usb3="00000000" w:csb0="0004000F" w:csb1="00000000"/>
  </w:font>
  <w:font w:name="Dotum">
    <w:altName w:val="Arial Unicode MS"/>
    <w:panose1 w:val="020B0600000101010101"/>
    <w:charset w:val="81"/>
    <w:family w:val="modern"/>
    <w:notTrueType/>
    <w:pitch w:val="fixed"/>
    <w:sig w:usb0="00000000"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7AF31E" w14:textId="77777777" w:rsidR="00B33CAE" w:rsidRDefault="00B33CAE" w:rsidP="00F478A1">
      <w:pPr>
        <w:spacing w:after="0" w:line="240" w:lineRule="auto"/>
      </w:pPr>
      <w:r>
        <w:separator/>
      </w:r>
    </w:p>
  </w:footnote>
  <w:footnote w:type="continuationSeparator" w:id="0">
    <w:p w14:paraId="5E370132" w14:textId="77777777" w:rsidR="00B33CAE" w:rsidRDefault="00B33CAE" w:rsidP="00F478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150D1"/>
    <w:multiLevelType w:val="hybridMultilevel"/>
    <w:tmpl w:val="3E98CD66"/>
    <w:lvl w:ilvl="0" w:tplc="779648FA">
      <w:start w:val="4"/>
      <w:numFmt w:val="decimal"/>
      <w:lvlText w:val="%1."/>
      <w:lvlJc w:val="left"/>
      <w:pPr>
        <w:ind w:left="360" w:hanging="360"/>
      </w:pPr>
      <w:rPr>
        <w:rFonts w:hint="default"/>
      </w:rPr>
    </w:lvl>
    <w:lvl w:ilvl="1" w:tplc="F71C71A8" w:tentative="1">
      <w:start w:val="1"/>
      <w:numFmt w:val="upperLetter"/>
      <w:lvlText w:val="%2."/>
      <w:lvlJc w:val="left"/>
      <w:pPr>
        <w:ind w:left="800" w:hanging="400"/>
      </w:pPr>
    </w:lvl>
    <w:lvl w:ilvl="2" w:tplc="97F2CC6A" w:tentative="1">
      <w:start w:val="1"/>
      <w:numFmt w:val="lowerRoman"/>
      <w:lvlText w:val="%3."/>
      <w:lvlJc w:val="right"/>
      <w:pPr>
        <w:ind w:left="1200" w:hanging="400"/>
      </w:pPr>
    </w:lvl>
    <w:lvl w:ilvl="3" w:tplc="A80A312C" w:tentative="1">
      <w:start w:val="1"/>
      <w:numFmt w:val="decimal"/>
      <w:lvlText w:val="%4."/>
      <w:lvlJc w:val="left"/>
      <w:pPr>
        <w:ind w:left="1600" w:hanging="400"/>
      </w:pPr>
    </w:lvl>
    <w:lvl w:ilvl="4" w:tplc="BC78D838" w:tentative="1">
      <w:start w:val="1"/>
      <w:numFmt w:val="upperLetter"/>
      <w:lvlText w:val="%5."/>
      <w:lvlJc w:val="left"/>
      <w:pPr>
        <w:ind w:left="2000" w:hanging="400"/>
      </w:pPr>
    </w:lvl>
    <w:lvl w:ilvl="5" w:tplc="6A8CF7DC" w:tentative="1">
      <w:start w:val="1"/>
      <w:numFmt w:val="lowerRoman"/>
      <w:lvlText w:val="%6."/>
      <w:lvlJc w:val="right"/>
      <w:pPr>
        <w:ind w:left="2400" w:hanging="400"/>
      </w:pPr>
    </w:lvl>
    <w:lvl w:ilvl="6" w:tplc="5D2CB966" w:tentative="1">
      <w:start w:val="1"/>
      <w:numFmt w:val="decimal"/>
      <w:lvlText w:val="%7."/>
      <w:lvlJc w:val="left"/>
      <w:pPr>
        <w:ind w:left="2800" w:hanging="400"/>
      </w:pPr>
    </w:lvl>
    <w:lvl w:ilvl="7" w:tplc="0818E8EC" w:tentative="1">
      <w:start w:val="1"/>
      <w:numFmt w:val="upperLetter"/>
      <w:lvlText w:val="%8."/>
      <w:lvlJc w:val="left"/>
      <w:pPr>
        <w:ind w:left="3200" w:hanging="400"/>
      </w:pPr>
    </w:lvl>
    <w:lvl w:ilvl="8" w:tplc="5038CBF2" w:tentative="1">
      <w:start w:val="1"/>
      <w:numFmt w:val="lowerRoman"/>
      <w:lvlText w:val="%9."/>
      <w:lvlJc w:val="right"/>
      <w:pPr>
        <w:ind w:left="3600" w:hanging="400"/>
      </w:pPr>
    </w:lvl>
  </w:abstractNum>
  <w:abstractNum w:abstractNumId="1" w15:restartNumberingAfterBreak="0">
    <w:nsid w:val="154C4AA5"/>
    <w:multiLevelType w:val="hybridMultilevel"/>
    <w:tmpl w:val="EF4003DC"/>
    <w:lvl w:ilvl="0" w:tplc="05C6DE9C">
      <w:start w:val="2"/>
      <w:numFmt w:val="decimal"/>
      <w:lvlText w:val="%1"/>
      <w:lvlJc w:val="left"/>
      <w:pPr>
        <w:ind w:left="720" w:hanging="360"/>
      </w:pPr>
      <w:rPr>
        <w:rFonts w:hint="default"/>
      </w:rPr>
    </w:lvl>
    <w:lvl w:ilvl="1" w:tplc="BD9E0834" w:tentative="1">
      <w:start w:val="1"/>
      <w:numFmt w:val="lowerLetter"/>
      <w:lvlText w:val="%2."/>
      <w:lvlJc w:val="left"/>
      <w:pPr>
        <w:ind w:left="1440" w:hanging="360"/>
      </w:pPr>
    </w:lvl>
    <w:lvl w:ilvl="2" w:tplc="3060239C" w:tentative="1">
      <w:start w:val="1"/>
      <w:numFmt w:val="lowerRoman"/>
      <w:lvlText w:val="%3."/>
      <w:lvlJc w:val="right"/>
      <w:pPr>
        <w:ind w:left="2160" w:hanging="180"/>
      </w:pPr>
    </w:lvl>
    <w:lvl w:ilvl="3" w:tplc="982447EE" w:tentative="1">
      <w:start w:val="1"/>
      <w:numFmt w:val="decimal"/>
      <w:lvlText w:val="%4."/>
      <w:lvlJc w:val="left"/>
      <w:pPr>
        <w:ind w:left="2880" w:hanging="360"/>
      </w:pPr>
    </w:lvl>
    <w:lvl w:ilvl="4" w:tplc="C756AE4C" w:tentative="1">
      <w:start w:val="1"/>
      <w:numFmt w:val="lowerLetter"/>
      <w:lvlText w:val="%5."/>
      <w:lvlJc w:val="left"/>
      <w:pPr>
        <w:ind w:left="3600" w:hanging="360"/>
      </w:pPr>
    </w:lvl>
    <w:lvl w:ilvl="5" w:tplc="15968C9C" w:tentative="1">
      <w:start w:val="1"/>
      <w:numFmt w:val="lowerRoman"/>
      <w:lvlText w:val="%6."/>
      <w:lvlJc w:val="right"/>
      <w:pPr>
        <w:ind w:left="4320" w:hanging="180"/>
      </w:pPr>
    </w:lvl>
    <w:lvl w:ilvl="6" w:tplc="A16C3A28" w:tentative="1">
      <w:start w:val="1"/>
      <w:numFmt w:val="decimal"/>
      <w:lvlText w:val="%7."/>
      <w:lvlJc w:val="left"/>
      <w:pPr>
        <w:ind w:left="5040" w:hanging="360"/>
      </w:pPr>
    </w:lvl>
    <w:lvl w:ilvl="7" w:tplc="9A926DBA" w:tentative="1">
      <w:start w:val="1"/>
      <w:numFmt w:val="lowerLetter"/>
      <w:lvlText w:val="%8."/>
      <w:lvlJc w:val="left"/>
      <w:pPr>
        <w:ind w:left="5760" w:hanging="360"/>
      </w:pPr>
    </w:lvl>
    <w:lvl w:ilvl="8" w:tplc="18A6E494" w:tentative="1">
      <w:start w:val="1"/>
      <w:numFmt w:val="lowerRoman"/>
      <w:lvlText w:val="%9."/>
      <w:lvlJc w:val="right"/>
      <w:pPr>
        <w:ind w:left="6480" w:hanging="180"/>
      </w:pPr>
    </w:lvl>
  </w:abstractNum>
  <w:abstractNum w:abstractNumId="2" w15:restartNumberingAfterBreak="0">
    <w:nsid w:val="16346C9A"/>
    <w:multiLevelType w:val="multilevel"/>
    <w:tmpl w:val="47AE4614"/>
    <w:lvl w:ilvl="0">
      <w:start w:val="3"/>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5"/>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 w15:restartNumberingAfterBreak="0">
    <w:nsid w:val="17A71855"/>
    <w:multiLevelType w:val="hybridMultilevel"/>
    <w:tmpl w:val="A4A61B00"/>
    <w:lvl w:ilvl="0" w:tplc="B90EDC80">
      <w:start w:val="1"/>
      <w:numFmt w:val="decimal"/>
      <w:lvlText w:val="%1."/>
      <w:lvlJc w:val="left"/>
      <w:pPr>
        <w:ind w:left="760" w:hanging="360"/>
      </w:pPr>
      <w:rPr>
        <w:rFonts w:hint="default"/>
      </w:rPr>
    </w:lvl>
    <w:lvl w:ilvl="1" w:tplc="A2E2436A" w:tentative="1">
      <w:start w:val="1"/>
      <w:numFmt w:val="upperLetter"/>
      <w:lvlText w:val="%2."/>
      <w:lvlJc w:val="left"/>
      <w:pPr>
        <w:ind w:left="1200" w:hanging="400"/>
      </w:pPr>
    </w:lvl>
    <w:lvl w:ilvl="2" w:tplc="C6F8D1E2" w:tentative="1">
      <w:start w:val="1"/>
      <w:numFmt w:val="lowerRoman"/>
      <w:lvlText w:val="%3."/>
      <w:lvlJc w:val="right"/>
      <w:pPr>
        <w:ind w:left="1600" w:hanging="400"/>
      </w:pPr>
    </w:lvl>
    <w:lvl w:ilvl="3" w:tplc="834C5B9C" w:tentative="1">
      <w:start w:val="1"/>
      <w:numFmt w:val="decimal"/>
      <w:lvlText w:val="%4."/>
      <w:lvlJc w:val="left"/>
      <w:pPr>
        <w:ind w:left="2000" w:hanging="400"/>
      </w:pPr>
    </w:lvl>
    <w:lvl w:ilvl="4" w:tplc="05923634" w:tentative="1">
      <w:start w:val="1"/>
      <w:numFmt w:val="upperLetter"/>
      <w:lvlText w:val="%5."/>
      <w:lvlJc w:val="left"/>
      <w:pPr>
        <w:ind w:left="2400" w:hanging="400"/>
      </w:pPr>
    </w:lvl>
    <w:lvl w:ilvl="5" w:tplc="B816D8E8" w:tentative="1">
      <w:start w:val="1"/>
      <w:numFmt w:val="lowerRoman"/>
      <w:lvlText w:val="%6."/>
      <w:lvlJc w:val="right"/>
      <w:pPr>
        <w:ind w:left="2800" w:hanging="400"/>
      </w:pPr>
    </w:lvl>
    <w:lvl w:ilvl="6" w:tplc="D842E5B4" w:tentative="1">
      <w:start w:val="1"/>
      <w:numFmt w:val="decimal"/>
      <w:lvlText w:val="%7."/>
      <w:lvlJc w:val="left"/>
      <w:pPr>
        <w:ind w:left="3200" w:hanging="400"/>
      </w:pPr>
    </w:lvl>
    <w:lvl w:ilvl="7" w:tplc="AD6E0428" w:tentative="1">
      <w:start w:val="1"/>
      <w:numFmt w:val="upperLetter"/>
      <w:lvlText w:val="%8."/>
      <w:lvlJc w:val="left"/>
      <w:pPr>
        <w:ind w:left="3600" w:hanging="400"/>
      </w:pPr>
    </w:lvl>
    <w:lvl w:ilvl="8" w:tplc="D1D6A890" w:tentative="1">
      <w:start w:val="1"/>
      <w:numFmt w:val="lowerRoman"/>
      <w:lvlText w:val="%9."/>
      <w:lvlJc w:val="right"/>
      <w:pPr>
        <w:ind w:left="4000" w:hanging="400"/>
      </w:pPr>
    </w:lvl>
  </w:abstractNum>
  <w:abstractNum w:abstractNumId="4" w15:restartNumberingAfterBreak="0">
    <w:nsid w:val="1FAF3A5E"/>
    <w:multiLevelType w:val="hybridMultilevel"/>
    <w:tmpl w:val="6262C724"/>
    <w:lvl w:ilvl="0" w:tplc="BEA665FE">
      <w:start w:val="3"/>
      <w:numFmt w:val="bullet"/>
      <w:lvlText w:val=""/>
      <w:lvlJc w:val="left"/>
      <w:pPr>
        <w:ind w:left="760" w:hanging="360"/>
      </w:pPr>
      <w:rPr>
        <w:rFonts w:ascii="Wingdings" w:eastAsiaTheme="majorHAnsi" w:hAnsi="Wingdings" w:cs="Times New Roman" w:hint="default"/>
      </w:rPr>
    </w:lvl>
    <w:lvl w:ilvl="1" w:tplc="32BA5310" w:tentative="1">
      <w:start w:val="1"/>
      <w:numFmt w:val="bullet"/>
      <w:lvlText w:val=""/>
      <w:lvlJc w:val="left"/>
      <w:pPr>
        <w:ind w:left="1200" w:hanging="400"/>
      </w:pPr>
      <w:rPr>
        <w:rFonts w:ascii="Wingdings" w:hAnsi="Wingdings" w:hint="default"/>
      </w:rPr>
    </w:lvl>
    <w:lvl w:ilvl="2" w:tplc="12B64178" w:tentative="1">
      <w:start w:val="1"/>
      <w:numFmt w:val="bullet"/>
      <w:lvlText w:val=""/>
      <w:lvlJc w:val="left"/>
      <w:pPr>
        <w:ind w:left="1600" w:hanging="400"/>
      </w:pPr>
      <w:rPr>
        <w:rFonts w:ascii="Wingdings" w:hAnsi="Wingdings" w:hint="default"/>
      </w:rPr>
    </w:lvl>
    <w:lvl w:ilvl="3" w:tplc="18A264FC" w:tentative="1">
      <w:start w:val="1"/>
      <w:numFmt w:val="bullet"/>
      <w:lvlText w:val=""/>
      <w:lvlJc w:val="left"/>
      <w:pPr>
        <w:ind w:left="2000" w:hanging="400"/>
      </w:pPr>
      <w:rPr>
        <w:rFonts w:ascii="Wingdings" w:hAnsi="Wingdings" w:hint="default"/>
      </w:rPr>
    </w:lvl>
    <w:lvl w:ilvl="4" w:tplc="7124E342" w:tentative="1">
      <w:start w:val="1"/>
      <w:numFmt w:val="bullet"/>
      <w:lvlText w:val=""/>
      <w:lvlJc w:val="left"/>
      <w:pPr>
        <w:ind w:left="2400" w:hanging="400"/>
      </w:pPr>
      <w:rPr>
        <w:rFonts w:ascii="Wingdings" w:hAnsi="Wingdings" w:hint="default"/>
      </w:rPr>
    </w:lvl>
    <w:lvl w:ilvl="5" w:tplc="0AD4EB8C" w:tentative="1">
      <w:start w:val="1"/>
      <w:numFmt w:val="bullet"/>
      <w:lvlText w:val=""/>
      <w:lvlJc w:val="left"/>
      <w:pPr>
        <w:ind w:left="2800" w:hanging="400"/>
      </w:pPr>
      <w:rPr>
        <w:rFonts w:ascii="Wingdings" w:hAnsi="Wingdings" w:hint="default"/>
      </w:rPr>
    </w:lvl>
    <w:lvl w:ilvl="6" w:tplc="EB14E49E" w:tentative="1">
      <w:start w:val="1"/>
      <w:numFmt w:val="bullet"/>
      <w:lvlText w:val=""/>
      <w:lvlJc w:val="left"/>
      <w:pPr>
        <w:ind w:left="3200" w:hanging="400"/>
      </w:pPr>
      <w:rPr>
        <w:rFonts w:ascii="Wingdings" w:hAnsi="Wingdings" w:hint="default"/>
      </w:rPr>
    </w:lvl>
    <w:lvl w:ilvl="7" w:tplc="FC7A61B0" w:tentative="1">
      <w:start w:val="1"/>
      <w:numFmt w:val="bullet"/>
      <w:lvlText w:val=""/>
      <w:lvlJc w:val="left"/>
      <w:pPr>
        <w:ind w:left="3600" w:hanging="400"/>
      </w:pPr>
      <w:rPr>
        <w:rFonts w:ascii="Wingdings" w:hAnsi="Wingdings" w:hint="default"/>
      </w:rPr>
    </w:lvl>
    <w:lvl w:ilvl="8" w:tplc="1348FE4A" w:tentative="1">
      <w:start w:val="1"/>
      <w:numFmt w:val="bullet"/>
      <w:lvlText w:val=""/>
      <w:lvlJc w:val="left"/>
      <w:pPr>
        <w:ind w:left="4000" w:hanging="400"/>
      </w:pPr>
      <w:rPr>
        <w:rFonts w:ascii="Wingdings" w:hAnsi="Wingdings" w:hint="default"/>
      </w:rPr>
    </w:lvl>
  </w:abstractNum>
  <w:abstractNum w:abstractNumId="5" w15:restartNumberingAfterBreak="0">
    <w:nsid w:val="2038330C"/>
    <w:multiLevelType w:val="hybridMultilevel"/>
    <w:tmpl w:val="1EF60DFE"/>
    <w:lvl w:ilvl="0" w:tplc="534E4446">
      <w:start w:val="1"/>
      <w:numFmt w:val="decimal"/>
      <w:lvlText w:val="%1."/>
      <w:lvlJc w:val="left"/>
      <w:pPr>
        <w:ind w:left="800" w:hanging="400"/>
      </w:pPr>
    </w:lvl>
    <w:lvl w:ilvl="1" w:tplc="8678086A" w:tentative="1">
      <w:start w:val="1"/>
      <w:numFmt w:val="upperLetter"/>
      <w:lvlText w:val="%2."/>
      <w:lvlJc w:val="left"/>
      <w:pPr>
        <w:ind w:left="1200" w:hanging="400"/>
      </w:pPr>
    </w:lvl>
    <w:lvl w:ilvl="2" w:tplc="14346466" w:tentative="1">
      <w:start w:val="1"/>
      <w:numFmt w:val="lowerRoman"/>
      <w:lvlText w:val="%3."/>
      <w:lvlJc w:val="right"/>
      <w:pPr>
        <w:ind w:left="1600" w:hanging="400"/>
      </w:pPr>
    </w:lvl>
    <w:lvl w:ilvl="3" w:tplc="3B7EB7F0" w:tentative="1">
      <w:start w:val="1"/>
      <w:numFmt w:val="decimal"/>
      <w:lvlText w:val="%4."/>
      <w:lvlJc w:val="left"/>
      <w:pPr>
        <w:ind w:left="2000" w:hanging="400"/>
      </w:pPr>
    </w:lvl>
    <w:lvl w:ilvl="4" w:tplc="E8DA9F0A" w:tentative="1">
      <w:start w:val="1"/>
      <w:numFmt w:val="upperLetter"/>
      <w:lvlText w:val="%5."/>
      <w:lvlJc w:val="left"/>
      <w:pPr>
        <w:ind w:left="2400" w:hanging="400"/>
      </w:pPr>
    </w:lvl>
    <w:lvl w:ilvl="5" w:tplc="CC42B362" w:tentative="1">
      <w:start w:val="1"/>
      <w:numFmt w:val="lowerRoman"/>
      <w:lvlText w:val="%6."/>
      <w:lvlJc w:val="right"/>
      <w:pPr>
        <w:ind w:left="2800" w:hanging="400"/>
      </w:pPr>
    </w:lvl>
    <w:lvl w:ilvl="6" w:tplc="6D70C60C" w:tentative="1">
      <w:start w:val="1"/>
      <w:numFmt w:val="decimal"/>
      <w:lvlText w:val="%7."/>
      <w:lvlJc w:val="left"/>
      <w:pPr>
        <w:ind w:left="3200" w:hanging="400"/>
      </w:pPr>
    </w:lvl>
    <w:lvl w:ilvl="7" w:tplc="3350D636" w:tentative="1">
      <w:start w:val="1"/>
      <w:numFmt w:val="upperLetter"/>
      <w:lvlText w:val="%8."/>
      <w:lvlJc w:val="left"/>
      <w:pPr>
        <w:ind w:left="3600" w:hanging="400"/>
      </w:pPr>
    </w:lvl>
    <w:lvl w:ilvl="8" w:tplc="898662FC" w:tentative="1">
      <w:start w:val="1"/>
      <w:numFmt w:val="lowerRoman"/>
      <w:lvlText w:val="%9."/>
      <w:lvlJc w:val="right"/>
      <w:pPr>
        <w:ind w:left="4000" w:hanging="400"/>
      </w:pPr>
    </w:lvl>
  </w:abstractNum>
  <w:abstractNum w:abstractNumId="6" w15:restartNumberingAfterBreak="0">
    <w:nsid w:val="22560552"/>
    <w:multiLevelType w:val="hybridMultilevel"/>
    <w:tmpl w:val="4AE6D3F6"/>
    <w:lvl w:ilvl="0" w:tplc="614C10F6">
      <w:start w:val="3"/>
      <w:numFmt w:val="bullet"/>
      <w:lvlText w:val="-"/>
      <w:lvlJc w:val="left"/>
      <w:pPr>
        <w:ind w:left="760" w:hanging="360"/>
      </w:pPr>
      <w:rPr>
        <w:rFonts w:ascii="Times New Roman" w:eastAsiaTheme="minorEastAsia" w:hAnsi="Times New Roman" w:cs="Times New Roman" w:hint="default"/>
      </w:rPr>
    </w:lvl>
    <w:lvl w:ilvl="1" w:tplc="F2621CE6" w:tentative="1">
      <w:start w:val="1"/>
      <w:numFmt w:val="bullet"/>
      <w:lvlText w:val=""/>
      <w:lvlJc w:val="left"/>
      <w:pPr>
        <w:ind w:left="1200" w:hanging="400"/>
      </w:pPr>
      <w:rPr>
        <w:rFonts w:ascii="Wingdings" w:hAnsi="Wingdings" w:hint="default"/>
      </w:rPr>
    </w:lvl>
    <w:lvl w:ilvl="2" w:tplc="F2AE7F4C" w:tentative="1">
      <w:start w:val="1"/>
      <w:numFmt w:val="bullet"/>
      <w:lvlText w:val=""/>
      <w:lvlJc w:val="left"/>
      <w:pPr>
        <w:ind w:left="1600" w:hanging="400"/>
      </w:pPr>
      <w:rPr>
        <w:rFonts w:ascii="Wingdings" w:hAnsi="Wingdings" w:hint="default"/>
      </w:rPr>
    </w:lvl>
    <w:lvl w:ilvl="3" w:tplc="E62CBDEA" w:tentative="1">
      <w:start w:val="1"/>
      <w:numFmt w:val="bullet"/>
      <w:lvlText w:val=""/>
      <w:lvlJc w:val="left"/>
      <w:pPr>
        <w:ind w:left="2000" w:hanging="400"/>
      </w:pPr>
      <w:rPr>
        <w:rFonts w:ascii="Wingdings" w:hAnsi="Wingdings" w:hint="default"/>
      </w:rPr>
    </w:lvl>
    <w:lvl w:ilvl="4" w:tplc="410A9FCA" w:tentative="1">
      <w:start w:val="1"/>
      <w:numFmt w:val="bullet"/>
      <w:lvlText w:val=""/>
      <w:lvlJc w:val="left"/>
      <w:pPr>
        <w:ind w:left="2400" w:hanging="400"/>
      </w:pPr>
      <w:rPr>
        <w:rFonts w:ascii="Wingdings" w:hAnsi="Wingdings" w:hint="default"/>
      </w:rPr>
    </w:lvl>
    <w:lvl w:ilvl="5" w:tplc="A1BEA034" w:tentative="1">
      <w:start w:val="1"/>
      <w:numFmt w:val="bullet"/>
      <w:lvlText w:val=""/>
      <w:lvlJc w:val="left"/>
      <w:pPr>
        <w:ind w:left="2800" w:hanging="400"/>
      </w:pPr>
      <w:rPr>
        <w:rFonts w:ascii="Wingdings" w:hAnsi="Wingdings" w:hint="default"/>
      </w:rPr>
    </w:lvl>
    <w:lvl w:ilvl="6" w:tplc="6C427914" w:tentative="1">
      <w:start w:val="1"/>
      <w:numFmt w:val="bullet"/>
      <w:lvlText w:val=""/>
      <w:lvlJc w:val="left"/>
      <w:pPr>
        <w:ind w:left="3200" w:hanging="400"/>
      </w:pPr>
      <w:rPr>
        <w:rFonts w:ascii="Wingdings" w:hAnsi="Wingdings" w:hint="default"/>
      </w:rPr>
    </w:lvl>
    <w:lvl w:ilvl="7" w:tplc="7DB89DA2" w:tentative="1">
      <w:start w:val="1"/>
      <w:numFmt w:val="bullet"/>
      <w:lvlText w:val=""/>
      <w:lvlJc w:val="left"/>
      <w:pPr>
        <w:ind w:left="3600" w:hanging="400"/>
      </w:pPr>
      <w:rPr>
        <w:rFonts w:ascii="Wingdings" w:hAnsi="Wingdings" w:hint="default"/>
      </w:rPr>
    </w:lvl>
    <w:lvl w:ilvl="8" w:tplc="C30AD900" w:tentative="1">
      <w:start w:val="1"/>
      <w:numFmt w:val="bullet"/>
      <w:lvlText w:val=""/>
      <w:lvlJc w:val="left"/>
      <w:pPr>
        <w:ind w:left="4000" w:hanging="400"/>
      </w:pPr>
      <w:rPr>
        <w:rFonts w:ascii="Wingdings" w:hAnsi="Wingdings" w:hint="default"/>
      </w:rPr>
    </w:lvl>
  </w:abstractNum>
  <w:abstractNum w:abstractNumId="7" w15:restartNumberingAfterBreak="0">
    <w:nsid w:val="307B2AF3"/>
    <w:multiLevelType w:val="multilevel"/>
    <w:tmpl w:val="C3D8D33C"/>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709042C"/>
    <w:multiLevelType w:val="hybridMultilevel"/>
    <w:tmpl w:val="6572319A"/>
    <w:lvl w:ilvl="0" w:tplc="4BEE5880">
      <w:start w:val="1"/>
      <w:numFmt w:val="decimal"/>
      <w:lvlText w:val="%1."/>
      <w:lvlJc w:val="left"/>
      <w:pPr>
        <w:ind w:left="502" w:hanging="360"/>
      </w:pPr>
      <w:rPr>
        <w:rFonts w:hint="default"/>
      </w:rPr>
    </w:lvl>
    <w:lvl w:ilvl="1" w:tplc="8550EF08" w:tentative="1">
      <w:start w:val="1"/>
      <w:numFmt w:val="upperLetter"/>
      <w:lvlText w:val="%2."/>
      <w:lvlJc w:val="left"/>
      <w:pPr>
        <w:ind w:left="942" w:hanging="400"/>
      </w:pPr>
    </w:lvl>
    <w:lvl w:ilvl="2" w:tplc="A91C083C" w:tentative="1">
      <w:start w:val="1"/>
      <w:numFmt w:val="lowerRoman"/>
      <w:lvlText w:val="%3."/>
      <w:lvlJc w:val="right"/>
      <w:pPr>
        <w:ind w:left="1342" w:hanging="400"/>
      </w:pPr>
    </w:lvl>
    <w:lvl w:ilvl="3" w:tplc="5FFA7C3A" w:tentative="1">
      <w:start w:val="1"/>
      <w:numFmt w:val="decimal"/>
      <w:lvlText w:val="%4."/>
      <w:lvlJc w:val="left"/>
      <w:pPr>
        <w:ind w:left="1742" w:hanging="400"/>
      </w:pPr>
    </w:lvl>
    <w:lvl w:ilvl="4" w:tplc="4F165B5E" w:tentative="1">
      <w:start w:val="1"/>
      <w:numFmt w:val="upperLetter"/>
      <w:lvlText w:val="%5."/>
      <w:lvlJc w:val="left"/>
      <w:pPr>
        <w:ind w:left="2142" w:hanging="400"/>
      </w:pPr>
    </w:lvl>
    <w:lvl w:ilvl="5" w:tplc="9800C21C" w:tentative="1">
      <w:start w:val="1"/>
      <w:numFmt w:val="lowerRoman"/>
      <w:lvlText w:val="%6."/>
      <w:lvlJc w:val="right"/>
      <w:pPr>
        <w:ind w:left="2542" w:hanging="400"/>
      </w:pPr>
    </w:lvl>
    <w:lvl w:ilvl="6" w:tplc="55FE57DC" w:tentative="1">
      <w:start w:val="1"/>
      <w:numFmt w:val="decimal"/>
      <w:lvlText w:val="%7."/>
      <w:lvlJc w:val="left"/>
      <w:pPr>
        <w:ind w:left="2942" w:hanging="400"/>
      </w:pPr>
    </w:lvl>
    <w:lvl w:ilvl="7" w:tplc="12407900" w:tentative="1">
      <w:start w:val="1"/>
      <w:numFmt w:val="upperLetter"/>
      <w:lvlText w:val="%8."/>
      <w:lvlJc w:val="left"/>
      <w:pPr>
        <w:ind w:left="3342" w:hanging="400"/>
      </w:pPr>
    </w:lvl>
    <w:lvl w:ilvl="8" w:tplc="62DADAF2" w:tentative="1">
      <w:start w:val="1"/>
      <w:numFmt w:val="lowerRoman"/>
      <w:lvlText w:val="%9."/>
      <w:lvlJc w:val="right"/>
      <w:pPr>
        <w:ind w:left="3742" w:hanging="400"/>
      </w:pPr>
    </w:lvl>
  </w:abstractNum>
  <w:abstractNum w:abstractNumId="9" w15:restartNumberingAfterBreak="0">
    <w:nsid w:val="3B1C6EDE"/>
    <w:multiLevelType w:val="hybridMultilevel"/>
    <w:tmpl w:val="F5C08348"/>
    <w:lvl w:ilvl="0" w:tplc="4880C20E">
      <w:start w:val="1"/>
      <w:numFmt w:val="decimal"/>
      <w:lvlText w:val="%1."/>
      <w:lvlJc w:val="left"/>
      <w:pPr>
        <w:ind w:left="397" w:hanging="397"/>
      </w:pPr>
      <w:rPr>
        <w:rFonts w:hint="eastAsia"/>
      </w:rPr>
    </w:lvl>
    <w:lvl w:ilvl="1" w:tplc="4530D3B4" w:tentative="1">
      <w:start w:val="1"/>
      <w:numFmt w:val="upperLetter"/>
      <w:lvlText w:val="%2."/>
      <w:lvlJc w:val="left"/>
      <w:pPr>
        <w:ind w:left="1200" w:hanging="400"/>
      </w:pPr>
    </w:lvl>
    <w:lvl w:ilvl="2" w:tplc="3B5241C4" w:tentative="1">
      <w:start w:val="1"/>
      <w:numFmt w:val="lowerRoman"/>
      <w:lvlText w:val="%3."/>
      <w:lvlJc w:val="right"/>
      <w:pPr>
        <w:ind w:left="1600" w:hanging="400"/>
      </w:pPr>
    </w:lvl>
    <w:lvl w:ilvl="3" w:tplc="5CBAA24A" w:tentative="1">
      <w:start w:val="1"/>
      <w:numFmt w:val="decimal"/>
      <w:lvlText w:val="%4."/>
      <w:lvlJc w:val="left"/>
      <w:pPr>
        <w:ind w:left="2000" w:hanging="400"/>
      </w:pPr>
    </w:lvl>
    <w:lvl w:ilvl="4" w:tplc="71BEF7A0" w:tentative="1">
      <w:start w:val="1"/>
      <w:numFmt w:val="upperLetter"/>
      <w:lvlText w:val="%5."/>
      <w:lvlJc w:val="left"/>
      <w:pPr>
        <w:ind w:left="2400" w:hanging="400"/>
      </w:pPr>
    </w:lvl>
    <w:lvl w:ilvl="5" w:tplc="49361B14" w:tentative="1">
      <w:start w:val="1"/>
      <w:numFmt w:val="lowerRoman"/>
      <w:lvlText w:val="%6."/>
      <w:lvlJc w:val="right"/>
      <w:pPr>
        <w:ind w:left="2800" w:hanging="400"/>
      </w:pPr>
    </w:lvl>
    <w:lvl w:ilvl="6" w:tplc="51FA62AC" w:tentative="1">
      <w:start w:val="1"/>
      <w:numFmt w:val="decimal"/>
      <w:lvlText w:val="%7."/>
      <w:lvlJc w:val="left"/>
      <w:pPr>
        <w:ind w:left="3200" w:hanging="400"/>
      </w:pPr>
    </w:lvl>
    <w:lvl w:ilvl="7" w:tplc="D5026954" w:tentative="1">
      <w:start w:val="1"/>
      <w:numFmt w:val="upperLetter"/>
      <w:lvlText w:val="%8."/>
      <w:lvlJc w:val="left"/>
      <w:pPr>
        <w:ind w:left="3600" w:hanging="400"/>
      </w:pPr>
    </w:lvl>
    <w:lvl w:ilvl="8" w:tplc="1A70A19E" w:tentative="1">
      <w:start w:val="1"/>
      <w:numFmt w:val="lowerRoman"/>
      <w:lvlText w:val="%9."/>
      <w:lvlJc w:val="right"/>
      <w:pPr>
        <w:ind w:left="4000" w:hanging="400"/>
      </w:pPr>
    </w:lvl>
  </w:abstractNum>
  <w:abstractNum w:abstractNumId="10" w15:restartNumberingAfterBreak="0">
    <w:nsid w:val="3C6C45A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15:restartNumberingAfterBreak="0">
    <w:nsid w:val="457A0C66"/>
    <w:multiLevelType w:val="multilevel"/>
    <w:tmpl w:val="BEE03F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DB13BA4"/>
    <w:multiLevelType w:val="hybridMultilevel"/>
    <w:tmpl w:val="A4ACC748"/>
    <w:lvl w:ilvl="0" w:tplc="E91699A6">
      <w:start w:val="1"/>
      <w:numFmt w:val="decimal"/>
      <w:lvlText w:val="%1."/>
      <w:lvlJc w:val="left"/>
      <w:pPr>
        <w:ind w:left="760" w:hanging="360"/>
      </w:pPr>
      <w:rPr>
        <w:rFonts w:hint="default"/>
      </w:rPr>
    </w:lvl>
    <w:lvl w:ilvl="1" w:tplc="02C20C76" w:tentative="1">
      <w:start w:val="1"/>
      <w:numFmt w:val="upperLetter"/>
      <w:lvlText w:val="%2."/>
      <w:lvlJc w:val="left"/>
      <w:pPr>
        <w:ind w:left="1200" w:hanging="400"/>
      </w:pPr>
    </w:lvl>
    <w:lvl w:ilvl="2" w:tplc="56FA199E" w:tentative="1">
      <w:start w:val="1"/>
      <w:numFmt w:val="lowerRoman"/>
      <w:lvlText w:val="%3."/>
      <w:lvlJc w:val="right"/>
      <w:pPr>
        <w:ind w:left="1600" w:hanging="400"/>
      </w:pPr>
    </w:lvl>
    <w:lvl w:ilvl="3" w:tplc="1D36EB7C" w:tentative="1">
      <w:start w:val="1"/>
      <w:numFmt w:val="decimal"/>
      <w:lvlText w:val="%4."/>
      <w:lvlJc w:val="left"/>
      <w:pPr>
        <w:ind w:left="2000" w:hanging="400"/>
      </w:pPr>
    </w:lvl>
    <w:lvl w:ilvl="4" w:tplc="8A8454C0" w:tentative="1">
      <w:start w:val="1"/>
      <w:numFmt w:val="upperLetter"/>
      <w:lvlText w:val="%5."/>
      <w:lvlJc w:val="left"/>
      <w:pPr>
        <w:ind w:left="2400" w:hanging="400"/>
      </w:pPr>
    </w:lvl>
    <w:lvl w:ilvl="5" w:tplc="D352920A" w:tentative="1">
      <w:start w:val="1"/>
      <w:numFmt w:val="lowerRoman"/>
      <w:lvlText w:val="%6."/>
      <w:lvlJc w:val="right"/>
      <w:pPr>
        <w:ind w:left="2800" w:hanging="400"/>
      </w:pPr>
    </w:lvl>
    <w:lvl w:ilvl="6" w:tplc="FC9A46A6" w:tentative="1">
      <w:start w:val="1"/>
      <w:numFmt w:val="decimal"/>
      <w:lvlText w:val="%7."/>
      <w:lvlJc w:val="left"/>
      <w:pPr>
        <w:ind w:left="3200" w:hanging="400"/>
      </w:pPr>
    </w:lvl>
    <w:lvl w:ilvl="7" w:tplc="BC0A7BCC" w:tentative="1">
      <w:start w:val="1"/>
      <w:numFmt w:val="upperLetter"/>
      <w:lvlText w:val="%8."/>
      <w:lvlJc w:val="left"/>
      <w:pPr>
        <w:ind w:left="3600" w:hanging="400"/>
      </w:pPr>
    </w:lvl>
    <w:lvl w:ilvl="8" w:tplc="A1BC1F1A" w:tentative="1">
      <w:start w:val="1"/>
      <w:numFmt w:val="lowerRoman"/>
      <w:lvlText w:val="%9."/>
      <w:lvlJc w:val="right"/>
      <w:pPr>
        <w:ind w:left="4000" w:hanging="400"/>
      </w:pPr>
    </w:lvl>
  </w:abstractNum>
  <w:abstractNum w:abstractNumId="13" w15:restartNumberingAfterBreak="0">
    <w:nsid w:val="4F290E5D"/>
    <w:multiLevelType w:val="hybridMultilevel"/>
    <w:tmpl w:val="64A0D5F4"/>
    <w:lvl w:ilvl="0" w:tplc="91A4B440">
      <w:start w:val="1"/>
      <w:numFmt w:val="bullet"/>
      <w:lvlText w:val=""/>
      <w:lvlJc w:val="left"/>
      <w:pPr>
        <w:ind w:left="900" w:hanging="400"/>
      </w:pPr>
      <w:rPr>
        <w:rFonts w:ascii="Wingdings" w:hAnsi="Wingdings" w:hint="default"/>
      </w:rPr>
    </w:lvl>
    <w:lvl w:ilvl="1" w:tplc="7D709E08">
      <w:start w:val="1"/>
      <w:numFmt w:val="bullet"/>
      <w:lvlText w:val=""/>
      <w:lvlJc w:val="left"/>
      <w:pPr>
        <w:ind w:left="1300" w:hanging="400"/>
      </w:pPr>
      <w:rPr>
        <w:rFonts w:ascii="Wingdings" w:hAnsi="Wingdings" w:hint="default"/>
      </w:rPr>
    </w:lvl>
    <w:lvl w:ilvl="2" w:tplc="3C446816">
      <w:start w:val="1"/>
      <w:numFmt w:val="bullet"/>
      <w:lvlText w:val=""/>
      <w:lvlJc w:val="left"/>
      <w:pPr>
        <w:ind w:left="1700" w:hanging="400"/>
      </w:pPr>
      <w:rPr>
        <w:rFonts w:ascii="Wingdings" w:hAnsi="Wingdings" w:hint="default"/>
      </w:rPr>
    </w:lvl>
    <w:lvl w:ilvl="3" w:tplc="79A2C8AA">
      <w:start w:val="1"/>
      <w:numFmt w:val="bullet"/>
      <w:lvlText w:val=""/>
      <w:lvlJc w:val="left"/>
      <w:pPr>
        <w:ind w:left="2100" w:hanging="400"/>
      </w:pPr>
      <w:rPr>
        <w:rFonts w:ascii="Wingdings" w:hAnsi="Wingdings" w:hint="default"/>
      </w:rPr>
    </w:lvl>
    <w:lvl w:ilvl="4" w:tplc="A3183D50">
      <w:start w:val="1"/>
      <w:numFmt w:val="bullet"/>
      <w:lvlText w:val=""/>
      <w:lvlJc w:val="left"/>
      <w:pPr>
        <w:ind w:left="2500" w:hanging="400"/>
      </w:pPr>
      <w:rPr>
        <w:rFonts w:ascii="Wingdings" w:hAnsi="Wingdings" w:hint="default"/>
      </w:rPr>
    </w:lvl>
    <w:lvl w:ilvl="5" w:tplc="97F88010">
      <w:start w:val="1"/>
      <w:numFmt w:val="bullet"/>
      <w:lvlText w:val=""/>
      <w:lvlJc w:val="left"/>
      <w:pPr>
        <w:ind w:left="2900" w:hanging="400"/>
      </w:pPr>
      <w:rPr>
        <w:rFonts w:ascii="Wingdings" w:hAnsi="Wingdings" w:hint="default"/>
      </w:rPr>
    </w:lvl>
    <w:lvl w:ilvl="6" w:tplc="6DF4BF24">
      <w:start w:val="1"/>
      <w:numFmt w:val="bullet"/>
      <w:lvlText w:val=""/>
      <w:lvlJc w:val="left"/>
      <w:pPr>
        <w:ind w:left="3300" w:hanging="400"/>
      </w:pPr>
      <w:rPr>
        <w:rFonts w:ascii="Wingdings" w:hAnsi="Wingdings" w:hint="default"/>
      </w:rPr>
    </w:lvl>
    <w:lvl w:ilvl="7" w:tplc="4DF637C2">
      <w:start w:val="1"/>
      <w:numFmt w:val="bullet"/>
      <w:lvlText w:val=""/>
      <w:lvlJc w:val="left"/>
      <w:pPr>
        <w:ind w:left="3700" w:hanging="400"/>
      </w:pPr>
      <w:rPr>
        <w:rFonts w:ascii="Wingdings" w:hAnsi="Wingdings" w:hint="default"/>
      </w:rPr>
    </w:lvl>
    <w:lvl w:ilvl="8" w:tplc="7F044B98">
      <w:start w:val="1"/>
      <w:numFmt w:val="bullet"/>
      <w:lvlText w:val=""/>
      <w:lvlJc w:val="left"/>
      <w:pPr>
        <w:ind w:left="4100" w:hanging="400"/>
      </w:pPr>
      <w:rPr>
        <w:rFonts w:ascii="Wingdings" w:hAnsi="Wingdings" w:hint="default"/>
      </w:rPr>
    </w:lvl>
  </w:abstractNum>
  <w:abstractNum w:abstractNumId="14" w15:restartNumberingAfterBreak="0">
    <w:nsid w:val="4F6A63B9"/>
    <w:multiLevelType w:val="hybridMultilevel"/>
    <w:tmpl w:val="DCAA2A56"/>
    <w:lvl w:ilvl="0" w:tplc="FD7AD840">
      <w:start w:val="1"/>
      <w:numFmt w:val="decimal"/>
      <w:lvlText w:val="%1)"/>
      <w:lvlJc w:val="left"/>
      <w:pPr>
        <w:ind w:left="480" w:hanging="360"/>
      </w:pPr>
      <w:rPr>
        <w:rFonts w:eastAsiaTheme="majorHAnsi" w:hint="default"/>
        <w:b/>
      </w:rPr>
    </w:lvl>
    <w:lvl w:ilvl="1" w:tplc="ADAAEDE0">
      <w:start w:val="1"/>
      <w:numFmt w:val="upperLetter"/>
      <w:lvlText w:val="%2."/>
      <w:lvlJc w:val="left"/>
      <w:pPr>
        <w:ind w:left="920" w:hanging="400"/>
      </w:pPr>
    </w:lvl>
    <w:lvl w:ilvl="2" w:tplc="6E7E4B24" w:tentative="1">
      <w:start w:val="1"/>
      <w:numFmt w:val="lowerRoman"/>
      <w:lvlText w:val="%3."/>
      <w:lvlJc w:val="right"/>
      <w:pPr>
        <w:ind w:left="1320" w:hanging="400"/>
      </w:pPr>
    </w:lvl>
    <w:lvl w:ilvl="3" w:tplc="379225D6" w:tentative="1">
      <w:start w:val="1"/>
      <w:numFmt w:val="decimal"/>
      <w:lvlText w:val="%4."/>
      <w:lvlJc w:val="left"/>
      <w:pPr>
        <w:ind w:left="1720" w:hanging="400"/>
      </w:pPr>
    </w:lvl>
    <w:lvl w:ilvl="4" w:tplc="CBC4D6F0" w:tentative="1">
      <w:start w:val="1"/>
      <w:numFmt w:val="upperLetter"/>
      <w:lvlText w:val="%5."/>
      <w:lvlJc w:val="left"/>
      <w:pPr>
        <w:ind w:left="2120" w:hanging="400"/>
      </w:pPr>
    </w:lvl>
    <w:lvl w:ilvl="5" w:tplc="6CD22A2A" w:tentative="1">
      <w:start w:val="1"/>
      <w:numFmt w:val="lowerRoman"/>
      <w:lvlText w:val="%6."/>
      <w:lvlJc w:val="right"/>
      <w:pPr>
        <w:ind w:left="2520" w:hanging="400"/>
      </w:pPr>
    </w:lvl>
    <w:lvl w:ilvl="6" w:tplc="DA7A39F8" w:tentative="1">
      <w:start w:val="1"/>
      <w:numFmt w:val="decimal"/>
      <w:lvlText w:val="%7."/>
      <w:lvlJc w:val="left"/>
      <w:pPr>
        <w:ind w:left="2920" w:hanging="400"/>
      </w:pPr>
    </w:lvl>
    <w:lvl w:ilvl="7" w:tplc="5C0A6676" w:tentative="1">
      <w:start w:val="1"/>
      <w:numFmt w:val="upperLetter"/>
      <w:lvlText w:val="%8."/>
      <w:lvlJc w:val="left"/>
      <w:pPr>
        <w:ind w:left="3320" w:hanging="400"/>
      </w:pPr>
    </w:lvl>
    <w:lvl w:ilvl="8" w:tplc="3F02C19C" w:tentative="1">
      <w:start w:val="1"/>
      <w:numFmt w:val="lowerRoman"/>
      <w:lvlText w:val="%9."/>
      <w:lvlJc w:val="right"/>
      <w:pPr>
        <w:ind w:left="3720" w:hanging="400"/>
      </w:pPr>
    </w:lvl>
  </w:abstractNum>
  <w:abstractNum w:abstractNumId="15" w15:restartNumberingAfterBreak="0">
    <w:nsid w:val="5D4E37E3"/>
    <w:multiLevelType w:val="hybridMultilevel"/>
    <w:tmpl w:val="1E3C58AC"/>
    <w:lvl w:ilvl="0" w:tplc="22E28DEE">
      <w:numFmt w:val="bullet"/>
      <w:lvlText w:val="-"/>
      <w:lvlJc w:val="left"/>
      <w:pPr>
        <w:ind w:left="840" w:hanging="360"/>
      </w:pPr>
      <w:rPr>
        <w:rFonts w:ascii="Arial" w:eastAsiaTheme="majorEastAsia" w:hAnsi="Arial" w:cs="Arial" w:hint="default"/>
      </w:rPr>
    </w:lvl>
    <w:lvl w:ilvl="1" w:tplc="773CD780" w:tentative="1">
      <w:start w:val="1"/>
      <w:numFmt w:val="bullet"/>
      <w:lvlText w:val=""/>
      <w:lvlJc w:val="left"/>
      <w:pPr>
        <w:ind w:left="1440" w:hanging="480"/>
      </w:pPr>
      <w:rPr>
        <w:rFonts w:ascii="Wingdings" w:hAnsi="Wingdings" w:hint="default"/>
      </w:rPr>
    </w:lvl>
    <w:lvl w:ilvl="2" w:tplc="0BAC4732" w:tentative="1">
      <w:start w:val="1"/>
      <w:numFmt w:val="bullet"/>
      <w:lvlText w:val=""/>
      <w:lvlJc w:val="left"/>
      <w:pPr>
        <w:ind w:left="1920" w:hanging="480"/>
      </w:pPr>
      <w:rPr>
        <w:rFonts w:ascii="Wingdings" w:hAnsi="Wingdings" w:hint="default"/>
      </w:rPr>
    </w:lvl>
    <w:lvl w:ilvl="3" w:tplc="A8DC8250" w:tentative="1">
      <w:start w:val="1"/>
      <w:numFmt w:val="bullet"/>
      <w:lvlText w:val=""/>
      <w:lvlJc w:val="left"/>
      <w:pPr>
        <w:ind w:left="2400" w:hanging="480"/>
      </w:pPr>
      <w:rPr>
        <w:rFonts w:ascii="Wingdings" w:hAnsi="Wingdings" w:hint="default"/>
      </w:rPr>
    </w:lvl>
    <w:lvl w:ilvl="4" w:tplc="AC44371E" w:tentative="1">
      <w:start w:val="1"/>
      <w:numFmt w:val="bullet"/>
      <w:lvlText w:val=""/>
      <w:lvlJc w:val="left"/>
      <w:pPr>
        <w:ind w:left="2880" w:hanging="480"/>
      </w:pPr>
      <w:rPr>
        <w:rFonts w:ascii="Wingdings" w:hAnsi="Wingdings" w:hint="default"/>
      </w:rPr>
    </w:lvl>
    <w:lvl w:ilvl="5" w:tplc="E7C4ECFE" w:tentative="1">
      <w:start w:val="1"/>
      <w:numFmt w:val="bullet"/>
      <w:lvlText w:val=""/>
      <w:lvlJc w:val="left"/>
      <w:pPr>
        <w:ind w:left="3360" w:hanging="480"/>
      </w:pPr>
      <w:rPr>
        <w:rFonts w:ascii="Wingdings" w:hAnsi="Wingdings" w:hint="default"/>
      </w:rPr>
    </w:lvl>
    <w:lvl w:ilvl="6" w:tplc="800CF4B2" w:tentative="1">
      <w:start w:val="1"/>
      <w:numFmt w:val="bullet"/>
      <w:lvlText w:val=""/>
      <w:lvlJc w:val="left"/>
      <w:pPr>
        <w:ind w:left="3840" w:hanging="480"/>
      </w:pPr>
      <w:rPr>
        <w:rFonts w:ascii="Wingdings" w:hAnsi="Wingdings" w:hint="default"/>
      </w:rPr>
    </w:lvl>
    <w:lvl w:ilvl="7" w:tplc="1B086034" w:tentative="1">
      <w:start w:val="1"/>
      <w:numFmt w:val="bullet"/>
      <w:lvlText w:val=""/>
      <w:lvlJc w:val="left"/>
      <w:pPr>
        <w:ind w:left="4320" w:hanging="480"/>
      </w:pPr>
      <w:rPr>
        <w:rFonts w:ascii="Wingdings" w:hAnsi="Wingdings" w:hint="default"/>
      </w:rPr>
    </w:lvl>
    <w:lvl w:ilvl="8" w:tplc="38CA17E8" w:tentative="1">
      <w:start w:val="1"/>
      <w:numFmt w:val="bullet"/>
      <w:lvlText w:val=""/>
      <w:lvlJc w:val="left"/>
      <w:pPr>
        <w:ind w:left="4800" w:hanging="480"/>
      </w:pPr>
      <w:rPr>
        <w:rFonts w:ascii="Wingdings" w:hAnsi="Wingdings" w:hint="default"/>
      </w:rPr>
    </w:lvl>
  </w:abstractNum>
  <w:abstractNum w:abstractNumId="16" w15:restartNumberingAfterBreak="0">
    <w:nsid w:val="67C406B4"/>
    <w:multiLevelType w:val="hybridMultilevel"/>
    <w:tmpl w:val="625E0C86"/>
    <w:lvl w:ilvl="0" w:tplc="D3947356">
      <w:start w:val="2"/>
      <w:numFmt w:val="decimal"/>
      <w:lvlText w:val="%1"/>
      <w:lvlJc w:val="left"/>
      <w:pPr>
        <w:ind w:left="360" w:hanging="360"/>
      </w:pPr>
      <w:rPr>
        <w:rFonts w:hint="default"/>
      </w:rPr>
    </w:lvl>
    <w:lvl w:ilvl="1" w:tplc="0B1ED202" w:tentative="1">
      <w:start w:val="1"/>
      <w:numFmt w:val="lowerLetter"/>
      <w:lvlText w:val="%2."/>
      <w:lvlJc w:val="left"/>
      <w:pPr>
        <w:ind w:left="1440" w:hanging="360"/>
      </w:pPr>
    </w:lvl>
    <w:lvl w:ilvl="2" w:tplc="3F02B240" w:tentative="1">
      <w:start w:val="1"/>
      <w:numFmt w:val="lowerRoman"/>
      <w:lvlText w:val="%3."/>
      <w:lvlJc w:val="right"/>
      <w:pPr>
        <w:ind w:left="2160" w:hanging="180"/>
      </w:pPr>
    </w:lvl>
    <w:lvl w:ilvl="3" w:tplc="F1DE74BA" w:tentative="1">
      <w:start w:val="1"/>
      <w:numFmt w:val="decimal"/>
      <w:lvlText w:val="%4."/>
      <w:lvlJc w:val="left"/>
      <w:pPr>
        <w:ind w:left="2880" w:hanging="360"/>
      </w:pPr>
    </w:lvl>
    <w:lvl w:ilvl="4" w:tplc="84AE8B56" w:tentative="1">
      <w:start w:val="1"/>
      <w:numFmt w:val="lowerLetter"/>
      <w:lvlText w:val="%5."/>
      <w:lvlJc w:val="left"/>
      <w:pPr>
        <w:ind w:left="3600" w:hanging="360"/>
      </w:pPr>
    </w:lvl>
    <w:lvl w:ilvl="5" w:tplc="EAEE4B42" w:tentative="1">
      <w:start w:val="1"/>
      <w:numFmt w:val="lowerRoman"/>
      <w:lvlText w:val="%6."/>
      <w:lvlJc w:val="right"/>
      <w:pPr>
        <w:ind w:left="4320" w:hanging="180"/>
      </w:pPr>
    </w:lvl>
    <w:lvl w:ilvl="6" w:tplc="A6A6988A" w:tentative="1">
      <w:start w:val="1"/>
      <w:numFmt w:val="decimal"/>
      <w:lvlText w:val="%7."/>
      <w:lvlJc w:val="left"/>
      <w:pPr>
        <w:ind w:left="5040" w:hanging="360"/>
      </w:pPr>
    </w:lvl>
    <w:lvl w:ilvl="7" w:tplc="6B726EBA" w:tentative="1">
      <w:start w:val="1"/>
      <w:numFmt w:val="lowerLetter"/>
      <w:lvlText w:val="%8."/>
      <w:lvlJc w:val="left"/>
      <w:pPr>
        <w:ind w:left="5760" w:hanging="360"/>
      </w:pPr>
    </w:lvl>
    <w:lvl w:ilvl="8" w:tplc="5576F8CE" w:tentative="1">
      <w:start w:val="1"/>
      <w:numFmt w:val="lowerRoman"/>
      <w:lvlText w:val="%9."/>
      <w:lvlJc w:val="right"/>
      <w:pPr>
        <w:ind w:left="6480" w:hanging="180"/>
      </w:pPr>
    </w:lvl>
  </w:abstractNum>
  <w:abstractNum w:abstractNumId="17" w15:restartNumberingAfterBreak="0">
    <w:nsid w:val="6B404A38"/>
    <w:multiLevelType w:val="hybridMultilevel"/>
    <w:tmpl w:val="864EBE36"/>
    <w:lvl w:ilvl="0" w:tplc="5B9E41BA">
      <w:start w:val="4"/>
      <w:numFmt w:val="bullet"/>
      <w:lvlText w:val=""/>
      <w:lvlJc w:val="left"/>
      <w:pPr>
        <w:ind w:left="760" w:hanging="360"/>
      </w:pPr>
      <w:rPr>
        <w:rFonts w:ascii="Wingdings" w:eastAsiaTheme="majorHAnsi" w:hAnsi="Wingdings" w:cs="Times New Roman" w:hint="default"/>
      </w:rPr>
    </w:lvl>
    <w:lvl w:ilvl="1" w:tplc="DAB25958" w:tentative="1">
      <w:start w:val="1"/>
      <w:numFmt w:val="bullet"/>
      <w:lvlText w:val=""/>
      <w:lvlJc w:val="left"/>
      <w:pPr>
        <w:ind w:left="1200" w:hanging="400"/>
      </w:pPr>
      <w:rPr>
        <w:rFonts w:ascii="Wingdings" w:hAnsi="Wingdings" w:hint="default"/>
      </w:rPr>
    </w:lvl>
    <w:lvl w:ilvl="2" w:tplc="01BCE4BA" w:tentative="1">
      <w:start w:val="1"/>
      <w:numFmt w:val="bullet"/>
      <w:lvlText w:val=""/>
      <w:lvlJc w:val="left"/>
      <w:pPr>
        <w:ind w:left="1600" w:hanging="400"/>
      </w:pPr>
      <w:rPr>
        <w:rFonts w:ascii="Wingdings" w:hAnsi="Wingdings" w:hint="default"/>
      </w:rPr>
    </w:lvl>
    <w:lvl w:ilvl="3" w:tplc="2E5E331C" w:tentative="1">
      <w:start w:val="1"/>
      <w:numFmt w:val="bullet"/>
      <w:lvlText w:val=""/>
      <w:lvlJc w:val="left"/>
      <w:pPr>
        <w:ind w:left="2000" w:hanging="400"/>
      </w:pPr>
      <w:rPr>
        <w:rFonts w:ascii="Wingdings" w:hAnsi="Wingdings" w:hint="default"/>
      </w:rPr>
    </w:lvl>
    <w:lvl w:ilvl="4" w:tplc="0C9ABF3C" w:tentative="1">
      <w:start w:val="1"/>
      <w:numFmt w:val="bullet"/>
      <w:lvlText w:val=""/>
      <w:lvlJc w:val="left"/>
      <w:pPr>
        <w:ind w:left="2400" w:hanging="400"/>
      </w:pPr>
      <w:rPr>
        <w:rFonts w:ascii="Wingdings" w:hAnsi="Wingdings" w:hint="default"/>
      </w:rPr>
    </w:lvl>
    <w:lvl w:ilvl="5" w:tplc="E646C558" w:tentative="1">
      <w:start w:val="1"/>
      <w:numFmt w:val="bullet"/>
      <w:lvlText w:val=""/>
      <w:lvlJc w:val="left"/>
      <w:pPr>
        <w:ind w:left="2800" w:hanging="400"/>
      </w:pPr>
      <w:rPr>
        <w:rFonts w:ascii="Wingdings" w:hAnsi="Wingdings" w:hint="default"/>
      </w:rPr>
    </w:lvl>
    <w:lvl w:ilvl="6" w:tplc="766EDD2A" w:tentative="1">
      <w:start w:val="1"/>
      <w:numFmt w:val="bullet"/>
      <w:lvlText w:val=""/>
      <w:lvlJc w:val="left"/>
      <w:pPr>
        <w:ind w:left="3200" w:hanging="400"/>
      </w:pPr>
      <w:rPr>
        <w:rFonts w:ascii="Wingdings" w:hAnsi="Wingdings" w:hint="default"/>
      </w:rPr>
    </w:lvl>
    <w:lvl w:ilvl="7" w:tplc="39CEFA7E" w:tentative="1">
      <w:start w:val="1"/>
      <w:numFmt w:val="bullet"/>
      <w:lvlText w:val=""/>
      <w:lvlJc w:val="left"/>
      <w:pPr>
        <w:ind w:left="3600" w:hanging="400"/>
      </w:pPr>
      <w:rPr>
        <w:rFonts w:ascii="Wingdings" w:hAnsi="Wingdings" w:hint="default"/>
      </w:rPr>
    </w:lvl>
    <w:lvl w:ilvl="8" w:tplc="6C1CD400" w:tentative="1">
      <w:start w:val="1"/>
      <w:numFmt w:val="bullet"/>
      <w:lvlText w:val=""/>
      <w:lvlJc w:val="left"/>
      <w:pPr>
        <w:ind w:left="4000" w:hanging="400"/>
      </w:pPr>
      <w:rPr>
        <w:rFonts w:ascii="Wingdings" w:hAnsi="Wingdings" w:hint="default"/>
      </w:rPr>
    </w:lvl>
  </w:abstractNum>
  <w:abstractNum w:abstractNumId="18" w15:restartNumberingAfterBreak="0">
    <w:nsid w:val="75370C7D"/>
    <w:multiLevelType w:val="hybridMultilevel"/>
    <w:tmpl w:val="D460DE5A"/>
    <w:lvl w:ilvl="0" w:tplc="B1D26302">
      <w:start w:val="1"/>
      <w:numFmt w:val="decimal"/>
      <w:lvlText w:val="%1."/>
      <w:lvlJc w:val="left"/>
      <w:pPr>
        <w:ind w:left="760" w:hanging="360"/>
      </w:pPr>
      <w:rPr>
        <w:rFonts w:hint="default"/>
      </w:rPr>
    </w:lvl>
    <w:lvl w:ilvl="1" w:tplc="CC78955A" w:tentative="1">
      <w:start w:val="1"/>
      <w:numFmt w:val="upperLetter"/>
      <w:lvlText w:val="%2."/>
      <w:lvlJc w:val="left"/>
      <w:pPr>
        <w:ind w:left="1200" w:hanging="400"/>
      </w:pPr>
    </w:lvl>
    <w:lvl w:ilvl="2" w:tplc="2426339E" w:tentative="1">
      <w:start w:val="1"/>
      <w:numFmt w:val="lowerRoman"/>
      <w:lvlText w:val="%3."/>
      <w:lvlJc w:val="right"/>
      <w:pPr>
        <w:ind w:left="1600" w:hanging="400"/>
      </w:pPr>
    </w:lvl>
    <w:lvl w:ilvl="3" w:tplc="AD729A36" w:tentative="1">
      <w:start w:val="1"/>
      <w:numFmt w:val="decimal"/>
      <w:lvlText w:val="%4."/>
      <w:lvlJc w:val="left"/>
      <w:pPr>
        <w:ind w:left="2000" w:hanging="400"/>
      </w:pPr>
    </w:lvl>
    <w:lvl w:ilvl="4" w:tplc="8F38D6B4" w:tentative="1">
      <w:start w:val="1"/>
      <w:numFmt w:val="upperLetter"/>
      <w:lvlText w:val="%5."/>
      <w:lvlJc w:val="left"/>
      <w:pPr>
        <w:ind w:left="2400" w:hanging="400"/>
      </w:pPr>
    </w:lvl>
    <w:lvl w:ilvl="5" w:tplc="42C2921A" w:tentative="1">
      <w:start w:val="1"/>
      <w:numFmt w:val="lowerRoman"/>
      <w:lvlText w:val="%6."/>
      <w:lvlJc w:val="right"/>
      <w:pPr>
        <w:ind w:left="2800" w:hanging="400"/>
      </w:pPr>
    </w:lvl>
    <w:lvl w:ilvl="6" w:tplc="6D66456E" w:tentative="1">
      <w:start w:val="1"/>
      <w:numFmt w:val="decimal"/>
      <w:lvlText w:val="%7."/>
      <w:lvlJc w:val="left"/>
      <w:pPr>
        <w:ind w:left="3200" w:hanging="400"/>
      </w:pPr>
    </w:lvl>
    <w:lvl w:ilvl="7" w:tplc="FBDCCBAA" w:tentative="1">
      <w:start w:val="1"/>
      <w:numFmt w:val="upperLetter"/>
      <w:lvlText w:val="%8."/>
      <w:lvlJc w:val="left"/>
      <w:pPr>
        <w:ind w:left="3600" w:hanging="400"/>
      </w:pPr>
    </w:lvl>
    <w:lvl w:ilvl="8" w:tplc="BC907BA2" w:tentative="1">
      <w:start w:val="1"/>
      <w:numFmt w:val="lowerRoman"/>
      <w:lvlText w:val="%9."/>
      <w:lvlJc w:val="right"/>
      <w:pPr>
        <w:ind w:left="4000" w:hanging="400"/>
      </w:pPr>
    </w:lvl>
  </w:abstractNum>
  <w:abstractNum w:abstractNumId="19" w15:restartNumberingAfterBreak="0">
    <w:nsid w:val="76F731DE"/>
    <w:multiLevelType w:val="multilevel"/>
    <w:tmpl w:val="A0DE02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8E54D93"/>
    <w:multiLevelType w:val="hybridMultilevel"/>
    <w:tmpl w:val="74181E16"/>
    <w:lvl w:ilvl="0" w:tplc="54E0772A">
      <w:start w:val="1"/>
      <w:numFmt w:val="decimal"/>
      <w:lvlText w:val="%1."/>
      <w:lvlJc w:val="left"/>
      <w:pPr>
        <w:ind w:left="400" w:hanging="400"/>
      </w:pPr>
    </w:lvl>
    <w:lvl w:ilvl="1" w:tplc="F14A590C" w:tentative="1">
      <w:start w:val="1"/>
      <w:numFmt w:val="upperLetter"/>
      <w:lvlText w:val="%2."/>
      <w:lvlJc w:val="left"/>
      <w:pPr>
        <w:ind w:left="800" w:hanging="400"/>
      </w:pPr>
    </w:lvl>
    <w:lvl w:ilvl="2" w:tplc="91DAFE6E" w:tentative="1">
      <w:start w:val="1"/>
      <w:numFmt w:val="lowerRoman"/>
      <w:lvlText w:val="%3."/>
      <w:lvlJc w:val="right"/>
      <w:pPr>
        <w:ind w:left="1200" w:hanging="400"/>
      </w:pPr>
    </w:lvl>
    <w:lvl w:ilvl="3" w:tplc="580E9CEC" w:tentative="1">
      <w:start w:val="1"/>
      <w:numFmt w:val="decimal"/>
      <w:lvlText w:val="%4."/>
      <w:lvlJc w:val="left"/>
      <w:pPr>
        <w:ind w:left="1600" w:hanging="400"/>
      </w:pPr>
    </w:lvl>
    <w:lvl w:ilvl="4" w:tplc="A9B2C704" w:tentative="1">
      <w:start w:val="1"/>
      <w:numFmt w:val="upperLetter"/>
      <w:lvlText w:val="%5."/>
      <w:lvlJc w:val="left"/>
      <w:pPr>
        <w:ind w:left="2000" w:hanging="400"/>
      </w:pPr>
    </w:lvl>
    <w:lvl w:ilvl="5" w:tplc="9844ED4A" w:tentative="1">
      <w:start w:val="1"/>
      <w:numFmt w:val="lowerRoman"/>
      <w:lvlText w:val="%6."/>
      <w:lvlJc w:val="right"/>
      <w:pPr>
        <w:ind w:left="2400" w:hanging="400"/>
      </w:pPr>
    </w:lvl>
    <w:lvl w:ilvl="6" w:tplc="EAD21240" w:tentative="1">
      <w:start w:val="1"/>
      <w:numFmt w:val="decimal"/>
      <w:lvlText w:val="%7."/>
      <w:lvlJc w:val="left"/>
      <w:pPr>
        <w:ind w:left="2800" w:hanging="400"/>
      </w:pPr>
    </w:lvl>
    <w:lvl w:ilvl="7" w:tplc="9F5CF65E" w:tentative="1">
      <w:start w:val="1"/>
      <w:numFmt w:val="upperLetter"/>
      <w:lvlText w:val="%8."/>
      <w:lvlJc w:val="left"/>
      <w:pPr>
        <w:ind w:left="3200" w:hanging="400"/>
      </w:pPr>
    </w:lvl>
    <w:lvl w:ilvl="8" w:tplc="3FAAECBE" w:tentative="1">
      <w:start w:val="1"/>
      <w:numFmt w:val="lowerRoman"/>
      <w:lvlText w:val="%9."/>
      <w:lvlJc w:val="right"/>
      <w:pPr>
        <w:ind w:left="3600" w:hanging="400"/>
      </w:pPr>
    </w:lvl>
  </w:abstractNum>
  <w:abstractNum w:abstractNumId="21" w15:restartNumberingAfterBreak="0">
    <w:nsid w:val="7D377E3C"/>
    <w:multiLevelType w:val="hybridMultilevel"/>
    <w:tmpl w:val="FE64FDB6"/>
    <w:lvl w:ilvl="0" w:tplc="B18A77FE">
      <w:start w:val="4"/>
      <w:numFmt w:val="decimal"/>
      <w:lvlText w:val="%1."/>
      <w:lvlJc w:val="left"/>
      <w:pPr>
        <w:ind w:left="760" w:hanging="360"/>
      </w:pPr>
      <w:rPr>
        <w:rFonts w:hint="default"/>
      </w:rPr>
    </w:lvl>
    <w:lvl w:ilvl="1" w:tplc="B8FADCF2" w:tentative="1">
      <w:start w:val="1"/>
      <w:numFmt w:val="upperLetter"/>
      <w:lvlText w:val="%2."/>
      <w:lvlJc w:val="left"/>
      <w:pPr>
        <w:ind w:left="1200" w:hanging="400"/>
      </w:pPr>
    </w:lvl>
    <w:lvl w:ilvl="2" w:tplc="B0BCA078" w:tentative="1">
      <w:start w:val="1"/>
      <w:numFmt w:val="lowerRoman"/>
      <w:lvlText w:val="%3."/>
      <w:lvlJc w:val="right"/>
      <w:pPr>
        <w:ind w:left="1600" w:hanging="400"/>
      </w:pPr>
    </w:lvl>
    <w:lvl w:ilvl="3" w:tplc="BFFC96FE" w:tentative="1">
      <w:start w:val="1"/>
      <w:numFmt w:val="decimal"/>
      <w:lvlText w:val="%4."/>
      <w:lvlJc w:val="left"/>
      <w:pPr>
        <w:ind w:left="2000" w:hanging="400"/>
      </w:pPr>
    </w:lvl>
    <w:lvl w:ilvl="4" w:tplc="3B3E1298" w:tentative="1">
      <w:start w:val="1"/>
      <w:numFmt w:val="upperLetter"/>
      <w:lvlText w:val="%5."/>
      <w:lvlJc w:val="left"/>
      <w:pPr>
        <w:ind w:left="2400" w:hanging="400"/>
      </w:pPr>
    </w:lvl>
    <w:lvl w:ilvl="5" w:tplc="BBAC2F1A" w:tentative="1">
      <w:start w:val="1"/>
      <w:numFmt w:val="lowerRoman"/>
      <w:lvlText w:val="%6."/>
      <w:lvlJc w:val="right"/>
      <w:pPr>
        <w:ind w:left="2800" w:hanging="400"/>
      </w:pPr>
    </w:lvl>
    <w:lvl w:ilvl="6" w:tplc="6DCA58A8" w:tentative="1">
      <w:start w:val="1"/>
      <w:numFmt w:val="decimal"/>
      <w:lvlText w:val="%7."/>
      <w:lvlJc w:val="left"/>
      <w:pPr>
        <w:ind w:left="3200" w:hanging="400"/>
      </w:pPr>
    </w:lvl>
    <w:lvl w:ilvl="7" w:tplc="833058CE" w:tentative="1">
      <w:start w:val="1"/>
      <w:numFmt w:val="upperLetter"/>
      <w:lvlText w:val="%8."/>
      <w:lvlJc w:val="left"/>
      <w:pPr>
        <w:ind w:left="3600" w:hanging="400"/>
      </w:pPr>
    </w:lvl>
    <w:lvl w:ilvl="8" w:tplc="358A6292" w:tentative="1">
      <w:start w:val="1"/>
      <w:numFmt w:val="lowerRoman"/>
      <w:lvlText w:val="%9."/>
      <w:lvlJc w:val="right"/>
      <w:pPr>
        <w:ind w:left="4000" w:hanging="400"/>
      </w:pPr>
    </w:lvl>
  </w:abstractNum>
  <w:abstractNum w:abstractNumId="22" w15:restartNumberingAfterBreak="0">
    <w:nsid w:val="7EA972AF"/>
    <w:multiLevelType w:val="hybridMultilevel"/>
    <w:tmpl w:val="93CEE422"/>
    <w:lvl w:ilvl="0" w:tplc="037050C2">
      <w:start w:val="3"/>
      <w:numFmt w:val="bullet"/>
      <w:lvlText w:val="-"/>
      <w:lvlJc w:val="left"/>
      <w:pPr>
        <w:ind w:left="760" w:hanging="360"/>
      </w:pPr>
      <w:rPr>
        <w:rFonts w:ascii="Times New Roman" w:eastAsiaTheme="minorEastAsia" w:hAnsi="Times New Roman" w:cs="Times New Roman" w:hint="default"/>
      </w:rPr>
    </w:lvl>
    <w:lvl w:ilvl="1" w:tplc="7632E940" w:tentative="1">
      <w:start w:val="1"/>
      <w:numFmt w:val="bullet"/>
      <w:lvlText w:val=""/>
      <w:lvlJc w:val="left"/>
      <w:pPr>
        <w:ind w:left="1200" w:hanging="400"/>
      </w:pPr>
      <w:rPr>
        <w:rFonts w:ascii="Wingdings" w:hAnsi="Wingdings" w:hint="default"/>
      </w:rPr>
    </w:lvl>
    <w:lvl w:ilvl="2" w:tplc="C87A6536" w:tentative="1">
      <w:start w:val="1"/>
      <w:numFmt w:val="bullet"/>
      <w:lvlText w:val=""/>
      <w:lvlJc w:val="left"/>
      <w:pPr>
        <w:ind w:left="1600" w:hanging="400"/>
      </w:pPr>
      <w:rPr>
        <w:rFonts w:ascii="Wingdings" w:hAnsi="Wingdings" w:hint="default"/>
      </w:rPr>
    </w:lvl>
    <w:lvl w:ilvl="3" w:tplc="649E5D90" w:tentative="1">
      <w:start w:val="1"/>
      <w:numFmt w:val="bullet"/>
      <w:lvlText w:val=""/>
      <w:lvlJc w:val="left"/>
      <w:pPr>
        <w:ind w:left="2000" w:hanging="400"/>
      </w:pPr>
      <w:rPr>
        <w:rFonts w:ascii="Wingdings" w:hAnsi="Wingdings" w:hint="default"/>
      </w:rPr>
    </w:lvl>
    <w:lvl w:ilvl="4" w:tplc="F15CE898" w:tentative="1">
      <w:start w:val="1"/>
      <w:numFmt w:val="bullet"/>
      <w:lvlText w:val=""/>
      <w:lvlJc w:val="left"/>
      <w:pPr>
        <w:ind w:left="2400" w:hanging="400"/>
      </w:pPr>
      <w:rPr>
        <w:rFonts w:ascii="Wingdings" w:hAnsi="Wingdings" w:hint="default"/>
      </w:rPr>
    </w:lvl>
    <w:lvl w:ilvl="5" w:tplc="D12AC3B2" w:tentative="1">
      <w:start w:val="1"/>
      <w:numFmt w:val="bullet"/>
      <w:lvlText w:val=""/>
      <w:lvlJc w:val="left"/>
      <w:pPr>
        <w:ind w:left="2800" w:hanging="400"/>
      </w:pPr>
      <w:rPr>
        <w:rFonts w:ascii="Wingdings" w:hAnsi="Wingdings" w:hint="default"/>
      </w:rPr>
    </w:lvl>
    <w:lvl w:ilvl="6" w:tplc="236C5134" w:tentative="1">
      <w:start w:val="1"/>
      <w:numFmt w:val="bullet"/>
      <w:lvlText w:val=""/>
      <w:lvlJc w:val="left"/>
      <w:pPr>
        <w:ind w:left="3200" w:hanging="400"/>
      </w:pPr>
      <w:rPr>
        <w:rFonts w:ascii="Wingdings" w:hAnsi="Wingdings" w:hint="default"/>
      </w:rPr>
    </w:lvl>
    <w:lvl w:ilvl="7" w:tplc="C91E06EA" w:tentative="1">
      <w:start w:val="1"/>
      <w:numFmt w:val="bullet"/>
      <w:lvlText w:val=""/>
      <w:lvlJc w:val="left"/>
      <w:pPr>
        <w:ind w:left="3600" w:hanging="400"/>
      </w:pPr>
      <w:rPr>
        <w:rFonts w:ascii="Wingdings" w:hAnsi="Wingdings" w:hint="default"/>
      </w:rPr>
    </w:lvl>
    <w:lvl w:ilvl="8" w:tplc="AE822C32" w:tentative="1">
      <w:start w:val="1"/>
      <w:numFmt w:val="bullet"/>
      <w:lvlText w:val=""/>
      <w:lvlJc w:val="left"/>
      <w:pPr>
        <w:ind w:left="4000" w:hanging="400"/>
      </w:pPr>
      <w:rPr>
        <w:rFonts w:ascii="Wingdings" w:hAnsi="Wingdings" w:hint="default"/>
      </w:rPr>
    </w:lvl>
  </w:abstractNum>
  <w:num w:numId="1">
    <w:abstractNumId w:val="12"/>
  </w:num>
  <w:num w:numId="2">
    <w:abstractNumId w:val="15"/>
  </w:num>
  <w:num w:numId="3">
    <w:abstractNumId w:val="10"/>
  </w:num>
  <w:num w:numId="4">
    <w:abstractNumId w:val="4"/>
  </w:num>
  <w:num w:numId="5">
    <w:abstractNumId w:val="8"/>
  </w:num>
  <w:num w:numId="6">
    <w:abstractNumId w:val="11"/>
  </w:num>
  <w:num w:numId="7">
    <w:abstractNumId w:val="19"/>
  </w:num>
  <w:num w:numId="8">
    <w:abstractNumId w:val="14"/>
  </w:num>
  <w:num w:numId="9">
    <w:abstractNumId w:val="6"/>
  </w:num>
  <w:num w:numId="10">
    <w:abstractNumId w:val="22"/>
  </w:num>
  <w:num w:numId="11">
    <w:abstractNumId w:val="17"/>
  </w:num>
  <w:num w:numId="12">
    <w:abstractNumId w:val="2"/>
  </w:num>
  <w:num w:numId="13">
    <w:abstractNumId w:val="7"/>
  </w:num>
  <w:num w:numId="14">
    <w:abstractNumId w:val="21"/>
  </w:num>
  <w:num w:numId="15">
    <w:abstractNumId w:val="0"/>
  </w:num>
  <w:num w:numId="16">
    <w:abstractNumId w:val="13"/>
  </w:num>
  <w:num w:numId="17">
    <w:abstractNumId w:val="1"/>
  </w:num>
  <w:num w:numId="18">
    <w:abstractNumId w:val="16"/>
  </w:num>
  <w:num w:numId="19">
    <w:abstractNumId w:val="5"/>
  </w:num>
  <w:num w:numId="20">
    <w:abstractNumId w:val="3"/>
  </w:num>
  <w:num w:numId="21">
    <w:abstractNumId w:val="9"/>
  </w:num>
  <w:num w:numId="22">
    <w:abstractNumId w:val="18"/>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displayBackgroundShape/>
  <w:bordersDoNotSurroundHeader/>
  <w:bordersDoNotSurroundFooter/>
  <w:activeWritingStyle w:appName="MSWord" w:lang="en-US" w:vendorID="64" w:dllVersion="0" w:nlCheck="1" w:checkStyle="0"/>
  <w:activeWritingStyle w:appName="MSWord" w:lang="en-GB" w:vendorID="64" w:dllVersion="0" w:nlCheck="1" w:checkStyle="0"/>
  <w:activeWritingStyle w:appName="MSWord" w:lang="en-US" w:vendorID="64" w:dllVersion="6" w:nlCheck="1" w:checkStyle="0"/>
  <w:activeWritingStyle w:appName="MSWord" w:lang="en-US" w:vendorID="64" w:dllVersion="131078" w:nlCheck="1" w:checkStyle="1"/>
  <w:doNotTrackFormatting/>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intellisampler_rd 13" w:val="13"/>
    <w:docVar w:name="intellisampler_rd 16" w:val="16"/>
    <w:docVar w:name="intellisampler_rd 23" w:val="23"/>
    <w:docVar w:name="intellisampler_rd 28" w:val="28"/>
    <w:docVar w:name="intellisampler_rd 33" w:val="33"/>
    <w:docVar w:name="intellisampler_rd 36" w:val="36"/>
    <w:docVar w:name="intellisampler_rd 38" w:val="38"/>
    <w:docVar w:name="intellisampler_rd 42" w:val="42"/>
    <w:docVar w:name="intellisampler_rd 46" w:val="46"/>
    <w:docVar w:name="intellisampler_rd 60" w:val="60"/>
    <w:docVar w:name="is_review_method" w:val="Normal"/>
    <w:docVar w:name="is_sampling_method" w:val="categorical"/>
  </w:docVars>
  <w:rsids>
    <w:rsidRoot w:val="00CD7E2E"/>
    <w:rsid w:val="0000210D"/>
    <w:rsid w:val="00005BC5"/>
    <w:rsid w:val="00006D0D"/>
    <w:rsid w:val="000074DE"/>
    <w:rsid w:val="00012BB7"/>
    <w:rsid w:val="000366C1"/>
    <w:rsid w:val="00040051"/>
    <w:rsid w:val="00041486"/>
    <w:rsid w:val="00042348"/>
    <w:rsid w:val="000455D2"/>
    <w:rsid w:val="00045F08"/>
    <w:rsid w:val="00056484"/>
    <w:rsid w:val="00060D0B"/>
    <w:rsid w:val="00061422"/>
    <w:rsid w:val="00063DF5"/>
    <w:rsid w:val="00083746"/>
    <w:rsid w:val="0008736A"/>
    <w:rsid w:val="00097C88"/>
    <w:rsid w:val="000A168E"/>
    <w:rsid w:val="000A3D4F"/>
    <w:rsid w:val="000C26AC"/>
    <w:rsid w:val="000D0053"/>
    <w:rsid w:val="000D35D3"/>
    <w:rsid w:val="000D3C66"/>
    <w:rsid w:val="000D5C4E"/>
    <w:rsid w:val="000F0805"/>
    <w:rsid w:val="000F0B4B"/>
    <w:rsid w:val="000F6AF5"/>
    <w:rsid w:val="000F7F0F"/>
    <w:rsid w:val="00104AA8"/>
    <w:rsid w:val="00107C99"/>
    <w:rsid w:val="00110D9C"/>
    <w:rsid w:val="00132812"/>
    <w:rsid w:val="00140887"/>
    <w:rsid w:val="0014685F"/>
    <w:rsid w:val="00153C27"/>
    <w:rsid w:val="00161229"/>
    <w:rsid w:val="00161924"/>
    <w:rsid w:val="001727BB"/>
    <w:rsid w:val="00174B09"/>
    <w:rsid w:val="00192B73"/>
    <w:rsid w:val="00197384"/>
    <w:rsid w:val="001A08F2"/>
    <w:rsid w:val="001A4C53"/>
    <w:rsid w:val="001C132A"/>
    <w:rsid w:val="001C3806"/>
    <w:rsid w:val="001C6D71"/>
    <w:rsid w:val="001F394A"/>
    <w:rsid w:val="00210E31"/>
    <w:rsid w:val="002115CF"/>
    <w:rsid w:val="00234B26"/>
    <w:rsid w:val="002374BD"/>
    <w:rsid w:val="00237D98"/>
    <w:rsid w:val="00243C94"/>
    <w:rsid w:val="0025008D"/>
    <w:rsid w:val="00256A57"/>
    <w:rsid w:val="002653DA"/>
    <w:rsid w:val="00276011"/>
    <w:rsid w:val="002865C6"/>
    <w:rsid w:val="00291808"/>
    <w:rsid w:val="0029180E"/>
    <w:rsid w:val="002A00FE"/>
    <w:rsid w:val="002B31FF"/>
    <w:rsid w:val="002B344A"/>
    <w:rsid w:val="002B63C6"/>
    <w:rsid w:val="002C1CCD"/>
    <w:rsid w:val="002C28D9"/>
    <w:rsid w:val="002C630F"/>
    <w:rsid w:val="002E3CEA"/>
    <w:rsid w:val="002E5F43"/>
    <w:rsid w:val="00301EA4"/>
    <w:rsid w:val="003040D2"/>
    <w:rsid w:val="00314C58"/>
    <w:rsid w:val="00321DB0"/>
    <w:rsid w:val="00322016"/>
    <w:rsid w:val="00331835"/>
    <w:rsid w:val="003431A7"/>
    <w:rsid w:val="00345B27"/>
    <w:rsid w:val="003565CD"/>
    <w:rsid w:val="0036196D"/>
    <w:rsid w:val="00364033"/>
    <w:rsid w:val="003644A5"/>
    <w:rsid w:val="0037200B"/>
    <w:rsid w:val="0037658F"/>
    <w:rsid w:val="0038527F"/>
    <w:rsid w:val="00385CFE"/>
    <w:rsid w:val="0039104D"/>
    <w:rsid w:val="003A135C"/>
    <w:rsid w:val="003A4651"/>
    <w:rsid w:val="003A5514"/>
    <w:rsid w:val="003B3436"/>
    <w:rsid w:val="003C0886"/>
    <w:rsid w:val="003C3CBB"/>
    <w:rsid w:val="003C6E59"/>
    <w:rsid w:val="003D06F8"/>
    <w:rsid w:val="003D5163"/>
    <w:rsid w:val="003F3B59"/>
    <w:rsid w:val="00421E6F"/>
    <w:rsid w:val="00423AC8"/>
    <w:rsid w:val="0043068D"/>
    <w:rsid w:val="00430D02"/>
    <w:rsid w:val="004443A1"/>
    <w:rsid w:val="004546AC"/>
    <w:rsid w:val="00462A55"/>
    <w:rsid w:val="004663A3"/>
    <w:rsid w:val="004736CB"/>
    <w:rsid w:val="00474785"/>
    <w:rsid w:val="00475BEE"/>
    <w:rsid w:val="00475F3B"/>
    <w:rsid w:val="00484C93"/>
    <w:rsid w:val="004859BB"/>
    <w:rsid w:val="00485FEB"/>
    <w:rsid w:val="00494FBF"/>
    <w:rsid w:val="00496887"/>
    <w:rsid w:val="004A11BB"/>
    <w:rsid w:val="004A1376"/>
    <w:rsid w:val="004A73B3"/>
    <w:rsid w:val="004B024C"/>
    <w:rsid w:val="004B53C5"/>
    <w:rsid w:val="004B6949"/>
    <w:rsid w:val="004C4E37"/>
    <w:rsid w:val="004D01E6"/>
    <w:rsid w:val="004F1472"/>
    <w:rsid w:val="004F6306"/>
    <w:rsid w:val="00506030"/>
    <w:rsid w:val="00510B2F"/>
    <w:rsid w:val="00512D2C"/>
    <w:rsid w:val="00514F66"/>
    <w:rsid w:val="00523CD8"/>
    <w:rsid w:val="00531430"/>
    <w:rsid w:val="00531800"/>
    <w:rsid w:val="00531889"/>
    <w:rsid w:val="00533073"/>
    <w:rsid w:val="00544F38"/>
    <w:rsid w:val="005614A6"/>
    <w:rsid w:val="00573446"/>
    <w:rsid w:val="00573FE5"/>
    <w:rsid w:val="00583B50"/>
    <w:rsid w:val="00596958"/>
    <w:rsid w:val="005B015C"/>
    <w:rsid w:val="005B4C93"/>
    <w:rsid w:val="005C61F2"/>
    <w:rsid w:val="005C640B"/>
    <w:rsid w:val="005D1D40"/>
    <w:rsid w:val="005D583E"/>
    <w:rsid w:val="005E02FD"/>
    <w:rsid w:val="005E15F6"/>
    <w:rsid w:val="005E3029"/>
    <w:rsid w:val="005E6071"/>
    <w:rsid w:val="005F4221"/>
    <w:rsid w:val="005F6A42"/>
    <w:rsid w:val="00602E1E"/>
    <w:rsid w:val="0060302F"/>
    <w:rsid w:val="00606702"/>
    <w:rsid w:val="006153CC"/>
    <w:rsid w:val="00627339"/>
    <w:rsid w:val="0062795D"/>
    <w:rsid w:val="006333F4"/>
    <w:rsid w:val="006338D6"/>
    <w:rsid w:val="006416E1"/>
    <w:rsid w:val="00644A9E"/>
    <w:rsid w:val="00645169"/>
    <w:rsid w:val="0065027F"/>
    <w:rsid w:val="00654C6B"/>
    <w:rsid w:val="00657059"/>
    <w:rsid w:val="006603B4"/>
    <w:rsid w:val="006604A5"/>
    <w:rsid w:val="00675137"/>
    <w:rsid w:val="006758B0"/>
    <w:rsid w:val="00682975"/>
    <w:rsid w:val="00684087"/>
    <w:rsid w:val="0068436E"/>
    <w:rsid w:val="006851A9"/>
    <w:rsid w:val="00685713"/>
    <w:rsid w:val="00696FC9"/>
    <w:rsid w:val="006973E5"/>
    <w:rsid w:val="006B3279"/>
    <w:rsid w:val="006B6A90"/>
    <w:rsid w:val="006B7733"/>
    <w:rsid w:val="006C3C4C"/>
    <w:rsid w:val="006C5350"/>
    <w:rsid w:val="006C7523"/>
    <w:rsid w:val="006E164A"/>
    <w:rsid w:val="006F10CD"/>
    <w:rsid w:val="006F179F"/>
    <w:rsid w:val="00702167"/>
    <w:rsid w:val="00703A1B"/>
    <w:rsid w:val="00720842"/>
    <w:rsid w:val="007315B7"/>
    <w:rsid w:val="00741E89"/>
    <w:rsid w:val="007423B1"/>
    <w:rsid w:val="00743F25"/>
    <w:rsid w:val="007542C4"/>
    <w:rsid w:val="00772B12"/>
    <w:rsid w:val="00780803"/>
    <w:rsid w:val="00786BD2"/>
    <w:rsid w:val="007A5DB9"/>
    <w:rsid w:val="007C280A"/>
    <w:rsid w:val="007C42DA"/>
    <w:rsid w:val="007C47B7"/>
    <w:rsid w:val="007D1E05"/>
    <w:rsid w:val="007D33FF"/>
    <w:rsid w:val="007D39AA"/>
    <w:rsid w:val="007E6FB0"/>
    <w:rsid w:val="008004B4"/>
    <w:rsid w:val="00801161"/>
    <w:rsid w:val="00803DEA"/>
    <w:rsid w:val="0080540D"/>
    <w:rsid w:val="008141E7"/>
    <w:rsid w:val="008170A4"/>
    <w:rsid w:val="00821900"/>
    <w:rsid w:val="00822A3C"/>
    <w:rsid w:val="00827E6E"/>
    <w:rsid w:val="00835200"/>
    <w:rsid w:val="00835E52"/>
    <w:rsid w:val="00855748"/>
    <w:rsid w:val="00862041"/>
    <w:rsid w:val="00863BA9"/>
    <w:rsid w:val="00866168"/>
    <w:rsid w:val="00866AEC"/>
    <w:rsid w:val="00870277"/>
    <w:rsid w:val="0088071E"/>
    <w:rsid w:val="00880BB6"/>
    <w:rsid w:val="008817F8"/>
    <w:rsid w:val="0088493F"/>
    <w:rsid w:val="00890CDE"/>
    <w:rsid w:val="00892589"/>
    <w:rsid w:val="00895F91"/>
    <w:rsid w:val="008A5AC6"/>
    <w:rsid w:val="008C129D"/>
    <w:rsid w:val="008C26E5"/>
    <w:rsid w:val="008E28C8"/>
    <w:rsid w:val="008E61AE"/>
    <w:rsid w:val="008F37FB"/>
    <w:rsid w:val="008F7815"/>
    <w:rsid w:val="008F7BBA"/>
    <w:rsid w:val="00906C75"/>
    <w:rsid w:val="0091146A"/>
    <w:rsid w:val="009178AE"/>
    <w:rsid w:val="00942FFE"/>
    <w:rsid w:val="00951D94"/>
    <w:rsid w:val="0096045E"/>
    <w:rsid w:val="00966425"/>
    <w:rsid w:val="00987CE8"/>
    <w:rsid w:val="00996CA2"/>
    <w:rsid w:val="009C7947"/>
    <w:rsid w:val="009D066D"/>
    <w:rsid w:val="009D1EBF"/>
    <w:rsid w:val="009D2F7E"/>
    <w:rsid w:val="009D3B2B"/>
    <w:rsid w:val="009E0BB8"/>
    <w:rsid w:val="009E2C86"/>
    <w:rsid w:val="009E347B"/>
    <w:rsid w:val="009E45B2"/>
    <w:rsid w:val="009F7895"/>
    <w:rsid w:val="00A0112D"/>
    <w:rsid w:val="00A109CE"/>
    <w:rsid w:val="00A32049"/>
    <w:rsid w:val="00A3212F"/>
    <w:rsid w:val="00A341BC"/>
    <w:rsid w:val="00A359AD"/>
    <w:rsid w:val="00A36E4C"/>
    <w:rsid w:val="00A37D8B"/>
    <w:rsid w:val="00A52643"/>
    <w:rsid w:val="00A57ADB"/>
    <w:rsid w:val="00A64AFC"/>
    <w:rsid w:val="00A65D39"/>
    <w:rsid w:val="00A66C69"/>
    <w:rsid w:val="00A73384"/>
    <w:rsid w:val="00A80738"/>
    <w:rsid w:val="00A829AC"/>
    <w:rsid w:val="00AC1BFC"/>
    <w:rsid w:val="00AD1EEC"/>
    <w:rsid w:val="00AD7E4A"/>
    <w:rsid w:val="00AF16A7"/>
    <w:rsid w:val="00B0000A"/>
    <w:rsid w:val="00B028BF"/>
    <w:rsid w:val="00B12925"/>
    <w:rsid w:val="00B14731"/>
    <w:rsid w:val="00B175D3"/>
    <w:rsid w:val="00B2516E"/>
    <w:rsid w:val="00B2668D"/>
    <w:rsid w:val="00B3004E"/>
    <w:rsid w:val="00B33CAE"/>
    <w:rsid w:val="00B434E1"/>
    <w:rsid w:val="00B55D57"/>
    <w:rsid w:val="00B6448F"/>
    <w:rsid w:val="00B664A3"/>
    <w:rsid w:val="00B70308"/>
    <w:rsid w:val="00B72553"/>
    <w:rsid w:val="00B73194"/>
    <w:rsid w:val="00B7782C"/>
    <w:rsid w:val="00B845BF"/>
    <w:rsid w:val="00B955B6"/>
    <w:rsid w:val="00BC06E1"/>
    <w:rsid w:val="00BC2562"/>
    <w:rsid w:val="00BC5F82"/>
    <w:rsid w:val="00BD2E9E"/>
    <w:rsid w:val="00BD4256"/>
    <w:rsid w:val="00BE04DD"/>
    <w:rsid w:val="00BE13CF"/>
    <w:rsid w:val="00BE1CCF"/>
    <w:rsid w:val="00BE30D8"/>
    <w:rsid w:val="00BF3BAC"/>
    <w:rsid w:val="00C11A14"/>
    <w:rsid w:val="00C1468D"/>
    <w:rsid w:val="00C14742"/>
    <w:rsid w:val="00C211E5"/>
    <w:rsid w:val="00C22956"/>
    <w:rsid w:val="00C24485"/>
    <w:rsid w:val="00C27360"/>
    <w:rsid w:val="00C35326"/>
    <w:rsid w:val="00C36602"/>
    <w:rsid w:val="00C4649E"/>
    <w:rsid w:val="00C46E38"/>
    <w:rsid w:val="00C47E89"/>
    <w:rsid w:val="00C47FC3"/>
    <w:rsid w:val="00C56076"/>
    <w:rsid w:val="00C621AA"/>
    <w:rsid w:val="00C67646"/>
    <w:rsid w:val="00C71D1A"/>
    <w:rsid w:val="00C73022"/>
    <w:rsid w:val="00C762DF"/>
    <w:rsid w:val="00C82A8D"/>
    <w:rsid w:val="00C87674"/>
    <w:rsid w:val="00CB43FF"/>
    <w:rsid w:val="00CC18D1"/>
    <w:rsid w:val="00CC31BB"/>
    <w:rsid w:val="00CC3DD9"/>
    <w:rsid w:val="00CD2214"/>
    <w:rsid w:val="00CD2A49"/>
    <w:rsid w:val="00CD66F2"/>
    <w:rsid w:val="00CD73E9"/>
    <w:rsid w:val="00CD7E2E"/>
    <w:rsid w:val="00CE2B7D"/>
    <w:rsid w:val="00CE5993"/>
    <w:rsid w:val="00CF2CB6"/>
    <w:rsid w:val="00CF3CD4"/>
    <w:rsid w:val="00CF3D20"/>
    <w:rsid w:val="00CF485A"/>
    <w:rsid w:val="00CF5BAA"/>
    <w:rsid w:val="00CF6DBA"/>
    <w:rsid w:val="00CF76E7"/>
    <w:rsid w:val="00D02B4E"/>
    <w:rsid w:val="00D04248"/>
    <w:rsid w:val="00D04532"/>
    <w:rsid w:val="00D11C73"/>
    <w:rsid w:val="00D21C41"/>
    <w:rsid w:val="00D22B1F"/>
    <w:rsid w:val="00D24908"/>
    <w:rsid w:val="00D27B0D"/>
    <w:rsid w:val="00D352B8"/>
    <w:rsid w:val="00D43EEE"/>
    <w:rsid w:val="00D44A99"/>
    <w:rsid w:val="00D518B9"/>
    <w:rsid w:val="00D54040"/>
    <w:rsid w:val="00D61232"/>
    <w:rsid w:val="00D61B07"/>
    <w:rsid w:val="00D808A9"/>
    <w:rsid w:val="00D96A35"/>
    <w:rsid w:val="00D96AD3"/>
    <w:rsid w:val="00DA0DC2"/>
    <w:rsid w:val="00DB1961"/>
    <w:rsid w:val="00DB7DB1"/>
    <w:rsid w:val="00DC37C0"/>
    <w:rsid w:val="00DC5483"/>
    <w:rsid w:val="00DC7570"/>
    <w:rsid w:val="00DC7B28"/>
    <w:rsid w:val="00DD39B5"/>
    <w:rsid w:val="00DD5727"/>
    <w:rsid w:val="00DD6711"/>
    <w:rsid w:val="00DE28CF"/>
    <w:rsid w:val="00DE316E"/>
    <w:rsid w:val="00DE3594"/>
    <w:rsid w:val="00DE36A7"/>
    <w:rsid w:val="00DF0752"/>
    <w:rsid w:val="00DF145F"/>
    <w:rsid w:val="00DF77FF"/>
    <w:rsid w:val="00E0223F"/>
    <w:rsid w:val="00E0278B"/>
    <w:rsid w:val="00E02F93"/>
    <w:rsid w:val="00E0493F"/>
    <w:rsid w:val="00E112C1"/>
    <w:rsid w:val="00E1397E"/>
    <w:rsid w:val="00E24DFE"/>
    <w:rsid w:val="00E25D6B"/>
    <w:rsid w:val="00E35BA9"/>
    <w:rsid w:val="00E37212"/>
    <w:rsid w:val="00E37611"/>
    <w:rsid w:val="00E46CD5"/>
    <w:rsid w:val="00E6630C"/>
    <w:rsid w:val="00E70E56"/>
    <w:rsid w:val="00E8296F"/>
    <w:rsid w:val="00E92CB7"/>
    <w:rsid w:val="00EA2366"/>
    <w:rsid w:val="00EA4255"/>
    <w:rsid w:val="00EB0B8A"/>
    <w:rsid w:val="00EC24F3"/>
    <w:rsid w:val="00EC348B"/>
    <w:rsid w:val="00EC62AD"/>
    <w:rsid w:val="00ED55D6"/>
    <w:rsid w:val="00ED5F2F"/>
    <w:rsid w:val="00EF1197"/>
    <w:rsid w:val="00EF241B"/>
    <w:rsid w:val="00EF24B8"/>
    <w:rsid w:val="00EF749D"/>
    <w:rsid w:val="00F01FDE"/>
    <w:rsid w:val="00F049C5"/>
    <w:rsid w:val="00F26F4E"/>
    <w:rsid w:val="00F32139"/>
    <w:rsid w:val="00F36D21"/>
    <w:rsid w:val="00F4010A"/>
    <w:rsid w:val="00F43751"/>
    <w:rsid w:val="00F46232"/>
    <w:rsid w:val="00F478A1"/>
    <w:rsid w:val="00F5402A"/>
    <w:rsid w:val="00F54CF5"/>
    <w:rsid w:val="00F55A9D"/>
    <w:rsid w:val="00F57886"/>
    <w:rsid w:val="00F706D1"/>
    <w:rsid w:val="00F70AE7"/>
    <w:rsid w:val="00F7244F"/>
    <w:rsid w:val="00F73A59"/>
    <w:rsid w:val="00F85B0E"/>
    <w:rsid w:val="00F86F44"/>
    <w:rsid w:val="00F9019D"/>
    <w:rsid w:val="00F945C9"/>
    <w:rsid w:val="00F9576B"/>
    <w:rsid w:val="00F962A2"/>
    <w:rsid w:val="00FA1330"/>
    <w:rsid w:val="00FA6B12"/>
    <w:rsid w:val="00FB3859"/>
    <w:rsid w:val="00FB5807"/>
    <w:rsid w:val="00FC1234"/>
    <w:rsid w:val="00FD2DE6"/>
    <w:rsid w:val="00FD5378"/>
    <w:rsid w:val="00FD697C"/>
    <w:rsid w:val="00FE3B0D"/>
    <w:rsid w:val="00FE73F5"/>
    <w:rsid w:val="00FF2683"/>
    <w:rsid w:val="00FF6B0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CFF3E9"/>
  <w15:chartTrackingRefBased/>
  <w15:docId w15:val="{2EF0EFD7-71CC-4B79-BC5A-3095A2372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E2E"/>
    <w:pPr>
      <w:spacing w:after="200" w:line="276" w:lineRule="auto"/>
      <w:jc w:val="left"/>
    </w:pPr>
    <w:rPr>
      <w:rFonts w:ascii="Times New Roman" w:hAnsi="Times New Roman" w:cs="Times New Roman"/>
      <w:kern w:val="0"/>
      <w:sz w:val="24"/>
      <w:lang w:eastAsia="zh-CN"/>
    </w:rPr>
  </w:style>
  <w:style w:type="paragraph" w:styleId="Heading1">
    <w:name w:val="heading 1"/>
    <w:basedOn w:val="Normal"/>
    <w:link w:val="Heading1Char"/>
    <w:uiPriority w:val="9"/>
    <w:qFormat/>
    <w:rsid w:val="00CD7E2E"/>
    <w:pPr>
      <w:spacing w:before="100" w:beforeAutospacing="1" w:after="100" w:afterAutospacing="1" w:line="240" w:lineRule="auto"/>
      <w:outlineLvl w:val="0"/>
    </w:pPr>
    <w:rPr>
      <w:b/>
      <w:bCs/>
      <w:kern w:val="36"/>
      <w:sz w:val="48"/>
      <w:szCs w:val="48"/>
      <w:lang w:eastAsia="ko-KR"/>
    </w:rPr>
  </w:style>
  <w:style w:type="paragraph" w:styleId="Heading2">
    <w:name w:val="heading 2"/>
    <w:basedOn w:val="Normal"/>
    <w:next w:val="Normal"/>
    <w:link w:val="Heading2Char"/>
    <w:uiPriority w:val="9"/>
    <w:unhideWhenUsed/>
    <w:qFormat/>
    <w:rsid w:val="00CD7E2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E2E"/>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D7E2E"/>
    <w:rPr>
      <w:rFonts w:asciiTheme="majorHAnsi" w:eastAsiaTheme="majorEastAsia" w:hAnsiTheme="majorHAnsi" w:cstheme="majorBidi"/>
      <w:color w:val="2E74B5" w:themeColor="accent1" w:themeShade="BF"/>
      <w:kern w:val="0"/>
      <w:sz w:val="26"/>
      <w:szCs w:val="26"/>
      <w:lang w:val="en-CA" w:eastAsia="zh-CN"/>
    </w:rPr>
  </w:style>
  <w:style w:type="table" w:customStyle="1" w:styleId="31">
    <w:name w:val="눈금 표 31"/>
    <w:basedOn w:val="TableNormal"/>
    <w:uiPriority w:val="48"/>
    <w:rsid w:val="00CD7E2E"/>
    <w:pPr>
      <w:spacing w:after="0" w:line="240" w:lineRule="auto"/>
      <w:jc w:val="left"/>
    </w:pPr>
    <w:rPr>
      <w:rFonts w:ascii="Times New Roman" w:hAnsi="Times New Roman" w:cs="Times New Roman"/>
      <w:kern w:val="0"/>
      <w:sz w:val="24"/>
      <w:lang w:val="en-CA" w:eastAsia="zh-C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39"/>
    <w:rsid w:val="00CD7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눈금 표 3 - 강조색 31"/>
    <w:basedOn w:val="TableNormal"/>
    <w:uiPriority w:val="48"/>
    <w:rsid w:val="00CD7E2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paragraph" w:styleId="NoSpacing">
    <w:name w:val="No Spacing"/>
    <w:uiPriority w:val="1"/>
    <w:qFormat/>
    <w:rsid w:val="00CD7E2E"/>
    <w:pPr>
      <w:spacing w:after="0" w:line="240" w:lineRule="auto"/>
      <w:jc w:val="left"/>
    </w:pPr>
    <w:rPr>
      <w:rFonts w:ascii="Times New Roman" w:hAnsi="Times New Roman" w:cs="Times New Roman"/>
      <w:kern w:val="0"/>
      <w:sz w:val="24"/>
      <w:lang w:val="en-CA" w:eastAsia="zh-CN"/>
    </w:rPr>
  </w:style>
  <w:style w:type="paragraph" w:styleId="Header">
    <w:name w:val="header"/>
    <w:basedOn w:val="Normal"/>
    <w:link w:val="HeaderChar"/>
    <w:uiPriority w:val="99"/>
    <w:unhideWhenUsed/>
    <w:rsid w:val="00CD7E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E2E"/>
    <w:rPr>
      <w:rFonts w:ascii="Times New Roman" w:hAnsi="Times New Roman" w:cs="Times New Roman"/>
      <w:kern w:val="0"/>
      <w:sz w:val="24"/>
      <w:lang w:val="en-CA" w:eastAsia="zh-CN"/>
    </w:rPr>
  </w:style>
  <w:style w:type="paragraph" w:styleId="ListParagraph">
    <w:name w:val="List Paragraph"/>
    <w:basedOn w:val="Normal"/>
    <w:uiPriority w:val="34"/>
    <w:qFormat/>
    <w:rsid w:val="00CD7E2E"/>
    <w:pPr>
      <w:ind w:left="720"/>
      <w:contextualSpacing/>
    </w:pPr>
  </w:style>
  <w:style w:type="character" w:customStyle="1" w:styleId="selectable">
    <w:name w:val="selectable"/>
    <w:basedOn w:val="DefaultParagraphFont"/>
    <w:rsid w:val="00CD7E2E"/>
  </w:style>
  <w:style w:type="paragraph" w:styleId="Caption">
    <w:name w:val="caption"/>
    <w:basedOn w:val="Normal"/>
    <w:next w:val="Normal"/>
    <w:uiPriority w:val="35"/>
    <w:unhideWhenUsed/>
    <w:qFormat/>
    <w:rsid w:val="00CD7E2E"/>
    <w:rPr>
      <w:b/>
      <w:bCs/>
      <w:sz w:val="20"/>
      <w:szCs w:val="20"/>
    </w:rPr>
  </w:style>
  <w:style w:type="table" w:customStyle="1" w:styleId="71">
    <w:name w:val="눈금 표 7 색상형1"/>
    <w:basedOn w:val="TableNormal"/>
    <w:uiPriority w:val="52"/>
    <w:rsid w:val="00CD7E2E"/>
    <w:pPr>
      <w:spacing w:after="0" w:line="240" w:lineRule="auto"/>
      <w:jc w:val="left"/>
    </w:pPr>
    <w:rPr>
      <w:rFonts w:ascii="Times New Roman" w:hAnsi="Times New Roman" w:cs="Times New Roman"/>
      <w:color w:val="000000" w:themeColor="text1"/>
      <w:kern w:val="0"/>
      <w:sz w:val="24"/>
      <w:lang w:val="en-CA" w:eastAsia="zh-C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customStyle="1" w:styleId="highlight">
    <w:name w:val="highlight"/>
    <w:basedOn w:val="DefaultParagraphFont"/>
    <w:rsid w:val="00CD7E2E"/>
  </w:style>
  <w:style w:type="paragraph" w:styleId="BalloonText">
    <w:name w:val="Balloon Text"/>
    <w:basedOn w:val="Normal"/>
    <w:link w:val="BalloonTextChar"/>
    <w:uiPriority w:val="99"/>
    <w:semiHidden/>
    <w:unhideWhenUsed/>
    <w:rsid w:val="00CD7E2E"/>
    <w:pPr>
      <w:spacing w:after="0" w:line="240" w:lineRule="auto"/>
    </w:pPr>
    <w:rPr>
      <w:sz w:val="18"/>
      <w:szCs w:val="18"/>
    </w:rPr>
  </w:style>
  <w:style w:type="character" w:customStyle="1" w:styleId="BalloonTextChar">
    <w:name w:val="Balloon Text Char"/>
    <w:basedOn w:val="DefaultParagraphFont"/>
    <w:link w:val="BalloonText"/>
    <w:uiPriority w:val="99"/>
    <w:semiHidden/>
    <w:rsid w:val="00CD7E2E"/>
    <w:rPr>
      <w:rFonts w:ascii="Times New Roman" w:hAnsi="Times New Roman" w:cs="Times New Roman"/>
      <w:kern w:val="0"/>
      <w:sz w:val="18"/>
      <w:szCs w:val="18"/>
      <w:lang w:val="en-CA" w:eastAsia="zh-CN"/>
    </w:rPr>
  </w:style>
  <w:style w:type="paragraph" w:styleId="Footer">
    <w:name w:val="footer"/>
    <w:basedOn w:val="Normal"/>
    <w:link w:val="FooterChar"/>
    <w:uiPriority w:val="99"/>
    <w:unhideWhenUsed/>
    <w:rsid w:val="00CD7E2E"/>
    <w:pPr>
      <w:tabs>
        <w:tab w:val="center" w:pos="4513"/>
        <w:tab w:val="right" w:pos="9026"/>
      </w:tabs>
      <w:snapToGrid w:val="0"/>
    </w:pPr>
  </w:style>
  <w:style w:type="character" w:customStyle="1" w:styleId="FooterChar">
    <w:name w:val="Footer Char"/>
    <w:basedOn w:val="DefaultParagraphFont"/>
    <w:link w:val="Footer"/>
    <w:uiPriority w:val="99"/>
    <w:rsid w:val="00CD7E2E"/>
    <w:rPr>
      <w:rFonts w:ascii="Times New Roman" w:hAnsi="Times New Roman" w:cs="Times New Roman"/>
      <w:kern w:val="0"/>
      <w:sz w:val="24"/>
      <w:lang w:val="en-CA" w:eastAsia="zh-CN"/>
    </w:rPr>
  </w:style>
  <w:style w:type="character" w:styleId="Hyperlink">
    <w:name w:val="Hyperlink"/>
    <w:basedOn w:val="DefaultParagraphFont"/>
    <w:uiPriority w:val="99"/>
    <w:unhideWhenUsed/>
    <w:rsid w:val="00CD7E2E"/>
    <w:rPr>
      <w:color w:val="0563C1" w:themeColor="hyperlink"/>
      <w:u w:val="single"/>
    </w:rPr>
  </w:style>
  <w:style w:type="paragraph" w:customStyle="1" w:styleId="EndNoteBibliographyTitle">
    <w:name w:val="EndNote Bibliography Title"/>
    <w:basedOn w:val="Normal"/>
    <w:link w:val="EndNoteBibliographyTitleChar"/>
    <w:rsid w:val="00CD7E2E"/>
    <w:pPr>
      <w:spacing w:after="0"/>
      <w:jc w:val="center"/>
    </w:pPr>
    <w:rPr>
      <w:noProof/>
    </w:rPr>
  </w:style>
  <w:style w:type="character" w:customStyle="1" w:styleId="EndNoteBibliographyTitleChar">
    <w:name w:val="EndNote Bibliography Title Char"/>
    <w:basedOn w:val="DefaultParagraphFont"/>
    <w:link w:val="EndNoteBibliographyTitle"/>
    <w:rsid w:val="00CD7E2E"/>
    <w:rPr>
      <w:rFonts w:ascii="Times New Roman" w:hAnsi="Times New Roman" w:cs="Times New Roman"/>
      <w:noProof/>
      <w:kern w:val="0"/>
      <w:sz w:val="24"/>
      <w:lang w:val="en-CA" w:eastAsia="zh-CN"/>
    </w:rPr>
  </w:style>
  <w:style w:type="paragraph" w:customStyle="1" w:styleId="EndNoteBibliography">
    <w:name w:val="EndNote Bibliography"/>
    <w:basedOn w:val="Normal"/>
    <w:link w:val="EndNoteBibliographyChar"/>
    <w:rsid w:val="00CD7E2E"/>
    <w:pPr>
      <w:spacing w:line="240" w:lineRule="auto"/>
      <w:jc w:val="both"/>
    </w:pPr>
    <w:rPr>
      <w:noProof/>
    </w:rPr>
  </w:style>
  <w:style w:type="character" w:customStyle="1" w:styleId="EndNoteBibliographyChar">
    <w:name w:val="EndNote Bibliography Char"/>
    <w:basedOn w:val="DefaultParagraphFont"/>
    <w:link w:val="EndNoteBibliography"/>
    <w:rsid w:val="00CD7E2E"/>
    <w:rPr>
      <w:rFonts w:ascii="Times New Roman" w:hAnsi="Times New Roman" w:cs="Times New Roman"/>
      <w:noProof/>
      <w:kern w:val="0"/>
      <w:sz w:val="24"/>
      <w:lang w:val="en-CA" w:eastAsia="zh-CN"/>
    </w:rPr>
  </w:style>
  <w:style w:type="paragraph" w:styleId="NormalWeb">
    <w:name w:val="Normal (Web)"/>
    <w:basedOn w:val="Normal"/>
    <w:uiPriority w:val="99"/>
    <w:unhideWhenUsed/>
    <w:rsid w:val="00CD7E2E"/>
    <w:pPr>
      <w:spacing w:before="100" w:beforeAutospacing="1" w:after="100" w:afterAutospacing="1" w:line="240" w:lineRule="auto"/>
    </w:pPr>
    <w:rPr>
      <w:rFonts w:ascii="Gulim" w:eastAsia="Gulim" w:hAnsi="Gulim" w:cs="Gulim"/>
      <w:szCs w:val="24"/>
      <w:lang w:eastAsia="ko-KR"/>
    </w:rPr>
  </w:style>
  <w:style w:type="paragraph" w:styleId="Revision">
    <w:name w:val="Revision"/>
    <w:hidden/>
    <w:uiPriority w:val="99"/>
    <w:semiHidden/>
    <w:rsid w:val="00CD7E2E"/>
    <w:pPr>
      <w:spacing w:after="0" w:line="240" w:lineRule="auto"/>
      <w:jc w:val="left"/>
    </w:pPr>
    <w:rPr>
      <w:rFonts w:ascii="Times New Roman" w:hAnsi="Times New Roman" w:cs="Times New Roman"/>
      <w:kern w:val="0"/>
      <w:sz w:val="24"/>
      <w:lang w:val="en-CA" w:eastAsia="zh-CN"/>
    </w:rPr>
  </w:style>
  <w:style w:type="paragraph" w:styleId="TOCHeading">
    <w:name w:val="TOC Heading"/>
    <w:basedOn w:val="Heading1"/>
    <w:next w:val="Normal"/>
    <w:uiPriority w:val="39"/>
    <w:unhideWhenUsed/>
    <w:qFormat/>
    <w:rsid w:val="00CD7E2E"/>
    <w:pPr>
      <w:keepNext/>
      <w:keepLines/>
      <w:spacing w:before="480" w:beforeAutospacing="0" w:after="0" w:afterAutospacing="0" w:line="276" w:lineRule="auto"/>
      <w:outlineLvl w:val="9"/>
    </w:pPr>
    <w:rPr>
      <w:rFonts w:asciiTheme="majorHAnsi" w:eastAsiaTheme="majorEastAsia" w:hAnsiTheme="majorHAnsi" w:cstheme="majorBidi"/>
      <w:color w:val="365F91"/>
      <w:kern w:val="0"/>
      <w:sz w:val="28"/>
      <w:szCs w:val="28"/>
      <w:lang w:eastAsia="ja-JP"/>
    </w:rPr>
  </w:style>
  <w:style w:type="paragraph" w:styleId="TOC2">
    <w:name w:val="toc 2"/>
    <w:basedOn w:val="Normal"/>
    <w:next w:val="Normal"/>
    <w:autoRedefine/>
    <w:uiPriority w:val="39"/>
    <w:unhideWhenUsed/>
    <w:qFormat/>
    <w:rsid w:val="00CD7E2E"/>
    <w:pPr>
      <w:spacing w:before="120" w:after="0"/>
      <w:ind w:left="240"/>
    </w:pPr>
    <w:rPr>
      <w:rFonts w:asciiTheme="minorHAnsi" w:eastAsiaTheme="minorHAnsi"/>
      <w:b/>
      <w:bCs/>
      <w:sz w:val="22"/>
    </w:rPr>
  </w:style>
  <w:style w:type="paragraph" w:styleId="TOC1">
    <w:name w:val="toc 1"/>
    <w:basedOn w:val="Normal"/>
    <w:next w:val="Normal"/>
    <w:autoRedefine/>
    <w:uiPriority w:val="39"/>
    <w:unhideWhenUsed/>
    <w:qFormat/>
    <w:rsid w:val="00CD7E2E"/>
    <w:pPr>
      <w:spacing w:before="120" w:after="0"/>
    </w:pPr>
    <w:rPr>
      <w:rFonts w:asciiTheme="minorHAnsi" w:eastAsiaTheme="minorHAnsi"/>
      <w:b/>
      <w:bCs/>
      <w:i/>
      <w:iCs/>
      <w:szCs w:val="24"/>
    </w:rPr>
  </w:style>
  <w:style w:type="character" w:styleId="CommentReference">
    <w:name w:val="annotation reference"/>
    <w:basedOn w:val="DefaultParagraphFont"/>
    <w:uiPriority w:val="99"/>
    <w:semiHidden/>
    <w:unhideWhenUsed/>
    <w:rsid w:val="00CD7E2E"/>
    <w:rPr>
      <w:sz w:val="16"/>
      <w:szCs w:val="16"/>
    </w:rPr>
  </w:style>
  <w:style w:type="paragraph" w:styleId="CommentText">
    <w:name w:val="annotation text"/>
    <w:basedOn w:val="Normal"/>
    <w:link w:val="CommentTextChar"/>
    <w:uiPriority w:val="99"/>
    <w:semiHidden/>
    <w:unhideWhenUsed/>
    <w:rsid w:val="00CD7E2E"/>
    <w:pPr>
      <w:spacing w:line="240" w:lineRule="auto"/>
    </w:pPr>
    <w:rPr>
      <w:sz w:val="20"/>
      <w:szCs w:val="20"/>
    </w:rPr>
  </w:style>
  <w:style w:type="character" w:customStyle="1" w:styleId="CommentTextChar">
    <w:name w:val="Comment Text Char"/>
    <w:basedOn w:val="DefaultParagraphFont"/>
    <w:link w:val="CommentText"/>
    <w:uiPriority w:val="99"/>
    <w:semiHidden/>
    <w:rsid w:val="00CD7E2E"/>
    <w:rPr>
      <w:rFonts w:ascii="Times New Roman" w:hAnsi="Times New Roman" w:cs="Times New Roman"/>
      <w:kern w:val="0"/>
      <w:szCs w:val="20"/>
      <w:lang w:val="en-CA" w:eastAsia="zh-CN"/>
    </w:rPr>
  </w:style>
  <w:style w:type="paragraph" w:styleId="CommentSubject">
    <w:name w:val="annotation subject"/>
    <w:basedOn w:val="CommentText"/>
    <w:next w:val="CommentText"/>
    <w:link w:val="CommentSubjectChar"/>
    <w:uiPriority w:val="99"/>
    <w:semiHidden/>
    <w:unhideWhenUsed/>
    <w:rsid w:val="00CD7E2E"/>
    <w:rPr>
      <w:b/>
      <w:bCs/>
    </w:rPr>
  </w:style>
  <w:style w:type="character" w:customStyle="1" w:styleId="CommentSubjectChar">
    <w:name w:val="Comment Subject Char"/>
    <w:basedOn w:val="CommentTextChar"/>
    <w:link w:val="CommentSubject"/>
    <w:uiPriority w:val="99"/>
    <w:semiHidden/>
    <w:rsid w:val="00CD7E2E"/>
    <w:rPr>
      <w:rFonts w:ascii="Times New Roman" w:hAnsi="Times New Roman" w:cs="Times New Roman"/>
      <w:b/>
      <w:bCs/>
      <w:kern w:val="0"/>
      <w:szCs w:val="20"/>
      <w:lang w:val="en-CA" w:eastAsia="zh-CN"/>
    </w:rPr>
  </w:style>
  <w:style w:type="character" w:customStyle="1" w:styleId="1">
    <w:name w:val="확인되지 않은 멘션1"/>
    <w:basedOn w:val="DefaultParagraphFont"/>
    <w:uiPriority w:val="99"/>
    <w:semiHidden/>
    <w:unhideWhenUsed/>
    <w:rsid w:val="00CD7E2E"/>
    <w:rPr>
      <w:color w:val="605E5C"/>
      <w:shd w:val="clear" w:color="auto" w:fill="E1DFDD"/>
    </w:rPr>
  </w:style>
  <w:style w:type="paragraph" w:styleId="TOC3">
    <w:name w:val="toc 3"/>
    <w:basedOn w:val="Normal"/>
    <w:next w:val="Normal"/>
    <w:autoRedefine/>
    <w:uiPriority w:val="39"/>
    <w:unhideWhenUsed/>
    <w:rsid w:val="00CD7E2E"/>
    <w:pPr>
      <w:spacing w:after="0"/>
      <w:ind w:left="480"/>
    </w:pPr>
    <w:rPr>
      <w:rFonts w:asciiTheme="minorHAnsi" w:eastAsiaTheme="minorHAnsi"/>
      <w:sz w:val="20"/>
      <w:szCs w:val="20"/>
    </w:rPr>
  </w:style>
  <w:style w:type="paragraph" w:styleId="TOC4">
    <w:name w:val="toc 4"/>
    <w:basedOn w:val="Normal"/>
    <w:next w:val="Normal"/>
    <w:autoRedefine/>
    <w:uiPriority w:val="39"/>
    <w:semiHidden/>
    <w:unhideWhenUsed/>
    <w:rsid w:val="00CD7E2E"/>
    <w:pPr>
      <w:spacing w:after="0"/>
      <w:ind w:left="720"/>
    </w:pPr>
    <w:rPr>
      <w:rFonts w:asciiTheme="minorHAnsi" w:eastAsiaTheme="minorHAnsi"/>
      <w:sz w:val="20"/>
      <w:szCs w:val="20"/>
    </w:rPr>
  </w:style>
  <w:style w:type="paragraph" w:styleId="TOC5">
    <w:name w:val="toc 5"/>
    <w:basedOn w:val="Normal"/>
    <w:next w:val="Normal"/>
    <w:autoRedefine/>
    <w:uiPriority w:val="39"/>
    <w:semiHidden/>
    <w:unhideWhenUsed/>
    <w:rsid w:val="00CD7E2E"/>
    <w:pPr>
      <w:spacing w:after="0"/>
      <w:ind w:left="960"/>
    </w:pPr>
    <w:rPr>
      <w:rFonts w:asciiTheme="minorHAnsi" w:eastAsiaTheme="minorHAnsi"/>
      <w:sz w:val="20"/>
      <w:szCs w:val="20"/>
    </w:rPr>
  </w:style>
  <w:style w:type="paragraph" w:styleId="TOC6">
    <w:name w:val="toc 6"/>
    <w:basedOn w:val="Normal"/>
    <w:next w:val="Normal"/>
    <w:autoRedefine/>
    <w:uiPriority w:val="39"/>
    <w:semiHidden/>
    <w:unhideWhenUsed/>
    <w:rsid w:val="00CD7E2E"/>
    <w:pPr>
      <w:spacing w:after="0"/>
      <w:ind w:left="1200"/>
    </w:pPr>
    <w:rPr>
      <w:rFonts w:asciiTheme="minorHAnsi" w:eastAsiaTheme="minorHAnsi"/>
      <w:sz w:val="20"/>
      <w:szCs w:val="20"/>
    </w:rPr>
  </w:style>
  <w:style w:type="paragraph" w:styleId="TOC7">
    <w:name w:val="toc 7"/>
    <w:basedOn w:val="Normal"/>
    <w:next w:val="Normal"/>
    <w:autoRedefine/>
    <w:uiPriority w:val="39"/>
    <w:semiHidden/>
    <w:unhideWhenUsed/>
    <w:rsid w:val="00CD7E2E"/>
    <w:pPr>
      <w:spacing w:after="0"/>
      <w:ind w:left="1440"/>
    </w:pPr>
    <w:rPr>
      <w:rFonts w:asciiTheme="minorHAnsi" w:eastAsiaTheme="minorHAnsi"/>
      <w:sz w:val="20"/>
      <w:szCs w:val="20"/>
    </w:rPr>
  </w:style>
  <w:style w:type="paragraph" w:styleId="TOC8">
    <w:name w:val="toc 8"/>
    <w:basedOn w:val="Normal"/>
    <w:next w:val="Normal"/>
    <w:autoRedefine/>
    <w:uiPriority w:val="39"/>
    <w:semiHidden/>
    <w:unhideWhenUsed/>
    <w:rsid w:val="00CD7E2E"/>
    <w:pPr>
      <w:spacing w:after="0"/>
      <w:ind w:left="1680"/>
    </w:pPr>
    <w:rPr>
      <w:rFonts w:asciiTheme="minorHAnsi" w:eastAsiaTheme="minorHAnsi"/>
      <w:sz w:val="20"/>
      <w:szCs w:val="20"/>
    </w:rPr>
  </w:style>
  <w:style w:type="paragraph" w:styleId="TOC9">
    <w:name w:val="toc 9"/>
    <w:basedOn w:val="Normal"/>
    <w:next w:val="Normal"/>
    <w:autoRedefine/>
    <w:uiPriority w:val="39"/>
    <w:semiHidden/>
    <w:unhideWhenUsed/>
    <w:rsid w:val="00CD7E2E"/>
    <w:pPr>
      <w:spacing w:after="0"/>
      <w:ind w:left="1920"/>
    </w:pPr>
    <w:rPr>
      <w:rFonts w:asciiTheme="minorHAnsi" w:eastAsiaTheme="minorHAnsi"/>
      <w:sz w:val="20"/>
      <w:szCs w:val="20"/>
    </w:rPr>
  </w:style>
  <w:style w:type="character" w:styleId="FollowedHyperlink">
    <w:name w:val="FollowedHyperlink"/>
    <w:basedOn w:val="DefaultParagraphFont"/>
    <w:uiPriority w:val="99"/>
    <w:semiHidden/>
    <w:unhideWhenUsed/>
    <w:rsid w:val="00CD7E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05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ti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9830</Words>
  <Characters>56031</Characters>
  <Application>Microsoft Office Word</Application>
  <DocSecurity>0</DocSecurity>
  <Lines>466</Lines>
  <Paragraphs>131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65730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L.Smith</cp:lastModifiedBy>
  <cp:revision>2</cp:revision>
  <dcterms:created xsi:type="dcterms:W3CDTF">2021-05-04T07:53:00Z</dcterms:created>
  <dcterms:modified xsi:type="dcterms:W3CDTF">2021-05-04T07:53:00Z</dcterms:modified>
</cp:coreProperties>
</file>