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0DC62D" w14:textId="6EC4E6DE" w:rsidR="00522304" w:rsidRPr="006453D9" w:rsidRDefault="00210B6B" w:rsidP="00522304">
      <w:pPr>
        <w:pStyle w:val="MDPI11articletype"/>
      </w:pPr>
      <w:bookmarkStart w:id="0" w:name="_GoBack"/>
      <w:bookmarkEnd w:id="0"/>
      <w:r>
        <w:t>Article</w:t>
      </w:r>
      <w:r w:rsidR="00522304" w:rsidRPr="006453D9">
        <w:t xml:space="preserve"> </w:t>
      </w:r>
    </w:p>
    <w:p w14:paraId="14C5F7F8" w14:textId="77777777" w:rsidR="00112DEB" w:rsidRPr="0092277B" w:rsidRDefault="00112DEB" w:rsidP="00112DEB">
      <w:pPr>
        <w:rPr>
          <w:b/>
          <w:bCs/>
          <w:sz w:val="36"/>
          <w:szCs w:val="36"/>
          <w:lang w:eastAsia="de-DE" w:bidi="en-US"/>
        </w:rPr>
      </w:pPr>
      <w:r w:rsidRPr="0092277B">
        <w:rPr>
          <w:b/>
          <w:bCs/>
          <w:sz w:val="36"/>
          <w:szCs w:val="36"/>
          <w:lang w:eastAsia="de-DE" w:bidi="en-US"/>
        </w:rPr>
        <w:t>Changes in sitting time, screen exposure and physical activity during Covid-19 lockdown in South American adults: A cross-sectional study</w:t>
      </w:r>
    </w:p>
    <w:p w14:paraId="3F839D4E" w14:textId="77777777" w:rsidR="00210B6B" w:rsidRPr="006E7AC8" w:rsidRDefault="00210B6B" w:rsidP="00210B6B">
      <w:pPr>
        <w:pStyle w:val="MDPI13authornames"/>
      </w:pPr>
      <w:r w:rsidRPr="006E7AC8">
        <w:t xml:space="preserve">Kabir P. Sadarangani </w:t>
      </w:r>
      <w:r w:rsidRPr="006E7AC8">
        <w:rPr>
          <w:vertAlign w:val="superscript"/>
        </w:rPr>
        <w:t>1,2*</w:t>
      </w:r>
      <w:r w:rsidRPr="006E7AC8">
        <w:t xml:space="preserve">, Gabriela F De </w:t>
      </w:r>
      <w:proofErr w:type="spellStart"/>
      <w:r w:rsidRPr="006E7AC8">
        <w:t>Roia</w:t>
      </w:r>
      <w:proofErr w:type="spellEnd"/>
      <w:r w:rsidRPr="006E7AC8">
        <w:t xml:space="preserve"> </w:t>
      </w:r>
      <w:r w:rsidRPr="006E7AC8">
        <w:rPr>
          <w:vertAlign w:val="superscript"/>
        </w:rPr>
        <w:t>3</w:t>
      </w:r>
      <w:r w:rsidRPr="006E7AC8">
        <w:t xml:space="preserve">, Pablo Lobo </w:t>
      </w:r>
      <w:r w:rsidRPr="006E7AC8">
        <w:rPr>
          <w:vertAlign w:val="superscript"/>
        </w:rPr>
        <w:t>3</w:t>
      </w:r>
      <w:r w:rsidRPr="006E7AC8">
        <w:t xml:space="preserve">, Robinson Chavez </w:t>
      </w:r>
      <w:r w:rsidRPr="006E7AC8">
        <w:rPr>
          <w:vertAlign w:val="superscript"/>
        </w:rPr>
        <w:t>4</w:t>
      </w:r>
      <w:r w:rsidRPr="006E7AC8">
        <w:t xml:space="preserve">, Jacob Meyer </w:t>
      </w:r>
      <w:r w:rsidRPr="006E7AC8">
        <w:rPr>
          <w:vertAlign w:val="superscript"/>
        </w:rPr>
        <w:t>5</w:t>
      </w:r>
      <w:r w:rsidRPr="006E7AC8">
        <w:t xml:space="preserve">, Carlos </w:t>
      </w:r>
      <w:proofErr w:type="spellStart"/>
      <w:r w:rsidRPr="006E7AC8">
        <w:t>Cristi</w:t>
      </w:r>
      <w:proofErr w:type="spellEnd"/>
      <w:r w:rsidRPr="006E7AC8">
        <w:t xml:space="preserve">-Montero </w:t>
      </w:r>
      <w:r w:rsidRPr="006E7AC8">
        <w:rPr>
          <w:vertAlign w:val="superscript"/>
        </w:rPr>
        <w:t>6</w:t>
      </w:r>
      <w:r w:rsidRPr="006E7AC8">
        <w:t xml:space="preserve">, David Martinez-Gomez </w:t>
      </w:r>
      <w:r w:rsidRPr="006E7AC8">
        <w:rPr>
          <w:vertAlign w:val="superscript"/>
        </w:rPr>
        <w:t>7</w:t>
      </w:r>
      <w:r w:rsidRPr="006E7AC8">
        <w:t xml:space="preserve">, Gerson Ferrari </w:t>
      </w:r>
      <w:r w:rsidRPr="006E7AC8">
        <w:rPr>
          <w:vertAlign w:val="superscript"/>
        </w:rPr>
        <w:t>8</w:t>
      </w:r>
      <w:r w:rsidRPr="006E7AC8">
        <w:t xml:space="preserve">, Felipe B </w:t>
      </w:r>
      <w:proofErr w:type="spellStart"/>
      <w:r w:rsidRPr="006E7AC8">
        <w:t>Schuch</w:t>
      </w:r>
      <w:proofErr w:type="spellEnd"/>
      <w:r w:rsidRPr="006E7AC8">
        <w:t xml:space="preserve"> </w:t>
      </w:r>
      <w:r w:rsidRPr="006E7AC8">
        <w:rPr>
          <w:vertAlign w:val="superscript"/>
        </w:rPr>
        <w:t>9</w:t>
      </w:r>
      <w:r w:rsidRPr="006E7AC8">
        <w:t xml:space="preserve">, Alejandro Gil </w:t>
      </w:r>
      <w:proofErr w:type="spellStart"/>
      <w:r w:rsidRPr="006E7AC8">
        <w:t>Salmerón</w:t>
      </w:r>
      <w:proofErr w:type="spellEnd"/>
      <w:r w:rsidRPr="006E7AC8">
        <w:t xml:space="preserve"> </w:t>
      </w:r>
      <w:r w:rsidRPr="006E7AC8">
        <w:rPr>
          <w:vertAlign w:val="superscript"/>
        </w:rPr>
        <w:t>10</w:t>
      </w:r>
      <w:r w:rsidRPr="006E7AC8">
        <w:t xml:space="preserve">, Marco </w:t>
      </w:r>
      <w:proofErr w:type="spellStart"/>
      <w:r w:rsidRPr="006E7AC8">
        <w:t>Solmi</w:t>
      </w:r>
      <w:proofErr w:type="spellEnd"/>
      <w:r w:rsidRPr="006E7AC8">
        <w:t xml:space="preserve"> </w:t>
      </w:r>
      <w:r w:rsidRPr="006E7AC8">
        <w:rPr>
          <w:vertAlign w:val="superscript"/>
        </w:rPr>
        <w:t>11</w:t>
      </w:r>
      <w:r w:rsidRPr="006E7AC8">
        <w:t xml:space="preserve">, Nicola Veronese </w:t>
      </w:r>
      <w:r w:rsidRPr="006E7AC8">
        <w:rPr>
          <w:vertAlign w:val="superscript"/>
        </w:rPr>
        <w:t>12</w:t>
      </w:r>
      <w:r w:rsidRPr="006E7AC8">
        <w:t xml:space="preserve">, </w:t>
      </w:r>
      <w:proofErr w:type="spellStart"/>
      <w:r w:rsidRPr="006E7AC8">
        <w:t>Hosam</w:t>
      </w:r>
      <w:proofErr w:type="spellEnd"/>
      <w:r w:rsidRPr="006E7AC8">
        <w:t xml:space="preserve"> </w:t>
      </w:r>
      <w:proofErr w:type="spellStart"/>
      <w:r>
        <w:t>Alzahrani</w:t>
      </w:r>
      <w:proofErr w:type="spellEnd"/>
      <w:r>
        <w:t xml:space="preserve"> </w:t>
      </w:r>
      <w:r>
        <w:rPr>
          <w:vertAlign w:val="superscript"/>
        </w:rPr>
        <w:t>13</w:t>
      </w:r>
      <w:r>
        <w:t xml:space="preserve">, Igor Grabovac </w:t>
      </w:r>
      <w:r w:rsidRPr="009F0BD9">
        <w:rPr>
          <w:vertAlign w:val="superscript"/>
        </w:rPr>
        <w:t>14</w:t>
      </w:r>
      <w:r>
        <w:t xml:space="preserve">, Cristina M </w:t>
      </w:r>
      <w:proofErr w:type="spellStart"/>
      <w:r>
        <w:t>Caperchione</w:t>
      </w:r>
      <w:proofErr w:type="spellEnd"/>
      <w:r>
        <w:t xml:space="preserve"> </w:t>
      </w:r>
      <w:r>
        <w:rPr>
          <w:vertAlign w:val="superscript"/>
        </w:rPr>
        <w:t>15</w:t>
      </w:r>
      <w:r>
        <w:t xml:space="preserve">, </w:t>
      </w:r>
      <w:r w:rsidRPr="009F0BD9">
        <w:t>Mark</w:t>
      </w:r>
      <w:r w:rsidRPr="006E7AC8">
        <w:t xml:space="preserve"> A Tully</w:t>
      </w:r>
      <w:r>
        <w:t xml:space="preserve"> </w:t>
      </w:r>
      <w:r>
        <w:rPr>
          <w:vertAlign w:val="superscript"/>
        </w:rPr>
        <w:t>16</w:t>
      </w:r>
      <w:r w:rsidRPr="006E7AC8">
        <w:t xml:space="preserve"> and Lee Smith </w:t>
      </w:r>
      <w:r>
        <w:rPr>
          <w:vertAlign w:val="superscript"/>
        </w:rPr>
        <w:t>17</w:t>
      </w:r>
    </w:p>
    <w:tbl>
      <w:tblPr>
        <w:tblpPr w:leftFromText="198" w:rightFromText="198" w:vertAnchor="page" w:horzAnchor="margin" w:tblpY="9286"/>
        <w:tblW w:w="2410" w:type="dxa"/>
        <w:tblLayout w:type="fixed"/>
        <w:tblCellMar>
          <w:left w:w="0" w:type="dxa"/>
          <w:right w:w="0" w:type="dxa"/>
        </w:tblCellMar>
        <w:tblLook w:val="04A0" w:firstRow="1" w:lastRow="0" w:firstColumn="1" w:lastColumn="0" w:noHBand="0" w:noVBand="1"/>
      </w:tblPr>
      <w:tblGrid>
        <w:gridCol w:w="2410"/>
      </w:tblGrid>
      <w:tr w:rsidR="00210B6B" w:rsidRPr="006E7AC8" w14:paraId="2C9A5F10" w14:textId="77777777" w:rsidTr="00D523FA">
        <w:tc>
          <w:tcPr>
            <w:tcW w:w="2410" w:type="dxa"/>
            <w:shd w:val="clear" w:color="auto" w:fill="auto"/>
          </w:tcPr>
          <w:p w14:paraId="373687A3" w14:textId="77777777" w:rsidR="00210B6B" w:rsidRPr="00183AB8" w:rsidRDefault="00210B6B" w:rsidP="00D523FA">
            <w:pPr>
              <w:pStyle w:val="MDPI61Citation"/>
              <w:spacing w:line="240" w:lineRule="exact"/>
            </w:pPr>
            <w:r w:rsidRPr="00183AB8">
              <w:rPr>
                <w:b/>
              </w:rPr>
              <w:t>Citation:</w:t>
            </w:r>
            <w:r w:rsidRPr="006331AD">
              <w:t xml:space="preserve"> </w:t>
            </w:r>
            <w:proofErr w:type="spellStart"/>
            <w:r>
              <w:t>Lastname</w:t>
            </w:r>
            <w:proofErr w:type="spellEnd"/>
            <w:r>
              <w:t xml:space="preserve">, F.; </w:t>
            </w:r>
            <w:proofErr w:type="spellStart"/>
            <w:r>
              <w:t>Lastname</w:t>
            </w:r>
            <w:proofErr w:type="spellEnd"/>
            <w:r>
              <w:t xml:space="preserve">, F.; </w:t>
            </w:r>
            <w:proofErr w:type="spellStart"/>
            <w:r>
              <w:t>Lastname</w:t>
            </w:r>
            <w:proofErr w:type="spellEnd"/>
            <w:r>
              <w:t xml:space="preserve">, F. Title. </w:t>
            </w:r>
            <w:r>
              <w:rPr>
                <w:i/>
              </w:rPr>
              <w:t xml:space="preserve">Int. J. Environ. Res. Public Health </w:t>
            </w:r>
            <w:r w:rsidRPr="00527484">
              <w:rPr>
                <w:b/>
              </w:rPr>
              <w:t>2021</w:t>
            </w:r>
            <w:r>
              <w:t xml:space="preserve">, </w:t>
            </w:r>
            <w:r w:rsidRPr="00527484">
              <w:rPr>
                <w:i/>
              </w:rPr>
              <w:t>18</w:t>
            </w:r>
            <w:r>
              <w:t>, x. https://doi.org/10.3390/xxxxx</w:t>
            </w:r>
          </w:p>
          <w:p w14:paraId="41FE4AF0" w14:textId="77777777" w:rsidR="00210B6B" w:rsidRPr="006E7AC8" w:rsidRDefault="00210B6B" w:rsidP="00D523FA">
            <w:pPr>
              <w:pStyle w:val="MDPI14history"/>
              <w:spacing w:before="240" w:after="240"/>
              <w:rPr>
                <w:rFonts w:ascii="SimSun" w:eastAsia="SimSun" w:hAnsi="SimSun" w:cs="SimSun"/>
                <w:lang w:eastAsia="zh-CN"/>
              </w:rPr>
            </w:pPr>
            <w:r w:rsidRPr="006E7AC8">
              <w:t xml:space="preserve">Academic Editor: </w:t>
            </w:r>
            <w:proofErr w:type="spellStart"/>
            <w:r w:rsidRPr="006E7AC8">
              <w:t>Firstname</w:t>
            </w:r>
            <w:proofErr w:type="spellEnd"/>
            <w:r w:rsidRPr="006E7AC8">
              <w:t xml:space="preserve"> </w:t>
            </w:r>
            <w:proofErr w:type="spellStart"/>
            <w:r w:rsidRPr="006E7AC8">
              <w:t>Lastname</w:t>
            </w:r>
            <w:proofErr w:type="spellEnd"/>
          </w:p>
          <w:p w14:paraId="538DA10B" w14:textId="77777777" w:rsidR="00210B6B" w:rsidRPr="006E7AC8" w:rsidRDefault="00210B6B" w:rsidP="00D523FA">
            <w:pPr>
              <w:pStyle w:val="MDPI14history"/>
              <w:rPr>
                <w:rFonts w:ascii="SimSun" w:eastAsia="SimSun" w:hAnsi="SimSun" w:cs="SimSun"/>
              </w:rPr>
            </w:pPr>
            <w:r w:rsidRPr="006E7AC8">
              <w:rPr>
                <w:szCs w:val="14"/>
              </w:rPr>
              <w:t>Received: date</w:t>
            </w:r>
          </w:p>
          <w:p w14:paraId="7B680440" w14:textId="77777777" w:rsidR="00210B6B" w:rsidRPr="006E7AC8" w:rsidRDefault="00210B6B" w:rsidP="00D523FA">
            <w:pPr>
              <w:pStyle w:val="MDPI14history"/>
              <w:rPr>
                <w:szCs w:val="14"/>
              </w:rPr>
            </w:pPr>
            <w:r w:rsidRPr="006E7AC8">
              <w:rPr>
                <w:szCs w:val="14"/>
              </w:rPr>
              <w:t>Accepted: date</w:t>
            </w:r>
          </w:p>
          <w:p w14:paraId="6078029C" w14:textId="77777777" w:rsidR="00210B6B" w:rsidRPr="006E7AC8" w:rsidRDefault="00210B6B" w:rsidP="00D523FA">
            <w:pPr>
              <w:pStyle w:val="MDPI14history"/>
              <w:spacing w:after="240"/>
              <w:rPr>
                <w:szCs w:val="14"/>
              </w:rPr>
            </w:pPr>
            <w:r w:rsidRPr="006E7AC8">
              <w:rPr>
                <w:szCs w:val="14"/>
              </w:rPr>
              <w:t>Published: date</w:t>
            </w:r>
          </w:p>
          <w:p w14:paraId="77090225" w14:textId="77777777" w:rsidR="00210B6B" w:rsidRPr="006331AD" w:rsidRDefault="00210B6B" w:rsidP="00D523FA">
            <w:pPr>
              <w:pStyle w:val="MDPI63Notes"/>
              <w:jc w:val="both"/>
            </w:pPr>
            <w:r w:rsidRPr="006331AD">
              <w:rPr>
                <w:b/>
              </w:rPr>
              <w:t>Publisher’s Note:</w:t>
            </w:r>
            <w:r w:rsidRPr="006331AD">
              <w:t xml:space="preserve"> MDPI stays neutral with regard to jurisdictional claims in published maps and institutional affiliations.</w:t>
            </w:r>
          </w:p>
          <w:p w14:paraId="2FA43FBA" w14:textId="510C543B" w:rsidR="00210B6B" w:rsidRPr="006331AD" w:rsidRDefault="00210B6B" w:rsidP="00D523FA">
            <w:pPr>
              <w:adjustRightInd w:val="0"/>
              <w:snapToGrid w:val="0"/>
              <w:spacing w:before="240" w:line="240" w:lineRule="atLeast"/>
              <w:ind w:right="113"/>
              <w:rPr>
                <w:rFonts w:eastAsia="DengXian"/>
                <w:bCs/>
                <w:sz w:val="14"/>
                <w:szCs w:val="14"/>
                <w:lang w:bidi="en-US"/>
              </w:rPr>
            </w:pPr>
            <w:r w:rsidRPr="006331AD">
              <w:rPr>
                <w:rFonts w:eastAsia="DengXian"/>
                <w:lang w:val="en-GB" w:eastAsia="en-GB"/>
              </w:rPr>
              <w:drawing>
                <wp:inline distT="0" distB="0" distL="0" distR="0" wp14:anchorId="40E42B0C" wp14:editId="0C544414">
                  <wp:extent cx="690880" cy="252730"/>
                  <wp:effectExtent l="0" t="0" r="0" b="0"/>
                  <wp:docPr id="1" name="Picture 4" descr="Dibujo en blanco y negro&#10;&#10;Descripción generada automáticamente con confianza medi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4" descr="Dibujo en blanco y negro&#10;&#10;Descripción generada automáticamente con confianza media"/>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880" cy="252730"/>
                          </a:xfrm>
                          <a:prstGeom prst="rect">
                            <a:avLst/>
                          </a:prstGeom>
                          <a:noFill/>
                          <a:ln>
                            <a:noFill/>
                          </a:ln>
                        </pic:spPr>
                      </pic:pic>
                    </a:graphicData>
                  </a:graphic>
                </wp:inline>
              </w:drawing>
            </w:r>
          </w:p>
          <w:p w14:paraId="4B2D86D4" w14:textId="77777777" w:rsidR="00210B6B" w:rsidRPr="006E7AC8" w:rsidRDefault="00210B6B" w:rsidP="00D523FA">
            <w:pPr>
              <w:adjustRightInd w:val="0"/>
              <w:snapToGrid w:val="0"/>
              <w:spacing w:before="60" w:line="240" w:lineRule="atLeast"/>
              <w:ind w:right="113"/>
              <w:rPr>
                <w:rFonts w:eastAsia="DengXian"/>
                <w:bCs/>
                <w:sz w:val="14"/>
                <w:szCs w:val="14"/>
                <w:lang w:bidi="en-US"/>
              </w:rPr>
            </w:pPr>
            <w:r w:rsidRPr="006E7AC8">
              <w:rPr>
                <w:rFonts w:eastAsia="DengXian"/>
                <w:b/>
                <w:bCs/>
                <w:sz w:val="14"/>
                <w:szCs w:val="14"/>
                <w:lang w:bidi="en-US"/>
              </w:rPr>
              <w:t>Copyright:</w:t>
            </w:r>
            <w:r w:rsidRPr="006E7AC8">
              <w:rPr>
                <w:rFonts w:eastAsia="DengXian"/>
                <w:bCs/>
                <w:sz w:val="14"/>
                <w:szCs w:val="14"/>
                <w:lang w:bidi="en-US"/>
              </w:rPr>
              <w:t xml:space="preserve"> © 2021 by the authors. Submitted for possible open access publication under the terms and conditions of the Creative Commons Attribution (CC BY) license (http://creativecommons.org/licenses/by/4.0/).</w:t>
            </w:r>
          </w:p>
        </w:tc>
      </w:tr>
    </w:tbl>
    <w:p w14:paraId="393DBFCE" w14:textId="77777777" w:rsidR="00210B6B" w:rsidRPr="00210B6B" w:rsidRDefault="00210B6B" w:rsidP="00210B6B">
      <w:pPr>
        <w:ind w:left="2550"/>
        <w:rPr>
          <w:sz w:val="16"/>
          <w:szCs w:val="18"/>
          <w:lang w:val="es-CL" w:eastAsia="de-DE" w:bidi="en-US"/>
        </w:rPr>
      </w:pPr>
      <w:r w:rsidRPr="00210B6B">
        <w:rPr>
          <w:sz w:val="16"/>
          <w:szCs w:val="18"/>
          <w:vertAlign w:val="superscript"/>
          <w:lang w:val="es-CL" w:eastAsia="de-DE" w:bidi="en-US"/>
        </w:rPr>
        <w:t xml:space="preserve">1 </w:t>
      </w:r>
      <w:r w:rsidRPr="00210B6B">
        <w:rPr>
          <w:sz w:val="16"/>
          <w:szCs w:val="18"/>
          <w:lang w:val="es-CL" w:eastAsia="de-DE" w:bidi="en-US"/>
        </w:rPr>
        <w:t xml:space="preserve">Escuela de Kinesiología, Facultad de Salud y Odontología, Universidad Diego Portales, Santiago, Chile; </w:t>
      </w:r>
    </w:p>
    <w:p w14:paraId="10F41742" w14:textId="77777777" w:rsidR="00210B6B" w:rsidRPr="00210B6B" w:rsidRDefault="003404EE" w:rsidP="00210B6B">
      <w:pPr>
        <w:ind w:left="2550"/>
        <w:rPr>
          <w:sz w:val="16"/>
          <w:szCs w:val="18"/>
          <w:lang w:val="es-CL" w:eastAsia="de-DE" w:bidi="en-US"/>
        </w:rPr>
      </w:pPr>
      <w:hyperlink r:id="rId9" w:history="1">
        <w:r w:rsidR="00210B6B" w:rsidRPr="00210B6B">
          <w:rPr>
            <w:rStyle w:val="Hyperlink"/>
            <w:sz w:val="16"/>
            <w:szCs w:val="18"/>
            <w:lang w:val="es-CL" w:eastAsia="de-DE" w:bidi="en-US"/>
          </w:rPr>
          <w:t>kabir.sadarangani@gmail.com</w:t>
        </w:r>
      </w:hyperlink>
    </w:p>
    <w:p w14:paraId="30E05B9E" w14:textId="77777777" w:rsidR="00092FFF" w:rsidRDefault="00210B6B" w:rsidP="00092FFF">
      <w:pPr>
        <w:ind w:left="2550"/>
        <w:rPr>
          <w:sz w:val="16"/>
          <w:szCs w:val="18"/>
          <w:lang w:val="es-CL" w:eastAsia="de-DE" w:bidi="en-US"/>
        </w:rPr>
      </w:pPr>
      <w:r w:rsidRPr="00210B6B">
        <w:rPr>
          <w:sz w:val="16"/>
          <w:szCs w:val="18"/>
          <w:vertAlign w:val="superscript"/>
          <w:lang w:val="es-CL" w:eastAsia="de-DE" w:bidi="en-US"/>
        </w:rPr>
        <w:t>2</w:t>
      </w:r>
      <w:r w:rsidRPr="00210B6B">
        <w:rPr>
          <w:sz w:val="16"/>
          <w:szCs w:val="18"/>
          <w:lang w:val="es-CL" w:eastAsia="de-DE" w:bidi="en-US"/>
        </w:rPr>
        <w:t xml:space="preserve"> Universidad Autónoma de Chile, Chile; </w:t>
      </w:r>
      <w:hyperlink r:id="rId10" w:history="1">
        <w:r w:rsidRPr="00210B6B">
          <w:rPr>
            <w:rStyle w:val="Hyperlink"/>
            <w:sz w:val="16"/>
            <w:szCs w:val="18"/>
            <w:lang w:val="es-CL" w:eastAsia="de-DE" w:bidi="en-US"/>
          </w:rPr>
          <w:t>kabir.sadarangani@gmail.com</w:t>
        </w:r>
      </w:hyperlink>
    </w:p>
    <w:p w14:paraId="4870A692" w14:textId="2821589D" w:rsidR="00092FFF" w:rsidRDefault="00210B6B" w:rsidP="00092FFF">
      <w:pPr>
        <w:ind w:left="2550"/>
        <w:rPr>
          <w:sz w:val="16"/>
          <w:szCs w:val="18"/>
          <w:lang w:val="es-CL" w:eastAsia="de-DE" w:bidi="en-US"/>
        </w:rPr>
      </w:pPr>
      <w:r w:rsidRPr="00210B6B">
        <w:rPr>
          <w:sz w:val="16"/>
          <w:szCs w:val="18"/>
          <w:vertAlign w:val="superscript"/>
          <w:lang w:val="es-CL" w:eastAsia="de-DE" w:bidi="en-US"/>
        </w:rPr>
        <w:t>3</w:t>
      </w:r>
      <w:r w:rsidR="00EB5F86">
        <w:rPr>
          <w:sz w:val="16"/>
          <w:szCs w:val="18"/>
          <w:vertAlign w:val="superscript"/>
          <w:lang w:val="es-CL" w:eastAsia="de-DE" w:bidi="en-US"/>
        </w:rPr>
        <w:t xml:space="preserve"> </w:t>
      </w:r>
      <w:r w:rsidRPr="00EB5F86">
        <w:rPr>
          <w:sz w:val="16"/>
          <w:szCs w:val="18"/>
          <w:lang w:val="es-CL" w:eastAsia="de-DE" w:bidi="en-US"/>
        </w:rPr>
        <w:t xml:space="preserve">Laboratorio </w:t>
      </w:r>
      <w:r w:rsidRPr="00210B6B">
        <w:rPr>
          <w:sz w:val="16"/>
          <w:szCs w:val="18"/>
          <w:lang w:val="es-CL" w:eastAsia="de-DE" w:bidi="en-US"/>
        </w:rPr>
        <w:t xml:space="preserve">de Estudios en Actividad Física (LEAF), Universidad de Flores (UFLO), Argentina; </w:t>
      </w:r>
      <w:hyperlink r:id="rId11" w:history="1">
        <w:r w:rsidR="00092FFF" w:rsidRPr="00830553">
          <w:rPr>
            <w:rStyle w:val="Hyperlink"/>
            <w:sz w:val="16"/>
            <w:szCs w:val="18"/>
            <w:lang w:val="es-CL" w:eastAsia="de-DE" w:bidi="en-US"/>
          </w:rPr>
          <w:t>gabriela.deroia@uflouniversidad.edu.ar</w:t>
        </w:r>
      </w:hyperlink>
      <w:r w:rsidR="00092FFF">
        <w:rPr>
          <w:sz w:val="16"/>
          <w:szCs w:val="18"/>
          <w:lang w:val="es-CL" w:eastAsia="de-DE" w:bidi="en-US"/>
        </w:rPr>
        <w:t xml:space="preserve"> ; </w:t>
      </w:r>
      <w:hyperlink r:id="rId12" w:history="1">
        <w:r w:rsidR="00092FFF" w:rsidRPr="00830553">
          <w:rPr>
            <w:rStyle w:val="Hyperlink"/>
            <w:sz w:val="16"/>
            <w:szCs w:val="18"/>
            <w:lang w:val="es-CL" w:eastAsia="de-DE" w:bidi="en-US"/>
          </w:rPr>
          <w:t>pablo.lobo@uflouniversidad.edu.ar</w:t>
        </w:r>
      </w:hyperlink>
    </w:p>
    <w:p w14:paraId="0991722B" w14:textId="30625C03" w:rsidR="00210B6B" w:rsidRPr="00210B6B" w:rsidRDefault="00210B6B" w:rsidP="00092FFF">
      <w:pPr>
        <w:ind w:left="2550"/>
        <w:rPr>
          <w:sz w:val="16"/>
          <w:szCs w:val="18"/>
          <w:lang w:val="es-CL" w:eastAsia="de-DE" w:bidi="en-US"/>
        </w:rPr>
      </w:pPr>
      <w:r w:rsidRPr="00210B6B">
        <w:rPr>
          <w:sz w:val="16"/>
          <w:szCs w:val="18"/>
          <w:vertAlign w:val="superscript"/>
          <w:lang w:val="es-CL" w:eastAsia="de-DE" w:bidi="en-US"/>
        </w:rPr>
        <w:t>4</w:t>
      </w:r>
      <w:r w:rsidRPr="00210B6B">
        <w:rPr>
          <w:sz w:val="16"/>
          <w:szCs w:val="18"/>
          <w:lang w:val="es-CL" w:eastAsia="de-DE" w:bidi="en-US"/>
        </w:rPr>
        <w:t xml:space="preserve"> Facultad de Medicina, Universidad Andres Bello, Santiago, Chile; </w:t>
      </w:r>
      <w:hyperlink r:id="rId13" w:history="1">
        <w:r w:rsidRPr="00210B6B">
          <w:rPr>
            <w:rStyle w:val="Hyperlink"/>
            <w:sz w:val="16"/>
            <w:szCs w:val="18"/>
            <w:lang w:val="es-CL" w:eastAsia="de-DE" w:bidi="en-US"/>
          </w:rPr>
          <w:t>robinsonchavez@gmail.com</w:t>
        </w:r>
      </w:hyperlink>
    </w:p>
    <w:p w14:paraId="2BD59EFC" w14:textId="77777777" w:rsidR="00210B6B" w:rsidRDefault="00210B6B" w:rsidP="00210B6B">
      <w:pPr>
        <w:ind w:left="2040" w:firstLine="510"/>
        <w:rPr>
          <w:sz w:val="16"/>
          <w:szCs w:val="18"/>
          <w:lang w:eastAsia="de-DE" w:bidi="en-US"/>
        </w:rPr>
      </w:pPr>
      <w:r w:rsidRPr="00F52536">
        <w:rPr>
          <w:sz w:val="16"/>
          <w:szCs w:val="18"/>
          <w:vertAlign w:val="superscript"/>
          <w:lang w:eastAsia="de-DE" w:bidi="en-US"/>
        </w:rPr>
        <w:t>5</w:t>
      </w:r>
      <w:r w:rsidRPr="00F52536">
        <w:rPr>
          <w:sz w:val="16"/>
          <w:szCs w:val="18"/>
          <w:lang w:eastAsia="de-DE" w:bidi="en-US"/>
        </w:rPr>
        <w:t xml:space="preserve"> Department of Kinesiology, Iowa State University, Ames, IA 50011, USA; </w:t>
      </w:r>
      <w:hyperlink r:id="rId14" w:history="1">
        <w:r w:rsidRPr="00F52536">
          <w:rPr>
            <w:rStyle w:val="Hyperlink"/>
            <w:sz w:val="16"/>
            <w:szCs w:val="18"/>
            <w:lang w:eastAsia="de-DE" w:bidi="en-US"/>
          </w:rPr>
          <w:t>jdmeyer3@iastate.edu</w:t>
        </w:r>
      </w:hyperlink>
    </w:p>
    <w:p w14:paraId="3D40E856" w14:textId="77777777" w:rsidR="00210B6B" w:rsidRDefault="00210B6B" w:rsidP="00210B6B">
      <w:pPr>
        <w:ind w:left="2040" w:firstLine="510"/>
        <w:rPr>
          <w:sz w:val="16"/>
          <w:szCs w:val="18"/>
          <w:lang w:eastAsia="de-DE" w:bidi="en-US"/>
        </w:rPr>
      </w:pPr>
      <w:r w:rsidRPr="00F52536">
        <w:rPr>
          <w:sz w:val="16"/>
          <w:szCs w:val="18"/>
          <w:vertAlign w:val="superscript"/>
          <w:lang w:eastAsia="de-DE" w:bidi="en-US"/>
        </w:rPr>
        <w:t>6</w:t>
      </w:r>
      <w:r w:rsidRPr="00F52536">
        <w:rPr>
          <w:sz w:val="16"/>
          <w:szCs w:val="18"/>
          <w:lang w:eastAsia="de-DE" w:bidi="en-US"/>
        </w:rPr>
        <w:t xml:space="preserve"> IRyS Group, Physical Education School, Pontificia Universidad Católica de Valparaíso, Valparaíso, Chile; </w:t>
      </w:r>
      <w:r>
        <w:rPr>
          <w:sz w:val="16"/>
          <w:szCs w:val="18"/>
          <w:lang w:eastAsia="de-DE" w:bidi="en-US"/>
        </w:rPr>
        <w:t xml:space="preserve">     </w:t>
      </w:r>
    </w:p>
    <w:p w14:paraId="7E1E0D52" w14:textId="77777777" w:rsidR="00210B6B" w:rsidRDefault="001F7010" w:rsidP="00210B6B">
      <w:pPr>
        <w:ind w:left="2040" w:firstLine="510"/>
        <w:rPr>
          <w:sz w:val="16"/>
          <w:szCs w:val="18"/>
          <w:lang w:eastAsia="de-DE" w:bidi="en-US"/>
        </w:rPr>
      </w:pPr>
      <w:hyperlink r:id="rId15" w:history="1">
        <w:r w:rsidR="00210B6B" w:rsidRPr="00830553">
          <w:rPr>
            <w:rStyle w:val="Hyperlink"/>
            <w:sz w:val="16"/>
            <w:szCs w:val="18"/>
            <w:lang w:eastAsia="de-DE" w:bidi="en-US"/>
          </w:rPr>
          <w:t>carlos.cristi.montero@gmail.com</w:t>
        </w:r>
      </w:hyperlink>
    </w:p>
    <w:p w14:paraId="61F1FA13" w14:textId="77777777" w:rsidR="00210B6B" w:rsidRDefault="00210B6B" w:rsidP="00210B6B">
      <w:pPr>
        <w:ind w:left="2550"/>
        <w:rPr>
          <w:sz w:val="16"/>
          <w:szCs w:val="18"/>
          <w:lang w:eastAsia="de-DE" w:bidi="en-US"/>
        </w:rPr>
      </w:pPr>
      <w:r w:rsidRPr="00F52536">
        <w:rPr>
          <w:sz w:val="16"/>
          <w:szCs w:val="18"/>
          <w:vertAlign w:val="superscript"/>
          <w:lang w:eastAsia="de-DE" w:bidi="en-US"/>
        </w:rPr>
        <w:t>7</w:t>
      </w:r>
      <w:r w:rsidRPr="00F52536">
        <w:rPr>
          <w:sz w:val="16"/>
          <w:szCs w:val="18"/>
          <w:lang w:eastAsia="de-DE" w:bidi="en-US"/>
        </w:rPr>
        <w:t xml:space="preserve"> Department of Preventive Medicine and Public Health, Universidad Autónoma de Madrid/IdiPaz, CIBER of Epidemiology and Public Health (CIBERESP), Madrid, Spain; IMDEA Food Institute, CEI UAM+CSIC, Madrid, Spain</w:t>
      </w:r>
      <w:r>
        <w:rPr>
          <w:sz w:val="16"/>
          <w:szCs w:val="18"/>
          <w:lang w:eastAsia="de-DE" w:bidi="en-US"/>
        </w:rPr>
        <w:t>;</w:t>
      </w:r>
      <w:r w:rsidRPr="00F52536">
        <w:rPr>
          <w:sz w:val="16"/>
          <w:szCs w:val="18"/>
          <w:lang w:eastAsia="de-DE" w:bidi="en-US"/>
        </w:rPr>
        <w:t xml:space="preserve"> </w:t>
      </w:r>
      <w:hyperlink r:id="rId16" w:history="1">
        <w:r w:rsidRPr="00830553">
          <w:rPr>
            <w:rStyle w:val="Hyperlink"/>
            <w:sz w:val="16"/>
            <w:szCs w:val="18"/>
            <w:lang w:eastAsia="de-DE" w:bidi="en-US"/>
          </w:rPr>
          <w:t>d.martinez@uam.es</w:t>
        </w:r>
      </w:hyperlink>
    </w:p>
    <w:p w14:paraId="1B138B56" w14:textId="77777777" w:rsidR="00210B6B" w:rsidRPr="00210B6B" w:rsidRDefault="00210B6B" w:rsidP="00210B6B">
      <w:pPr>
        <w:ind w:left="2550"/>
        <w:rPr>
          <w:sz w:val="16"/>
          <w:szCs w:val="18"/>
          <w:lang w:val="es-CL" w:eastAsia="de-DE" w:bidi="en-US"/>
        </w:rPr>
      </w:pPr>
      <w:r w:rsidRPr="00EB5F86">
        <w:rPr>
          <w:sz w:val="16"/>
          <w:szCs w:val="18"/>
          <w:vertAlign w:val="superscript"/>
          <w:lang w:val="es-CL" w:eastAsia="de-DE" w:bidi="en-US"/>
        </w:rPr>
        <w:t>8</w:t>
      </w:r>
      <w:r w:rsidRPr="00210B6B">
        <w:rPr>
          <w:sz w:val="16"/>
          <w:szCs w:val="18"/>
          <w:lang w:val="es-CL" w:eastAsia="de-DE" w:bidi="en-US"/>
        </w:rPr>
        <w:t xml:space="preserve"> Escuela de Ciencias de la Actividad Física, el Deporte y la Salud, Universidad de Santiago de Chile (USACH), Chile; </w:t>
      </w:r>
      <w:hyperlink r:id="rId17" w:history="1">
        <w:r w:rsidRPr="00210B6B">
          <w:rPr>
            <w:rStyle w:val="Hyperlink"/>
            <w:sz w:val="16"/>
            <w:szCs w:val="18"/>
            <w:lang w:val="es-CL" w:eastAsia="de-DE" w:bidi="en-US"/>
          </w:rPr>
          <w:t>gerson.demoraes@usach.cl</w:t>
        </w:r>
      </w:hyperlink>
    </w:p>
    <w:p w14:paraId="57D53350" w14:textId="77777777" w:rsidR="00210B6B" w:rsidRDefault="00210B6B" w:rsidP="00210B6B">
      <w:pPr>
        <w:ind w:left="2550"/>
        <w:rPr>
          <w:sz w:val="16"/>
          <w:szCs w:val="18"/>
          <w:lang w:eastAsia="de-DE" w:bidi="en-US"/>
        </w:rPr>
      </w:pPr>
      <w:r w:rsidRPr="00EB5F86">
        <w:rPr>
          <w:sz w:val="16"/>
          <w:szCs w:val="18"/>
          <w:vertAlign w:val="superscript"/>
          <w:lang w:eastAsia="de-DE" w:bidi="en-US"/>
        </w:rPr>
        <w:t>9</w:t>
      </w:r>
      <w:r w:rsidRPr="002B7B4E">
        <w:rPr>
          <w:sz w:val="16"/>
          <w:szCs w:val="18"/>
          <w:lang w:eastAsia="de-DE" w:bidi="en-US"/>
        </w:rPr>
        <w:t xml:space="preserve"> Department of Sports Methods and Techniques, Federal University of Santa Maria, Santa Maria, RS, Brazil</w:t>
      </w:r>
      <w:r>
        <w:rPr>
          <w:sz w:val="16"/>
          <w:szCs w:val="18"/>
          <w:lang w:eastAsia="de-DE" w:bidi="en-US"/>
        </w:rPr>
        <w:t xml:space="preserve">; </w:t>
      </w:r>
      <w:hyperlink r:id="rId18" w:history="1">
        <w:r w:rsidRPr="00830553">
          <w:rPr>
            <w:rStyle w:val="Hyperlink"/>
            <w:sz w:val="16"/>
            <w:szCs w:val="18"/>
            <w:lang w:eastAsia="de-DE" w:bidi="en-US"/>
          </w:rPr>
          <w:t>felipe.schuch@ufsm.br</w:t>
        </w:r>
      </w:hyperlink>
      <w:r w:rsidRPr="002B7B4E">
        <w:rPr>
          <w:sz w:val="16"/>
          <w:szCs w:val="18"/>
          <w:lang w:eastAsia="de-DE" w:bidi="en-US"/>
        </w:rPr>
        <w:t>.</w:t>
      </w:r>
    </w:p>
    <w:p w14:paraId="291E726F" w14:textId="77777777" w:rsidR="00210B6B" w:rsidRDefault="00210B6B" w:rsidP="00210B6B">
      <w:pPr>
        <w:rPr>
          <w:sz w:val="16"/>
          <w:szCs w:val="18"/>
          <w:lang w:eastAsia="de-DE" w:bidi="en-US"/>
        </w:rPr>
      </w:pPr>
      <w:r w:rsidRPr="002B7B4E">
        <w:rPr>
          <w:sz w:val="16"/>
          <w:szCs w:val="18"/>
          <w:vertAlign w:val="superscript"/>
          <w:lang w:eastAsia="de-DE" w:bidi="en-US"/>
        </w:rPr>
        <w:t>10</w:t>
      </w:r>
      <w:r>
        <w:rPr>
          <w:sz w:val="16"/>
          <w:szCs w:val="18"/>
          <w:lang w:eastAsia="de-DE" w:bidi="en-US"/>
        </w:rPr>
        <w:t xml:space="preserve"> </w:t>
      </w:r>
      <w:r w:rsidRPr="002B7B4E">
        <w:rPr>
          <w:sz w:val="16"/>
          <w:szCs w:val="18"/>
          <w:lang w:eastAsia="de-DE" w:bidi="en-US"/>
        </w:rPr>
        <w:t>Polibienestar Research Institute, University of Valencia, Valencia, Spain</w:t>
      </w:r>
      <w:r>
        <w:rPr>
          <w:sz w:val="16"/>
          <w:szCs w:val="18"/>
          <w:lang w:eastAsia="de-DE" w:bidi="en-US"/>
        </w:rPr>
        <w:t xml:space="preserve">; </w:t>
      </w:r>
      <w:hyperlink r:id="rId19" w:history="1">
        <w:r w:rsidRPr="00830553">
          <w:rPr>
            <w:rStyle w:val="Hyperlink"/>
            <w:sz w:val="16"/>
            <w:szCs w:val="18"/>
            <w:lang w:eastAsia="de-DE" w:bidi="en-US"/>
          </w:rPr>
          <w:t>alejandro.gil.salmeron@uv.es</w:t>
        </w:r>
      </w:hyperlink>
    </w:p>
    <w:p w14:paraId="1018D528" w14:textId="77777777" w:rsidR="00210B6B" w:rsidRDefault="00210B6B" w:rsidP="00210B6B">
      <w:pPr>
        <w:rPr>
          <w:sz w:val="16"/>
          <w:szCs w:val="18"/>
          <w:lang w:eastAsia="de-DE" w:bidi="en-US"/>
        </w:rPr>
      </w:pPr>
      <w:r w:rsidRPr="006E7AC8">
        <w:rPr>
          <w:sz w:val="16"/>
          <w:szCs w:val="18"/>
          <w:vertAlign w:val="superscript"/>
          <w:lang w:eastAsia="de-DE" w:bidi="en-US"/>
        </w:rPr>
        <w:t>11</w:t>
      </w:r>
      <w:r>
        <w:rPr>
          <w:sz w:val="16"/>
          <w:szCs w:val="18"/>
          <w:lang w:eastAsia="de-DE" w:bidi="en-US"/>
        </w:rPr>
        <w:t xml:space="preserve"> </w:t>
      </w:r>
      <w:r w:rsidRPr="006E7AC8">
        <w:rPr>
          <w:sz w:val="16"/>
          <w:szCs w:val="18"/>
          <w:lang w:eastAsia="de-DE" w:bidi="en-US"/>
        </w:rPr>
        <w:t>Department of Neurosciences, University of Padova, Padova, Italy; Local Health Unit 17, Mental Health Department, Padova, Italy; Institute of Clinical Research and Education in Medicine (IREM), Padova, Italy</w:t>
      </w:r>
      <w:r>
        <w:rPr>
          <w:sz w:val="16"/>
          <w:szCs w:val="18"/>
          <w:lang w:eastAsia="de-DE" w:bidi="en-US"/>
        </w:rPr>
        <w:t xml:space="preserve">; </w:t>
      </w:r>
      <w:hyperlink r:id="rId20" w:history="1">
        <w:r w:rsidRPr="00830553">
          <w:rPr>
            <w:rStyle w:val="Hyperlink"/>
            <w:sz w:val="16"/>
            <w:szCs w:val="18"/>
            <w:lang w:eastAsia="de-DE" w:bidi="en-US"/>
          </w:rPr>
          <w:t>marco.solmi83@gmail.com</w:t>
        </w:r>
      </w:hyperlink>
    </w:p>
    <w:p w14:paraId="23B6284A" w14:textId="77777777" w:rsidR="00210B6B" w:rsidRDefault="00210B6B" w:rsidP="00210B6B">
      <w:pPr>
        <w:rPr>
          <w:sz w:val="16"/>
          <w:szCs w:val="18"/>
          <w:lang w:eastAsia="de-DE" w:bidi="en-US"/>
        </w:rPr>
      </w:pPr>
      <w:r>
        <w:rPr>
          <w:sz w:val="16"/>
          <w:szCs w:val="18"/>
          <w:vertAlign w:val="superscript"/>
          <w:lang w:eastAsia="de-DE" w:bidi="en-US"/>
        </w:rPr>
        <w:t>12</w:t>
      </w:r>
      <w:r>
        <w:rPr>
          <w:sz w:val="16"/>
          <w:szCs w:val="18"/>
          <w:lang w:eastAsia="de-DE" w:bidi="en-US"/>
        </w:rPr>
        <w:t xml:space="preserve"> </w:t>
      </w:r>
      <w:r w:rsidRPr="006E7AC8">
        <w:rPr>
          <w:sz w:val="16"/>
          <w:szCs w:val="18"/>
          <w:lang w:eastAsia="de-DE" w:bidi="en-US"/>
        </w:rPr>
        <w:t>Geriatrics Section, Department of Medicine (DIMED), University of Padova, Padova, Italy; Institute of Clinical Research and Education in Medicine (IREM), Padova, Italy</w:t>
      </w:r>
      <w:r>
        <w:rPr>
          <w:sz w:val="16"/>
          <w:szCs w:val="18"/>
          <w:lang w:eastAsia="de-DE" w:bidi="en-US"/>
        </w:rPr>
        <w:t>;</w:t>
      </w:r>
      <w:r w:rsidRPr="006E7AC8">
        <w:rPr>
          <w:sz w:val="16"/>
          <w:szCs w:val="18"/>
          <w:lang w:eastAsia="de-DE" w:bidi="en-US"/>
        </w:rPr>
        <w:t xml:space="preserve"> </w:t>
      </w:r>
      <w:hyperlink r:id="rId21" w:history="1">
        <w:r w:rsidRPr="00830553">
          <w:rPr>
            <w:rStyle w:val="Hyperlink"/>
            <w:sz w:val="16"/>
            <w:szCs w:val="18"/>
            <w:lang w:eastAsia="de-DE" w:bidi="en-US"/>
          </w:rPr>
          <w:t>ilmannato@gmail.com</w:t>
        </w:r>
      </w:hyperlink>
    </w:p>
    <w:p w14:paraId="1E3460AC" w14:textId="77777777" w:rsidR="00210B6B" w:rsidRDefault="00210B6B" w:rsidP="00210B6B">
      <w:pPr>
        <w:rPr>
          <w:sz w:val="16"/>
          <w:szCs w:val="18"/>
          <w:lang w:eastAsia="de-DE" w:bidi="en-US"/>
        </w:rPr>
      </w:pPr>
      <w:r w:rsidRPr="006E7AC8">
        <w:rPr>
          <w:sz w:val="16"/>
          <w:szCs w:val="18"/>
          <w:vertAlign w:val="superscript"/>
          <w:lang w:eastAsia="de-DE" w:bidi="en-US"/>
        </w:rPr>
        <w:t>13</w:t>
      </w:r>
      <w:r>
        <w:rPr>
          <w:sz w:val="16"/>
          <w:szCs w:val="18"/>
          <w:lang w:eastAsia="de-DE" w:bidi="en-US"/>
        </w:rPr>
        <w:t xml:space="preserve"> </w:t>
      </w:r>
      <w:r w:rsidRPr="006E7AC8">
        <w:rPr>
          <w:sz w:val="16"/>
          <w:szCs w:val="18"/>
          <w:lang w:eastAsia="de-DE" w:bidi="en-US"/>
        </w:rPr>
        <w:t>Department of Physical Therapy, College of Applied Medical Sciences, Taif University, Taif, Saudi Arabia</w:t>
      </w:r>
      <w:r>
        <w:rPr>
          <w:sz w:val="16"/>
          <w:szCs w:val="18"/>
          <w:lang w:eastAsia="de-DE" w:bidi="en-US"/>
        </w:rPr>
        <w:t xml:space="preserve">; </w:t>
      </w:r>
    </w:p>
    <w:p w14:paraId="5A6D6C64" w14:textId="64F5FCE0" w:rsidR="00210B6B" w:rsidRDefault="001F7010" w:rsidP="00210B6B">
      <w:pPr>
        <w:rPr>
          <w:sz w:val="16"/>
          <w:szCs w:val="18"/>
          <w:lang w:eastAsia="de-DE" w:bidi="en-US"/>
        </w:rPr>
      </w:pPr>
      <w:hyperlink r:id="rId22" w:history="1">
        <w:r w:rsidR="00210B6B" w:rsidRPr="00830553">
          <w:rPr>
            <w:rStyle w:val="Hyperlink"/>
            <w:sz w:val="16"/>
            <w:szCs w:val="18"/>
            <w:lang w:eastAsia="de-DE" w:bidi="en-US"/>
          </w:rPr>
          <w:t>halzahrani@tu.edu.sa</w:t>
        </w:r>
      </w:hyperlink>
    </w:p>
    <w:p w14:paraId="32E4243A" w14:textId="77777777" w:rsidR="00210B6B" w:rsidRDefault="00210B6B" w:rsidP="00210B6B">
      <w:pPr>
        <w:rPr>
          <w:sz w:val="16"/>
          <w:szCs w:val="18"/>
          <w:lang w:eastAsia="de-DE" w:bidi="en-US"/>
        </w:rPr>
      </w:pPr>
      <w:r>
        <w:rPr>
          <w:sz w:val="16"/>
          <w:szCs w:val="18"/>
          <w:vertAlign w:val="superscript"/>
          <w:lang w:eastAsia="de-DE" w:bidi="en-US"/>
        </w:rPr>
        <w:t>14</w:t>
      </w:r>
      <w:r>
        <w:rPr>
          <w:sz w:val="16"/>
          <w:szCs w:val="18"/>
          <w:lang w:eastAsia="de-DE" w:bidi="en-US"/>
        </w:rPr>
        <w:t xml:space="preserve"> </w:t>
      </w:r>
      <w:r w:rsidRPr="009F0BD9">
        <w:rPr>
          <w:sz w:val="16"/>
          <w:szCs w:val="18"/>
          <w:lang w:eastAsia="de-DE" w:bidi="en-US"/>
        </w:rPr>
        <w:t>Department of Social and Preventive Medicine, Centre for Public Health, Medical University of Vienna, Vienna, Austria</w:t>
      </w:r>
      <w:r>
        <w:rPr>
          <w:sz w:val="16"/>
          <w:szCs w:val="18"/>
          <w:lang w:eastAsia="de-DE" w:bidi="en-US"/>
        </w:rPr>
        <w:t xml:space="preserve">; </w:t>
      </w:r>
      <w:hyperlink r:id="rId23" w:history="1">
        <w:r w:rsidRPr="00830553">
          <w:rPr>
            <w:rStyle w:val="Hyperlink"/>
            <w:sz w:val="16"/>
            <w:szCs w:val="18"/>
            <w:lang w:eastAsia="de-DE" w:bidi="en-US"/>
          </w:rPr>
          <w:t>igor.grabovac@meduniwien.ac.at</w:t>
        </w:r>
      </w:hyperlink>
    </w:p>
    <w:p w14:paraId="754E8E1F" w14:textId="77777777" w:rsidR="00210B6B" w:rsidRDefault="00210B6B" w:rsidP="00210B6B">
      <w:pPr>
        <w:rPr>
          <w:sz w:val="16"/>
          <w:szCs w:val="18"/>
          <w:lang w:eastAsia="de-DE" w:bidi="en-US"/>
        </w:rPr>
      </w:pPr>
      <w:r>
        <w:rPr>
          <w:sz w:val="16"/>
          <w:szCs w:val="18"/>
          <w:vertAlign w:val="superscript"/>
          <w:lang w:eastAsia="de-DE" w:bidi="en-US"/>
        </w:rPr>
        <w:t>15</w:t>
      </w:r>
      <w:r>
        <w:rPr>
          <w:sz w:val="16"/>
          <w:szCs w:val="18"/>
          <w:lang w:eastAsia="de-DE" w:bidi="en-US"/>
        </w:rPr>
        <w:t xml:space="preserve"> </w:t>
      </w:r>
      <w:r w:rsidRPr="009F0BD9">
        <w:rPr>
          <w:sz w:val="16"/>
          <w:szCs w:val="18"/>
          <w:lang w:eastAsia="de-DE" w:bidi="en-US"/>
        </w:rPr>
        <w:t>School of Sport, Exercise and Rehabilitation, Human Performance Research Centre, University of Technology Sydney, Sydney, NSW, Australia</w:t>
      </w:r>
      <w:r>
        <w:rPr>
          <w:sz w:val="16"/>
          <w:szCs w:val="18"/>
          <w:lang w:eastAsia="de-DE" w:bidi="en-US"/>
        </w:rPr>
        <w:t xml:space="preserve">; </w:t>
      </w:r>
      <w:hyperlink r:id="rId24" w:history="1">
        <w:r w:rsidRPr="00830553">
          <w:rPr>
            <w:rStyle w:val="Hyperlink"/>
            <w:sz w:val="16"/>
            <w:szCs w:val="18"/>
            <w:lang w:eastAsia="de-DE" w:bidi="en-US"/>
          </w:rPr>
          <w:t>Cristina.Caperchione@uts.edu.au</w:t>
        </w:r>
      </w:hyperlink>
    </w:p>
    <w:p w14:paraId="61AF3F49" w14:textId="4D05C724" w:rsidR="00210B6B" w:rsidRPr="00EB5F86" w:rsidRDefault="00EB5F86" w:rsidP="00EB5F86">
      <w:pPr>
        <w:rPr>
          <w:sz w:val="16"/>
          <w:szCs w:val="18"/>
          <w:lang w:eastAsia="de-DE" w:bidi="en-US"/>
        </w:rPr>
      </w:pPr>
      <w:r>
        <w:rPr>
          <w:sz w:val="16"/>
          <w:szCs w:val="18"/>
          <w:vertAlign w:val="superscript"/>
          <w:lang w:eastAsia="de-DE" w:bidi="en-US"/>
        </w:rPr>
        <w:t xml:space="preserve">16 </w:t>
      </w:r>
      <w:r w:rsidR="00210B6B" w:rsidRPr="00EB5F86">
        <w:rPr>
          <w:sz w:val="16"/>
          <w:szCs w:val="18"/>
          <w:lang w:eastAsia="de-DE" w:bidi="en-US"/>
        </w:rPr>
        <w:t xml:space="preserve">Institute of Mental Health Sciences, School of Health Sciences, Ulster University, Newtownabbey, UK; </w:t>
      </w:r>
      <w:hyperlink r:id="rId25" w:history="1">
        <w:r w:rsidR="00210B6B" w:rsidRPr="00EB5F86">
          <w:rPr>
            <w:rStyle w:val="Hyperlink"/>
            <w:sz w:val="16"/>
            <w:szCs w:val="18"/>
            <w:lang w:eastAsia="de-DE" w:bidi="en-US"/>
          </w:rPr>
          <w:t>m.tully@ulster.ac.uk</w:t>
        </w:r>
      </w:hyperlink>
    </w:p>
    <w:p w14:paraId="1B1BAF76" w14:textId="21F57A88" w:rsidR="00210B6B" w:rsidRPr="001836AE" w:rsidRDefault="00EB5F86" w:rsidP="00EB5F86">
      <w:pPr>
        <w:pStyle w:val="ListParagraph"/>
        <w:ind w:left="360"/>
        <w:rPr>
          <w:rFonts w:ascii="Palatino Linotype" w:hAnsi="Palatino Linotype"/>
          <w:color w:val="000000"/>
          <w:sz w:val="16"/>
          <w:szCs w:val="18"/>
          <w:lang w:val="en-US" w:eastAsia="de-DE" w:bidi="en-US"/>
        </w:rPr>
      </w:pPr>
      <w:r w:rsidRPr="00EB5F86">
        <w:rPr>
          <w:rFonts w:ascii="Palatino Linotype" w:hAnsi="Palatino Linotype"/>
          <w:color w:val="000000"/>
          <w:sz w:val="16"/>
          <w:szCs w:val="18"/>
          <w:vertAlign w:val="superscript"/>
          <w:lang w:val="en-US" w:eastAsia="de-DE" w:bidi="en-US"/>
        </w:rPr>
        <w:lastRenderedPageBreak/>
        <w:t>17</w:t>
      </w:r>
      <w:r>
        <w:rPr>
          <w:rFonts w:ascii="Palatino Linotype" w:hAnsi="Palatino Linotype"/>
          <w:color w:val="000000"/>
          <w:sz w:val="16"/>
          <w:szCs w:val="18"/>
          <w:lang w:val="en-US" w:eastAsia="de-DE" w:bidi="en-US"/>
        </w:rPr>
        <w:t xml:space="preserve"> </w:t>
      </w:r>
      <w:r w:rsidR="00210B6B" w:rsidRPr="001836AE">
        <w:rPr>
          <w:rFonts w:ascii="Palatino Linotype" w:hAnsi="Palatino Linotype"/>
          <w:color w:val="000000"/>
          <w:sz w:val="16"/>
          <w:szCs w:val="18"/>
          <w:lang w:val="en-US" w:eastAsia="de-DE" w:bidi="en-US"/>
        </w:rPr>
        <w:t xml:space="preserve">The Cambridge Centre for Sport and Exercise Sciences, Anglia Ruskin University, Cambridge, CB1 1PT, UK; </w:t>
      </w:r>
      <w:hyperlink r:id="rId26" w:history="1">
        <w:r w:rsidR="00210B6B" w:rsidRPr="001836AE">
          <w:rPr>
            <w:rStyle w:val="Hyperlink"/>
            <w:rFonts w:ascii="Palatino Linotype" w:hAnsi="Palatino Linotype"/>
            <w:sz w:val="16"/>
            <w:szCs w:val="18"/>
            <w:lang w:val="en-US" w:eastAsia="de-DE" w:bidi="en-US"/>
          </w:rPr>
          <w:t>Lee.Smith@aru.ac.uk</w:t>
        </w:r>
      </w:hyperlink>
    </w:p>
    <w:p w14:paraId="1026F07A" w14:textId="788BEE32" w:rsidR="00210B6B" w:rsidRDefault="00210B6B" w:rsidP="00210B6B">
      <w:pPr>
        <w:pStyle w:val="ListParagraph"/>
        <w:rPr>
          <w:rFonts w:ascii="Palatino Linotype" w:hAnsi="Palatino Linotype"/>
          <w:color w:val="000000"/>
          <w:sz w:val="16"/>
          <w:szCs w:val="18"/>
          <w:lang w:val="en-US" w:eastAsia="de-DE" w:bidi="en-US"/>
        </w:rPr>
      </w:pPr>
      <w:r>
        <w:rPr>
          <w:rFonts w:ascii="Palatino Linotype" w:hAnsi="Palatino Linotype"/>
          <w:color w:val="000000"/>
          <w:sz w:val="16"/>
          <w:szCs w:val="18"/>
          <w:lang w:val="en-US" w:eastAsia="de-DE" w:bidi="en-US"/>
        </w:rPr>
        <w:t>*</w:t>
      </w:r>
      <w:r w:rsidRPr="001836AE">
        <w:rPr>
          <w:rFonts w:ascii="Palatino Linotype" w:hAnsi="Palatino Linotype"/>
          <w:color w:val="000000"/>
          <w:sz w:val="16"/>
          <w:szCs w:val="18"/>
          <w:lang w:val="en-US" w:eastAsia="de-DE" w:bidi="en-US"/>
        </w:rPr>
        <w:t xml:space="preserve">Correspondence: </w:t>
      </w:r>
      <w:hyperlink r:id="rId27" w:history="1">
        <w:r w:rsidRPr="00830553">
          <w:rPr>
            <w:rStyle w:val="Hyperlink"/>
            <w:rFonts w:ascii="Palatino Linotype" w:hAnsi="Palatino Linotype"/>
            <w:sz w:val="16"/>
            <w:szCs w:val="18"/>
            <w:lang w:val="en-US" w:eastAsia="de-DE" w:bidi="en-US"/>
          </w:rPr>
          <w:t>kabir.sadarangani@gmail.com</w:t>
        </w:r>
      </w:hyperlink>
    </w:p>
    <w:p w14:paraId="2B3DF0EC" w14:textId="77777777" w:rsidR="00210B6B" w:rsidRDefault="00210B6B" w:rsidP="00210B6B">
      <w:pPr>
        <w:pStyle w:val="ListParagraph"/>
        <w:rPr>
          <w:rFonts w:ascii="Palatino Linotype" w:hAnsi="Palatino Linotype"/>
          <w:color w:val="000000"/>
          <w:sz w:val="16"/>
          <w:szCs w:val="18"/>
          <w:lang w:val="en-US" w:eastAsia="de-DE" w:bidi="en-US"/>
        </w:rPr>
      </w:pPr>
    </w:p>
    <w:p w14:paraId="1CE7D874" w14:textId="001E2C79" w:rsidR="00E95E8B" w:rsidRPr="00E95E8B" w:rsidRDefault="00522304" w:rsidP="00E95E8B">
      <w:pPr>
        <w:pStyle w:val="MDPI17abstract"/>
        <w:rPr>
          <w:szCs w:val="18"/>
        </w:rPr>
      </w:pPr>
      <w:r w:rsidRPr="00550626">
        <w:rPr>
          <w:b/>
          <w:szCs w:val="18"/>
        </w:rPr>
        <w:t xml:space="preserve">Abstract: </w:t>
      </w:r>
      <w:r w:rsidR="00E736CC" w:rsidRPr="00E736CC">
        <w:rPr>
          <w:szCs w:val="18"/>
        </w:rPr>
        <w:t>Worldwide prevalence of insufficient physical activity (PA) and prolonged sedentary behavior (SB) were high before the coronavirus (COVID-19) pandemic. Measures taken by governments (such as home confinement) to control the spread of COVID-19 may have affected levels of PA and SB. This cross-sectional study among South American adults during the first months of COVID-19 aims to (</w:t>
      </w:r>
      <w:proofErr w:type="spellStart"/>
      <w:r w:rsidR="00E736CC" w:rsidRPr="00E736CC">
        <w:rPr>
          <w:szCs w:val="18"/>
        </w:rPr>
        <w:t>i</w:t>
      </w:r>
      <w:proofErr w:type="spellEnd"/>
      <w:r w:rsidR="00E736CC" w:rsidRPr="00E736CC">
        <w:rPr>
          <w:szCs w:val="18"/>
        </w:rPr>
        <w:t>) compare sitting time (ST), screen exposure, moderate PA (MPA), vigorous PA (VPA) and moderate-to-vigorous PA (MVPA) before and during lockdown to sociodemographic correlates and (ii) to assess the impact of lockdown on combinations of</w:t>
      </w:r>
      <w:r w:rsidR="00E736CC">
        <w:rPr>
          <w:szCs w:val="18"/>
        </w:rPr>
        <w:t xml:space="preserve"> </w:t>
      </w:r>
      <w:r w:rsidR="00E736CC" w:rsidRPr="00E736CC">
        <w:rPr>
          <w:szCs w:val="18"/>
        </w:rPr>
        <w:t xml:space="preserve">groups reporting meeting/not-meeting PA recommendations and engaging/not-engaging excessive ST (≥7 </w:t>
      </w:r>
      <w:proofErr w:type="spellStart"/>
      <w:r w:rsidR="00E736CC" w:rsidRPr="00E736CC">
        <w:rPr>
          <w:szCs w:val="18"/>
        </w:rPr>
        <w:t>hrs</w:t>
      </w:r>
      <w:proofErr w:type="spellEnd"/>
      <w:r w:rsidR="00E736CC" w:rsidRPr="00E736CC">
        <w:rPr>
          <w:szCs w:val="18"/>
        </w:rPr>
        <w:t>/day).</w:t>
      </w:r>
      <w:r w:rsidR="00E736CC">
        <w:rPr>
          <w:szCs w:val="18"/>
        </w:rPr>
        <w:t xml:space="preserve"> </w:t>
      </w:r>
      <w:r w:rsidR="003404EE">
        <w:rPr>
          <w:szCs w:val="18"/>
        </w:rPr>
        <w:t>Bivariate associations, effect size</w:t>
      </w:r>
      <w:r w:rsidR="00172C04">
        <w:rPr>
          <w:szCs w:val="18"/>
        </w:rPr>
        <w:t>s</w:t>
      </w:r>
      <w:r w:rsidR="00B02073">
        <w:rPr>
          <w:szCs w:val="18"/>
        </w:rPr>
        <w:t>,</w:t>
      </w:r>
      <w:r w:rsidR="00172C04">
        <w:rPr>
          <w:szCs w:val="18"/>
        </w:rPr>
        <w:t xml:space="preserve"> </w:t>
      </w:r>
      <w:r w:rsidR="003404EE">
        <w:rPr>
          <w:szCs w:val="18"/>
        </w:rPr>
        <w:t xml:space="preserve">and multivariable linear regressions were used. </w:t>
      </w:r>
      <w:r w:rsidR="00E736CC" w:rsidRPr="00E736CC">
        <w:rPr>
          <w:szCs w:val="18"/>
        </w:rPr>
        <w:t>Adults from Argentina (n=575) and Chile (n=730) completed an online survey with questions regarding demographics, lifestyle factors and chronic diseases. Mean reductions of 42.7 and</w:t>
      </w:r>
      <w:r w:rsidR="00E736CC">
        <w:rPr>
          <w:szCs w:val="18"/>
        </w:rPr>
        <w:t xml:space="preserve"> </w:t>
      </w:r>
      <w:r w:rsidR="00E736CC" w:rsidRPr="00E736CC">
        <w:rPr>
          <w:szCs w:val="18"/>
        </w:rPr>
        <w:t>22.0 min/day were shown in MPA and VPA, respectively; while increases of 212.4 and 164.3 min/day were observed in screen and ST, respectively. Those who met PA recommendations and spent &lt;7 hours/day</w:t>
      </w:r>
      <w:r w:rsidR="00E736CC">
        <w:rPr>
          <w:szCs w:val="18"/>
        </w:rPr>
        <w:t xml:space="preserve"> </w:t>
      </w:r>
      <w:r w:rsidR="00E736CC" w:rsidRPr="00E736CC">
        <w:rPr>
          <w:szCs w:val="18"/>
        </w:rPr>
        <w:t>of ST experienced greatest changes, reporting greater than 3 hours/day higher ST and more than 1.5 hours/day lower MVPA. Findings from the present study suggest that efforts to promote PA</w:t>
      </w:r>
      <w:r w:rsidR="00E736CC">
        <w:rPr>
          <w:szCs w:val="18"/>
        </w:rPr>
        <w:t xml:space="preserve"> </w:t>
      </w:r>
      <w:r w:rsidR="00E95E8B">
        <w:rPr>
          <w:szCs w:val="18"/>
        </w:rPr>
        <w:t xml:space="preserve">to </w:t>
      </w:r>
      <w:r w:rsidR="00E736CC" w:rsidRPr="00E736CC">
        <w:rPr>
          <w:szCs w:val="18"/>
        </w:rPr>
        <w:t>South American adults during and after COVID-19 restrictions are</w:t>
      </w:r>
      <w:r w:rsidR="00E736CC">
        <w:rPr>
          <w:szCs w:val="18"/>
        </w:rPr>
        <w:t xml:space="preserve"> needed. </w:t>
      </w:r>
    </w:p>
    <w:p w14:paraId="7056B4A5" w14:textId="77777777" w:rsidR="00E95E8B" w:rsidRDefault="00E95E8B" w:rsidP="00E95E8B">
      <w:pPr>
        <w:ind w:left="2098" w:firstLine="510"/>
        <w:rPr>
          <w:b/>
          <w:szCs w:val="18"/>
        </w:rPr>
      </w:pPr>
    </w:p>
    <w:p w14:paraId="32125755" w14:textId="229E9BAB" w:rsidR="00522304" w:rsidRPr="00E95E8B" w:rsidRDefault="00E95E8B" w:rsidP="00E95E8B">
      <w:pPr>
        <w:ind w:left="2098" w:firstLine="510"/>
        <w:rPr>
          <w:rFonts w:eastAsia="Times New Roman"/>
          <w:noProof w:val="0"/>
          <w:snapToGrid w:val="0"/>
          <w:sz w:val="18"/>
          <w:szCs w:val="18"/>
          <w:lang w:eastAsia="de-DE" w:bidi="en-US"/>
        </w:rPr>
      </w:pPr>
      <w:r>
        <w:rPr>
          <w:b/>
          <w:szCs w:val="18"/>
        </w:rPr>
        <w:t>K</w:t>
      </w:r>
      <w:r w:rsidR="00522304" w:rsidRPr="00550626">
        <w:rPr>
          <w:b/>
          <w:szCs w:val="18"/>
        </w:rPr>
        <w:t xml:space="preserve">eywords: </w:t>
      </w:r>
      <w:r w:rsidRPr="00E95E8B">
        <w:rPr>
          <w:rFonts w:eastAsia="Times New Roman"/>
          <w:noProof w:val="0"/>
          <w:snapToGrid w:val="0"/>
          <w:sz w:val="18"/>
          <w:szCs w:val="18"/>
          <w:lang w:eastAsia="de-DE" w:bidi="en-US"/>
        </w:rPr>
        <w:t xml:space="preserve">COVID-19, exercise, sedentary </w:t>
      </w:r>
      <w:r w:rsidR="00950D8B">
        <w:rPr>
          <w:rFonts w:eastAsia="Times New Roman"/>
          <w:noProof w:val="0"/>
          <w:snapToGrid w:val="0"/>
          <w:sz w:val="18"/>
          <w:szCs w:val="18"/>
          <w:lang w:eastAsia="de-DE" w:bidi="en-US"/>
        </w:rPr>
        <w:t>behavior,</w:t>
      </w:r>
      <w:r w:rsidRPr="00E95E8B">
        <w:rPr>
          <w:rFonts w:eastAsia="Times New Roman"/>
          <w:noProof w:val="0"/>
          <w:snapToGrid w:val="0"/>
          <w:sz w:val="18"/>
          <w:szCs w:val="18"/>
          <w:lang w:eastAsia="de-DE" w:bidi="en-US"/>
        </w:rPr>
        <w:t xml:space="preserve"> screen time, public health, health behavior</w:t>
      </w:r>
    </w:p>
    <w:p w14:paraId="04AD2788" w14:textId="77777777" w:rsidR="00522304" w:rsidRPr="00550626" w:rsidRDefault="00522304" w:rsidP="00522304">
      <w:pPr>
        <w:pStyle w:val="MDPI19line"/>
      </w:pPr>
    </w:p>
    <w:p w14:paraId="6E489ACF" w14:textId="77777777" w:rsidR="00522304" w:rsidRDefault="00522304" w:rsidP="00522304">
      <w:pPr>
        <w:pStyle w:val="MDPI21heading1"/>
        <w:rPr>
          <w:lang w:eastAsia="zh-CN"/>
        </w:rPr>
      </w:pPr>
      <w:r w:rsidRPr="007F2582">
        <w:rPr>
          <w:lang w:eastAsia="zh-CN"/>
        </w:rPr>
        <w:t>1. Introduction</w:t>
      </w:r>
    </w:p>
    <w:p w14:paraId="04C22ABD" w14:textId="77777777" w:rsidR="002053DC" w:rsidRPr="002053DC" w:rsidRDefault="002053DC" w:rsidP="002053DC">
      <w:pPr>
        <w:pStyle w:val="MDPI31text"/>
      </w:pPr>
      <w:r w:rsidRPr="00112DEB">
        <w:t>Chronic non-communicable</w:t>
      </w:r>
      <w:r w:rsidRPr="002053DC">
        <w:t xml:space="preserve"> diseases (NCDs) such as cardiovascular and respiratory diseases, type 2 diabetes, and some cancers are the main cause of morbidity and mortality worldwide </w:t>
      </w:r>
      <w:r w:rsidRPr="002053DC">
        <w:fldChar w:fldCharType="begin" w:fldLock="1"/>
      </w:r>
      <w:r w:rsidRPr="002053DC">
        <w:instrText>ADDIN CSL_CITATION {"citationItems":[{"id":"ITEM-1","itemData":{"DOI":"10.1016/S0140-6736(16)31679-8","ISSN":"1474547X","PMID":"27733284","abstract":"Background The Global Burden of Diseases, Injuries, and Risk Factors Study 2015 provides an up-to-date synthesis of the evidence for risk factor exposure and the attributable burden of disease. By providing national and subnational assessments spanning the past 25 years, this study can inform debates on the importance of addressing risks in context. Methods We used the comparative risk assessment framework developed for previous iterations of the Global Burden of Disease Study to estimate attributable deaths, disability-adjusted life-years (DALYs), and trends in exposure by age group, sex, year, and geography for 79 behavioural, environmental and occupational, and metabolic risks or clusters of risks from 1990 to 2015. This study included 388 risk-outcome pairs that met World Cancer Research Fund-defined criteria for convincing or probable evidence. We extracted relative risk and exposure estimates from randomised controlled trials, cohorts, pooled cohorts, household surveys, census data, satellite data, and other sources. We used statistical models to pool data, adjust for bias, and incorporate covariates. We developed a metric that allows comparisons of exposure across risk factors—the summary exposure value. Using the counterfactual scenario of theoretical minimum risk level, we estimated the portion of deaths and DALYs that could be attributed to a given risk. We decomposed trends in attributable burden into contributions from population growth, population age structure, risk exposure, and risk-deleted cause-specific DALY rates. We characterised risk exposure in relation to a Socio-demographic Index (SDI). Findings Between 1990 and 2015, global exposure to unsafe sanitation, household air pollution, childhood underweight, childhood stunting, and smoking each decreased by more than 25%. Global exposure for several occupational risks, high body-mass index (BMI), and drug use increased by more than 25% over the same period. All risks jointly evaluated in 2015 accounted for 57·8% (95% CI 56·6–58·8) of global deaths and 41·2% (39·8–42·8) of DALYs. In 2015, the ten largest contributors to global DALYs among Level 3 risks were high systolic blood pressure (211·8 million [192·7 million to 231·1 million] global DALYs), smoking (148·6 million [134·2 million to 163·1 million]), high fasting plasma glucose (143·1 million [125·1 million to 163·5 million]), high BMI (120·1 million [83·8 million to 158·4 million]), childhood undernutrition (113·3 million [103·9 mi…","author":[{"dropping-particle":"","family":"Forouzanfar","given":"M. H.","non-dropping-particle":"","parse-names":false,"suffix":""},{"dropping-particle":"","family":"Afshin","given":"A.","non-dropping-particle":"","parse-names":false,"suffix":""},{"dropping-particle":"","family":"Alexander","given":"L. T.","non-dropping-particle":"","parse-names":false,"suffix":""},{"dropping-particle":"","family":"Biryukov","given":"S.","non-dropping-particle":"","parse-names":false,"suffix":""},{"dropping-particle":"","family":"Brauer","given":"M.","non-dropping-particle":"","parse-names":false,"suffix":""},{"dropping-particle":"","family":"Cercy","given":"K.","non-dropping-particle":"","parse-names":false,"suffix":""},{"dropping-particle":"","family":"Charlson","given":"F. J.","non-dropping-particle":"","parse-names":false,"suffix":""},{"dropping-particle":"","family":"Cohen","given":"A. J.","non-dropping-particle":"","parse-names":false,"suffix":""},{"dropping-particle":"","family":"Dandona","given":"L.","non-dropping-particle":"","parse-names":false,"suffix":""},{"dropping-particle":"","family":"Estep","given":"K.","non-dropping-particle":"","parse-names":false,"suffix":""},{"dropping-particle":"","family":"Ferrari","given":"A. J.","non-dropping-particle":"","parse-names":false,"suffix":""},{"dropping-particle":"","family":"Frostad","given":"J. J.","non-dropping-particle":"","parse-names":false,"suffix":""},{"dropping-particle":"","family":"Fullman","given":"N.","non-dropping-particle":"","parse-names":false,"suffix":""},{"dropping-particle":"","family":"Godwin","given":"W. W.","non-dropping-particle":"","parse-names":false,"suffix":""},{"dropping-particle":"","family":"Griswold","given":"M.","non-dropping-particle":"","parse-names":false,"suffix":""},{"dropping-particle":"","family":"Hay","given":"S. I.","non-dropping-particle":"","parse-names":false,"suffix":""},{"dropping-particle":"","family":"Kyu","given":"H. H.","non-dropping-particle":"","parse-names":false,"suffix":""},{"dropping-particle":"","family":"Larson","given":"H. J.","non-dropping-particle":"","parse-names":false,"suffix":""},{"dropping-particle":"","family":"Lim","given":"S. S.","non-dropping-particle":"","parse-names":false,"suffix":""},{"dropping-particle":"","family":"Liu","given":"P. Y.","non-dropping-particle":"","parse-names":false,"suffix":""},{"dropping-particle":"","family":"Lopez","given":"A. D.","non-dropping-particle":"","parse-names":false,"suffix":""},{"dropping-particle":"","family":"Lozano","given":"R.","non-dropping-particle":"","parse-names":false,"suffix":""},{"dropping-particle":"","family":"Marczak","given":"L.","non-dropping-particle":"","parse-names":false,"suffix":""},{"dropping-particle":"","family":"Mokdad","given":"A. H.","non-dropping-particle":"","parse-names":false,"suffix":""},{"dropping-particle":"","family":"Moradi-Lakeh","given":"M.","non-dropping-particle":"","parse-names":false,"suffix":""},{"dropping-particle":"","family":"Naghavi","given":"M.","non-dropping-particle":"","parse-names":false,"suffix":""},{"dropping-particle":"","family":"Reitsma","given":"M. B.","non-dropping-particle":"","parse-names":false,"suffix":""},{"dropping-particle":"","family":"Roth","given":"G. A.","non-dropping-particle":"","parse-names":false,"suffix":""},{"dropping-particle":"","family":"Sur","given":"P. J.","non-dropping-particle":"","parse-names":false,"suffix":""},{"dropping-particle":"","family":"Vos","given":"T.","non-dropping-particle":"","parse-names":false,"suffix":""},{"dropping-particle":"","family":"Wagner","given":"J. A.","non-dropping-particle":"","parse-names":false,"suffix":""},{"dropping-particle":"","family":"Wang","given":"H.","non-dropping-particle":"","parse-names":false,"suffix":""},{"dropping-particle":"","family":"Zhao","given":"Y.","non-dropping-particle":"","parse-names":false,"suffix":""},{"dropping-particle":"","family":"Zhou","given":"M.","non-dropping-particle":"","parse-names":false,"suffix":""},{"dropping-particle":"","family":"Barber","given":"R. M.","non-dropping-particle":"","parse-names":false,"suffix":""},{"dropping-particle":"","family":"Bell","given":"B.","non-dropping-particle":"","parse-names":false,"suffix":""},{"dropping-particle":"","family":"Blore","given":"J. D.","non-dropping-particle":"","parse-names":false,"suffix":""},{"dropping-particle":"","family":"Casey","given":"D. C.","non-dropping-particle":"","parse-names":false,"suffix":""},{"dropping-particle":"","family":"Coates","given":"M. M.","non-dropping-particle":"","parse-names":false,"suffix":""},{"dropping-particle":"","family":"Cooperrider","given":"K.","non-dropping-particle":"","parse-names":false,"suffix":""},{"dropping-particle":"","family":"Cornaby","given":"L.","non-dropping-particle":"","parse-names":false,"suffix":""},{"dropping-particle":"","family":"Dicker","given":"D.","non-dropping-particle":"","parse-names":false,"suffix":""},{"dropping-particle":"","family":"Erskine","given":"H. E.","non-dropping-particle":"","parse-names":false,"suffix":""},{"dropping-particle":"","family":"Fleming","given":"T.","non-dropping-particle":"","parse-names":false,"suffix":""},{"dropping-particle":"","family":"Foreman","given":"K.","non-dropping-particle":"","parse-names":false,"suffix":""},{"dropping-particle":"","family":"Gakidou","given":"E.","non-dropping-particle":"","parse-names":false,"suffix":""},{"dropping-particle":"","family":"Haagsma","given":"J. A.","non-dropping-particle":"","parse-names":false,"suffix":""},{"dropping-particle":"","family":"Johnson","given":"C. O.","non-dropping-particle":"","parse-names":false,"suffix":""},{"dropping-particle":"","family":"Kemmer","given":"L.","non-dropping-particle":"","parse-names":false,"suffix":""},{"dropping-particle":"","family":"Ku","given":"T.","non-dropping-particle":"","parse-names":false,"suffix":""},{"dropping-particle":"","family":"Leung","given":"J.","non-dropping-particle":"","parse-names":false,"suffix":""},{"dropping-particle":"","family":"Masiye","given":"F.","non-dropping-particle":"","parse-names":false,"suffix":""},{"dropping-particle":"","family":"Millear","given":"A.","non-dropping-particle":"","parse-names":false,"suffix":""},{"dropping-particle":"","family":"Mirarefin","given":"M.","non-dropping-particle":"","parse-names":false,"suffix":""},{"dropping-particle":"","family":"Misganaw","given":"A.","non-dropping-particle":"","parse-names":false,"suffix":""},{"dropping-particle":"","family":"Mullany","given":"E.","non-dropping-particle":"","parse-names":false,"suffix":""},{"dropping-particle":"","family":"Mumford","given":"J. E.","non-dropping-particle":"","parse-names":false,"suffix":""},{"dropping-particle":"","family":"Ng","given":"M.","non-dropping-particle":"","parse-names":false,"suffix":""},{"dropping-particle":"","family":"Olsen","given":"H.","non-dropping-particle":"","parse-names":false,"suffix":""},{"dropping-particle":"","family":"Rao","given":"P.","non-dropping-particle":"","parse-names":false,"suffix":""},{"dropping-particle":"","family":"Reinig","given":"N.","non-dropping-particle":"","parse-names":false,"suffix":""},{"dropping-particle":"","family":"Roman","given":"Y.","non-dropping-particle":"","parse-names":false,"suffix":""},{"dropping-particle":"","family":"Sandar","given":"L.","non-dropping-particle":"","parse-names":false,"suffix":""},{"dropping-particle":"","family":"Santomauro","given":"D. F.","non-dropping-particle":"","parse-names":false,"suffix":""},{"dropping-particle":"","family":"Slepak","given":"E. L.","non-dropping-particle":"","parse-names":false,"suffix":""},{"dropping-particle":"","family":"Sorensen","given":"R. J.D.","non-dropping-particle":"","parse-names":false,"suffix":""},{"dropping-particle":"","family":"Thomas","given":"B. A.","non-dropping-particle":"","parse-names":false,"suffix":""},{"dropping-particle":"","family":"Vollset","given":"S. E.","non-dropping-particle":"","parse-names":false,"suffix":""},{"dropping-particle":"","family":"Whiteford","given":"H. A.","non-dropping-particle":"","parse-names":false,"suffix":""},{"dropping-particle":"","family":"Zipkin","given":"B.","non-dropping-particle":"","parse-names":false,"suffix":""},{"dropping-particle":"","family":"Murray","given":"C. J.L.","non-dropping-particle":"","parse-names":false,"suffix":""},{"dropping-particle":"","family":"Mock","given":"C. N.","non-dropping-particle":"","parse-names":false,"suffix":""},{"dropping-particle":"","family":"Anderson","given":"B. O.","non-dropping-particle":"","parse-names":false,"suffix":""},{"dropping-particle":"","family":"Futran","given":"N. D.","non-dropping-particle":"","parse-names":false,"suffix":""},{"dropping-particle":"","family":"Anderson","given":"H. R.","non-dropping-particle":"","parse-names":false,"suffix":""},{"dropping-particle":"","family":"Bhutta","given":"Z. A.","non-dropping-particle":"","parse-names":false,"suffix":""},{"dropping-particle":"","family":"Nisar","given":"M. I.","non-dropping-particle":"","parse-names":false,"suffix":""},{"dropping-particle":"","family":"Akseer","given":"N.","non-dropping-particle":"","parse-names":false,"suffix":""},{"dropping-particle":"","family":"Krueger","given":"H.","non-dropping-particle":"","parse-names":false,"suffix":""},{"dropping-particle":"","family":"Gotay","given":"C. C.","non-dropping-particle":"","parse-names":false,"suffix":""},{"dropping-particle":"","family":"Kissoon","given":"N.","non-dropping-particle":"","parse-names":false,"suffix":""},{"dropping-particle":"","family":"Kopec","given":"J. A.","non-dropping-particle":"","parse-names":false,"suffix":""},{"dropping-particle":"","family":"Pourmalek","given":"F.","non-dropping-particle":"","parse-names":false,"suffix":""},{"dropping-particle":"","family":"Burnett","given":"R.","non-dropping-particle":"","parse-names":false,"suffix":""},{"dropping-particle":"","family":"Abajobir","given":"A. A.","non-dropping-particle":"","parse-names":false,"suffix":""},{"dropping-particle":"","family":"Knibbs","given":"L. D.","non-dropping-particle":"","parse-names":false,"suffix":""},{"dropping-particle":"","family":"Veerman","given":"J. L.","non-dropping-particle":"","parse-names":false,"suffix":""},{"dropping-particle":"","family":"Lalloo","given":"R.","non-dropping-particle":"","parse-names":false,"suffix":""},{"dropping-particle":"","family":"Scott","given":"J. G.","non-dropping-particle":"","parse-names":false,"suffix":""},{"dropping-particle":"","family":"Alam","given":"N. K.M.","non-dropping-particle":"","parse-names":false,"suffix":""},{"dropping-particle":"","family":"Gouda","given":"H. N.","non-dropping-particle":"","parse-names":false,"suffix":""},{"dropping-particle":"","family":"Guo","given":"Y.","non-dropping-particle":"","parse-names":false,"suffix":""},{"dropping-particle":"","family":"McGrath","given":"J. J.","non-dropping-particle":"","parse-names":false,"suffix":""},{"dropping-particle":"","family":"Jeemon","given":"P.","non-dropping-particle":"","parse-names":false,"suffix":""},{"dropping-particle":"","family":"Dandona","given":"R.","non-dropping-particle":"","parse-names":false,"suffix":""},{"dropping-particle":"","family":"Goenka","given":"S.","non-dropping-particle":"","parse-names":false,"suffix":""},{"dropping-particle":"","family":"Kumar","given":"G. A.","non-dropping-particle":"","parse-names":false,"suffix":""},{"dropping-particle":"","family":"Gething","given":"P. W.","non-dropping-particle":"","parse-names":false,"suffix":""},{"dropping-particle":"","family":"Bisanzio","given":"D.","non-dropping-particle":"","parse-names":false,"suffix":""},{"dropping-particle":"","family":"Deribew","given":"A.","non-dropping-particle":"","parse-names":false,"suffix":""},{"dropping-particle":"","family":"Darby","given":"S. C.","non-dropping-particle":"","parse-names":false,"suffix":""},{"dropping-particle":"","family":"Ali","given":"R.","non-dropping-particle":"","parse-names":false,"suffix":""},{"dropping-particle":"","family":"Bennett","given":"D. A.","non-dropping-particle":"","parse-names":false,"suffix":""},{"dropping-particle":"","family":"Jha","given":"V.","non-dropping-particle":"","parse-names":false,"suffix":""},{"dropping-particle":"","family":"Kinfu","given":"Y.","non-dropping-particle":"","parse-names":false,"suffix":""},{"dropping-particle":"","family":"McKee","given":"M.","non-dropping-particle":"","parse-names":false,"suffix":""},{"dropping-particle":"","family":"Murthy","given":"G. V.S.","non-dropping-particle":"","parse-names":false,"suffix":""},{"dropping-particle":"","family":"Pearce","given":"N.","non-dropping-particle":"","parse-names":false,"suffix":""},{"dropping-particle":"","family":"Stöckl","given":"H.","non-dropping-particle":"","parse-names":false,"suffix":""},{"dropping-particle":"","family":"Duan","given":"L.","non-dropping-particle":"","parse-names":false,"suffix":""},{"dropping-particle":"","family":"Jin","given":"Y.","non-dropping-particle":"","parse-names":false,"suffix":""},{"dropping-particle":"","family":"Li","given":"Y.","non-dropping-particle":"","parse-names":false,"suffix":""},{"dropping-particle":"","family":"Liu","given":"S.","non-dropping-particle":"","parse-names":false,"suffix":""},{"dropping-particle":"","family":"Wang","given":"L.","non-dropping-particle":"","parse-names":false,"suffix":""},{"dropping-particle":"","family":"Ye","given":"P.","non-dropping-particle":"","parse-names":false,"suffix":""},{"dropping-particle":"","family":"Liang","given":"X.","non-dropping-particle":"","parse-names":false,"suffix":""},{"dropping-particle":"","family":"Azzopardi","given":"P.","non-dropping-particle":"","parse-names":false,"suffix":""},{"dropping-particle":"","family":"Patton","given":"G. C.","non-dropping-particle":"","parse-names":false,"suffix":""},{"dropping-particle":"","family":"Meretoja","given":"A.","non-dropping-particle":"","parse-names":false,"suffix":""},{"dropping-particle":"","family":"Alam","given":"K.","non-dropping-particle":"","parse-names":false,"suffix":""},{"dropping-particle":"","family":"Borschmann","given":"R.","non-dropping-particle":"","parse-names":false,"suffix":""},{"dropping-particle":"","family":"Colquhoun","given":"S. M.","non-dropping-particle":"","parse-names":false,"suffix":""},{"dropping-particle":"","family":"Weintraub","given":"R. G.","non-dropping-particle":"","parse-names":false,"suffix":""},{"dropping-particle":"","family":"Szoeke","given":"C. E.I.","non-dropping-particle":"","parse-names":false,"suffix":""},{"dropping-particle":"","family":"Ademi","given":"Z.","non-dropping-particle":"","parse-names":false,"suffix":""},{"dropping-particle":"","family":"Taylor","given":"H. R.","non-dropping-particle":"","parse-names":false,"suffix":""},{"dropping-particle":"","family":"Wijeratne","given":"T.","non-dropping-particle":"","parse-names":false,"suffix":""},{"dropping-particle":"","family":"Batis","given":"C.","non-dropping-particle":"","parse-names":false,"suffix":""},{"dropping-particle":"","family":"Barquera","given":"S.","non-dropping-particle":"","parse-names":false,"suffix":""},{"dropping-particle":"","family":"Campos-Nonato","given":"I. R.","non-dropping-particle":"","parse-names":false,"suffix":""},{"dropping-particle":"","family":"Contreras","given":"A. G.","non-dropping-particle":"","parse-names":false,"suffix":""},{"dropping-particle":"","family":"Cuevas-Nasu","given":"L.","non-dropping-particle":"","parse-names":false,"suffix":""},{"dropping-particle":"","family":"De","given":"V.","non-dropping-particle":"","parse-names":false,"suffix":""},{"dropping-particle":"","family":"Gomez-Dantes","given":"H.","non-dropping-particle":"","parse-names":false,"suffix":""},{"dropping-particle":"","family":"Heredia-Pi","given":"I. B.","non-dropping-particle":"","parse-names":false,"suffix":""},{"dropping-particle":"","family":"Medina","given":"C.","non-dropping-particle":"","parse-names":false,"suffix":""},{"dropping-particle":"","family":"Mejia-Rodriguez","given":"F.","non-dropping-particle":"","parse-names":false,"suffix":""},{"dropping-particle":"","family":"Montañez Hernandez","given":"J. C.","non-dropping-particle":"","parse-names":false,"suffix":""},{"dropping-particle":"","family":"Razo-García","given":"C. A.","non-dropping-particle":"","parse-names":false,"suffix":""},{"dropping-particle":"","family":"Rivera","given":"J. A.","non-dropping-particle":"","parse-names":false,"suffix":""},{"dropping-particle":"","family":"Rodríguez-Ramírez","given":"S.","non-dropping-particle":"","parse-names":false,"suffix":""},{"dropping-particle":"","family":"Sánchez-Pimienta","given":"T. G.","non-dropping-particle":"","parse-names":false,"suffix":""},{"dropping-particle":"","family":"Servan-Mori","given":"E. E.","non-dropping-particle":"","parse-names":false,"suffix":""},{"dropping-particle":"","family":"Shamah","given":"T.","non-dropping-particle":"","parse-names":false,"suffix":""},{"dropping-particle":"","family":"Mensah","given":"G. A.","non-dropping-particle":"","parse-names":false,"suffix":""},{"dropping-particle":"","family":"Hoff","given":"H. J.","non-dropping-particle":"","parse-names":false,"suffix":""},{"dropping-particle":"","family":"Neal","given":"B.","non-dropping-particle":"","parse-names":false,"suffix":""},{"dropping-particle":"","family":"Driscoll","given":"T. R.","non-dropping-particle":"","parse-names":false,"suffix":""},{"dropping-particle":"","family":"Kemp","given":"A. H.","non-dropping-particle":"","parse-names":false,"suffix":""},{"dropping-particle":"","family":"Leigh","given":"J.","non-dropping-particle":"","parse-names":false,"suffix":""},{"dropping-particle":"","family":"Mekonnen","given":"A. B.","non-dropping-particle":"","parse-names":false,"suffix":""},{"dropping-particle":"","family":"Bhatt","given":"S.","non-dropping-particle":"","parse-names":false,"suffix":""},{"dropping-particle":"","family":"Fürst","given":"T.","non-dropping-particle":"","parse-names":false,"suffix":""},{"dropping-particle":"","family":"Piel","given":"F. B.","non-dropping-particle":"","parse-names":false,"suffix":""},{"dropping-particle":"","family":"Rodriguez","given":"A.","non-dropping-particle":"","parse-names":false,"suffix":""},{"dropping-particle":"","family":"Hutchings","given":"S. J.","non-dropping-particle":"","parse-names":false,"suffix":""},{"dropping-particle":"","family":"Majeed","given":"A.","non-dropping-particle":"","parse-names":false,"suffix":""},{"dropping-particle":"","family":"Soljak","given":"M.","non-dropping-particle":"","parse-names":false,"suffix":""},{"dropping-particle":"","family":"Salomon","given":"J. A.","non-dropping-particle":"","parse-names":false,"suffix":""},{"dropping-particle":"","family":"Thorne-Lyman","given":"A. L.","non-dropping-particle":"","parse-names":false,"suffix":""},{"dropping-particle":"","family":"Ajala","given":"O. N.","non-dropping-particle":"","parse-names":false,"suffix":""},{"dropping-particle":"","family":"Bärnighausen","given":"T.","non-dropping-particle":"","parse-names":false,"suffix":""},{"dropping-particle":"","family":"Cahill","given":"L. E.","non-dropping-particle":"","parse-names":false,"suffix":""},{"dropping-particle":"","family":"Ding","given":"E. L.","non-dropping-particle":"","parse-names":false,"suffix":""},{"dropping-particle":"","family":"Farvid","given":"M. S.","non-dropping-particle":"","parse-names":false,"suffix":""},{"dropping-particle":"","family":"Khatibzadeh","given":"S.","non-dropping-particle":"","parse-names":false,"suffix":""},{"dropping-particle":"","family":"Wagner","given":"G. R.","non-dropping-particle":"","parse-names":false,"suffix":""},{"dropping-particle":"","family":"Shrime","given":"M. G.","non-dropping-particle":"","parse-names":false,"suffix":""},{"dropping-particle":"","family":"Fitchett","given":"J. R.A.","non-dropping-particle":"","parse-names":false,"suffix":""},{"dropping-particle":"","family":"Aasvang","given":"G. M.","non-dropping-particle":"","parse-names":false,"suffix":""},{"dropping-particle":"","family":"Savic","given":"M.","non-dropping-particle":"","parse-names":false,"suffix":""},{"dropping-particle":"","family":"Abate","given":"K. H.","non-dropping-particle":"","parse-names":false,"suffix":""},{"dropping-particle":"","family":"Gebrehiwot","given":"T. T.","non-dropping-particle":"","parse-names":false,"suffix":""},{"dropping-particle":"","family":"Gebremedhin","given":"A. T.","non-dropping-particle":"","parse-names":false,"suffix":""},{"dropping-particle":"","family":"Abbafati","given":"C.","non-dropping-particle":"","parse-names":false,"suffix":""},{"dropping-particle":"","family":"Abbas","given":"K. M.","non-dropping-particle":"","parse-names":false,"suffix":""},{"dropping-particle":"","family":"Abd-Allah","given":"F.","non-dropping-particle":"","parse-names":false,"suffix":""},{"dropping-particle":"","family":"Abdulle","given":"A. M.","non-dropping-particle":"","parse-names":false,"suffix":""},{"dropping-particle":"","family":"Abera","given":"S. F.","non-dropping-particle":"","parse-names":false,"suffix":""},{"dropping-particle":"","family":"Melaku","given":"Y. A.","non-dropping-particle":"","parse-names":false,"suffix":""},{"dropping-particle":"","family":"Abyu","given":"G. Y.","non-dropping-particle":"","parse-names":false,"suffix":""},{"dropping-particle":"","family":"Betsu","given":"B. D.","non-dropping-particle":"","parse-names":false,"suffix":""},{"dropping-particle":"","family":"Hailu","given":"G. B.","non-dropping-particle":"","parse-names":false,"suffix":""},{"dropping-particle":"","family":"Tekle","given":"D. Y.","non-dropping-particle":"","parse-names":false,"suffix":""},{"dropping-particle":"","family":"Yalew","given":"A. Z.","non-dropping-particle":"","parse-names":false,"suffix":""},{"dropping-particle":"","family":"Abraham","given":"B.","non-dropping-particle":"","parse-names":false,"suffix":""},{"dropping-particle":"","family":"Abu-Raddad","given":"L. J.","non-dropping-particle":"","parse-names":false,"suffix":""},{"dropping-particle":"","family":"Adebiyi","given":"A. O.","non-dropping-particle":"","parse-names":false,"suffix":""},{"dropping-particle":"","family":"Adedeji","given":"I. A.","non-dropping-particle":"","parse-names":false,"suffix":""},{"dropping-particle":"","family":"Adou","given":"A. K.","non-dropping-particle":"","parse-names":false,"suffix":""},{"dropping-particle":"","family":"Adsuar","given":"J. C.","non-dropping-particle":"","parse-names":false,"suffix":""},{"dropping-particle":"","family":"Agardh","given":"E. E.","non-dropping-particle":"","parse-names":false,"suffix":""},{"dropping-particle":"","family":"Rehm","given":"J.","non-dropping-particle":"","parse-names":false,"suffix":""},{"dropping-particle":"","family":"Badawi","given":"A.","non-dropping-particle":"","parse-names":false,"suffix":""},{"dropping-particle":"","family":"Popova","given":"S.","non-dropping-particle":"","parse-names":false,"suffix":""},{"dropping-particle":"","family":"Agarwal","given":"A.","non-dropping-particle":"","parse-names":false,"suffix":""},{"dropping-particle":"","family":"Ahmad","given":"A.","non-dropping-particle":"","parse-names":false,"suffix":""},{"dropping-particle":"","family":"Akinyemiju","given":"T. F.","non-dropping-particle":"","parse-names":false,"suffix":""},{"dropping-particle":"","family":"Schwebel","given":"D. C.","non-dropping-particle":"","parse-names":false,"suffix":""},{"dropping-particle":"","family":"Singh","given":"J. A.","non-dropping-particle":"","parse-names":false,"suffix":""},{"dropping-particle":"","family":"Al-Aly","given":"Z.","non-dropping-particle":"","parse-names":false,"suffix":""},{"dropping-particle":"","family":"Aldhahri","given":"S. F.","non-dropping-particle":"","parse-names":false,"suffix":""},{"dropping-particle":"","family":"Altirkawi","given":"K. A.","non-dropping-particle":"","parse-names":false,"suffix":""},{"dropping-particle":"","family":"Terkawi","given":"A. S.","non-dropping-particle":"","parse-names":false,"suffix":""},{"dropping-particle":"","family":"Aldridge","given":"R. W.","non-dropping-particle":"","parse-names":false,"suffix":""},{"dropping-particle":"","family":"Tillmann","given":"T.","non-dropping-particle":"","parse-names":false,"suffix":""},{"dropping-particle":"","family":"Alemu","given":"Z. A.","non-dropping-particle":"","parse-names":false,"suffix":""},{"dropping-particle":"","family":"Tegegne","given":"T. K.","non-dropping-particle":"","parse-names":false,"suffix":""},{"dropping-particle":"","family":"Alkerwi","given":"A.","non-dropping-particle":"","parse-names":false,"suffix":""},{"dropping-particle":"","family":"Alla","given":"F.","non-dropping-particle":"","parse-names":false,"suffix":""},{"dropping-particle":"","family":"Guillemin","given":"F.","non-dropping-particle":"","parse-names":false,"suffix":""},{"dropping-particle":"","family":"Allebeck","given":"P.","non-dropping-particle":"","parse-names":false,"suffix":""},{"dropping-particle":"","family":"Rabiee","given":"R. H.S.","non-dropping-particle":"","parse-names":false,"suffix":""},{"dropping-particle":"","family":"Fereshtehnejad","given":"S. M.","non-dropping-particle":"","parse-names":false,"suffix":""},{"dropping-particle":"","family":"Kivipelto","given":"M.","non-dropping-particle":"","parse-names":false,"suffix":""},{"dropping-particle":"","family":"Carrero","given":"J. J.","non-dropping-particle":"","parse-names":false,"suffix":""},{"dropping-particle":"","family":"Weiderpass","given":"E.","non-dropping-particle":"","parse-names":false,"suffix":""},{"dropping-particle":"","family":"Havmoeller","given":"R.","non-dropping-particle":"","parse-names":false,"suffix":""},{"dropping-particle":"","family":"Sindi","given":"S.","non-dropping-particle":"","parse-names":false,"suffix":""},{"dropping-particle":"","family":"Alsharif","given":"U.","non-dropping-particle":"","parse-names":false,"suffix":""},{"dropping-particle":"","family":"Alvarez","given":"E.","non-dropping-particle":"","parse-names":false,"suffix":""},{"dropping-particle":"","family":"Alvis-Guzman","given":"N.","non-dropping-particle":"","parse-names":false,"suffix":""},{"dropping-particle":"","family":"Amare","given":"A. T.","non-dropping-particle":"","parse-names":false,"suffix":""},{"dropping-particle":"","family":"Ciobanu","given":"L. G.","non-dropping-particle":"","parse-names":false,"suffix":""},{"dropping-particle":"","family":"Taye","given":"B. W.","non-dropping-particle":"","parse-names":false,"suffix":""},{"dropping-particle":"","family":"Amberbir","given":"A.","non-dropping-particle":"","parse-names":false,"suffix":""},{"dropping-particle":"","family":"Amegah","given":"A. K.","non-dropping-particle":"","parse-names":false,"suffix":""},{"dropping-particle":"","family":"Amini","given":"H.","non-dropping-particle":"","parse-names":false,"suffix":""},{"dropping-particle":"","family":"Karema","given":"C. K.","non-dropping-particle":"","parse-names":false,"suffix":""},{"dropping-particle":"","family":"Ammar","given":"W.","non-dropping-particle":"","parse-names":false,"suffix":""},{"dropping-particle":"","family":"Harb","given":"H. L.","non-dropping-particle":"","parse-names":false,"suffix":""},{"dropping-particle":"","family":"Amrock","given":"S. M.","non-dropping-particle":"","parse-names":false,"suffix":""},{"dropping-particle":"","family":"Andersen","given":"H. H.","non-dropping-particle":"","parse-names":false,"suffix":""},{"dropping-particle":"","family":"Antonio","given":"C. A.T.","non-dropping-particle":"","parse-names":false,"suffix":""},{"dropping-particle":"","family":"Faraon","given":"E. J.A.","non-dropping-particle":"","parse-names":false,"suffix":""},{"dropping-particle":"","family":"Anwari","given":"P.","non-dropping-particle":"","parse-names":false,"suffix":""},{"dropping-particle":"","family":"Ärnlöv","given":"J.","non-dropping-particle":"","parse-names":false,"suffix":""},{"dropping-particle":"","family":"Larsson","given":"A.","non-dropping-particle":"","parse-names":false,"suffix":""},{"dropping-particle":"","family":"Artaman","given":"A.","non-dropping-particle":"","parse-names":false,"suffix":""},{"dropping-particle":"","family":"Asayesh","given":"H.","non-dropping-particle":"","parse-names":false,"suffix":""},{"dropping-particle":"","family":"Asghar","given":"R. J.","non-dropping-particle":"","parse-names":false,"suffix":""},{"dropping-particle":"","family":"Assadi","given":"R.","non-dropping-particle":"","parse-names":false,"suffix":""},{"dropping-particle":"","family":"Atique","given":"S.","non-dropping-particle":"","parse-names":false,"suffix":""},{"dropping-particle":"","family":"Avokpaho","given":"E. F.G.A.","non-dropping-particle":"","parse-names":false,"suffix":""},{"dropping-particle":"","family":"Awasthi","given":"A.","non-dropping-particle":"","parse-names":false,"suffix":""},{"dropping-particle":"","family":"Ayala","given":"B. P.","non-dropping-particle":"","parse-names":false,"suffix":""},{"dropping-particle":"","family":"Bacha","given":"U.","non-dropping-particle":"","parse-names":false,"suffix":""},{"dropping-particle":"","family":"Bahit","given":"M. C.","non-dropping-particle":"","parse-names":false,"suffix":""},{"dropping-particle":"","family":"Balakrishnan","given":"K.","non-dropping-particle":"","parse-names":false,"suffix":""},{"dropping-particle":"","family":"Barac","given":"A.","non-dropping-particle":"","parse-names":false,"suffix":""},{"dropping-particle":"","family":"Barker-Collo","given":"S. L.","non-dropping-particle":"","parse-names":false,"suffix":""},{"dropping-particle":"","family":"Pozo-Cruz","given":"B.","non-dropping-particle":"del","parse-names":false,"suffix":""},{"dropping-particle":"","family":"Mohammed","given":"S.","non-dropping-particle":"","parse-names":false,"suffix":""},{"dropping-particle":"","family":"Barregard","given":"L.","non-dropping-particle":"","parse-names":false,"suffix":""},{"dropping-particle":"","family":"Petzold","given":"M.","non-dropping-particle":"","parse-names":false,"suffix":""},{"dropping-particle":"","family":"Barrero","given":"L. H.","non-dropping-particle":"","parse-names":false,"suffix":""},{"dropping-particle":"","family":"Basu","given":"S.","non-dropping-particle":"","parse-names":false,"suffix":""},{"dropping-particle":"","family":"Del","given":"L. C.","non-dropping-particle":"","parse-names":false,"suffix":""},{"dropping-particle":"","family":"Bazargan-Hejazi","given":"S.","non-dropping-particle":"","parse-names":false,"suffix":""},{"dropping-particle":"","family":"Beardsley","given":"J.","non-dropping-particle":"","parse-names":false,"suffix":""},{"dropping-particle":"","family":"Bedi","given":"N.","non-dropping-particle":"","parse-names":false,"suffix":""},{"dropping-particle":"","family":"Beghi","given":"E.","non-dropping-particle":"","parse-names":false,"suffix":""},{"dropping-particle":"","family":"Sheth","given":"K. N.","non-dropping-particle":"","parse-names":false,"suffix":""},{"dropping-particle":"","family":"Bell","given":"M. L.","non-dropping-particle":"","parse-names":false,"suffix":""},{"dropping-particle":"","family":"Huang","given":"J. J.","non-dropping-particle":"","parse-names":false,"suffix":""},{"dropping-particle":"","family":"Bello","given":"A. K.","non-dropping-particle":"","parse-names":false,"suffix":""},{"dropping-particle":"","family":"Santos","given":"I. S.","non-dropping-particle":"","parse-names":false,"suffix":""},{"dropping-particle":"","family":"Bensenor","given":"I. M.","non-dropping-particle":"","parse-names":false,"suffix":""},{"dropping-particle":"","family":"Lotufo","given":"P. A.","non-dropping-particle":"","parse-names":false,"suffix":""},{"dropping-particle":"","family":"Berhane","given":"A.","non-dropping-particle":"","parse-names":false,"suffix":""},{"dropping-particle":"","family":"Wolfe","given":"C. D.","non-dropping-particle":"","parse-names":false,"suffix":""},{"dropping-particle":"","family":"Bernabé","given":"E.","non-dropping-particle":"","parse-names":false,"suffix":""},{"dropping-particle":"","family":"Roba","given":"H. S.","non-dropping-particle":"","parse-names":false,"suffix":""},{"dropping-particle":"","family":"Beyene","given":"A. S.","non-dropping-particle":"","parse-names":false,"suffix":""},{"dropping-particle":"","family":"Hassen","given":"T. A.","non-dropping-particle":"","parse-names":false,"suffix":""},{"dropping-particle":"","family":"Mesfin","given":"Y. M.","non-dropping-particle":"","parse-names":false,"suffix":""},{"dropping-particle":"","family":"Bhala","given":"N.","non-dropping-particle":"","parse-names":false,"suffix":""},{"dropping-particle":"","family":"Bhansali","given":"A.","non-dropping-particle":"","parse-names":false,"suffix":""},{"dropping-particle":"","family":"Biadgilign","given":"S.","non-dropping-particle":"","parse-names":false,"suffix":""},{"dropping-particle":"","family":"Bikbov","given":"B.","non-dropping-particle":"","parse-names":false,"suffix":""},{"dropping-particle":"","family":"Bjertness","given":"E.","non-dropping-particle":"","parse-names":false,"suffix":""},{"dropping-particle":"","family":"Htet","given":"A. S.","non-dropping-particle":"","parse-names":false,"suffix":""},{"dropping-particle":"","family":"Boufous","given":"S.","non-dropping-particle":"","parse-names":false,"suffix":""},{"dropping-particle":"","family":"Degenhardt","given":"L.","non-dropping-particle":"","parse-names":false,"suffix":""},{"dropping-particle":"","family":"Resnikoff","given":"S.","non-dropping-particle":"","parse-names":false,"suffix":""},{"dropping-particle":"","family":"Calabria","given":"B.","non-dropping-particle":"","parse-names":false,"suffix":""},{"dropping-particle":"","family":"Bourne","given":"R. R.A.","non-dropping-particle":"","parse-names":false,"suffix":""},{"dropping-particle":"","family":"Brainin","given":"M.","non-dropping-particle":"","parse-names":false,"suffix":""},{"dropping-particle":"","family":"Brazinova","given":"A.","non-dropping-particle":"","parse-names":false,"suffix":""},{"dropping-particle":"","family":"Majdan","given":"M.","non-dropping-particle":"","parse-names":false,"suffix":""},{"dropping-particle":"","family":"Shen","given":"J.","non-dropping-particle":"","parse-names":false,"suffix":""},{"dropping-particle":"","family":"Breitborde","given":"N. J.K.","non-dropping-particle":"","parse-names":false,"suffix":""},{"dropping-particle":"","family":"Brenner","given":"H.","non-dropping-particle":"","parse-names":false,"suffix":""},{"dropping-particle":"","family":"Schöttker","given":"B.","non-dropping-particle":"","parse-names":false,"suffix":""},{"dropping-particle":"","family":"Broday","given":"D. M.","non-dropping-particle":"","parse-names":false,"suffix":""},{"dropping-particle":"","family":"Brugha","given":"T. S.","non-dropping-particle":"","parse-names":false,"suffix":""},{"dropping-particle":"","family":"Brunekreef","given":"B.","non-dropping-particle":"","parse-names":false,"suffix":""},{"dropping-particle":"","family":"Kromhout","given":"H.","non-dropping-particle":"","parse-names":false,"suffix":""},{"dropping-particle":"","family":"Butt","given":"Z. A.","non-dropping-particle":"","parse-names":false,"suffix":""},{"dropping-particle":"","family":"Donkelaar","given":"A.","non-dropping-particle":"van","parse-names":false,"suffix":""},{"dropping-particle":"V.","family":"Martin","given":"R.","non-dropping-particle":"","parse-names":false,"suffix":""},{"dropping-particle":"","family":"Cárdenas","given":"R.","non-dropping-particle":"","parse-names":false,"suffix":""},{"dropping-particle":"","family":"Carpenter","given":"D. O.","non-dropping-particle":"","parse-names":false,"suffix":""},{"dropping-particle":"","family":"Castañeda-Orjuela","given":"C. A.","non-dropping-particle":"","parse-names":false,"suffix":""},{"dropping-particle":"","family":"Castillo","given":"J.","non-dropping-particle":"","parse-names":false,"suffix":""},{"dropping-particle":"","family":"Castro","given":"R. E.","non-dropping-particle":"","parse-names":false,"suffix":""},{"dropping-particle":"","family":"Catalá-López","given":"F.","non-dropping-particle":"","parse-names":false,"suffix":""},{"dropping-particle":"","family":"Chang","given":"J.","non-dropping-particle":"","parse-names":false,"suffix":""},{"dropping-particle":"","family":"Chiang","given":"P. P.","non-dropping-particle":"","parse-names":false,"suffix":""},{"dropping-particle":"","family":"Chibalabala","given":"M.","non-dropping-particle":"","parse-names":false,"suffix":""},{"dropping-particle":"","family":"Chimed-Ochir","given":"O.","non-dropping-particle":"","parse-names":false,"suffix":""},{"dropping-particle":"","family":"Jiang","given":"Y.","non-dropping-particle":"","parse-names":false,"suffix":""},{"dropping-particle":"","family":"Takahashi","given":"K.","non-dropping-particle":"","parse-names":false,"suffix":""},{"dropping-particle":"","family":"Chisumpa","given":"V. H.","non-dropping-particle":"","parse-names":false,"suffix":""},{"dropping-particle":"","family":"Mapoma","given":"C. C.","non-dropping-particle":"","parse-names":false,"suffix":""},{"dropping-particle":"","family":"Chitheer","given":"A. A.","non-dropping-particle":"","parse-names":false,"suffix":""},{"dropping-particle":"","family":"Choi","given":"J. J.","non-dropping-particle":"","parse-names":false,"suffix":""},{"dropping-particle":"","family":"Christensen","given":"H.","non-dropping-particle":"","parse-names":false,"suffix":""},{"dropping-particle":"","family":"Christopher","given":"D. J.","non-dropping-particle":"","parse-names":false,"suffix":""},{"dropping-particle":"","family":"Cooper","given":"L. T.","non-dropping-particle":"","parse-names":false,"suffix":""},{"dropping-particle":"","family":"Crump","given":"J. A.","non-dropping-particle":"","parse-names":false,"suffix":""},{"dropping-particle":"","family":"Poulton","given":"R. G.","non-dropping-particle":"","parse-names":false,"suffix":""},{"dropping-particle":"","family":"Damasceno","given":"A.","non-dropping-particle":"","parse-names":false,"suffix":""},{"dropping-particle":"","family":"Dargan","given":"P. I.","non-dropping-particle":"","parse-names":false,"suffix":""},{"dropping-particle":"","family":"Neves","given":"J.","non-dropping-particle":"das","parse-names":false,"suffix":""},{"dropping-particle":"","family":"Davis","given":"A. C.","non-dropping-particle":"","parse-names":false,"suffix":""},{"dropping-particle":"","family":"Newton","given":"J. N.","non-dropping-particle":"","parse-names":false,"suffix":""},{"dropping-particle":"","family":"Steel","given":"N.","non-dropping-particle":"","parse-names":false,"suffix":""},{"dropping-particle":"","family":"Davletov","given":"K.","non-dropping-particle":"","parse-names":false,"suffix":""},{"dropping-particle":"","family":"Castro","given":"E. F.","non-dropping-particle":"de","parse-names":false,"suffix":""},{"dropping-particle":"","family":"De","given":"D.","non-dropping-particle":"","parse-names":false,"suffix":""},{"dropping-particle":"","family":"Dellavalle","given":"R. P.","non-dropping-particle":"","parse-names":false,"suffix":""},{"dropping-particle":"","family":"Des","given":"D. C.","non-dropping-particle":"","parse-names":false,"suffix":""},{"dropping-particle":"","family":"Dharmaratne","given":"S. D.","non-dropping-particle":"","parse-names":false,"suffix":""},{"dropping-particle":"","family":"Dhillon","given":"P. K.","non-dropping-particle":"","parse-names":false,"suffix":""},{"dropping-particle":"","family":"Lal","given":"D. K.","non-dropping-particle":"","parse-names":false,"suffix":""},{"dropping-particle":"","family":"Zodpey","given":"S.","non-dropping-particle":"","parse-names":false,"suffix":""},{"dropping-particle":"","family":"Diaz-Torné","given":"C.","non-dropping-particle":"","parse-names":false,"suffix":""},{"dropping-particle":"","family":"Dorsey","given":"E. R.","non-dropping-particle":"","parse-names":false,"suffix":""},{"dropping-particle":"","family":"Doyle","given":"K. E.","non-dropping-particle":"","parse-names":false,"suffix":""},{"dropping-particle":"","family":"Dubey","given":"M.","non-dropping-particle":"","parse-names":false,"suffix":""},{"dropping-particle":"","family":"Rahman","given":"M. H.U.","non-dropping-particle":"","parse-names":false,"suffix":""},{"dropping-particle":"","family":"Ram","given":"U.","non-dropping-particle":"","parse-names":false,"suffix":""},{"dropping-particle":"","family":"Singh","given":"A.","non-dropping-particle":"","parse-names":false,"suffix":""},{"dropping-particle":"","family":"Yadav","given":"A. K.","non-dropping-particle":"","parse-names":false,"suffix":""},{"dropping-particle":"","family":"Duncan","given":"B. B.","non-dropping-particle":"","parse-names":false,"suffix":""},{"dropping-particle":"","family":"Kieling","given":"C.","non-dropping-particle":"","parse-names":false,"suffix":""},{"dropping-particle":"","family":"Schmidt","given":"M. I.","non-dropping-particle":"","parse-names":false,"suffix":""},{"dropping-particle":"","family":"Elyazar","given":"I.","non-dropping-particle":"","parse-names":false,"suffix":""},{"dropping-particle":"","family":"Endries","given":"A. Y.","non-dropping-particle":"","parse-names":false,"suffix":""},{"dropping-particle":"","family":"Ermakov","given":"S. P.","non-dropping-particle":"","parse-names":false,"suffix":""},{"dropping-particle":"","family":"Eshrati","given":"B.","non-dropping-particle":"","parse-names":false,"suffix":""},{"dropping-particle":"","family":"Farzadfar","given":"F.","non-dropping-particle":"","parse-names":false,"suffix":""},{"dropping-particle":"","family":"Kasaeian","given":"A.","non-dropping-particle":"","parse-names":false,"suffix":""},{"dropping-particle":"","family":"Parsaeian","given":"M.","non-dropping-particle":"","parse-names":false,"suffix":""},{"dropping-particle":"","family":"Esteghamati","given":"A.","non-dropping-particle":"","parse-names":false,"suffix":""},{"dropping-particle":"","family":"Hafezi-Nejad","given":"N.","non-dropping-particle":"","parse-names":false,"suffix":""},{"dropping-particle":"","family":"Sheikhbahaei","given":"S.","non-dropping-particle":"","parse-names":false,"suffix":""},{"dropping-particle":"","family":"Fahimi","given":"S.","non-dropping-particle":"","parse-names":false,"suffix":""},{"dropping-particle":"","family":"Malekzadeh","given":"R.","non-dropping-particle":"","parse-names":false,"suffix":""},{"dropping-particle":"","family":"Roshandel","given":"G.","non-dropping-particle":"","parse-names":false,"suffix":""},{"dropping-particle":"","family":"Sepanlou","given":"S. G.","non-dropping-particle":"","parse-names":false,"suffix":""},{"dropping-particle":"","family":"Hassanvand","given":"M. S.","non-dropping-particle":"","parse-names":false,"suffix":""},{"dropping-particle":"","family":"Heydarpour","given":"P.","non-dropping-particle":"","parse-names":false,"suffix":""},{"dropping-particle":"","family":"Rahimi-Movaghar","given":"V.","non-dropping-particle":"","parse-names":false,"suffix":""},{"dropping-particle":"","family":"Yaseri","given":"M.","non-dropping-particle":"","parse-names":false,"suffix":""},{"dropping-particle":"","family":"Farid","given":"T. A.","non-dropping-particle":"","parse-names":false,"suffix":""},{"dropping-particle":"","family":"Khan","given":"A. R.","non-dropping-particle":"","parse-names":false,"suffix":""},{"dropping-particle":"","family":"Farinha","given":"C. S.E.S.","non-dropping-particle":"","parse-names":false,"suffix":""},{"dropping-particle":"","family":"Faro","given":"A.","non-dropping-particle":"","parse-names":false,"suffix":""},{"dropping-particle":"","family":"Feigin","given":"V. L.","non-dropping-particle":"","parse-names":false,"suffix":""},{"dropping-particle":"","family":"Fernandes","given":"J. G.","non-dropping-particle":"","parse-names":false,"suffix":""},{"dropping-particle":"","family":"Fischer","given":"F.","non-dropping-particle":"","parse-names":false,"suffix":""},{"dropping-particle":"","family":"Foigt","given":"N.","non-dropping-particle":"","parse-names":false,"suffix":""},{"dropping-particle":"","family":"Shiue","given":"I.","non-dropping-particle":"","parse-names":false,"suffix":""},{"dropping-particle":"","family":"Fowkes","given":"F. G.R.","non-dropping-particle":"","parse-names":false,"suffix":""},{"dropping-particle":"","family":"Franklin","given":"R. C.","non-dropping-particle":"","parse-names":false,"suffix":""},{"dropping-particle":"","family":"Garcia-Basteiro","given":"A. L.","non-dropping-particle":"","parse-names":false,"suffix":""},{"dropping-particle":"","family":"Geleijnse","given":"J. M.","non-dropping-particle":"","parse-names":false,"suffix":""},{"dropping-particle":"","family":"Jibat","given":"T.","non-dropping-particle":"","parse-names":false,"suffix":""},{"dropping-particle":"","family":"Gessner","given":"B. D.","non-dropping-particle":"","parse-names":false,"suffix":""},{"dropping-particle":"","family":"Tefera","given":"W.","non-dropping-particle":"","parse-names":false,"suffix":""},{"dropping-particle":"","family":"Giref","given":"A. Z.","non-dropping-particle":"","parse-names":false,"suffix":""},{"dropping-particle":"","family":"Haile","given":"D.","non-dropping-particle":"","parse-names":false,"suffix":""},{"dropping-particle":"","family":"Manamo","given":"W. A.A.","non-dropping-particle":"","parse-names":false,"suffix":""},{"dropping-particle":"","family":"Giroud","given":"M.","non-dropping-particle":"","parse-names":false,"suffix":""},{"dropping-particle":"","family":"Gishu","given":"M. D.","non-dropping-particle":"","parse-names":false,"suffix":""},{"dropping-particle":"","family":"Martinez-Raga","given":"J.","non-dropping-particle":"","parse-names":false,"suffix":""},{"dropping-particle":"","family":"Gomez-Cabrera","given":"M. C.","non-dropping-particle":"","parse-names":false,"suffix":""},{"dropping-particle":"","family":"Gona","given":"P.","non-dropping-particle":"","parse-names":false,"suffix":""},{"dropping-particle":"","family":"Goodridge","given":"A.","non-dropping-particle":"","parse-names":false,"suffix":""},{"dropping-particle":"V.","family":"Gopalani","given":"S.","non-dropping-particle":"","parse-names":false,"suffix":""},{"dropping-particle":"","family":"Goto","given":"A.","non-dropping-particle":"","parse-names":false,"suffix":""},{"dropping-particle":"","family":"Inoue","given":"M.","non-dropping-particle":"","parse-names":false,"suffix":""},{"dropping-particle":"","family":"Gugnani","given":"H. C.","non-dropping-particle":"","parse-names":false,"suffix":""},{"dropping-particle":"","family":"Gupta","given":"R.","non-dropping-particle":"","parse-names":false,"suffix":""},{"dropping-particle":"","family":"Gutiérrez","given":"R. A.","non-dropping-particle":"","parse-names":false,"suffix":""},{"dropping-particle":"","family":"Orozco","given":"R.","non-dropping-particle":"","parse-names":false,"suffix":""},{"dropping-particle":"","family":"Halasa","given":"Y. A.","non-dropping-particle":"","parse-names":false,"suffix":""},{"dropping-particle":"","family":"Undurraga","given":"E. A.","non-dropping-particle":"","parse-names":false,"suffix":""},{"dropping-particle":"","family":"Hamadeh","given":"R. R.","non-dropping-particle":"","parse-names":false,"suffix":""},{"dropping-particle":"","family":"Hamidi","given":"S.","non-dropping-particle":"","parse-names":false,"suffix":""},{"dropping-particle":"","family":"Handal","given":"A. J.","non-dropping-particle":"","parse-names":false,"suffix":""},{"dropping-particle":"","family":"Hankey","given":"G. J.","non-dropping-particle":"","parse-names":false,"suffix":""},{"dropping-particle":"","family":"Hao","given":"Y.","non-dropping-particle":"","parse-names":false,"suffix":""},{"dropping-particle":"","family":"Harikrishnan","given":"S.","non-dropping-particle":"","parse-names":false,"suffix":""},{"dropping-particle":"","family":"Haro","given":"J. M.","non-dropping-particle":"","parse-names":false,"suffix":""},{"dropping-particle":"","family":"Hernández-Llanes","given":"N. F.","non-dropping-particle":"","parse-names":false,"suffix":""},{"dropping-particle":"","family":"Hoek","given":"H. W.","non-dropping-particle":"","parse-names":false,"suffix":""},{"dropping-particle":"","family":"Tura","given":"A. K.","non-dropping-particle":"","parse-names":false,"suffix":""},{"dropping-particle":"","family":"Horino","given":"M.","non-dropping-particle":"","parse-names":false,"suffix":""},{"dropping-particle":"","family":"Horita","given":"N.","non-dropping-particle":"","parse-names":false,"suffix":""},{"dropping-particle":"","family":"Hosgood","given":"H. D.","non-dropping-particle":"","parse-names":false,"suffix":""},{"dropping-particle":"","family":"Hoy","given":"D. G.","non-dropping-particle":"","parse-names":false,"suffix":""},{"dropping-particle":"","family":"Hsairi","given":"M.","non-dropping-particle":"","parse-names":false,"suffix":""},{"dropping-particle":"","family":"Hu","given":"G.","non-dropping-particle":"","parse-names":false,"suffix":""},{"dropping-particle":"","family":"Husseini","given":"A.","non-dropping-particle":"","parse-names":false,"suffix":""},{"dropping-particle":"","family":"Huybrechts","given":"I.","non-dropping-particle":"","parse-names":false,"suffix":""},{"dropping-particle":"","family":"Iburg","given":"K. M.","non-dropping-particle":"","parse-names":false,"suffix":""},{"dropping-particle":"","family":"Idrisov","given":"B. T.","non-dropping-particle":"","parse-names":false,"suffix":""},{"dropping-particle":"","family":"Kwan","given":"G. F.","non-dropping-particle":"","parse-names":false,"suffix":""},{"dropping-particle":"V.","family":"Ileanu","given":"B.","non-dropping-particle":"","parse-names":false,"suffix":""},{"dropping-particle":"","family":"Pana","given":"A.","non-dropping-particle":"","parse-names":false,"suffix":""},{"dropping-particle":"","family":"Kawakami","given":"N.","non-dropping-particle":"","parse-names":false,"suffix":""},{"dropping-particle":"","family":"Shibuya","given":"K.","non-dropping-particle":"","parse-names":false,"suffix":""},{"dropping-particle":"","family":"Jacobs","given":"T. A.","non-dropping-particle":"","parse-names":false,"suffix":""},{"dropping-particle":"","family":"Jacobsen","given":"K. H.","non-dropping-particle":"","parse-names":false,"suffix":""},{"dropping-particle":"","family":"Jahanmehr","given":"N.","non-dropping-particle":"","parse-names":false,"suffix":""},{"dropping-particle":"","family":"Jakovljevic","given":"M. B.","non-dropping-particle":"","parse-names":false,"suffix":""},{"dropping-particle":"","family":"Jansen","given":"H. A.F.","non-dropping-particle":"","parse-names":false,"suffix":""},{"dropping-particle":"","family":"Jassal","given":"S. K.","non-dropping-particle":"","parse-names":false,"suffix":""},{"dropping-particle":"","family":"Stein","given":"M. B.","non-dropping-particle":"","parse-names":false,"suffix":""},{"dropping-particle":"","family":"Javanbakht","given":"M.","non-dropping-particle":"","parse-names":false,"suffix":""},{"dropping-particle":"","family":"Jayaraman","given":"S. P.","non-dropping-particle":"","parse-names":false,"suffix":""},{"dropping-particle":"","family":"Jayatilleke","given":"A. U.","non-dropping-particle":"","parse-names":false,"suffix":""},{"dropping-particle":"","family":"Jee","given":"S. H.","non-dropping-particle":"","parse-names":false,"suffix":""},{"dropping-particle":"","family":"Jonas","given":"J. B.","non-dropping-particle":"","parse-names":false,"suffix":""},{"dropping-particle":"","family":"Kabir","given":"Z.","non-dropping-particle":"","parse-names":false,"suffix":""},{"dropping-particle":"","family":"Kalkonde","given":"Y.","non-dropping-particle":"","parse-names":false,"suffix":""},{"dropping-particle":"","family":"Kamal","given":"R.","non-dropping-particle":"","parse-names":false,"suffix":""},{"dropping-particle":"","family":"She","given":"J.","non-dropping-particle":"","parse-names":false,"suffix":""},{"dropping-particle":"","family":"Kan","given":"H.","non-dropping-particle":"","parse-names":false,"suffix":""},{"dropping-particle":"","family":"Karch","given":"A.","non-dropping-particle":"","parse-names":false,"suffix":""},{"dropping-particle":"","family":"Karimkhani","given":"C.","non-dropping-particle":"","parse-names":false,"suffix":""},{"dropping-particle":"","family":"Kaul","given":"A.","non-dropping-particle":"","parse-names":false,"suffix":""},{"dropping-particle":"","family":"Kazi","given":"D. S.","non-dropping-particle":"","parse-names":false,"suffix":""},{"dropping-particle":"","family":"Keiyoro","given":"P. N.","non-dropping-particle":"","parse-names":false,"suffix":""},{"dropping-particle":"","family":"Parry","given":"C. D.","non-dropping-particle":"","parse-names":false,"suffix":""},{"dropping-particle":"","family":"Kengne","given":"A. P.","non-dropping-particle":"","parse-names":false,"suffix":""},{"dropping-particle":"","family":"Matzopoulos","given":"R.","non-dropping-particle":"","parse-names":false,"suffix":""},{"dropping-particle":"","family":"Wiysonge","given":"C. S.","non-dropping-particle":"","parse-names":false,"suffix":""},{"dropping-particle":"","family":"Stein","given":"D. J.","non-dropping-particle":"","parse-names":false,"suffix":""},{"dropping-particle":"","family":"Mayosi","given":"B. M.","non-dropping-particle":"","parse-names":false,"suffix":""},{"dropping-particle":"","family":"Keren","given":"A.","non-dropping-particle":"","parse-names":false,"suffix":""},{"dropping-particle":"","family":"Khader","given":"Y. S.","non-dropping-particle":"","parse-names":false,"suffix":""},{"dropping-particle":"","family":"Khan","given":"E. A.","non-dropping-particle":"","parse-names":false,"suffix":""},{"dropping-particle":"","family":"Khan","given":"G.","non-dropping-particle":"","parse-names":false,"suffix":""},{"dropping-particle":"","family":"Khang","given":"Y. H.","non-dropping-particle":"","parse-names":false,"suffix":""},{"dropping-particle":"","family":"Won","given":"S.","non-dropping-particle":"","parse-names":false,"suffix":""},{"dropping-particle":"","family":"Khera","given":"S.","non-dropping-particle":"","parse-names":false,"suffix":""},{"dropping-particle":"","family":"Tavakkoli","given":"M.","non-dropping-particle":"","parse-names":false,"suffix":""},{"dropping-particle":"","family":"Khoja","given":"T. A.M.","non-dropping-particle":"","parse-names":false,"suffix":""},{"dropping-particle":"","family":"Khubchandani","given":"J.","non-dropping-particle":"","parse-names":false,"suffix":""},{"dropping-particle":"","family":"Kim","given":"C.","non-dropping-particle":"","parse-names":false,"suffix":""},{"dropping-particle":"","family":"Kim","given":"D.","non-dropping-particle":"","parse-names":false,"suffix":""},{"dropping-particle":"","family":"Kimokoti","given":"R. W.","non-dropping-particle":"","parse-names":false,"suffix":""},{"dropping-particle":"","family":"Kokubo","given":"Y.","non-dropping-particle":"","parse-names":false,"suffix":""},{"dropping-particle":"","family":"Koul","given":"P. A.","non-dropping-particle":"","parse-names":false,"suffix":""},{"dropping-particle":"","family":"Koyanagi","given":"A.","non-dropping-particle":"","parse-names":false,"suffix":""},{"dropping-particle":"","family":"Kravchenko","given":"M.","non-dropping-particle":"","parse-names":false,"suffix":""},{"dropping-particle":"","family":"Varakin","given":"Y. Y.","non-dropping-particle":"","parse-names":false,"suffix":""},{"dropping-particle":"","family":"Kuate","given":"B.","non-dropping-particle":"","parse-names":false,"suffix":""},{"dropping-particle":"","family":"Kuchenbecker","given":"R. S.","non-dropping-particle":"","parse-names":false,"suffix":""},{"dropping-particle":"","family":"Kucuk","given":"B.","non-dropping-particle":"","parse-names":false,"suffix":""},{"dropping-particle":"","family":"Kuipers","given":"E. J.","non-dropping-particle":"","parse-names":false,"suffix":""},{"dropping-particle":"","family":"Lallukka","given":"T.","non-dropping-particle":"","parse-names":false,"suffix":""},{"dropping-particle":"","family":"Shiri","given":"R.","non-dropping-particle":"","parse-names":false,"suffix":""},{"dropping-particle":"","family":"Meretoja","given":"T. J.","non-dropping-particle":"","parse-names":false,"suffix":""},{"dropping-particle":"","family":"Lan","given":"Q.","non-dropping-particle":"","parse-names":false,"suffix":""},{"dropping-particle":"","family":"Latif","given":"A. A.","non-dropping-particle":"","parse-names":false,"suffix":""},{"dropping-particle":"","family":"Lawrynowicz","given":"A. E.B.","non-dropping-particle":"","parse-names":false,"suffix":""},{"dropping-particle":"","family":"Leasher","given":"J. L.","non-dropping-particle":"","parse-names":false,"suffix":""},{"dropping-particle":"","family":"Levi","given":"M.","non-dropping-particle":"","parse-names":false,"suffix":""},{"dropping-particle":"","family":"Li","given":"X.","non-dropping-particle":"","parse-names":false,"suffix":""},{"dropping-particle":"","family":"Liang","given":"J.","non-dropping-particle":"","parse-names":false,"suffix":""},{"dropping-particle":"","family":"Lloyd","given":"B. K.","non-dropping-particle":"","parse-names":false,"suffix":""},{"dropping-particle":"","family":"Logroscino","given":"G.","non-dropping-particle":"","parse-names":false,"suffix":""},{"dropping-particle":"","family":"Lunevicius","given":"R.","non-dropping-particle":"","parse-names":false,"suffix":""},{"dropping-particle":"","family":"Pope","given":"D.","non-dropping-particle":"","parse-names":false,"suffix":""},{"dropping-particle":"","family":"Mahdavi","given":"M.","non-dropping-particle":"","parse-names":false,"suffix":""},{"dropping-particle":"","family":"Malta","given":"D. C.","non-dropping-particle":"","parse-names":false,"suffix":""},{"dropping-particle":"","family":"Marcenes","given":"W.","non-dropping-particle":"","parse-names":false,"suffix":""},{"dropping-particle":"","family":"Matsushita","given":"K.","non-dropping-particle":"","parse-names":false,"suffix":""},{"dropping-particle":"","family":"Nachega","given":"J. B.","non-dropping-particle":"","parse-names":false,"suffix":""},{"dropping-particle":"","family":"Tran","given":"B. X.","non-dropping-particle":"","parse-names":false,"suffix":""},{"dropping-particle":"","family":"Meaney","given":"P. A.","non-dropping-particle":"","parse-names":false,"suffix":""},{"dropping-particle":"","family":"Mehari","given":"A.","non-dropping-particle":"","parse-names":false,"suffix":""},{"dropping-particle":"","family":"Tedla","given":"B. A.","non-dropping-particle":"","parse-names":false,"suffix":""},{"dropping-particle":"","family":"Memish","given":"Z. A.","non-dropping-particle":"","parse-names":false,"suffix":""},{"dropping-particle":"","family":"Mendoza","given":"W.","non-dropping-particle":"","parse-names":false,"suffix":""},{"dropping-particle":"","family":"Mensink","given":"G. B.M.","non-dropping-particle":"","parse-names":false,"suffix":""},{"dropping-particle":"","family":"Mhimbira","given":"F. A.","non-dropping-particle":"","parse-names":false,"suffix":""},{"dropping-particle":"","family":"Miller","given":"T. R.","non-dropping-particle":"","parse-names":false,"suffix":""},{"dropping-particle":"","family":"Mills","given":"E. J.","non-dropping-particle":"","parse-names":false,"suffix":""},{"dropping-particle":"","family":"Mohammadi","given":"A.","non-dropping-particle":"","parse-names":false,"suffix":""},{"dropping-particle":"","family":"Mola","given":"G. L.D.","non-dropping-particle":"","parse-names":false,"suffix":""},{"dropping-particle":"","family":"Monasta","given":"L.","non-dropping-particle":"","parse-names":false,"suffix":""},{"dropping-particle":"","family":"Morawska","given":"L.","non-dropping-particle":"","parse-names":false,"suffix":""},{"dropping-particle":"","family":"Norman","given":"R. E.","non-dropping-particle":"","parse-names":false,"suffix":""},{"dropping-particle":"","family":"Mori","given":"R.","non-dropping-particle":"","parse-names":false,"suffix":""},{"dropping-particle":"","family":"Mozaff","given":"D.","non-dropping-particle":"","parse-names":false,"suffix":""},{"dropping-particle":"","family":"Shi","given":"P.","non-dropping-particle":"","parse-names":false,"suffix":""},{"dropping-particle":"","family":"Werdecker","given":"A.","non-dropping-particle":"","parse-names":false,"suffix":""},{"dropping-particle":"","family":"Mueller","given":"U. O.","non-dropping-particle":"","parse-names":false,"suffix":""},{"dropping-particle":"","family":"Paternina","given":"A. J.","non-dropping-particle":"","parse-names":false,"suffix":""},{"dropping-particle":"","family":"Westerman","given":"R.","non-dropping-particle":"","parse-names":false,"suffix":""},{"dropping-particle":"","family":"Seedat","given":"S.","non-dropping-particle":"","parse-names":false,"suffix":""},{"dropping-particle":"","family":"Naheed","given":"A.","non-dropping-particle":"","parse-names":false,"suffix":""},{"dropping-particle":"","family":"Nangia","given":"V.","non-dropping-particle":"","parse-names":false,"suffix":""},{"dropping-particle":"","family":"Nassiri","given":"N.","non-dropping-particle":"","parse-names":false,"suffix":""},{"dropping-particle":"","family":"Nguyen","given":"Q. L.","non-dropping-particle":"","parse-names":false,"suffix":""},{"dropping-particle":"","family":"Nkamedjie","given":"P. M.","non-dropping-particle":"","parse-names":false,"suffix":""},{"dropping-particle":"","family":"Norheim","given":"O. F.","non-dropping-particle":"","parse-names":false,"suffix":""},{"dropping-particle":"","family":"Norrving","given":"B.","non-dropping-particle":"","parse-names":false,"suffix":""},{"dropping-particle":"","family":"Nyakarahuka","given":"L.","non-dropping-particle":"","parse-names":false,"suffix":""},{"dropping-particle":"","family":"Obermeyer","given":"C. M.","non-dropping-particle":"","parse-names":false,"suffix":""},{"dropping-particle":"","family":"Ogbo","given":"F. A.","non-dropping-particle":"","parse-names":false,"suffix":""},{"dropping-particle":"","family":"Oh","given":"I.","non-dropping-particle":"","parse-names":false,"suffix":""},{"dropping-particle":"","family":"Oladimeji","given":"O.","non-dropping-particle":"","parse-names":false,"suffix":""},{"dropping-particle":"","family":"Sartorius","given":"B.","non-dropping-particle":"","parse-names":false,"suffix":""},{"dropping-particle":"","family":"Olusanya","given":"B. O.","non-dropping-particle":"","parse-names":false,"suffix":""},{"dropping-particle":"","family":"Olivares","given":"P. R.","non-dropping-particle":"","parse-names":false,"suffix":""},{"dropping-particle":"","family":"Olusanya","given":"J. O.","non-dropping-particle":"","parse-names":false,"suffix":""},{"dropping-particle":"","family":"Opio","given":"J. N.","non-dropping-particle":"","parse-names":false,"suffix":""},{"dropping-particle":"","family":"Oren","given":"E.","non-dropping-particle":"","parse-names":false,"suffix":""},{"dropping-particle":"","family":"Ortiz","given":"A.","non-dropping-particle":"","parse-names":false,"suffix":""},{"dropping-particle":"","family":"Ota","given":"E.","non-dropping-particle":"","parse-names":false,"suffix":""},{"dropping-particle":"","family":"Mahesh","given":"P. A.","non-dropping-particle":"","parse-names":false,"suffix":""},{"dropping-particle":"","family":"Park","given":"E.","non-dropping-particle":"","parse-names":false,"suffix":""},{"dropping-particle":"","family":"Patel","given":"T.","non-dropping-particle":"","parse-names":false,"suffix":""},{"dropping-particle":"","family":"Patil","given":"S. T.","non-dropping-particle":"","parse-names":false,"suffix":""},{"dropping-particle":"","family":"Patten","given":"S. B.","non-dropping-particle":"","parse-names":false,"suffix":""},{"dropping-particle":"","family":"Wang","given":"J.","non-dropping-particle":"","parse-names":false,"suffix":""},{"dropping-particle":"","family":"Pereira","given":"D. M.","non-dropping-particle":"","parse-names":false,"suffix":""},{"dropping-particle":"","family":"Cortinovis","given":"M.","non-dropping-particle":"","parse-names":false,"suffix":""},{"dropping-particle":"","family":"Giussani","given":"G.","non-dropping-particle":"","parse-names":false,"suffix":""},{"dropping-particle":"","family":"Perico","given":"N.","non-dropping-particle":"","parse-names":false,"suffix":""},{"dropping-particle":"","family":"Remuzzi","given":"G.","non-dropping-particle":"","parse-names":false,"suffix":""},{"dropping-particle":"","family":"Pesudovs","given":"K.","non-dropping-particle":"","parse-names":false,"suffix":""},{"dropping-particle":"","family":"Phillips","given":"M. R.","non-dropping-particle":"","parse-names":false,"suffix":""},{"dropping-particle":"","family":"Pillay","given":"J. D.","non-dropping-particle":"","parse-names":false,"suffix":""},{"dropping-particle":"","family":"Plass","given":"D.","non-dropping-particle":"","parse-names":false,"suffix":""},{"dropping-particle":"","family":"Tobollik","given":"M.","non-dropping-particle":"","parse-names":false,"suffix":""},{"dropping-particle":"","family":"Polinder","given":"S.","non-dropping-particle":"","parse-names":false,"suffix":""},{"dropping-particle":"","family":"Pond","given":"C. D.","non-dropping-particle":"","parse-names":false,"suffix":""},{"dropping-particle":"","family":"Pope","given":"C. A.","non-dropping-particle":"","parse-names":false,"suffix":""},{"dropping-particle":"","family":"Prasad","given":"N. M.","non-dropping-particle":"","parse-names":false,"suffix":""},{"dropping-particle":"","family":"Qorbani","given":"M.","non-dropping-particle":"","parse-names":false,"suffix":""},{"dropping-particle":"","family":"Radfar","given":"A.","non-dropping-particle":"","parse-names":false,"suffix":""},{"dropping-particle":"","family":"Rafay","given":"A.","non-dropping-particle":"","parse-names":false,"suffix":""},{"dropping-particle":"","family":"Rana","given":"S. M.","non-dropping-particle":"","parse-names":false,"suffix":""},{"dropping-particle":"","family":"Rahman","given":"M.","non-dropping-particle":"","parse-names":false,"suffix":""},{"dropping-particle":"","family":"Rahman","given":"S. U.","non-dropping-particle":"","parse-names":false,"suffix":""},{"dropping-particle":"","family":"Rajsic","given":"S.","non-dropping-particle":"","parse-names":false,"suffix":""},{"dropping-particle":"","family":"Rai","given":"R. K.","non-dropping-particle":"","parse-names":false,"suffix":""},{"dropping-particle":"","family":"Raju","given":"M.","non-dropping-particle":"","parse-names":false,"suffix":""},{"dropping-particle":"","family":"Ranganathan","given":"K.","non-dropping-particle":"","parse-names":false,"suffix":""},{"dropping-particle":"","family":"Refaat","given":"A. H.","non-dropping-particle":"","parse-names":false,"suffix":""},{"dropping-particle":"","family":"Rehm","given":"C. D.","non-dropping-particle":"","parse-names":false,"suffix":""},{"dropping-particle":"","family":"Ribeiro","given":"A. L.","non-dropping-particle":"","parse-names":false,"suffix":""},{"dropping-particle":"","family":"Rojas-Rueda","given":"D.","non-dropping-particle":"","parse-names":false,"suffix":""},{"dropping-particle":"","family":"Roy","given":"A.","non-dropping-particle":"","parse-names":false,"suffix":""},{"dropping-particle":"","family":"Satpathy","given":"M.","non-dropping-particle":"","parse-names":false,"suffix":""},{"dropping-particle":"","family":"Tandon","given":"N.","non-dropping-particle":"","parse-names":false,"suffix":""},{"dropping-particle":"","family":"Rothenbacher","given":"D.","non-dropping-particle":"","parse-names":false,"suffix":""},{"dropping-particle":"","family":"Saleh","given":"M. M.","non-dropping-particle":"","parse-names":false,"suffix":""},{"dropping-particle":"","family":"Sanabria","given":"J. R.","non-dropping-particle":"","parse-names":false,"suffix":""},{"dropping-particle":"","family":"Sanchez-Riera","given":"L.","non-dropping-particle":"","parse-names":false,"suffix":""},{"dropping-particle":"","family":"Sanchez-Niño","given":"M. D.","non-dropping-particle":"","parse-names":false,"suffix":""},{"dropping-particle":"","family":"Sarmiento-Suarez","given":"R.","non-dropping-particle":"","parse-names":false,"suffix":""},{"dropping-particle":"","family":"Sawhney","given":"M.","non-dropping-particle":"","parse-names":false,"suffix":""},{"dropping-particle":"","family":"Schmidhuber","given":"J.","non-dropping-particle":"","parse-names":false,"suffix":""},{"dropping-particle":"","family":"Schneider","given":"I. J.C.","non-dropping-particle":"","parse-names":false,"suffix":""},{"dropping-particle":"","family":"Schutte","given":"A. E.","non-dropping-particle":"","parse-names":false,"suffix":""},{"dropping-particle":"","family":"Silva","given":"D. A.S.","non-dropping-particle":"","parse-names":false,"suffix":""},{"dropping-particle":"","family":"Shahraz","given":"S.","non-dropping-particle":"","parse-names":false,"suffix":""},{"dropping-particle":"","family":"Shin","given":"M.","non-dropping-particle":"","parse-names":false,"suffix":""},{"dropping-particle":"","family":"Shaheen","given":"A.","non-dropping-particle":"","parse-names":false,"suffix":""},{"dropping-particle":"","family":"Shaikh","given":"M. A.","non-dropping-particle":"","parse-names":false,"suffix":""},{"dropping-particle":"","family":"Sharma","given":"R.","non-dropping-particle":"","parse-names":false,"suffix":""},{"dropping-particle":"","family":"Shigematsu","given":"M.","non-dropping-particle":"","parse-names":false,"suffix":""},{"dropping-particle":"","family":"Yoon","given":"S.","non-dropping-particle":"","parse-names":false,"suffix":""},{"dropping-particle":"","family":"Shishani","given":"K.","non-dropping-particle":"","parse-names":false,"suffix":""},{"dropping-particle":"","family":"Sigfusdottir","given":"I. D.","non-dropping-particle":"","parse-names":false,"suffix":""},{"dropping-particle":"","family":"Singh","given":"P. K.","non-dropping-particle":"","parse-names":false,"suffix":""},{"dropping-particle":"","family":"Silveira","given":"D. G.A.","non-dropping-particle":"","parse-names":false,"suffix":""},{"dropping-particle":"","family":"Silverberg","given":"J. I.","non-dropping-particle":"","parse-names":false,"suffix":""},{"dropping-particle":"","family":"Yano","given":"Y.","non-dropping-particle":"","parse-names":false,"suffix":""},{"dropping-particle":"","family":"Soneji","given":"S.","non-dropping-particle":"","parse-names":false,"suffix":""},{"dropping-particle":"","family":"Stranges","given":"S.","non-dropping-particle":"","parse-names":false,"suffix":""},{"dropping-particle":"","family":"Steckling","given":"N.","non-dropping-particle":"","parse-names":false,"suffix":""},{"dropping-particle":"","family":"Sreeramareddy","given":"C. T.","non-dropping-particle":"","parse-names":false,"suffix":""},{"dropping-particle":"","family":"Stathopoulou","given":"V.","non-dropping-particle":"","parse-names":false,"suffix":""},{"dropping-particle":"","family":"Stroumpoulis","given":"K.","non-dropping-particle":"","parse-names":false,"suffix":""},{"dropping-particle":"","family":"Sunguya","given":"B. F.","non-dropping-particle":"","parse-names":false,"suffix":""},{"dropping-particle":"","family":"Swaminathan","given":"S.","non-dropping-particle":"","parse-names":false,"suffix":""},{"dropping-particle":"","family":"Sykes","given":"B. L.","non-dropping-particle":"","parse-names":false,"suffix":""},{"dropping-particle":"","family":"Tabarés-Seisdedos","given":"R.","non-dropping-particle":"","parse-names":false,"suffix":""},{"dropping-particle":"","family":"Talongwa","given":"R. T.","non-dropping-particle":"","parse-names":false,"suffix":""},{"dropping-particle":"","family":"Tanne","given":"D.","non-dropping-particle":"","parse-names":false,"suffix":""},{"dropping-particle":"","family":"Tuzcu","given":"E. M.","non-dropping-particle":"","parse-names":false,"suffix":""},{"dropping-particle":"","family":"Thakur","given":"J.","non-dropping-particle":"","parse-names":false,"suffix":""},{"dropping-particle":"","family":"Shaddick","given":"G.","non-dropping-particle":"","parse-names":false,"suffix":""},{"dropping-particle":"","family":"Thomas","given":"M. L.","non-dropping-particle":"","parse-names":false,"suffix":""},{"dropping-particle":"","family":"Thrift","given":"A. G.","non-dropping-particle":"","parse-names":false,"suffix":""},{"dropping-particle":"","family":"Thurston","given":"G. D.","non-dropping-particle":"","parse-names":false,"suffix":""},{"dropping-particle":"","family":"Thomson","given":"A. J.","non-dropping-particle":"","parse-names":false,"suffix":""},{"dropping-particle":"","family":"Topor-Madry","given":"R.","non-dropping-particle":"","parse-names":false,"suffix":""},{"dropping-particle":"","family":"Topouzis","given":"F.","non-dropping-particle":"","parse-names":false,"suffix":""},{"dropping-particle":"","family":"Towbin","given":"J. A.","non-dropping-particle":"","parse-names":false,"suffix":""},{"dropping-particle":"","family":"Uthman","given":"O. A.","non-dropping-particle":"","parse-names":false,"suffix":""},{"dropping-particle":"","family":"Tobe-Gai","given":"R.","non-dropping-particle":"","parse-names":false,"suffix":""},{"dropping-particle":"","family":"Tsilimparis","given":"N.","non-dropping-particle":"","parse-names":false,"suffix":""},{"dropping-particle":"","family":"Tsala","given":"Z.","non-dropping-particle":"","parse-names":false,"suffix":""},{"dropping-particle":"","family":"Tyrovolas","given":"S.","non-dropping-particle":"","parse-names":false,"suffix":""},{"dropping-particle":"","family":"Ukwaja","given":"K. N.","non-dropping-particle":"","parse-names":false,"suffix":""},{"dropping-particle":"","family":"Os","given":"J.","non-dropping-particle":"van","parse-names":false,"suffix":""},{"dropping-particle":"","family":"Vasankari","given":"T.","non-dropping-particle":"","parse-names":false,"suffix":""},{"dropping-particle":"","family":"Venketasubramanian","given":"N.","non-dropping-particle":"","parse-names":false,"suffix":""},{"dropping-particle":"","family":"Violante","given":"F. S.","non-dropping-particle":"","parse-names":false,"suffix":""},{"dropping-particle":"","family":"Waller","given":"S. G.","non-dropping-particle":"","parse-names":false,"suffix":""},{"dropping-particle":"","family":"Uneke","given":"C. J.","non-dropping-particle":"","parse-names":false,"suffix":""},{"dropping-particle":"","family":"Wang","given":"Y.","non-dropping-particle":"","parse-names":false,"suffix":""},{"dropping-particle":"","family":"Weichenthal","given":"S.","non-dropping-particle":"","parse-names":false,"suffix":""},{"dropping-particle":"","family":"Woolf","given":"A. D.","non-dropping-particle":"","parse-names":false,"suffix":""},{"dropping-particle":"","family":"Xavier","given":"D.","non-dropping-particle":"","parse-names":false,"suffix":""},{"dropping-particle":"","family":"Xu","given":"G.","non-dropping-particle":"","parse-names":false,"suffix":""},{"dropping-particle":"","family":"Yakob","given":"B.","non-dropping-particle":"","parse-names":false,"suffix":""},{"dropping-particle":"","family":"Yip","given":"P.","non-dropping-particle":"","parse-names":false,"suffix":""},{"dropping-particle":"","family":"Kesavachandran","given":"C. N.","non-dropping-particle":"","parse-names":false,"suffix":""},{"dropping-particle":"","family":"Montico","given":"M.","non-dropping-particle":"","parse-names":false,"suffix":""},{"dropping-particle":"","family":"Ronfani","given":"L.","non-dropping-particle":"","parse-names":false,"suffix":""},{"dropping-particle":"","family":"Yu","given":"C.","non-dropping-particle":"","parse-names":false,"suffix":""},{"dropping-particle":"","family":"Zaidi","given":"Z.","non-dropping-particle":"","parse-names":false,"suffix":""},{"dropping-particle":"","family":"Yonemoto","given":"N.","non-dropping-particle":"","parse-names":false,"suffix":""},{"dropping-particle":"","family":"Younis","given":"M. Z.","non-dropping-particle":"","parse-names":false,"suffix":""},{"dropping-particle":"","family":"Wubshet","given":"M.","non-dropping-particle":"","parse-names":false,"suffix":""},{"dropping-particle":"","family":"Zuhlke","given":"L. J.","non-dropping-particle":"","parse-names":false,"suffix":""},{"dropping-particle":"","family":"Zaki","given":"M. E.","non-dropping-particle":"","parse-names":false,"suffix":""},{"dropping-particle":"","family":"Zhu","given":"J.","non-dropping-particle":"","parse-names":false,"suffix":""}],"container-title":"The Lancet","id":"ITEM-1","issue":"10053","issued":{"date-parts":[["2016","10","8"]]},"page":"1659-1724","publisher":"Lancet Publishing Group","title":"Global, regional, and national comparative risk assessment of 79 behavioural, environmental and occupational, and metabolic risks or clusters of risks, 1990–2015: a systematic analysis for the Global Burden of Disease Study 2015","type":"article-journal","volume":"388"},"uris":["http://www.mendeley.com/documents/?uuid=eae154e9-3994-3e3c-9423-61ab0ac4a558"]}],"mendeley":{"formattedCitation":"[1]","plainTextFormattedCitation":"[1]","previouslyFormattedCitation":"[1]"},"properties":{"noteIndex":0},"schema":"https://github.com/citation-style-language/schema/raw/master/csl-citation.json"}</w:instrText>
      </w:r>
      <w:r w:rsidRPr="002053DC">
        <w:fldChar w:fldCharType="separate"/>
      </w:r>
      <w:r w:rsidRPr="002053DC">
        <w:rPr>
          <w:noProof/>
        </w:rPr>
        <w:t>[1]</w:t>
      </w:r>
      <w:r w:rsidRPr="002053DC">
        <w:fldChar w:fldCharType="end"/>
      </w:r>
      <w:r w:rsidRPr="002053DC">
        <w:t xml:space="preserve">. These diseases share four behavioral risk factors including consumption of tobacco and alcohol, unhealthy diet, and insufficient physical activity (PA) </w:t>
      </w:r>
      <w:r w:rsidRPr="002053DC">
        <w:fldChar w:fldCharType="begin" w:fldLock="1"/>
      </w:r>
      <w:r w:rsidRPr="002053DC">
        <w:instrText>ADDIN CSL_CITATION {"citationItems":[{"id":"ITEM-1","itemData":{"DOI":"10.1016/S0140-6736(12)61031-9","ISSN":"1474-547X","PMID":"22818936","abstract":"BACKGROUND Strong evidence shows that physical inactivity increases the risk of many adverse health conditions, including major non-communicable diseases such as coronary heart disease, type 2 diabetes, and breast and colon cancers, and shortens life expectancy. Because much of the world's population is inactive, this link presents a major public health issue. We aimed to quantify the eff ect of physical inactivity on these major non-communicable diseases by estimating how much disease could be averted if inactive people were to become active and to estimate gain in life expectancy at the population level. METHODS For our analysis of burden of disease, we calculated population attributable fractions (PAFs) associated with physical inactivity using conservative assumptions for each of the major non-communicable diseases, by country, to estimate how much disease could be averted if physical inactivity were eliminated. We used life-table analysis to estimate gains in life expectancy of the population. FINDINGS Worldwide, we estimate that physical inactivity causes 6% (ranging from 3·2% in southeast Asia to 7·8% in the eastern Mediterranean region) of the burden of disease from coronary heart disease, 7% (3·9-9·6) of type 2 diabetes, 10% (5·6-14·1) of breast cancer, and 10% (5·7-13·8) of colon cancer. Inactivity causes 9% (range 5·1-12·5) of premature mortality, or more than 5·3 million of the 57 million deaths that occurred worldwide in 2008. If inactivity were not eliminated, but decreased instead by 10% or 25%, more than 533 000 and more than 1·3 million deaths, respectively, could be averted every year. We estimated that elimination of physical inactivity would increase the life expectancy of the world's population by 0·68 (range 0·41-0·95) years. INTERPRETATION Physical inactivity has a major health eff ect worldwide. Decrease in or removal of this unhealthy behaviour could improve health substantially. FUNDING None.","author":[{"dropping-particle":"","family":"Lee","given":"I. Min.","non-dropping-particle":"","parse-names":false,"suffix":""},{"dropping-particle":"","family":"Shiroma","given":"Eric","non-dropping-particle":"","parse-names":false,"suffix":""},{"dropping-particle":"","family":"Lobelo","given":"Felipe","non-dropping-particle":"","parse-names":false,"suffix":""},{"dropping-particle":"","family":"Puska","given":"Pekka","non-dropping-particle":"","parse-names":false,"suffix":""},{"dropping-particle":"","family":"Blair","given":"Steven N","non-dropping-particle":"","parse-names":false,"suffix":""},{"dropping-particle":"","family":"Katzmarzyk","given":"Peter T","non-dropping-particle":"","parse-names":false,"suffix":""},{"dropping-particle":"","family":"Group","given":"Lancet Physical Activity Series Working","non-dropping-particle":"","parse-names":false,"suffix":""}],"container-title":"Lancet (London, England)","id":"ITEM-1","issue":"9838","issued":{"date-parts":[["2012","7","21"]]},"page":"219-29","publisher":"NIH Public Access","title":"Effect of physical inactivity on major non-communicable diseases worldwide: An analysis of burden of disease and life expectancy.","type":"article-journal","volume":"380"},"uris":["http://www.mendeley.com/documents/?uuid=e8ab997f-422b-3563-85de-30909501dd68"]}],"mendeley":{"formattedCitation":"[2]","plainTextFormattedCitation":"[2]","previouslyFormattedCitation":"[2]"},"properties":{"noteIndex":0},"schema":"https://github.com/citation-style-language/schema/raw/master/csl-citation.json"}</w:instrText>
      </w:r>
      <w:r w:rsidRPr="002053DC">
        <w:fldChar w:fldCharType="separate"/>
      </w:r>
      <w:r w:rsidRPr="002053DC">
        <w:rPr>
          <w:noProof/>
        </w:rPr>
        <w:t>[2]</w:t>
      </w:r>
      <w:r w:rsidRPr="002053DC">
        <w:fldChar w:fldCharType="end"/>
      </w:r>
      <w:r w:rsidRPr="002053DC">
        <w:t xml:space="preserve">. Insufficient PA is the fourth leading cause of death from chronic diseases in both high and middle-income countries </w:t>
      </w:r>
      <w:r w:rsidRPr="002053DC">
        <w:fldChar w:fldCharType="begin" w:fldLock="1"/>
      </w:r>
      <w:r w:rsidRPr="002053DC">
        <w:instrText>ADDIN CSL_CITATION {"citationItems":[{"id":"ITEM-1","itemData":{"DOI":"10.2471/BLT.09.070565","ISBN":"9789241563","ISSN":"00429686","PMID":"16046120","abstract":"The leading global risks for mortality in the world are high blood pressure (responsible for 13% of deaths globally), tobacco use (9%), high blood glucose (6%), physical inactivity (6%), and overweight and obesity (5%). These risks are responsible for raising the risk of chronic diseases such as heart disease, diabetes and cancers. They affect countries across all income groups: high, middle and low.","author":[{"dropping-particle":"","family":"World Health Organization","given":"","non-dropping-particle":"","parse-names":false,"suffix":""}],"container-title":"Bulletin of the World Health Organization","id":"ITEM-1","issued":{"date-parts":[["2009"]]},"number-of-pages":"646-646","title":"Global health risks: Mortality and burden of disease attributable to selected major risks","type":"report","volume":"87"},"uris":["http://www.mendeley.com/documents/?uuid=c0705800-ad1b-3887-a3d6-4b7eab22ca04"]}],"mendeley":{"formattedCitation":"[3]","plainTextFormattedCitation":"[3]","previouslyFormattedCitation":"[3]"},"properties":{"noteIndex":0},"schema":"https://github.com/citation-style-language/schema/raw/master/csl-citation.json"}</w:instrText>
      </w:r>
      <w:r w:rsidRPr="002053DC">
        <w:fldChar w:fldCharType="separate"/>
      </w:r>
      <w:r w:rsidRPr="002053DC">
        <w:rPr>
          <w:noProof/>
        </w:rPr>
        <w:t>[3]</w:t>
      </w:r>
      <w:r w:rsidRPr="002053DC">
        <w:fldChar w:fldCharType="end"/>
      </w:r>
      <w:r w:rsidRPr="002053DC">
        <w:t xml:space="preserve">. Moreover, 27.5% of the worldwide population is considered inactive, and surprisingly the Latin America and the Caribbean region leads this ranking with 39.1%. Specifically, the prevalence of inactivity among those from Argentina and Chile is 44.2% and 35.1%, respectively </w:t>
      </w:r>
      <w:r w:rsidRPr="002053DC">
        <w:fldChar w:fldCharType="begin" w:fldLock="1"/>
      </w:r>
      <w:r w:rsidRPr="002053DC">
        <w:instrText>ADDIN CSL_CITATION {"citationItems":[{"id":"ITEM-1","itemData":{"DOI":"10.1016/S2214-109X(18)30357-7","ISSN":"2214109X","abstract":"Background: Insufficient physical activity is a leading risk factor for non-communicable diseases, and has a negative effect on mental health and quality of life. We describe levels of insufficient physical activity across countries, and estimate global and regional trends. Methods: We pooled data from population-based surveys reporting the prevalence of insufficient physical activity, which included physical activity at work, at home, for transport, and during leisure time (ie, not doing at least 150 min of moderate-intensity, or 75 min of vigorous-intensity physical activity per week, or any equivalent combination of the two). We used regression models to adjust survey data to a standard definition and age groups. We estimated time trends using multilevel mixed-effects modelling. Findings: We included data from 358 surveys across 168 countries, including 1·9 million participants. Global age-standardised prevalence of insufficient physical activity was 27·5% (95% uncertainty interval 25·0–32·2) in 2016, with a difference between sexes of more than 8 percentage points (23·4%, 21·1–30·7, in men vs 31·7%, 28·6–39·0, in women). Between 2001, and 2016, levels of insufficient activity were stable (28·5%, 23·9–33·9, in 2001; change not significant). The highest levels in 2016, were in women in Latin America and the Caribbean (43·7%, 42·9–46·5), south Asia (43·0%, 29·6–74·9), and high-income Western countries (42·3%, 39·1–45·4), whereas the lowest levels were in men from Oceania (12·3%, 11·2–17·7), east and southeast Asia (17·6%, 15·7–23·9), and sub-Saharan Africa (17·9%, 15·1–20·5). Prevalence in 2016 was more than twice as high in high-income countries (36·8%, 35·0–38·0) as in low-income countries (16·2%, 14·2–17·9), and insufficient activity has increased in high-income countries over time (31·6%, 27·1–37·2, in 2001). Interpretation: If current trends continue, the 2025 global physical activity target (a 10% relative reduction in insufficient physical activity) will not be met. Policies to increase population levels of physical activity need to be prioritised and scaled up urgently. Funding: None.","author":[{"dropping-particle":"","family":"Guthold","given":"Regina","non-dropping-particle":"","parse-names":false,"suffix":""},{"dropping-particle":"","family":"Stevens","given":"Gretchen A.","non-dropping-particle":"","parse-names":false,"suffix":""},{"dropping-particle":"","family":"Riley","given":"Leanne M.","non-dropping-particle":"","parse-names":false,"suffix":""},{"dropping-particle":"","family":"Bull","given":"Fiona C.","non-dropping-particle":"","parse-names":false,"suffix":""}],"container-title":"The Lancet Global Health","id":"ITEM-1","issued":{"date-parts":[["2018"]]},"title":"Worldwide trends in insufficient physical activity from 2001 to 2016: A pooled analysis of 358 population-based surveys with 1·9 million participants","type":"article-journal"},"uris":["http://www.mendeley.com/documents/?uuid=e6f17256-40b0-3201-88bc-ddec757ed057"]},{"id":"ITEM-2","itemData":{"DOI":"10.5867/medwave.2019.S1","ISSN":"07176384","PMID":"31518086","author":[{"dropping-particle":"","family":"Leppe Zamora","given":"Jaime","non-dropping-particle":"","parse-names":false,"suffix":""},{"dropping-particle":"","family":"Munizaga Rodríguez","given":"Bárbara","non-dropping-particle":"","parse-names":false,"suffix":""},{"dropping-particle":"","family":"Margozzini","given":"Paula","non-dropping-particle":"","parse-names":false,"suffix":""}],"container-title":"Medwave","id":"ITEM-2","issue":"S1","issued":{"date-parts":[["2019","3","15"]]},"publisher":"NLM (Medline)","title":"Resúmenes V Congreso Chileno de Salud Pública y VII Congreso Chileno de Epidemiología. Concepción, Chile; 2018","type":"paper-conference","volume":"19"},"uris":["http://www.mendeley.com/documents/?uuid=932b2413-09f1-3eea-af75-66900e17d454"]},{"id":"ITEM-3","itemData":{"author":[{"dropping-particle":"","family":"Ministerio de Salud y Desarrollo Social","given":"","non-dropping-particle":"","parse-names":false,"suffix":""}],"id":"ITEM-3","issued":{"date-parts":[["2019"]]},"title":"4° Encuesta Nacional de Factores de Riesgo","type":"report"},"uris":["http://www.mendeley.com/documents/?uuid=9798248b-c0b5-33c5-8233-4a82bd5ad295"]}],"mendeley":{"formattedCitation":"[4–6]","plainTextFormattedCitation":"[4–6]","previouslyFormattedCitation":"[4–6]"},"properties":{"noteIndex":0},"schema":"https://github.com/citation-style-language/schema/raw/master/csl-citation.json"}</w:instrText>
      </w:r>
      <w:r w:rsidRPr="002053DC">
        <w:fldChar w:fldCharType="separate"/>
      </w:r>
      <w:r w:rsidRPr="002053DC">
        <w:rPr>
          <w:noProof/>
        </w:rPr>
        <w:t>[4–6]</w:t>
      </w:r>
      <w:r w:rsidRPr="002053DC">
        <w:fldChar w:fldCharType="end"/>
      </w:r>
      <w:r w:rsidRPr="002053DC">
        <w:t xml:space="preserve">. In order to tackle low levels of PA, measures such as the World Health Organization’s Global Action Plan have been initiated </w:t>
      </w:r>
      <w:r w:rsidRPr="002053DC">
        <w:fldChar w:fldCharType="begin" w:fldLock="1"/>
      </w:r>
      <w:r w:rsidRPr="002053DC">
        <w:instrText>ADDIN CSL_CITATION {"citationItems":[{"id":"ITEM-1","itemData":{"author":[{"dropping-particle":"","family":"World Health Organization.","given":"","non-dropping-particle":"","parse-names":false,"suffix":""}],"container-title":"WHO","id":"ITEM-1","issued":{"date-parts":[["2018"]]},"publisher":"World Health Organization","title":"Global action plan on physical activity 2018–2030: more active people for a healthier world","type":"article-journal"},"uris":["http://www.mendeley.com/documents/?uuid=787f1ee0-bd78-3b99-ac95-795a80697159"]}],"mendeley":{"formattedCitation":"[7]","plainTextFormattedCitation":"[7]","previouslyFormattedCitation":"[7]"},"properties":{"noteIndex":0},"schema":"https://github.com/citation-style-language/schema/raw/master/csl-citation.json"}</w:instrText>
      </w:r>
      <w:r w:rsidRPr="002053DC">
        <w:fldChar w:fldCharType="separate"/>
      </w:r>
      <w:r w:rsidRPr="002053DC">
        <w:rPr>
          <w:noProof/>
        </w:rPr>
        <w:t>[7]</w:t>
      </w:r>
      <w:r w:rsidRPr="002053DC">
        <w:fldChar w:fldCharType="end"/>
      </w:r>
      <w:r w:rsidRPr="002053DC">
        <w:t>. However, levels of PA remain low, and social distancing restrictions put in place to reduce transmission during the COVID-19 pandemic may have resulted in further declines in levels of PA.</w:t>
      </w:r>
    </w:p>
    <w:p w14:paraId="27EE3F85" w14:textId="77777777" w:rsidR="002053DC" w:rsidRPr="002053DC" w:rsidRDefault="002053DC" w:rsidP="002053DC">
      <w:pPr>
        <w:pStyle w:val="MDPI31text"/>
      </w:pPr>
    </w:p>
    <w:p w14:paraId="04E3C077" w14:textId="78C60E32" w:rsidR="00B02073" w:rsidRDefault="002053DC" w:rsidP="002053DC">
      <w:pPr>
        <w:pStyle w:val="MDPI31text"/>
      </w:pPr>
      <w:r w:rsidRPr="002053DC">
        <w:t xml:space="preserve">Prior to COVID-19, the percent of daily time dedicated to moderate to vigorous PA (MVPA) in the general population was low (around 1%), in comparison to the time spent in light intensity PA (28%), sleep (29%) and sedentary behavior (42%) </w:t>
      </w:r>
      <w:r w:rsidRPr="002053DC">
        <w:fldChar w:fldCharType="begin" w:fldLock="1"/>
      </w:r>
      <w:r w:rsidRPr="002053DC">
        <w:instrText>ADDIN CSL_CITATION {"citationItems":[{"id":"ITEM-1","itemData":{"DOI":"10.1186/s12966-021-01092-0","ISSN":"1479-5868","abstract":"Background: Daily time spent in sleep, sedentary behaviour (SED), light intensity physical activity (LIPA), and moderate-to-vigorous intensity physical activity (MVPA) are compositional, co-dependent variables. The objectives of this study were to use compositional data analysis to: (1) examine the relationship between the movement behaviour composition (daily time spent in sleep, SED, LIPA and MVPA) and all-cause mortality risk, and (2) estimate the extent to which changing time spent in any given movement behaviour (sleep, SED, LIPA, or MVPA) within the movement behaviour composition was associated with changes in risk of all-cause mortality. Methods: 2838 adult participants from the 2005-2006 cycle of the U.S. National Health and Nutrition Examination Survey were studied using a prospective cohort design. Daily time spent in SED, LIPA and MVPA were determined by accelerometer. Nightly time spent sleeping was self-reported. Survey data were linked with mortality data through to the end of December 2015. Compositional data analysis was used to investigate relationships between the movement behaviour composition and mortality. Results: The movement behaviour composition was significantly associated with mortality risk. Time spent in MVPA relative to other movement behaviours was negatively associated with mortality risk (HR = .74; 95% CI [.67, .83]) while relative time spent in SED was positively associated with mortality risk (HR = 1.75; 95% CI [1.10, 2.79]). Time displacement estimates revealed that the greatest estimated changes in mortality risk occurred when time spent in MVPA was decreased and replaced with sleep, SED, LIPA or a combination of these behaviours (HRs of 1.76 to 1.80 for 15 min/day displacements). Conclusions: The daily movement behaviour composition was related to mortality. Replacing time in MVPA or SED with equivalent time from any other movement behaviour was associated with an increase and decrease in mortality risk, respectively.","author":[{"dropping-particle":"","family":"Clarke","given":"Anna E.","non-dropping-particle":"","parse-names":false,"suffix":""},{"dropping-particle":"","family":"Janssen","given":"Ian","non-dropping-particle":"","parse-names":false,"suffix":""}],"container-title":"International Journal of Behavioral Nutrition and Physical Activity","id":"ITEM-1","issue":"1","issued":{"date-parts":[["2021","12","6"]]},"page":"25","publisher":"Springer Science and Business Media LLC","title":"A compositional analysis of time spent in sleep, sedentary behaviour and physical activity with all-cause mortality risk","type":"article-journal","volume":"18"},"uris":["http://www.mendeley.com/documents/?uuid=9eedad73-7c5a-3aad-af0d-fbb4a96db233"]}],"mendeley":{"formattedCitation":"[8]","plainTextFormattedCitation":"[8]","previouslyFormattedCitation":"[8]"},"properties":{"noteIndex":0},"schema":"https://github.com/citation-style-language/schema/raw/master/csl-citation.json"}</w:instrText>
      </w:r>
      <w:r w:rsidRPr="002053DC">
        <w:fldChar w:fldCharType="separate"/>
      </w:r>
      <w:r w:rsidRPr="002053DC">
        <w:rPr>
          <w:noProof/>
        </w:rPr>
        <w:t>[8]</w:t>
      </w:r>
      <w:r w:rsidRPr="002053DC">
        <w:fldChar w:fldCharType="end"/>
      </w:r>
      <w:r w:rsidRPr="002053DC">
        <w:t xml:space="preserve">. Importantly, high sedentary behavior is also considered an independent risk factor concerning NCDs-related morbidity and mortality </w:t>
      </w:r>
      <w:r w:rsidRPr="002053DC">
        <w:fldChar w:fldCharType="begin" w:fldLock="1"/>
      </w:r>
      <w:r w:rsidRPr="002053DC">
        <w:instrText>ADDIN CSL_CITATION {"citationItems":[{"id":"ITEM-1","itemData":{"DOI":"10.1136/bmj.l4570","ISSN":"17561833","PMID":"31434697","abstract":"Objective To examine the dose-response associations between accelerometer assessed total physical activity, different intensities of physical activity, and sedentary time and all cause mortality. Design Systematic review and harmonised meta-analysis. Data sources PubMed, PsycINFO, Embase, Web of Science, Sport Discus from inception to 31 July 2018. Eligibility criteria Prospective cohort studies assessing physical activity and sedentary time by accelerometry and associations with all cause mortality and reported effect estimates as hazard ratios, odds ratios, or relative risks with 95% confidence intervals. Data extraction and analysis Guidelines for meta-analyses and systematic reviews for observational studies and PRISMA guidelines were followed. Two authors independently screened the titles and abstracts. One author performed a full text review and another extracted the data. Two authors independently assessed the risk of bias. Individual level participant data were harmonised and analysed at study level. Data on physical activity were categorised by quarters at study level, and study specific associations with all cause mortality were analysed using Cox proportional hazards regression analyses. Study specific results were summarised using random effects meta-analysis. Main outcome measure All cause mortality. Results 39 studies were retrieved for full text review; 10 were eligible for inclusion, three were excluded owing to harmonisation challenges (eg, wrist placement of the accelerometer), and one study did not participate. Two additional studies with unpublished mortality data were also included. Thus, individual level data from eight studies (n=36 383; mean age 62.6 years; 72.8% women), with median follow-up of 5.8 years (range 3.0-14.5 years) and 2149 (5.9%) deaths were analysed. Any physical activity, regardless of intensity, was associated with lower risk of mortality, with a non-linear dose-response. Hazards ratios for mortality were 1.00 (referent) in the first quarter (least active), 0.48 (95% confidence interval 0.43 to 0.54) in the second quarter, 0.34 (0.26 to 0.45) in the third quarter, and 0.27 (0.23 to 0.32) in the fourth quarter (most active). Corresponding hazards ratios for light physical activity were 1.00, 0.60 (0.54 to 0.68), 0.44 (0.38 to 0.51), and 0.38 (0.28 to 0.51), and for moderate-to-vigorous physical activity were 1.00, 0.64 (0.55 to 0.74), 0.55 (0.40 to 0.74), and 0.52 (0.43 to 0.61). For sedentary time, hazards ratios…","author":[{"dropping-particle":"","family":"Ekelund","given":"Ulf","non-dropping-particle":"","parse-names":false,"suffix":""},{"dropping-particle":"","family":"Tarp","given":"Jakob","non-dropping-particle":"","parse-names":false,"suffix":""},{"dropping-particle":"","family":"Steene-Johannessen","given":"Jostein","non-dropping-particle":"","parse-names":false,"suffix":""},{"dropping-particle":"","family":"Hansen","given":"Bjørge H.","non-dropping-particle":"","parse-names":false,"suffix":""},{"dropping-particle":"","family":"Jefferis","given":"Barbara","non-dropping-particle":"","parse-names":false,"suffix":""},{"dropping-particle":"","family":"Fagerland","given":"Morten W.","non-dropping-particle":"","parse-names":false,"suffix":""},{"dropping-particle":"","family":"Whincup","given":"Peter","non-dropping-particle":"","parse-names":false,"suffix":""},{"dropping-particle":"","family":"Diaz","given":"Keith M.","non-dropping-particle":"","parse-names":false,"suffix":""},{"dropping-particle":"","family":"Hooker","given":"Steven P.","non-dropping-particle":"","parse-names":false,"suffix":""},{"dropping-particle":"","family":"Chernofsky","given":"Ariel","non-dropping-particle":"","parse-names":false,"suffix":""},{"dropping-particle":"","family":"Larson","given":"Martin G.","non-dropping-particle":"","parse-names":false,"suffix":""},{"dropping-particle":"","family":"Spartano","given":"Nicole","non-dropping-particle":"","parse-names":false,"suffix":""},{"dropping-particle":"","family":"Vasan","given":"Ramachandran S.","non-dropping-particle":"","parse-names":false,"suffix":""},{"dropping-particle":"","family":"Dohrn","given":"Ing Mari","non-dropping-particle":"","parse-names":false,"suffix":""},{"dropping-particle":"","family":"Hagströmer","given":"Maria","non-dropping-particle":"","parse-names":false,"suffix":""},{"dropping-particle":"","family":"Edwardson","given":"Charlotte","non-dropping-particle":"","parse-names":false,"suffix":""},{"dropping-particle":"","family":"Yates","given":"Thomas","non-dropping-particle":"","parse-names":false,"suffix":""},{"dropping-particle":"","family":"Shiroma","given":"Eric","non-dropping-particle":"","parse-names":false,"suffix":""},{"dropping-particle":"","family":"Anderssen","given":"Sigmund A.","non-dropping-particle":"","parse-names":false,"suffix":""},{"dropping-particle":"","family":"Lee","given":"I. Min","non-dropping-particle":"","parse-names":false,"suffix":""}],"container-title":"The BMJ","id":"ITEM-1","issued":{"date-parts":[["2019"]]},"publisher":"BMJ Publishing Group","title":"Dose-response associations between accelerometry measured physical activity and sedentary time and all cause mortality: Systematic review and harmonised meta-analysis","type":"article-journal","volume":"366"},"uris":["http://www.mendeley.com/documents/?uuid=74233f54-e0ac-3893-bad3-67a6337aca7f"]}],"mendeley":{"formattedCitation":"[9]","plainTextFormattedCitation":"[9]","previouslyFormattedCitation":"[9]"},"properties":{"noteIndex":0},"schema":"https://github.com/citation-style-language/schema/raw/master/csl-citation.json"}</w:instrText>
      </w:r>
      <w:r w:rsidRPr="002053DC">
        <w:fldChar w:fldCharType="separate"/>
      </w:r>
      <w:r w:rsidRPr="002053DC">
        <w:rPr>
          <w:noProof/>
        </w:rPr>
        <w:t>[9]</w:t>
      </w:r>
      <w:r w:rsidRPr="002053DC">
        <w:fldChar w:fldCharType="end"/>
      </w:r>
      <w:r w:rsidRPr="002053DC">
        <w:t xml:space="preserve">. </w:t>
      </w:r>
      <w:r w:rsidR="00EE7269" w:rsidRPr="00882EB7">
        <w:t xml:space="preserve">Moreover, </w:t>
      </w:r>
      <w:r w:rsidR="00EE7269">
        <w:t>varying combinations of</w:t>
      </w:r>
      <w:r w:rsidR="00EE7269" w:rsidRPr="0060699F">
        <w:t xml:space="preserve"> </w:t>
      </w:r>
      <w:r w:rsidR="00EE7269" w:rsidRPr="00882EB7">
        <w:t>PA and sedentary behavior</w:t>
      </w:r>
      <w:r w:rsidR="00EE7269" w:rsidRPr="0060699F">
        <w:t xml:space="preserve"> </w:t>
      </w:r>
      <w:r w:rsidR="00EE7269">
        <w:t>may have different influences on mental and physical health</w:t>
      </w:r>
      <w:r w:rsidR="00EE7269" w:rsidRPr="0060699F">
        <w:t xml:space="preserve">. </w:t>
      </w:r>
      <w:r w:rsidR="00EE7269">
        <w:t>F</w:t>
      </w:r>
      <w:r w:rsidR="00EE7269" w:rsidRPr="0060699F">
        <w:t xml:space="preserve">our </w:t>
      </w:r>
      <w:r w:rsidR="00EE7269">
        <w:t xml:space="preserve">different </w:t>
      </w:r>
      <w:r w:rsidR="00EE7269" w:rsidRPr="0060699F">
        <w:t>combinations</w:t>
      </w:r>
      <w:r w:rsidR="00EE7269">
        <w:t xml:space="preserve"> should be considered</w:t>
      </w:r>
      <w:r w:rsidR="00EE7269" w:rsidRPr="0060699F">
        <w:t xml:space="preserve">; </w:t>
      </w:r>
      <w:r w:rsidR="00EE7269">
        <w:t xml:space="preserve">likely the most detrimental to health is </w:t>
      </w:r>
      <w:r w:rsidR="00EE7269" w:rsidRPr="0060699F">
        <w:t xml:space="preserve">when a person falls into the category of insufficient physical activity and </w:t>
      </w:r>
      <w:r w:rsidR="00EE7269">
        <w:t>excessive time</w:t>
      </w:r>
      <w:r w:rsidR="00EE7269" w:rsidRPr="0060699F">
        <w:t xml:space="preserve"> in sedentary behavior</w:t>
      </w:r>
      <w:r w:rsidR="00EE7269" w:rsidRPr="00882EB7">
        <w:t>, whereas the</w:t>
      </w:r>
      <w:r w:rsidR="00EE7269" w:rsidRPr="0060699F">
        <w:t xml:space="preserve"> desired</w:t>
      </w:r>
      <w:r w:rsidR="00EE7269">
        <w:t xml:space="preserve"> combination is</w:t>
      </w:r>
      <w:r w:rsidR="00EE7269" w:rsidRPr="0060699F">
        <w:t xml:space="preserve"> when a person is sufficiently active and </w:t>
      </w:r>
      <w:r w:rsidR="00EE7269">
        <w:t xml:space="preserve">exhibits low levels of </w:t>
      </w:r>
      <w:r w:rsidR="00EE7269" w:rsidRPr="0060699F">
        <w:t>sedentary</w:t>
      </w:r>
      <w:r w:rsidR="00EE7269">
        <w:t xml:space="preserve"> time</w:t>
      </w:r>
      <w:r w:rsidR="00EE7269" w:rsidRPr="0060699F">
        <w:t xml:space="preserve">. The other two categories </w:t>
      </w:r>
      <w:r w:rsidR="00EE7269">
        <w:t>include</w:t>
      </w:r>
      <w:r w:rsidR="00EE7269" w:rsidRPr="0060699F">
        <w:t xml:space="preserve"> insufficiently active and </w:t>
      </w:r>
      <w:r w:rsidR="00EE7269">
        <w:t xml:space="preserve">low levels of </w:t>
      </w:r>
      <w:r w:rsidR="00EE7269" w:rsidRPr="0060699F">
        <w:t>sedentary</w:t>
      </w:r>
      <w:r w:rsidR="00EE7269">
        <w:t xml:space="preserve"> time</w:t>
      </w:r>
      <w:r w:rsidR="00EE7269" w:rsidRPr="0060699F">
        <w:t xml:space="preserve"> or sufficiently active and </w:t>
      </w:r>
      <w:r w:rsidR="00EE7269">
        <w:t xml:space="preserve">excessive time spent </w:t>
      </w:r>
      <w:r w:rsidR="00EE7269" w:rsidRPr="0060699F">
        <w:t>sedentary</w:t>
      </w:r>
      <w:r w:rsidR="00EE7269">
        <w:t xml:space="preserve"> </w:t>
      </w:r>
      <w:r w:rsidR="008D04CE">
        <w:fldChar w:fldCharType="begin" w:fldLock="1"/>
      </w:r>
      <w:r w:rsidR="008D04CE">
        <w:instrText>ADDIN CSL_CITATION {"citationItems":[{"id":"ITEM-1","itemData":{"DOI":"10.1016/S0140-6736(16)30370-1","ISSN":"01406736","author":[{"dropping-particle":"","family":"Ekelund","given":"Ulf","non-dropping-particle":"","parse-names":false,"suffix":""},{"dropping-particle":"","family":"Steene-Johannessen","given":"Jostein","non-dropping-particle":"","parse-names":false,"suffix":""},{"dropping-particle":"","family":"Brown","given":"Wendy J","non-dropping-particle":"","parse-names":false,"suffix":""},{"dropping-particle":"","family":"Fagerland","given":"Morten Wang","non-dropping-particle":"","parse-names":false,"suffix":""},{"dropping-particle":"","family":"Owen","given":"Neville","non-dropping-particle":"","parse-names":false,"suffix":""},{"dropping-particle":"","family":"Powell","given":"Kenneth E","non-dropping-particle":"","parse-names":false,"suffix":""},{"dropping-particle":"","family":"Bauman","given":"Adrian","non-dropping-particle":"","parse-names":false,"suffix":""},{"dropping-particle":"","family":"Lee","given":"I-Min","non-dropping-particle":"","parse-names":false,"suffix":""},{"dropping-particle":"","family":"Committee","given":"Lancet Physical Activity Series 2 Executive","non-dropping-particle":"","parse-names":false,"suffix":""},{"dropping-particle":"","family":"Group","given":"Lancet Sedentary Behaviour Working","non-dropping-particle":"","parse-names":false,"suffix":""}],"container-title":"The Lancet","id":"ITEM-1","issued":{"date-parts":[["2016","7"]]},"publisher":"The Lancet Publishing Group","title":"Does physical activity attenuate, or even eliminate, the detrimental association of sitting time with mortality? A harmonised meta-analysis of data from more than 1 million men and women","type":"article-journal"},"uris":["http://www.mendeley.com/documents/?uuid=9f4d4673-e1b6-3349-ab69-ccc38a547179"]}],"mendeley":{"formattedCitation":"[10]","plainTextFormattedCitation":"[10]"},"properties":{"noteIndex":0},"schema":"https://github.com/citation-style-language/schema/raw/master/csl-citation.json"}</w:instrText>
      </w:r>
      <w:r w:rsidR="008D04CE">
        <w:fldChar w:fldCharType="separate"/>
      </w:r>
      <w:r w:rsidR="008D04CE" w:rsidRPr="008D04CE">
        <w:t>[10]</w:t>
      </w:r>
      <w:r w:rsidR="008D04CE">
        <w:fldChar w:fldCharType="end"/>
      </w:r>
      <w:r w:rsidR="00EE7269">
        <w:t>.</w:t>
      </w:r>
      <w:r w:rsidR="008D04CE">
        <w:t xml:space="preserve"> </w:t>
      </w:r>
      <w:r w:rsidR="00B02073">
        <w:t xml:space="preserve">. </w:t>
      </w:r>
    </w:p>
    <w:p w14:paraId="7A07A742" w14:textId="19941CFE" w:rsidR="002053DC" w:rsidRPr="002053DC" w:rsidRDefault="00B02073" w:rsidP="002053DC">
      <w:pPr>
        <w:pStyle w:val="MDPI31text"/>
      </w:pPr>
      <w:r>
        <w:lastRenderedPageBreak/>
        <w:t>S</w:t>
      </w:r>
      <w:r w:rsidR="002053DC" w:rsidRPr="002053DC">
        <w:t xml:space="preserve">ince the beginning of 2020, home confinement as a control measure for the spread of COVID-19, has led to significant changes in daily life. In March 2020, Argentina´s and Chile´s corresponding authorities, imposed measures aimed at reducing the transmission of COVID-19 </w:t>
      </w:r>
      <w:r w:rsidR="002053DC" w:rsidRPr="002053DC">
        <w:fldChar w:fldCharType="begin" w:fldLock="1"/>
      </w:r>
      <w:r w:rsidR="008D04CE">
        <w:instrText>ADDIN CSL_CITATION {"citationItems":[{"id":"ITEM-1","itemData":{"URL":"https://www.boletinoficial.gob.ar/detalleAviso/primera/227042/20200320","accessed":{"date-parts":[["2021","3","19"]]},"author":[{"dropping-particle":"","family":"Presidencia de la Nación","given":"","non-dropping-particle":"","parse-names":false,"suffix":""}],"id":"ITEM-1","issued":{"date-parts":[["0"]]},"title":"Decreto 297/2020 ","type":"webpage"},"uris":["http://www.mendeley.com/documents/?uuid=695b4958-7de3-37b2-bba9-0a9d487a4b75"]},{"id":"ITEM-2","itemData":{"abstract":"Núm. 203 exenta.-Santiago, 24 de marzo de 2020. Visto: Estos antecedentes; lo dispuesto en los artículos 19 Nº 1, 19 Nº 9 de la Constitución Política de la República; en el Código Sanitario; en el decreto con fuerza de ley Nº 1, de 2005, del Ministerio de Salud, que fija el texto refundido, coordinado y sistematizado del decreto ley Nº 2.763, de 1979, y de las leyes Nº 18.933 y Nº 18.469; en el Reglamento Sanitario Internacional, promulgado a través del decreto Nº 230 de 2008 del Ministerio de Relaciones Exteriores; en el decreto supremo Nº 136, de 2004 del Ministerio de Salud, Reglamento Orgánico del Ministerio de Salud; en el decreto Nº 4 de 2020, del Ministerio de Salud, que decreta Alerta Sanitaria por el período que se señala y otorga facultades extraordinarias que indica por Emergencia de Salud Pública de Importancia Internacional (ESPII) por brote del nuevo coronavirus (2019-NCOV); en el decreto número 104, de 2020, del Ministerio del Interior, que declara estado de excepción constitucional de catástrofe, por calamidad pública, en el territorio de Chile; en el artículo 10 de la ley Nº 10.336 de organización y atribuciones de la Contraloría General de la República; en la resolución Nº 7, de 2019, de la Contraloría General de la República; y Considerando: 1. Que, al Ministerio de Salud le compete ejercer la función que le corresponde al Estado de garantizar el libre e igualitario acceso a las acciones de promoción, protección y recuperación de la salud y de rehabilitación de la persona enferma; así como coordinar, controlar y, cuando corresponda, ejecutar tales acciones. 2. Que, a esta Secretaría de Estado le corresponde ejercer la rectoría del sector salud y velar por la efectiva coordinación de las redes asistenciales, en todos sus niveles. 3. Que, asimismo, esta Cartera debe efectuar la vigilancia en salud pública y evaluar la situación de salud de la población. En el ejercicio de esta función, le compete mantener un adecuado sistema de vigilancia epidemiológica y control de enfermedades transmisibles y no transmisibles, investigar los brotes de enfermedades y coordinar la aplicación de medidas de control. 4. Que, asimismo, a esta Cartera le corresponde velar por que se eliminen o controlen todos los factores, elementos o agentes del medio ambiente que afecten la salud, la seguridad y el bienestar de la población. 5. Que, como es de público conocimiento, a partir de la segunda quincena de diciembre de 2019 hasta la fecha se ha producido un brote…","author":[{"dropping-particle":"","family":"Ministerio de Salud","given":"","non-dropping-particle":"","parse-names":false,"suffix":""}],"id":"ITEM-2","issued":{"date-parts":[["0"]]},"publisher-place":"Chile","title":"Decreto 104/2020","type":"legislation"},"uris":["http://www.mendeley.com/documents/?uuid=58ab28db-b194-3fea-a3b3-64b7a6eb7d67"]}],"mendeley":{"formattedCitation":"[11,12]","plainTextFormattedCitation":"[11,12]","previouslyFormattedCitation":"[10,11]"},"properties":{"noteIndex":0},"schema":"https://github.com/citation-style-language/schema/raw/master/csl-citation.json"}</w:instrText>
      </w:r>
      <w:r w:rsidR="002053DC" w:rsidRPr="002053DC">
        <w:fldChar w:fldCharType="separate"/>
      </w:r>
      <w:r w:rsidR="008D04CE" w:rsidRPr="008D04CE">
        <w:rPr>
          <w:noProof/>
        </w:rPr>
        <w:t>[11,12]</w:t>
      </w:r>
      <w:r w:rsidR="002053DC" w:rsidRPr="002053DC">
        <w:fldChar w:fldCharType="end"/>
      </w:r>
      <w:r w:rsidR="002053DC" w:rsidRPr="002053DC">
        <w:t xml:space="preserve"> influencing people's lifestyle by implementing isolation guidance in order to slow or prevent the transmission of the virus. Due to this, opportunities for PA have been reduced and those for sedentary behavior increased across most daily activities (e.g., work and leisure time) </w:t>
      </w:r>
      <w:r w:rsidR="002053DC" w:rsidRPr="002053DC">
        <w:fldChar w:fldCharType="begin" w:fldLock="1"/>
      </w:r>
      <w:r w:rsidR="008D04CE">
        <w:instrText>ADDIN CSL_CITATION {"citationItems":[{"id":"ITEM-1","itemData":{"DOI":"10.1016/j.pmedr.2020.101241","ISSN":"22113355","PMID":"33173751","abstract":"COVID-19 restrictions and social-distancing may inhibit adults from attaining recommended levels of physical activity. This study examined early impact of COVID-19 pandemic on physical activity in adults during the first two months of restrictions in the U.S. and how physical activity locations were associated with physical activity levels during this period. Adults (N = 268) completed an online survey between April 10-May 25, 2020. Participants reported minutes of vigorous, moderate, and walking physical activity for past 7 days (early-COVID-19) and for a typical week in February 2020 (pre-COVID-19). Adults reported locations (e.g., home/garage, parks/trails) were they were active over the past 7 days. Past 12-month step count data were extracted from participants’ personal smartphones. Participants (18–74 years old, 22% Hispanic/Latino, 81% female) showed reductions in vigorous (M diff = −66.9 min/week), moderate (M diff = −92.4 min/week), walking (M diff-70.8 min/week), and step counts (M diff = –2232 steps/day) from the pre- to early-COVID19 periods. Reductions in walking and steps were larger for low-income and Hispanic/Latino adults. During early-COVID19, more vigorous and moderate activity were reported by those who were active in their home/garage or driveway/yard, and more steps were recorded by those who were active on the roads in their neighborhood or at parks/trails. We observed a decline in adults’ physical activity during the first two months of the COVID-19 pandemic based on retrospective self-report and device-based measures. Although these restrictions were necessary to slow the spread of the virus, data indicate that there may be unintended consequences on health-related behaviors.","author":[{"dropping-particle":"","family":"Dunton","given":"Genevieve F.","non-dropping-particle":"","parse-names":false,"suffix":""},{"dropping-particle":"","family":"Wang","given":"Shirlene D.","non-dropping-particle":"","parse-names":false,"suffix":""},{"dropping-particle":"","family":"Do","given":"Bridgette","non-dropping-particle":"","parse-names":false,"suffix":""},{"dropping-particle":"","family":"Courtney","given":"Jimikaye","non-dropping-particle":"","parse-names":false,"suffix":""}],"container-title":"Preventive Medicine Reports","id":"ITEM-1","issued":{"date-parts":[["2020","12","1"]]},"page":"101241","publisher":"Elsevier Inc.","title":"Early effects of the COVID-19 pandemic on physical activity locations and behaviors in adults living in the United States","type":"article-journal","volume":"20"},"uris":["http://www.mendeley.com/documents/?uuid=1f99c7c3-18d0-3915-9745-c9b1b5dc121c"]},{"id":"ITEM-2","itemData":{"DOI":"10.1016/j.trip.2020.100121","ISSN":"25901982","abstract":"The spread of the COVID-19 virus has resulted in unprecedented measures restricting travel and activity participation in many countries. Social distancing, i.e., reducing interactions between individuals in order to slow down the spread of the virus, has become the new norm. In this viewpoint I will discuss the potential implications of social distancing on daily travel patterns. Avoiding social contact might completely change the number and types of out-of-home activities people perform, and how people reach these activities. It can be expected that the demand for travel will reduce and that people will travel less by public transport. Social distancing might negatively affect subjective well-being and health status, as it might result in social isolation and limited physical activity. As a result, walking and cycling, recreationally or utilitarian, can be important ways to maintain satisfactory levels of health and well-being. Policymakers and planners should consequently try to encourage active travel, while public transport operators should focus on creating ways to safely use public transport.","author":[{"dropping-particle":"","family":"Vos","given":"Jonas","non-dropping-particle":"De","parse-names":false,"suffix":""}],"container-title":"Transportation Research Interdisciplinary Perspectives","id":"ITEM-2","issued":{"date-parts":[["2020","5","1"]]},"page":"100121","publisher":"Elsevier Ltd","title":"The effect of COVID-19 and subsequent social distancing on travel behavior","type":"article-journal","volume":"5"},"uris":["http://www.mendeley.com/documents/?uuid=6f4938bd-4250-331f-b6b3-9958bace9c1f"]}],"mendeley":{"formattedCitation":"[13,14]","plainTextFormattedCitation":"[13,14]","previouslyFormattedCitation":"[12,13]"},"properties":{"noteIndex":0},"schema":"https://github.com/citation-style-language/schema/raw/master/csl-citation.json"}</w:instrText>
      </w:r>
      <w:r w:rsidR="002053DC" w:rsidRPr="002053DC">
        <w:fldChar w:fldCharType="separate"/>
      </w:r>
      <w:r w:rsidR="008D04CE" w:rsidRPr="008D04CE">
        <w:rPr>
          <w:noProof/>
        </w:rPr>
        <w:t>[13,14]</w:t>
      </w:r>
      <w:r w:rsidR="002053DC" w:rsidRPr="002053DC">
        <w:fldChar w:fldCharType="end"/>
      </w:r>
      <w:r w:rsidR="002053DC" w:rsidRPr="002053DC">
        <w:t xml:space="preserve">. </w:t>
      </w:r>
    </w:p>
    <w:p w14:paraId="12A875EE" w14:textId="77777777" w:rsidR="002053DC" w:rsidRDefault="002053DC" w:rsidP="002053DC">
      <w:pPr>
        <w:pStyle w:val="MDPI31text"/>
      </w:pPr>
    </w:p>
    <w:p w14:paraId="63C0F51D" w14:textId="4994C0D9" w:rsidR="002053DC" w:rsidRPr="002053DC" w:rsidRDefault="002053DC" w:rsidP="002053DC">
      <w:pPr>
        <w:pStyle w:val="MDPI31text"/>
      </w:pPr>
      <w:r w:rsidRPr="002053DC">
        <w:t xml:space="preserve">To our knowledge, data is scarce analyzing the associations between changes in PA and sedentary behavior due to COVID-19 lockdown in South America. Moreover, Argentina´s and Chile´s contribution to PA research worldwide from 1950 to 2019 represents just 0.31% and 0.73% of all literature, respectively </w:t>
      </w:r>
      <w:r w:rsidRPr="002053DC">
        <w:fldChar w:fldCharType="begin" w:fldLock="1"/>
      </w:r>
      <w:r w:rsidR="008D04CE">
        <w:instrText>ADDIN CSL_CITATION {"citationItems":[{"id":"ITEM-1","itemData":{"URL":"http://new.globalphysicalactivityobservatory.com/card/?country=AR","accessed":{"date-parts":[["2021","3","18"]]},"author":[{"dropping-particle":"","family":"International Society of Physical Activity and Health","given":"","non-dropping-particle":"","parse-names":false,"suffix":""}],"id":"ITEM-1","issued":{"date-parts":[["2020"]]},"title":"Global Observatory for Physical Activity","type":"webpage"},"uris":["http://www.mendeley.com/documents/?uuid=103144e5-7be9-33ca-a674-740b1685560b"]},{"id":"ITEM-2","itemData":{"URL":"http://new.globalphysicalactivityobservatory.com/card/?country=CL","accessed":{"date-parts":[["2021","3","18"]]},"author":[{"dropping-particle":"","family":"International Society of Physical Activity and Health","given":"","non-dropping-particle":"","parse-names":false,"suffix":""}],"id":"ITEM-2","issued":{"date-parts":[["2020"]]},"title":"Global Observatory for Physical Activity","type":"webpage"},"uris":["http://www.mendeley.com/documents/?uuid=d971d281-11f7-30a0-8a77-b63f79de05d4"]}],"mendeley":{"formattedCitation":"[15,16]","plainTextFormattedCitation":"[15,16]","previouslyFormattedCitation":"[14,15]"},"properties":{"noteIndex":0},"schema":"https://github.com/citation-style-language/schema/raw/master/csl-citation.json"}</w:instrText>
      </w:r>
      <w:r w:rsidRPr="002053DC">
        <w:fldChar w:fldCharType="separate"/>
      </w:r>
      <w:r w:rsidR="008D04CE" w:rsidRPr="008D04CE">
        <w:rPr>
          <w:noProof/>
        </w:rPr>
        <w:t>[15,16]</w:t>
      </w:r>
      <w:r w:rsidRPr="002053DC">
        <w:fldChar w:fldCharType="end"/>
      </w:r>
      <w:r w:rsidRPr="002053DC">
        <w:t>. Therefore, the aims of this study in adults from Argentina and Chile during the first months of the COVID-19 pandemic were: (</w:t>
      </w:r>
      <w:proofErr w:type="spellStart"/>
      <w:r w:rsidRPr="002053DC">
        <w:t>i</w:t>
      </w:r>
      <w:proofErr w:type="spellEnd"/>
      <w:r w:rsidRPr="002053DC">
        <w:t xml:space="preserve">) to compare sitting time (ST), screen exposure (SE), moderate PA (MPA), vigorous PA (VPA) and MVPA before and during COVID-19 lockdown and the sociodemographic factors associated with them; and (ii) to assess the impact of lockdown on combination of meeting or not meeting PA recommendations with or without excessive sitting time. </w:t>
      </w:r>
    </w:p>
    <w:p w14:paraId="176BB4AF" w14:textId="6D1FA4BD" w:rsidR="00522304" w:rsidRDefault="00522304" w:rsidP="00522304">
      <w:pPr>
        <w:pStyle w:val="MDPI21heading1"/>
      </w:pPr>
      <w:r w:rsidRPr="00FA04F1">
        <w:rPr>
          <w:lang w:eastAsia="zh-CN"/>
        </w:rPr>
        <w:t xml:space="preserve">2. </w:t>
      </w:r>
      <w:r w:rsidRPr="00FA04F1">
        <w:t>Materials and Methods</w:t>
      </w:r>
    </w:p>
    <w:p w14:paraId="7CC14AF0" w14:textId="6CD32D77" w:rsidR="00F92622" w:rsidRDefault="00F92622" w:rsidP="00F92622">
      <w:pPr>
        <w:pStyle w:val="MDPI31text"/>
        <w:ind w:left="2098" w:firstLine="510"/>
        <w:rPr>
          <w:i/>
          <w:iCs/>
        </w:rPr>
      </w:pPr>
      <w:r w:rsidRPr="00F92622">
        <w:rPr>
          <w:i/>
          <w:iCs/>
        </w:rPr>
        <w:t>Study Design and Subjects</w:t>
      </w:r>
    </w:p>
    <w:p w14:paraId="1E64D7BE" w14:textId="77777777" w:rsidR="00F92622" w:rsidRPr="00F92622" w:rsidRDefault="00F92622" w:rsidP="00F92622">
      <w:pPr>
        <w:pStyle w:val="MDPI31text"/>
      </w:pPr>
      <w:r w:rsidRPr="00F92622">
        <w:t>This cross-sectional study collected information using an online survey in Spanish, during the periods April 24 – July 27 2020 for Argentina (mandatory quarantine was introduced 20th March 2020) and April 4 – April 26 2020 for Chile (mandatory quarantine was introduced 26th March 2020 in some regions). It should be noted that both Argentina and Chile confirmed their first case of COVID-19 on March 3rd. Convenience sampling using mass emails to students, colleagues and researchers’ networks, and by social media posts (Twitter, Facebook, Instagram) was used to recruit participants ≥18 years who had been in lockdown for at least seven days and residing in either of these two countries. Lockdown was determined where a participant had not left their home, or only for essential activities (practicing social distancing), either by personal choice, medical indication or in compliance with mandatory regulations in place. A total of 1483 adults in Argentina and 2520 adults in Chile accepted to participate, with 1305 completing the survey.</w:t>
      </w:r>
    </w:p>
    <w:p w14:paraId="1DB565EC" w14:textId="77777777" w:rsidR="00F92622" w:rsidRPr="00F92622" w:rsidRDefault="00F92622" w:rsidP="00F92622">
      <w:pPr>
        <w:pStyle w:val="MDPI31text"/>
      </w:pPr>
    </w:p>
    <w:p w14:paraId="5313D6AA" w14:textId="207B45BA" w:rsidR="00F92622" w:rsidRDefault="00F92622" w:rsidP="00F92622">
      <w:pPr>
        <w:pStyle w:val="MDPI31text"/>
      </w:pPr>
      <w:r w:rsidRPr="00F92622">
        <w:t>The study was conducted according to the guidelines of the Declaration of Helsinki, and approved by the Universidad de Flores (Argentina) (protocol code 09/2020 and date of approval April 22nd 2020) and the faculty of medicine at the Universidad Diego Portales (Chile) (protocol code 02-220 and date of approval March 27th 2020). Informed consent was obtained from all subjects involved in the study.</w:t>
      </w:r>
    </w:p>
    <w:p w14:paraId="342EB0A3" w14:textId="77777777" w:rsidR="00327586" w:rsidRDefault="00327586" w:rsidP="00F92622">
      <w:pPr>
        <w:pStyle w:val="MDPI31text"/>
      </w:pPr>
    </w:p>
    <w:p w14:paraId="14D7C36B" w14:textId="77777777" w:rsidR="00327586" w:rsidRPr="0092277B" w:rsidRDefault="00327586" w:rsidP="0092277B">
      <w:pPr>
        <w:pStyle w:val="MDPI31text"/>
        <w:ind w:left="2040" w:firstLine="510"/>
        <w:rPr>
          <w:i/>
          <w:iCs/>
        </w:rPr>
      </w:pPr>
      <w:r w:rsidRPr="0092277B">
        <w:rPr>
          <w:i/>
          <w:iCs/>
        </w:rPr>
        <w:t>Power and sample size calculation</w:t>
      </w:r>
    </w:p>
    <w:p w14:paraId="34709F69" w14:textId="77777777" w:rsidR="00327586" w:rsidRPr="0092277B" w:rsidRDefault="00327586" w:rsidP="0092277B">
      <w:pPr>
        <w:snapToGrid w:val="0"/>
        <w:spacing w:line="228" w:lineRule="auto"/>
        <w:ind w:left="2608" w:firstLine="425"/>
        <w:rPr>
          <w:rFonts w:eastAsia="Times New Roman"/>
          <w:noProof w:val="0"/>
          <w:snapToGrid w:val="0"/>
          <w:szCs w:val="22"/>
          <w:lang w:eastAsia="de-DE" w:bidi="en-US"/>
        </w:rPr>
      </w:pPr>
      <w:r w:rsidRPr="0092277B">
        <w:rPr>
          <w:rFonts w:eastAsia="Times New Roman"/>
          <w:noProof w:val="0"/>
          <w:snapToGrid w:val="0"/>
          <w:szCs w:val="22"/>
          <w:lang w:eastAsia="de-DE" w:bidi="en-US"/>
        </w:rPr>
        <w:t>According to the 2010 Argentinian and 2017 Chilean census, the total number of adult populations was around 34,000,000 and 14,500,000 respectively. Sample size was calculated by setting the statistical power at a 95% confidence interval with a margin of error of 5% and 4% for Argentina and Chile, respectively. Thus, the required sample size for this study was 384 Argentines and 600 Chileans.</w:t>
      </w:r>
    </w:p>
    <w:p w14:paraId="6E6E52EE" w14:textId="77777777" w:rsidR="00327586" w:rsidRDefault="00327586" w:rsidP="0092277B">
      <w:pPr>
        <w:pStyle w:val="MDPI31text"/>
        <w:ind w:left="0" w:firstLine="0"/>
      </w:pPr>
    </w:p>
    <w:p w14:paraId="286FFAA9" w14:textId="77777777" w:rsidR="00F92622" w:rsidRPr="00F92622" w:rsidRDefault="00F92622" w:rsidP="00F92622">
      <w:pPr>
        <w:pStyle w:val="MDPI31text"/>
        <w:ind w:left="2040" w:firstLine="510"/>
        <w:rPr>
          <w:i/>
          <w:iCs/>
        </w:rPr>
      </w:pPr>
      <w:r w:rsidRPr="00F92622">
        <w:rPr>
          <w:i/>
          <w:iCs/>
        </w:rPr>
        <w:t>Data Collection</w:t>
      </w:r>
    </w:p>
    <w:p w14:paraId="6AEFDC8A" w14:textId="77777777" w:rsidR="00F92622" w:rsidRPr="00F92622" w:rsidRDefault="00F92622" w:rsidP="00F92622">
      <w:pPr>
        <w:pStyle w:val="MDPI31text"/>
        <w:ind w:left="2040" w:firstLine="510"/>
      </w:pPr>
      <w:r w:rsidRPr="00F92622">
        <w:t>Questionnaire</w:t>
      </w:r>
    </w:p>
    <w:p w14:paraId="0EEC8E5A" w14:textId="77777777" w:rsidR="00F92622" w:rsidRPr="00F92622" w:rsidRDefault="00F92622" w:rsidP="00F92622">
      <w:pPr>
        <w:pStyle w:val="MDPI31text"/>
      </w:pPr>
      <w:r w:rsidRPr="00F92622">
        <w:t xml:space="preserve">Participants undertook an approximately 25-minute online questionnaire which examined the impact of lockdown on health and well-being. Information on sociodemographic, social network, COVID-19 knowledge and related restrictions, lifestyle factors (physical and sexual activity, screen exposure, sitting time, </w:t>
      </w:r>
      <w:proofErr w:type="gramStart"/>
      <w:r w:rsidRPr="00F92622">
        <w:t>tobacco</w:t>
      </w:r>
      <w:proofErr w:type="gramEnd"/>
      <w:r w:rsidRPr="00F92622">
        <w:t xml:space="preserve"> and alcohol consumption), diet, chronic physical diseases, mental health and wellbeing were gathered.</w:t>
      </w:r>
    </w:p>
    <w:p w14:paraId="09E0813A" w14:textId="77777777" w:rsidR="00F92622" w:rsidRDefault="00F92622" w:rsidP="00F92622">
      <w:pPr>
        <w:pStyle w:val="MDPI31text"/>
      </w:pPr>
    </w:p>
    <w:p w14:paraId="23B5E9C4" w14:textId="540CCB4F" w:rsidR="00F92622" w:rsidRPr="00F92622" w:rsidRDefault="00F92622" w:rsidP="00F92622">
      <w:pPr>
        <w:pStyle w:val="MDPI31text"/>
        <w:ind w:left="2040" w:firstLine="510"/>
      </w:pPr>
      <w:r w:rsidRPr="00F92622">
        <w:lastRenderedPageBreak/>
        <w:t xml:space="preserve">Sociodemographic characteristics </w:t>
      </w:r>
    </w:p>
    <w:p w14:paraId="14D5B8BB" w14:textId="77777777" w:rsidR="00F92622" w:rsidRPr="00F92622" w:rsidRDefault="00F92622" w:rsidP="00F92622">
      <w:pPr>
        <w:pStyle w:val="MDPI31text"/>
      </w:pPr>
      <w:r w:rsidRPr="00F92622">
        <w:t>Participants reported age (18-24, 25-34, 35-44, 45-64 and ≥65 years), sex, area of residence (North, Center and South or Patagonia for Chile and Argentina, respectively), marital status (single, married/living with a partner, divorces/separated and widow) and educational attainment (&lt;8 schooling years, 8-12 schooling years and &gt;12 schooling years).</w:t>
      </w:r>
    </w:p>
    <w:p w14:paraId="09599C1A" w14:textId="77777777" w:rsidR="00F92622" w:rsidRDefault="00F92622" w:rsidP="00F92622">
      <w:pPr>
        <w:pStyle w:val="MDPI31text"/>
      </w:pPr>
    </w:p>
    <w:p w14:paraId="72E904F5" w14:textId="18838A34" w:rsidR="00F92622" w:rsidRPr="00F92622" w:rsidRDefault="00F92622" w:rsidP="00F92622">
      <w:pPr>
        <w:pStyle w:val="MDPI31text"/>
        <w:ind w:left="2040" w:firstLine="510"/>
      </w:pPr>
      <w:r w:rsidRPr="00F92622">
        <w:t>Chronic Physical Diseases</w:t>
      </w:r>
    </w:p>
    <w:p w14:paraId="73D51BEA" w14:textId="6C68E3C5" w:rsidR="00F92622" w:rsidRDefault="00F92622" w:rsidP="00F92622">
      <w:pPr>
        <w:pStyle w:val="MDPI31text"/>
      </w:pPr>
      <w:r w:rsidRPr="00F92622">
        <w:t>Self-reported information on current obesity, type 2 diabetes and hypertension were collected.</w:t>
      </w:r>
    </w:p>
    <w:p w14:paraId="38BE7B4A" w14:textId="77777777" w:rsidR="00F92622" w:rsidRDefault="00F92622" w:rsidP="00F92622">
      <w:pPr>
        <w:pStyle w:val="MDPI31text"/>
        <w:ind w:left="0" w:firstLine="0"/>
      </w:pPr>
    </w:p>
    <w:p w14:paraId="1FBF1BE4" w14:textId="4F60342D" w:rsidR="00F92622" w:rsidRPr="00F92622" w:rsidRDefault="00F92622" w:rsidP="00B8068E">
      <w:pPr>
        <w:pStyle w:val="MDPI31text"/>
        <w:ind w:left="2040" w:firstLine="510"/>
      </w:pPr>
      <w:r w:rsidRPr="00F92622">
        <w:t>Lifestyle Factors</w:t>
      </w:r>
    </w:p>
    <w:p w14:paraId="019DCA61" w14:textId="2A9FFBCA" w:rsidR="00F92622" w:rsidRPr="00F92622" w:rsidRDefault="00F92622" w:rsidP="00B8068E">
      <w:pPr>
        <w:pStyle w:val="MDPI31text"/>
      </w:pPr>
      <w:r w:rsidRPr="00F92622">
        <w:t>Tobacco and alcohol consumption were reported as yes or no. PA, ST and SE were all reported as daily hours and minutes prior to and during lockdown. Specifically for PA, both daily MPA and VPA, were reported (e.g., before going into lockdown or since going into lockdown, on average how many hours and minutes a day do you spend in: VPA</w:t>
      </w:r>
      <w:r w:rsidR="00E96DDC">
        <w:t xml:space="preserve"> (described as large increases in breathing or heart rate)</w:t>
      </w:r>
      <w:r w:rsidRPr="00F92622">
        <w:t>, MPA</w:t>
      </w:r>
      <w:r w:rsidR="00E96DDC">
        <w:t xml:space="preserve"> (described as small increases in breathing or heart rate)</w:t>
      </w:r>
      <w:r w:rsidRPr="00F92622">
        <w:t>, SE and ST</w:t>
      </w:r>
      <w:r w:rsidR="00E96DDC">
        <w:t>)</w:t>
      </w:r>
      <w:r w:rsidRPr="00F92622">
        <w:t xml:space="preserve">) and participants were categorized as meeting public health recommendations (≥150 minutes/week of MPA; or ≥75 minutes/week of VPA; or an equivalent combination of MVPA throughout the week) </w:t>
      </w:r>
      <w:r w:rsidRPr="00F92622">
        <w:fldChar w:fldCharType="begin" w:fldLock="1"/>
      </w:r>
      <w:r w:rsidR="008D04CE">
        <w:instrText>ADDIN CSL_CITATION {"citationItems":[{"id":"ITEM-1","itemData":{"DOI":"10.1136/bjsports-2020-102955","ISSN":"14730480","PMID":"33239350","abstract":"Objectives To describe new WHO 2020 guidelines on physical activity and sedentary behaviour. Methods The guidelines were developed in accordance with WHO protocols. An expert Guideline Development Group reviewed evidence to assess associations between physical activity and sedentary behaviour for an agreed set of health outcomes and population groups. The assessment used and systematically updated recent relevant systematic reviews; new primary reviews addressed additional health outcomes or subpopulations. Results The new guidelines address children, adolescents, adults, older adults and include new specific recommendations for pregnant and postpartum women and people living with chronic conditions or disability. All adults should undertake 150-300 min of moderate-intensity, or 75-150 min of vigorous-intensity physical activity, or some equivalent combination of moderate-intensity and vigorous-intensity aerobic physical activity, per week. Among children and adolescents, an average of 60 min/day of moderate-to-vigorous intensity aerobic physical activity across the week provides health benefits. The guidelines recommend regular muscle-strengthening activity for all age groups. Additionally, reducing sedentary behaviours is recommended across all age groups and abilities, although evidence was insufficient to quantify a sedentary behaviour threshold. Conclusion These 2020 WHO guidelines update previous WHO recommendations released in 2010. They reaffirm messages that some physical activity is better than none, that more physical activity is better for optimal health outcomes and provide a new recommendation on reducing sedentary behaviours. These guidelines highlight the importance of regularly undertaking both aerobic and muscle strengthening activities and for the first time, there are specific recommendations for specific populations including for pregnant and postpartum women and people living with chronic conditions or disability. These guidelines should be used to inform national health policies aligned with the WHO Global Action Plan on Physical Activity 2018-2030 and to strengthen surveillance systems that track progress towards national and global targets.","author":[{"dropping-particle":"","family":"Bull","given":"Fiona C.","non-dropping-particle":"","parse-names":false,"suffix":""},{"dropping-particle":"","family":"Al-Ansari","given":"Salih S.","non-dropping-particle":"","parse-names":false,"suffix":""},{"dropping-particle":"","family":"Biddle","given":"Stuart","non-dropping-particle":"","parse-names":false,"suffix":""},{"dropping-particle":"","family":"Borodulin","given":"Katja","non-dropping-particle":"","parse-names":false,"suffix":""},{"dropping-particle":"","family":"Buman","given":"Matthew P.","non-dropping-particle":"","parse-names":false,"suffix":""},{"dropping-particle":"","family":"Cardon","given":"Greet","non-dropping-particle":"","parse-names":false,"suffix":""},{"dropping-particle":"","family":"Carty","given":"Catherine","non-dropping-particle":"","parse-names":false,"suffix":""},{"dropping-particle":"","family":"Chaput","given":"Jean Philippe","non-dropping-particle":"","parse-names":false,"suffix":""},{"dropping-particle":"","family":"Chastin","given":"Sebastien","non-dropping-particle":"","parse-names":false,"suffix":""},{"dropping-particle":"","family":"Chou","given":"Roger","non-dropping-particle":"","parse-names":false,"suffix":""},{"dropping-particle":"","family":"Dempsey","given":"Paddy C.","non-dropping-particle":"","parse-names":false,"suffix":""},{"dropping-particle":"","family":"Dipietro","given":"Loretta","non-dropping-particle":"","parse-names":false,"suffix":""},{"dropping-particle":"","family":"Ekelund","given":"Ulf","non-dropping-particle":"","parse-names":false,"suffix":""},{"dropping-particle":"","family":"Firth","given":"Joseph","non-dropping-particle":"","parse-names":false,"suffix":""},{"dropping-particle":"","family":"Friedenreich","given":"Christine M.","non-dropping-particle":"","parse-names":false,"suffix":""},{"dropping-particle":"","family":"Garcia","given":"Leandro","non-dropping-particle":"","parse-names":false,"suffix":""},{"dropping-particle":"","family":"Gichu","given":"Muthoni","non-dropping-particle":"","parse-names":false,"suffix":""},{"dropping-particle":"","family":"Jago","given":"Russell","non-dropping-particle":"","parse-names":false,"suffix":""},{"dropping-particle":"","family":"Katzmarzyk","given":"Peter T.","non-dropping-particle":"","parse-names":false,"suffix":""},{"dropping-particle":"","family":"Lambert","given":"Estelle","non-dropping-particle":"","parse-names":false,"suffix":""},{"dropping-particle":"","family":"Leitzmann","given":"Michael","non-dropping-particle":"","parse-names":false,"suffix":""},{"dropping-particle":"","family":"Milton","given":"Karen","non-dropping-particle":"","parse-names":false,"suffix":""},{"dropping-particle":"","family":"Ortega","given":"Francisco B.","non-dropping-particle":"","parse-names":false,"suffix":""},{"dropping-particle":"","family":"Ranasinghe","given":"Chathuranga","non-dropping-particle":"","parse-names":false,"suffix":""},{"dropping-particle":"","family":"Stamatakis","given":"Emmanuel","non-dropping-particle":"","parse-names":false,"suffix":""},{"dropping-particle":"","family":"Tiedemann","given":"Anne","non-dropping-particle":"","parse-names":false,"suffix":""},{"dropping-particle":"","family":"Troiano","given":"Richard P.","non-dropping-particle":"","parse-names":false,"suffix":""},{"dropping-particle":"","family":"Ploeg","given":"Hidde P.","non-dropping-particle":"Van Der","parse-names":false,"suffix":""},{"dropping-particle":"","family":"Wari","given":"Vicky","non-dropping-particle":"","parse-names":false,"suffix":""},{"dropping-particle":"","family":"Willumsen","given":"Juana F.","non-dropping-particle":"","parse-names":false,"suffix":""}],"container-title":"British Journal of Sports Medicine","id":"ITEM-1","issue":"24","issued":{"date-parts":[["2020","12","1"]]},"page":"1451-1462","publisher":"BMJ Publishing Group","title":"World Health Organization 2020 guidelines on physical activity and sedentary behaviour","type":"article","volume":"54"},"uris":["http://www.mendeley.com/documents/?uuid=f4a1064c-6b0a-38d5-b1fa-80fa1eebb8c4"]}],"mendeley":{"formattedCitation":"[17]","plainTextFormattedCitation":"[17]","previouslyFormattedCitation":"[16]"},"properties":{"noteIndex":0},"schema":"https://github.com/citation-style-language/schema/raw/master/csl-citation.json"}</w:instrText>
      </w:r>
      <w:r w:rsidRPr="00F92622">
        <w:fldChar w:fldCharType="separate"/>
      </w:r>
      <w:r w:rsidR="008D04CE" w:rsidRPr="008D04CE">
        <w:rPr>
          <w:noProof/>
        </w:rPr>
        <w:t>[17]</w:t>
      </w:r>
      <w:r w:rsidRPr="00F92622">
        <w:fldChar w:fldCharType="end"/>
      </w:r>
      <w:r w:rsidRPr="00F92622">
        <w:t xml:space="preserve">. In accordance to the Global Physical Activity Questionnaire </w:t>
      </w:r>
      <w:r w:rsidRPr="00F92622">
        <w:fldChar w:fldCharType="begin" w:fldLock="1"/>
      </w:r>
      <w:r w:rsidR="008D04CE">
        <w:instrText>ADDIN CSL_CITATION {"citationItems":[{"id":"ITEM-1","itemData":{"author":[{"dropping-particle":"","family":"World Health Organization","given":"","non-dropping-particle":"","parse-names":false,"suffix":""}],"id":"ITEM-1","issued":{"date-parts":[["2009"]]},"publisher-place":"Geneva","title":"Global Physical Activity Questionnaire (GPAQ)","type":"report"},"uris":["http://www.mendeley.com/documents/?uuid=ce5d79ef-7a7e-377f-98ec-6c83bf9f25eb"]}],"mendeley":{"formattedCitation":"[18]","plainTextFormattedCitation":"[18]","previouslyFormattedCitation":"[17]"},"properties":{"noteIndex":0},"schema":"https://github.com/citation-style-language/schema/raw/master/csl-citation.json"}</w:instrText>
      </w:r>
      <w:r w:rsidRPr="00F92622">
        <w:fldChar w:fldCharType="separate"/>
      </w:r>
      <w:r w:rsidR="008D04CE" w:rsidRPr="008D04CE">
        <w:rPr>
          <w:noProof/>
        </w:rPr>
        <w:t>[18]</w:t>
      </w:r>
      <w:r w:rsidRPr="00F92622">
        <w:fldChar w:fldCharType="end"/>
      </w:r>
      <w:r w:rsidRPr="00F92622">
        <w:t>, participants who reported &gt;960 minutes/day of PA, were removed from the analysis.</w:t>
      </w:r>
    </w:p>
    <w:p w14:paraId="797EB2B1" w14:textId="6C88E639" w:rsidR="00F92622" w:rsidRDefault="00F92622" w:rsidP="00B8068E">
      <w:pPr>
        <w:pStyle w:val="MDPI31text"/>
      </w:pPr>
      <w:r w:rsidRPr="00F92622">
        <w:t xml:space="preserve">Regarding ST, although there is still no globally agreed cut-off point on the maximum time without substantial deterioration in health </w:t>
      </w:r>
      <w:r w:rsidRPr="00F92622">
        <w:fldChar w:fldCharType="begin" w:fldLock="1"/>
      </w:r>
      <w:r w:rsidR="008D04CE">
        <w:instrText>ADDIN CSL_CITATION {"citationItems":[{"id":"ITEM-1","itemData":{"DOI":"10.1136/bjsports-2020-102955","ISSN":"14730480","PMID":"33239350","abstract":"Objectives To describe new WHO 2020 guidelines on physical activity and sedentary behaviour. Methods The guidelines were developed in accordance with WHO protocols. An expert Guideline Development Group reviewed evidence to assess associations between physical activity and sedentary behaviour for an agreed set of health outcomes and population groups. The assessment used and systematically updated recent relevant systematic reviews; new primary reviews addressed additional health outcomes or subpopulations. Results The new guidelines address children, adolescents, adults, older adults and include new specific recommendations for pregnant and postpartum women and people living with chronic conditions or disability. All adults should undertake 150-300 min of moderate-intensity, or 75-150 min of vigorous-intensity physical activity, or some equivalent combination of moderate-intensity and vigorous-intensity aerobic physical activity, per week. Among children and adolescents, an average of 60 min/day of moderate-to-vigorous intensity aerobic physical activity across the week provides health benefits. The guidelines recommend regular muscle-strengthening activity for all age groups. Additionally, reducing sedentary behaviours is recommended across all age groups and abilities, although evidence was insufficient to quantify a sedentary behaviour threshold. Conclusion These 2020 WHO guidelines update previous WHO recommendations released in 2010. They reaffirm messages that some physical activity is better than none, that more physical activity is better for optimal health outcomes and provide a new recommendation on reducing sedentary behaviours. These guidelines highlight the importance of regularly undertaking both aerobic and muscle strengthening activities and for the first time, there are specific recommendations for specific populations including for pregnant and postpartum women and people living with chronic conditions or disability. These guidelines should be used to inform national health policies aligned with the WHO Global Action Plan on Physical Activity 2018-2030 and to strengthen surveillance systems that track progress towards national and global targets.","author":[{"dropping-particle":"","family":"Bull","given":"Fiona C.","non-dropping-particle":"","parse-names":false,"suffix":""},{"dropping-particle":"","family":"Al-Ansari","given":"Salih S.","non-dropping-particle":"","parse-names":false,"suffix":""},{"dropping-particle":"","family":"Biddle","given":"Stuart","non-dropping-particle":"","parse-names":false,"suffix":""},{"dropping-particle":"","family":"Borodulin","given":"Katja","non-dropping-particle":"","parse-names":false,"suffix":""},{"dropping-particle":"","family":"Buman","given":"Matthew P.","non-dropping-particle":"","parse-names":false,"suffix":""},{"dropping-particle":"","family":"Cardon","given":"Greet","non-dropping-particle":"","parse-names":false,"suffix":""},{"dropping-particle":"","family":"Carty","given":"Catherine","non-dropping-particle":"","parse-names":false,"suffix":""},{"dropping-particle":"","family":"Chaput","given":"Jean Philippe","non-dropping-particle":"","parse-names":false,"suffix":""},{"dropping-particle":"","family":"Chastin","given":"Sebastien","non-dropping-particle":"","parse-names":false,"suffix":""},{"dropping-particle":"","family":"Chou","given":"Roger","non-dropping-particle":"","parse-names":false,"suffix":""},{"dropping-particle":"","family":"Dempsey","given":"Paddy C.","non-dropping-particle":"","parse-names":false,"suffix":""},{"dropping-particle":"","family":"Dipietro","given":"Loretta","non-dropping-particle":"","parse-names":false,"suffix":""},{"dropping-particle":"","family":"Ekelund","given":"Ulf","non-dropping-particle":"","parse-names":false,"suffix":""},{"dropping-particle":"","family":"Firth","given":"Joseph","non-dropping-particle":"","parse-names":false,"suffix":""},{"dropping-particle":"","family":"Friedenreich","given":"Christine M.","non-dropping-particle":"","parse-names":false,"suffix":""},{"dropping-particle":"","family":"Garcia","given":"Leandro","non-dropping-particle":"","parse-names":false,"suffix":""},{"dropping-particle":"","family":"Gichu","given":"Muthoni","non-dropping-particle":"","parse-names":false,"suffix":""},{"dropping-particle":"","family":"Jago","given":"Russell","non-dropping-particle":"","parse-names":false,"suffix":""},{"dropping-particle":"","family":"Katzmarzyk","given":"Peter T.","non-dropping-particle":"","parse-names":false,"suffix":""},{"dropping-particle":"","family":"Lambert","given":"Estelle","non-dropping-particle":"","parse-names":false,"suffix":""},{"dropping-particle":"","family":"Leitzmann","given":"Michael","non-dropping-particle":"","parse-names":false,"suffix":""},{"dropping-particle":"","family":"Milton","given":"Karen","non-dropping-particle":"","parse-names":false,"suffix":""},{"dropping-particle":"","family":"Ortega","given":"Francisco B.","non-dropping-particle":"","parse-names":false,"suffix":""},{"dropping-particle":"","family":"Ranasinghe","given":"Chathuranga","non-dropping-particle":"","parse-names":false,"suffix":""},{"dropping-particle":"","family":"Stamatakis","given":"Emmanuel","non-dropping-particle":"","parse-names":false,"suffix":""},{"dropping-particle":"","family":"Tiedemann","given":"Anne","non-dropping-particle":"","parse-names":false,"suffix":""},{"dropping-particle":"","family":"Troiano","given":"Richard P.","non-dropping-particle":"","parse-names":false,"suffix":""},{"dropping-particle":"","family":"Ploeg","given":"Hidde P.","non-dropping-particle":"Van Der","parse-names":false,"suffix":""},{"dropping-particle":"","family":"Wari","given":"Vicky","non-dropping-particle":"","parse-names":false,"suffix":""},{"dropping-particle":"","family":"Willumsen","given":"Juana F.","non-dropping-particle":"","parse-names":false,"suffix":""}],"container-title":"British Journal of Sports Medicine","id":"ITEM-1","issue":"24","issued":{"date-parts":[["2020","12","1"]]},"page":"1451-1462","publisher":"BMJ Publishing Group","title":"World Health Organization 2020 guidelines on physical activity and sedentary behaviour","type":"article","volume":"54"},"uris":["http://www.mendeley.com/documents/?uuid=f4a1064c-6b0a-38d5-b1fa-80fa1eebb8c4"]}],"mendeley":{"formattedCitation":"[17]","plainTextFormattedCitation":"[17]","previouslyFormattedCitation":"[16]"},"properties":{"noteIndex":0},"schema":"https://github.com/citation-style-language/schema/raw/master/csl-citation.json"}</w:instrText>
      </w:r>
      <w:r w:rsidRPr="00F92622">
        <w:fldChar w:fldCharType="separate"/>
      </w:r>
      <w:r w:rsidR="008D04CE" w:rsidRPr="008D04CE">
        <w:rPr>
          <w:noProof/>
        </w:rPr>
        <w:t>[17]</w:t>
      </w:r>
      <w:r w:rsidRPr="00F92622">
        <w:fldChar w:fldCharType="end"/>
      </w:r>
      <w:r w:rsidRPr="00F92622">
        <w:t xml:space="preserve">, there is enough evidence with subjective measurements to suggest that 7+ hours a day in ST is likely to have negative effects on health </w:t>
      </w:r>
      <w:r w:rsidRPr="00F92622">
        <w:fldChar w:fldCharType="begin" w:fldLock="1"/>
      </w:r>
      <w:r w:rsidR="008D04CE">
        <w:instrText>ADDIN CSL_CITATION {"citationItems":[{"id":"ITEM-1","itemData":{"DOI":"10.1186/s12916-018-1062-2","ISSN":"17417015","PMID":"29793552","abstract":"Background: The appropriate limit to the amount of daily sedentary time (ST) required to minimize mortality is uncertain. This meta-analysis aimed to quantify the dose-response association between daily ST and all-cause mortality and to explore the cut-off point above which health is impaired in adults aged 18-64 years old. We also examined whether there are differences between studies using self-report ST and those with device-based ST. Methods: Prospective cohort studies providing effect estimates of daily ST (exposure) on all-cause mortality (outcome) were identified via MEDLINE, PubMed, Scopus, Web of Science, and Google Scholar databases until January 2018. Dose-response relationships between daily ST and all-cause mortality were examined using random-effects meta-regression models. Results: Based on the pooled data for more than 1 million participants from 19 studies, the results showed a log-linear dose-response association between daily ST and all-cause mortality. Overall, more time spent in sedentary behaviors is associated with increased mortality risks. However, the method of measuring ST moderated the association between daily ST and mortality risk (p&lt;0.05). The cut-off of daily ST in studies with self-report ST was 7 h/day in comparison with 9 h/day for those with device-based ST. Conclusions: Higher amounts of daily ST are log-linearly associated with increased risk of all-cause mortality in adults. On the basis of a limited number of studies using device-based measures, the findings suggest that it may be appropriate to encourage adults to engage in less sedentary behaviors, with fewer than 9 h a day being relevant for all-cause mortality.","author":[{"dropping-particle":"","family":"Ku","given":"Po Wen","non-dropping-particle":"","parse-names":false,"suffix":""},{"dropping-particle":"","family":"Steptoe","given":"Andrew","non-dropping-particle":"","parse-names":false,"suffix":""},{"dropping-particle":"","family":"Liao","given":"Yung","non-dropping-particle":"","parse-names":false,"suffix":""},{"dropping-particle":"","family":"Hsueh","given":"Ming Chun","non-dropping-particle":"","parse-names":false,"suffix":""},{"dropping-particle":"","family":"Chen","given":"Li Jung","non-dropping-particle":"","parse-names":false,"suffix":""}],"container-title":"BMC Medicine","id":"ITEM-1","issue":"1","issued":{"date-parts":[["2018","5","25"]]},"page":"74","publisher":"BioMed Central Ltd.","title":"A cut-off of daily sedentary time and all-cause mortality in adults: A meta-regression analysis involving more than 1 million participants","type":"article-journal","volume":"16"},"uris":["http://www.mendeley.com/documents/?uuid=380a806c-b518-3b1b-86e7-6809fc90176c"]}],"mendeley":{"formattedCitation":"[19]","plainTextFormattedCitation":"[19]","previouslyFormattedCitation":"[18]"},"properties":{"noteIndex":0},"schema":"https://github.com/citation-style-language/schema/raw/master/csl-citation.json"}</w:instrText>
      </w:r>
      <w:r w:rsidRPr="00F92622">
        <w:fldChar w:fldCharType="separate"/>
      </w:r>
      <w:r w:rsidR="008D04CE" w:rsidRPr="008D04CE">
        <w:rPr>
          <w:noProof/>
        </w:rPr>
        <w:t>[19]</w:t>
      </w:r>
      <w:r w:rsidRPr="00F92622">
        <w:fldChar w:fldCharType="end"/>
      </w:r>
      <w:r w:rsidRPr="00F92622">
        <w:t xml:space="preserve"> and was used to categorize participants into high/low ST. </w:t>
      </w:r>
    </w:p>
    <w:p w14:paraId="0C9A284D" w14:textId="3EB46FD0" w:rsidR="00F92622" w:rsidRPr="00F92622" w:rsidRDefault="00F92622" w:rsidP="00B8068E">
      <w:pPr>
        <w:pStyle w:val="MDPI31text"/>
      </w:pPr>
      <w:r w:rsidRPr="00F92622">
        <w:t xml:space="preserve">Following the findings reported by the Physical Activity Guidelines Advisory Committee </w:t>
      </w:r>
      <w:r w:rsidRPr="00F92622">
        <w:fldChar w:fldCharType="begin" w:fldLock="1"/>
      </w:r>
      <w:r w:rsidR="008D04CE">
        <w:instrText>ADDIN CSL_CITATION {"citationItems":[{"id":"ITEM-1","itemData":{"DOI":"10.1249/MSS.0000000000001935","ISSN":"15300315","PMID":"31095080","abstract":"Purpose To provide an overview of relationships between sedentary behavior and mortality as well as incidence of several noncommunicable diseases and weight status reported in the 2018 Physical Activity Guidelines Advisory Committee Scientific Report (2018 PAGAC Scientific Report), and to update the evidence from recent studies. Methods Evidence related to sedentary behavior in the 2018 PAGAC Scientific Report was summarized, and a systematic review was undertaken to identify original studies published between January 2017 and February 2018. Results The 2018 PAGAC Scientific Report concluded there was strong evidence that high amounts of sedentary behavior increase the risk for all-cause and cardiovascular disease (CVD) mortality and incident CVD and type 2 diabetes. Moderate evidence indicated sedentary behavior is associated with incident endometrial, colon and lung cancer. Limited evidence suggested sedentary behavior is associated with cancer mortality and weight status. There was strong evidence that the hazardous effects of sedentary behavior are more pronounced in physically inactive people. Evidence was insufficient to determine if bout length or breaks in sedentary behavior are associated with health outcomes. The new literature search yielded seven new studies for all-cause mortality, two for CVD mortality, two for cancer mortality, four for type 2 diabetes, one for weight status, and four for cancer; no new studies were identified for CVD incidence. Results of the new studies supported the conclusions in the 2018 PAGAC Scientific Report. Conclusions The results of the updated search add further evidence on the association between sedentary behavior and health. Further research is required on how sex, age, race/ethnicity, socioeconomic status, and weight status may modify associations between sedentary behavior and health outcomes.","author":[{"dropping-particle":"","family":"Katzmarzyk","given":"Peter T.","non-dropping-particle":"","parse-names":false,"suffix":""},{"dropping-particle":"","family":"Powell","given":"Kenneth E.","non-dropping-particle":"","parse-names":false,"suffix":""},{"dropping-particle":"","family":"Jakicic","given":"John M.","non-dropping-particle":"","parse-names":false,"suffix":""},{"dropping-particle":"","family":"Troiano","given":"Richard P.","non-dropping-particle":"","parse-names":false,"suffix":""},{"dropping-particle":"","family":"Piercy","given":"Katrina","non-dropping-particle":"","parse-names":false,"suffix":""},{"dropping-particle":"","family":"Tennant","given":"Bethany","non-dropping-particle":"","parse-names":false,"suffix":""}],"container-title":"Medicine and Science in Sports and Exercise","id":"ITEM-1","issue":"6","issued":{"date-parts":[["2019","6","1"]]},"page":"1227-1241","publisher":"Lippincott Williams and Wilkins","title":"Sedentary Behavior and Health: Update from the 2018 Physical Activity Guidelines Advisory Committee","type":"article-journal","volume":"51"},"uris":["http://www.mendeley.com/documents/?uuid=14b32126-6faf-3ee4-990d-2fa2dc94a9ea"]}],"mendeley":{"formattedCitation":"[20]","plainTextFormattedCitation":"[20]","previouslyFormattedCitation":"[19]"},"properties":{"noteIndex":0},"schema":"https://github.com/citation-style-language/schema/raw/master/csl-citation.json"}</w:instrText>
      </w:r>
      <w:r w:rsidRPr="00F92622">
        <w:fldChar w:fldCharType="separate"/>
      </w:r>
      <w:r w:rsidR="008D04CE" w:rsidRPr="008D04CE">
        <w:rPr>
          <w:noProof/>
        </w:rPr>
        <w:t>[20]</w:t>
      </w:r>
      <w:r w:rsidRPr="00F92622">
        <w:fldChar w:fldCharType="end"/>
      </w:r>
      <w:r w:rsidRPr="00F92622">
        <w:t xml:space="preserve"> of the joint associations of ST and MVPA recommendations with risk of all-cause mortality, the resulting categories of these behaviors were combined into "quadrants'' were those cases fulfilling the criteria for both variables (≥150 minutes/week of MVPA and &lt;7 hours of ST) were assigned to the lower-risk quadrant; those failing to fulfill the criteria for both variables were assigned to the higher-risk quadrant, and the two remaining outcomes were considered middle-risk quadrants. However, those meeting the PA guidelines were considered at lower risk in comparison to their inactive counterparts.</w:t>
      </w:r>
    </w:p>
    <w:p w14:paraId="1108D4BD" w14:textId="77777777" w:rsidR="00F92622" w:rsidRPr="00740A5A" w:rsidRDefault="00F92622" w:rsidP="00F92622">
      <w:pPr>
        <w:pStyle w:val="MDPI31text"/>
      </w:pPr>
    </w:p>
    <w:p w14:paraId="1AD60412" w14:textId="77777777" w:rsidR="00F92622" w:rsidRPr="00B8068E" w:rsidRDefault="00F92622" w:rsidP="00B8068E">
      <w:pPr>
        <w:pStyle w:val="MDPI31text"/>
        <w:ind w:left="2040" w:firstLine="510"/>
      </w:pPr>
      <w:r w:rsidRPr="00B8068E">
        <w:t>Statistical Analysis</w:t>
      </w:r>
    </w:p>
    <w:p w14:paraId="4833D836" w14:textId="77B65DCC" w:rsidR="00F92622" w:rsidRPr="00F92622" w:rsidRDefault="00F92622" w:rsidP="00B8068E">
      <w:pPr>
        <w:pStyle w:val="MDPI31text"/>
      </w:pPr>
      <w:r w:rsidRPr="00F92622">
        <w:t xml:space="preserve">Mean, 95% confidence intervals (CI), median, 25th and 75th percentile were reported for continuous variables, and frequency and percentages for categorical variables. Differences on VPA, MPA, ST and SE pre-versus during COVID-19 lockdown, and between countries, were analyzed using paired t-test. Effect size (Cohen’s d) was calculated to determine the magnitude of the change, using the following criteria: 0.2 (small), 0.5 (moderate) and 0.8 (large) </w:t>
      </w:r>
      <w:r w:rsidRPr="00F92622">
        <w:fldChar w:fldCharType="begin" w:fldLock="1"/>
      </w:r>
      <w:r w:rsidR="008D04CE">
        <w:instrText>ADDIN CSL_CITATION {"citationItems":[{"id":"ITEM-1","itemData":{"DOI":"10.4324/9780203771587","abstract":"Statistical Power Analysis is a nontechnical guide to power analysis in research planning that provides users of applied statistics with the tools they need for more effective analysis. The Second Edition includes:\\n* a chapter covering power analysis in set correlation and multivariate methods;\\n* a chapter considering effect size, psychometric reliability, and the efficacy of \"qualifying\" dependent variables and;\\n* expanded power and sample size tables for multiple regression/correlation.","author":[{"dropping-particle":"","family":"Cohen","given":"Jacob","non-dropping-particle":"","parse-names":false,"suffix":""}],"container-title":"Statistical Power Analysis for the Behavioral Sciences","id":"ITEM-1","issued":{"date-parts":[["1988","5","13"]]},"publisher":"Hillsdale, N.J. : L. Erlbaum Associates","publisher-place":"New York","title":"Statistical Power Analysis for the Behavioral Sciences","type":"book"},"uris":["http://www.mendeley.com/documents/?uuid=0d6f9f0a-ee5c-392b-8ae8-6496c0eaa9e0"]}],"mendeley":{"formattedCitation":"[21]","plainTextFormattedCitation":"[21]","previouslyFormattedCitation":"[20]"},"properties":{"noteIndex":0},"schema":"https://github.com/citation-style-language/schema/raw/master/csl-citation.json"}</w:instrText>
      </w:r>
      <w:r w:rsidRPr="00F92622">
        <w:fldChar w:fldCharType="separate"/>
      </w:r>
      <w:r w:rsidR="008D04CE" w:rsidRPr="008D04CE">
        <w:rPr>
          <w:noProof/>
        </w:rPr>
        <w:t>[21]</w:t>
      </w:r>
      <w:r w:rsidRPr="00F92622">
        <w:fldChar w:fldCharType="end"/>
      </w:r>
      <w:r w:rsidRPr="00F92622">
        <w:t xml:space="preserve">. Also, possible changes in categories of PA recommendations (active or inactive) and ST cut-points (&lt;7 or ≥7 hours/day) pre-during lockdown were tested with </w:t>
      </w:r>
      <w:proofErr w:type="spellStart"/>
      <w:r w:rsidRPr="00F92622">
        <w:t>McNemar’s</w:t>
      </w:r>
      <w:proofErr w:type="spellEnd"/>
      <w:r w:rsidRPr="00F92622">
        <w:t xml:space="preserve"> test. </w:t>
      </w:r>
    </w:p>
    <w:p w14:paraId="2C228563" w14:textId="0CDAD997" w:rsidR="00F92622" w:rsidRPr="00F92622" w:rsidRDefault="00F92622" w:rsidP="00B8068E">
      <w:pPr>
        <w:pStyle w:val="MDPI31text"/>
      </w:pPr>
      <w:r w:rsidRPr="00F92622">
        <w:t>Multivariate linear regression models were applied estimating the association between differences pre-during COVID-19 lockdown in MPA, VPA, ST and SE and sociodemographic characteristics (age intervals, sex, educational level, zone of residence and marital status) for the whole sample and for each country. Results are presented as standardized beta coefficient allowing for direct comparison across covariates.</w:t>
      </w:r>
    </w:p>
    <w:p w14:paraId="5AB38270" w14:textId="4CCEC927" w:rsidR="00F92622" w:rsidRDefault="00F92622" w:rsidP="00B8068E">
      <w:pPr>
        <w:pStyle w:val="MDPI31text"/>
      </w:pPr>
      <w:r w:rsidRPr="00F92622">
        <w:t>Distribution of the sample fulfilling the PA and ST criteria was reported as risk quadrants, both prior and during the lockdown. Longitudinal individual pre-during differences on MVPA and ST were calculated and reported for each quadrant.</w:t>
      </w:r>
    </w:p>
    <w:p w14:paraId="71FFE297" w14:textId="5F741D51" w:rsidR="00F92622" w:rsidRPr="00FA04F1" w:rsidRDefault="00F92622" w:rsidP="00B8068E">
      <w:pPr>
        <w:pStyle w:val="MDPI31text"/>
      </w:pPr>
      <w:r w:rsidRPr="00F92622">
        <w:t>All statistical analyses were performed using Stata v. 15 (</w:t>
      </w:r>
      <w:proofErr w:type="spellStart"/>
      <w:r w:rsidRPr="00F92622">
        <w:t>StataCorp</w:t>
      </w:r>
      <w:proofErr w:type="spellEnd"/>
      <w:r w:rsidRPr="00F92622">
        <w:t xml:space="preserve"> LP). Significance level was set at 5% (p &lt; 0.05).</w:t>
      </w:r>
    </w:p>
    <w:p w14:paraId="0D5C3D10" w14:textId="56FF344E" w:rsidR="00522304" w:rsidRDefault="00522304" w:rsidP="00D81521">
      <w:pPr>
        <w:pStyle w:val="MDPI21heading1"/>
      </w:pPr>
      <w:r w:rsidRPr="001F31D1">
        <w:lastRenderedPageBreak/>
        <w:t>3. Results</w:t>
      </w:r>
    </w:p>
    <w:p w14:paraId="1A6255A0" w14:textId="77777777" w:rsidR="00D523FA" w:rsidRPr="00D523FA" w:rsidRDefault="00D523FA" w:rsidP="00D523FA">
      <w:pPr>
        <w:pStyle w:val="MDPI31text"/>
      </w:pPr>
      <w:r w:rsidRPr="00D523FA">
        <w:t>A total of 1305 adults from Chile and Argentina completed the survey (Argentina, n=575; Chile, n=730). The sample was predominantly composed of females (80.4%), aged between 35 and 44 years (24.3%), with &gt; 12 years education (73.3%) and living in central areas (85.4%). Comparing countries, Chile had a younger population, with lower schooling attainment and higher consumption of alcohol and smokers than Argentina (p&lt;0.001). Full characteristics of the overall sample and by countries are detailed in Table 1.</w:t>
      </w:r>
    </w:p>
    <w:p w14:paraId="178684CE" w14:textId="55265398" w:rsidR="00B8068E" w:rsidRDefault="00B8068E" w:rsidP="00D523FA">
      <w:pPr>
        <w:pStyle w:val="MDPI31text"/>
      </w:pPr>
    </w:p>
    <w:p w14:paraId="692A0043" w14:textId="77777777" w:rsidR="00112DEB" w:rsidRDefault="00112DEB" w:rsidP="0092277B">
      <w:pPr>
        <w:pStyle w:val="MDPI31text"/>
        <w:ind w:left="0" w:firstLine="0"/>
      </w:pPr>
    </w:p>
    <w:p w14:paraId="492AD128" w14:textId="77777777" w:rsidR="00D523FA" w:rsidRPr="00D523FA" w:rsidRDefault="00D523FA" w:rsidP="00D523FA">
      <w:pPr>
        <w:rPr>
          <w:rFonts w:eastAsia="Times New Roman"/>
          <w:noProof w:val="0"/>
          <w:snapToGrid w:val="0"/>
          <w:szCs w:val="22"/>
          <w:lang w:eastAsia="de-DE" w:bidi="en-US"/>
        </w:rPr>
      </w:pPr>
      <w:r w:rsidRPr="00D523FA">
        <w:rPr>
          <w:rFonts w:eastAsia="Times New Roman"/>
          <w:b/>
          <w:bCs/>
          <w:noProof w:val="0"/>
          <w:snapToGrid w:val="0"/>
          <w:szCs w:val="22"/>
          <w:lang w:eastAsia="de-DE" w:bidi="en-US"/>
        </w:rPr>
        <w:t>Table 1.</w:t>
      </w:r>
      <w:r w:rsidRPr="00D523FA">
        <w:rPr>
          <w:rFonts w:eastAsia="Times New Roman"/>
          <w:noProof w:val="0"/>
          <w:snapToGrid w:val="0"/>
          <w:szCs w:val="22"/>
          <w:lang w:eastAsia="de-DE" w:bidi="en-US"/>
        </w:rPr>
        <w:t xml:space="preserve"> Descriptive characteristics of the overall sample and by country</w:t>
      </w:r>
    </w:p>
    <w:tbl>
      <w:tblPr>
        <w:tblStyle w:val="TableGrid"/>
        <w:tblW w:w="0" w:type="auto"/>
        <w:tblLook w:val="04A0" w:firstRow="1" w:lastRow="0" w:firstColumn="1" w:lastColumn="0" w:noHBand="0" w:noVBand="1"/>
      </w:tblPr>
      <w:tblGrid>
        <w:gridCol w:w="1983"/>
        <w:gridCol w:w="2839"/>
        <w:gridCol w:w="1489"/>
        <w:gridCol w:w="1717"/>
        <w:gridCol w:w="1513"/>
        <w:gridCol w:w="915"/>
      </w:tblGrid>
      <w:tr w:rsidR="00D523FA" w:rsidRPr="00D523FA" w14:paraId="35FA9B3A" w14:textId="77777777" w:rsidTr="00D523FA">
        <w:tc>
          <w:tcPr>
            <w:tcW w:w="5807" w:type="dxa"/>
            <w:gridSpan w:val="2"/>
          </w:tcPr>
          <w:p w14:paraId="0AA6B5F0"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Variable</w:t>
            </w:r>
          </w:p>
        </w:tc>
        <w:tc>
          <w:tcPr>
            <w:tcW w:w="1671" w:type="dxa"/>
            <w:vAlign w:val="center"/>
          </w:tcPr>
          <w:p w14:paraId="389E79D3"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Total (n=1305)</w:t>
            </w:r>
          </w:p>
        </w:tc>
        <w:tc>
          <w:tcPr>
            <w:tcW w:w="2015" w:type="dxa"/>
            <w:vAlign w:val="center"/>
          </w:tcPr>
          <w:p w14:paraId="32B471FD"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Argentina (n=575)</w:t>
            </w:r>
          </w:p>
        </w:tc>
        <w:tc>
          <w:tcPr>
            <w:tcW w:w="1701" w:type="dxa"/>
            <w:vAlign w:val="center"/>
          </w:tcPr>
          <w:p w14:paraId="4F85C4AF"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Chile (n=730)</w:t>
            </w:r>
          </w:p>
        </w:tc>
        <w:tc>
          <w:tcPr>
            <w:tcW w:w="968" w:type="dxa"/>
          </w:tcPr>
          <w:p w14:paraId="59D75C3E" w14:textId="77777777" w:rsidR="00D523FA" w:rsidRPr="00D523FA" w:rsidRDefault="00D523FA" w:rsidP="00D523FA">
            <w:pPr>
              <w:jc w:val="center"/>
              <w:rPr>
                <w:rFonts w:eastAsia="Times New Roman"/>
                <w:b/>
                <w:bCs/>
                <w:i/>
                <w:iCs/>
                <w:noProof w:val="0"/>
                <w:snapToGrid w:val="0"/>
                <w:szCs w:val="22"/>
                <w:lang w:eastAsia="de-DE" w:bidi="en-US"/>
              </w:rPr>
            </w:pPr>
            <w:r w:rsidRPr="00D523FA">
              <w:rPr>
                <w:rFonts w:eastAsia="Times New Roman"/>
                <w:b/>
                <w:bCs/>
                <w:i/>
                <w:iCs/>
                <w:noProof w:val="0"/>
                <w:snapToGrid w:val="0"/>
                <w:szCs w:val="22"/>
                <w:lang w:eastAsia="de-DE" w:bidi="en-US"/>
              </w:rPr>
              <w:t>p</w:t>
            </w:r>
          </w:p>
        </w:tc>
      </w:tr>
      <w:tr w:rsidR="00D523FA" w:rsidRPr="00D523FA" w14:paraId="59A887B9" w14:textId="77777777" w:rsidTr="00D523FA">
        <w:tc>
          <w:tcPr>
            <w:tcW w:w="5807" w:type="dxa"/>
            <w:gridSpan w:val="2"/>
          </w:tcPr>
          <w:p w14:paraId="6A21DEB4" w14:textId="77777777" w:rsidR="00D523FA" w:rsidRPr="00D523FA" w:rsidRDefault="00D523FA" w:rsidP="00D523FA">
            <w:pPr>
              <w:jc w:val="center"/>
              <w:rPr>
                <w:rFonts w:eastAsia="Times New Roman"/>
                <w:noProof w:val="0"/>
                <w:snapToGrid w:val="0"/>
                <w:szCs w:val="22"/>
                <w:lang w:eastAsia="de-DE" w:bidi="en-US"/>
              </w:rPr>
            </w:pPr>
          </w:p>
        </w:tc>
        <w:tc>
          <w:tcPr>
            <w:tcW w:w="1671" w:type="dxa"/>
            <w:vAlign w:val="center"/>
          </w:tcPr>
          <w:p w14:paraId="3069890A" w14:textId="77777777" w:rsidR="00D523FA" w:rsidRPr="00D523FA" w:rsidRDefault="00D523FA" w:rsidP="00D523FA">
            <w:pPr>
              <w:jc w:val="center"/>
              <w:rPr>
                <w:rFonts w:eastAsia="Times New Roman"/>
                <w:noProof w:val="0"/>
                <w:snapToGrid w:val="0"/>
                <w:szCs w:val="22"/>
                <w:lang w:eastAsia="de-DE" w:bidi="en-US"/>
              </w:rPr>
            </w:pPr>
            <w:r w:rsidRPr="00D523FA">
              <w:rPr>
                <w:rFonts w:eastAsia="Times New Roman"/>
                <w:noProof w:val="0"/>
                <w:snapToGrid w:val="0"/>
                <w:szCs w:val="22"/>
                <w:lang w:eastAsia="de-DE" w:bidi="en-US"/>
              </w:rPr>
              <w:t>n (%)</w:t>
            </w:r>
          </w:p>
        </w:tc>
        <w:tc>
          <w:tcPr>
            <w:tcW w:w="2015" w:type="dxa"/>
            <w:vAlign w:val="center"/>
          </w:tcPr>
          <w:p w14:paraId="5BBB22D1" w14:textId="77777777" w:rsidR="00D523FA" w:rsidRPr="00D523FA" w:rsidRDefault="00D523FA" w:rsidP="00D523FA">
            <w:pPr>
              <w:jc w:val="center"/>
              <w:rPr>
                <w:rFonts w:eastAsia="Times New Roman"/>
                <w:noProof w:val="0"/>
                <w:snapToGrid w:val="0"/>
                <w:szCs w:val="22"/>
                <w:lang w:eastAsia="de-DE" w:bidi="en-US"/>
              </w:rPr>
            </w:pPr>
            <w:r w:rsidRPr="00D523FA">
              <w:rPr>
                <w:rFonts w:eastAsia="Times New Roman"/>
                <w:noProof w:val="0"/>
                <w:snapToGrid w:val="0"/>
                <w:szCs w:val="22"/>
                <w:lang w:eastAsia="de-DE" w:bidi="en-US"/>
              </w:rPr>
              <w:t>n (%)</w:t>
            </w:r>
          </w:p>
        </w:tc>
        <w:tc>
          <w:tcPr>
            <w:tcW w:w="1701" w:type="dxa"/>
            <w:vAlign w:val="center"/>
          </w:tcPr>
          <w:p w14:paraId="35339221" w14:textId="77777777" w:rsidR="00D523FA" w:rsidRPr="00D523FA" w:rsidRDefault="00D523FA" w:rsidP="00D523FA">
            <w:pPr>
              <w:jc w:val="center"/>
              <w:rPr>
                <w:rFonts w:eastAsia="Times New Roman"/>
                <w:noProof w:val="0"/>
                <w:snapToGrid w:val="0"/>
                <w:szCs w:val="22"/>
                <w:lang w:eastAsia="de-DE" w:bidi="en-US"/>
              </w:rPr>
            </w:pPr>
            <w:r w:rsidRPr="00D523FA">
              <w:rPr>
                <w:rFonts w:eastAsia="Times New Roman"/>
                <w:noProof w:val="0"/>
                <w:snapToGrid w:val="0"/>
                <w:szCs w:val="22"/>
                <w:lang w:eastAsia="de-DE" w:bidi="en-US"/>
              </w:rPr>
              <w:t>n (%)</w:t>
            </w:r>
          </w:p>
        </w:tc>
        <w:tc>
          <w:tcPr>
            <w:tcW w:w="968" w:type="dxa"/>
          </w:tcPr>
          <w:p w14:paraId="1679CC8A" w14:textId="77777777" w:rsidR="00D523FA" w:rsidRPr="00D523FA" w:rsidRDefault="00D523FA" w:rsidP="00D523FA">
            <w:pPr>
              <w:jc w:val="center"/>
              <w:rPr>
                <w:rFonts w:eastAsia="Times New Roman"/>
                <w:noProof w:val="0"/>
                <w:snapToGrid w:val="0"/>
                <w:szCs w:val="22"/>
                <w:lang w:eastAsia="de-DE" w:bidi="en-US"/>
              </w:rPr>
            </w:pPr>
          </w:p>
        </w:tc>
      </w:tr>
      <w:tr w:rsidR="00D523FA" w:rsidRPr="00D523FA" w14:paraId="12C9CFD3" w14:textId="77777777" w:rsidTr="00D523FA">
        <w:tc>
          <w:tcPr>
            <w:tcW w:w="2405" w:type="dxa"/>
            <w:vMerge w:val="restart"/>
          </w:tcPr>
          <w:p w14:paraId="316BA9E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Age intervals</w:t>
            </w:r>
          </w:p>
        </w:tc>
        <w:tc>
          <w:tcPr>
            <w:tcW w:w="3402" w:type="dxa"/>
            <w:vAlign w:val="center"/>
          </w:tcPr>
          <w:p w14:paraId="0A612F9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18-24</w:t>
            </w:r>
          </w:p>
        </w:tc>
        <w:tc>
          <w:tcPr>
            <w:tcW w:w="1671" w:type="dxa"/>
            <w:vAlign w:val="center"/>
          </w:tcPr>
          <w:p w14:paraId="4D6BDB0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157 (12.0%)</w:t>
            </w:r>
          </w:p>
        </w:tc>
        <w:tc>
          <w:tcPr>
            <w:tcW w:w="2015" w:type="dxa"/>
            <w:vAlign w:val="center"/>
          </w:tcPr>
          <w:p w14:paraId="3DBE31D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36 (6.3%)</w:t>
            </w:r>
          </w:p>
        </w:tc>
        <w:tc>
          <w:tcPr>
            <w:tcW w:w="1701" w:type="dxa"/>
            <w:vAlign w:val="center"/>
          </w:tcPr>
          <w:p w14:paraId="448C16C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121 (16.6%)</w:t>
            </w:r>
          </w:p>
        </w:tc>
        <w:tc>
          <w:tcPr>
            <w:tcW w:w="968" w:type="dxa"/>
            <w:vMerge w:val="restart"/>
            <w:vAlign w:val="center"/>
          </w:tcPr>
          <w:p w14:paraId="4D53615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&lt;0.001</w:t>
            </w:r>
          </w:p>
        </w:tc>
      </w:tr>
      <w:tr w:rsidR="00D523FA" w:rsidRPr="00D523FA" w14:paraId="41A53380" w14:textId="77777777" w:rsidTr="00D523FA">
        <w:tc>
          <w:tcPr>
            <w:tcW w:w="2405" w:type="dxa"/>
            <w:vMerge/>
          </w:tcPr>
          <w:p w14:paraId="6336923D"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3F951E0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25-34</w:t>
            </w:r>
          </w:p>
        </w:tc>
        <w:tc>
          <w:tcPr>
            <w:tcW w:w="1671" w:type="dxa"/>
            <w:vAlign w:val="center"/>
          </w:tcPr>
          <w:p w14:paraId="56ADD3A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239 (18.3%)</w:t>
            </w:r>
          </w:p>
        </w:tc>
        <w:tc>
          <w:tcPr>
            <w:tcW w:w="2015" w:type="dxa"/>
            <w:vAlign w:val="center"/>
          </w:tcPr>
          <w:p w14:paraId="659D70B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111 (19.3%)</w:t>
            </w:r>
          </w:p>
        </w:tc>
        <w:tc>
          <w:tcPr>
            <w:tcW w:w="1701" w:type="dxa"/>
            <w:vAlign w:val="center"/>
          </w:tcPr>
          <w:p w14:paraId="63FA7F3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128 (17.5%)</w:t>
            </w:r>
          </w:p>
        </w:tc>
        <w:tc>
          <w:tcPr>
            <w:tcW w:w="968" w:type="dxa"/>
            <w:vMerge/>
            <w:vAlign w:val="center"/>
          </w:tcPr>
          <w:p w14:paraId="1BEF2D2F" w14:textId="77777777" w:rsidR="00D523FA" w:rsidRPr="00D523FA" w:rsidRDefault="00D523FA" w:rsidP="00D523FA">
            <w:pPr>
              <w:rPr>
                <w:rFonts w:eastAsia="Times New Roman"/>
                <w:noProof w:val="0"/>
                <w:snapToGrid w:val="0"/>
                <w:szCs w:val="22"/>
                <w:lang w:eastAsia="de-DE" w:bidi="en-US"/>
              </w:rPr>
            </w:pPr>
          </w:p>
        </w:tc>
      </w:tr>
      <w:tr w:rsidR="00D523FA" w:rsidRPr="00D523FA" w14:paraId="51E515CF" w14:textId="77777777" w:rsidTr="00D523FA">
        <w:tc>
          <w:tcPr>
            <w:tcW w:w="2405" w:type="dxa"/>
            <w:vMerge/>
          </w:tcPr>
          <w:p w14:paraId="79B57DA7"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42A26CC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35-44</w:t>
            </w:r>
          </w:p>
        </w:tc>
        <w:tc>
          <w:tcPr>
            <w:tcW w:w="1671" w:type="dxa"/>
            <w:vAlign w:val="center"/>
          </w:tcPr>
          <w:p w14:paraId="6C34B52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317 (24.3%)</w:t>
            </w:r>
          </w:p>
        </w:tc>
        <w:tc>
          <w:tcPr>
            <w:tcW w:w="2015" w:type="dxa"/>
            <w:vAlign w:val="center"/>
          </w:tcPr>
          <w:p w14:paraId="3D15D030"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128 (22.3%)</w:t>
            </w:r>
          </w:p>
        </w:tc>
        <w:tc>
          <w:tcPr>
            <w:tcW w:w="1701" w:type="dxa"/>
            <w:vAlign w:val="center"/>
          </w:tcPr>
          <w:p w14:paraId="08E09E9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189 (25.9%)</w:t>
            </w:r>
          </w:p>
        </w:tc>
        <w:tc>
          <w:tcPr>
            <w:tcW w:w="968" w:type="dxa"/>
            <w:vMerge/>
            <w:vAlign w:val="center"/>
          </w:tcPr>
          <w:p w14:paraId="2C303EC7" w14:textId="77777777" w:rsidR="00D523FA" w:rsidRPr="00D523FA" w:rsidRDefault="00D523FA" w:rsidP="00D523FA">
            <w:pPr>
              <w:rPr>
                <w:rFonts w:eastAsia="Times New Roman"/>
                <w:noProof w:val="0"/>
                <w:snapToGrid w:val="0"/>
                <w:szCs w:val="22"/>
                <w:lang w:eastAsia="de-DE" w:bidi="en-US"/>
              </w:rPr>
            </w:pPr>
          </w:p>
        </w:tc>
      </w:tr>
      <w:tr w:rsidR="00D523FA" w:rsidRPr="00D523FA" w14:paraId="7A107342" w14:textId="77777777" w:rsidTr="00D523FA">
        <w:tc>
          <w:tcPr>
            <w:tcW w:w="2405" w:type="dxa"/>
            <w:vMerge/>
          </w:tcPr>
          <w:p w14:paraId="5C8284E8"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1631A8E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45-54</w:t>
            </w:r>
          </w:p>
        </w:tc>
        <w:tc>
          <w:tcPr>
            <w:tcW w:w="1671" w:type="dxa"/>
            <w:vAlign w:val="center"/>
          </w:tcPr>
          <w:p w14:paraId="0A29599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229 (17.5%)</w:t>
            </w:r>
          </w:p>
        </w:tc>
        <w:tc>
          <w:tcPr>
            <w:tcW w:w="2015" w:type="dxa"/>
            <w:vAlign w:val="center"/>
          </w:tcPr>
          <w:p w14:paraId="6F5FE8F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95 (16.5%)</w:t>
            </w:r>
          </w:p>
        </w:tc>
        <w:tc>
          <w:tcPr>
            <w:tcW w:w="1701" w:type="dxa"/>
            <w:vAlign w:val="center"/>
          </w:tcPr>
          <w:p w14:paraId="4D798BD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134 (18.4%)</w:t>
            </w:r>
          </w:p>
        </w:tc>
        <w:tc>
          <w:tcPr>
            <w:tcW w:w="968" w:type="dxa"/>
            <w:vMerge/>
            <w:vAlign w:val="center"/>
          </w:tcPr>
          <w:p w14:paraId="4AF6D32E" w14:textId="77777777" w:rsidR="00D523FA" w:rsidRPr="00D523FA" w:rsidRDefault="00D523FA" w:rsidP="00D523FA">
            <w:pPr>
              <w:rPr>
                <w:rFonts w:eastAsia="Times New Roman"/>
                <w:noProof w:val="0"/>
                <w:snapToGrid w:val="0"/>
                <w:szCs w:val="22"/>
                <w:lang w:eastAsia="de-DE" w:bidi="en-US"/>
              </w:rPr>
            </w:pPr>
          </w:p>
        </w:tc>
      </w:tr>
      <w:tr w:rsidR="00D523FA" w:rsidRPr="00D523FA" w14:paraId="38B9E4CF" w14:textId="77777777" w:rsidTr="00D523FA">
        <w:tc>
          <w:tcPr>
            <w:tcW w:w="2405" w:type="dxa"/>
            <w:vMerge/>
          </w:tcPr>
          <w:p w14:paraId="6422AC3A"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213613A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55-64</w:t>
            </w:r>
          </w:p>
        </w:tc>
        <w:tc>
          <w:tcPr>
            <w:tcW w:w="1671" w:type="dxa"/>
            <w:vAlign w:val="center"/>
          </w:tcPr>
          <w:p w14:paraId="329C945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238 (18.2%)</w:t>
            </w:r>
          </w:p>
        </w:tc>
        <w:tc>
          <w:tcPr>
            <w:tcW w:w="2015" w:type="dxa"/>
            <w:vAlign w:val="center"/>
          </w:tcPr>
          <w:p w14:paraId="3BF3503B"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121 (21.0%)</w:t>
            </w:r>
          </w:p>
        </w:tc>
        <w:tc>
          <w:tcPr>
            <w:tcW w:w="1701" w:type="dxa"/>
            <w:vAlign w:val="center"/>
          </w:tcPr>
          <w:p w14:paraId="0059A8A0"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117 (16.0%)</w:t>
            </w:r>
          </w:p>
        </w:tc>
        <w:tc>
          <w:tcPr>
            <w:tcW w:w="968" w:type="dxa"/>
            <w:vMerge/>
            <w:vAlign w:val="center"/>
          </w:tcPr>
          <w:p w14:paraId="0AA6B6A7" w14:textId="77777777" w:rsidR="00D523FA" w:rsidRPr="00D523FA" w:rsidRDefault="00D523FA" w:rsidP="00D523FA">
            <w:pPr>
              <w:rPr>
                <w:rFonts w:eastAsia="Times New Roman"/>
                <w:noProof w:val="0"/>
                <w:snapToGrid w:val="0"/>
                <w:szCs w:val="22"/>
                <w:lang w:eastAsia="de-DE" w:bidi="en-US"/>
              </w:rPr>
            </w:pPr>
          </w:p>
        </w:tc>
      </w:tr>
      <w:tr w:rsidR="00D523FA" w:rsidRPr="00D523FA" w14:paraId="6CC2A7FD" w14:textId="77777777" w:rsidTr="00D523FA">
        <w:tc>
          <w:tcPr>
            <w:tcW w:w="2405" w:type="dxa"/>
            <w:vMerge/>
          </w:tcPr>
          <w:p w14:paraId="4E8BADA2"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5F91059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≥65</w:t>
            </w:r>
          </w:p>
        </w:tc>
        <w:tc>
          <w:tcPr>
            <w:tcW w:w="1671" w:type="dxa"/>
            <w:vAlign w:val="center"/>
          </w:tcPr>
          <w:p w14:paraId="5990D86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125 (9.6%)</w:t>
            </w:r>
          </w:p>
        </w:tc>
        <w:tc>
          <w:tcPr>
            <w:tcW w:w="2015" w:type="dxa"/>
            <w:vAlign w:val="center"/>
          </w:tcPr>
          <w:p w14:paraId="24CB0A7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84 (14.6%)</w:t>
            </w:r>
          </w:p>
        </w:tc>
        <w:tc>
          <w:tcPr>
            <w:tcW w:w="1701" w:type="dxa"/>
            <w:vAlign w:val="center"/>
          </w:tcPr>
          <w:p w14:paraId="1C5D344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41 (5.5%)</w:t>
            </w:r>
          </w:p>
        </w:tc>
        <w:tc>
          <w:tcPr>
            <w:tcW w:w="968" w:type="dxa"/>
            <w:vMerge/>
            <w:vAlign w:val="center"/>
          </w:tcPr>
          <w:p w14:paraId="3EAC22DF" w14:textId="77777777" w:rsidR="00D523FA" w:rsidRPr="00D523FA" w:rsidRDefault="00D523FA" w:rsidP="00D523FA">
            <w:pPr>
              <w:rPr>
                <w:rFonts w:eastAsia="Times New Roman"/>
                <w:noProof w:val="0"/>
                <w:snapToGrid w:val="0"/>
                <w:szCs w:val="22"/>
                <w:lang w:eastAsia="de-DE" w:bidi="en-US"/>
              </w:rPr>
            </w:pPr>
          </w:p>
        </w:tc>
      </w:tr>
      <w:tr w:rsidR="00D523FA" w:rsidRPr="00D523FA" w14:paraId="65E91228" w14:textId="77777777" w:rsidTr="00D523FA">
        <w:tc>
          <w:tcPr>
            <w:tcW w:w="2405" w:type="dxa"/>
            <w:vMerge w:val="restart"/>
          </w:tcPr>
          <w:p w14:paraId="02B3931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Gender</w:t>
            </w:r>
          </w:p>
        </w:tc>
        <w:tc>
          <w:tcPr>
            <w:tcW w:w="3402" w:type="dxa"/>
            <w:vAlign w:val="center"/>
          </w:tcPr>
          <w:p w14:paraId="3E1EAEB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Male</w:t>
            </w:r>
          </w:p>
        </w:tc>
        <w:tc>
          <w:tcPr>
            <w:tcW w:w="1671" w:type="dxa"/>
            <w:vAlign w:val="center"/>
          </w:tcPr>
          <w:p w14:paraId="3A20DE9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256 (19.6%)</w:t>
            </w:r>
          </w:p>
        </w:tc>
        <w:tc>
          <w:tcPr>
            <w:tcW w:w="2015" w:type="dxa"/>
            <w:vAlign w:val="center"/>
          </w:tcPr>
          <w:p w14:paraId="1A086EB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119 (20.7%)</w:t>
            </w:r>
          </w:p>
        </w:tc>
        <w:tc>
          <w:tcPr>
            <w:tcW w:w="1701" w:type="dxa"/>
            <w:vAlign w:val="center"/>
          </w:tcPr>
          <w:p w14:paraId="508B77B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137 (18.8%)</w:t>
            </w:r>
          </w:p>
        </w:tc>
        <w:tc>
          <w:tcPr>
            <w:tcW w:w="968" w:type="dxa"/>
            <w:vMerge w:val="restart"/>
            <w:vAlign w:val="center"/>
          </w:tcPr>
          <w:p w14:paraId="117C3AD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0.384</w:t>
            </w:r>
          </w:p>
        </w:tc>
      </w:tr>
      <w:tr w:rsidR="00D523FA" w:rsidRPr="00D523FA" w14:paraId="507E993D" w14:textId="77777777" w:rsidTr="00D523FA">
        <w:tc>
          <w:tcPr>
            <w:tcW w:w="2405" w:type="dxa"/>
            <w:vMerge/>
          </w:tcPr>
          <w:p w14:paraId="396A6525"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41B7036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Female</w:t>
            </w:r>
          </w:p>
        </w:tc>
        <w:tc>
          <w:tcPr>
            <w:tcW w:w="1671" w:type="dxa"/>
            <w:vAlign w:val="center"/>
          </w:tcPr>
          <w:p w14:paraId="250A3A6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1049 (80.4%)</w:t>
            </w:r>
          </w:p>
        </w:tc>
        <w:tc>
          <w:tcPr>
            <w:tcW w:w="2015" w:type="dxa"/>
            <w:vAlign w:val="center"/>
          </w:tcPr>
          <w:p w14:paraId="146FF6F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456 (79.3%)</w:t>
            </w:r>
          </w:p>
        </w:tc>
        <w:tc>
          <w:tcPr>
            <w:tcW w:w="1701" w:type="dxa"/>
            <w:vAlign w:val="center"/>
          </w:tcPr>
          <w:p w14:paraId="2661F7E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593 (81.2%)</w:t>
            </w:r>
          </w:p>
        </w:tc>
        <w:tc>
          <w:tcPr>
            <w:tcW w:w="968" w:type="dxa"/>
            <w:vMerge/>
            <w:vAlign w:val="center"/>
          </w:tcPr>
          <w:p w14:paraId="1770767F" w14:textId="77777777" w:rsidR="00D523FA" w:rsidRPr="00D523FA" w:rsidRDefault="00D523FA" w:rsidP="00D523FA">
            <w:pPr>
              <w:rPr>
                <w:rFonts w:eastAsia="Times New Roman"/>
                <w:noProof w:val="0"/>
                <w:snapToGrid w:val="0"/>
                <w:szCs w:val="22"/>
                <w:lang w:eastAsia="de-DE" w:bidi="en-US"/>
              </w:rPr>
            </w:pPr>
          </w:p>
        </w:tc>
      </w:tr>
      <w:tr w:rsidR="00D523FA" w:rsidRPr="00D523FA" w14:paraId="01EBD9AC" w14:textId="77777777" w:rsidTr="00D523FA">
        <w:tc>
          <w:tcPr>
            <w:tcW w:w="2405" w:type="dxa"/>
            <w:vMerge w:val="restart"/>
          </w:tcPr>
          <w:p w14:paraId="23C98E5B"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Area of Residence</w:t>
            </w:r>
          </w:p>
        </w:tc>
        <w:tc>
          <w:tcPr>
            <w:tcW w:w="3402" w:type="dxa"/>
            <w:vAlign w:val="center"/>
          </w:tcPr>
          <w:p w14:paraId="066700B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NOA+NEA / North</w:t>
            </w:r>
          </w:p>
        </w:tc>
        <w:tc>
          <w:tcPr>
            <w:tcW w:w="1671" w:type="dxa"/>
            <w:vAlign w:val="center"/>
          </w:tcPr>
          <w:p w14:paraId="389252A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62 (4.8%)</w:t>
            </w:r>
          </w:p>
        </w:tc>
        <w:tc>
          <w:tcPr>
            <w:tcW w:w="2015" w:type="dxa"/>
            <w:vAlign w:val="center"/>
          </w:tcPr>
          <w:p w14:paraId="6079AE0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26 (4.5%)</w:t>
            </w:r>
          </w:p>
        </w:tc>
        <w:tc>
          <w:tcPr>
            <w:tcW w:w="1701" w:type="dxa"/>
            <w:vAlign w:val="center"/>
          </w:tcPr>
          <w:p w14:paraId="371628D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36 (4.9%)</w:t>
            </w:r>
          </w:p>
        </w:tc>
        <w:tc>
          <w:tcPr>
            <w:tcW w:w="968" w:type="dxa"/>
            <w:vMerge w:val="restart"/>
            <w:vAlign w:val="center"/>
          </w:tcPr>
          <w:p w14:paraId="6828D7C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0.112</w:t>
            </w:r>
          </w:p>
        </w:tc>
      </w:tr>
      <w:tr w:rsidR="00D523FA" w:rsidRPr="00D523FA" w14:paraId="3BE33DBA" w14:textId="77777777" w:rsidTr="00D523FA">
        <w:tc>
          <w:tcPr>
            <w:tcW w:w="2405" w:type="dxa"/>
            <w:vMerge/>
          </w:tcPr>
          <w:p w14:paraId="500A5B2C"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38588FF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Center / Center</w:t>
            </w:r>
          </w:p>
        </w:tc>
        <w:tc>
          <w:tcPr>
            <w:tcW w:w="1671" w:type="dxa"/>
            <w:vAlign w:val="center"/>
          </w:tcPr>
          <w:p w14:paraId="3897AD3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1114 (85.4%)</w:t>
            </w:r>
          </w:p>
        </w:tc>
        <w:tc>
          <w:tcPr>
            <w:tcW w:w="2015" w:type="dxa"/>
            <w:vAlign w:val="center"/>
          </w:tcPr>
          <w:p w14:paraId="2DDC7FC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481 (83.7%)</w:t>
            </w:r>
          </w:p>
        </w:tc>
        <w:tc>
          <w:tcPr>
            <w:tcW w:w="1701" w:type="dxa"/>
            <w:vAlign w:val="center"/>
          </w:tcPr>
          <w:p w14:paraId="7F1DDD1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633 (86.7%)</w:t>
            </w:r>
          </w:p>
        </w:tc>
        <w:tc>
          <w:tcPr>
            <w:tcW w:w="968" w:type="dxa"/>
            <w:vMerge/>
            <w:vAlign w:val="center"/>
          </w:tcPr>
          <w:p w14:paraId="37B87EBF" w14:textId="77777777" w:rsidR="00D523FA" w:rsidRPr="00D523FA" w:rsidRDefault="00D523FA" w:rsidP="00D523FA">
            <w:pPr>
              <w:rPr>
                <w:rFonts w:eastAsia="Times New Roman"/>
                <w:noProof w:val="0"/>
                <w:snapToGrid w:val="0"/>
                <w:szCs w:val="22"/>
                <w:lang w:eastAsia="de-DE" w:bidi="en-US"/>
              </w:rPr>
            </w:pPr>
          </w:p>
        </w:tc>
      </w:tr>
      <w:tr w:rsidR="00D523FA" w:rsidRPr="00D523FA" w14:paraId="6DDDC0B3" w14:textId="77777777" w:rsidTr="00D523FA">
        <w:tc>
          <w:tcPr>
            <w:tcW w:w="2405" w:type="dxa"/>
            <w:vMerge/>
          </w:tcPr>
          <w:p w14:paraId="17C3E855"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51B4BD9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Patagonian / South</w:t>
            </w:r>
          </w:p>
        </w:tc>
        <w:tc>
          <w:tcPr>
            <w:tcW w:w="1671" w:type="dxa"/>
            <w:vAlign w:val="center"/>
          </w:tcPr>
          <w:p w14:paraId="1DDA83A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129 (9.9%)</w:t>
            </w:r>
          </w:p>
        </w:tc>
        <w:tc>
          <w:tcPr>
            <w:tcW w:w="2015" w:type="dxa"/>
            <w:vAlign w:val="center"/>
          </w:tcPr>
          <w:p w14:paraId="62FA6FAB"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68 (11.8%)</w:t>
            </w:r>
          </w:p>
        </w:tc>
        <w:tc>
          <w:tcPr>
            <w:tcW w:w="1701" w:type="dxa"/>
            <w:vAlign w:val="center"/>
          </w:tcPr>
          <w:p w14:paraId="3C9ADB9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61 (8.4%)</w:t>
            </w:r>
          </w:p>
        </w:tc>
        <w:tc>
          <w:tcPr>
            <w:tcW w:w="968" w:type="dxa"/>
            <w:vMerge/>
            <w:vAlign w:val="center"/>
          </w:tcPr>
          <w:p w14:paraId="1BE651D3" w14:textId="77777777" w:rsidR="00D523FA" w:rsidRPr="00D523FA" w:rsidRDefault="00D523FA" w:rsidP="00D523FA">
            <w:pPr>
              <w:rPr>
                <w:rFonts w:eastAsia="Times New Roman"/>
                <w:noProof w:val="0"/>
                <w:snapToGrid w:val="0"/>
                <w:szCs w:val="22"/>
                <w:lang w:eastAsia="de-DE" w:bidi="en-US"/>
              </w:rPr>
            </w:pPr>
          </w:p>
        </w:tc>
      </w:tr>
      <w:tr w:rsidR="00D523FA" w:rsidRPr="00D523FA" w14:paraId="1BEC53C7" w14:textId="77777777" w:rsidTr="00D523FA">
        <w:tc>
          <w:tcPr>
            <w:tcW w:w="2405" w:type="dxa"/>
            <w:vMerge w:val="restart"/>
          </w:tcPr>
          <w:p w14:paraId="6F3683F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Marital Status</w:t>
            </w:r>
          </w:p>
        </w:tc>
        <w:tc>
          <w:tcPr>
            <w:tcW w:w="3402" w:type="dxa"/>
            <w:vAlign w:val="center"/>
          </w:tcPr>
          <w:p w14:paraId="1970AA9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Single</w:t>
            </w:r>
          </w:p>
        </w:tc>
        <w:tc>
          <w:tcPr>
            <w:tcW w:w="1671" w:type="dxa"/>
            <w:vAlign w:val="center"/>
          </w:tcPr>
          <w:p w14:paraId="124C337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460 (35.2%)</w:t>
            </w:r>
          </w:p>
        </w:tc>
        <w:tc>
          <w:tcPr>
            <w:tcW w:w="2015" w:type="dxa"/>
            <w:vAlign w:val="center"/>
          </w:tcPr>
          <w:p w14:paraId="105E942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165 (28.7%)</w:t>
            </w:r>
          </w:p>
        </w:tc>
        <w:tc>
          <w:tcPr>
            <w:tcW w:w="1701" w:type="dxa"/>
            <w:vAlign w:val="center"/>
          </w:tcPr>
          <w:p w14:paraId="176659B0"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295 (40.4%)</w:t>
            </w:r>
          </w:p>
        </w:tc>
        <w:tc>
          <w:tcPr>
            <w:tcW w:w="968" w:type="dxa"/>
            <w:vMerge w:val="restart"/>
            <w:vAlign w:val="center"/>
          </w:tcPr>
          <w:p w14:paraId="4C8B6D4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&lt;0.001</w:t>
            </w:r>
          </w:p>
        </w:tc>
      </w:tr>
      <w:tr w:rsidR="00D523FA" w:rsidRPr="00D523FA" w14:paraId="044137F4" w14:textId="77777777" w:rsidTr="00D523FA">
        <w:tc>
          <w:tcPr>
            <w:tcW w:w="2405" w:type="dxa"/>
            <w:vMerge/>
          </w:tcPr>
          <w:p w14:paraId="5456ACFE"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1C3772D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Married / Living with Partner</w:t>
            </w:r>
          </w:p>
        </w:tc>
        <w:tc>
          <w:tcPr>
            <w:tcW w:w="1671" w:type="dxa"/>
            <w:vAlign w:val="center"/>
          </w:tcPr>
          <w:p w14:paraId="163DE23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593 (45.4%)</w:t>
            </w:r>
          </w:p>
        </w:tc>
        <w:tc>
          <w:tcPr>
            <w:tcW w:w="2015" w:type="dxa"/>
            <w:vAlign w:val="center"/>
          </w:tcPr>
          <w:p w14:paraId="5F1C740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286 (49.7%)</w:t>
            </w:r>
          </w:p>
        </w:tc>
        <w:tc>
          <w:tcPr>
            <w:tcW w:w="1701" w:type="dxa"/>
            <w:vAlign w:val="center"/>
          </w:tcPr>
          <w:p w14:paraId="619D24A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307 (42.1%)</w:t>
            </w:r>
          </w:p>
        </w:tc>
        <w:tc>
          <w:tcPr>
            <w:tcW w:w="968" w:type="dxa"/>
            <w:vMerge/>
            <w:vAlign w:val="center"/>
          </w:tcPr>
          <w:p w14:paraId="64935C1A" w14:textId="77777777" w:rsidR="00D523FA" w:rsidRPr="00D523FA" w:rsidRDefault="00D523FA" w:rsidP="00D523FA">
            <w:pPr>
              <w:rPr>
                <w:rFonts w:eastAsia="Times New Roman"/>
                <w:noProof w:val="0"/>
                <w:snapToGrid w:val="0"/>
                <w:szCs w:val="22"/>
                <w:lang w:eastAsia="de-DE" w:bidi="en-US"/>
              </w:rPr>
            </w:pPr>
          </w:p>
        </w:tc>
      </w:tr>
      <w:tr w:rsidR="00D523FA" w:rsidRPr="00D523FA" w14:paraId="327D6966" w14:textId="77777777" w:rsidTr="00D523FA">
        <w:tc>
          <w:tcPr>
            <w:tcW w:w="2405" w:type="dxa"/>
            <w:vMerge/>
          </w:tcPr>
          <w:p w14:paraId="550C2B56"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4EE755B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Divorced / Separated</w:t>
            </w:r>
          </w:p>
        </w:tc>
        <w:tc>
          <w:tcPr>
            <w:tcW w:w="1671" w:type="dxa"/>
            <w:vAlign w:val="center"/>
          </w:tcPr>
          <w:p w14:paraId="1BD00E4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213 (16.3%)</w:t>
            </w:r>
          </w:p>
        </w:tc>
        <w:tc>
          <w:tcPr>
            <w:tcW w:w="2015" w:type="dxa"/>
            <w:vAlign w:val="center"/>
          </w:tcPr>
          <w:p w14:paraId="17C131A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94 (16.3%)</w:t>
            </w:r>
          </w:p>
        </w:tc>
        <w:tc>
          <w:tcPr>
            <w:tcW w:w="1701" w:type="dxa"/>
            <w:vAlign w:val="center"/>
          </w:tcPr>
          <w:p w14:paraId="699ACEC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119 (16.3%)</w:t>
            </w:r>
          </w:p>
        </w:tc>
        <w:tc>
          <w:tcPr>
            <w:tcW w:w="968" w:type="dxa"/>
            <w:vMerge/>
            <w:vAlign w:val="center"/>
          </w:tcPr>
          <w:p w14:paraId="72FB6C7A" w14:textId="77777777" w:rsidR="00D523FA" w:rsidRPr="00D523FA" w:rsidRDefault="00D523FA" w:rsidP="00D523FA">
            <w:pPr>
              <w:rPr>
                <w:rFonts w:eastAsia="Times New Roman"/>
                <w:noProof w:val="0"/>
                <w:snapToGrid w:val="0"/>
                <w:szCs w:val="22"/>
                <w:lang w:eastAsia="de-DE" w:bidi="en-US"/>
              </w:rPr>
            </w:pPr>
          </w:p>
        </w:tc>
      </w:tr>
      <w:tr w:rsidR="00D523FA" w:rsidRPr="00D523FA" w14:paraId="4A0BA064" w14:textId="77777777" w:rsidTr="00D523FA">
        <w:tc>
          <w:tcPr>
            <w:tcW w:w="2405" w:type="dxa"/>
            <w:vMerge/>
          </w:tcPr>
          <w:p w14:paraId="1041493F"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33A3AB8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Widowed</w:t>
            </w:r>
          </w:p>
        </w:tc>
        <w:tc>
          <w:tcPr>
            <w:tcW w:w="1671" w:type="dxa"/>
            <w:vAlign w:val="center"/>
          </w:tcPr>
          <w:p w14:paraId="28F882B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39 (3.0%)</w:t>
            </w:r>
          </w:p>
        </w:tc>
        <w:tc>
          <w:tcPr>
            <w:tcW w:w="2015" w:type="dxa"/>
            <w:vAlign w:val="center"/>
          </w:tcPr>
          <w:p w14:paraId="60BB2EB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30 (5.2%)</w:t>
            </w:r>
          </w:p>
        </w:tc>
        <w:tc>
          <w:tcPr>
            <w:tcW w:w="1701" w:type="dxa"/>
            <w:vAlign w:val="center"/>
          </w:tcPr>
          <w:p w14:paraId="07FC484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9 (1.2%)</w:t>
            </w:r>
          </w:p>
        </w:tc>
        <w:tc>
          <w:tcPr>
            <w:tcW w:w="968" w:type="dxa"/>
            <w:vMerge/>
            <w:vAlign w:val="center"/>
          </w:tcPr>
          <w:p w14:paraId="746E6452" w14:textId="77777777" w:rsidR="00D523FA" w:rsidRPr="00D523FA" w:rsidRDefault="00D523FA" w:rsidP="00D523FA">
            <w:pPr>
              <w:rPr>
                <w:rFonts w:eastAsia="Times New Roman"/>
                <w:noProof w:val="0"/>
                <w:snapToGrid w:val="0"/>
                <w:szCs w:val="22"/>
                <w:lang w:eastAsia="de-DE" w:bidi="en-US"/>
              </w:rPr>
            </w:pPr>
          </w:p>
        </w:tc>
      </w:tr>
      <w:tr w:rsidR="00D523FA" w:rsidRPr="00D523FA" w14:paraId="0CAFE2F0" w14:textId="77777777" w:rsidTr="00D523FA">
        <w:tc>
          <w:tcPr>
            <w:tcW w:w="2405" w:type="dxa"/>
            <w:vMerge w:val="restart"/>
          </w:tcPr>
          <w:p w14:paraId="3B14E6E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Educational Attainment</w:t>
            </w:r>
          </w:p>
        </w:tc>
        <w:tc>
          <w:tcPr>
            <w:tcW w:w="3402" w:type="dxa"/>
            <w:vAlign w:val="center"/>
          </w:tcPr>
          <w:p w14:paraId="2BEA3BA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Elementary School / &lt; 8 years</w:t>
            </w:r>
          </w:p>
        </w:tc>
        <w:tc>
          <w:tcPr>
            <w:tcW w:w="1671" w:type="dxa"/>
            <w:vAlign w:val="center"/>
          </w:tcPr>
          <w:p w14:paraId="540031F0"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63 (4.8%)</w:t>
            </w:r>
          </w:p>
        </w:tc>
        <w:tc>
          <w:tcPr>
            <w:tcW w:w="2015" w:type="dxa"/>
            <w:vAlign w:val="center"/>
          </w:tcPr>
          <w:p w14:paraId="2688B91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15 (2.6%)</w:t>
            </w:r>
          </w:p>
        </w:tc>
        <w:tc>
          <w:tcPr>
            <w:tcW w:w="1701" w:type="dxa"/>
            <w:vAlign w:val="center"/>
          </w:tcPr>
          <w:p w14:paraId="6630F58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48 (6.6%)</w:t>
            </w:r>
          </w:p>
        </w:tc>
        <w:tc>
          <w:tcPr>
            <w:tcW w:w="968" w:type="dxa"/>
            <w:vMerge w:val="restart"/>
            <w:vAlign w:val="center"/>
          </w:tcPr>
          <w:p w14:paraId="7F481DE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&lt;0.001</w:t>
            </w:r>
          </w:p>
        </w:tc>
      </w:tr>
      <w:tr w:rsidR="00D523FA" w:rsidRPr="00D523FA" w14:paraId="70520414" w14:textId="77777777" w:rsidTr="00D523FA">
        <w:tc>
          <w:tcPr>
            <w:tcW w:w="2405" w:type="dxa"/>
            <w:vMerge/>
          </w:tcPr>
          <w:p w14:paraId="52A1D7B2"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25DC9E9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High School / 8 - 12 years</w:t>
            </w:r>
          </w:p>
        </w:tc>
        <w:tc>
          <w:tcPr>
            <w:tcW w:w="1671" w:type="dxa"/>
            <w:vAlign w:val="center"/>
          </w:tcPr>
          <w:p w14:paraId="1BBC889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286 (21.9%)</w:t>
            </w:r>
          </w:p>
        </w:tc>
        <w:tc>
          <w:tcPr>
            <w:tcW w:w="2015" w:type="dxa"/>
            <w:vAlign w:val="center"/>
          </w:tcPr>
          <w:p w14:paraId="2AD0766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147 (25.6%)</w:t>
            </w:r>
          </w:p>
        </w:tc>
        <w:tc>
          <w:tcPr>
            <w:tcW w:w="1701" w:type="dxa"/>
            <w:vAlign w:val="center"/>
          </w:tcPr>
          <w:p w14:paraId="1A5BF33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139 (19.0%)</w:t>
            </w:r>
          </w:p>
        </w:tc>
        <w:tc>
          <w:tcPr>
            <w:tcW w:w="968" w:type="dxa"/>
            <w:vMerge/>
            <w:vAlign w:val="center"/>
          </w:tcPr>
          <w:p w14:paraId="548E409F" w14:textId="77777777" w:rsidR="00D523FA" w:rsidRPr="00D523FA" w:rsidRDefault="00D523FA" w:rsidP="00D523FA">
            <w:pPr>
              <w:rPr>
                <w:rFonts w:eastAsia="Times New Roman"/>
                <w:noProof w:val="0"/>
                <w:snapToGrid w:val="0"/>
                <w:szCs w:val="22"/>
                <w:lang w:eastAsia="de-DE" w:bidi="en-US"/>
              </w:rPr>
            </w:pPr>
          </w:p>
        </w:tc>
      </w:tr>
      <w:tr w:rsidR="00D523FA" w:rsidRPr="00D523FA" w14:paraId="456CC5AC" w14:textId="77777777" w:rsidTr="00D523FA">
        <w:tc>
          <w:tcPr>
            <w:tcW w:w="2405" w:type="dxa"/>
            <w:vMerge/>
          </w:tcPr>
          <w:p w14:paraId="157357D3" w14:textId="77777777" w:rsidR="00D523FA" w:rsidRPr="00D523FA" w:rsidRDefault="00D523FA" w:rsidP="00D523FA">
            <w:pPr>
              <w:rPr>
                <w:rFonts w:eastAsia="Times New Roman"/>
                <w:noProof w:val="0"/>
                <w:snapToGrid w:val="0"/>
                <w:szCs w:val="22"/>
                <w:lang w:eastAsia="de-DE" w:bidi="en-US"/>
              </w:rPr>
            </w:pPr>
          </w:p>
        </w:tc>
        <w:tc>
          <w:tcPr>
            <w:tcW w:w="3402" w:type="dxa"/>
            <w:vAlign w:val="center"/>
          </w:tcPr>
          <w:p w14:paraId="04FCE42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Tertiary or University / &gt; 12 years</w:t>
            </w:r>
          </w:p>
        </w:tc>
        <w:tc>
          <w:tcPr>
            <w:tcW w:w="1671" w:type="dxa"/>
            <w:vAlign w:val="center"/>
          </w:tcPr>
          <w:p w14:paraId="74C8EC2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956 (73.3%)</w:t>
            </w:r>
          </w:p>
        </w:tc>
        <w:tc>
          <w:tcPr>
            <w:tcW w:w="2015" w:type="dxa"/>
            <w:vAlign w:val="center"/>
          </w:tcPr>
          <w:p w14:paraId="5B1975E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413 (71.8%)</w:t>
            </w:r>
          </w:p>
        </w:tc>
        <w:tc>
          <w:tcPr>
            <w:tcW w:w="1701" w:type="dxa"/>
            <w:vAlign w:val="center"/>
          </w:tcPr>
          <w:p w14:paraId="7ACD0CF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543 (74.4%)</w:t>
            </w:r>
          </w:p>
        </w:tc>
        <w:tc>
          <w:tcPr>
            <w:tcW w:w="968" w:type="dxa"/>
            <w:vMerge/>
            <w:vAlign w:val="center"/>
          </w:tcPr>
          <w:p w14:paraId="2778193B" w14:textId="77777777" w:rsidR="00D523FA" w:rsidRPr="00D523FA" w:rsidRDefault="00D523FA" w:rsidP="00D523FA">
            <w:pPr>
              <w:rPr>
                <w:rFonts w:eastAsia="Times New Roman"/>
                <w:noProof w:val="0"/>
                <w:snapToGrid w:val="0"/>
                <w:szCs w:val="22"/>
                <w:lang w:eastAsia="de-DE" w:bidi="en-US"/>
              </w:rPr>
            </w:pPr>
          </w:p>
        </w:tc>
      </w:tr>
      <w:tr w:rsidR="00D523FA" w:rsidRPr="00D523FA" w14:paraId="0C44C468" w14:textId="77777777" w:rsidTr="00D523FA">
        <w:tc>
          <w:tcPr>
            <w:tcW w:w="2405" w:type="dxa"/>
            <w:vAlign w:val="center"/>
          </w:tcPr>
          <w:p w14:paraId="78E83E2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Smoking / Tobacco Use</w:t>
            </w:r>
          </w:p>
        </w:tc>
        <w:tc>
          <w:tcPr>
            <w:tcW w:w="3402" w:type="dxa"/>
            <w:vAlign w:val="center"/>
          </w:tcPr>
          <w:p w14:paraId="00A498B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Yes</w:t>
            </w:r>
          </w:p>
        </w:tc>
        <w:tc>
          <w:tcPr>
            <w:tcW w:w="1671" w:type="dxa"/>
            <w:vAlign w:val="center"/>
          </w:tcPr>
          <w:p w14:paraId="4583496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319 (24.4%)</w:t>
            </w:r>
          </w:p>
        </w:tc>
        <w:tc>
          <w:tcPr>
            <w:tcW w:w="2015" w:type="dxa"/>
            <w:vAlign w:val="center"/>
          </w:tcPr>
          <w:p w14:paraId="58A47CC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95 (16.5%)</w:t>
            </w:r>
          </w:p>
        </w:tc>
        <w:tc>
          <w:tcPr>
            <w:tcW w:w="1701" w:type="dxa"/>
            <w:vAlign w:val="center"/>
          </w:tcPr>
          <w:p w14:paraId="395349E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224 (30.7%)</w:t>
            </w:r>
          </w:p>
        </w:tc>
        <w:tc>
          <w:tcPr>
            <w:tcW w:w="968" w:type="dxa"/>
            <w:vAlign w:val="center"/>
          </w:tcPr>
          <w:p w14:paraId="4B47604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&lt;0.001</w:t>
            </w:r>
          </w:p>
        </w:tc>
      </w:tr>
      <w:tr w:rsidR="00D523FA" w:rsidRPr="00D523FA" w14:paraId="6A4D7DF2" w14:textId="77777777" w:rsidTr="00D523FA">
        <w:tc>
          <w:tcPr>
            <w:tcW w:w="2405" w:type="dxa"/>
            <w:vAlign w:val="center"/>
          </w:tcPr>
          <w:p w14:paraId="452F89F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Alcohol Consumption</w:t>
            </w:r>
          </w:p>
        </w:tc>
        <w:tc>
          <w:tcPr>
            <w:tcW w:w="3402" w:type="dxa"/>
            <w:vAlign w:val="center"/>
          </w:tcPr>
          <w:p w14:paraId="4BCDC8A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Yes</w:t>
            </w:r>
          </w:p>
        </w:tc>
        <w:tc>
          <w:tcPr>
            <w:tcW w:w="1671" w:type="dxa"/>
            <w:vAlign w:val="center"/>
          </w:tcPr>
          <w:p w14:paraId="3097F11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552 (43.7%)</w:t>
            </w:r>
          </w:p>
        </w:tc>
        <w:tc>
          <w:tcPr>
            <w:tcW w:w="2015" w:type="dxa"/>
            <w:vAlign w:val="center"/>
          </w:tcPr>
          <w:p w14:paraId="5009805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221 (38.4%)</w:t>
            </w:r>
          </w:p>
        </w:tc>
        <w:tc>
          <w:tcPr>
            <w:tcW w:w="1701" w:type="dxa"/>
            <w:vAlign w:val="center"/>
          </w:tcPr>
          <w:p w14:paraId="178E2450"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331 (48.0%)a</w:t>
            </w:r>
          </w:p>
        </w:tc>
        <w:tc>
          <w:tcPr>
            <w:tcW w:w="968" w:type="dxa"/>
            <w:vAlign w:val="center"/>
          </w:tcPr>
          <w:p w14:paraId="4313D13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0.001</w:t>
            </w:r>
          </w:p>
        </w:tc>
      </w:tr>
      <w:tr w:rsidR="00D523FA" w:rsidRPr="00D523FA" w14:paraId="58E1ECF0" w14:textId="77777777" w:rsidTr="00D523FA">
        <w:tc>
          <w:tcPr>
            <w:tcW w:w="2405" w:type="dxa"/>
            <w:vAlign w:val="center"/>
          </w:tcPr>
          <w:p w14:paraId="39E5A6C0"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Obesity</w:t>
            </w:r>
          </w:p>
        </w:tc>
        <w:tc>
          <w:tcPr>
            <w:tcW w:w="3402" w:type="dxa"/>
            <w:vAlign w:val="center"/>
          </w:tcPr>
          <w:p w14:paraId="3A3AD490"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Yes</w:t>
            </w:r>
          </w:p>
        </w:tc>
        <w:tc>
          <w:tcPr>
            <w:tcW w:w="1671" w:type="dxa"/>
            <w:vAlign w:val="center"/>
          </w:tcPr>
          <w:p w14:paraId="7DF976B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230 (21.3%)</w:t>
            </w:r>
          </w:p>
        </w:tc>
        <w:tc>
          <w:tcPr>
            <w:tcW w:w="2015" w:type="dxa"/>
            <w:vAlign w:val="center"/>
          </w:tcPr>
          <w:p w14:paraId="664C6BF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115 (20.0%)</w:t>
            </w:r>
          </w:p>
        </w:tc>
        <w:tc>
          <w:tcPr>
            <w:tcW w:w="1701" w:type="dxa"/>
            <w:vAlign w:val="center"/>
          </w:tcPr>
          <w:p w14:paraId="1CD633E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115 (22.7%)b</w:t>
            </w:r>
          </w:p>
        </w:tc>
        <w:tc>
          <w:tcPr>
            <w:tcW w:w="968" w:type="dxa"/>
            <w:vAlign w:val="center"/>
          </w:tcPr>
          <w:p w14:paraId="6091EA9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0.282</w:t>
            </w:r>
          </w:p>
        </w:tc>
      </w:tr>
      <w:tr w:rsidR="00D523FA" w:rsidRPr="00D523FA" w14:paraId="55450C2F" w14:textId="77777777" w:rsidTr="00D523FA">
        <w:tc>
          <w:tcPr>
            <w:tcW w:w="2405" w:type="dxa"/>
            <w:vAlign w:val="center"/>
          </w:tcPr>
          <w:p w14:paraId="6E4B889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Hypertension</w:t>
            </w:r>
          </w:p>
        </w:tc>
        <w:tc>
          <w:tcPr>
            <w:tcW w:w="3402" w:type="dxa"/>
            <w:vAlign w:val="center"/>
          </w:tcPr>
          <w:p w14:paraId="62C47ED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Yes</w:t>
            </w:r>
          </w:p>
        </w:tc>
        <w:tc>
          <w:tcPr>
            <w:tcW w:w="1671" w:type="dxa"/>
            <w:vAlign w:val="center"/>
          </w:tcPr>
          <w:p w14:paraId="27430AE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189 (17.5%)</w:t>
            </w:r>
          </w:p>
        </w:tc>
        <w:tc>
          <w:tcPr>
            <w:tcW w:w="2015" w:type="dxa"/>
            <w:vAlign w:val="center"/>
          </w:tcPr>
          <w:p w14:paraId="5205D8A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102 (17.7%)</w:t>
            </w:r>
          </w:p>
        </w:tc>
        <w:tc>
          <w:tcPr>
            <w:tcW w:w="1701" w:type="dxa"/>
            <w:vAlign w:val="center"/>
          </w:tcPr>
          <w:p w14:paraId="4555098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87 (17.2%)b</w:t>
            </w:r>
          </w:p>
        </w:tc>
        <w:tc>
          <w:tcPr>
            <w:tcW w:w="968" w:type="dxa"/>
            <w:vAlign w:val="center"/>
          </w:tcPr>
          <w:p w14:paraId="6A5B8D3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0.802</w:t>
            </w:r>
          </w:p>
        </w:tc>
      </w:tr>
      <w:tr w:rsidR="00D523FA" w:rsidRPr="00D523FA" w14:paraId="3379DF12" w14:textId="77777777" w:rsidTr="00D523FA">
        <w:tc>
          <w:tcPr>
            <w:tcW w:w="2405" w:type="dxa"/>
            <w:vAlign w:val="center"/>
          </w:tcPr>
          <w:p w14:paraId="54F1506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Type 2 Diabetes</w:t>
            </w:r>
          </w:p>
        </w:tc>
        <w:tc>
          <w:tcPr>
            <w:tcW w:w="3402" w:type="dxa"/>
            <w:vAlign w:val="center"/>
          </w:tcPr>
          <w:p w14:paraId="48A727E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Yes</w:t>
            </w:r>
          </w:p>
        </w:tc>
        <w:tc>
          <w:tcPr>
            <w:tcW w:w="1671" w:type="dxa"/>
            <w:vAlign w:val="center"/>
          </w:tcPr>
          <w:p w14:paraId="4FB2E5F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54 (5.0%)</w:t>
            </w:r>
          </w:p>
        </w:tc>
        <w:tc>
          <w:tcPr>
            <w:tcW w:w="2015" w:type="dxa"/>
            <w:vAlign w:val="center"/>
          </w:tcPr>
          <w:p w14:paraId="1D2D2A2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24 (4.2%)</w:t>
            </w:r>
          </w:p>
        </w:tc>
        <w:tc>
          <w:tcPr>
            <w:tcW w:w="1701" w:type="dxa"/>
            <w:vAlign w:val="center"/>
          </w:tcPr>
          <w:p w14:paraId="68B6991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30 (5.9%)b</w:t>
            </w:r>
          </w:p>
        </w:tc>
        <w:tc>
          <w:tcPr>
            <w:tcW w:w="968" w:type="dxa"/>
            <w:vAlign w:val="center"/>
          </w:tcPr>
          <w:p w14:paraId="401CFF4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0.189</w:t>
            </w:r>
          </w:p>
        </w:tc>
      </w:tr>
    </w:tbl>
    <w:p w14:paraId="656F89AE" w14:textId="77777777" w:rsidR="00D523FA" w:rsidRPr="00D523FA" w:rsidRDefault="00D523FA" w:rsidP="00D523FA">
      <w:pPr>
        <w:pStyle w:val="Standard"/>
        <w:rPr>
          <w:rFonts w:ascii="Palatino Linotype" w:eastAsia="Times New Roman" w:hAnsi="Palatino Linotype" w:cs="Times New Roman"/>
          <w:snapToGrid w:val="0"/>
          <w:color w:val="000000"/>
          <w:kern w:val="0"/>
          <w:sz w:val="20"/>
          <w:szCs w:val="22"/>
          <w:lang w:val="en-US" w:eastAsia="de-DE" w:bidi="en-US"/>
        </w:rPr>
      </w:pPr>
      <w:r w:rsidRPr="00D523FA">
        <w:rPr>
          <w:rFonts w:ascii="Palatino Linotype" w:eastAsia="Times New Roman" w:hAnsi="Palatino Linotype" w:cs="Times New Roman"/>
          <w:snapToGrid w:val="0"/>
          <w:color w:val="000000"/>
          <w:kern w:val="0"/>
          <w:sz w:val="20"/>
          <w:szCs w:val="22"/>
          <w:lang w:val="en-US" w:eastAsia="de-DE" w:bidi="en-US"/>
        </w:rPr>
        <w:t>a n=689</w:t>
      </w:r>
    </w:p>
    <w:p w14:paraId="0301D7BE" w14:textId="77777777" w:rsidR="00D523FA" w:rsidRPr="00D523FA" w:rsidRDefault="00D523FA" w:rsidP="00D523FA">
      <w:pPr>
        <w:pStyle w:val="Standard"/>
        <w:rPr>
          <w:rFonts w:ascii="Palatino Linotype" w:eastAsia="Times New Roman" w:hAnsi="Palatino Linotype" w:cs="Times New Roman"/>
          <w:snapToGrid w:val="0"/>
          <w:color w:val="000000"/>
          <w:kern w:val="0"/>
          <w:sz w:val="20"/>
          <w:szCs w:val="22"/>
          <w:lang w:val="en-US" w:eastAsia="de-DE" w:bidi="en-US"/>
        </w:rPr>
      </w:pPr>
      <w:r w:rsidRPr="00D523FA">
        <w:rPr>
          <w:rFonts w:ascii="Palatino Linotype" w:eastAsia="Times New Roman" w:hAnsi="Palatino Linotype" w:cs="Times New Roman"/>
          <w:snapToGrid w:val="0"/>
          <w:color w:val="000000"/>
          <w:kern w:val="0"/>
          <w:sz w:val="20"/>
          <w:szCs w:val="22"/>
          <w:lang w:val="en-US" w:eastAsia="de-DE" w:bidi="en-US"/>
        </w:rPr>
        <w:t>b n=507</w:t>
      </w:r>
    </w:p>
    <w:p w14:paraId="2DDD8BA5" w14:textId="4640EB98" w:rsidR="00D523FA" w:rsidRDefault="00D523FA" w:rsidP="00D523FA">
      <w:pPr>
        <w:pStyle w:val="MDPI31text"/>
      </w:pPr>
    </w:p>
    <w:p w14:paraId="439AF4F8" w14:textId="77777777" w:rsidR="000A5115" w:rsidRPr="001F31D1" w:rsidRDefault="000A5115" w:rsidP="00D523FA">
      <w:pPr>
        <w:pStyle w:val="MDPI31text"/>
      </w:pPr>
    </w:p>
    <w:p w14:paraId="01268ABC" w14:textId="77777777" w:rsidR="00D523FA" w:rsidRPr="00D523FA" w:rsidRDefault="00D523FA" w:rsidP="00D523FA">
      <w:pPr>
        <w:pStyle w:val="MDPI31text"/>
      </w:pPr>
      <w:r w:rsidRPr="00D523FA">
        <w:lastRenderedPageBreak/>
        <w:t>Table 2 describes differences in PA, ST and SE pre - during COVID-19 lockdown. Mean reductions on average of 42.7 (±101.0) min/day in MPA and 22.0 (±66.2) min/day in VPA were shown for the total sample, with major variations in Chile and Argentina, respectively. On the other hand, Mean increases in SE of 212.4 (±191.7) min/day and ST of 164.3 (±180.6) min/day were also observed.</w:t>
      </w:r>
    </w:p>
    <w:p w14:paraId="3EA50D2A" w14:textId="77777777" w:rsidR="00D523FA" w:rsidRPr="00D523FA" w:rsidRDefault="00D523FA" w:rsidP="00D523FA">
      <w:pPr>
        <w:pStyle w:val="MDPI31text"/>
      </w:pPr>
      <w:r w:rsidRPr="00D523FA">
        <w:t xml:space="preserve">Regarding PA recommendations and ST, 56.9% and 34.9% of the sample were classified as active and sitting &lt; 7 hours during lockdown, respectively. </w:t>
      </w:r>
    </w:p>
    <w:p w14:paraId="5F062D45" w14:textId="2DF05104" w:rsidR="00522304" w:rsidRDefault="00522304" w:rsidP="0020625A">
      <w:pPr>
        <w:pStyle w:val="MDPI52figure"/>
        <w:ind w:left="2608"/>
        <w:jc w:val="left"/>
        <w:rPr>
          <w:b/>
        </w:rPr>
      </w:pPr>
    </w:p>
    <w:p w14:paraId="028B5210" w14:textId="77777777" w:rsidR="004B7EF4" w:rsidRDefault="004B7EF4" w:rsidP="00D523FA">
      <w:pPr>
        <w:rPr>
          <w:rFonts w:eastAsia="Times New Roman"/>
          <w:b/>
          <w:bCs/>
          <w:noProof w:val="0"/>
          <w:snapToGrid w:val="0"/>
          <w:szCs w:val="22"/>
          <w:lang w:eastAsia="de-DE" w:bidi="en-US"/>
        </w:rPr>
      </w:pPr>
    </w:p>
    <w:p w14:paraId="0FFFBC3A" w14:textId="776BEDB6" w:rsidR="00D523FA" w:rsidRPr="00D523FA" w:rsidRDefault="00D523FA" w:rsidP="00D523FA">
      <w:pPr>
        <w:rPr>
          <w:rFonts w:eastAsia="Times New Roman"/>
          <w:noProof w:val="0"/>
          <w:snapToGrid w:val="0"/>
          <w:szCs w:val="22"/>
          <w:lang w:eastAsia="de-DE" w:bidi="en-US"/>
        </w:rPr>
      </w:pPr>
      <w:r w:rsidRPr="00D523FA">
        <w:rPr>
          <w:rFonts w:eastAsia="Times New Roman"/>
          <w:b/>
          <w:bCs/>
          <w:noProof w:val="0"/>
          <w:snapToGrid w:val="0"/>
          <w:szCs w:val="22"/>
          <w:lang w:eastAsia="de-DE" w:bidi="en-US"/>
        </w:rPr>
        <w:t>Table 2:</w:t>
      </w:r>
      <w:r w:rsidRPr="00D523FA">
        <w:rPr>
          <w:rFonts w:eastAsia="Times New Roman"/>
          <w:noProof w:val="0"/>
          <w:snapToGrid w:val="0"/>
          <w:szCs w:val="22"/>
          <w:lang w:eastAsia="de-DE" w:bidi="en-US"/>
        </w:rPr>
        <w:t xml:space="preserve"> Changes in physical activity, sitting time and screen time </w:t>
      </w:r>
    </w:p>
    <w:tbl>
      <w:tblPr>
        <w:tblStyle w:val="TableGrid"/>
        <w:tblW w:w="0" w:type="auto"/>
        <w:tblLook w:val="04A0" w:firstRow="1" w:lastRow="0" w:firstColumn="1" w:lastColumn="0" w:noHBand="0" w:noVBand="1"/>
      </w:tblPr>
      <w:tblGrid>
        <w:gridCol w:w="1661"/>
        <w:gridCol w:w="2255"/>
        <w:gridCol w:w="2284"/>
        <w:gridCol w:w="1422"/>
        <w:gridCol w:w="1683"/>
        <w:gridCol w:w="1151"/>
      </w:tblGrid>
      <w:tr w:rsidR="00D523FA" w:rsidRPr="00D523FA" w14:paraId="7774ABDB" w14:textId="77777777" w:rsidTr="00D523FA">
        <w:tc>
          <w:tcPr>
            <w:tcW w:w="2116" w:type="dxa"/>
          </w:tcPr>
          <w:p w14:paraId="60E4BF3B" w14:textId="77777777" w:rsidR="00D523FA" w:rsidRPr="00D523FA" w:rsidRDefault="00D523FA" w:rsidP="00D523FA">
            <w:pP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Variable</w:t>
            </w:r>
          </w:p>
        </w:tc>
        <w:tc>
          <w:tcPr>
            <w:tcW w:w="2843" w:type="dxa"/>
            <w:vAlign w:val="center"/>
          </w:tcPr>
          <w:p w14:paraId="4289232F"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Before COVID-19 lockdown</w:t>
            </w:r>
          </w:p>
        </w:tc>
        <w:tc>
          <w:tcPr>
            <w:tcW w:w="2885" w:type="dxa"/>
            <w:vAlign w:val="center"/>
          </w:tcPr>
          <w:p w14:paraId="2217995E"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During COVID-19 lockdown</w:t>
            </w:r>
          </w:p>
        </w:tc>
        <w:tc>
          <w:tcPr>
            <w:tcW w:w="1649" w:type="dxa"/>
            <w:vAlign w:val="center"/>
          </w:tcPr>
          <w:p w14:paraId="7E637613"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Difference</w:t>
            </w:r>
          </w:p>
        </w:tc>
        <w:tc>
          <w:tcPr>
            <w:tcW w:w="2126" w:type="dxa"/>
            <w:vAlign w:val="center"/>
          </w:tcPr>
          <w:p w14:paraId="48B5A951" w14:textId="77777777" w:rsidR="00D523FA" w:rsidRPr="00D523FA" w:rsidRDefault="00D523FA" w:rsidP="00D523FA">
            <w:pPr>
              <w:pStyle w:val="TableContents"/>
              <w:jc w:val="center"/>
              <w:rPr>
                <w:rFonts w:ascii="Palatino Linotype" w:eastAsia="Times New Roman" w:hAnsi="Palatino Linotype" w:cs="Times New Roman"/>
                <w:b/>
                <w:bCs/>
                <w:snapToGrid w:val="0"/>
                <w:color w:val="000000"/>
                <w:kern w:val="0"/>
                <w:sz w:val="20"/>
                <w:szCs w:val="22"/>
                <w:lang w:val="en-US" w:eastAsia="de-DE" w:bidi="en-US"/>
              </w:rPr>
            </w:pPr>
          </w:p>
          <w:p w14:paraId="7C2D7059"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Cohen's d</w:t>
            </w:r>
          </w:p>
        </w:tc>
        <w:tc>
          <w:tcPr>
            <w:tcW w:w="1377" w:type="dxa"/>
            <w:vAlign w:val="center"/>
          </w:tcPr>
          <w:p w14:paraId="763C040F" w14:textId="77777777" w:rsidR="00D523FA" w:rsidRPr="00D523FA" w:rsidRDefault="00D523FA" w:rsidP="00D523FA">
            <w:pPr>
              <w:pStyle w:val="TableContents"/>
              <w:jc w:val="center"/>
              <w:rPr>
                <w:rFonts w:ascii="Palatino Linotype" w:eastAsia="Times New Roman" w:hAnsi="Palatino Linotype" w:cs="Times New Roman"/>
                <w:b/>
                <w:bCs/>
                <w:i/>
                <w:iCs/>
                <w:snapToGrid w:val="0"/>
                <w:color w:val="000000"/>
                <w:kern w:val="0"/>
                <w:sz w:val="20"/>
                <w:szCs w:val="22"/>
                <w:lang w:val="en-US" w:eastAsia="de-DE" w:bidi="en-US"/>
              </w:rPr>
            </w:pPr>
            <w:r w:rsidRPr="00D523FA">
              <w:rPr>
                <w:rFonts w:ascii="Palatino Linotype" w:eastAsia="Times New Roman" w:hAnsi="Palatino Linotype" w:cs="Times New Roman"/>
                <w:b/>
                <w:bCs/>
                <w:i/>
                <w:iCs/>
                <w:snapToGrid w:val="0"/>
                <w:color w:val="000000"/>
                <w:kern w:val="0"/>
                <w:sz w:val="20"/>
                <w:szCs w:val="22"/>
                <w:lang w:val="en-US" w:eastAsia="de-DE" w:bidi="en-US"/>
              </w:rPr>
              <w:t>p</w:t>
            </w:r>
          </w:p>
        </w:tc>
      </w:tr>
      <w:tr w:rsidR="00D523FA" w:rsidRPr="00D523FA" w14:paraId="0190362B" w14:textId="77777777" w:rsidTr="00D523FA">
        <w:tc>
          <w:tcPr>
            <w:tcW w:w="2116" w:type="dxa"/>
          </w:tcPr>
          <w:p w14:paraId="51F1ECDD" w14:textId="77777777" w:rsidR="00D523FA" w:rsidRPr="00D523FA" w:rsidRDefault="00D523FA" w:rsidP="00D523FA">
            <w:pPr>
              <w:jc w:val="center"/>
              <w:rPr>
                <w:rFonts w:eastAsia="Times New Roman"/>
                <w:b/>
                <w:bCs/>
                <w:noProof w:val="0"/>
                <w:snapToGrid w:val="0"/>
                <w:szCs w:val="22"/>
                <w:lang w:eastAsia="de-DE" w:bidi="en-US"/>
              </w:rPr>
            </w:pPr>
          </w:p>
        </w:tc>
        <w:tc>
          <w:tcPr>
            <w:tcW w:w="2843" w:type="dxa"/>
            <w:vAlign w:val="center"/>
          </w:tcPr>
          <w:p w14:paraId="4918C150" w14:textId="0C8AE01E"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 xml:space="preserve">mean (95% </w:t>
            </w:r>
            <w:proofErr w:type="spellStart"/>
            <w:r w:rsidRPr="00D523FA">
              <w:rPr>
                <w:rFonts w:eastAsia="Times New Roman"/>
                <w:b/>
                <w:bCs/>
                <w:noProof w:val="0"/>
                <w:snapToGrid w:val="0"/>
                <w:szCs w:val="22"/>
                <w:lang w:eastAsia="de-DE" w:bidi="en-US"/>
              </w:rPr>
              <w:t>CI</w:t>
            </w:r>
            <w:r w:rsidRPr="00D523FA">
              <w:rPr>
                <w:rFonts w:eastAsia="Times New Roman"/>
                <w:b/>
                <w:bCs/>
                <w:noProof w:val="0"/>
                <w:snapToGrid w:val="0"/>
                <w:szCs w:val="22"/>
                <w:vertAlign w:val="superscript"/>
                <w:lang w:eastAsia="de-DE" w:bidi="en-US"/>
              </w:rPr>
              <w:t>a</w:t>
            </w:r>
            <w:proofErr w:type="spellEnd"/>
            <w:r w:rsidRPr="00D523FA">
              <w:rPr>
                <w:rFonts w:eastAsia="Times New Roman"/>
                <w:b/>
                <w:bCs/>
                <w:noProof w:val="0"/>
                <w:snapToGrid w:val="0"/>
                <w:szCs w:val="22"/>
                <w:lang w:eastAsia="de-DE" w:bidi="en-US"/>
              </w:rPr>
              <w:t>)</w:t>
            </w:r>
          </w:p>
        </w:tc>
        <w:tc>
          <w:tcPr>
            <w:tcW w:w="2885" w:type="dxa"/>
            <w:vAlign w:val="center"/>
          </w:tcPr>
          <w:p w14:paraId="55BCEA89" w14:textId="790AE24F"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 xml:space="preserve">mean (95% </w:t>
            </w:r>
            <w:proofErr w:type="spellStart"/>
            <w:r w:rsidRPr="00D523FA">
              <w:rPr>
                <w:rFonts w:eastAsia="Times New Roman"/>
                <w:b/>
                <w:bCs/>
                <w:noProof w:val="0"/>
                <w:snapToGrid w:val="0"/>
                <w:szCs w:val="22"/>
                <w:lang w:eastAsia="de-DE" w:bidi="en-US"/>
              </w:rPr>
              <w:t>CI</w:t>
            </w:r>
            <w:r w:rsidRPr="00D523FA">
              <w:rPr>
                <w:rFonts w:eastAsia="Times New Roman"/>
                <w:b/>
                <w:bCs/>
                <w:noProof w:val="0"/>
                <w:snapToGrid w:val="0"/>
                <w:szCs w:val="22"/>
                <w:vertAlign w:val="superscript"/>
                <w:lang w:eastAsia="de-DE" w:bidi="en-US"/>
              </w:rPr>
              <w:t>a</w:t>
            </w:r>
            <w:proofErr w:type="spellEnd"/>
            <w:r w:rsidRPr="00D523FA">
              <w:rPr>
                <w:rFonts w:eastAsia="Times New Roman"/>
                <w:b/>
                <w:bCs/>
                <w:noProof w:val="0"/>
                <w:snapToGrid w:val="0"/>
                <w:szCs w:val="22"/>
                <w:lang w:eastAsia="de-DE" w:bidi="en-US"/>
              </w:rPr>
              <w:t>)</w:t>
            </w:r>
          </w:p>
        </w:tc>
        <w:tc>
          <w:tcPr>
            <w:tcW w:w="1649" w:type="dxa"/>
            <w:vAlign w:val="center"/>
          </w:tcPr>
          <w:p w14:paraId="4B7E66C1"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delta %</w:t>
            </w:r>
          </w:p>
        </w:tc>
        <w:tc>
          <w:tcPr>
            <w:tcW w:w="2126" w:type="dxa"/>
            <w:vAlign w:val="center"/>
          </w:tcPr>
          <w:p w14:paraId="4B38E3E9" w14:textId="77777777" w:rsidR="00D523FA" w:rsidRPr="00D523FA" w:rsidRDefault="00D523FA" w:rsidP="00D523FA">
            <w:pPr>
              <w:pStyle w:val="TableContents"/>
              <w:jc w:val="center"/>
              <w:rPr>
                <w:rFonts w:ascii="Palatino Linotype" w:eastAsia="Times New Roman" w:hAnsi="Palatino Linotype" w:cs="Times New Roman"/>
                <w:b/>
                <w:bCs/>
                <w:snapToGrid w:val="0"/>
                <w:color w:val="000000"/>
                <w:kern w:val="0"/>
                <w:sz w:val="20"/>
                <w:szCs w:val="22"/>
                <w:lang w:val="en-US" w:eastAsia="de-DE" w:bidi="en-US"/>
              </w:rPr>
            </w:pPr>
          </w:p>
        </w:tc>
        <w:tc>
          <w:tcPr>
            <w:tcW w:w="1377" w:type="dxa"/>
            <w:vAlign w:val="center"/>
          </w:tcPr>
          <w:p w14:paraId="608C4DC4" w14:textId="77777777" w:rsidR="00D523FA" w:rsidRPr="00D523FA" w:rsidRDefault="00D523FA" w:rsidP="00D523FA">
            <w:pPr>
              <w:pStyle w:val="TableContents"/>
              <w:jc w:val="center"/>
              <w:rPr>
                <w:rFonts w:ascii="Palatino Linotype" w:eastAsia="Times New Roman" w:hAnsi="Palatino Linotype" w:cs="Times New Roman"/>
                <w:b/>
                <w:bCs/>
                <w:snapToGrid w:val="0"/>
                <w:color w:val="000000"/>
                <w:kern w:val="0"/>
                <w:sz w:val="20"/>
                <w:szCs w:val="22"/>
                <w:lang w:val="en-US" w:eastAsia="de-DE" w:bidi="en-US"/>
              </w:rPr>
            </w:pPr>
          </w:p>
        </w:tc>
      </w:tr>
      <w:tr w:rsidR="00D523FA" w:rsidRPr="00D523FA" w14:paraId="4353B680" w14:textId="77777777" w:rsidTr="00D523FA">
        <w:tc>
          <w:tcPr>
            <w:tcW w:w="12996" w:type="dxa"/>
            <w:gridSpan w:val="6"/>
          </w:tcPr>
          <w:p w14:paraId="147ABA8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 xml:space="preserve">Moderate </w:t>
            </w:r>
            <w:proofErr w:type="spellStart"/>
            <w:r w:rsidRPr="00D523FA">
              <w:rPr>
                <w:rFonts w:eastAsia="Times New Roman"/>
                <w:noProof w:val="0"/>
                <w:snapToGrid w:val="0"/>
                <w:szCs w:val="22"/>
                <w:lang w:eastAsia="de-DE" w:bidi="en-US"/>
              </w:rPr>
              <w:t>PA</w:t>
            </w:r>
            <w:r w:rsidRPr="004B7EF4">
              <w:rPr>
                <w:rFonts w:eastAsia="Times New Roman"/>
                <w:noProof w:val="0"/>
                <w:snapToGrid w:val="0"/>
                <w:szCs w:val="22"/>
                <w:vertAlign w:val="superscript"/>
                <w:lang w:eastAsia="de-DE" w:bidi="en-US"/>
              </w:rPr>
              <w:t>b</w:t>
            </w:r>
            <w:proofErr w:type="spellEnd"/>
            <w:r w:rsidRPr="00D523FA">
              <w:rPr>
                <w:rFonts w:eastAsia="Times New Roman"/>
                <w:noProof w:val="0"/>
                <w:snapToGrid w:val="0"/>
                <w:szCs w:val="22"/>
                <w:lang w:eastAsia="de-DE" w:bidi="en-US"/>
              </w:rPr>
              <w:t xml:space="preserve"> (min/day)</w:t>
            </w:r>
          </w:p>
        </w:tc>
      </w:tr>
      <w:tr w:rsidR="00D523FA" w:rsidRPr="00D523FA" w14:paraId="63954218" w14:textId="77777777" w:rsidTr="00D523FA">
        <w:tc>
          <w:tcPr>
            <w:tcW w:w="2116" w:type="dxa"/>
            <w:vAlign w:val="center"/>
          </w:tcPr>
          <w:p w14:paraId="7D8D147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Total</w:t>
            </w:r>
          </w:p>
        </w:tc>
        <w:tc>
          <w:tcPr>
            <w:tcW w:w="2843" w:type="dxa"/>
            <w:vAlign w:val="center"/>
          </w:tcPr>
          <w:p w14:paraId="2857182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99.0 (93.0 ; 105.0)</w:t>
            </w:r>
          </w:p>
        </w:tc>
        <w:tc>
          <w:tcPr>
            <w:tcW w:w="2885" w:type="dxa"/>
            <w:vAlign w:val="center"/>
          </w:tcPr>
          <w:p w14:paraId="3046AB5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56.3 (51.1 ; 61.5)</w:t>
            </w:r>
          </w:p>
        </w:tc>
        <w:tc>
          <w:tcPr>
            <w:tcW w:w="1649" w:type="dxa"/>
            <w:vAlign w:val="center"/>
          </w:tcPr>
          <w:p w14:paraId="22282FA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-37.30%</w:t>
            </w:r>
          </w:p>
        </w:tc>
        <w:tc>
          <w:tcPr>
            <w:tcW w:w="2126" w:type="dxa"/>
            <w:vAlign w:val="center"/>
          </w:tcPr>
          <w:p w14:paraId="7AB7F31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-0.42</w:t>
            </w:r>
          </w:p>
        </w:tc>
        <w:tc>
          <w:tcPr>
            <w:tcW w:w="1377" w:type="dxa"/>
            <w:vAlign w:val="center"/>
          </w:tcPr>
          <w:p w14:paraId="7DF60E7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560EFD83" w14:textId="77777777" w:rsidTr="00D523FA">
        <w:tc>
          <w:tcPr>
            <w:tcW w:w="2116" w:type="dxa"/>
            <w:vAlign w:val="center"/>
          </w:tcPr>
          <w:p w14:paraId="7015775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Argentina</w:t>
            </w:r>
          </w:p>
        </w:tc>
        <w:tc>
          <w:tcPr>
            <w:tcW w:w="2843" w:type="dxa"/>
            <w:vAlign w:val="center"/>
          </w:tcPr>
          <w:p w14:paraId="0290690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92.9 (85.2 ; 100.7)</w:t>
            </w:r>
          </w:p>
        </w:tc>
        <w:tc>
          <w:tcPr>
            <w:tcW w:w="2885" w:type="dxa"/>
            <w:vAlign w:val="center"/>
          </w:tcPr>
          <w:p w14:paraId="7918EC8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55.7 (48.6 ; 62.8)</w:t>
            </w:r>
          </w:p>
        </w:tc>
        <w:tc>
          <w:tcPr>
            <w:tcW w:w="1649" w:type="dxa"/>
            <w:vAlign w:val="center"/>
          </w:tcPr>
          <w:p w14:paraId="4C37EF5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-32.60%</w:t>
            </w:r>
          </w:p>
        </w:tc>
        <w:tc>
          <w:tcPr>
            <w:tcW w:w="2126" w:type="dxa"/>
            <w:vAlign w:val="center"/>
          </w:tcPr>
          <w:p w14:paraId="18E5887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-0.39</w:t>
            </w:r>
          </w:p>
        </w:tc>
        <w:tc>
          <w:tcPr>
            <w:tcW w:w="1377" w:type="dxa"/>
            <w:vAlign w:val="center"/>
          </w:tcPr>
          <w:p w14:paraId="38B0147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47D5AE70" w14:textId="77777777" w:rsidTr="00D523FA">
        <w:tc>
          <w:tcPr>
            <w:tcW w:w="2116" w:type="dxa"/>
            <w:vAlign w:val="center"/>
          </w:tcPr>
          <w:p w14:paraId="18207F5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Chile</w:t>
            </w:r>
          </w:p>
        </w:tc>
        <w:tc>
          <w:tcPr>
            <w:tcW w:w="2843" w:type="dxa"/>
            <w:vAlign w:val="center"/>
          </w:tcPr>
          <w:p w14:paraId="31C1933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103.7 (95.0 ; 112.5)</w:t>
            </w:r>
          </w:p>
        </w:tc>
        <w:tc>
          <w:tcPr>
            <w:tcW w:w="2885" w:type="dxa"/>
            <w:vAlign w:val="center"/>
          </w:tcPr>
          <w:p w14:paraId="6A391BF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56.7 (49.3 ; 64.2)</w:t>
            </w:r>
          </w:p>
        </w:tc>
        <w:tc>
          <w:tcPr>
            <w:tcW w:w="1649" w:type="dxa"/>
            <w:vAlign w:val="center"/>
          </w:tcPr>
          <w:p w14:paraId="2BF39A8B"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-41.40%</w:t>
            </w:r>
          </w:p>
        </w:tc>
        <w:tc>
          <w:tcPr>
            <w:tcW w:w="2126" w:type="dxa"/>
            <w:vAlign w:val="center"/>
          </w:tcPr>
          <w:p w14:paraId="3B7C93F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-0.45</w:t>
            </w:r>
          </w:p>
        </w:tc>
        <w:tc>
          <w:tcPr>
            <w:tcW w:w="1377" w:type="dxa"/>
            <w:vAlign w:val="center"/>
          </w:tcPr>
          <w:p w14:paraId="35458A4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55AAFF06" w14:textId="77777777" w:rsidTr="00D523FA">
        <w:tc>
          <w:tcPr>
            <w:tcW w:w="12996" w:type="dxa"/>
            <w:gridSpan w:val="6"/>
            <w:vAlign w:val="center"/>
          </w:tcPr>
          <w:p w14:paraId="6B91DBD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 xml:space="preserve">Vigorous </w:t>
            </w:r>
            <w:proofErr w:type="spellStart"/>
            <w:r w:rsidRPr="00D523FA">
              <w:rPr>
                <w:rFonts w:eastAsia="Times New Roman"/>
                <w:noProof w:val="0"/>
                <w:snapToGrid w:val="0"/>
                <w:szCs w:val="22"/>
                <w:lang w:eastAsia="de-DE" w:bidi="en-US"/>
              </w:rPr>
              <w:t>PA</w:t>
            </w:r>
            <w:r w:rsidRPr="004B7EF4">
              <w:rPr>
                <w:rFonts w:eastAsia="Times New Roman"/>
                <w:noProof w:val="0"/>
                <w:snapToGrid w:val="0"/>
                <w:szCs w:val="22"/>
                <w:vertAlign w:val="superscript"/>
                <w:lang w:eastAsia="de-DE" w:bidi="en-US"/>
              </w:rPr>
              <w:t>b</w:t>
            </w:r>
            <w:proofErr w:type="spellEnd"/>
            <w:r w:rsidRPr="00D523FA">
              <w:rPr>
                <w:rFonts w:eastAsia="Times New Roman"/>
                <w:noProof w:val="0"/>
                <w:snapToGrid w:val="0"/>
                <w:szCs w:val="22"/>
                <w:lang w:eastAsia="de-DE" w:bidi="en-US"/>
              </w:rPr>
              <w:t xml:space="preserve"> (min/day)</w:t>
            </w:r>
          </w:p>
        </w:tc>
      </w:tr>
      <w:tr w:rsidR="00D523FA" w:rsidRPr="00D523FA" w14:paraId="6988B8AF" w14:textId="77777777" w:rsidTr="00D523FA">
        <w:tc>
          <w:tcPr>
            <w:tcW w:w="2116" w:type="dxa"/>
            <w:vAlign w:val="center"/>
          </w:tcPr>
          <w:p w14:paraId="1C066D3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Total</w:t>
            </w:r>
          </w:p>
        </w:tc>
        <w:tc>
          <w:tcPr>
            <w:tcW w:w="2843" w:type="dxa"/>
            <w:vAlign w:val="center"/>
          </w:tcPr>
          <w:p w14:paraId="3D9876E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44.1 (39.4 ; 48.7)</w:t>
            </w:r>
          </w:p>
        </w:tc>
        <w:tc>
          <w:tcPr>
            <w:tcW w:w="2885" w:type="dxa"/>
            <w:vAlign w:val="center"/>
          </w:tcPr>
          <w:p w14:paraId="1D163DE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22.1 (18.9 ; 25.2)</w:t>
            </w:r>
          </w:p>
        </w:tc>
        <w:tc>
          <w:tcPr>
            <w:tcW w:w="1649" w:type="dxa"/>
            <w:vAlign w:val="center"/>
          </w:tcPr>
          <w:p w14:paraId="7952AE4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-49.50%</w:t>
            </w:r>
          </w:p>
        </w:tc>
        <w:tc>
          <w:tcPr>
            <w:tcW w:w="2126" w:type="dxa"/>
            <w:vAlign w:val="center"/>
          </w:tcPr>
          <w:p w14:paraId="73F492F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-0.33</w:t>
            </w:r>
          </w:p>
        </w:tc>
        <w:tc>
          <w:tcPr>
            <w:tcW w:w="1377" w:type="dxa"/>
            <w:vAlign w:val="center"/>
          </w:tcPr>
          <w:p w14:paraId="08B6D7F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6BD24DF5" w14:textId="77777777" w:rsidTr="00D523FA">
        <w:tc>
          <w:tcPr>
            <w:tcW w:w="2116" w:type="dxa"/>
            <w:vAlign w:val="center"/>
          </w:tcPr>
          <w:p w14:paraId="3D21FF1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Argentina</w:t>
            </w:r>
          </w:p>
        </w:tc>
        <w:tc>
          <w:tcPr>
            <w:tcW w:w="2843" w:type="dxa"/>
            <w:vAlign w:val="center"/>
          </w:tcPr>
          <w:p w14:paraId="5C45112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36.6 (31.0 ; 42.2)</w:t>
            </w:r>
          </w:p>
        </w:tc>
        <w:tc>
          <w:tcPr>
            <w:tcW w:w="2885" w:type="dxa"/>
            <w:vAlign w:val="center"/>
          </w:tcPr>
          <w:p w14:paraId="60B06E5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16.2 (13.1 ; 19.3)</w:t>
            </w:r>
          </w:p>
        </w:tc>
        <w:tc>
          <w:tcPr>
            <w:tcW w:w="1649" w:type="dxa"/>
            <w:vAlign w:val="center"/>
          </w:tcPr>
          <w:p w14:paraId="6B8609F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-54.50%</w:t>
            </w:r>
          </w:p>
        </w:tc>
        <w:tc>
          <w:tcPr>
            <w:tcW w:w="2126" w:type="dxa"/>
            <w:vAlign w:val="center"/>
          </w:tcPr>
          <w:p w14:paraId="103A684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-0.35</w:t>
            </w:r>
          </w:p>
        </w:tc>
        <w:tc>
          <w:tcPr>
            <w:tcW w:w="1377" w:type="dxa"/>
            <w:vAlign w:val="center"/>
          </w:tcPr>
          <w:p w14:paraId="2BBF7AA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575DC264" w14:textId="77777777" w:rsidTr="00D523FA">
        <w:tc>
          <w:tcPr>
            <w:tcW w:w="2116" w:type="dxa"/>
            <w:vAlign w:val="center"/>
          </w:tcPr>
          <w:p w14:paraId="7E05ADA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Chile</w:t>
            </w:r>
          </w:p>
        </w:tc>
        <w:tc>
          <w:tcPr>
            <w:tcW w:w="2843" w:type="dxa"/>
            <w:vAlign w:val="center"/>
          </w:tcPr>
          <w:p w14:paraId="3AE3F76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49.9 (43.0 ; 56.9)</w:t>
            </w:r>
          </w:p>
        </w:tc>
        <w:tc>
          <w:tcPr>
            <w:tcW w:w="2885" w:type="dxa"/>
            <w:vAlign w:val="center"/>
          </w:tcPr>
          <w:p w14:paraId="5696D72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26.7 (21.6 ; 31.8)</w:t>
            </w:r>
          </w:p>
        </w:tc>
        <w:tc>
          <w:tcPr>
            <w:tcW w:w="1649" w:type="dxa"/>
            <w:vAlign w:val="center"/>
          </w:tcPr>
          <w:p w14:paraId="73C8B780"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-45.60%</w:t>
            </w:r>
          </w:p>
        </w:tc>
        <w:tc>
          <w:tcPr>
            <w:tcW w:w="2126" w:type="dxa"/>
            <w:vAlign w:val="center"/>
          </w:tcPr>
          <w:p w14:paraId="76349C8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-0.32</w:t>
            </w:r>
          </w:p>
        </w:tc>
        <w:tc>
          <w:tcPr>
            <w:tcW w:w="1377" w:type="dxa"/>
            <w:vAlign w:val="center"/>
          </w:tcPr>
          <w:p w14:paraId="5B6546E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2518EFCE" w14:textId="77777777" w:rsidTr="00D523FA">
        <w:tc>
          <w:tcPr>
            <w:tcW w:w="12996" w:type="dxa"/>
            <w:gridSpan w:val="6"/>
            <w:vAlign w:val="center"/>
          </w:tcPr>
          <w:p w14:paraId="42F7523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Sitting Time (min/day)</w:t>
            </w:r>
          </w:p>
        </w:tc>
      </w:tr>
      <w:tr w:rsidR="00D523FA" w:rsidRPr="00D523FA" w14:paraId="5CF7B402" w14:textId="77777777" w:rsidTr="00D523FA">
        <w:tc>
          <w:tcPr>
            <w:tcW w:w="2116" w:type="dxa"/>
            <w:vAlign w:val="center"/>
          </w:tcPr>
          <w:p w14:paraId="48B468A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Total</w:t>
            </w:r>
          </w:p>
        </w:tc>
        <w:tc>
          <w:tcPr>
            <w:tcW w:w="2843" w:type="dxa"/>
            <w:vAlign w:val="center"/>
          </w:tcPr>
          <w:p w14:paraId="4C20D9E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341.8 (332.7 ; 350.9)</w:t>
            </w:r>
          </w:p>
        </w:tc>
        <w:tc>
          <w:tcPr>
            <w:tcW w:w="2885" w:type="dxa"/>
            <w:vAlign w:val="center"/>
          </w:tcPr>
          <w:p w14:paraId="2354C5C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506.1 (494.4 ; 517.9)</w:t>
            </w:r>
          </w:p>
        </w:tc>
        <w:tc>
          <w:tcPr>
            <w:tcW w:w="1649" w:type="dxa"/>
            <w:vAlign w:val="center"/>
          </w:tcPr>
          <w:p w14:paraId="0633CF4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73.30%</w:t>
            </w:r>
          </w:p>
        </w:tc>
        <w:tc>
          <w:tcPr>
            <w:tcW w:w="2126" w:type="dxa"/>
            <w:vAlign w:val="center"/>
          </w:tcPr>
          <w:p w14:paraId="0CA4109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0.91</w:t>
            </w:r>
          </w:p>
        </w:tc>
        <w:tc>
          <w:tcPr>
            <w:tcW w:w="1377" w:type="dxa"/>
            <w:vAlign w:val="center"/>
          </w:tcPr>
          <w:p w14:paraId="0D1E42D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1C3BF0C8" w14:textId="77777777" w:rsidTr="00D523FA">
        <w:tc>
          <w:tcPr>
            <w:tcW w:w="2116" w:type="dxa"/>
            <w:vAlign w:val="center"/>
          </w:tcPr>
          <w:p w14:paraId="25C1928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Argentina</w:t>
            </w:r>
          </w:p>
        </w:tc>
        <w:tc>
          <w:tcPr>
            <w:tcW w:w="2843" w:type="dxa"/>
            <w:vAlign w:val="center"/>
          </w:tcPr>
          <w:p w14:paraId="0E1E60A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377.2 (363.0 ; 391.4)</w:t>
            </w:r>
          </w:p>
        </w:tc>
        <w:tc>
          <w:tcPr>
            <w:tcW w:w="2885" w:type="dxa"/>
            <w:vAlign w:val="center"/>
          </w:tcPr>
          <w:p w14:paraId="3E6E3E2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549.6 (533.0 ; 566.2)</w:t>
            </w:r>
          </w:p>
        </w:tc>
        <w:tc>
          <w:tcPr>
            <w:tcW w:w="1649" w:type="dxa"/>
            <w:vAlign w:val="center"/>
          </w:tcPr>
          <w:p w14:paraId="26526DE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71.20%</w:t>
            </w:r>
          </w:p>
        </w:tc>
        <w:tc>
          <w:tcPr>
            <w:tcW w:w="2126" w:type="dxa"/>
            <w:vAlign w:val="center"/>
          </w:tcPr>
          <w:p w14:paraId="434FF33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0.99</w:t>
            </w:r>
          </w:p>
        </w:tc>
        <w:tc>
          <w:tcPr>
            <w:tcW w:w="1377" w:type="dxa"/>
            <w:vAlign w:val="center"/>
          </w:tcPr>
          <w:p w14:paraId="6D316D5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413F383F" w14:textId="77777777" w:rsidTr="00D523FA">
        <w:tc>
          <w:tcPr>
            <w:tcW w:w="2116" w:type="dxa"/>
            <w:vAlign w:val="center"/>
          </w:tcPr>
          <w:p w14:paraId="4290E43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Chile</w:t>
            </w:r>
          </w:p>
        </w:tc>
        <w:tc>
          <w:tcPr>
            <w:tcW w:w="2843" w:type="dxa"/>
            <w:vAlign w:val="center"/>
          </w:tcPr>
          <w:p w14:paraId="4B90480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314.0 (302.5 ; 325.4)</w:t>
            </w:r>
          </w:p>
        </w:tc>
        <w:tc>
          <w:tcPr>
            <w:tcW w:w="2885" w:type="dxa"/>
            <w:vAlign w:val="center"/>
          </w:tcPr>
          <w:p w14:paraId="792929C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471.9 (455.9 ; 487.9)</w:t>
            </w:r>
          </w:p>
        </w:tc>
        <w:tc>
          <w:tcPr>
            <w:tcW w:w="1649" w:type="dxa"/>
            <w:vAlign w:val="center"/>
          </w:tcPr>
          <w:p w14:paraId="3B33EE2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74.90%</w:t>
            </w:r>
          </w:p>
        </w:tc>
        <w:tc>
          <w:tcPr>
            <w:tcW w:w="2126" w:type="dxa"/>
            <w:vAlign w:val="center"/>
          </w:tcPr>
          <w:p w14:paraId="5244904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0.85</w:t>
            </w:r>
          </w:p>
        </w:tc>
        <w:tc>
          <w:tcPr>
            <w:tcW w:w="1377" w:type="dxa"/>
            <w:vAlign w:val="center"/>
          </w:tcPr>
          <w:p w14:paraId="2B60F26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71E4D7F8" w14:textId="77777777" w:rsidTr="00D523FA">
        <w:tc>
          <w:tcPr>
            <w:tcW w:w="12996" w:type="dxa"/>
            <w:gridSpan w:val="6"/>
            <w:vAlign w:val="center"/>
          </w:tcPr>
          <w:p w14:paraId="315DADE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Screen Time (min/day)</w:t>
            </w:r>
          </w:p>
        </w:tc>
      </w:tr>
      <w:tr w:rsidR="00D523FA" w:rsidRPr="00D523FA" w14:paraId="59642875" w14:textId="77777777" w:rsidTr="00D523FA">
        <w:tc>
          <w:tcPr>
            <w:tcW w:w="2116" w:type="dxa"/>
            <w:vAlign w:val="center"/>
          </w:tcPr>
          <w:p w14:paraId="733E449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Total</w:t>
            </w:r>
          </w:p>
        </w:tc>
        <w:tc>
          <w:tcPr>
            <w:tcW w:w="2843" w:type="dxa"/>
            <w:vAlign w:val="center"/>
          </w:tcPr>
          <w:p w14:paraId="36DB679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258.0 (248.8 ; 267.2)</w:t>
            </w:r>
          </w:p>
        </w:tc>
        <w:tc>
          <w:tcPr>
            <w:tcW w:w="2885" w:type="dxa"/>
            <w:vAlign w:val="center"/>
          </w:tcPr>
          <w:p w14:paraId="1A22185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470.4 (457.8 ; 483.0)</w:t>
            </w:r>
          </w:p>
        </w:tc>
        <w:tc>
          <w:tcPr>
            <w:tcW w:w="1649" w:type="dxa"/>
            <w:vAlign w:val="center"/>
          </w:tcPr>
          <w:p w14:paraId="290CD7E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130.60%</w:t>
            </w:r>
          </w:p>
        </w:tc>
        <w:tc>
          <w:tcPr>
            <w:tcW w:w="2126" w:type="dxa"/>
            <w:vAlign w:val="center"/>
          </w:tcPr>
          <w:p w14:paraId="6CC3EDB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1.11</w:t>
            </w:r>
          </w:p>
        </w:tc>
        <w:tc>
          <w:tcPr>
            <w:tcW w:w="1377" w:type="dxa"/>
            <w:vAlign w:val="center"/>
          </w:tcPr>
          <w:p w14:paraId="3383912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10D6FE33" w14:textId="77777777" w:rsidTr="00D523FA">
        <w:tc>
          <w:tcPr>
            <w:tcW w:w="2116" w:type="dxa"/>
            <w:vAlign w:val="center"/>
          </w:tcPr>
          <w:p w14:paraId="7270FF8B"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Argentina</w:t>
            </w:r>
          </w:p>
        </w:tc>
        <w:tc>
          <w:tcPr>
            <w:tcW w:w="2843" w:type="dxa"/>
            <w:vAlign w:val="center"/>
          </w:tcPr>
          <w:p w14:paraId="74087F0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272.6 (258.1 ; 287.0)</w:t>
            </w:r>
          </w:p>
        </w:tc>
        <w:tc>
          <w:tcPr>
            <w:tcW w:w="2885" w:type="dxa"/>
            <w:vAlign w:val="center"/>
          </w:tcPr>
          <w:p w14:paraId="04FE931B"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489.2 (470.9 ; 507.4)</w:t>
            </w:r>
          </w:p>
        </w:tc>
        <w:tc>
          <w:tcPr>
            <w:tcW w:w="1649" w:type="dxa"/>
            <w:vAlign w:val="center"/>
          </w:tcPr>
          <w:p w14:paraId="355E18A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129.10%</w:t>
            </w:r>
          </w:p>
        </w:tc>
        <w:tc>
          <w:tcPr>
            <w:tcW w:w="2126" w:type="dxa"/>
            <w:vAlign w:val="center"/>
          </w:tcPr>
          <w:p w14:paraId="75E467BA"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1.17</w:t>
            </w:r>
          </w:p>
        </w:tc>
        <w:tc>
          <w:tcPr>
            <w:tcW w:w="1377" w:type="dxa"/>
            <w:vAlign w:val="center"/>
          </w:tcPr>
          <w:p w14:paraId="566C391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63C51979" w14:textId="77777777" w:rsidTr="00D523FA">
        <w:tc>
          <w:tcPr>
            <w:tcW w:w="2116" w:type="dxa"/>
            <w:vAlign w:val="center"/>
          </w:tcPr>
          <w:p w14:paraId="22E2B20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Chile</w:t>
            </w:r>
          </w:p>
        </w:tc>
        <w:tc>
          <w:tcPr>
            <w:tcW w:w="2843" w:type="dxa"/>
            <w:vAlign w:val="center"/>
          </w:tcPr>
          <w:p w14:paraId="6DD3DB8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246.5 (234.6 ; 258.4)</w:t>
            </w:r>
          </w:p>
        </w:tc>
        <w:tc>
          <w:tcPr>
            <w:tcW w:w="2885" w:type="dxa"/>
            <w:vAlign w:val="center"/>
          </w:tcPr>
          <w:p w14:paraId="7398C97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455.6 (438.3 ; 473.0)</w:t>
            </w:r>
          </w:p>
        </w:tc>
        <w:tc>
          <w:tcPr>
            <w:tcW w:w="1649" w:type="dxa"/>
            <w:vAlign w:val="center"/>
          </w:tcPr>
          <w:p w14:paraId="4775BFC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131.70%</w:t>
            </w:r>
          </w:p>
        </w:tc>
        <w:tc>
          <w:tcPr>
            <w:tcW w:w="2126" w:type="dxa"/>
            <w:vAlign w:val="center"/>
          </w:tcPr>
          <w:p w14:paraId="0B4A541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1.07</w:t>
            </w:r>
          </w:p>
        </w:tc>
        <w:tc>
          <w:tcPr>
            <w:tcW w:w="1377" w:type="dxa"/>
            <w:vAlign w:val="center"/>
          </w:tcPr>
          <w:p w14:paraId="3D899FD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1AEDE935" w14:textId="77777777" w:rsidTr="00D523FA">
        <w:tc>
          <w:tcPr>
            <w:tcW w:w="2116" w:type="dxa"/>
            <w:vAlign w:val="center"/>
          </w:tcPr>
          <w:p w14:paraId="1B6F1D29" w14:textId="77777777" w:rsidR="00D523FA" w:rsidRPr="00D523FA" w:rsidRDefault="00D523FA" w:rsidP="00D523FA">
            <w:pPr>
              <w:rPr>
                <w:rFonts w:eastAsia="Times New Roman"/>
                <w:noProof w:val="0"/>
                <w:snapToGrid w:val="0"/>
                <w:szCs w:val="22"/>
                <w:lang w:eastAsia="de-DE" w:bidi="en-US"/>
              </w:rPr>
            </w:pPr>
          </w:p>
        </w:tc>
        <w:tc>
          <w:tcPr>
            <w:tcW w:w="5728" w:type="dxa"/>
            <w:gridSpan w:val="2"/>
            <w:vAlign w:val="center"/>
          </w:tcPr>
          <w:p w14:paraId="10BE7E72" w14:textId="55460FF9"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 xml:space="preserve">Before COVID-19 </w:t>
            </w:r>
            <w:r w:rsidR="004B7EF4">
              <w:rPr>
                <w:rFonts w:eastAsia="Times New Roman"/>
                <w:b/>
                <w:bCs/>
                <w:noProof w:val="0"/>
                <w:snapToGrid w:val="0"/>
                <w:szCs w:val="22"/>
                <w:lang w:eastAsia="de-DE" w:bidi="en-US"/>
              </w:rPr>
              <w:t>lockdown</w:t>
            </w:r>
          </w:p>
        </w:tc>
        <w:tc>
          <w:tcPr>
            <w:tcW w:w="3775" w:type="dxa"/>
            <w:gridSpan w:val="2"/>
            <w:vAlign w:val="center"/>
          </w:tcPr>
          <w:p w14:paraId="77059901" w14:textId="3D96C925"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 xml:space="preserve">During COVID-19 </w:t>
            </w:r>
            <w:r w:rsidR="004B7EF4">
              <w:rPr>
                <w:rFonts w:eastAsia="Times New Roman"/>
                <w:b/>
                <w:bCs/>
                <w:noProof w:val="0"/>
                <w:snapToGrid w:val="0"/>
                <w:szCs w:val="22"/>
                <w:lang w:eastAsia="de-DE" w:bidi="en-US"/>
              </w:rPr>
              <w:t>lockdown</w:t>
            </w:r>
          </w:p>
        </w:tc>
        <w:tc>
          <w:tcPr>
            <w:tcW w:w="1377" w:type="dxa"/>
            <w:vAlign w:val="center"/>
          </w:tcPr>
          <w:p w14:paraId="2CCBA10B" w14:textId="77777777" w:rsidR="00D523FA" w:rsidRPr="00D523FA" w:rsidRDefault="00D523FA" w:rsidP="00D523FA">
            <w:pPr>
              <w:rPr>
                <w:rFonts w:eastAsia="Times New Roman"/>
                <w:noProof w:val="0"/>
                <w:snapToGrid w:val="0"/>
                <w:szCs w:val="22"/>
                <w:lang w:eastAsia="de-DE" w:bidi="en-US"/>
              </w:rPr>
            </w:pPr>
          </w:p>
        </w:tc>
      </w:tr>
      <w:tr w:rsidR="00D523FA" w:rsidRPr="00D523FA" w14:paraId="5F70FB1B" w14:textId="77777777" w:rsidTr="00D523FA">
        <w:tc>
          <w:tcPr>
            <w:tcW w:w="2116" w:type="dxa"/>
            <w:vAlign w:val="center"/>
          </w:tcPr>
          <w:p w14:paraId="3418514C" w14:textId="77777777" w:rsidR="00D523FA" w:rsidRPr="00D523FA" w:rsidRDefault="00D523FA" w:rsidP="00D523FA">
            <w:pPr>
              <w:rPr>
                <w:rFonts w:eastAsia="Times New Roman"/>
                <w:noProof w:val="0"/>
                <w:snapToGrid w:val="0"/>
                <w:szCs w:val="22"/>
                <w:lang w:eastAsia="de-DE" w:bidi="en-US"/>
              </w:rPr>
            </w:pPr>
          </w:p>
        </w:tc>
        <w:tc>
          <w:tcPr>
            <w:tcW w:w="2843" w:type="dxa"/>
            <w:vAlign w:val="center"/>
          </w:tcPr>
          <w:p w14:paraId="23F3AF8C"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n (%)</w:t>
            </w:r>
          </w:p>
        </w:tc>
        <w:tc>
          <w:tcPr>
            <w:tcW w:w="2885" w:type="dxa"/>
            <w:vAlign w:val="center"/>
          </w:tcPr>
          <w:p w14:paraId="56A246A7"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95% CI</w:t>
            </w:r>
          </w:p>
        </w:tc>
        <w:tc>
          <w:tcPr>
            <w:tcW w:w="1649" w:type="dxa"/>
            <w:vAlign w:val="center"/>
          </w:tcPr>
          <w:p w14:paraId="2A7D68BC" w14:textId="77777777" w:rsidR="00D523FA" w:rsidRPr="00D523FA" w:rsidRDefault="00D523FA" w:rsidP="00D523FA">
            <w:pPr>
              <w:jc w:val="center"/>
              <w:rPr>
                <w:rFonts w:eastAsia="Times New Roman"/>
                <w:b/>
                <w:bCs/>
                <w:noProof w:val="0"/>
                <w:snapToGrid w:val="0"/>
                <w:szCs w:val="22"/>
                <w:lang w:eastAsia="de-DE" w:bidi="en-US"/>
              </w:rPr>
            </w:pPr>
            <w:r w:rsidRPr="00D523FA">
              <w:rPr>
                <w:rFonts w:eastAsia="Times New Roman"/>
                <w:b/>
                <w:bCs/>
                <w:noProof w:val="0"/>
                <w:snapToGrid w:val="0"/>
                <w:szCs w:val="22"/>
                <w:lang w:eastAsia="de-DE" w:bidi="en-US"/>
              </w:rPr>
              <w:t>n (%)</w:t>
            </w:r>
          </w:p>
        </w:tc>
        <w:tc>
          <w:tcPr>
            <w:tcW w:w="2126" w:type="dxa"/>
            <w:vAlign w:val="center"/>
          </w:tcPr>
          <w:p w14:paraId="2827B5A3" w14:textId="50690100" w:rsidR="00D523FA" w:rsidRPr="004B7EF4" w:rsidRDefault="00D523FA" w:rsidP="00D523FA">
            <w:pPr>
              <w:jc w:val="center"/>
              <w:rPr>
                <w:rFonts w:eastAsia="Times New Roman"/>
                <w:b/>
                <w:bCs/>
                <w:noProof w:val="0"/>
                <w:snapToGrid w:val="0"/>
                <w:szCs w:val="22"/>
                <w:vertAlign w:val="superscript"/>
                <w:lang w:eastAsia="de-DE" w:bidi="en-US"/>
              </w:rPr>
            </w:pPr>
            <w:r w:rsidRPr="00D523FA">
              <w:rPr>
                <w:rFonts w:eastAsia="Times New Roman"/>
                <w:b/>
                <w:bCs/>
                <w:noProof w:val="0"/>
                <w:snapToGrid w:val="0"/>
                <w:szCs w:val="22"/>
                <w:lang w:eastAsia="de-DE" w:bidi="en-US"/>
              </w:rPr>
              <w:t xml:space="preserve">95% </w:t>
            </w:r>
            <w:proofErr w:type="spellStart"/>
            <w:r w:rsidRPr="00D523FA">
              <w:rPr>
                <w:rFonts w:eastAsia="Times New Roman"/>
                <w:b/>
                <w:bCs/>
                <w:noProof w:val="0"/>
                <w:snapToGrid w:val="0"/>
                <w:szCs w:val="22"/>
                <w:lang w:eastAsia="de-DE" w:bidi="en-US"/>
              </w:rPr>
              <w:t>CI</w:t>
            </w:r>
            <w:r w:rsidR="004B7EF4">
              <w:rPr>
                <w:rFonts w:eastAsia="Times New Roman"/>
                <w:b/>
                <w:bCs/>
                <w:noProof w:val="0"/>
                <w:snapToGrid w:val="0"/>
                <w:szCs w:val="22"/>
                <w:vertAlign w:val="superscript"/>
                <w:lang w:eastAsia="de-DE" w:bidi="en-US"/>
              </w:rPr>
              <w:t>a</w:t>
            </w:r>
            <w:proofErr w:type="spellEnd"/>
          </w:p>
        </w:tc>
        <w:tc>
          <w:tcPr>
            <w:tcW w:w="1377" w:type="dxa"/>
            <w:vAlign w:val="center"/>
          </w:tcPr>
          <w:p w14:paraId="166FF0AE" w14:textId="77777777" w:rsidR="00D523FA" w:rsidRPr="00D523FA" w:rsidRDefault="00D523FA" w:rsidP="00D523FA">
            <w:pPr>
              <w:rPr>
                <w:rFonts w:eastAsia="Times New Roman"/>
                <w:noProof w:val="0"/>
                <w:snapToGrid w:val="0"/>
                <w:szCs w:val="22"/>
                <w:lang w:eastAsia="de-DE" w:bidi="en-US"/>
              </w:rPr>
            </w:pPr>
          </w:p>
        </w:tc>
      </w:tr>
      <w:tr w:rsidR="00D523FA" w:rsidRPr="00D523FA" w14:paraId="1330949D" w14:textId="77777777" w:rsidTr="00D523FA">
        <w:tc>
          <w:tcPr>
            <w:tcW w:w="12996" w:type="dxa"/>
            <w:gridSpan w:val="6"/>
            <w:vAlign w:val="center"/>
          </w:tcPr>
          <w:p w14:paraId="0C5E27FC" w14:textId="77777777" w:rsidR="00D523FA" w:rsidRPr="004B7EF4" w:rsidRDefault="00D523FA" w:rsidP="00D523FA">
            <w:pPr>
              <w:rPr>
                <w:rFonts w:eastAsia="Times New Roman"/>
                <w:noProof w:val="0"/>
                <w:snapToGrid w:val="0"/>
                <w:szCs w:val="22"/>
                <w:lang w:eastAsia="de-DE" w:bidi="en-US"/>
              </w:rPr>
            </w:pPr>
            <w:proofErr w:type="spellStart"/>
            <w:r w:rsidRPr="004B7EF4">
              <w:rPr>
                <w:rFonts w:eastAsia="Times New Roman"/>
                <w:noProof w:val="0"/>
                <w:snapToGrid w:val="0"/>
                <w:szCs w:val="22"/>
                <w:lang w:eastAsia="de-DE" w:bidi="en-US"/>
              </w:rPr>
              <w:t>PA</w:t>
            </w:r>
            <w:r w:rsidRPr="004B7EF4">
              <w:rPr>
                <w:rFonts w:eastAsia="Times New Roman"/>
                <w:noProof w:val="0"/>
                <w:snapToGrid w:val="0"/>
                <w:szCs w:val="22"/>
                <w:vertAlign w:val="superscript"/>
                <w:lang w:eastAsia="de-DE" w:bidi="en-US"/>
              </w:rPr>
              <w:t>b</w:t>
            </w:r>
            <w:proofErr w:type="spellEnd"/>
            <w:r w:rsidRPr="004B7EF4">
              <w:rPr>
                <w:rFonts w:eastAsia="Times New Roman"/>
                <w:noProof w:val="0"/>
                <w:snapToGrid w:val="0"/>
                <w:szCs w:val="22"/>
                <w:lang w:eastAsia="de-DE" w:bidi="en-US"/>
              </w:rPr>
              <w:t xml:space="preserve"> ≥ 150 min/week</w:t>
            </w:r>
          </w:p>
        </w:tc>
      </w:tr>
      <w:tr w:rsidR="00D523FA" w:rsidRPr="00D523FA" w14:paraId="6BF768A9" w14:textId="77777777" w:rsidTr="00D523FA">
        <w:tc>
          <w:tcPr>
            <w:tcW w:w="2116" w:type="dxa"/>
            <w:vAlign w:val="center"/>
          </w:tcPr>
          <w:p w14:paraId="49C20900"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Total</w:t>
            </w:r>
          </w:p>
        </w:tc>
        <w:tc>
          <w:tcPr>
            <w:tcW w:w="2843" w:type="dxa"/>
            <w:vAlign w:val="center"/>
          </w:tcPr>
          <w:p w14:paraId="33E0272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1029 (78.9%)</w:t>
            </w:r>
          </w:p>
        </w:tc>
        <w:tc>
          <w:tcPr>
            <w:tcW w:w="2885" w:type="dxa"/>
            <w:vAlign w:val="center"/>
          </w:tcPr>
          <w:p w14:paraId="394B016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76.6% - 81.1%</w:t>
            </w:r>
          </w:p>
        </w:tc>
        <w:tc>
          <w:tcPr>
            <w:tcW w:w="1649" w:type="dxa"/>
            <w:vAlign w:val="center"/>
          </w:tcPr>
          <w:p w14:paraId="0D82688D"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743 (56.9%)</w:t>
            </w:r>
          </w:p>
        </w:tc>
        <w:tc>
          <w:tcPr>
            <w:tcW w:w="2126" w:type="dxa"/>
            <w:vAlign w:val="center"/>
          </w:tcPr>
          <w:p w14:paraId="5EF1944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54.2% - 59.6%</w:t>
            </w:r>
          </w:p>
        </w:tc>
        <w:tc>
          <w:tcPr>
            <w:tcW w:w="1377" w:type="dxa"/>
            <w:vAlign w:val="center"/>
          </w:tcPr>
          <w:p w14:paraId="74D35F2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2F64ADE5" w14:textId="77777777" w:rsidTr="00D523FA">
        <w:tc>
          <w:tcPr>
            <w:tcW w:w="2116" w:type="dxa"/>
            <w:vAlign w:val="center"/>
          </w:tcPr>
          <w:p w14:paraId="0D770C7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Argentina</w:t>
            </w:r>
          </w:p>
        </w:tc>
        <w:tc>
          <w:tcPr>
            <w:tcW w:w="2843" w:type="dxa"/>
            <w:vAlign w:val="center"/>
          </w:tcPr>
          <w:p w14:paraId="2B25E87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473 (82.3%)</w:t>
            </w:r>
          </w:p>
        </w:tc>
        <w:tc>
          <w:tcPr>
            <w:tcW w:w="2885" w:type="dxa"/>
            <w:vAlign w:val="center"/>
          </w:tcPr>
          <w:p w14:paraId="68537EF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79.1% - 85.4%</w:t>
            </w:r>
          </w:p>
        </w:tc>
        <w:tc>
          <w:tcPr>
            <w:tcW w:w="1649" w:type="dxa"/>
            <w:vAlign w:val="center"/>
          </w:tcPr>
          <w:p w14:paraId="663A6E8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367 (63.8%)</w:t>
            </w:r>
          </w:p>
        </w:tc>
        <w:tc>
          <w:tcPr>
            <w:tcW w:w="2126" w:type="dxa"/>
            <w:vAlign w:val="center"/>
          </w:tcPr>
          <w:p w14:paraId="6AAEC54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59.9% - 67.8%</w:t>
            </w:r>
          </w:p>
        </w:tc>
        <w:tc>
          <w:tcPr>
            <w:tcW w:w="1377" w:type="dxa"/>
            <w:vAlign w:val="center"/>
          </w:tcPr>
          <w:p w14:paraId="4DD2E9EB"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06A1CF60" w14:textId="77777777" w:rsidTr="00D523FA">
        <w:tc>
          <w:tcPr>
            <w:tcW w:w="2116" w:type="dxa"/>
            <w:vAlign w:val="center"/>
          </w:tcPr>
          <w:p w14:paraId="446FF5A5"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Chile</w:t>
            </w:r>
          </w:p>
        </w:tc>
        <w:tc>
          <w:tcPr>
            <w:tcW w:w="2843" w:type="dxa"/>
            <w:vAlign w:val="center"/>
          </w:tcPr>
          <w:p w14:paraId="162F9169"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556 (76.2%)</w:t>
            </w:r>
          </w:p>
        </w:tc>
        <w:tc>
          <w:tcPr>
            <w:tcW w:w="2885" w:type="dxa"/>
            <w:vAlign w:val="center"/>
          </w:tcPr>
          <w:p w14:paraId="39EA342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72.9% - 79.2%</w:t>
            </w:r>
          </w:p>
        </w:tc>
        <w:tc>
          <w:tcPr>
            <w:tcW w:w="1649" w:type="dxa"/>
            <w:vAlign w:val="center"/>
          </w:tcPr>
          <w:p w14:paraId="68DF68D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376 (51.5%)</w:t>
            </w:r>
          </w:p>
        </w:tc>
        <w:tc>
          <w:tcPr>
            <w:tcW w:w="2126" w:type="dxa"/>
            <w:vAlign w:val="center"/>
          </w:tcPr>
          <w:p w14:paraId="5DC54A61"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47.8% - 55.2%</w:t>
            </w:r>
          </w:p>
        </w:tc>
        <w:tc>
          <w:tcPr>
            <w:tcW w:w="1377" w:type="dxa"/>
            <w:vAlign w:val="center"/>
          </w:tcPr>
          <w:p w14:paraId="74C3625F"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15029425" w14:textId="77777777" w:rsidTr="00D523FA">
        <w:tc>
          <w:tcPr>
            <w:tcW w:w="12996" w:type="dxa"/>
            <w:gridSpan w:val="6"/>
            <w:vAlign w:val="center"/>
          </w:tcPr>
          <w:p w14:paraId="089D48E8" w14:textId="77777777" w:rsidR="00D523FA" w:rsidRPr="004B7EF4" w:rsidRDefault="00D523FA" w:rsidP="00D523FA">
            <w:pPr>
              <w:rPr>
                <w:rFonts w:eastAsia="Times New Roman"/>
                <w:noProof w:val="0"/>
                <w:snapToGrid w:val="0"/>
                <w:szCs w:val="22"/>
                <w:lang w:eastAsia="de-DE" w:bidi="en-US"/>
              </w:rPr>
            </w:pPr>
            <w:proofErr w:type="spellStart"/>
            <w:r w:rsidRPr="004B7EF4">
              <w:rPr>
                <w:rFonts w:eastAsia="Times New Roman"/>
                <w:noProof w:val="0"/>
                <w:snapToGrid w:val="0"/>
                <w:szCs w:val="22"/>
                <w:lang w:eastAsia="de-DE" w:bidi="en-US"/>
              </w:rPr>
              <w:t>ST</w:t>
            </w:r>
            <w:r w:rsidRPr="004B7EF4">
              <w:rPr>
                <w:rFonts w:eastAsia="Times New Roman"/>
                <w:noProof w:val="0"/>
                <w:snapToGrid w:val="0"/>
                <w:szCs w:val="22"/>
                <w:vertAlign w:val="superscript"/>
                <w:lang w:eastAsia="de-DE" w:bidi="en-US"/>
              </w:rPr>
              <w:t>c</w:t>
            </w:r>
            <w:proofErr w:type="spellEnd"/>
            <w:r w:rsidRPr="004B7EF4">
              <w:rPr>
                <w:rFonts w:eastAsia="Times New Roman"/>
                <w:noProof w:val="0"/>
                <w:snapToGrid w:val="0"/>
                <w:szCs w:val="22"/>
                <w:vertAlign w:val="superscript"/>
                <w:lang w:eastAsia="de-DE" w:bidi="en-US"/>
              </w:rPr>
              <w:t xml:space="preserve"> </w:t>
            </w:r>
            <w:r w:rsidRPr="004B7EF4">
              <w:rPr>
                <w:rFonts w:eastAsia="Times New Roman"/>
                <w:noProof w:val="0"/>
                <w:snapToGrid w:val="0"/>
                <w:szCs w:val="22"/>
                <w:lang w:eastAsia="de-DE" w:bidi="en-US"/>
              </w:rPr>
              <w:t>&lt; 7 hours</w:t>
            </w:r>
          </w:p>
        </w:tc>
      </w:tr>
      <w:tr w:rsidR="00D523FA" w:rsidRPr="00D523FA" w14:paraId="6642C371" w14:textId="77777777" w:rsidTr="00D523FA">
        <w:tc>
          <w:tcPr>
            <w:tcW w:w="2116" w:type="dxa"/>
            <w:vAlign w:val="center"/>
          </w:tcPr>
          <w:p w14:paraId="1EFA1B32"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Total</w:t>
            </w:r>
          </w:p>
        </w:tc>
        <w:tc>
          <w:tcPr>
            <w:tcW w:w="2843" w:type="dxa"/>
            <w:vAlign w:val="center"/>
          </w:tcPr>
          <w:p w14:paraId="7BF2192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865 (66.3%)</w:t>
            </w:r>
          </w:p>
        </w:tc>
        <w:tc>
          <w:tcPr>
            <w:tcW w:w="2885" w:type="dxa"/>
            <w:vAlign w:val="center"/>
          </w:tcPr>
          <w:p w14:paraId="11BB5AF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63.7% - 68.8%</w:t>
            </w:r>
          </w:p>
        </w:tc>
        <w:tc>
          <w:tcPr>
            <w:tcW w:w="1649" w:type="dxa"/>
            <w:vAlign w:val="center"/>
          </w:tcPr>
          <w:p w14:paraId="5B9D63F6"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456 (34.9%)</w:t>
            </w:r>
          </w:p>
        </w:tc>
        <w:tc>
          <w:tcPr>
            <w:tcW w:w="2126" w:type="dxa"/>
            <w:vAlign w:val="center"/>
          </w:tcPr>
          <w:p w14:paraId="4010B0FB"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32.4% - 37.5%</w:t>
            </w:r>
          </w:p>
        </w:tc>
        <w:tc>
          <w:tcPr>
            <w:tcW w:w="1377" w:type="dxa"/>
            <w:vAlign w:val="center"/>
          </w:tcPr>
          <w:p w14:paraId="5B62542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00CAD15B" w14:textId="77777777" w:rsidTr="00D523FA">
        <w:tc>
          <w:tcPr>
            <w:tcW w:w="2116" w:type="dxa"/>
            <w:vAlign w:val="center"/>
          </w:tcPr>
          <w:p w14:paraId="2A50A22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Argentina</w:t>
            </w:r>
          </w:p>
        </w:tc>
        <w:tc>
          <w:tcPr>
            <w:tcW w:w="2843" w:type="dxa"/>
            <w:vAlign w:val="center"/>
          </w:tcPr>
          <w:p w14:paraId="7268FB9E"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353 (61.4%)</w:t>
            </w:r>
          </w:p>
        </w:tc>
        <w:tc>
          <w:tcPr>
            <w:tcW w:w="2885" w:type="dxa"/>
            <w:vAlign w:val="center"/>
          </w:tcPr>
          <w:p w14:paraId="4089D39C"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57.4% - 65.4%</w:t>
            </w:r>
          </w:p>
        </w:tc>
        <w:tc>
          <w:tcPr>
            <w:tcW w:w="1649" w:type="dxa"/>
            <w:vAlign w:val="center"/>
          </w:tcPr>
          <w:p w14:paraId="0287E13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142 (24.7%)</w:t>
            </w:r>
          </w:p>
        </w:tc>
        <w:tc>
          <w:tcPr>
            <w:tcW w:w="2126" w:type="dxa"/>
            <w:vAlign w:val="center"/>
          </w:tcPr>
          <w:p w14:paraId="31D7B0C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21.2% - 28.2%</w:t>
            </w:r>
          </w:p>
        </w:tc>
        <w:tc>
          <w:tcPr>
            <w:tcW w:w="1377" w:type="dxa"/>
            <w:vAlign w:val="center"/>
          </w:tcPr>
          <w:p w14:paraId="3AA5AC2B"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r w:rsidR="00D523FA" w:rsidRPr="00D523FA" w14:paraId="56979B22" w14:textId="77777777" w:rsidTr="00D523FA">
        <w:tc>
          <w:tcPr>
            <w:tcW w:w="2116" w:type="dxa"/>
            <w:vAlign w:val="center"/>
          </w:tcPr>
          <w:p w14:paraId="7FCE3A7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Chile</w:t>
            </w:r>
          </w:p>
        </w:tc>
        <w:tc>
          <w:tcPr>
            <w:tcW w:w="2843" w:type="dxa"/>
            <w:vAlign w:val="center"/>
          </w:tcPr>
          <w:p w14:paraId="25A5E01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512 (70.1%)</w:t>
            </w:r>
          </w:p>
        </w:tc>
        <w:tc>
          <w:tcPr>
            <w:tcW w:w="2885" w:type="dxa"/>
            <w:vAlign w:val="center"/>
          </w:tcPr>
          <w:p w14:paraId="6792B748"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66.7% - 73.4%</w:t>
            </w:r>
          </w:p>
        </w:tc>
        <w:tc>
          <w:tcPr>
            <w:tcW w:w="1649" w:type="dxa"/>
            <w:vAlign w:val="center"/>
          </w:tcPr>
          <w:p w14:paraId="028E38B3"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314 (43.0%)</w:t>
            </w:r>
          </w:p>
        </w:tc>
        <w:tc>
          <w:tcPr>
            <w:tcW w:w="2126" w:type="dxa"/>
            <w:vAlign w:val="center"/>
          </w:tcPr>
          <w:p w14:paraId="2521E1F4"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39.4% - 46.7%</w:t>
            </w:r>
          </w:p>
        </w:tc>
        <w:tc>
          <w:tcPr>
            <w:tcW w:w="1377" w:type="dxa"/>
            <w:vAlign w:val="center"/>
          </w:tcPr>
          <w:p w14:paraId="1FE60697" w14:textId="77777777" w:rsidR="00D523FA" w:rsidRPr="00D523FA" w:rsidRDefault="00D523FA" w:rsidP="00D523FA">
            <w:pPr>
              <w:rPr>
                <w:rFonts w:eastAsia="Times New Roman"/>
                <w:noProof w:val="0"/>
                <w:snapToGrid w:val="0"/>
                <w:szCs w:val="22"/>
                <w:lang w:eastAsia="de-DE" w:bidi="en-US"/>
              </w:rPr>
            </w:pPr>
            <w:r w:rsidRPr="00D523FA">
              <w:rPr>
                <w:rFonts w:eastAsia="Times New Roman"/>
                <w:noProof w:val="0"/>
                <w:snapToGrid w:val="0"/>
                <w:szCs w:val="22"/>
                <w:lang w:eastAsia="de-DE" w:bidi="en-US"/>
              </w:rPr>
              <w:t>&lt; 0.001</w:t>
            </w:r>
          </w:p>
        </w:tc>
      </w:tr>
    </w:tbl>
    <w:p w14:paraId="11273DBF" w14:textId="77777777" w:rsidR="00D523FA" w:rsidRPr="00D523FA" w:rsidRDefault="00D523FA" w:rsidP="00D523FA">
      <w:pPr>
        <w:rPr>
          <w:rFonts w:eastAsia="Times New Roman"/>
          <w:noProof w:val="0"/>
          <w:snapToGrid w:val="0"/>
          <w:szCs w:val="22"/>
          <w:lang w:eastAsia="de-DE" w:bidi="en-US"/>
        </w:rPr>
      </w:pPr>
      <w:r w:rsidRPr="004B7EF4">
        <w:rPr>
          <w:rFonts w:eastAsia="Times New Roman"/>
          <w:noProof w:val="0"/>
          <w:snapToGrid w:val="0"/>
          <w:szCs w:val="22"/>
          <w:vertAlign w:val="superscript"/>
          <w:lang w:eastAsia="de-DE" w:bidi="en-US"/>
        </w:rPr>
        <w:t>a</w:t>
      </w:r>
      <w:r w:rsidRPr="00D523FA">
        <w:rPr>
          <w:rFonts w:eastAsia="Times New Roman"/>
          <w:noProof w:val="0"/>
          <w:snapToGrid w:val="0"/>
          <w:szCs w:val="22"/>
          <w:lang w:eastAsia="de-DE" w:bidi="en-US"/>
        </w:rPr>
        <w:t xml:space="preserve"> Confidence interval</w:t>
      </w:r>
    </w:p>
    <w:p w14:paraId="29788C6C" w14:textId="77777777" w:rsidR="00D523FA" w:rsidRPr="00D523FA" w:rsidRDefault="00D523FA" w:rsidP="00D523FA">
      <w:pPr>
        <w:rPr>
          <w:rFonts w:eastAsia="Times New Roman"/>
          <w:noProof w:val="0"/>
          <w:snapToGrid w:val="0"/>
          <w:szCs w:val="22"/>
          <w:lang w:eastAsia="de-DE" w:bidi="en-US"/>
        </w:rPr>
      </w:pPr>
      <w:r w:rsidRPr="004B7EF4">
        <w:rPr>
          <w:rFonts w:eastAsia="Times New Roman"/>
          <w:noProof w:val="0"/>
          <w:snapToGrid w:val="0"/>
          <w:szCs w:val="22"/>
          <w:vertAlign w:val="superscript"/>
          <w:lang w:eastAsia="de-DE" w:bidi="en-US"/>
        </w:rPr>
        <w:t>b</w:t>
      </w:r>
      <w:r w:rsidRPr="00D523FA">
        <w:rPr>
          <w:rFonts w:eastAsia="Times New Roman"/>
          <w:noProof w:val="0"/>
          <w:snapToGrid w:val="0"/>
          <w:szCs w:val="22"/>
          <w:lang w:eastAsia="de-DE" w:bidi="en-US"/>
        </w:rPr>
        <w:t xml:space="preserve"> Physical activity</w:t>
      </w:r>
    </w:p>
    <w:p w14:paraId="10AFE261" w14:textId="6DA00231" w:rsidR="00D523FA" w:rsidRDefault="00D523FA" w:rsidP="00D523FA">
      <w:pPr>
        <w:rPr>
          <w:rFonts w:eastAsia="Times New Roman"/>
          <w:noProof w:val="0"/>
          <w:snapToGrid w:val="0"/>
          <w:szCs w:val="22"/>
          <w:lang w:eastAsia="de-DE" w:bidi="en-US"/>
        </w:rPr>
      </w:pPr>
      <w:r w:rsidRPr="004B7EF4">
        <w:rPr>
          <w:rFonts w:eastAsia="Times New Roman"/>
          <w:noProof w:val="0"/>
          <w:snapToGrid w:val="0"/>
          <w:szCs w:val="22"/>
          <w:vertAlign w:val="superscript"/>
          <w:lang w:eastAsia="de-DE" w:bidi="en-US"/>
        </w:rPr>
        <w:t>c</w:t>
      </w:r>
      <w:r w:rsidRPr="00D523FA">
        <w:rPr>
          <w:rFonts w:eastAsia="Times New Roman"/>
          <w:noProof w:val="0"/>
          <w:snapToGrid w:val="0"/>
          <w:szCs w:val="22"/>
          <w:lang w:eastAsia="de-DE" w:bidi="en-US"/>
        </w:rPr>
        <w:t xml:space="preserve"> Sitting time</w:t>
      </w:r>
    </w:p>
    <w:p w14:paraId="2E81166D" w14:textId="77777777" w:rsidR="004B7EF4" w:rsidRPr="00D523FA" w:rsidRDefault="004B7EF4" w:rsidP="00D523FA">
      <w:pPr>
        <w:rPr>
          <w:rFonts w:eastAsia="Times New Roman"/>
          <w:noProof w:val="0"/>
          <w:snapToGrid w:val="0"/>
          <w:szCs w:val="22"/>
          <w:lang w:eastAsia="de-DE" w:bidi="en-US"/>
        </w:rPr>
      </w:pPr>
    </w:p>
    <w:p w14:paraId="16CC2BB2" w14:textId="42A52936" w:rsidR="004B7EF4" w:rsidRPr="004B7EF4" w:rsidRDefault="004B7EF4" w:rsidP="004B7EF4">
      <w:pPr>
        <w:pStyle w:val="MDPI31text"/>
      </w:pPr>
      <w:r w:rsidRPr="004B7EF4">
        <w:t xml:space="preserve">Table </w:t>
      </w:r>
      <w:r w:rsidR="0025137D">
        <w:t>S</w:t>
      </w:r>
      <w:r w:rsidRPr="004B7EF4">
        <w:t>1, exhibits the differences (pre versus during) of the adjusted associations of VPA, MPA, ST and SE, with sociodemographic variables, in the total sample and by country. The analysis indicates that there were significant independent associations between ST and SE and age intervals (ST: β -0.13, 95% CI -</w:t>
      </w:r>
      <w:proofErr w:type="gramStart"/>
      <w:r w:rsidRPr="004B7EF4">
        <w:t>23.34 ;</w:t>
      </w:r>
      <w:proofErr w:type="gramEnd"/>
      <w:r w:rsidRPr="004B7EF4">
        <w:t xml:space="preserve"> -7.24, SE: β -0.16, 95% CI -28.88 ; -11.93), and women (ST: β 0.06, 95% CI 2.93 ; 51.77, SE: β 0.07, 95% CI 7.87 ; 59.46). Significant independent associations were found between VPA and female sex (β 0.06, 95% CI 0.56; 18.84), and marital status (β 0.08, 95% CI </w:t>
      </w:r>
      <w:proofErr w:type="gramStart"/>
      <w:r w:rsidRPr="004B7EF4">
        <w:t>1.26 ;</w:t>
      </w:r>
      <w:proofErr w:type="gramEnd"/>
      <w:r w:rsidRPr="004B7EF4">
        <w:t xml:space="preserve"> 12.69) with limited differences in the effect of sociodemographic variables between countries.</w:t>
      </w:r>
    </w:p>
    <w:p w14:paraId="31B502E3" w14:textId="77777777" w:rsidR="004B7EF4" w:rsidRPr="004B7EF4" w:rsidRDefault="004B7EF4" w:rsidP="004B7EF4">
      <w:pPr>
        <w:pStyle w:val="MDPI31text"/>
      </w:pPr>
    </w:p>
    <w:p w14:paraId="083C934A" w14:textId="6E2B0D4A" w:rsidR="004B7EF4" w:rsidRPr="004B7EF4" w:rsidRDefault="004B7EF4" w:rsidP="004B7EF4">
      <w:pPr>
        <w:pStyle w:val="MDPI31text"/>
      </w:pPr>
      <w:r w:rsidRPr="004B7EF4">
        <w:t>Figure 1 represents risk-quadrants according to PA recommendations and ST cut-point. 9.1% of the total sample were classified in the higher-risk quadrant and 54.3% in the lower-risk quadrant previous to COVID-19 pandemic. However, during lockdown, the number of cases tripled in the higher risk quadrant and halved in the lower risk quadrant. Regarding countries specific quadrants, Chile´s higher-risk and Argentina´s lower-risk scenario worsened from 8.9% to 31.5% and from 53.0% to 18.6%, respectively.</w:t>
      </w:r>
    </w:p>
    <w:p w14:paraId="428B2646" w14:textId="284F5534" w:rsidR="00E85BB4" w:rsidRDefault="00E85BB4" w:rsidP="00E85BB4">
      <w:pPr>
        <w:pStyle w:val="BodyText"/>
        <w:kinsoku w:val="0"/>
        <w:overflowPunct w:val="0"/>
        <w:spacing w:before="3"/>
        <w:jc w:val="center"/>
        <w:rPr>
          <w:sz w:val="25"/>
          <w:szCs w:val="25"/>
        </w:rPr>
      </w:pPr>
      <w:r>
        <w:rPr>
          <w:noProof/>
          <w:sz w:val="25"/>
          <w:szCs w:val="25"/>
          <w:lang w:val="en-GB" w:eastAsia="en-GB"/>
        </w:rPr>
        <w:drawing>
          <wp:inline distT="0" distB="0" distL="0" distR="0" wp14:anchorId="0D642B4B" wp14:editId="27A1C4CD">
            <wp:extent cx="3848100" cy="4495800"/>
            <wp:effectExtent l="0" t="0" r="0" b="0"/>
            <wp:docPr id="27" name="Imagen 27"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n 27" descr="Diagrama&#10;&#10;Descripción generada automáticamente"/>
                    <pic:cNvPicPr/>
                  </pic:nvPicPr>
                  <pic:blipFill>
                    <a:blip r:embed="rId28">
                      <a:extLst>
                        <a:ext uri="{28A0092B-C50C-407E-A947-70E740481C1C}">
                          <a14:useLocalDpi xmlns:a14="http://schemas.microsoft.com/office/drawing/2010/main" val="0"/>
                        </a:ext>
                      </a:extLst>
                    </a:blip>
                    <a:stretch>
                      <a:fillRect/>
                    </a:stretch>
                  </pic:blipFill>
                  <pic:spPr>
                    <a:xfrm>
                      <a:off x="0" y="0"/>
                      <a:ext cx="3848100" cy="4495800"/>
                    </a:xfrm>
                    <a:prstGeom prst="rect">
                      <a:avLst/>
                    </a:prstGeom>
                  </pic:spPr>
                </pic:pic>
              </a:graphicData>
            </a:graphic>
          </wp:inline>
        </w:drawing>
      </w:r>
    </w:p>
    <w:p w14:paraId="06848655" w14:textId="345580CD" w:rsidR="00E85BB4" w:rsidRPr="00E85BB4" w:rsidRDefault="00E85BB4" w:rsidP="00E85BB4">
      <w:pPr>
        <w:pStyle w:val="MDPI31text"/>
        <w:ind w:firstLine="0"/>
      </w:pPr>
      <w:r w:rsidRPr="00633E57">
        <w:rPr>
          <w:b/>
          <w:bCs/>
        </w:rPr>
        <w:t>Figure 1:</w:t>
      </w:r>
      <w:r w:rsidRPr="00E85BB4">
        <w:t xml:space="preserve"> Risk quadrants according to physical activity recommendations and sitting time.</w:t>
      </w:r>
    </w:p>
    <w:p w14:paraId="129A1A45" w14:textId="77777777" w:rsidR="00E85BB4" w:rsidRDefault="00E85BB4" w:rsidP="00E85BB4">
      <w:pPr>
        <w:rPr>
          <w:rFonts w:eastAsia="Calibri" w:cs="Calibri"/>
        </w:rPr>
      </w:pPr>
    </w:p>
    <w:p w14:paraId="6F72B7CC" w14:textId="3EAD03E2" w:rsidR="00E85BB4" w:rsidRDefault="00E85BB4" w:rsidP="00E85BB4">
      <w:pPr>
        <w:pStyle w:val="MDPI31text"/>
      </w:pPr>
      <w:r w:rsidRPr="00E85BB4">
        <w:t>Table 3 displays longitudinal changes according to risk quadrants. The lower-risk quadrant experienced poorer results increasing in more than 3 hours and decreasing in more than 1.5 hours both ST and MVPA, respectively. Moreover, Argentina experienced a higher overall increase in ST while Chile suffered the largest decline in MVPA.</w:t>
      </w:r>
    </w:p>
    <w:p w14:paraId="0E7ACB46" w14:textId="7C128678" w:rsidR="00633E57" w:rsidRDefault="00633E57" w:rsidP="00E85BB4">
      <w:pPr>
        <w:pStyle w:val="MDPI31text"/>
      </w:pPr>
    </w:p>
    <w:p w14:paraId="4CD587CD" w14:textId="7D185085" w:rsidR="00633E57" w:rsidRDefault="00633E57" w:rsidP="00E85BB4">
      <w:pPr>
        <w:pStyle w:val="MDPI31text"/>
      </w:pPr>
    </w:p>
    <w:p w14:paraId="28D60BC8" w14:textId="3D8B16A9" w:rsidR="00633E57" w:rsidRDefault="00633E57" w:rsidP="00E85BB4">
      <w:pPr>
        <w:pStyle w:val="MDPI31text"/>
      </w:pPr>
    </w:p>
    <w:p w14:paraId="1BF12A7D" w14:textId="4FF56A3C" w:rsidR="00633E57" w:rsidRPr="00633E57" w:rsidRDefault="00633E57" w:rsidP="00633E57">
      <w:pPr>
        <w:rPr>
          <w:rFonts w:eastAsia="Times New Roman"/>
          <w:noProof w:val="0"/>
          <w:snapToGrid w:val="0"/>
          <w:szCs w:val="22"/>
          <w:lang w:eastAsia="de-DE" w:bidi="en-US"/>
        </w:rPr>
      </w:pPr>
      <w:r w:rsidRPr="00633E57">
        <w:rPr>
          <w:rFonts w:eastAsia="Times New Roman"/>
          <w:b/>
          <w:bCs/>
          <w:noProof w:val="0"/>
          <w:snapToGrid w:val="0"/>
          <w:szCs w:val="22"/>
          <w:lang w:eastAsia="de-DE" w:bidi="en-US"/>
        </w:rPr>
        <w:lastRenderedPageBreak/>
        <w:t>Table 3.</w:t>
      </w:r>
      <w:r w:rsidRPr="00633E57">
        <w:rPr>
          <w:rFonts w:eastAsia="Times New Roman"/>
          <w:noProof w:val="0"/>
          <w:snapToGrid w:val="0"/>
          <w:szCs w:val="22"/>
          <w:lang w:eastAsia="de-DE" w:bidi="en-US"/>
        </w:rPr>
        <w:t xml:space="preserve"> Changes in sitting time and moderate to vigorous physical activity according to pre-lockdown risk quadrants</w:t>
      </w:r>
    </w:p>
    <w:tbl>
      <w:tblPr>
        <w:tblStyle w:val="TableGrid"/>
        <w:tblW w:w="10627" w:type="dxa"/>
        <w:tblLook w:val="04A0" w:firstRow="1" w:lastRow="0" w:firstColumn="1" w:lastColumn="0" w:noHBand="0" w:noVBand="1"/>
      </w:tblPr>
      <w:tblGrid>
        <w:gridCol w:w="1980"/>
        <w:gridCol w:w="2268"/>
        <w:gridCol w:w="1984"/>
        <w:gridCol w:w="2268"/>
        <w:gridCol w:w="2127"/>
      </w:tblGrid>
      <w:tr w:rsidR="00633E57" w:rsidRPr="00DA7058" w14:paraId="45C92A98" w14:textId="77777777" w:rsidTr="003404EE">
        <w:tc>
          <w:tcPr>
            <w:tcW w:w="1980" w:type="dxa"/>
          </w:tcPr>
          <w:p w14:paraId="7CAE60BC" w14:textId="77777777" w:rsidR="00633E57" w:rsidRPr="00DA7058" w:rsidRDefault="00633E57" w:rsidP="003404EE">
            <w:pPr>
              <w:jc w:val="center"/>
              <w:rPr>
                <w:rFonts w:eastAsia="Times New Roman"/>
                <w:b/>
                <w:bCs/>
                <w:snapToGrid w:val="0"/>
                <w:szCs w:val="22"/>
                <w:lang w:eastAsia="de-DE" w:bidi="en-US"/>
              </w:rPr>
            </w:pPr>
            <w:r w:rsidRPr="00DA7058">
              <w:rPr>
                <w:rFonts w:eastAsia="Times New Roman"/>
                <w:b/>
                <w:bCs/>
                <w:snapToGrid w:val="0"/>
                <w:szCs w:val="22"/>
                <w:lang w:eastAsia="de-DE" w:bidi="en-US"/>
              </w:rPr>
              <w:t>Pre-lockdown risk quadrant</w:t>
            </w:r>
          </w:p>
        </w:tc>
        <w:tc>
          <w:tcPr>
            <w:tcW w:w="4252" w:type="dxa"/>
            <w:gridSpan w:val="2"/>
          </w:tcPr>
          <w:p w14:paraId="48C2168A" w14:textId="77777777" w:rsidR="00633E57" w:rsidRPr="00DA7058" w:rsidRDefault="00633E57" w:rsidP="003404EE">
            <w:pPr>
              <w:jc w:val="center"/>
              <w:rPr>
                <w:rFonts w:eastAsia="Times New Roman"/>
                <w:b/>
                <w:bCs/>
                <w:snapToGrid w:val="0"/>
                <w:szCs w:val="22"/>
                <w:lang w:eastAsia="de-DE" w:bidi="en-US"/>
              </w:rPr>
            </w:pPr>
            <w:r w:rsidRPr="00DA7058">
              <w:rPr>
                <w:rFonts w:eastAsia="Times New Roman"/>
                <w:b/>
                <w:bCs/>
                <w:snapToGrid w:val="0"/>
                <w:szCs w:val="22"/>
                <w:lang w:eastAsia="de-DE" w:bidi="en-US"/>
              </w:rPr>
              <w:t>Δ Sitting Time (min/day)</w:t>
            </w:r>
          </w:p>
        </w:tc>
        <w:tc>
          <w:tcPr>
            <w:tcW w:w="4395" w:type="dxa"/>
            <w:gridSpan w:val="2"/>
          </w:tcPr>
          <w:p w14:paraId="58E78AEA" w14:textId="77777777" w:rsidR="00633E57" w:rsidRPr="00DA7058" w:rsidRDefault="00633E57" w:rsidP="003404EE">
            <w:pPr>
              <w:jc w:val="center"/>
              <w:rPr>
                <w:rFonts w:eastAsia="Times New Roman"/>
                <w:b/>
                <w:bCs/>
                <w:snapToGrid w:val="0"/>
                <w:szCs w:val="22"/>
                <w:lang w:eastAsia="de-DE" w:bidi="en-US"/>
              </w:rPr>
            </w:pPr>
            <w:r w:rsidRPr="00DA7058">
              <w:rPr>
                <w:rFonts w:eastAsia="Times New Roman"/>
                <w:b/>
                <w:bCs/>
                <w:snapToGrid w:val="0"/>
                <w:szCs w:val="22"/>
                <w:lang w:eastAsia="de-DE" w:bidi="en-US"/>
              </w:rPr>
              <w:t>Δ MVPA</w:t>
            </w:r>
            <w:r w:rsidRPr="00DA7058">
              <w:rPr>
                <w:rFonts w:eastAsia="Times New Roman"/>
                <w:b/>
                <w:bCs/>
                <w:snapToGrid w:val="0"/>
                <w:szCs w:val="22"/>
                <w:vertAlign w:val="superscript"/>
                <w:lang w:eastAsia="de-DE" w:bidi="en-US"/>
              </w:rPr>
              <w:t>a</w:t>
            </w:r>
            <w:r w:rsidRPr="00DA7058">
              <w:rPr>
                <w:rFonts w:eastAsia="Times New Roman"/>
                <w:b/>
                <w:bCs/>
                <w:snapToGrid w:val="0"/>
                <w:szCs w:val="22"/>
                <w:lang w:eastAsia="de-DE" w:bidi="en-US"/>
              </w:rPr>
              <w:t xml:space="preserve"> (min/day)</w:t>
            </w:r>
          </w:p>
        </w:tc>
      </w:tr>
      <w:tr w:rsidR="00633E57" w:rsidRPr="00DA7058" w14:paraId="4ED096C1" w14:textId="77777777" w:rsidTr="003404EE">
        <w:tc>
          <w:tcPr>
            <w:tcW w:w="1980" w:type="dxa"/>
          </w:tcPr>
          <w:p w14:paraId="5173DF29" w14:textId="77777777" w:rsidR="00633E57" w:rsidRPr="00DA7058" w:rsidRDefault="00633E57" w:rsidP="003404EE">
            <w:pPr>
              <w:rPr>
                <w:rFonts w:eastAsia="Times New Roman"/>
                <w:snapToGrid w:val="0"/>
                <w:szCs w:val="22"/>
                <w:lang w:eastAsia="de-DE" w:bidi="en-US"/>
              </w:rPr>
            </w:pPr>
          </w:p>
        </w:tc>
        <w:tc>
          <w:tcPr>
            <w:tcW w:w="2268" w:type="dxa"/>
            <w:vAlign w:val="center"/>
          </w:tcPr>
          <w:p w14:paraId="65450ED8" w14:textId="77777777" w:rsidR="00633E57" w:rsidRPr="00DA7058" w:rsidRDefault="00633E57" w:rsidP="003404EE">
            <w:pPr>
              <w:rPr>
                <w:rFonts w:eastAsia="Times New Roman"/>
                <w:b/>
                <w:bCs/>
                <w:snapToGrid w:val="0"/>
                <w:szCs w:val="22"/>
                <w:lang w:eastAsia="de-DE" w:bidi="en-US"/>
              </w:rPr>
            </w:pPr>
            <w:r w:rsidRPr="00DA7058">
              <w:rPr>
                <w:rFonts w:eastAsia="Times New Roman"/>
                <w:b/>
                <w:bCs/>
                <w:snapToGrid w:val="0"/>
                <w:szCs w:val="22"/>
                <w:lang w:eastAsia="de-DE" w:bidi="en-US"/>
              </w:rPr>
              <w:t>median (p25% ; p75%)</w:t>
            </w:r>
          </w:p>
        </w:tc>
        <w:tc>
          <w:tcPr>
            <w:tcW w:w="1984" w:type="dxa"/>
            <w:vAlign w:val="center"/>
          </w:tcPr>
          <w:p w14:paraId="25576457" w14:textId="77777777" w:rsidR="00633E57" w:rsidRPr="00DA7058" w:rsidRDefault="00633E57" w:rsidP="003404EE">
            <w:pPr>
              <w:rPr>
                <w:rFonts w:eastAsia="Times New Roman"/>
                <w:b/>
                <w:bCs/>
                <w:snapToGrid w:val="0"/>
                <w:szCs w:val="22"/>
                <w:lang w:eastAsia="de-DE" w:bidi="en-US"/>
              </w:rPr>
            </w:pPr>
            <w:r w:rsidRPr="00DA7058">
              <w:rPr>
                <w:rFonts w:eastAsia="Times New Roman"/>
                <w:b/>
                <w:bCs/>
                <w:snapToGrid w:val="0"/>
                <w:szCs w:val="22"/>
                <w:lang w:eastAsia="de-DE" w:bidi="en-US"/>
              </w:rPr>
              <w:t>mean (95% CI</w:t>
            </w:r>
            <w:r w:rsidRPr="00DA7058">
              <w:rPr>
                <w:rFonts w:eastAsia="Times New Roman"/>
                <w:b/>
                <w:bCs/>
                <w:snapToGrid w:val="0"/>
                <w:szCs w:val="22"/>
                <w:vertAlign w:val="superscript"/>
                <w:lang w:eastAsia="de-DE" w:bidi="en-US"/>
              </w:rPr>
              <w:t>b</w:t>
            </w:r>
            <w:r w:rsidRPr="00DA7058">
              <w:rPr>
                <w:rFonts w:eastAsia="Times New Roman"/>
                <w:b/>
                <w:bCs/>
                <w:snapToGrid w:val="0"/>
                <w:szCs w:val="22"/>
                <w:lang w:eastAsia="de-DE" w:bidi="en-US"/>
              </w:rPr>
              <w:t>)</w:t>
            </w:r>
          </w:p>
        </w:tc>
        <w:tc>
          <w:tcPr>
            <w:tcW w:w="2268" w:type="dxa"/>
            <w:vAlign w:val="center"/>
          </w:tcPr>
          <w:p w14:paraId="24B1185A" w14:textId="77777777" w:rsidR="00633E57" w:rsidRPr="00DA7058" w:rsidRDefault="00633E57" w:rsidP="003404EE">
            <w:pPr>
              <w:rPr>
                <w:rFonts w:eastAsia="Times New Roman"/>
                <w:b/>
                <w:bCs/>
                <w:snapToGrid w:val="0"/>
                <w:szCs w:val="22"/>
                <w:lang w:eastAsia="de-DE" w:bidi="en-US"/>
              </w:rPr>
            </w:pPr>
            <w:r w:rsidRPr="00DA7058">
              <w:rPr>
                <w:rFonts w:eastAsia="Times New Roman"/>
                <w:b/>
                <w:bCs/>
                <w:snapToGrid w:val="0"/>
                <w:szCs w:val="22"/>
                <w:lang w:eastAsia="de-DE" w:bidi="en-US"/>
              </w:rPr>
              <w:t>median (p25% ; p75%)</w:t>
            </w:r>
          </w:p>
        </w:tc>
        <w:tc>
          <w:tcPr>
            <w:tcW w:w="2127" w:type="dxa"/>
            <w:vAlign w:val="center"/>
          </w:tcPr>
          <w:p w14:paraId="38FFF7C2" w14:textId="77777777" w:rsidR="00633E57" w:rsidRPr="00DA7058" w:rsidRDefault="00633E57" w:rsidP="003404EE">
            <w:pPr>
              <w:rPr>
                <w:rFonts w:eastAsia="Times New Roman"/>
                <w:b/>
                <w:bCs/>
                <w:snapToGrid w:val="0"/>
                <w:szCs w:val="22"/>
                <w:lang w:eastAsia="de-DE" w:bidi="en-US"/>
              </w:rPr>
            </w:pPr>
            <w:r w:rsidRPr="00DA7058">
              <w:rPr>
                <w:rFonts w:eastAsia="Times New Roman"/>
                <w:b/>
                <w:bCs/>
                <w:snapToGrid w:val="0"/>
                <w:szCs w:val="22"/>
                <w:lang w:eastAsia="de-DE" w:bidi="en-US"/>
              </w:rPr>
              <w:t>mean (95% CI</w:t>
            </w:r>
            <w:r w:rsidRPr="00DA7058">
              <w:rPr>
                <w:rFonts w:eastAsia="Times New Roman"/>
                <w:b/>
                <w:bCs/>
                <w:snapToGrid w:val="0"/>
                <w:szCs w:val="22"/>
                <w:vertAlign w:val="superscript"/>
                <w:lang w:eastAsia="de-DE" w:bidi="en-US"/>
              </w:rPr>
              <w:t>b</w:t>
            </w:r>
            <w:r w:rsidRPr="00DA7058">
              <w:rPr>
                <w:rFonts w:eastAsia="Times New Roman"/>
                <w:b/>
                <w:bCs/>
                <w:snapToGrid w:val="0"/>
                <w:szCs w:val="22"/>
                <w:lang w:eastAsia="de-DE" w:bidi="en-US"/>
              </w:rPr>
              <w:t>)</w:t>
            </w:r>
          </w:p>
        </w:tc>
      </w:tr>
      <w:tr w:rsidR="00633E57" w:rsidRPr="00DA7058" w14:paraId="7AD44EA2" w14:textId="77777777" w:rsidTr="003404EE">
        <w:tc>
          <w:tcPr>
            <w:tcW w:w="10627" w:type="dxa"/>
            <w:gridSpan w:val="5"/>
          </w:tcPr>
          <w:p w14:paraId="33345CAE" w14:textId="77777777" w:rsidR="00633E57" w:rsidRPr="00DA7058" w:rsidRDefault="00633E57" w:rsidP="003404EE">
            <w:pPr>
              <w:rPr>
                <w:rFonts w:eastAsia="Times New Roman"/>
                <w:b/>
                <w:bCs/>
                <w:snapToGrid w:val="0"/>
                <w:szCs w:val="22"/>
                <w:lang w:eastAsia="de-DE" w:bidi="en-US"/>
              </w:rPr>
            </w:pPr>
            <w:r w:rsidRPr="00DA7058">
              <w:rPr>
                <w:rFonts w:eastAsia="Times New Roman"/>
                <w:b/>
                <w:bCs/>
                <w:snapToGrid w:val="0"/>
                <w:szCs w:val="22"/>
                <w:lang w:eastAsia="de-DE" w:bidi="en-US"/>
              </w:rPr>
              <w:t>Lower Risk: Active and Low Sitting</w:t>
            </w:r>
          </w:p>
        </w:tc>
      </w:tr>
      <w:tr w:rsidR="00633E57" w:rsidRPr="00DA7058" w14:paraId="0507CC6B" w14:textId="77777777" w:rsidTr="003404EE">
        <w:tc>
          <w:tcPr>
            <w:tcW w:w="1980" w:type="dxa"/>
            <w:vAlign w:val="center"/>
          </w:tcPr>
          <w:p w14:paraId="3DD98B5F"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Total (n=708)</w:t>
            </w:r>
          </w:p>
        </w:tc>
        <w:tc>
          <w:tcPr>
            <w:tcW w:w="2268" w:type="dxa"/>
            <w:vAlign w:val="center"/>
          </w:tcPr>
          <w:p w14:paraId="5DC4925A"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180.0 (120.0 ; 300.0)</w:t>
            </w:r>
          </w:p>
        </w:tc>
        <w:tc>
          <w:tcPr>
            <w:tcW w:w="1984" w:type="dxa"/>
            <w:vAlign w:val="center"/>
          </w:tcPr>
          <w:p w14:paraId="592F748A"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196.2 (184.3 ; 208.0)</w:t>
            </w:r>
          </w:p>
        </w:tc>
        <w:tc>
          <w:tcPr>
            <w:tcW w:w="2268" w:type="dxa"/>
            <w:vAlign w:val="center"/>
          </w:tcPr>
          <w:p w14:paraId="0C96B6EA"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-60.0 (-150.0 ; -18.8)</w:t>
            </w:r>
          </w:p>
        </w:tc>
        <w:tc>
          <w:tcPr>
            <w:tcW w:w="2127" w:type="dxa"/>
            <w:vAlign w:val="center"/>
          </w:tcPr>
          <w:p w14:paraId="0CF3EE40"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-97.0 (-107.7 ; -86.2)</w:t>
            </w:r>
          </w:p>
        </w:tc>
      </w:tr>
      <w:tr w:rsidR="00633E57" w:rsidRPr="00DA7058" w14:paraId="4F731281" w14:textId="77777777" w:rsidTr="003404EE">
        <w:tc>
          <w:tcPr>
            <w:tcW w:w="1980" w:type="dxa"/>
            <w:vAlign w:val="center"/>
          </w:tcPr>
          <w:p w14:paraId="1739DD12"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Argentina (n=305)</w:t>
            </w:r>
          </w:p>
        </w:tc>
        <w:tc>
          <w:tcPr>
            <w:tcW w:w="2268" w:type="dxa"/>
            <w:vAlign w:val="center"/>
          </w:tcPr>
          <w:p w14:paraId="21E2B7DC"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180.0 (120.0 ; 300.0)</w:t>
            </w:r>
          </w:p>
        </w:tc>
        <w:tc>
          <w:tcPr>
            <w:tcW w:w="1984" w:type="dxa"/>
            <w:vAlign w:val="center"/>
          </w:tcPr>
          <w:p w14:paraId="11B42EDE"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210.8 (194.6 ; 226.9)</w:t>
            </w:r>
          </w:p>
        </w:tc>
        <w:tc>
          <w:tcPr>
            <w:tcW w:w="2268" w:type="dxa"/>
            <w:vAlign w:val="center"/>
          </w:tcPr>
          <w:p w14:paraId="4876BA1D"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-60.0 (-140.0 ; -20.0)</w:t>
            </w:r>
          </w:p>
        </w:tc>
        <w:tc>
          <w:tcPr>
            <w:tcW w:w="2127" w:type="dxa"/>
            <w:vAlign w:val="center"/>
          </w:tcPr>
          <w:p w14:paraId="0DCEBE9C"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-84.8 (-98.4 ; -71.2)</w:t>
            </w:r>
          </w:p>
        </w:tc>
      </w:tr>
      <w:tr w:rsidR="00633E57" w:rsidRPr="00DA7058" w14:paraId="4A3B5E80" w14:textId="77777777" w:rsidTr="003404EE">
        <w:tc>
          <w:tcPr>
            <w:tcW w:w="1980" w:type="dxa"/>
            <w:vAlign w:val="center"/>
          </w:tcPr>
          <w:p w14:paraId="0C99C2AC"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Chile (n=403)</w:t>
            </w:r>
          </w:p>
        </w:tc>
        <w:tc>
          <w:tcPr>
            <w:tcW w:w="2268" w:type="dxa"/>
            <w:vAlign w:val="center"/>
          </w:tcPr>
          <w:p w14:paraId="01CDF1DE"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180.0 (80.0 ; 300.0)</w:t>
            </w:r>
          </w:p>
        </w:tc>
        <w:tc>
          <w:tcPr>
            <w:tcW w:w="1984" w:type="dxa"/>
            <w:vAlign w:val="center"/>
          </w:tcPr>
          <w:p w14:paraId="54C479A9"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185.1 (168.2 ; 202.0)</w:t>
            </w:r>
          </w:p>
        </w:tc>
        <w:tc>
          <w:tcPr>
            <w:tcW w:w="2268" w:type="dxa"/>
            <w:vAlign w:val="center"/>
          </w:tcPr>
          <w:p w14:paraId="107C2217"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-90.0 (-240.0 ; -30.0)</w:t>
            </w:r>
          </w:p>
        </w:tc>
        <w:tc>
          <w:tcPr>
            <w:tcW w:w="2127" w:type="dxa"/>
            <w:vAlign w:val="center"/>
          </w:tcPr>
          <w:p w14:paraId="053480BC"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-143.5 (-166.2 ; -120.8)</w:t>
            </w:r>
          </w:p>
        </w:tc>
      </w:tr>
      <w:tr w:rsidR="00633E57" w:rsidRPr="00DA7058" w14:paraId="7434E531" w14:textId="77777777" w:rsidTr="003404EE">
        <w:tc>
          <w:tcPr>
            <w:tcW w:w="10627" w:type="dxa"/>
            <w:gridSpan w:val="5"/>
            <w:vAlign w:val="center"/>
          </w:tcPr>
          <w:p w14:paraId="62A522CC" w14:textId="77777777" w:rsidR="00633E57" w:rsidRPr="00DA7058" w:rsidRDefault="00633E57" w:rsidP="003404EE">
            <w:pPr>
              <w:rPr>
                <w:rFonts w:eastAsia="Times New Roman"/>
                <w:b/>
                <w:bCs/>
                <w:snapToGrid w:val="0"/>
                <w:szCs w:val="22"/>
                <w:lang w:eastAsia="de-DE" w:bidi="en-US"/>
              </w:rPr>
            </w:pPr>
            <w:r w:rsidRPr="00DA7058">
              <w:rPr>
                <w:rFonts w:eastAsia="Times New Roman"/>
                <w:b/>
                <w:bCs/>
                <w:snapToGrid w:val="0"/>
                <w:szCs w:val="22"/>
                <w:lang w:eastAsia="de-DE" w:bidi="en-US"/>
              </w:rPr>
              <w:t>Medium Risk: Active and High Sitting</w:t>
            </w:r>
          </w:p>
        </w:tc>
      </w:tr>
      <w:tr w:rsidR="00633E57" w:rsidRPr="00DA7058" w14:paraId="647CA4C0" w14:textId="77777777" w:rsidTr="003404EE">
        <w:tc>
          <w:tcPr>
            <w:tcW w:w="1980" w:type="dxa"/>
            <w:vAlign w:val="center"/>
          </w:tcPr>
          <w:p w14:paraId="2C497706"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Total (n=321)</w:t>
            </w:r>
          </w:p>
        </w:tc>
        <w:tc>
          <w:tcPr>
            <w:tcW w:w="2268" w:type="dxa"/>
            <w:vAlign w:val="center"/>
          </w:tcPr>
          <w:p w14:paraId="1967DC27"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120.0 (0.0 ; 240.0)</w:t>
            </w:r>
          </w:p>
        </w:tc>
        <w:tc>
          <w:tcPr>
            <w:tcW w:w="1984" w:type="dxa"/>
            <w:vAlign w:val="center"/>
          </w:tcPr>
          <w:p w14:paraId="407575C5"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112.2 (91.2 ; 133.1)</w:t>
            </w:r>
          </w:p>
        </w:tc>
        <w:tc>
          <w:tcPr>
            <w:tcW w:w="2268" w:type="dxa"/>
            <w:vAlign w:val="center"/>
          </w:tcPr>
          <w:p w14:paraId="7533E9D8"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-60.0 (-120.0 ; 0.0)</w:t>
            </w:r>
          </w:p>
        </w:tc>
        <w:tc>
          <w:tcPr>
            <w:tcW w:w="2127" w:type="dxa"/>
            <w:vAlign w:val="center"/>
          </w:tcPr>
          <w:p w14:paraId="639EF728"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-69.3 (-83.5 ; -55.1)</w:t>
            </w:r>
          </w:p>
        </w:tc>
      </w:tr>
      <w:tr w:rsidR="00633E57" w:rsidRPr="00DA7058" w14:paraId="02E3C05C" w14:textId="77777777" w:rsidTr="003404EE">
        <w:tc>
          <w:tcPr>
            <w:tcW w:w="1980" w:type="dxa"/>
            <w:vAlign w:val="center"/>
          </w:tcPr>
          <w:p w14:paraId="1CC9572F"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Argentina (n=168)</w:t>
            </w:r>
          </w:p>
        </w:tc>
        <w:tc>
          <w:tcPr>
            <w:tcW w:w="2268" w:type="dxa"/>
            <w:vAlign w:val="center"/>
          </w:tcPr>
          <w:p w14:paraId="73225C18"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120.0 (0.0 ; 240.0)</w:t>
            </w:r>
          </w:p>
        </w:tc>
        <w:tc>
          <w:tcPr>
            <w:tcW w:w="1984" w:type="dxa"/>
            <w:vAlign w:val="center"/>
          </w:tcPr>
          <w:p w14:paraId="08340380"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116.4 (88.5 ; 144.2)</w:t>
            </w:r>
          </w:p>
        </w:tc>
        <w:tc>
          <w:tcPr>
            <w:tcW w:w="2268" w:type="dxa"/>
            <w:vAlign w:val="center"/>
          </w:tcPr>
          <w:p w14:paraId="4E7705DD"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-45.0 (-90.0 ; 0.0)</w:t>
            </w:r>
          </w:p>
        </w:tc>
        <w:tc>
          <w:tcPr>
            <w:tcW w:w="2127" w:type="dxa"/>
            <w:vAlign w:val="center"/>
          </w:tcPr>
          <w:p w14:paraId="4728CA3F"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-64.0 (-83.2 ; -44.7)</w:t>
            </w:r>
          </w:p>
        </w:tc>
      </w:tr>
      <w:tr w:rsidR="00633E57" w:rsidRPr="00DA7058" w14:paraId="50C8DD20" w14:textId="77777777" w:rsidTr="003404EE">
        <w:tc>
          <w:tcPr>
            <w:tcW w:w="1980" w:type="dxa"/>
            <w:vAlign w:val="center"/>
          </w:tcPr>
          <w:p w14:paraId="76574B5B"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Chile (n=153)</w:t>
            </w:r>
          </w:p>
        </w:tc>
        <w:tc>
          <w:tcPr>
            <w:tcW w:w="2268" w:type="dxa"/>
            <w:vAlign w:val="center"/>
          </w:tcPr>
          <w:p w14:paraId="0DF2DC46"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120.0 (0.0 ; 240.0)</w:t>
            </w:r>
          </w:p>
        </w:tc>
        <w:tc>
          <w:tcPr>
            <w:tcW w:w="1984" w:type="dxa"/>
            <w:vAlign w:val="center"/>
          </w:tcPr>
          <w:p w14:paraId="38F9175D"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107.5 (75.6 ; 139.4)</w:t>
            </w:r>
          </w:p>
        </w:tc>
        <w:tc>
          <w:tcPr>
            <w:tcW w:w="2268" w:type="dxa"/>
            <w:vAlign w:val="center"/>
          </w:tcPr>
          <w:p w14:paraId="47020B86"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-60.0 (-180.0 ; 0.0)</w:t>
            </w:r>
          </w:p>
        </w:tc>
        <w:tc>
          <w:tcPr>
            <w:tcW w:w="2127" w:type="dxa"/>
            <w:vAlign w:val="center"/>
          </w:tcPr>
          <w:p w14:paraId="3480EB1F"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-92.4 (-123.0 ; -61.8)</w:t>
            </w:r>
          </w:p>
        </w:tc>
      </w:tr>
      <w:tr w:rsidR="00633E57" w:rsidRPr="00DA7058" w14:paraId="2D56C0B6" w14:textId="77777777" w:rsidTr="003404EE">
        <w:tc>
          <w:tcPr>
            <w:tcW w:w="10627" w:type="dxa"/>
            <w:gridSpan w:val="5"/>
            <w:vAlign w:val="center"/>
          </w:tcPr>
          <w:p w14:paraId="44D7FECC" w14:textId="77777777" w:rsidR="00633E57" w:rsidRPr="00DA7058" w:rsidRDefault="00633E57" w:rsidP="003404EE">
            <w:pPr>
              <w:rPr>
                <w:rFonts w:eastAsia="Times New Roman"/>
                <w:b/>
                <w:bCs/>
                <w:snapToGrid w:val="0"/>
                <w:szCs w:val="22"/>
                <w:lang w:eastAsia="de-DE" w:bidi="en-US"/>
              </w:rPr>
            </w:pPr>
            <w:r w:rsidRPr="00DA7058">
              <w:rPr>
                <w:rFonts w:eastAsia="Times New Roman"/>
                <w:b/>
                <w:bCs/>
                <w:snapToGrid w:val="0"/>
                <w:szCs w:val="22"/>
                <w:lang w:eastAsia="de-DE" w:bidi="en-US"/>
              </w:rPr>
              <w:t>Medium Risk · Inactive and Low Sitting</w:t>
            </w:r>
          </w:p>
        </w:tc>
      </w:tr>
      <w:tr w:rsidR="00633E57" w:rsidRPr="00DA7058" w14:paraId="5EAF57CF" w14:textId="77777777" w:rsidTr="003404EE">
        <w:tc>
          <w:tcPr>
            <w:tcW w:w="1980" w:type="dxa"/>
            <w:vAlign w:val="center"/>
          </w:tcPr>
          <w:p w14:paraId="742BCF78"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Total (n=157)</w:t>
            </w:r>
          </w:p>
        </w:tc>
        <w:tc>
          <w:tcPr>
            <w:tcW w:w="2268" w:type="dxa"/>
            <w:vAlign w:val="center"/>
          </w:tcPr>
          <w:p w14:paraId="4FC32820"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150.0 (110.0 ; 240.0)</w:t>
            </w:r>
          </w:p>
        </w:tc>
        <w:tc>
          <w:tcPr>
            <w:tcW w:w="1984" w:type="dxa"/>
            <w:vAlign w:val="center"/>
          </w:tcPr>
          <w:p w14:paraId="0CE74572"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181.3 (154.4 ; 208.2)</w:t>
            </w:r>
          </w:p>
        </w:tc>
        <w:tc>
          <w:tcPr>
            <w:tcW w:w="2268" w:type="dxa"/>
            <w:vAlign w:val="center"/>
          </w:tcPr>
          <w:p w14:paraId="1F5FD685"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0.0 (0.0 ; 0.0)</w:t>
            </w:r>
          </w:p>
        </w:tc>
        <w:tc>
          <w:tcPr>
            <w:tcW w:w="2127" w:type="dxa"/>
            <w:vAlign w:val="center"/>
          </w:tcPr>
          <w:p w14:paraId="3AB57752"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19.0 (6.2 ; 31.8)</w:t>
            </w:r>
          </w:p>
        </w:tc>
      </w:tr>
      <w:tr w:rsidR="00633E57" w:rsidRPr="00DA7058" w14:paraId="1D1AC7EA" w14:textId="77777777" w:rsidTr="003404EE">
        <w:tc>
          <w:tcPr>
            <w:tcW w:w="1980" w:type="dxa"/>
            <w:vAlign w:val="center"/>
          </w:tcPr>
          <w:p w14:paraId="07C883EF"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Argentina (n=48)</w:t>
            </w:r>
          </w:p>
        </w:tc>
        <w:tc>
          <w:tcPr>
            <w:tcW w:w="2268" w:type="dxa"/>
            <w:vAlign w:val="center"/>
          </w:tcPr>
          <w:p w14:paraId="327A123C"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240.0 (120.0 ; 337.5)</w:t>
            </w:r>
          </w:p>
        </w:tc>
        <w:tc>
          <w:tcPr>
            <w:tcW w:w="1984" w:type="dxa"/>
            <w:vAlign w:val="center"/>
          </w:tcPr>
          <w:p w14:paraId="101A5A4C"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218.2 (166.0 ; 270.4)</w:t>
            </w:r>
          </w:p>
        </w:tc>
        <w:tc>
          <w:tcPr>
            <w:tcW w:w="2268" w:type="dxa"/>
            <w:vAlign w:val="center"/>
          </w:tcPr>
          <w:p w14:paraId="5E06C88F"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0.0 (0.0 ; 3.8)</w:t>
            </w:r>
          </w:p>
        </w:tc>
        <w:tc>
          <w:tcPr>
            <w:tcW w:w="2127" w:type="dxa"/>
            <w:vAlign w:val="center"/>
          </w:tcPr>
          <w:p w14:paraId="45490392"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16.8 (5.9 ; 27.6)</w:t>
            </w:r>
          </w:p>
        </w:tc>
      </w:tr>
      <w:tr w:rsidR="00633E57" w:rsidRPr="00DA7058" w14:paraId="321582AE" w14:textId="77777777" w:rsidTr="003404EE">
        <w:tc>
          <w:tcPr>
            <w:tcW w:w="1980" w:type="dxa"/>
            <w:vAlign w:val="center"/>
          </w:tcPr>
          <w:p w14:paraId="2774279D"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Chile (n=109)</w:t>
            </w:r>
          </w:p>
        </w:tc>
        <w:tc>
          <w:tcPr>
            <w:tcW w:w="2268" w:type="dxa"/>
            <w:vAlign w:val="center"/>
          </w:tcPr>
          <w:p w14:paraId="2E207014"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120.0 (90.0 ; 240.0)</w:t>
            </w:r>
          </w:p>
        </w:tc>
        <w:tc>
          <w:tcPr>
            <w:tcW w:w="1984" w:type="dxa"/>
            <w:vAlign w:val="center"/>
          </w:tcPr>
          <w:p w14:paraId="2D787207"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165.1 (133.9 ; 196.3)</w:t>
            </w:r>
          </w:p>
        </w:tc>
        <w:tc>
          <w:tcPr>
            <w:tcW w:w="2268" w:type="dxa"/>
            <w:vAlign w:val="center"/>
          </w:tcPr>
          <w:p w14:paraId="00BB4A51"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0.0 (0.0 ; 0.0)</w:t>
            </w:r>
          </w:p>
        </w:tc>
        <w:tc>
          <w:tcPr>
            <w:tcW w:w="2127" w:type="dxa"/>
            <w:vAlign w:val="center"/>
          </w:tcPr>
          <w:p w14:paraId="2C1EBBC0"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23.3 (4.1 ; 42.5)</w:t>
            </w:r>
          </w:p>
        </w:tc>
      </w:tr>
      <w:tr w:rsidR="00633E57" w:rsidRPr="00DA7058" w14:paraId="6CAD73F7" w14:textId="77777777" w:rsidTr="003404EE">
        <w:tc>
          <w:tcPr>
            <w:tcW w:w="10627" w:type="dxa"/>
            <w:gridSpan w:val="5"/>
            <w:vAlign w:val="center"/>
          </w:tcPr>
          <w:p w14:paraId="7E430897" w14:textId="77777777" w:rsidR="00633E57" w:rsidRPr="00DA7058" w:rsidRDefault="00633E57" w:rsidP="003404EE">
            <w:pPr>
              <w:rPr>
                <w:rFonts w:eastAsia="Times New Roman"/>
                <w:b/>
                <w:bCs/>
                <w:snapToGrid w:val="0"/>
                <w:szCs w:val="22"/>
                <w:lang w:eastAsia="de-DE" w:bidi="en-US"/>
              </w:rPr>
            </w:pPr>
            <w:r w:rsidRPr="00DA7058">
              <w:rPr>
                <w:rFonts w:eastAsia="Times New Roman"/>
                <w:b/>
                <w:bCs/>
                <w:snapToGrid w:val="0"/>
                <w:szCs w:val="22"/>
                <w:lang w:eastAsia="de-DE" w:bidi="en-US"/>
              </w:rPr>
              <w:t>Higher Risk · Inactive and High Sitting</w:t>
            </w:r>
          </w:p>
        </w:tc>
      </w:tr>
      <w:tr w:rsidR="00633E57" w:rsidRPr="00DA7058" w14:paraId="446F480E" w14:textId="77777777" w:rsidTr="003404EE">
        <w:tc>
          <w:tcPr>
            <w:tcW w:w="1980" w:type="dxa"/>
            <w:vAlign w:val="center"/>
          </w:tcPr>
          <w:p w14:paraId="5546AA90"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Total (n=119)</w:t>
            </w:r>
          </w:p>
        </w:tc>
        <w:tc>
          <w:tcPr>
            <w:tcW w:w="2268" w:type="dxa"/>
            <w:vAlign w:val="center"/>
          </w:tcPr>
          <w:p w14:paraId="130A3C71"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120.0 (0.0 ; 225.0)</w:t>
            </w:r>
          </w:p>
        </w:tc>
        <w:tc>
          <w:tcPr>
            <w:tcW w:w="1984" w:type="dxa"/>
            <w:vAlign w:val="center"/>
          </w:tcPr>
          <w:p w14:paraId="0ABD84A2"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93.0 (54.1 ; 132.0)</w:t>
            </w:r>
          </w:p>
        </w:tc>
        <w:tc>
          <w:tcPr>
            <w:tcW w:w="2268" w:type="dxa"/>
            <w:vAlign w:val="center"/>
          </w:tcPr>
          <w:p w14:paraId="2395FC91"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0.0 (0.0 ; 30.0)</w:t>
            </w:r>
          </w:p>
        </w:tc>
        <w:tc>
          <w:tcPr>
            <w:tcW w:w="2127" w:type="dxa"/>
            <w:vAlign w:val="center"/>
          </w:tcPr>
          <w:p w14:paraId="4C07059D"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29.1 (12.8 ; 45.5)</w:t>
            </w:r>
          </w:p>
        </w:tc>
      </w:tr>
      <w:tr w:rsidR="00633E57" w:rsidRPr="00DA7058" w14:paraId="6FDF650A" w14:textId="77777777" w:rsidTr="003404EE">
        <w:tc>
          <w:tcPr>
            <w:tcW w:w="1980" w:type="dxa"/>
            <w:vAlign w:val="center"/>
          </w:tcPr>
          <w:p w14:paraId="7C2C09C3"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Argentina (n=54)</w:t>
            </w:r>
          </w:p>
        </w:tc>
        <w:tc>
          <w:tcPr>
            <w:tcW w:w="2268" w:type="dxa"/>
            <w:vAlign w:val="center"/>
          </w:tcPr>
          <w:p w14:paraId="407F8563"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120.0 (0.0 ; 240.0)</w:t>
            </w:r>
          </w:p>
        </w:tc>
        <w:tc>
          <w:tcPr>
            <w:tcW w:w="1984" w:type="dxa"/>
            <w:vAlign w:val="center"/>
          </w:tcPr>
          <w:p w14:paraId="772CF111"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89.4 (36.7 ; 142.0)</w:t>
            </w:r>
          </w:p>
        </w:tc>
        <w:tc>
          <w:tcPr>
            <w:tcW w:w="2268" w:type="dxa"/>
            <w:vAlign w:val="center"/>
          </w:tcPr>
          <w:p w14:paraId="12290BAB"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5.0 (0.0 ; 60.0)</w:t>
            </w:r>
          </w:p>
        </w:tc>
        <w:tc>
          <w:tcPr>
            <w:tcW w:w="2127" w:type="dxa"/>
            <w:vAlign w:val="center"/>
          </w:tcPr>
          <w:p w14:paraId="4BB16794"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48.8 (14.7 ; 82.9)</w:t>
            </w:r>
          </w:p>
        </w:tc>
      </w:tr>
      <w:tr w:rsidR="00633E57" w:rsidRPr="00DA7058" w14:paraId="354204AB" w14:textId="77777777" w:rsidTr="003404EE">
        <w:tc>
          <w:tcPr>
            <w:tcW w:w="1980" w:type="dxa"/>
            <w:vAlign w:val="center"/>
          </w:tcPr>
          <w:p w14:paraId="68342D63"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Chile (n=65)</w:t>
            </w:r>
          </w:p>
        </w:tc>
        <w:tc>
          <w:tcPr>
            <w:tcW w:w="2268" w:type="dxa"/>
            <w:vAlign w:val="center"/>
          </w:tcPr>
          <w:p w14:paraId="34BE1970"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90.0 (0.0 ; 180.0)</w:t>
            </w:r>
          </w:p>
        </w:tc>
        <w:tc>
          <w:tcPr>
            <w:tcW w:w="1984" w:type="dxa"/>
            <w:vAlign w:val="center"/>
          </w:tcPr>
          <w:p w14:paraId="7BE2BBCB"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96.1 (38.4 ; 153.8)</w:t>
            </w:r>
          </w:p>
        </w:tc>
        <w:tc>
          <w:tcPr>
            <w:tcW w:w="2268" w:type="dxa"/>
            <w:vAlign w:val="center"/>
          </w:tcPr>
          <w:p w14:paraId="444B6058"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0.0 (0.0 ; 0.0)</w:t>
            </w:r>
          </w:p>
        </w:tc>
        <w:tc>
          <w:tcPr>
            <w:tcW w:w="2127" w:type="dxa"/>
            <w:vAlign w:val="center"/>
          </w:tcPr>
          <w:p w14:paraId="1ABBE4B7" w14:textId="77777777" w:rsidR="00633E57" w:rsidRPr="00DA7058" w:rsidRDefault="00633E57" w:rsidP="003404EE">
            <w:pPr>
              <w:rPr>
                <w:rFonts w:eastAsia="Times New Roman"/>
                <w:snapToGrid w:val="0"/>
                <w:szCs w:val="22"/>
                <w:lang w:eastAsia="de-DE" w:bidi="en-US"/>
              </w:rPr>
            </w:pPr>
            <w:r w:rsidRPr="00DA7058">
              <w:rPr>
                <w:rFonts w:eastAsia="Times New Roman"/>
                <w:snapToGrid w:val="0"/>
                <w:szCs w:val="22"/>
                <w:lang w:eastAsia="de-DE" w:bidi="en-US"/>
              </w:rPr>
              <w:t>18.4 (6.0 ; 30.7)</w:t>
            </w:r>
          </w:p>
        </w:tc>
      </w:tr>
    </w:tbl>
    <w:p w14:paraId="24EAFAD9" w14:textId="77777777" w:rsidR="00633E57" w:rsidRPr="00633E57" w:rsidRDefault="00633E57" w:rsidP="00633E57">
      <w:pPr>
        <w:rPr>
          <w:rFonts w:eastAsia="Times New Roman"/>
          <w:snapToGrid w:val="0"/>
          <w:szCs w:val="22"/>
          <w:lang w:eastAsia="de-DE" w:bidi="en-US"/>
        </w:rPr>
      </w:pPr>
      <w:r w:rsidRPr="00633E57">
        <w:rPr>
          <w:rFonts w:eastAsia="Times New Roman"/>
          <w:snapToGrid w:val="0"/>
          <w:szCs w:val="22"/>
          <w:vertAlign w:val="superscript"/>
          <w:lang w:eastAsia="de-DE" w:bidi="en-US"/>
        </w:rPr>
        <w:t>a</w:t>
      </w:r>
      <w:r w:rsidRPr="00633E57">
        <w:rPr>
          <w:rFonts w:eastAsia="Times New Roman"/>
          <w:snapToGrid w:val="0"/>
          <w:szCs w:val="22"/>
          <w:lang w:eastAsia="de-DE" w:bidi="en-US"/>
        </w:rPr>
        <w:t xml:space="preserve"> Moderate-to-vigorous physical activity</w:t>
      </w:r>
    </w:p>
    <w:p w14:paraId="65A62DD2" w14:textId="77777777" w:rsidR="00633E57" w:rsidRPr="00633E57" w:rsidRDefault="00633E57" w:rsidP="00633E57">
      <w:pPr>
        <w:rPr>
          <w:rFonts w:eastAsia="Times New Roman"/>
          <w:snapToGrid w:val="0"/>
          <w:szCs w:val="22"/>
          <w:lang w:eastAsia="de-DE" w:bidi="en-US"/>
        </w:rPr>
      </w:pPr>
      <w:r w:rsidRPr="00633E57">
        <w:rPr>
          <w:rFonts w:eastAsia="Times New Roman"/>
          <w:snapToGrid w:val="0"/>
          <w:szCs w:val="22"/>
          <w:vertAlign w:val="superscript"/>
          <w:lang w:eastAsia="de-DE" w:bidi="en-US"/>
        </w:rPr>
        <w:t>b</w:t>
      </w:r>
      <w:r w:rsidRPr="00633E57">
        <w:rPr>
          <w:rFonts w:eastAsia="Times New Roman"/>
          <w:snapToGrid w:val="0"/>
          <w:szCs w:val="22"/>
          <w:lang w:eastAsia="de-DE" w:bidi="en-US"/>
        </w:rPr>
        <w:t xml:space="preserve"> Confidence interval</w:t>
      </w:r>
    </w:p>
    <w:p w14:paraId="6E30F24B" w14:textId="77777777" w:rsidR="00633E57" w:rsidRDefault="00633E57" w:rsidP="00633E57"/>
    <w:p w14:paraId="00A03881" w14:textId="76246B2F" w:rsidR="00633E57" w:rsidRDefault="00633E57" w:rsidP="00633E57">
      <w:pPr>
        <w:pStyle w:val="MDPI31text"/>
      </w:pPr>
      <w:r w:rsidRPr="00740A5A">
        <w:t xml:space="preserve">Figure S1 represents changes of participants who were </w:t>
      </w:r>
      <w:r w:rsidRPr="00633E57">
        <w:t xml:space="preserve">active/inactive and spending/not-spending excessive ST. Among 1029 active participants, 346 became inactive during the lockdown. On the other hand, among 276 inactive adults, 60 became active during the lockdown. Regarding ST, among 865 participants who spent &lt; 7 hours/day in this behavior, 471 increased their levels during lockdown.  </w:t>
      </w:r>
    </w:p>
    <w:p w14:paraId="7C2B5012" w14:textId="77777777" w:rsidR="00522304" w:rsidRPr="00325902" w:rsidRDefault="00522304" w:rsidP="00633E57">
      <w:pPr>
        <w:pStyle w:val="MDPI21heading1"/>
        <w:ind w:left="2040" w:firstLine="510"/>
      </w:pPr>
      <w:r w:rsidRPr="00325902">
        <w:t>4. Discussion</w:t>
      </w:r>
    </w:p>
    <w:p w14:paraId="203AA7D8" w14:textId="77777777" w:rsidR="00526B14" w:rsidRPr="00526B14" w:rsidRDefault="00526B14" w:rsidP="00526B14">
      <w:pPr>
        <w:pStyle w:val="MDPI31text"/>
      </w:pPr>
      <w:r w:rsidRPr="00526B14">
        <w:t>This cross-sectional study compared ST, SE, MPA, VPA and MVPA before and during lockdowns on sociodemographic correlates and assessed the impact of COVID-19 on quadrants combining PA recommendations and ST among South Americans adults. One of the main findings of this paper is the reduction of MPA and VPA min/day during lockdowns, lowering the percentage of active participants by 22.0% (n=286). Secondly, an increase of 3.5 hours in SE and 2.7 hours/day in ST, leading to an enrichment in sedentary behaviors. Furthermore, it was also shown that participants who were classified previously in the lower-risk quadrant, that is engaging in ≥150 minutes/week of MVPA and sitting &lt;7 hours, suffered major negative effects with the lockdowns.</w:t>
      </w:r>
    </w:p>
    <w:p w14:paraId="0545BAED" w14:textId="77777777" w:rsidR="00526B14" w:rsidRPr="00740A5A" w:rsidRDefault="00526B14" w:rsidP="00526B14">
      <w:pPr>
        <w:pStyle w:val="MDPI31text"/>
      </w:pPr>
    </w:p>
    <w:p w14:paraId="5F20C513" w14:textId="53AF4E0C" w:rsidR="00526B14" w:rsidRPr="00526B14" w:rsidRDefault="00526B14" w:rsidP="00526B14">
      <w:pPr>
        <w:pStyle w:val="MDPI31text"/>
      </w:pPr>
      <w:r w:rsidRPr="00526B14">
        <w:t xml:space="preserve">In the present study a small effect size with a significant reduction of 38% in MPA and 50% in VPA was observed which is consistent with other research </w:t>
      </w:r>
      <w:r w:rsidRPr="00526B14">
        <w:fldChar w:fldCharType="begin" w:fldLock="1"/>
      </w:r>
      <w:r w:rsidR="008D04CE">
        <w:instrText>ADDIN CSL_CITATION {"citationItems":[{"id":"ITEM-1","itemData":{"DOI":"10.3390/nu12061583","ISSN":"20726643","PMID":"32481594","abstract":"Background: Public health recommendations and governmental measures during the COVID-19 pandemic have resulted in numerous restrictions on daily living including social distancing, isolation and home confinement. While these measures are imperative to abate the spreading of COVID-19, the impact of these restrictions on health behaviours and lifestyles at home is undefined. Therefore, an international online survey was launched in April 2020, in seven languages, to elucidate the behavioural and lifestyle consequences of COVID-19 restrictions. This report presents the results from the first thousand responders on physical activity (PA) and nutrition behaviours. Methods: Following a structured review of the literature, the “Effects of home Confinement on multiple Lifestyle Behaviours during the COVID-19 outbreak (ECLB-COVID19)” Electronic survey was designed by a steering group of multidisciplinary scientists and academics. The survey was uploaded and shared on the Google online survey platform. Thirty-five research organisations from Europe, North-Africa, Western Asia and the Americas promoted the survey in English, German, French, Arabic, Spanish, Portuguese and Slovenian languages. Questions were presented in a differential format, with questions related to responses “before” and “during” confinement conditions. Results: 1047 replies (54% women) from Asia (36%), Africa (40%), Europe (21%) and other (3%) were included in the analysis. The COVID-19 home confinement had a negative effect on all PA intensity levels (vigorous, moderate, walking and overall). Additionally, daily sitting time increased from 5 to 8 h per day. Food consumption and meal patterns (the type of food, eating out of control, snacks between meals, number of main meals) were more unhealthy during confinement, with only alcohol binge drinking decreasing significantly. Conclusion: While isolation is a necessary measure to protect public health, results indicate that it alters physical activity and eating behaviours in a health compromising direction. A more detailed analysis of survey data will allow for a segregation of these responses in different age groups, countries and other subgroups, which will help develop interventions to mitigate the negative lifestyle behaviours that have manifested during the COVID-19 confinement.","author":[{"dropping-particle":"","family":"Ammar","given":"Achraf","non-dropping-particle":"","parse-names":false,"suffix":""},{"dropping-particle":"","family":"Brach","given":"Michael","non-dropping-particle":"","parse-names":false,"suffix":""},{"dropping-particle":"","family":"Trabelsi","given":"Khaled","non-dropping-particle":"","parse-names":false,"suffix":""},{"dropping-particle":"","family":"Chtourou","given":"Hamdi","non-dropping-particle":"","parse-names":false,"suffix":""},{"dropping-particle":"","family":"Boukhris","given":"Omar","non-dropping-particle":"","parse-names":false,"suffix":""},{"dropping-particle":"","family":"Masmoudi","given":"Liwa","non-dropping-particle":"","parse-names":false,"suffix":""},{"dropping-particle":"","family":"Bouaziz","given":"Bassem","non-dropping-particle":"","parse-names":false,"suffix":""},{"dropping-particle":"","family":"Bentlage","given":"Ellen","non-dropping-particle":"","parse-names":false,"suffix":""},{"dropping-particle":"","family":"How","given":"Daniella","non-dropping-particle":"","parse-names":false,"suffix":""},{"dropping-particle":"","family":"Ahmed","given":"Mona","non-dropping-particle":"","parse-names":false,"suffix":""},{"dropping-particle":"","family":"Müller","given":"Patrick","non-dropping-particle":"","parse-names":false,"suffix":""},{"dropping-particle":"","family":"Müller","given":"Notger","non-dropping-particle":"","parse-names":false,"suffix":""},{"dropping-particle":"","family":"Aloui","given":"Asma","non-dropping-particle":"","parse-names":false,"suffix":""},{"dropping-particle":"","family":"Hammouda","given":"Omar","non-dropping-particle":"","parse-names":false,"suffix":""},{"dropping-particle":"","family":"Paineiras-Domingos","given":"Laisa Liane","non-dropping-particle":"","parse-names":false,"suffix":""},{"dropping-particle":"","family":"Braakman-Jansen","given":"Annemarie","non-dropping-particle":"","parse-names":false,"suffix":""},{"dropping-particle":"","family":"Wrede","given":"Christian","non-dropping-particle":"","parse-names":false,"suffix":""},{"dropping-particle":"","family":"Bastoni","given":"Sofia","non-dropping-particle":"","parse-names":false,"suffix":""},{"dropping-particle":"","family":"Pernambuco","given":"Carlos Soares","non-dropping-particle":"","parse-names":false,"suffix":""},{"dropping-particle":"","family":"Mataruna","given":"Leonardo","non-dropping-particle":"","parse-names":false,"suffix":""},{"dropping-particle":"","family":"Taheri","given":"Morteza","non-dropping-particle":"","parse-names":false,"suffix":""},{"dropping-particle":"","family":"Irandoust","given":"Khadijeh","non-dropping-particle":"","parse-names":false,"suffix":""},{"dropping-particle":"","family":"Khacharem","given":"Aïmen","non-dropping-particle":"","parse-names":false,"suffix":""},{"dropping-particle":"","family":"Bragazzi","given":"Nicola L.","non-dropping-particle":"","parse-names":false,"suffix":""},{"dropping-particle":"","family":"Chamari","given":"Karim","non-dropping-particle":"","parse-names":false,"suffix":""},{"dropping-particle":"","family":"Glenn","given":"Jordan M.","non-dropping-particle":"","parse-names":false,"suffix":""},{"dropping-particle":"","family":"Bott","given":"Nicholas T.","non-dropping-particle":"","parse-names":false,"suffix":""},{"dropping-particle":"","family":"Gargouri","given":"Faiez","non-dropping-particle":"","parse-names":false,"suffix":""},{"dropping-particle":"","family":"Chaari","given":"Lotfi","non-dropping-particle":"","parse-names":false,"suffix":""},{"dropping-particle":"","family":"Batatia","given":"Hadj","non-dropping-particle":"","parse-names":false,"suffix":""},{"dropping-particle":"","family":"Ali","given":"Gamal Mohamed","non-dropping-particle":"","parse-names":false,"suffix":""},{"dropping-particle":"","family":"Abdelkarim","given":"Osama","non-dropping-particle":"","parse-names":false,"suffix":""},{"dropping-particle":"","family":"Jarraya","given":"Mohamed","non-dropping-particle":"","parse-names":false,"suffix":""},{"dropping-particle":"","family":"Abed","given":"Kais","non-dropping-particle":"El","parse-names":false,"suffix":""},{"dropping-particle":"","family":"Souissi","given":"Nizar","non-dropping-particle":"","parse-names":false,"suffix":""},{"dropping-particle":"","family":"Gemert-Pijnen","given":"Lisette","non-dropping-particle":"Van","parse-names":false,"suffix":""},{"dropping-particle":"","family":"Riemann","given":"Bryan L.","non-dropping-particle":"","parse-names":false,"suffix":""},{"dropping-particle":"","family":"Riemann","given":"Laurel","non-dropping-particle":"","parse-names":false,"suffix":""},{"dropping-particle":"","family":"Moalla","given":"Wassim","non-dropping-particle":"","parse-names":false,"suffix":""},{"dropping-particle":"","family":"Gómez-Raja","given":"Jonathan","non-dropping-particle":"","parse-names":false,"suffix":""},{"dropping-particle":"","family":"Epstein","given":"Monique","non-dropping-particle":"","parse-names":false,"suffix":""},{"dropping-particle":"","family":"Sanderman","given":"Robbert","non-dropping-particle":"","parse-names":false,"suffix":""},{"dropping-particle":"","family":"Schulz","given":"Sebastian V.W.","non-dropping-particle":"","parse-names":false,"suffix":""},{"dropping-particle":"","family":"Jerg","given":"Achim","non-dropping-particle":"","parse-names":false,"suffix":""},{"dropping-particle":"","family":"Al-Horani","given":"Ramzi","non-dropping-particle":"","parse-names":false,"suffix":""},{"dropping-particle":"","family":"Mansi","given":"Taiysir","non-dropping-particle":"","parse-names":false,"suffix":""},{"dropping-particle":"","family":"Jmail","given":"Mohamed","non-dropping-particle":"","parse-names":false,"suffix":""},{"dropping-particle":"","family":"Barbosa","given":"Fernando","non-dropping-particle":"","parse-names":false,"suffix":""},{"dropping-particle":"","family":"Ferreira-Santos","given":"Fernando","non-dropping-particle":"","parse-names":false,"suffix":""},{"dropping-particle":"","family":"Šimunič","given":"Boštjan","non-dropping-particle":"","parse-names":false,"suffix":""},{"dropping-particle":"","family":"Pišot","given":"Rado","non-dropping-particle":"","parse-names":false,"suffix":""},{"dropping-particle":"","family":"Gaggioli","given":"Andrea","non-dropping-particle":"","parse-names":false,"suffix":""},{"dropping-particle":"","family":"Bailey","given":"Stephen J.","non-dropping-particle":"","parse-names":false,"suffix":""},{"dropping-particle":"","family":"Steinacker","given":"Jürgen M.","non-dropping-particle":"","parse-names":false,"suffix":""},{"dropping-particle":"","family":"Driss","given":"Tarak","non-dropping-particle":"","parse-names":false,"suffix":""},{"dropping-particle":"","family":"Hoekelmann","given":"Anita","non-dropping-particle":"","parse-names":false,"suffix":""}],"container-title":"Nutrients","id":"ITEM-1","issue":"6","issued":{"date-parts":[["2020","6","1"]]},"publisher":"MDPI AG","title":"Effects of COVID-19 home confinement on eating behaviour and physical activity: Results of the ECLB-COVID19 international online survey","type":"article-journal","volume":"12"},"uris":["http://www.mendeley.com/documents/?uuid=6dfabc0c-e0ea-39a8-a5f5-a0a6db48f15e"]},{"id":"ITEM-2","itemData":{"DOI":"10.1017/dmp.2020.237","ISSN":"1938744X","PMID":"32660669","abstract":"Abstract:Background: The outbreak of novel coronavirus (COVID-19) provided an opportunity to undertake an online survey to study the relationships between body weight changes with changes in physical activity and lifestyle during an unusual event of forced isolation or quarantine.Methods: We distributed an electronic questionnaire using the popular social application WeChat to adults from any province of China except Hubei Province, the epicenter of the outbreak. The questionnaire asked for demographic information, body weight, physical activity and lifestyle factors before, during the quarantine.Results: Of 376 questionnaires returned, 339 were valid (90.2%). During the period of semi-lockdown, both females and males with BMI &lt; 24 gained weight, while males with BMI ≥ 24 lost weight while females with BMI≥24 gained weight. The average steps per day and the average moderate or vigorous-intensity exercise declined significantly for both males and females during the semi-lockdown. Changes in body weight inversely correlated with changes in steps per day and moderate or vigorous-intensity exercise during the quarantine.Conclusions: Normal weight individuals, who are not normally troubled by overweight or obesity had less awareness of weight gain than people with a BMI≥24. Under the conditions of the semi-lockdown, they tended to gain weight.","author":[{"dropping-particle":"","family":"He","given":"Ming","non-dropping-particle":"","parse-names":false,"suffix":""},{"dropping-particle":"","family":"Xian","given":"Yin","non-dropping-particle":"","parse-names":false,"suffix":""},{"dropping-particle":"","family":"Lv","given":"Xiaodong","non-dropping-particle":"","parse-names":false,"suffix":""},{"dropping-particle":"","family":"He","given":"Jinsong","non-dropping-particle":"","parse-names":false,"suffix":""},{"dropping-particle":"","family":"Ren","given":"Yixing","non-dropping-particle":"","parse-names":false,"suffix":""}],"container-title":"Disaster Medicine and Public Health Preparedness","id":"ITEM-2","issued":{"date-parts":[["2020"]]},"page":"1-6","publisher":"Cambridge University Press","title":"Changes in body weight, physical activity and lifestyle during the semi-lockdown period after the outbreak of COVID-19 in China: An online survey","type":"article-journal"},"uris":["http://www.mendeley.com/documents/?uuid=c841026a-cbf1-3240-8ae7-7d2dd37d6b9c"]},{"id":"ITEM-3","itemData":{"DOI":"10.1016/j.pmedr.2020.101241","ISSN":"22113355","PMID":"33173751","abstract":"COVID-19 restrictions and social-distancing may inhibit adults from attaining recommended levels of physical activity. This study examined early impact of COVID-19 pandemic on physical activity in adults during the first two months of restrictions in the U.S. and how physical activity locations were associated with physical activity levels during this period. Adults (N = 268) completed an online survey between April 10-May 25, 2020. Participants reported minutes of vigorous, moderate, and walking physical activity for past 7 days (early-COVID-19) and for a typical week in February 2020 (pre-COVID-19). Adults reported locations (e.g., home/garage, parks/trails) were they were active over the past 7 days. Past 12-month step count data were extracted from participants’ personal smartphones. Participants (18–74 years old, 22% Hispanic/Latino, 81% female) showed reductions in vigorous (M diff = −66.9 min/week), moderate (M diff = −92.4 min/week), walking (M diff-70.8 min/week), and step counts (M diff = –2232 steps/day) from the pre- to early-COVID19 periods. Reductions in walking and steps were larger for low-income and Hispanic/Latino adults. During early-COVID19, more vigorous and moderate activity were reported by those who were active in their home/garage or driveway/yard, and more steps were recorded by those who were active on the roads in their neighborhood or at parks/trails. We observed a decline in adults’ physical activity during the first two months of the COVID-19 pandemic based on retrospective self-report and device-based measures. Although these restrictions were necessary to slow the spread of the virus, data indicate that there may be unintended consequences on health-related behaviors.","author":[{"dropping-particle":"","family":"Dunton","given":"Genevieve F.","non-dropping-particle":"","parse-names":false,"suffix":""},{"dropping-particle":"","family":"Wang","given":"Shirlene D.","non-dropping-particle":"","parse-names":false,"suffix":""},{"dropping-particle":"","family":"Do","given":"Bridgette","non-dropping-particle":"","parse-names":false,"suffix":""},{"dropping-particle":"","family":"Courtney","given":"Jimikaye","non-dropping-particle":"","parse-names":false,"suffix":""}],"container-title":"Preventive Medicine Reports","id":"ITEM-3","issued":{"date-parts":[["2020","12","1"]]},"page":"101241","publisher":"Elsevier Inc.","title":"Early effects of the COVID-19 pandemic on physical activity locations and behaviors in adults living in the United States","type":"article-journal","volume":"20"},"uris":["http://www.mendeley.com/documents/?uuid=1f99c7c3-18d0-3915-9745-c9b1b5dc121c"]}],"mendeley":{"formattedCitation":"[13,22,23]","plainTextFormattedCitation":"[13,22,23]","previouslyFormattedCitation":"[12,21,22]"},"properties":{"noteIndex":0},"schema":"https://github.com/citation-style-language/schema/raw/master/csl-citation.json"}</w:instrText>
      </w:r>
      <w:r w:rsidRPr="00526B14">
        <w:fldChar w:fldCharType="separate"/>
      </w:r>
      <w:r w:rsidR="008D04CE" w:rsidRPr="008D04CE">
        <w:rPr>
          <w:noProof/>
        </w:rPr>
        <w:t>[13,22,23]</w:t>
      </w:r>
      <w:r w:rsidRPr="00526B14">
        <w:fldChar w:fldCharType="end"/>
      </w:r>
      <w:r w:rsidRPr="00526B14">
        <w:t xml:space="preserve">. Moreover, in the study conducted by Ammar et al. (2020), including 35 research organizations from different continents, mean differences of 33.4% and 33.1% for MPA and VPA, were observed respectively </w:t>
      </w:r>
      <w:r w:rsidRPr="00526B14">
        <w:fldChar w:fldCharType="begin" w:fldLock="1"/>
      </w:r>
      <w:r w:rsidR="008D04CE">
        <w:instrText>ADDIN CSL_CITATION {"citationItems":[{"id":"ITEM-1","itemData":{"DOI":"10.3390/nu12061583","ISSN":"20726643","PMID":"32481594","abstract":"Background: Public health recommendations and governmental measures during the COVID-19 pandemic have resulted in numerous restrictions on daily living including social distancing, isolation and home confinement. While these measures are imperative to abate the spreading of COVID-19, the impact of these restrictions on health behaviours and lifestyles at home is undefined. Therefore, an international online survey was launched in April 2020, in seven languages, to elucidate the behavioural and lifestyle consequences of COVID-19 restrictions. This report presents the results from the first thousand responders on physical activity (PA) and nutrition behaviours. Methods: Following a structured review of the literature, the “Effects of home Confinement on multiple Lifestyle Behaviours during the COVID-19 outbreak (ECLB-COVID19)” Electronic survey was designed by a steering group of multidisciplinary scientists and academics. The survey was uploaded and shared on the Google online survey platform. Thirty-five research organisations from Europe, North-Africa, Western Asia and the Americas promoted the survey in English, German, French, Arabic, Spanish, Portuguese and Slovenian languages. Questions were presented in a differential format, with questions related to responses “before” and “during” confinement conditions. Results: 1047 replies (54% women) from Asia (36%), Africa (40%), Europe (21%) and other (3%) were included in the analysis. The COVID-19 home confinement had a negative effect on all PA intensity levels (vigorous, moderate, walking and overall). Additionally, daily sitting time increased from 5 to 8 h per day. Food consumption and meal patterns (the type of food, eating out of control, snacks between meals, number of main meals) were more unhealthy during confinement, with only alcohol binge drinking decreasing significantly. Conclusion: While isolation is a necessary measure to protect public health, results indicate that it alters physical activity and eating behaviours in a health compromising direction. A more detailed analysis of survey data will allow for a segregation of these responses in different age groups, countries and other subgroups, which will help develop interventions to mitigate the negative lifestyle behaviours that have manifested during the COVID-19 confinement.","author":[{"dropping-particle":"","family":"Ammar","given":"Achraf","non-dropping-particle":"","parse-names":false,"suffix":""},{"dropping-particle":"","family":"Brach","given":"Michael","non-dropping-particle":"","parse-names":false,"suffix":""},{"dropping-particle":"","family":"Trabelsi","given":"Khaled","non-dropping-particle":"","parse-names":false,"suffix":""},{"dropping-particle":"","family":"Chtourou","given":"Hamdi","non-dropping-particle":"","parse-names":false,"suffix":""},{"dropping-particle":"","family":"Boukhris","given":"Omar","non-dropping-particle":"","parse-names":false,"suffix":""},{"dropping-particle":"","family":"Masmoudi","given":"Liwa","non-dropping-particle":"","parse-names":false,"suffix":""},{"dropping-particle":"","family":"Bouaziz","given":"Bassem","non-dropping-particle":"","parse-names":false,"suffix":""},{"dropping-particle":"","family":"Bentlage","given":"Ellen","non-dropping-particle":"","parse-names":false,"suffix":""},{"dropping-particle":"","family":"How","given":"Daniella","non-dropping-particle":"","parse-names":false,"suffix":""},{"dropping-particle":"","family":"Ahmed","given":"Mona","non-dropping-particle":"","parse-names":false,"suffix":""},{"dropping-particle":"","family":"Müller","given":"Patrick","non-dropping-particle":"","parse-names":false,"suffix":""},{"dropping-particle":"","family":"Müller","given":"Notger","non-dropping-particle":"","parse-names":false,"suffix":""},{"dropping-particle":"","family":"Aloui","given":"Asma","non-dropping-particle":"","parse-names":false,"suffix":""},{"dropping-particle":"","family":"Hammouda","given":"Omar","non-dropping-particle":"","parse-names":false,"suffix":""},{"dropping-particle":"","family":"Paineiras-Domingos","given":"Laisa Liane","non-dropping-particle":"","parse-names":false,"suffix":""},{"dropping-particle":"","family":"Braakman-Jansen","given":"Annemarie","non-dropping-particle":"","parse-names":false,"suffix":""},{"dropping-particle":"","family":"Wrede","given":"Christian","non-dropping-particle":"","parse-names":false,"suffix":""},{"dropping-particle":"","family":"Bastoni","given":"Sofia","non-dropping-particle":"","parse-names":false,"suffix":""},{"dropping-particle":"","family":"Pernambuco","given":"Carlos Soares","non-dropping-particle":"","parse-names":false,"suffix":""},{"dropping-particle":"","family":"Mataruna","given":"Leonardo","non-dropping-particle":"","parse-names":false,"suffix":""},{"dropping-particle":"","family":"Taheri","given":"Morteza","non-dropping-particle":"","parse-names":false,"suffix":""},{"dropping-particle":"","family":"Irandoust","given":"Khadijeh","non-dropping-particle":"","parse-names":false,"suffix":""},{"dropping-particle":"","family":"Khacharem","given":"Aïmen","non-dropping-particle":"","parse-names":false,"suffix":""},{"dropping-particle":"","family":"Bragazzi","given":"Nicola L.","non-dropping-particle":"","parse-names":false,"suffix":""},{"dropping-particle":"","family":"Chamari","given":"Karim","non-dropping-particle":"","parse-names":false,"suffix":""},{"dropping-particle":"","family":"Glenn","given":"Jordan M.","non-dropping-particle":"","parse-names":false,"suffix":""},{"dropping-particle":"","family":"Bott","given":"Nicholas T.","non-dropping-particle":"","parse-names":false,"suffix":""},{"dropping-particle":"","family":"Gargouri","given":"Faiez","non-dropping-particle":"","parse-names":false,"suffix":""},{"dropping-particle":"","family":"Chaari","given":"Lotfi","non-dropping-particle":"","parse-names":false,"suffix":""},{"dropping-particle":"","family":"Batatia","given":"Hadj","non-dropping-particle":"","parse-names":false,"suffix":""},{"dropping-particle":"","family":"Ali","given":"Gamal Mohamed","non-dropping-particle":"","parse-names":false,"suffix":""},{"dropping-particle":"","family":"Abdelkarim","given":"Osama","non-dropping-particle":"","parse-names":false,"suffix":""},{"dropping-particle":"","family":"Jarraya","given":"Mohamed","non-dropping-particle":"","parse-names":false,"suffix":""},{"dropping-particle":"","family":"Abed","given":"Kais","non-dropping-particle":"El","parse-names":false,"suffix":""},{"dropping-particle":"","family":"Souissi","given":"Nizar","non-dropping-particle":"","parse-names":false,"suffix":""},{"dropping-particle":"","family":"Gemert-Pijnen","given":"Lisette","non-dropping-particle":"Van","parse-names":false,"suffix":""},{"dropping-particle":"","family":"Riemann","given":"Bryan L.","non-dropping-particle":"","parse-names":false,"suffix":""},{"dropping-particle":"","family":"Riemann","given":"Laurel","non-dropping-particle":"","parse-names":false,"suffix":""},{"dropping-particle":"","family":"Moalla","given":"Wassim","non-dropping-particle":"","parse-names":false,"suffix":""},{"dropping-particle":"","family":"Gómez-Raja","given":"Jonathan","non-dropping-particle":"","parse-names":false,"suffix":""},{"dropping-particle":"","family":"Epstein","given":"Monique","non-dropping-particle":"","parse-names":false,"suffix":""},{"dropping-particle":"","family":"Sanderman","given":"Robbert","non-dropping-particle":"","parse-names":false,"suffix":""},{"dropping-particle":"","family":"Schulz","given":"Sebastian V.W.","non-dropping-particle":"","parse-names":false,"suffix":""},{"dropping-particle":"","family":"Jerg","given":"Achim","non-dropping-particle":"","parse-names":false,"suffix":""},{"dropping-particle":"","family":"Al-Horani","given":"Ramzi","non-dropping-particle":"","parse-names":false,"suffix":""},{"dropping-particle":"","family":"Mansi","given":"Taiysir","non-dropping-particle":"","parse-names":false,"suffix":""},{"dropping-particle":"","family":"Jmail","given":"Mohamed","non-dropping-particle":"","parse-names":false,"suffix":""},{"dropping-particle":"","family":"Barbosa","given":"Fernando","non-dropping-particle":"","parse-names":false,"suffix":""},{"dropping-particle":"","family":"Ferreira-Santos","given":"Fernando","non-dropping-particle":"","parse-names":false,"suffix":""},{"dropping-particle":"","family":"Šimunič","given":"Boštjan","non-dropping-particle":"","parse-names":false,"suffix":""},{"dropping-particle":"","family":"Pišot","given":"Rado","non-dropping-particle":"","parse-names":false,"suffix":""},{"dropping-particle":"","family":"Gaggioli","given":"Andrea","non-dropping-particle":"","parse-names":false,"suffix":""},{"dropping-particle":"","family":"Bailey","given":"Stephen J.","non-dropping-particle":"","parse-names":false,"suffix":""},{"dropping-particle":"","family":"Steinacker","given":"Jürgen M.","non-dropping-particle":"","parse-names":false,"suffix":""},{"dropping-particle":"","family":"Driss","given":"Tarak","non-dropping-particle":"","parse-names":false,"suffix":""},{"dropping-particle":"","family":"Hoekelmann","given":"Anita","non-dropping-particle":"","parse-names":false,"suffix":""}],"container-title":"Nutrients","id":"ITEM-1","issue":"6","issued":{"date-parts":[["2020","6","1"]]},"publisher":"MDPI AG","title":"Effects of COVID-19 home confinement on eating behaviour and physical activity: Results of the ECLB-COVID19 international online survey","type":"article-journal","volume":"12"},"uris":["http://www.mendeley.com/documents/?uuid=6dfabc0c-e0ea-39a8-a5f5-a0a6db48f15e"]}],"mendeley":{"formattedCitation":"[22]","plainTextFormattedCitation":"[22]","previouslyFormattedCitation":"[21]"},"properties":{"noteIndex":0},"schema":"https://github.com/citation-style-language/schema/raw/master/csl-citation.json"}</w:instrText>
      </w:r>
      <w:r w:rsidRPr="00526B14">
        <w:fldChar w:fldCharType="separate"/>
      </w:r>
      <w:r w:rsidR="008D04CE" w:rsidRPr="008D04CE">
        <w:rPr>
          <w:noProof/>
        </w:rPr>
        <w:t>[22]</w:t>
      </w:r>
      <w:r w:rsidRPr="00526B14">
        <w:fldChar w:fldCharType="end"/>
      </w:r>
      <w:r w:rsidRPr="00526B14">
        <w:t xml:space="preserve">. However, their study had a higher proportion of males (46.2%), higher educational attainment (90.9%) and lower PA levels pre-isolation, thus, allowing for smaller differences between periods. Despite our findings, one study found </w:t>
      </w:r>
      <w:r w:rsidRPr="00526B14">
        <w:lastRenderedPageBreak/>
        <w:t xml:space="preserve">30 min/day differences in MPA only </w:t>
      </w:r>
      <w:r w:rsidRPr="00526B14">
        <w:fldChar w:fldCharType="begin" w:fldLock="1"/>
      </w:r>
      <w:r w:rsidR="008D04CE">
        <w:instrText>ADDIN CSL_CITATION {"citationItems":[{"id":"ITEM-1","itemData":{"DOI":"10.1093/eurpub/ckaa159","ISSN":"1101-1262","PMID":"32761181","abstract":"BACKGROUND This is the first study analysing levels of physical activity in a sample of quarantined adults with chronic conditions. The aim of this study was to compare moderate-intensity and vigorous-intensity physical activity levels in Spanish adults with chronic conditions before and during COVID-19 quarantine. METHODS A cross-sectional online survey was administered during the COVID-19 quarantine in Spain. A total of 163 participants with chronic conditions (113 females and 47 males; age range 18-64 years) completed the survey. A total of 26 chronic conditions were included. Participants self-reported average minutes/day of moderate and vigorous physical activity before and during quarantine. Differences in moderate-intensity physical activity and vigorous-intensity physical activity levels before and during COVID-19 quarantine (overall, by gender, by age, by number of chronic conditions and by each chronic condition) were assessed by Wilcoxon signed-rank test. RESULTS During COVID-19 quarantine, there was a significant decrease of moderate-intensity physical activity in Spanish people with chronic conditions (in both males and females, in those aged 18-24, 25-34, 35-44 and 55-64 years, in those with multimorbidity, in those with one/two chronic condition/s, and in those diagnosed with asthma/hypercholesterolemia/chronic skin disease/hemorrhoids). Also, there was a significant decrease of vigorous-intensity physical activity in Spanish males with chronic conditions and in those with multimorbidity. CONCLUSIONS These results should be considered to develop effective strategies of physical activity promotion targeting these specific groups when new quarantine or restriction measures are implemented, in order to avoid new significant decreases of physical activity in these vulnerable populations.","author":[{"dropping-particle":"","family":"López-Sánchez","given":"Guillermo F","non-dropping-particle":"","parse-names":false,"suffix":""},{"dropping-particle":"","family":"López-Bueno","given":"Rubén","non-dropping-particle":"","parse-names":false,"suffix":""},{"dropping-particle":"","family":"Gil-Salmerón","given":"Alejandro","non-dropping-particle":"","parse-names":false,"suffix":""},{"dropping-particle":"","family":"Zauder","given":"Roksana","non-dropping-particle":"","parse-names":false,"suffix":""},{"dropping-particle":"","family":"Skalska","given":"Maria","non-dropping-particle":"","parse-names":false,"suffix":""},{"dropping-particle":"","family":"Jastrzębska","given":"Joanna","non-dropping-particle":"","parse-names":false,"suffix":""},{"dropping-particle":"","family":"Jastrzębski","given":"Zbigniew","non-dropping-particle":"","parse-names":false,"suffix":""},{"dropping-particle":"","family":"Schuch","given":"Felipe B","non-dropping-particle":"","parse-names":false,"suffix":""},{"dropping-particle":"","family":"Grabovac","given":"Igor","non-dropping-particle":"","parse-names":false,"suffix":""},{"dropping-particle":"","family":"Tully","given":"Mark A","non-dropping-particle":"","parse-names":false,"suffix":""},{"dropping-particle":"","family":"Smith","given":"Lee","non-dropping-particle":"","parse-names":false,"suffix":""}],"container-title":"European Journal of Public Health","id":"ITEM-1","issue":"1","issued":{"date-parts":[["2021","2","1"]]},"page":"161-166","publisher":"Oxford University Press (OUP)","title":"Comparison of physical activity levels in Spanish adults with chronic conditions before and during COVID-19 quarantine","type":"article-journal","volume":"31"},"uris":["http://www.mendeley.com/documents/?uuid=b8394a85-7dfa-394f-b1ee-82e41296a00a"]}],"mendeley":{"formattedCitation":"[24]","plainTextFormattedCitation":"[24]","previouslyFormattedCitation":"[23]"},"properties":{"noteIndex":0},"schema":"https://github.com/citation-style-language/schema/raw/master/csl-citation.json"}</w:instrText>
      </w:r>
      <w:r w:rsidRPr="00526B14">
        <w:fldChar w:fldCharType="separate"/>
      </w:r>
      <w:r w:rsidR="008D04CE" w:rsidRPr="008D04CE">
        <w:rPr>
          <w:noProof/>
        </w:rPr>
        <w:t>[24]</w:t>
      </w:r>
      <w:r w:rsidRPr="00526B14">
        <w:fldChar w:fldCharType="end"/>
      </w:r>
      <w:r w:rsidRPr="00526B14">
        <w:t xml:space="preserve">, while another, 37 min/day variation in VPA exclusively </w:t>
      </w:r>
      <w:r w:rsidRPr="00526B14">
        <w:fldChar w:fldCharType="begin" w:fldLock="1"/>
      </w:r>
      <w:r w:rsidR="008D04CE">
        <w:instrText>ADDIN CSL_CITATION {"citationItems":[{"id":"ITEM-1","itemData":{"DOI":"10.3390/ijerph17186878","ISSN":"16604601","PMID":"32967091","abstract":"Background: The lockdown and social distancing caused by COVID-19 may influence common health behavior. The unprecedent worldwide confinement, in which Spain has been one of the most affected—with severe rules governing confinement—may have changed physical activity (PA) and sedentary habits due to prolonged stays at home. Purpose: The aim of this study is to evaluate how self-reported PA and sedentary time (ST) have changed during confinement in the Spanish population. Methods: 3800 healthy adults (age 18–64 years) residing in Spain answered the international physical activity questionnaire short (IPAQ-S) twice between 23 March and 1 April (confinement). Data analysis was carried out taking into consideration meeting general PA recommendations before confinement, age and gender. Results: Self-reported PA decreased significantly during confinement in our sample. Vigorous physical activities (VPA) and walking time decreased by 16.8% (p &lt; 0.001) and 58.2% (p &lt; 0.001), respectively, whereas ST increased by 23.8% (p &lt; 0.001). The percent of people fulfilling the 75 min/week of VPA recommendation decreased by 10.7% (p &lt; 0.001) while the percent of people who reached 150 min/week of moderate activity barely changed (1.4%). The group that performed the most VPA before confinement showed the greatest decrease (30.5%, p &lt; 0.001). Men reduced time in VPA more than women (21% vs. 9%, respectively) who even increased time in moderate PA by 11% (p &lt; 0.05) and reported less increase in ST than men (35% vs. 25.3%, respectively). Conclusion: The Spanish adult population, especially young people, students and very active men, decreased daily self-reported PA and increased ST during COVID-19 confinement.","author":[{"dropping-particle":"","family":"Castañeda-Babarro","given":"Arkaitz","non-dropping-particle":"","parse-names":false,"suffix":""},{"dropping-particle":"","family":"Coca","given":"Aitor","non-dropping-particle":"","parse-names":false,"suffix":""},{"dropping-particle":"","family":"Arbillaga-Etxarri","given":"Ane","non-dropping-particle":"","parse-names":false,"suffix":""},{"dropping-particle":"","family":"Gutiérrez-Santamaría","given":"Borja","non-dropping-particle":"","parse-names":false,"suffix":""}],"container-title":"International Journal of Environmental Research and Public Health","id":"ITEM-1","issue":"18","issued":{"date-parts":[["2020","9","1"]]},"page":"1-10","publisher":"MDPI AG","title":"Physical activity change during COVID-19 confinement","type":"article-journal","volume":"17"},"uris":["http://www.mendeley.com/documents/?uuid=c9ee5357-80b5-39de-9d9c-928ae3647a08"]}],"mendeley":{"formattedCitation":"[25]","plainTextFormattedCitation":"[25]","previouslyFormattedCitation":"[24]"},"properties":{"noteIndex":0},"schema":"https://github.com/citation-style-language/schema/raw/master/csl-citation.json"}</w:instrText>
      </w:r>
      <w:r w:rsidRPr="00526B14">
        <w:fldChar w:fldCharType="separate"/>
      </w:r>
      <w:r w:rsidR="008D04CE" w:rsidRPr="008D04CE">
        <w:rPr>
          <w:noProof/>
        </w:rPr>
        <w:t>[25]</w:t>
      </w:r>
      <w:r w:rsidRPr="00526B14">
        <w:fldChar w:fldCharType="end"/>
      </w:r>
      <w:r w:rsidRPr="00526B14">
        <w:t xml:space="preserve">. These differences in MPA but not in VPA could be attributed to their sample inclusion criteria, as all participants declared having chronic conditions, experiencing greater limitations for VPA </w:t>
      </w:r>
      <w:r w:rsidRPr="00526B14">
        <w:fldChar w:fldCharType="begin" w:fldLock="1"/>
      </w:r>
      <w:r w:rsidR="008D04CE">
        <w:instrText>ADDIN CSL_CITATION {"citationItems":[{"id":"ITEM-1","itemData":{"DOI":"10.1093/eurpub/ckaa159","ISSN":"1101-1262","PMID":"32761181","abstract":"BACKGROUND This is the first study analysing levels of physical activity in a sample of quarantined adults with chronic conditions. The aim of this study was to compare moderate-intensity and vigorous-intensity physical activity levels in Spanish adults with chronic conditions before and during COVID-19 quarantine. METHODS A cross-sectional online survey was administered during the COVID-19 quarantine in Spain. A total of 163 participants with chronic conditions (113 females and 47 males; age range 18-64 years) completed the survey. A total of 26 chronic conditions were included. Participants self-reported average minutes/day of moderate and vigorous physical activity before and during quarantine. Differences in moderate-intensity physical activity and vigorous-intensity physical activity levels before and during COVID-19 quarantine (overall, by gender, by age, by number of chronic conditions and by each chronic condition) were assessed by Wilcoxon signed-rank test. RESULTS During COVID-19 quarantine, there was a significant decrease of moderate-intensity physical activity in Spanish people with chronic conditions (in both males and females, in those aged 18-24, 25-34, 35-44 and 55-64 years, in those with multimorbidity, in those with one/two chronic condition/s, and in those diagnosed with asthma/hypercholesterolemia/chronic skin disease/hemorrhoids). Also, there was a significant decrease of vigorous-intensity physical activity in Spanish males with chronic conditions and in those with multimorbidity. CONCLUSIONS These results should be considered to develop effective strategies of physical activity promotion targeting these specific groups when new quarantine or restriction measures are implemented, in order to avoid new significant decreases of physical activity in these vulnerable populations.","author":[{"dropping-particle":"","family":"López-Sánchez","given":"Guillermo F","non-dropping-particle":"","parse-names":false,"suffix":""},{"dropping-particle":"","family":"López-Bueno","given":"Rubén","non-dropping-particle":"","parse-names":false,"suffix":""},{"dropping-particle":"","family":"Gil-Salmerón","given":"Alejandro","non-dropping-particle":"","parse-names":false,"suffix":""},{"dropping-particle":"","family":"Zauder","given":"Roksana","non-dropping-particle":"","parse-names":false,"suffix":""},{"dropping-particle":"","family":"Skalska","given":"Maria","non-dropping-particle":"","parse-names":false,"suffix":""},{"dropping-particle":"","family":"Jastrzębska","given":"Joanna","non-dropping-particle":"","parse-names":false,"suffix":""},{"dropping-particle":"","family":"Jastrzębski","given":"Zbigniew","non-dropping-particle":"","parse-names":false,"suffix":""},{"dropping-particle":"","family":"Schuch","given":"Felipe B","non-dropping-particle":"","parse-names":false,"suffix":""},{"dropping-particle":"","family":"Grabovac","given":"Igor","non-dropping-particle":"","parse-names":false,"suffix":""},{"dropping-particle":"","family":"Tully","given":"Mark A","non-dropping-particle":"","parse-names":false,"suffix":""},{"dropping-particle":"","family":"Smith","given":"Lee","non-dropping-particle":"","parse-names":false,"suffix":""}],"container-title":"European Journal of Public Health","id":"ITEM-1","issue":"1","issued":{"date-parts":[["2021","2","1"]]},"page":"161-166","publisher":"Oxford University Press (OUP)","title":"Comparison of physical activity levels in Spanish adults with chronic conditions before and during COVID-19 quarantine","type":"article-journal","volume":"31"},"uris":["http://www.mendeley.com/documents/?uuid=b8394a85-7dfa-394f-b1ee-82e41296a00a"]}],"mendeley":{"formattedCitation":"[24]","plainTextFormattedCitation":"[24]","previouslyFormattedCitation":"[23]"},"properties":{"noteIndex":0},"schema":"https://github.com/citation-style-language/schema/raw/master/csl-citation.json"}</w:instrText>
      </w:r>
      <w:r w:rsidRPr="00526B14">
        <w:fldChar w:fldCharType="separate"/>
      </w:r>
      <w:r w:rsidR="008D04CE" w:rsidRPr="008D04CE">
        <w:rPr>
          <w:noProof/>
        </w:rPr>
        <w:t>[24]</w:t>
      </w:r>
      <w:r w:rsidRPr="00526B14">
        <w:fldChar w:fldCharType="end"/>
      </w:r>
      <w:r w:rsidRPr="00526B14">
        <w:t xml:space="preserve">. On the other hand, VPA reductions per se, could be due to the closure of sport facilities or restrictions in green spaces, whereas levels of MPA may had been sustained with alternative activities at home, including PA online classes </w:t>
      </w:r>
      <w:r w:rsidRPr="00526B14">
        <w:fldChar w:fldCharType="begin" w:fldLock="1"/>
      </w:r>
      <w:r w:rsidR="008D04CE">
        <w:instrText>ADDIN CSL_CITATION {"citationItems":[{"id":"ITEM-1","itemData":{"DOI":"10.3390/ijerph17186878","ISSN":"16604601","PMID":"32967091","abstract":"Background: The lockdown and social distancing caused by COVID-19 may influence common health behavior. The unprecedent worldwide confinement, in which Spain has been one of the most affected—with severe rules governing confinement—may have changed physical activity (PA) and sedentary habits due to prolonged stays at home. Purpose: The aim of this study is to evaluate how self-reported PA and sedentary time (ST) have changed during confinement in the Spanish population. Methods: 3800 healthy adults (age 18–64 years) residing in Spain answered the international physical activity questionnaire short (IPAQ-S) twice between 23 March and 1 April (confinement). Data analysis was carried out taking into consideration meeting general PA recommendations before confinement, age and gender. Results: Self-reported PA decreased significantly during confinement in our sample. Vigorous physical activities (VPA) and walking time decreased by 16.8% (p &lt; 0.001) and 58.2% (p &lt; 0.001), respectively, whereas ST increased by 23.8% (p &lt; 0.001). The percent of people fulfilling the 75 min/week of VPA recommendation decreased by 10.7% (p &lt; 0.001) while the percent of people who reached 150 min/week of moderate activity barely changed (1.4%). The group that performed the most VPA before confinement showed the greatest decrease (30.5%, p &lt; 0.001). Men reduced time in VPA more than women (21% vs. 9%, respectively) who even increased time in moderate PA by 11% (p &lt; 0.05) and reported less increase in ST than men (35% vs. 25.3%, respectively). Conclusion: The Spanish adult population, especially young people, students and very active men, decreased daily self-reported PA and increased ST during COVID-19 confinement.","author":[{"dropping-particle":"","family":"Castañeda-Babarro","given":"Arkaitz","non-dropping-particle":"","parse-names":false,"suffix":""},{"dropping-particle":"","family":"Coca","given":"Aitor","non-dropping-particle":"","parse-names":false,"suffix":""},{"dropping-particle":"","family":"Arbillaga-Etxarri","given":"Ane","non-dropping-particle":"","parse-names":false,"suffix":""},{"dropping-particle":"","family":"Gutiérrez-Santamaría","given":"Borja","non-dropping-particle":"","parse-names":false,"suffix":""}],"container-title":"International Journal of Environmental Research and Public Health","id":"ITEM-1","issue":"18","issued":{"date-parts":[["2020","9","1"]]},"page":"1-10","publisher":"MDPI AG","title":"Physical activity change during COVID-19 confinement","type":"article-journal","volume":"17"},"uris":["http://www.mendeley.com/documents/?uuid=c9ee5357-80b5-39de-9d9c-928ae3647a08"]},{"id":"ITEM-2","itemData":{"DOI":"10.1016/j.pmedr.2020.101241","ISSN":"22113355","PMID":"33173751","abstract":"COVID-19 restrictions and social-distancing may inhibit adults from attaining recommended levels of physical activity. This study examined early impact of COVID-19 pandemic on physical activity in adults during the first two months of restrictions in the U.S. and how physical activity locations were associated with physical activity levels during this period. Adults (N = 268) completed an online survey between April 10-May 25, 2020. Participants reported minutes of vigorous, moderate, and walking physical activity for past 7 days (early-COVID-19) and for a typical week in February 2020 (pre-COVID-19). Adults reported locations (e.g., home/garage, parks/trails) were they were active over the past 7 days. Past 12-month step count data were extracted from participants’ personal smartphones. Participants (18–74 years old, 22% Hispanic/Latino, 81% female) showed reductions in vigorous (M diff = −66.9 min/week), moderate (M diff = −92.4 min/week), walking (M diff-70.8 min/week), and step counts (M diff = –2232 steps/day) from the pre- to early-COVID19 periods. Reductions in walking and steps were larger for low-income and Hispanic/Latino adults. During early-COVID19, more vigorous and moderate activity were reported by those who were active in their home/garage or driveway/yard, and more steps were recorded by those who were active on the roads in their neighborhood or at parks/trails. We observed a decline in adults’ physical activity during the first two months of the COVID-19 pandemic based on retrospective self-report and device-based measures. Although these restrictions were necessary to slow the spread of the virus, data indicate that there may be unintended consequences on health-related behaviors.","author":[{"dropping-particle":"","family":"Dunton","given":"Genevieve F.","non-dropping-particle":"","parse-names":false,"suffix":""},{"dropping-particle":"","family":"Wang","given":"Shirlene D.","non-dropping-particle":"","parse-names":false,"suffix":""},{"dropping-particle":"","family":"Do","given":"Bridgette","non-dropping-particle":"","parse-names":false,"suffix":""},{"dropping-particle":"","family":"Courtney","given":"Jimikaye","non-dropping-particle":"","parse-names":false,"suffix":""}],"container-title":"Preventive Medicine Reports","id":"ITEM-2","issued":{"date-parts":[["2020","12","1"]]},"page":"101241","publisher":"Elsevier Inc.","title":"Early effects of the COVID-19 pandemic on physical activity locations and behaviors in adults living in the United States","type":"article-journal","volume":"20"},"uris":["http://www.mendeley.com/documents/?uuid=1f99c7c3-18d0-3915-9745-c9b1b5dc121c"]}],"mendeley":{"formattedCitation":"[13,25]","plainTextFormattedCitation":"[13,25]","previouslyFormattedCitation":"[12,24]"},"properties":{"noteIndex":0},"schema":"https://github.com/citation-style-language/schema/raw/master/csl-citation.json"}</w:instrText>
      </w:r>
      <w:r w:rsidRPr="00526B14">
        <w:fldChar w:fldCharType="separate"/>
      </w:r>
      <w:r w:rsidR="008D04CE" w:rsidRPr="008D04CE">
        <w:rPr>
          <w:noProof/>
        </w:rPr>
        <w:t>[13,25]</w:t>
      </w:r>
      <w:r w:rsidRPr="00526B14">
        <w:fldChar w:fldCharType="end"/>
      </w:r>
      <w:r w:rsidRPr="00526B14">
        <w:t>.  </w:t>
      </w:r>
    </w:p>
    <w:p w14:paraId="073565D6" w14:textId="77777777" w:rsidR="00526B14" w:rsidRPr="00740A5A" w:rsidRDefault="00526B14" w:rsidP="00526B14">
      <w:pPr>
        <w:pStyle w:val="MDPI31text"/>
      </w:pPr>
    </w:p>
    <w:p w14:paraId="269086DB" w14:textId="20840552" w:rsidR="00526B14" w:rsidRDefault="00526B14" w:rsidP="00526B14">
      <w:pPr>
        <w:pStyle w:val="MDPI31text"/>
      </w:pPr>
      <w:r w:rsidRPr="00526B14">
        <w:t xml:space="preserve">Sedentary behaviors such as ST and SE increased significantly (ST: d = 0.91; SE d = 1.11), especially in women and in young adults, being consistent with other studies from the United States and Spain </w:t>
      </w:r>
      <w:r w:rsidRPr="00526B14">
        <w:fldChar w:fldCharType="begin" w:fldLock="1"/>
      </w:r>
      <w:r w:rsidR="008D04CE">
        <w:instrText>ADDIN CSL_CITATION {"citationItems":[{"id":"ITEM-1","itemData":{"DOI":"10.3390/ijerph17186878","ISSN":"16604601","PMID":"32967091","abstract":"Background: The lockdown and social distancing caused by COVID-19 may influence common health behavior. The unprecedent worldwide confinement, in which Spain has been one of the most affected—with severe rules governing confinement—may have changed physical activity (PA) and sedentary habits due to prolonged stays at home. Purpose: The aim of this study is to evaluate how self-reported PA and sedentary time (ST) have changed during confinement in the Spanish population. Methods: 3800 healthy adults (age 18–64 years) residing in Spain answered the international physical activity questionnaire short (IPAQ-S) twice between 23 March and 1 April (confinement). Data analysis was carried out taking into consideration meeting general PA recommendations before confinement, age and gender. Results: Self-reported PA decreased significantly during confinement in our sample. Vigorous physical activities (VPA) and walking time decreased by 16.8% (p &lt; 0.001) and 58.2% (p &lt; 0.001), respectively, whereas ST increased by 23.8% (p &lt; 0.001). The percent of people fulfilling the 75 min/week of VPA recommendation decreased by 10.7% (p &lt; 0.001) while the percent of people who reached 150 min/week of moderate activity barely changed (1.4%). The group that performed the most VPA before confinement showed the greatest decrease (30.5%, p &lt; 0.001). Men reduced time in VPA more than women (21% vs. 9%, respectively) who even increased time in moderate PA by 11% (p &lt; 0.05) and reported less increase in ST than men (35% vs. 25.3%, respectively). Conclusion: The Spanish adult population, especially young people, students and very active men, decreased daily self-reported PA and increased ST during COVID-19 confinement.","author":[{"dropping-particle":"","family":"Castañeda-Babarro","given":"Arkaitz","non-dropping-particle":"","parse-names":false,"suffix":""},{"dropping-particle":"","family":"Coca","given":"Aitor","non-dropping-particle":"","parse-names":false,"suffix":""},{"dropping-particle":"","family":"Arbillaga-Etxarri","given":"Ane","non-dropping-particle":"","parse-names":false,"suffix":""},{"dropping-particle":"","family":"Gutiérrez-Santamaría","given":"Borja","non-dropping-particle":"","parse-names":false,"suffix":""}],"container-title":"International Journal of Environmental Research and Public Health","id":"ITEM-1","issue":"18","issued":{"date-parts":[["2020","9","1"]]},"page":"1-10","publisher":"MDPI AG","title":"Physical activity change during COVID-19 confinement","type":"article-journal","volume":"17"},"uris":["http://www.mendeley.com/documents/?uuid=c9ee5357-80b5-39de-9d9c-928ae3647a08"]},{"id":"ITEM-2","itemData":{"DOI":"10.1016/j.pmedr.2020.101256","ISSN":"22113355","abstract":"The COVID-19 pandemic significantly altered much of US life with shifts to working-from-home and social distancing changing day-to-day behavior. We aimed to determine the self-reported prevalence of meeting US physical activity guidelines, stratified by sitting time during the early lockdown phase of COVID-19 in US adults. We conducted two cross-sectional internet-based studies April 3rd-May 4th, 2020 in convenience samples of US adults. Participants self-reported daily sitting time and weekly moderate-to-vigorous physical activity (MVPA) via questions from the International Physical Activity Questionnaire. A total of 5036 US adults (65.3% women, 30.2% with chronic conditions) provided complete physical activity and sitting time data (80.3% of total). Overall, 42.6% of participants reported sitting for &gt; 8 h/day (95% CI: 41.2%–44.0%) and 72.5% (71.2%–73.7%) reported being either sufficiently (150–300 MVPA minutes) or highly active (&gt;300 min). The greatest proportion of people self-reported being highly active and sitting for &gt; 8 h/day (24.0%; 22.8%-25.2%), followed by being highly active and sitting for 6–8 h/day (20.9%; 19.8%–22.1%). Sitting and activity appeared similar between sexes, while there was evidence of some age differences. For example, more young adults (ages 18–34) appeared to self-report being inactive and more appeared to sit for &gt; 8 h/day compared to older adults. High sitting time was reported by US adults (&gt;40% sitting &gt; 8 h/day) during April 2020. However, high levels of physical activity (&gt;70% meeting guidelines) were also reported. Since physical activity cannot eliminate the negative health effects of sitting, maintaining activity and limiting sitting during periods of large workplace and societal shifts is encouraged.","author":[{"dropping-particle":"","family":"Meyer","given":"Jacob","non-dropping-particle":"","parse-names":false,"suffix":""},{"dropping-particle":"","family":"Herring","given":"Matthew","non-dropping-particle":"","parse-names":false,"suffix":""},{"dropping-particle":"","family":"McDowell","given":"Cillian","non-dropping-particle":"","parse-names":false,"suffix":""},{"dropping-particle":"","family":"Lansing","given":"Jeni","non-dropping-particle":"","parse-names":false,"suffix":""},{"dropping-particle":"","family":"Brower","given":"Cassandra","non-dropping-particle":"","parse-names":false,"suffix":""},{"dropping-particle":"","family":"Schuch","given":"Felipe","non-dropping-particle":"","parse-names":false,"suffix":""},{"dropping-particle":"","family":"Smith","given":"Lee","non-dropping-particle":"","parse-names":false,"suffix":""},{"dropping-particle":"","family":"Tully","given":"Mark","non-dropping-particle":"","parse-names":false,"suffix":""},{"dropping-particle":"","family":"Martin","given":"Joel","non-dropping-particle":"","parse-names":false,"suffix":""},{"dropping-particle":"","family":"Caswell","given":"Shane","non-dropping-particle":"","parse-names":false,"suffix":""},{"dropping-particle":"","family":"Cortes","given":"Nelson","non-dropping-particle":"","parse-names":false,"suffix":""},{"dropping-particle":"","family":"Boolani","given":"Ali","non-dropping-particle":"","parse-names":false,"suffix":""}],"container-title":"Preventive Medicine Reports","id":"ITEM-2","issued":{"date-parts":[["2020","12","1"]]},"page":"101256","publisher":"Elsevier Inc.","title":"Joint prevalence of physical activity and sitting time during COVID-19 among US adults in April 2020","type":"article-journal","volume":"20"},"uris":["http://www.mendeley.com/documents/?uuid=5097edb5-beee-3979-bb1c-25a15f962d55"]}],"mendeley":{"formattedCitation":"[25,26]","plainTextFormattedCitation":"[25,26]","previouslyFormattedCitation":"[24,25]"},"properties":{"noteIndex":0},"schema":"https://github.com/citation-style-language/schema/raw/master/csl-citation.json"}</w:instrText>
      </w:r>
      <w:r w:rsidRPr="00526B14">
        <w:fldChar w:fldCharType="separate"/>
      </w:r>
      <w:r w:rsidR="008D04CE" w:rsidRPr="008D04CE">
        <w:rPr>
          <w:noProof/>
        </w:rPr>
        <w:t>[25,26]</w:t>
      </w:r>
      <w:r w:rsidRPr="00526B14">
        <w:fldChar w:fldCharType="end"/>
      </w:r>
      <w:r w:rsidRPr="00526B14">
        <w:t xml:space="preserve">. This increase among those aged 18-24 years during lockdowns could be explained by university campus shutdowns shifting to online classes summed with restrictions on movement and social life. Focusing on the differences of ST, our study found a 73.30% increase during isolation, percentages which are comparable with other studies </w:t>
      </w:r>
      <w:r w:rsidRPr="00526B14">
        <w:fldChar w:fldCharType="begin" w:fldLock="1"/>
      </w:r>
      <w:r w:rsidR="008D04CE">
        <w:instrText>ADDIN CSL_CITATION {"citationItems":[{"id":"ITEM-1","itemData":{"DOI":"10.3390/nu12061583","ISSN":"20726643","PMID":"32481594","abstract":"Background: Public health recommendations and governmental measures during the COVID-19 pandemic have resulted in numerous restrictions on daily living including social distancing, isolation and home confinement. While these measures are imperative to abate the spreading of COVID-19, the impact of these restrictions on health behaviours and lifestyles at home is undefined. Therefore, an international online survey was launched in April 2020, in seven languages, to elucidate the behavioural and lifestyle consequences of COVID-19 restrictions. This report presents the results from the first thousand responders on physical activity (PA) and nutrition behaviours. Methods: Following a structured review of the literature, the “Effects of home Confinement on multiple Lifestyle Behaviours during the COVID-19 outbreak (ECLB-COVID19)” Electronic survey was designed by a steering group of multidisciplinary scientists and academics. The survey was uploaded and shared on the Google online survey platform. Thirty-five research organisations from Europe, North-Africa, Western Asia and the Americas promoted the survey in English, German, French, Arabic, Spanish, Portuguese and Slovenian languages. Questions were presented in a differential format, with questions related to responses “before” and “during” confinement conditions. Results: 1047 replies (54% women) from Asia (36%), Africa (40%), Europe (21%) and other (3%) were included in the analysis. The COVID-19 home confinement had a negative effect on all PA intensity levels (vigorous, moderate, walking and overall). Additionally, daily sitting time increased from 5 to 8 h per day. Food consumption and meal patterns (the type of food, eating out of control, snacks between meals, number of main meals) were more unhealthy during confinement, with only alcohol binge drinking decreasing significantly. Conclusion: While isolation is a necessary measure to protect public health, results indicate that it alters physical activity and eating behaviours in a health compromising direction. A more detailed analysis of survey data will allow for a segregation of these responses in different age groups, countries and other subgroups, which will help develop interventions to mitigate the negative lifestyle behaviours that have manifested during the COVID-19 confinement.","author":[{"dropping-particle":"","family":"Ammar","given":"Achraf","non-dropping-particle":"","parse-names":false,"suffix":""},{"dropping-particle":"","family":"Brach","given":"Michael","non-dropping-particle":"","parse-names":false,"suffix":""},{"dropping-particle":"","family":"Trabelsi","given":"Khaled","non-dropping-particle":"","parse-names":false,"suffix":""},{"dropping-particle":"","family":"Chtourou","given":"Hamdi","non-dropping-particle":"","parse-names":false,"suffix":""},{"dropping-particle":"","family":"Boukhris","given":"Omar","non-dropping-particle":"","parse-names":false,"suffix":""},{"dropping-particle":"","family":"Masmoudi","given":"Liwa","non-dropping-particle":"","parse-names":false,"suffix":""},{"dropping-particle":"","family":"Bouaziz","given":"Bassem","non-dropping-particle":"","parse-names":false,"suffix":""},{"dropping-particle":"","family":"Bentlage","given":"Ellen","non-dropping-particle":"","parse-names":false,"suffix":""},{"dropping-particle":"","family":"How","given":"Daniella","non-dropping-particle":"","parse-names":false,"suffix":""},{"dropping-particle":"","family":"Ahmed","given":"Mona","non-dropping-particle":"","parse-names":false,"suffix":""},{"dropping-particle":"","family":"Müller","given":"Patrick","non-dropping-particle":"","parse-names":false,"suffix":""},{"dropping-particle":"","family":"Müller","given":"Notger","non-dropping-particle":"","parse-names":false,"suffix":""},{"dropping-particle":"","family":"Aloui","given":"Asma","non-dropping-particle":"","parse-names":false,"suffix":""},{"dropping-particle":"","family":"Hammouda","given":"Omar","non-dropping-particle":"","parse-names":false,"suffix":""},{"dropping-particle":"","family":"Paineiras-Domingos","given":"Laisa Liane","non-dropping-particle":"","parse-names":false,"suffix":""},{"dropping-particle":"","family":"Braakman-Jansen","given":"Annemarie","non-dropping-particle":"","parse-names":false,"suffix":""},{"dropping-particle":"","family":"Wrede","given":"Christian","non-dropping-particle":"","parse-names":false,"suffix":""},{"dropping-particle":"","family":"Bastoni","given":"Sofia","non-dropping-particle":"","parse-names":false,"suffix":""},{"dropping-particle":"","family":"Pernambuco","given":"Carlos Soares","non-dropping-particle":"","parse-names":false,"suffix":""},{"dropping-particle":"","family":"Mataruna","given":"Leonardo","non-dropping-particle":"","parse-names":false,"suffix":""},{"dropping-particle":"","family":"Taheri","given":"Morteza","non-dropping-particle":"","parse-names":false,"suffix":""},{"dropping-particle":"","family":"Irandoust","given":"Khadijeh","non-dropping-particle":"","parse-names":false,"suffix":""},{"dropping-particle":"","family":"Khacharem","given":"Aïmen","non-dropping-particle":"","parse-names":false,"suffix":""},{"dropping-particle":"","family":"Bragazzi","given":"Nicola L.","non-dropping-particle":"","parse-names":false,"suffix":""},{"dropping-particle":"","family":"Chamari","given":"Karim","non-dropping-particle":"","parse-names":false,"suffix":""},{"dropping-particle":"","family":"Glenn","given":"Jordan M.","non-dropping-particle":"","parse-names":false,"suffix":""},{"dropping-particle":"","family":"Bott","given":"Nicholas T.","non-dropping-particle":"","parse-names":false,"suffix":""},{"dropping-particle":"","family":"Gargouri","given":"Faiez","non-dropping-particle":"","parse-names":false,"suffix":""},{"dropping-particle":"","family":"Chaari","given":"Lotfi","non-dropping-particle":"","parse-names":false,"suffix":""},{"dropping-particle":"","family":"Batatia","given":"Hadj","non-dropping-particle":"","parse-names":false,"suffix":""},{"dropping-particle":"","family":"Ali","given":"Gamal Mohamed","non-dropping-particle":"","parse-names":false,"suffix":""},{"dropping-particle":"","family":"Abdelkarim","given":"Osama","non-dropping-particle":"","parse-names":false,"suffix":""},{"dropping-particle":"","family":"Jarraya","given":"Mohamed","non-dropping-particle":"","parse-names":false,"suffix":""},{"dropping-particle":"","family":"Abed","given":"Kais","non-dropping-particle":"El","parse-names":false,"suffix":""},{"dropping-particle":"","family":"Souissi","given":"Nizar","non-dropping-particle":"","parse-names":false,"suffix":""},{"dropping-particle":"","family":"Gemert-Pijnen","given":"Lisette","non-dropping-particle":"Van","parse-names":false,"suffix":""},{"dropping-particle":"","family":"Riemann","given":"Bryan L.","non-dropping-particle":"","parse-names":false,"suffix":""},{"dropping-particle":"","family":"Riemann","given":"Laurel","non-dropping-particle":"","parse-names":false,"suffix":""},{"dropping-particle":"","family":"Moalla","given":"Wassim","non-dropping-particle":"","parse-names":false,"suffix":""},{"dropping-particle":"","family":"Gómez-Raja","given":"Jonathan","non-dropping-particle":"","parse-names":false,"suffix":""},{"dropping-particle":"","family":"Epstein","given":"Monique","non-dropping-particle":"","parse-names":false,"suffix":""},{"dropping-particle":"","family":"Sanderman","given":"Robbert","non-dropping-particle":"","parse-names":false,"suffix":""},{"dropping-particle":"","family":"Schulz","given":"Sebastian V.W.","non-dropping-particle":"","parse-names":false,"suffix":""},{"dropping-particle":"","family":"Jerg","given":"Achim","non-dropping-particle":"","parse-names":false,"suffix":""},{"dropping-particle":"","family":"Al-Horani","given":"Ramzi","non-dropping-particle":"","parse-names":false,"suffix":""},{"dropping-particle":"","family":"Mansi","given":"Taiysir","non-dropping-particle":"","parse-names":false,"suffix":""},{"dropping-particle":"","family":"Jmail","given":"Mohamed","non-dropping-particle":"","parse-names":false,"suffix":""},{"dropping-particle":"","family":"Barbosa","given":"Fernando","non-dropping-particle":"","parse-names":false,"suffix":""},{"dropping-particle":"","family":"Ferreira-Santos","given":"Fernando","non-dropping-particle":"","parse-names":false,"suffix":""},{"dropping-particle":"","family":"Šimunič","given":"Boštjan","non-dropping-particle":"","parse-names":false,"suffix":""},{"dropping-particle":"","family":"Pišot","given":"Rado","non-dropping-particle":"","parse-names":false,"suffix":""},{"dropping-particle":"","family":"Gaggioli","given":"Andrea","non-dropping-particle":"","parse-names":false,"suffix":""},{"dropping-particle":"","family":"Bailey","given":"Stephen J.","non-dropping-particle":"","parse-names":false,"suffix":""},{"dropping-particle":"","family":"Steinacker","given":"Jürgen M.","non-dropping-particle":"","parse-names":false,"suffix":""},{"dropping-particle":"","family":"Driss","given":"Tarak","non-dropping-particle":"","parse-names":false,"suffix":""},{"dropping-particle":"","family":"Hoekelmann","given":"Anita","non-dropping-particle":"","parse-names":false,"suffix":""}],"container-title":"Nutrients","id":"ITEM-1","issue":"6","issued":{"date-parts":[["2020","6","1"]]},"publisher":"MDPI AG","title":"Effects of COVID-19 home confinement on eating behaviour and physical activity: Results of the ECLB-COVID19 international online survey","type":"article-journal","volume":"12"},"uris":["http://www.mendeley.com/documents/?uuid=6dfabc0c-e0ea-39a8-a5f5-a0a6db48f15e"]},{"id":"ITEM-2","itemData":{"DOI":"10.3390/ijerph17186878","ISSN":"16604601","PMID":"32967091","abstract":"Background: The lockdown and social distancing caused by COVID-19 may influence common health behavior. The unprecedent worldwide confinement, in which Spain has been one of the most affected—with severe rules governing confinement—may have changed physical activity (PA) and sedentary habits due to prolonged stays at home. Purpose: The aim of this study is to evaluate how self-reported PA and sedentary time (ST) have changed during confinement in the Spanish population. Methods: 3800 healthy adults (age 18–64 years) residing in Spain answered the international physical activity questionnaire short (IPAQ-S) twice between 23 March and 1 April (confinement). Data analysis was carried out taking into consideration meeting general PA recommendations before confinement, age and gender. Results: Self-reported PA decreased significantly during confinement in our sample. Vigorous physical activities (VPA) and walking time decreased by 16.8% (p &lt; 0.001) and 58.2% (p &lt; 0.001), respectively, whereas ST increased by 23.8% (p &lt; 0.001). The percent of people fulfilling the 75 min/week of VPA recommendation decreased by 10.7% (p &lt; 0.001) while the percent of people who reached 150 min/week of moderate activity barely changed (1.4%). The group that performed the most VPA before confinement showed the greatest decrease (30.5%, p &lt; 0.001). Men reduced time in VPA more than women (21% vs. 9%, respectively) who even increased time in moderate PA by 11% (p &lt; 0.05) and reported less increase in ST than men (35% vs. 25.3%, respectively). Conclusion: The Spanish adult population, especially young people, students and very active men, decreased daily self-reported PA and increased ST during COVID-19 confinement.","author":[{"dropping-particle":"","family":"Castañeda-Babarro","given":"Arkaitz","non-dropping-particle":"","parse-names":false,"suffix":""},{"dropping-particle":"","family":"Coca","given":"Aitor","non-dropping-particle":"","parse-names":false,"suffix":""},{"dropping-particle":"","family":"Arbillaga-Etxarri","given":"Ane","non-dropping-particle":"","parse-names":false,"suffix":""},{"dropping-particle":"","family":"Gutiérrez-Santamaría","given":"Borja","non-dropping-particle":"","parse-names":false,"suffix":""}],"container-title":"International Journal of Environmental Research and Public Health","id":"ITEM-2","issue":"18","issued":{"date-parts":[["2020","9","1"]]},"page":"1-10","publisher":"MDPI AG","title":"Physical activity change during COVID-19 confinement","type":"article-journal","volume":"17"},"uris":["http://www.mendeley.com/documents/?uuid=c9ee5357-80b5-39de-9d9c-928ae3647a08"]}],"mendeley":{"formattedCitation":"[22,25]","plainTextFormattedCitation":"[22,25]","previouslyFormattedCitation":"[21,24]"},"properties":{"noteIndex":0},"schema":"https://github.com/citation-style-language/schema/raw/master/csl-citation.json"}</w:instrText>
      </w:r>
      <w:r w:rsidRPr="00526B14">
        <w:fldChar w:fldCharType="separate"/>
      </w:r>
      <w:r w:rsidR="008D04CE" w:rsidRPr="008D04CE">
        <w:rPr>
          <w:noProof/>
        </w:rPr>
        <w:t>[22,25]</w:t>
      </w:r>
      <w:r w:rsidRPr="00526B14">
        <w:fldChar w:fldCharType="end"/>
      </w:r>
      <w:r w:rsidRPr="00526B14">
        <w:t xml:space="preserve"> but much higher than one study observed that was carried out in Scotland </w:t>
      </w:r>
      <w:r w:rsidRPr="00526B14">
        <w:fldChar w:fldCharType="begin" w:fldLock="1"/>
      </w:r>
      <w:r w:rsidR="008D04CE">
        <w:instrText>ADDIN CSL_CITATION {"citationItems":[{"id":"ITEM-1","itemData":{"DOI":"10.3390/ijerph17249362","ISSN":"1660-4601","abstract":"&lt;p&gt;We examine the impact of the COVID-19 outbreak and concomitant restrictions (i.e., lockdown) on 24-hour movement behaviors (i.e., physical activity, sitting, sleep) in a purposive sample of people (n = 3230) reporting change recruited online. Participants’ self-reported time spent in moderate-to-vigorous physical activity (MVPA), walking, sitting and sleep prior to lockdown (T1), during the first national lockdown (T2) and as restrictions initially started to ease (T3). For each 24-hour movement behavior, category-shifts are reported (positive, negative or did not change), as well as the percentage of participants recording positive/negative changes across clusters of behaviors and the percentage of participants recording improvement or maintenance of change across time. From T1 to T2 walking decreased, whereas MVPA, sitting and sleep increased, from T2 to T3 levels returned to pre-lockdown for all but MVPA. Participants who changed one behavior positively were more likely to report a positive change in another and 50% of those who reported positive changes from T1 to T2 maintained or improved further when restrictions started to ease. The current study showed that a large proportion of the sample reported positive changes, most notably those displaying initially poor levels of each behavior. These findings will inform salutogenic intervention development.&lt;/p&gt;","author":[{"dropping-particle":"","family":"Janssen","given":"Xanne","non-dropping-particle":"","parse-names":false,"suffix":""},{"dropping-particle":"","family":"Fleming","given":"Leanne","non-dropping-particle":"","parse-names":false,"suffix":""},{"dropping-particle":"","family":"Kirk","given":"Alison","non-dropping-particle":"","parse-names":false,"suffix":""},{"dropping-particle":"","family":"Rollins","given":"Lesley","non-dropping-particle":"","parse-names":false,"suffix":""},{"dropping-particle":"","family":"Young","given":"David","non-dropping-particle":"","parse-names":false,"suffix":""},{"dropping-particle":"","family":"Grealy","given":"Madeleine","non-dropping-particle":"","parse-names":false,"suffix":""},{"dropping-particle":"","family":"MacDonald","given":"Bradley","non-dropping-particle":"","parse-names":false,"suffix":""},{"dropping-particle":"","family":"Flowers","given":"Paul","non-dropping-particle":"","parse-names":false,"suffix":""},{"dropping-particle":"","family":"Williams","given":"Lynn","non-dropping-particle":"","parse-names":false,"suffix":""}],"container-title":"International Journal of Environmental Research and Public Health","id":"ITEM-1","issue":"24","issued":{"date-parts":[["2020","12","14"]]},"page":"9362","publisher":"MDPI AG","title":"Changes in Physical Activity, Sitting and Sleep across the COVID-19 National Lockdown Period in Scotland","type":"article-journal","volume":"17"},"uris":["http://www.mendeley.com/documents/?uuid=6648008d-759d-33a3-ac54-4cfcb75d6321"]}],"mendeley":{"formattedCitation":"[27]","plainTextFormattedCitation":"[27]","previouslyFormattedCitation":"[26]"},"properties":{"noteIndex":0},"schema":"https://github.com/citation-style-language/schema/raw/master/csl-citation.json"}</w:instrText>
      </w:r>
      <w:r w:rsidRPr="00526B14">
        <w:fldChar w:fldCharType="separate"/>
      </w:r>
      <w:r w:rsidR="008D04CE" w:rsidRPr="008D04CE">
        <w:rPr>
          <w:noProof/>
        </w:rPr>
        <w:t>[27]</w:t>
      </w:r>
      <w:r w:rsidRPr="00526B14">
        <w:fldChar w:fldCharType="end"/>
      </w:r>
      <w:r w:rsidRPr="00526B14">
        <w:t>, which only found a 29.1 min/day mean difference. Differences between studies could be due to a younger population sample (50+: 27.8% in the present report vs 45.8%) and lower ST pre-lockdown in the present study. </w:t>
      </w:r>
    </w:p>
    <w:p w14:paraId="24DB25BD" w14:textId="77777777" w:rsidR="00526B14" w:rsidRDefault="00526B14" w:rsidP="00526B14">
      <w:pPr>
        <w:pStyle w:val="MDPI31text"/>
      </w:pPr>
    </w:p>
    <w:p w14:paraId="0C9B1E9D" w14:textId="5FEF699F" w:rsidR="00526B14" w:rsidRPr="00526B14" w:rsidRDefault="00526B14" w:rsidP="00526B14">
      <w:pPr>
        <w:pStyle w:val="MDPI31text"/>
      </w:pPr>
      <w:r w:rsidRPr="00526B14">
        <w:t xml:space="preserve">Pre-lockdowns findings suggest that 8 out of 10 participants reported meeting PA recommendations, which is consistent with a study from the United States </w:t>
      </w:r>
      <w:r w:rsidRPr="00526B14">
        <w:fldChar w:fldCharType="begin" w:fldLock="1"/>
      </w:r>
      <w:r w:rsidR="008D04CE">
        <w:instrText>ADDIN CSL_CITATION {"citationItems":[{"id":"ITEM-1","itemData":{"DOI":"10.3390/ijerph17176268","ISSN":"1660-4601","abstract":"&lt;p&gt;The COVID-19 pandemic, and resultant “Stay-at-Home” orders, may have impacted adults’ positive health behaviors (sleep, physical activity) and negative health behaviors (alcohol consumption, drug use, and tobacco use). The purpose of this study was to investigate how these health behaviors changed (increased/improved or decreased/worsened) at the early stages of the pandemic, what participant characteristics were associated with health behavior changes, and why these behavioral changes may have occurred. A convenience sample of 1809 adults residing in the United States completed a 15-min self-report questionnaire in April and May 2020. Multinomial logistic regressions and descriptive statistics were used to evaluate how, for whom, and why these health behaviors changed. Participants were primarily female (67.4%), aged 35–49 years (39.8%), college graduates (83.3%), non-tobacco users (74.7%), and had previously used marijuana (48.6%). Overall, participants primarily reported a decrease in physical activity, while sleep and all of the negative health behaviors remained the same. Changes in negative health behaviors were related (p &amp;lt; 0.05) to sex, age, parental status, educational status, job status, BMI, and depression scores. Changes in positive health behaviors were related (p &amp;lt; 0.05) to sex, parental status, job status, and depression scores. Having more time available during the pandemic was the most commonly cited reason for changing health behaviors (negative and positive). Public health efforts should address the potential for long-term health consequences due to behavior change during COVID-19.&lt;/p&gt;","author":[{"dropping-particle":"","family":"Knell","given":"Gregory","non-dropping-particle":"","parse-names":false,"suffix":""},{"dropping-particle":"","family":"Robertson","given":"Michael C.","non-dropping-particle":"","parse-names":false,"suffix":""},{"dropping-particle":"","family":"Dooley","given":"Erin E.","non-dropping-particle":"","parse-names":false,"suffix":""},{"dropping-particle":"","family":"Burford","given":"Katie","non-dropping-particle":"","parse-names":false,"suffix":""},{"dropping-particle":"","family":"Mendez","given":"Karla S.","non-dropping-particle":"","parse-names":false,"suffix":""}],"container-title":"International Journal of Environmental Research and Public Health","id":"ITEM-1","issue":"17","issued":{"date-parts":[["2020","8","28"]]},"page":"6268","publisher":"MDPI AG","title":"Health Behavior Changes During COVID-19 Pandemic and Subsequent “Stay-at-Home” Orders","type":"article-journal","volume":"17"},"uris":["http://www.mendeley.com/documents/?uuid=d5227085-4ea2-3ad1-80db-aa176762a5ed"]}],"mendeley":{"formattedCitation":"[28]","plainTextFormattedCitation":"[28]","previouslyFormattedCitation":"[27]"},"properties":{"noteIndex":0},"schema":"https://github.com/citation-style-language/schema/raw/master/csl-citation.json"}</w:instrText>
      </w:r>
      <w:r w:rsidRPr="00526B14">
        <w:fldChar w:fldCharType="separate"/>
      </w:r>
      <w:r w:rsidR="008D04CE" w:rsidRPr="008D04CE">
        <w:rPr>
          <w:noProof/>
        </w:rPr>
        <w:t>[28]</w:t>
      </w:r>
      <w:r w:rsidRPr="00526B14">
        <w:fldChar w:fldCharType="end"/>
      </w:r>
      <w:r w:rsidRPr="00526B14">
        <w:t xml:space="preserve">, but higher than one conducted in Italy </w:t>
      </w:r>
      <w:r w:rsidRPr="00526B14">
        <w:fldChar w:fldCharType="begin" w:fldLock="1"/>
      </w:r>
      <w:r w:rsidR="008D04CE">
        <w:instrText>ADDIN CSL_CITATION {"citationItems":[{"id":"ITEM-1","itemData":{"DOI":"10.3390/ijerph17176287","ISSN":"1660-4601","abstract":"&lt;p&gt;Background: The confinement recommended during COVID-19 pandemic could affect behavior and health. Methods: We conducted a self-reported survey in northern Italy to observe the lockdown effects on lifestyle changes and to assess their determinants. Prevalence Odds Ratio and Prevalence Risk Ratio were determined. Results: 490 adults (84% female) completed the survey: 13% and 43% reported improved and unchanged sleep quality, respectively, while 43% had insomnia symptoms. Among the 272 active subjects in pre-lockdown, 14% continued habitual exercising, 18% increased it and 68% reduced it; 27% of sedentary subjects started physical exercise; 34% reported an improvement in diet quality; 42% increased food intake and 13% decreased it; and 38% of the smokers increased cigarette consumption. Age and the pre-lockdown habit of regular physical exercising were the mainly determinants of lifestyle changes whereas BMI, gender, and the presence of chronic diseases did not. Living with other people increased the likelihood of increasing the food intake (p = 0.002). Conclusions: More than a third of people were able to positively reorganize their lives during the forced home confinement. It is worth to disseminate information to preserve a healthy lifestyle even when confined at home.&lt;/p&gt;","author":[{"dropping-particle":"","family":"Cancello","given":"Raffaella","non-dropping-particle":"","parse-names":false,"suffix":""},{"dropping-particle":"","family":"Soranna","given":"Davide","non-dropping-particle":"","parse-names":false,"suffix":""},{"dropping-particle":"","family":"Zambra","given":"Gaia","non-dropping-particle":"","parse-names":false,"suffix":""},{"dropping-particle":"","family":"Zambon","given":"Antonella","non-dropping-particle":"","parse-names":false,"suffix":""},{"dropping-particle":"","family":"Invitti","given":"Cecilia","non-dropping-particle":"","parse-names":false,"suffix":""}],"container-title":"International Journal of Environmental Research and Public Health","id":"ITEM-1","issue":"17","issued":{"date-parts":[["2020","8","28"]]},"page":"6287","publisher":"MDPI AG","title":"Determinants of the Lifestyle Changes during COVID-19 Pandemic in the Residents of Northern Italy","type":"article-journal","volume":"17"},"uris":["http://www.mendeley.com/documents/?uuid=1d6dfb52-62ea-3267-91b0-622bbeaa7062"]}],"mendeley":{"formattedCitation":"[29]","plainTextFormattedCitation":"[29]","previouslyFormattedCitation":"[28]"},"properties":{"noteIndex":0},"schema":"https://github.com/citation-style-language/schema/raw/master/csl-citation.json"}</w:instrText>
      </w:r>
      <w:r w:rsidRPr="00526B14">
        <w:fldChar w:fldCharType="separate"/>
      </w:r>
      <w:r w:rsidR="008D04CE" w:rsidRPr="008D04CE">
        <w:rPr>
          <w:noProof/>
        </w:rPr>
        <w:t>[29]</w:t>
      </w:r>
      <w:r w:rsidRPr="00526B14">
        <w:fldChar w:fldCharType="end"/>
      </w:r>
      <w:r w:rsidRPr="00526B14">
        <w:t xml:space="preserve">, which found a 55.5% prevalence. However, when analyzing changes during lockdown, our study found a 26.5% reduction in PA levels, in comparison to the 39.0% and 63.0% in the aforementioned studies. This lower reduction in the present study could be due to the overrepresentation of women being inactive at baseline, and not including walking as PA, clearly reducing this behavior with the “stay at home” advice. On the other hand, 4.6% of inactive participants became active, figures which are significantly lower than other studies which found a 25.2% and 22.0% increase </w:t>
      </w:r>
      <w:r w:rsidRPr="00526B14">
        <w:fldChar w:fldCharType="begin" w:fldLock="1"/>
      </w:r>
      <w:r w:rsidR="008D04CE">
        <w:instrText>ADDIN CSL_CITATION {"citationItems":[{"id":"ITEM-1","itemData":{"DOI":"10.3390/ijerph17176268","ISSN":"1660-4601","abstract":"&lt;p&gt;The COVID-19 pandemic, and resultant “Stay-at-Home” orders, may have impacted adults’ positive health behaviors (sleep, physical activity) and negative health behaviors (alcohol consumption, drug use, and tobacco use). The purpose of this study was to investigate how these health behaviors changed (increased/improved or decreased/worsened) at the early stages of the pandemic, what participant characteristics were associated with health behavior changes, and why these behavioral changes may have occurred. A convenience sample of 1809 adults residing in the United States completed a 15-min self-report questionnaire in April and May 2020. Multinomial logistic regressions and descriptive statistics were used to evaluate how, for whom, and why these health behaviors changed. Participants were primarily female (67.4%), aged 35–49 years (39.8%), college graduates (83.3%), non-tobacco users (74.7%), and had previously used marijuana (48.6%). Overall, participants primarily reported a decrease in physical activity, while sleep and all of the negative health behaviors remained the same. Changes in negative health behaviors were related (p &amp;lt; 0.05) to sex, age, parental status, educational status, job status, BMI, and depression scores. Changes in positive health behaviors were related (p &amp;lt; 0.05) to sex, parental status, job status, and depression scores. Having more time available during the pandemic was the most commonly cited reason for changing health behaviors (negative and positive). Public health efforts should address the potential for long-term health consequences due to behavior change during COVID-19.&lt;/p&gt;","author":[{"dropping-particle":"","family":"Knell","given":"Gregory","non-dropping-particle":"","parse-names":false,"suffix":""},{"dropping-particle":"","family":"Robertson","given":"Michael C.","non-dropping-particle":"","parse-names":false,"suffix":""},{"dropping-particle":"","family":"Dooley","given":"Erin E.","non-dropping-particle":"","parse-names":false,"suffix":""},{"dropping-particle":"","family":"Burford","given":"Katie","non-dropping-particle":"","parse-names":false,"suffix":""},{"dropping-particle":"","family":"Mendez","given":"Karla S.","non-dropping-particle":"","parse-names":false,"suffix":""}],"container-title":"International Journal of Environmental Research and Public Health","id":"ITEM-1","issue":"17","issued":{"date-parts":[["2020","8","28"]]},"page":"6268","publisher":"MDPI AG","title":"Health Behavior Changes During COVID-19 Pandemic and Subsequent “Stay-at-Home” Orders","type":"article-journal","volume":"17"},"uris":["http://www.mendeley.com/documents/?uuid=d5227085-4ea2-3ad1-80db-aa176762a5ed"]},{"id":"ITEM-2","itemData":{"DOI":"10.3390/ijerph17176287","ISSN":"1660-4601","abstract":"&lt;p&gt;Background: The confinement recommended during COVID-19 pandemic could affect behavior and health. Methods: We conducted a self-reported survey in northern Italy to observe the lockdown effects on lifestyle changes and to assess their determinants. Prevalence Odds Ratio and Prevalence Risk Ratio were determined. Results: 490 adults (84% female) completed the survey: 13% and 43% reported improved and unchanged sleep quality, respectively, while 43% had insomnia symptoms. Among the 272 active subjects in pre-lockdown, 14% continued habitual exercising, 18% increased it and 68% reduced it; 27% of sedentary subjects started physical exercise; 34% reported an improvement in diet quality; 42% increased food intake and 13% decreased it; and 38% of the smokers increased cigarette consumption. Age and the pre-lockdown habit of regular physical exercising were the mainly determinants of lifestyle changes whereas BMI, gender, and the presence of chronic diseases did not. Living with other people increased the likelihood of increasing the food intake (p = 0.002). Conclusions: More than a third of people were able to positively reorganize their lives during the forced home confinement. It is worth to disseminate information to preserve a healthy lifestyle even when confined at home.&lt;/p&gt;","author":[{"dropping-particle":"","family":"Cancello","given":"Raffaella","non-dropping-particle":"","parse-names":false,"suffix":""},{"dropping-particle":"","family":"Soranna","given":"Davide","non-dropping-particle":"","parse-names":false,"suffix":""},{"dropping-particle":"","family":"Zambra","given":"Gaia","non-dropping-particle":"","parse-names":false,"suffix":""},{"dropping-particle":"","family":"Zambon","given":"Antonella","non-dropping-particle":"","parse-names":false,"suffix":""},{"dropping-particle":"","family":"Invitti","given":"Cecilia","non-dropping-particle":"","parse-names":false,"suffix":""}],"container-title":"International Journal of Environmental Research and Public Health","id":"ITEM-2","issue":"17","issued":{"date-parts":[["2020","8","28"]]},"page":"6287","publisher":"MDPI AG","title":"Determinants of the Lifestyle Changes during COVID-19 Pandemic in the Residents of Northern Italy","type":"article-journal","volume":"17"},"uris":["http://www.mendeley.com/documents/?uuid=1d6dfb52-62ea-3267-91b0-622bbeaa7062"]}],"mendeley":{"formattedCitation":"[28,29]","plainTextFormattedCitation":"[28,29]","previouslyFormattedCitation":"[27,28]"},"properties":{"noteIndex":0},"schema":"https://github.com/citation-style-language/schema/raw/master/csl-citation.json"}</w:instrText>
      </w:r>
      <w:r w:rsidRPr="00526B14">
        <w:fldChar w:fldCharType="separate"/>
      </w:r>
      <w:r w:rsidR="008D04CE" w:rsidRPr="008D04CE">
        <w:rPr>
          <w:noProof/>
        </w:rPr>
        <w:t>[28,29]</w:t>
      </w:r>
      <w:r w:rsidRPr="00526B14">
        <w:fldChar w:fldCharType="end"/>
      </w:r>
      <w:r w:rsidRPr="00526B14">
        <w:t xml:space="preserve">. Also, changes among active participants during the lockdown are higher in 15.6% than the observed in Italy </w:t>
      </w:r>
      <w:r w:rsidRPr="00526B14">
        <w:fldChar w:fldCharType="begin" w:fldLock="1"/>
      </w:r>
      <w:r w:rsidR="008D04CE">
        <w:instrText>ADDIN CSL_CITATION {"citationItems":[{"id":"ITEM-1","itemData":{"DOI":"10.3390/ijerph17176287","ISSN":"1660-4601","abstract":"&lt;p&gt;Background: The confinement recommended during COVID-19 pandemic could affect behavior and health. Methods: We conducted a self-reported survey in northern Italy to observe the lockdown effects on lifestyle changes and to assess their determinants. Prevalence Odds Ratio and Prevalence Risk Ratio were determined. Results: 490 adults (84% female) completed the survey: 13% and 43% reported improved and unchanged sleep quality, respectively, while 43% had insomnia symptoms. Among the 272 active subjects in pre-lockdown, 14% continued habitual exercising, 18% increased it and 68% reduced it; 27% of sedentary subjects started physical exercise; 34% reported an improvement in diet quality; 42% increased food intake and 13% decreased it; and 38% of the smokers increased cigarette consumption. Age and the pre-lockdown habit of regular physical exercising were the mainly determinants of lifestyle changes whereas BMI, gender, and the presence of chronic diseases did not. Living with other people increased the likelihood of increasing the food intake (p = 0.002). Conclusions: More than a third of people were able to positively reorganize their lives during the forced home confinement. It is worth to disseminate information to preserve a healthy lifestyle even when confined at home.&lt;/p&gt;","author":[{"dropping-particle":"","family":"Cancello","given":"Raffaella","non-dropping-particle":"","parse-names":false,"suffix":""},{"dropping-particle":"","family":"Soranna","given":"Davide","non-dropping-particle":"","parse-names":false,"suffix":""},{"dropping-particle":"","family":"Zambra","given":"Gaia","non-dropping-particle":"","parse-names":false,"suffix":""},{"dropping-particle":"","family":"Zambon","given":"Antonella","non-dropping-particle":"","parse-names":false,"suffix":""},{"dropping-particle":"","family":"Invitti","given":"Cecilia","non-dropping-particle":"","parse-names":false,"suffix":""}],"container-title":"International Journal of Environmental Research and Public Health","id":"ITEM-1","issue":"17","issued":{"date-parts":[["2020","8","28"]]},"page":"6287","publisher":"MDPI AG","title":"Determinants of the Lifestyle Changes during COVID-19 Pandemic in the Residents of Northern Italy","type":"article-journal","volume":"17"},"uris":["http://www.mendeley.com/documents/?uuid=1d6dfb52-62ea-3267-91b0-622bbeaa7062"]}],"mendeley":{"formattedCitation":"[29]","plainTextFormattedCitation":"[29]","previouslyFormattedCitation":"[28]"},"properties":{"noteIndex":0},"schema":"https://github.com/citation-style-language/schema/raw/master/csl-citation.json"}</w:instrText>
      </w:r>
      <w:r w:rsidRPr="00526B14">
        <w:fldChar w:fldCharType="separate"/>
      </w:r>
      <w:r w:rsidR="008D04CE" w:rsidRPr="008D04CE">
        <w:rPr>
          <w:noProof/>
        </w:rPr>
        <w:t>[29]</w:t>
      </w:r>
      <w:r w:rsidRPr="00526B14">
        <w:fldChar w:fldCharType="end"/>
      </w:r>
      <w:r w:rsidRPr="00526B14">
        <w:t>.</w:t>
      </w:r>
    </w:p>
    <w:p w14:paraId="35F23052" w14:textId="77777777" w:rsidR="00526B14" w:rsidRPr="00526B14" w:rsidRDefault="00526B14" w:rsidP="00526B14">
      <w:pPr>
        <w:pStyle w:val="MDPI31text"/>
      </w:pPr>
    </w:p>
    <w:p w14:paraId="273497FA" w14:textId="34039ADF" w:rsidR="00526B14" w:rsidRPr="00526B14" w:rsidRDefault="00526B14" w:rsidP="00526B14">
      <w:pPr>
        <w:pStyle w:val="MDPI31text"/>
      </w:pPr>
      <w:r w:rsidRPr="00526B14">
        <w:t xml:space="preserve">Current research on the interaction between PA and sedentary behavior is that high levels of PA has a protective effect over the adverse health effects of sedentary behavior </w:t>
      </w:r>
      <w:r w:rsidRPr="00526B14">
        <w:fldChar w:fldCharType="begin" w:fldLock="1"/>
      </w:r>
      <w:r w:rsidR="008D04CE">
        <w:instrText>ADDIN CSL_CITATION {"citationItems":[{"id":"ITEM-1","itemData":{"DOI":"10.1016/S0140-6736(16)30370-1","ISSN":"01406736","author":[{"dropping-particle":"","family":"Ekelund","given":"Ulf","non-dropping-particle":"","parse-names":false,"suffix":""},{"dropping-particle":"","family":"Steene-Johannessen","given":"Jostein","non-dropping-particle":"","parse-names":false,"suffix":""},{"dropping-particle":"","family":"Brown","given":"Wendy J","non-dropping-particle":"","parse-names":false,"suffix":""},{"dropping-particle":"","family":"Fagerland","given":"Morten Wang","non-dropping-particle":"","parse-names":false,"suffix":""},{"dropping-particle":"","family":"Owen","given":"Neville","non-dropping-particle":"","parse-names":false,"suffix":""},{"dropping-particle":"","family":"Powell","given":"Kenneth E","non-dropping-particle":"","parse-names":false,"suffix":""},{"dropping-particle":"","family":"Bauman","given":"Adrian","non-dropping-particle":"","parse-names":false,"suffix":""},{"dropping-particle":"","family":"Lee","given":"I-Min","non-dropping-particle":"","parse-names":false,"suffix":""},{"dropping-particle":"","family":"Committee","given":"Lancet Physical Activity Series 2 Executive","non-dropping-particle":"","parse-names":false,"suffix":""},{"dropping-particle":"","family":"Group","given":"Lancet Sedentary Behaviour Working","non-dropping-particle":"","parse-names":false,"suffix":""}],"container-title":"The Lancet","id":"ITEM-1","issued":{"date-parts":[["2016","7"]]},"publisher":"The Lancet Publishing Group","title":"Does physical activity attenuate, or even eliminate, the detrimental association of sitting time with mortality? A harmonised meta-analysis of data from more than 1 million men and women","type":"article-journal"},"uris":["http://www.mendeley.com/documents/?uuid=9f4d4673-e1b6-3349-ab69-ccc38a547179"]},{"id":"ITEM-2","itemData":{"DOI":"10.1249/MSS.0000000000001935","ISSN":"15300315","PMID":"31095080","abstract":"Purpose To provide an overview of relationships between sedentary behavior and mortality as well as incidence of several noncommunicable diseases and weight status reported in the 2018 Physical Activity Guidelines Advisory Committee Scientific Report (2018 PAGAC Scientific Report), and to update the evidence from recent studies. Methods Evidence related to sedentary behavior in the 2018 PAGAC Scientific Report was summarized, and a systematic review was undertaken to identify original studies published between January 2017 and February 2018. Results The 2018 PAGAC Scientific Report concluded there was strong evidence that high amounts of sedentary behavior increase the risk for all-cause and cardiovascular disease (CVD) mortality and incident CVD and type 2 diabetes. Moderate evidence indicated sedentary behavior is associated with incident endometrial, colon and lung cancer. Limited evidence suggested sedentary behavior is associated with cancer mortality and weight status. There was strong evidence that the hazardous effects of sedentary behavior are more pronounced in physically inactive people. Evidence was insufficient to determine if bout length or breaks in sedentary behavior are associated with health outcomes. The new literature search yielded seven new studies for all-cause mortality, two for CVD mortality, two for cancer mortality, four for type 2 diabetes, one for weight status, and four for cancer; no new studies were identified for CVD incidence. Results of the new studies supported the conclusions in the 2018 PAGAC Scientific Report. Conclusions The results of the updated search add further evidence on the association between sedentary behavior and health. Further research is required on how sex, age, race/ethnicity, socioeconomic status, and weight status may modify associations between sedentary behavior and health outcomes.","author":[{"dropping-particle":"","family":"Katzmarzyk","given":"Peter T.","non-dropping-particle":"","parse-names":false,"suffix":""},{"dropping-particle":"","family":"Powell","given":"Kenneth E.","non-dropping-particle":"","parse-names":false,"suffix":""},{"dropping-particle":"","family":"Jakicic","given":"John M.","non-dropping-particle":"","parse-names":false,"suffix":""},{"dropping-particle":"","family":"Troiano","given":"Richard P.","non-dropping-particle":"","parse-names":false,"suffix":""},{"dropping-particle":"","family":"Piercy","given":"Katrina","non-dropping-particle":"","parse-names":false,"suffix":""},{"dropping-particle":"","family":"Tennant","given":"Bethany","non-dropping-particle":"","parse-names":false,"suffix":""}],"container-title":"Medicine and Science in Sports and Exercise","id":"ITEM-2","issue":"6","issued":{"date-parts":[["2019","6","1"]]},"page":"1227-1241","publisher":"Lippincott Williams and Wilkins","title":"Sedentary Behavior and Health: Update from the 2018 Physical Activity Guidelines Advisory Committee","type":"article-journal","volume":"51"},"uris":["http://www.mendeley.com/documents/?uuid=14b32126-6faf-3ee4-990d-2fa2dc94a9ea"]}],"mendeley":{"formattedCitation":"[10,20]","plainTextFormattedCitation":"[10,20]","previouslyFormattedCitation":"[19,29]"},"properties":{"noteIndex":0},"schema":"https://github.com/citation-style-language/schema/raw/master/csl-citation.json"}</w:instrText>
      </w:r>
      <w:r w:rsidRPr="00526B14">
        <w:fldChar w:fldCharType="separate"/>
      </w:r>
      <w:r w:rsidR="008D04CE" w:rsidRPr="008D04CE">
        <w:rPr>
          <w:noProof/>
        </w:rPr>
        <w:t>[10,20]</w:t>
      </w:r>
      <w:r w:rsidRPr="00526B14">
        <w:fldChar w:fldCharType="end"/>
      </w:r>
      <w:r w:rsidRPr="00526B14">
        <w:t xml:space="preserve">. Regarding the distribution of the sample across quadrants prior and during COVID-19 isolation (transversal changes), the greatest changes in percentages of participants were observed in the extreme quadrants (lower-risk from 54.3% to 22.8%, and higher-risk from 9.1% to 30.9%). As for case-by-case changes in behavior (longitudinal modification), the results of the present study show a significant increase in ST of the entire sample, regardless of their habits before isolation. However, this increase is even more pronounced in the lower-risk quadrant; and they themselves who suffered the greatest decrease in PA and, consequently, lost the protective effect that this would have on prolonged sitting, thus increasing the risk of all-cause mortality </w:t>
      </w:r>
      <w:r w:rsidRPr="00526B14">
        <w:fldChar w:fldCharType="begin" w:fldLock="1"/>
      </w:r>
      <w:r w:rsidRPr="00526B14">
        <w:instrText>ADDIN CSL_CITATION {"citationItems":[{"id":"ITEM-1","itemData":{"DOI":"10.1136/bmj.l4570","ISSN":"17561833","PMID":"31434697","abstract":"Objective To examine the dose-response associations between accelerometer assessed total physical activity, different intensities of physical activity, and sedentary time and all cause mortality. Design Systematic review and harmonised meta-analysis. Data sources PubMed, PsycINFO, Embase, Web of Science, Sport Discus from inception to 31 July 2018. Eligibility criteria Prospective cohort studies assessing physical activity and sedentary time by accelerometry and associations with all cause mortality and reported effect estimates as hazard ratios, odds ratios, or relative risks with 95% confidence intervals. Data extraction and analysis Guidelines for meta-analyses and systematic reviews for observational studies and PRISMA guidelines were followed. Two authors independently screened the titles and abstracts. One author performed a full text review and another extracted the data. Two authors independently assessed the risk of bias. Individual level participant data were harmonised and analysed at study level. Data on physical activity were categorised by quarters at study level, and study specific associations with all cause mortality were analysed using Cox proportional hazards regression analyses. Study specific results were summarised using random effects meta-analysis. Main outcome measure All cause mortality. Results 39 studies were retrieved for full text review; 10 were eligible for inclusion, three were excluded owing to harmonisation challenges (eg, wrist placement of the accelerometer), and one study did not participate. Two additional studies with unpublished mortality data were also included. Thus, individual level data from eight studies (n=36 383; mean age 62.6 years; 72.8% women), with median follow-up of 5.8 years (range 3.0-14.5 years) and 2149 (5.9%) deaths were analysed. Any physical activity, regardless of intensity, was associated with lower risk of mortality, with a non-linear dose-response. Hazards ratios for mortality were 1.00 (referent) in the first quarter (least active), 0.48 (95% confidence interval 0.43 to 0.54) in the second quarter, 0.34 (0.26 to 0.45) in the third quarter, and 0.27 (0.23 to 0.32) in the fourth quarter (most active). Corresponding hazards ratios for light physical activity were 1.00, 0.60 (0.54 to 0.68), 0.44 (0.38 to 0.51), and 0.38 (0.28 to 0.51), and for moderate-to-vigorous physical activity were 1.00, 0.64 (0.55 to 0.74), 0.55 (0.40 to 0.74), and 0.52 (0.43 to 0.61). For sedentary time, hazards ratios…","author":[{"dropping-particle":"","family":"Ekelund","given":"Ulf","non-dropping-particle":"","parse-names":false,"suffix":""},{"dropping-particle":"","family":"Tarp","given":"Jakob","non-dropping-particle":"","parse-names":false,"suffix":""},{"dropping-particle":"","family":"Steene-Johannessen","given":"Jostein","non-dropping-particle":"","parse-names":false,"suffix":""},{"dropping-particle":"","family":"Hansen","given":"Bjørge H.","non-dropping-particle":"","parse-names":false,"suffix":""},{"dropping-particle":"","family":"Jefferis","given":"Barbara","non-dropping-particle":"","parse-names":false,"suffix":""},{"dropping-particle":"","family":"Fagerland","given":"Morten W.","non-dropping-particle":"","parse-names":false,"suffix":""},{"dropping-particle":"","family":"Whincup","given":"Peter","non-dropping-particle":"","parse-names":false,"suffix":""},{"dropping-particle":"","family":"Diaz","given":"Keith M.","non-dropping-particle":"","parse-names":false,"suffix":""},{"dropping-particle":"","family":"Hooker","given":"Steven P.","non-dropping-particle":"","parse-names":false,"suffix":""},{"dropping-particle":"","family":"Chernofsky","given":"Ariel","non-dropping-particle":"","parse-names":false,"suffix":""},{"dropping-particle":"","family":"Larson","given":"Martin G.","non-dropping-particle":"","parse-names":false,"suffix":""},{"dropping-particle":"","family":"Spartano","given":"Nicole","non-dropping-particle":"","parse-names":false,"suffix":""},{"dropping-particle":"","family":"Vasan","given":"Ramachandran S.","non-dropping-particle":"","parse-names":false,"suffix":""},{"dropping-particle":"","family":"Dohrn","given":"Ing Mari","non-dropping-particle":"","parse-names":false,"suffix":""},{"dropping-particle":"","family":"Hagströmer","given":"Maria","non-dropping-particle":"","parse-names":false,"suffix":""},{"dropping-particle":"","family":"Edwardson","given":"Charlotte","non-dropping-particle":"","parse-names":false,"suffix":""},{"dropping-particle":"","family":"Yates","given":"Thomas","non-dropping-particle":"","parse-names":false,"suffix":""},{"dropping-particle":"","family":"Shiroma","given":"Eric","non-dropping-particle":"","parse-names":false,"suffix":""},{"dropping-particle":"","family":"Anderssen","given":"Sigmund A.","non-dropping-particle":"","parse-names":false,"suffix":""},{"dropping-particle":"","family":"Lee","given":"I. Min","non-dropping-particle":"","parse-names":false,"suffix":""}],"container-title":"The BMJ","id":"ITEM-1","issued":{"date-parts":[["2019"]]},"publisher":"BMJ Publishing Group","title":"Dose-response associations between accelerometry measured physical activity and sedentary time and all cause mortality: Systematic review and harmonised meta-analysis","type":"article-journal","volume":"366"},"uris":["http://www.mendeley.com/documents/?uuid=74233f54-e0ac-3893-bad3-67a6337aca7f"]}],"mendeley":{"formattedCitation":"[9]","plainTextFormattedCitation":"[9]","previouslyFormattedCitation":"[9]"},"properties":{"noteIndex":0},"schema":"https://github.com/citation-style-language/schema/raw/master/csl-citation.json"}</w:instrText>
      </w:r>
      <w:r w:rsidRPr="00526B14">
        <w:fldChar w:fldCharType="separate"/>
      </w:r>
      <w:r w:rsidRPr="00526B14">
        <w:rPr>
          <w:noProof/>
        </w:rPr>
        <w:t>[9]</w:t>
      </w:r>
      <w:r w:rsidRPr="00526B14">
        <w:fldChar w:fldCharType="end"/>
      </w:r>
      <w:r w:rsidRPr="00526B14">
        <w:t>.</w:t>
      </w:r>
    </w:p>
    <w:p w14:paraId="27B711A9" w14:textId="77777777" w:rsidR="00526B14" w:rsidRDefault="00526B14" w:rsidP="00526B14">
      <w:pPr>
        <w:pStyle w:val="MDPI31text"/>
      </w:pPr>
    </w:p>
    <w:p w14:paraId="352D50F2" w14:textId="77777777" w:rsidR="00526B14" w:rsidRPr="00526B14" w:rsidRDefault="00526B14" w:rsidP="00526B14">
      <w:pPr>
        <w:pStyle w:val="MDPI31text"/>
      </w:pPr>
      <w:r w:rsidRPr="00526B14">
        <w:t xml:space="preserve">Despite efforts to keep people physically active during social isolation </w:t>
      </w:r>
      <w:r w:rsidRPr="00526B14">
        <w:fldChar w:fldCharType="begin" w:fldLock="1"/>
      </w:r>
      <w:r w:rsidRPr="00526B14">
        <w:instrText>ADDIN CSL_CITATION {"citationItems":[{"id":"ITEM-1","itemData":{"URL":"https://www.euro.who.int/en/health-topics/health-emergencies/coronavirus-covid-19/publications-and-technical-guidance/noncommunicable-diseases/stay-physically-active-during-self-quarantine","accessed":{"date-parts":[["2021","3","19"]]},"author":[{"dropping-particle":"","family":"World Health Organization","given":"","non-dropping-particle":"","parse-names":false,"suffix":""}],"id":"ITEM-1","issued":{"date-parts":[["2020"]]},"title":"Stay physically active during self-quarantine","type":"webpage"},"uris":["http://www.mendeley.com/documents/?uuid=103de080-08a3-340f-89d1-b8d4be5f2674"]}],"mendeley":{"formattedCitation":"[30]","plainTextFormattedCitation":"[30]","previouslyFormattedCitation":"[30]"},"properties":{"noteIndex":0},"schema":"https://github.com/citation-style-language/schema/raw/master/csl-citation.json"}</w:instrText>
      </w:r>
      <w:r w:rsidRPr="00526B14">
        <w:fldChar w:fldCharType="separate"/>
      </w:r>
      <w:r w:rsidRPr="00526B14">
        <w:rPr>
          <w:noProof/>
        </w:rPr>
        <w:t>[30]</w:t>
      </w:r>
      <w:r w:rsidRPr="00526B14">
        <w:fldChar w:fldCharType="end"/>
      </w:r>
      <w:r w:rsidRPr="00526B14">
        <w:t xml:space="preserve">, implemented strategies do not appear to have been effective in increasing PA and reducing ST </w:t>
      </w:r>
      <w:r w:rsidRPr="00526B14">
        <w:fldChar w:fldCharType="begin" w:fldLock="1"/>
      </w:r>
      <w:r w:rsidRPr="00526B14">
        <w:instrText>ADDIN CSL_CITATION {"citationItems":[{"id":"ITEM-1","itemData":{"DOI":"10.1136/bmjsem-2020-000960","ISSN":"20557647","abstract":"Objective In March 2020, several countries banned unnecessary outdoor activities during COVID-19, commonly called € lockdowns. These lockdowns have the potential to impact associated levels of physical activity and sedentary behaviour. Given the numerous health outcomes associated with physical activity and sedentary behaviour, the aim of this review was to summarise literature that investigated differences in physical activity and sedentary behaviour before vs during the COVID-19 lockdown. Design, data sources and eligibility criteria Electronic databases were searched from November 2019 to October 2020 using terms and synonyms relating to physical activity, sedentary behaviour and COVID-19. The coprimary outcomes were changes in physical activity and/or sedentary behaviour captured via device-based measures or self-report tools. Risk of bias was measured using the Newcastle-Ottawa Scale. Results Sixty six articles met the inclusion criteria and were included in the review (total n=86 981). Changes in physical activity were reported in 64 studies, with the majority of studies reporting decreases in physical activity and increases in sedentary behaviours during their respective lockdowns across several populations, including children and patients with a variety of medical conditions. Conclusion Given the numerous physical and mental benefits of increased physical activity and decreased sedentary behaviour, public health strategies should include the creation and implementation of interventions that promote safe physical activity and reduce sedentary behaviour should other lockdowns occur.","author":[{"dropping-particle":"","family":"Stockwell","given":"Stephanie","non-dropping-particle":"","parse-names":false,"suffix":""},{"dropping-particle":"","family":"Trott","given":"Mike","non-dropping-particle":"","parse-names":false,"suffix":""},{"dropping-particle":"","family":"Tully","given":"Mark","non-dropping-particle":"","parse-names":false,"suffix":""},{"dropping-particle":"","family":"Shin","given":"Jae","non-dropping-particle":"","parse-names":false,"suffix":""},{"dropping-particle":"","family":"Barnett","given":"Yvonne","non-dropping-particle":"","parse-names":false,"suffix":""},{"dropping-particle":"","family":"Butler","given":"Laurie","non-dropping-particle":"","parse-names":false,"suffix":""},{"dropping-particle":"","family":"McDermott","given":"Daragh","non-dropping-particle":"","parse-names":false,"suffix":""},{"dropping-particle":"","family":"Schuch","given":"Felipe","non-dropping-particle":"","parse-names":false,"suffix":""},{"dropping-particle":"","family":"Smith","given":"Lee","non-dropping-particle":"","parse-names":false,"suffix":""}],"container-title":"BMJ Open Sport and Exercise Medicine","id":"ITEM-1","issue":"1","issued":{"date-parts":[["2021","2","1"]]},"page":"960","publisher":"BMJ Publishing Group","title":"Changes in physical activity and sedentary behaviours from before to during the COVID-19 pandemic lockdown: A systematic review","type":"article","volume":"7"},"uris":["http://www.mendeley.com/documents/?uuid=7abea838-2859-34fa-84c4-faf6f0eee63c"]}],"mendeley":{"formattedCitation":"[31]","plainTextFormattedCitation":"[31]","previouslyFormattedCitation":"[31]"},"properties":{"noteIndex":0},"schema":"https://github.com/citation-style-language/schema/raw/master/csl-citation.json"}</w:instrText>
      </w:r>
      <w:r w:rsidRPr="00526B14">
        <w:fldChar w:fldCharType="separate"/>
      </w:r>
      <w:r w:rsidRPr="00526B14">
        <w:rPr>
          <w:noProof/>
        </w:rPr>
        <w:t>[31]</w:t>
      </w:r>
      <w:r w:rsidRPr="00526B14">
        <w:fldChar w:fldCharType="end"/>
      </w:r>
      <w:r w:rsidRPr="00526B14">
        <w:t xml:space="preserve">. This situation has an immediate impact on people's health because of the negative effect on the immune system, and thus a greater predisposition to contagion </w:t>
      </w:r>
      <w:r w:rsidRPr="00526B14">
        <w:fldChar w:fldCharType="begin" w:fldLock="1"/>
      </w:r>
      <w:r w:rsidRPr="00526B14">
        <w:instrText>ADDIN CSL_CITATION {"citationItems":[{"id":"ITEM-1","itemData":{"DOI":"10.1007/s10238-020-00650-3","ISSN":"15919528","PMID":"32728975","abstract":"Acute viral respiratory infections are the main infectious disease in the world. In 2020, a new disease caused by severe acute respiratory syndrome coronavirus 2 (SARS-CoV-2), coronavirus disease 2019 (COVID-19), became a global pandemic. The immune response to the virus depends on factors such as genetics, age and physical state, and its main input receptor is the angiotensin-converting enzyme 2. The practice of physical exercises acts as a modulator of the immune system. During and after physical exercise, pro- and anti-inflammatory cytokines are released, lymphocyte circulation increases, as well as cell recruitment. Such practice has an effect on the lower incidence, intensity of symptoms and mortality in viral infections observed in people who practice physical activity regularly, and its correct execution must be considered to avoid damage. The initial response is given mainly by type I interferons (IFN-I), which drive the action macrophages and lymphocytes, followed by lymphocyte action. A suppression of the IFN-I response has been noted in COVID-19. Severe conditions have been associated with storms of pro-inflammatory cytokines and lymphopenia, as well as circulatory changes and virus dispersion to other organs. The practice of physical activities strengthens the immune system, suggesting a benefit in the response to viral communicable diseases. Thus, regular practice of adequate intensity is suggested as an auxiliary tool in strengthening and preparing the immune system for COVID-19. Further studies are needed to associate physical exercise with SARS-CoV-2 infection.","author":[{"dropping-particle":"","family":"Silveira","given":"Matheus Pelinski","non-dropping-particle":"da","parse-names":false,"suffix":""},{"dropping-particle":"","family":"Silva Fagundes","given":"Kimberly Kamila","non-dropping-particle":"da","parse-names":false,"suffix":""},{"dropping-particle":"","family":"Bizuti","given":"Matheus Ribeiro","non-dropping-particle":"","parse-names":false,"suffix":""},{"dropping-particle":"","family":"Starck","given":"Édina","non-dropping-particle":"","parse-names":false,"suffix":""},{"dropping-particle":"","family":"Rossi","given":"Renata Calciolari","non-dropping-particle":"","parse-names":false,"suffix":""},{"dropping-particle":"","family":"Resende e Silva","given":"Débora Tavares","non-dropping-particle":"de","parse-names":false,"suffix":""}],"container-title":"Clinical and Experimental Medicine","id":"ITEM-1","issue":"1","issued":{"date-parts":[["2021","2","1"]]},"page":"15-28","publisher":"Springer Science and Business Media Deutschland GmbH","title":"Physical exercise as a tool to help the immune system against COVID-19: an integrative review of the current literature","type":"article","volume":"21"},"uris":["http://www.mendeley.com/documents/?uuid=b5f76b1e-850d-3649-a8d2-45e87a75a2ab"]}],"mendeley":{"formattedCitation":"[32]","plainTextFormattedCitation":"[32]","previouslyFormattedCitation":"[32]"},"properties":{"noteIndex":0},"schema":"https://github.com/citation-style-language/schema/raw/master/csl-citation.json"}</w:instrText>
      </w:r>
      <w:r w:rsidRPr="00526B14">
        <w:fldChar w:fldCharType="separate"/>
      </w:r>
      <w:r w:rsidRPr="00526B14">
        <w:rPr>
          <w:noProof/>
        </w:rPr>
        <w:t>[32]</w:t>
      </w:r>
      <w:r w:rsidRPr="00526B14">
        <w:fldChar w:fldCharType="end"/>
      </w:r>
      <w:r w:rsidRPr="00526B14">
        <w:t xml:space="preserve">. Two recent studies have recently shown that high levels of physical activity produce an immune protective effect by attenuating the symptoms of SARS-CoV-2 and thus the subsequent prognosis </w:t>
      </w:r>
      <w:r w:rsidRPr="00526B14">
        <w:fldChar w:fldCharType="begin" w:fldLock="1"/>
      </w:r>
      <w:r w:rsidRPr="00526B14">
        <w:instrText>ADDIN CSL_CITATION {"citationItems":[{"id":"ITEM-1","itemData":{"DOI":"10.1002/oby.22849","ISSN":"1930739X","PMID":"32324968","abstract":"Severe acute respiratory syndrome coronavirus 2 (SARS-CoV-2) originated in China in late 2019 and has since spread rapidly to every continent in the world. This pandemic continues to cause widespread personal suffering, along with severe pressure on medical and health care providers. The symptoms of SARS-CoV-2 and the subsequent prognosis are worsened in individuals who have preexisting comorbidities prior to infection by the virus. Individuals with obesity or overweight, insulin resistance, and diabetes typically have chronic low-grade inflammation characterized by increased levels of several proinflammatory cytokines and the inflammasome; this state predisposes to greater risk for infection along with more adverse outcomes. Here, we consider whether a high level of cardiorespiratory fitness induced by prior exercise training may confer some innate immune protection against COVID-19 by attenuating the “cytokine storm syndrome” often experienced by “at risk” individuals.","author":[{"dropping-particle":"","family":"Zbinden-Foncea","given":"Hermann","non-dropping-particle":"","parse-names":false,"suffix":""},{"dropping-particle":"","family":"Francaux","given":"Marc","non-dropping-particle":"","parse-names":false,"suffix":""},{"dropping-particle":"","family":"Deldicque","given":"Louise","non-dropping-particle":"","parse-names":false,"suffix":""},{"dropping-particle":"","family":"Hawley","given":"John A.","non-dropping-particle":"","parse-names":false,"suffix":""}],"container-title":"Obesity","id":"ITEM-1","issue":"8","issued":{"date-parts":[["2020","8","1"]]},"page":"1378-1381","publisher":"Blackwell Publishing Inc.","title":"Does High Cardiorespiratory Fitness Confer Some Protection Against Proinflammatory Responses After Infection by SARS-CoV-2?","type":"article","volume":"28"},"uris":["http://www.mendeley.com/documents/?uuid=ba95744b-5633-3877-9b35-26959b744ae8"]},{"id":"ITEM-2","itemData":{"DOI":"10.1016/j.bbi.2020.05.059","ISSN":"10902139","PMID":"32454138","abstract":"We conducted the first large-scale general population study on lifestyle risk factors (smoking, physical inactivity, obesity, and excessive alcohol intake) for COVID-19 using prospective cohort data with national registry linkage to hospitalisation. Participants were 387,109 men and women (56.4 ± 8.8 yr; 55.1% women) residing in England from UK Biobank study. Physical activity, smoking, and alcohol intake, were assessed by questionnaire at baseline (2006–2010). Body mass index, from measured height and weight, was used as an indicator of overall obesity. Outcome was cases of COVID-19 serious enough to warrant a hospital admission from 16-March-2020 to 26-April-2020. There were 760 COVID-19 cases. After adjustment for age, sex and mutually for each lifestyle factor, physical inactivity (Relative risk, 1.32, 95% confidence interval, 1.10, 1.58), smoking (1.42;1.12, 1.79) and obesity (2.05;1.68, 2.49) but not heavy alcohol consumption (1.12; 0.93, 1.35) were all related to COVID-19. We also found a dose-dependent increase in risk of COVID-19 with less favourable lifestyle scores, such that participants in the most adverse category had 4-fold higher risk (4.41; 2.52–7.71) compared to people with the most optimal lifestyle. C-reactive protein levels were associated with elevated risk of COVID-19 in a dose-dependent manner, and partly (10–16%) explained associations between adverse lifestyle and COVID-19. Based on UK risk factor prevalence estimates, unhealthy behaviours in combination accounted for up to 51% of the population attributable fraction of severe COVID-19. Our findings suggest that an unhealthy lifestyle synonymous with an elevated risk of non-communicable disease is also a risk factor for COVID-19 hospital admission, which might be partly explained by low grade inflammation. Adopting simple lifestyle changes could lower the risk of severe infection.","author":[{"dropping-particle":"","family":"Hamer","given":"Mark","non-dropping-particle":"","parse-names":false,"suffix":""},{"dropping-particle":"","family":"Kivimäki","given":"Mika","non-dropping-particle":"","parse-names":false,"suffix":""},{"dropping-particle":"","family":"Gale","given":"Catharine R.","non-dropping-particle":"","parse-names":false,"suffix":""},{"dropping-particle":"","family":"Batty","given":"G. David","non-dropping-particle":"","parse-names":false,"suffix":""}],"container-title":"Brain, Behavior, and Immunity","id":"ITEM-2","issued":{"date-parts":[["2020","7","1"]]},"page":"184-187","publisher":"Academic Press Inc.","title":"Lifestyle risk factors, inflammatory mechanisms, and COVID-19 hospitalization: A community-based cohort study of 387,109 adults in UK","type":"article-journal","volume":"87"},"uris":["http://www.mendeley.com/documents/?uuid=5f0851f5-206d-36f3-baa9-d77315f36f8e"]}],"mendeley":{"formattedCitation":"[33,34]","plainTextFormattedCitation":"[33,34]","previouslyFormattedCitation":"[33,34]"},"properties":{"noteIndex":0},"schema":"https://github.com/citation-style-language/schema/raw/master/csl-citation.json"}</w:instrText>
      </w:r>
      <w:r w:rsidRPr="00526B14">
        <w:fldChar w:fldCharType="separate"/>
      </w:r>
      <w:r w:rsidRPr="00526B14">
        <w:rPr>
          <w:noProof/>
        </w:rPr>
        <w:t>[33,34]</w:t>
      </w:r>
      <w:r w:rsidRPr="00526B14">
        <w:fldChar w:fldCharType="end"/>
      </w:r>
      <w:r w:rsidRPr="00526B14">
        <w:t xml:space="preserve">. In "at-risk" individuals, i.e., those with pre-existing comorbidities prior to virus infection (i.e., individuals with obesity or overweight, insulin resistance, and diabetes) have had worse symptoms during COVID-19 infection and a worse subsequent prognosis. Especially patients with obesity seem to have less success post hospitalization as increased adiposity may damage the pulmonary microenvironment with circulating </w:t>
      </w:r>
      <w:r w:rsidRPr="00526B14">
        <w:lastRenderedPageBreak/>
        <w:t xml:space="preserve">inflammatory cytokines and thus contribute to an increased cycle of local inflammation and secondary injury </w:t>
      </w:r>
      <w:r w:rsidRPr="00526B14">
        <w:fldChar w:fldCharType="begin" w:fldLock="1"/>
      </w:r>
      <w:r w:rsidRPr="00526B14">
        <w:instrText>ADDIN CSL_CITATION {"citationItems":[{"id":"ITEM-1","itemData":{"DOI":"10.1002/oby.22838","ISSN":"1930739X","PMID":"32299148","abstract":"As the biomedical community races to disentangle the unknowns associated with severe acute respiratory syndrome coronavirus 2, the virus responsible for causing coronavirus disease, the link between diminished immune function and individuals with obesity raises important questions about the possibility for greater viral pathogenicity in this population. Increased adiposity may undermine the pulmonary microenvironment wherein viral pathogenesis and immune cell trafficking could contribute to a maladaptive cycle of local inflammation and secondary injury. A further challenge to those with obesity during the current pandemic may involve vitamin D deficiency or insufficiency. In the interest of personal and public health, we caution decision- and policy makers alike not to pin all hope on a proverbial “silver bullet.” Until further breakthroughs emerge, we should remember that modifiable lifestyle factors such as diet and physical activity should not be marginalized. Decades of empirical evidence support both as key factors promoting health and wellness.","author":[{"dropping-particle":"","family":"Carter","given":"Stephen J.","non-dropping-particle":"","parse-names":false,"suffix":""},{"dropping-particle":"","family":"Baranauskas","given":"Marissa N.","non-dropping-particle":"","parse-names":false,"suffix":""},{"dropping-particle":"","family":"Fly","given":"Alyce D.","non-dropping-particle":"","parse-names":false,"suffix":""}],"container-title":"Obesity","id":"ITEM-1","issue":"7","issued":{"date-parts":[["2020","7","1"]]},"page":"1176-1177","publisher":"Blackwell Publishing Inc.","title":"Considerations for Obesity, Vitamin D, and Physical Activity Amid the COVID-19 Pandemic","type":"article-journal","volume":"28"},"uris":["http://www.mendeley.com/documents/?uuid=87533e6a-e335-3c34-830b-aff792328181"]}],"mendeley":{"formattedCitation":"[35]","plainTextFormattedCitation":"[35]","previouslyFormattedCitation":"[35]"},"properties":{"noteIndex":0},"schema":"https://github.com/citation-style-language/schema/raw/master/csl-citation.json"}</w:instrText>
      </w:r>
      <w:r w:rsidRPr="00526B14">
        <w:fldChar w:fldCharType="separate"/>
      </w:r>
      <w:r w:rsidRPr="00526B14">
        <w:rPr>
          <w:noProof/>
        </w:rPr>
        <w:t>[35]</w:t>
      </w:r>
      <w:r w:rsidRPr="00526B14">
        <w:fldChar w:fldCharType="end"/>
      </w:r>
      <w:r w:rsidRPr="00526B14">
        <w:t>.</w:t>
      </w:r>
    </w:p>
    <w:p w14:paraId="26871182" w14:textId="77777777" w:rsidR="00526B14" w:rsidRPr="00740A5A" w:rsidRDefault="00526B14" w:rsidP="00526B14">
      <w:pPr>
        <w:pStyle w:val="MDPI31text"/>
      </w:pPr>
    </w:p>
    <w:p w14:paraId="26B7678B" w14:textId="77777777" w:rsidR="00526B14" w:rsidRPr="00526B14" w:rsidRDefault="00526B14" w:rsidP="00526B14">
      <w:pPr>
        <w:pStyle w:val="MDPI31text"/>
      </w:pPr>
      <w:r w:rsidRPr="00526B14">
        <w:t xml:space="preserve">This situation continues to cause widespread personal suffering, along with severe pressure on medical and health care providers. Moreover, these results have implications for direct and indirect costs in health care systems. Ding et al. (2016) observed that insufficient PA costs $53.8 billion globally in 2013 </w:t>
      </w:r>
      <w:r w:rsidRPr="00526B14">
        <w:fldChar w:fldCharType="begin" w:fldLock="1"/>
      </w:r>
      <w:r w:rsidRPr="00526B14">
        <w:instrText>ADDIN CSL_CITATION {"citationItems":[{"id":"ITEM-1","itemData":{"DOI":"10.1016/S0140-6736(12)60646-1","ISBN":"0140-6736","PMID":"22818937","abstract":"To implement effective non-communicable disease prevention programmes, policy makers need data for physical activity levels and trends. In this report, we describe physical activity levels worldwide with data for adults (15 years or older) from 122 countries and for adolescents (13-15-years-old) from 105 countries. Worldwide, 31.1% (95% CI 30.9-31.2) of adults are physically inactive, with proportions ranging from 17.0% (16.8-17.2) in southeast Asia to about 43% in the Americas and the eastern Mediterranean. Inactivity rises with age, is higher in women than in men, and is increased in high-income countries. The proportion of 13-15-year-olds doing fewer than 60 min of physical activity of moderate to vigorous intensity per day is 80.3% (80.1-80.5); boys are more active than are girls. Continued improvement in monitoring of physical activity would help to guide development of policies and programmes to increase activity levels and to reduce the burden of non-communicable diseases.","author":[{"dropping-particle":"","family":"Ding","given":"Ding","non-dropping-particle":"","parse-names":false,"suffix":""},{"dropping-particle":"","family":"Lawson","given":"Kenny D","non-dropping-particle":"","parse-names":false,"suffix":""},{"dropping-particle":"","family":"Kolbe-Alexander","given":"Tracy L","non-dropping-particle":"","parse-names":false,"suffix":""},{"dropping-particle":"","family":"Finkelstein","given":"Eric A","non-dropping-particle":"","parse-names":false,"suffix":""},{"dropping-particle":"","family":"Katzmarzyk","given":"Peter T","non-dropping-particle":"","parse-names":false,"suffix":""},{"dropping-particle":"","family":"Mechelen","given":"Willem","non-dropping-particle":"van","parse-names":false,"suffix":""},{"dropping-particle":"","family":"Pratt","given":"Michael","non-dropping-particle":"","parse-names":false,"suffix":""},{"dropping-particle":"","family":"Committee","given":"Lancet Physical Activity Series 2 Executive","non-dropping-particle":"","parse-names":false,"suffix":""},{"dropping-particle":"","family":"Hallal","given":"P C","non-dropping-particle":"","parse-names":false,"suffix":""},{"dropping-particle":"","family":"Andersen","given":"L B","non-dropping-particle":"","parse-names":false,"suffix":""},{"dropping-particle":"","family":"Bull","given":"F C","non-dropping-particle":"","parse-names":false,"suffix":""},{"dropping-particle":"","family":"Guthold","given":"R","non-dropping-particle":"","parse-names":false,"suffix":""},{"dropping-particle":"","family":"Haskell","given":"W","non-dropping-particle":"","parse-names":false,"suffix":""},{"dropping-particle":"","family":"Ekelund","given":"U","non-dropping-particle":"","parse-names":false,"suffix":""},{"dropping-particle":"","family":"Lancet Physical Activity Series Working","given":"Group","non-dropping-particle":"","parse-names":false,"suffix":""}],"container-title":"The Lancet","id":"ITEM-1","issue":"9838","issued":{"date-parts":[["2016"]]},"note":"From Duplicate 1 (Global physical activity levels: surveillance progress, pitfalls, and prospects - Hallal, P C; Andersen, L B; Bull, F C; Guthold, R; Haskell, W; Ekelund, U; Lancet Physical Activity Series Working, Group)\n\nHallal, Pedro C\nAndersen, Lars Bo\nBull, Fiona C\nGuthold, Regina\nHaskell, William\nEkelund, Ulf\neng\nMC_U106179473/Medical Research Council/United Kingdom\nMC_U106188470/Medical Research Council/United Kingdom\nReview\nEngland\n2012/07/24 06:00\nLancet. 2012 Jul 21;380(9838):247-57. doi: 10.1016/S0140-6736(12)60646-1.","page":"247-257","title":"The economic burden of physical inactivity: A global analysis of major non-communicable diseases","type":"article-journal","volume":"380"},"uris":["http://www.mendeley.com/documents/?uuid=0fbf86fb-33cf-4696-a017-84d10beb7919"]}],"mendeley":{"formattedCitation":"[36]","plainTextFormattedCitation":"[36]","previouslyFormattedCitation":"[36]"},"properties":{"noteIndex":0},"schema":"https://github.com/citation-style-language/schema/raw/master/csl-citation.json"}</w:instrText>
      </w:r>
      <w:r w:rsidRPr="00526B14">
        <w:fldChar w:fldCharType="separate"/>
      </w:r>
      <w:r w:rsidRPr="00526B14">
        <w:rPr>
          <w:noProof/>
        </w:rPr>
        <w:t>[36]</w:t>
      </w:r>
      <w:r w:rsidRPr="00526B14">
        <w:fldChar w:fldCharType="end"/>
      </w:r>
      <w:r w:rsidRPr="00526B14">
        <w:t xml:space="preserve">. Moreover, deaths attributable to physical inactivity adds another $13.7 billion globally in productivity losses annually and results in 13.4 million disability-adjusted life-years globally. Estimates from low and middle-income countries (LMIC) and high-income countries indicate that between 2-3% of national health care expenditures are attributable to physical inactivity </w:t>
      </w:r>
      <w:r w:rsidRPr="00526B14">
        <w:fldChar w:fldCharType="begin" w:fldLock="1"/>
      </w:r>
      <w:r w:rsidRPr="00526B14">
        <w:instrText>ADDIN CSL_CITATION {"citationItems":[{"id":"ITEM-1","itemData":{"DOI":"10.1596/978-1-4648-0518-9_ch5","ISBN":"9781464805189","PMID":"30212081","abstract":"Increased mechanization, urbanization, and technological advances are changing how and where we work, travel, and recreate. People sit for increasingly long hours at computers, and emails dominate work and communications. Social and recreational activities include using a wide variety of screen-based devices, such as televisions, smartphones, and tablets. In many countries, cars dominate transportation, creating congestion and gridlock. One-way commutes of two hours are common in cities like Bangkok, Delhi, and São Paulo. The global decline in levels of physical activity and increase in time spent in sedentary activities have contributed to major shifts in the landscape of diseases (Archer and others 2013; Barnett and others 2008; Bhurosy and Jeewon 2014; Church and others 2011; Hallal and others 2014; Lozano and others 2012; Ng, Norton, and Popkin 2009; Ng and Popkin 2012). In 2014, two of every three deaths globally—38 million total—were due to noncommunicable diseases (NCDs) (WHO 2014a). Physical inactivity is an established risk factor for NCDs and specifically for cardiometabolic diseases. Being inactive contributes significantly to unhealthy weight gain and obesity, high cholesterol, and elevated blood pressure and blood glucose levels, all of which heighten the risk of developing cardiometabolic diseases (WHO 2010a). Physical activity includes different types of activities that can be done in different types of settings, including sports, recreation, play, and transport-related walking and cycling, as well as general movement undertaken as part of daily living, such as shopping, cleaning, or climbing stairs (box 5.1). Physical activities may be undertaken with different degrees of effort and for different durations. Because of this breadth in type, duration, frequency, and even location, measuring, monitoring, and understanding physical activity is complex. Nevertheless, a significant body of knowledge has accumulated on physical activity, its role in primary and secondary prevention of leading NCDs (Physical Activity Guidelines Advisory Committee 2008a), and the causes of participation and nonparticipation in different populations. This evidence forms a strong base for informing current practice and policy in health care and other fields of public policy. This chapter provides an overview of the potential of public health action aimed at increasing population levels of physical activity and contributing directly and indirectly to reducing cardio…","author":[{"dropping-particle":"","family":"Bull","given":"Fiona","non-dropping-particle":"","parse-names":false,"suffix":""},{"dropping-particle":"","family":"Goenka","given":"Shifalika","non-dropping-particle":"","parse-names":false,"suffix":""},{"dropping-particle":"","family":"Lambert","given":"Vicki","non-dropping-particle":"","parse-names":false,"suffix":""},{"dropping-particle":"","family":"Pratt","given":"Michael","non-dropping-particle":"","parse-names":false,"suffix":""}],"container-title":"Disease Control Priorities, Third Edition (Volume 5): Cardiovascular, Respiratory, and Related Disorders","id":"ITEM-1","issued":{"date-parts":[["2017","11","17"]]},"page":"79-99","publisher":"The World Bank","title":"Physical Activity for the Prevention of Cardiometabolic Disease","type":"chapter"},"uris":["http://www.mendeley.com/documents/?uuid=6a9ecf9c-eb99-3228-8bbc-b687621cf8c0"]}],"mendeley":{"formattedCitation":"[37]","plainTextFormattedCitation":"[37]","previouslyFormattedCitation":"[37]"},"properties":{"noteIndex":0},"schema":"https://github.com/citation-style-language/schema/raw/master/csl-citation.json"}</w:instrText>
      </w:r>
      <w:r w:rsidRPr="00526B14">
        <w:fldChar w:fldCharType="separate"/>
      </w:r>
      <w:r w:rsidRPr="00526B14">
        <w:rPr>
          <w:noProof/>
        </w:rPr>
        <w:t>[37]</w:t>
      </w:r>
      <w:r w:rsidRPr="00526B14">
        <w:fldChar w:fldCharType="end"/>
      </w:r>
      <w:r w:rsidRPr="00526B14">
        <w:t xml:space="preserve">. In addition, ST also appears costly as Heron et al (2019), estimated that prolonged ST (≥6 hours) cost the United Kingdom £0.8 billion annually </w:t>
      </w:r>
      <w:r w:rsidRPr="00526B14">
        <w:fldChar w:fldCharType="begin" w:fldLock="1"/>
      </w:r>
      <w:r w:rsidRPr="00526B14">
        <w:instrText>ADDIN CSL_CITATION {"citationItems":[{"id":"ITEM-1","itemData":{"DOI":"10.1136/jech-2018-211758","ISSN":"14702738","PMID":"30910857","abstract":"Background Growing evidence indicates that prolonged sedentary behaviour increases the risk of several chronic health conditions and all-cause mortality. Sedentary behaviour is prevalent among adults in the UK. Quantifying the costs associated with sedentary behaviour is an important step in the development of public health policy. Methods National Health Service (NHS) costs associated with prolonged sedentary behaviour (≥6 hours/day) were estimated over a 1-year period in 2016-2017 costs. We calculated a population attributable fraction (PAF) for five health outcomes (type 2 diabetes, cardiovascular disease [CVD], colon cancer, endometrial cancer and lung cancer). Adjustments were made for potential double-counting due to comorbidities. We also calculated the avoidable deaths due to prolonged sedentary behaviour using the PAF for all-cause mortality. Results The total NHS costs attributable to prolonged sedentary behaviour in the UK in 2016-2017 were £0.8 billion, which included expenditure on CVD (£424 million), type 2 diabetes (£281 million), colon cancer (£30 million), lung cancer (£19 million) and endometrial cancer (£7 million). After adjustment for potential double-counting, the estimated total was £0.7 billion. If prolonged sedentary behaviour was eliminated, 69 276 UK deaths might have been avoided in 2016. Conclusions In this conservative estimate of direct healthcare costs, prolonged sedentary behaviour causes a considerable burden to the NHS in the UK. This estimate may be used by decision makers when prioritising healthcare resources and investing in preventative public health programmes.","author":[{"dropping-particle":"","family":"Heron","given":"Leonie","non-dropping-particle":"","parse-names":false,"suffix":""},{"dropping-particle":"","family":"O'Neill","given":"Ciaran","non-dropping-particle":"","parse-names":false,"suffix":""},{"dropping-particle":"","family":"McAneney","given":"Helen","non-dropping-particle":"","parse-names":false,"suffix":""},{"dropping-particle":"","family":"Kee","given":"Frank","non-dropping-particle":"","parse-names":false,"suffix":""},{"dropping-particle":"","family":"Tully","given":"Mark A.","non-dropping-particle":"","parse-names":false,"suffix":""}],"container-title":"Journal of Epidemiology and Community Health","id":"ITEM-1","issue":"7","issued":{"date-parts":[["2019","7","1"]]},"publisher":"BMJ Publishing Group","title":"Direct healthcare costs of sedentary behaviour in the UK","type":"article-journal","volume":"73"},"uris":["http://www.mendeley.com/documents/?uuid=2534f6fd-3d7c-36a0-b069-07f3eb1de794"]}],"mendeley":{"formattedCitation":"[38]","plainTextFormattedCitation":"[38]","previouslyFormattedCitation":"[38]"},"properties":{"noteIndex":0},"schema":"https://github.com/citation-style-language/schema/raw/master/csl-citation.json"}</w:instrText>
      </w:r>
      <w:r w:rsidRPr="00526B14">
        <w:fldChar w:fldCharType="separate"/>
      </w:r>
      <w:r w:rsidRPr="00526B14">
        <w:rPr>
          <w:noProof/>
        </w:rPr>
        <w:t>[38]</w:t>
      </w:r>
      <w:r w:rsidRPr="00526B14">
        <w:fldChar w:fldCharType="end"/>
      </w:r>
      <w:r w:rsidRPr="00526B14">
        <w:t>.</w:t>
      </w:r>
    </w:p>
    <w:p w14:paraId="650C05A1" w14:textId="77777777" w:rsidR="00526B14" w:rsidRDefault="00526B14" w:rsidP="00526B14">
      <w:pPr>
        <w:pStyle w:val="MDPI31text"/>
      </w:pPr>
    </w:p>
    <w:p w14:paraId="1940CBEE" w14:textId="77777777" w:rsidR="00526B14" w:rsidRPr="00526B14" w:rsidRDefault="00526B14" w:rsidP="00526B14">
      <w:pPr>
        <w:pStyle w:val="MDPI31text"/>
      </w:pPr>
      <w:r w:rsidRPr="00526B14">
        <w:t xml:space="preserve">The socio-cultural changes that have taken place concerning insufficient PA and sedentary behavior during the COVID-19 period, referred to as the "double pandemic" </w:t>
      </w:r>
      <w:r w:rsidRPr="00526B14">
        <w:fldChar w:fldCharType="begin" w:fldLock="1"/>
      </w:r>
      <w:r w:rsidRPr="00526B14">
        <w:instrText>ADDIN CSL_CITATION {"citationItems":[{"id":"ITEM-1","itemData":{"DOI":"10.1016/j.pcad.2020.04.005","ISSN":"18731740","author":[{"dropping-particle":"","family":"Hall","given":"Grenita","non-dropping-particle":"","parse-names":false,"suffix":""},{"dropping-particle":"","family":"Laddu","given":"Deepika R.","non-dropping-particle":"","parse-names":false,"suffix":""},{"dropping-particle":"","family":"Phillips","given":"Shane A.","non-dropping-particle":"","parse-names":false,"suffix":""},{"dropping-particle":"","family":"Lavie","given":"Carl J.","non-dropping-particle":"","parse-names":false,"suffix":""},{"dropping-particle":"","family":"Arena","given":"Ross","non-dropping-particle":"","parse-names":false,"suffix":""}],"container-title":"Progress in Cardiovascular Diseases","id":"ITEM-1","issued":{"date-parts":[["2020","4","8"]]},"publisher":"W.B. Saunders","title":"A tale of two pandemics: How will COVID-19 and global trends in physical inactivity and sedentary behavior affect one another?","type":"article"},"uris":["http://www.mendeley.com/documents/?uuid=82fc3fa6-cf3a-3b30-a4e9-dc7acadfa9da"]}],"mendeley":{"formattedCitation":"[39]","plainTextFormattedCitation":"[39]","previouslyFormattedCitation":"[39]"},"properties":{"noteIndex":0},"schema":"https://github.com/citation-style-language/schema/raw/master/csl-citation.json"}</w:instrText>
      </w:r>
      <w:r w:rsidRPr="00526B14">
        <w:fldChar w:fldCharType="separate"/>
      </w:r>
      <w:r w:rsidRPr="00526B14">
        <w:rPr>
          <w:noProof/>
        </w:rPr>
        <w:t>[39]</w:t>
      </w:r>
      <w:r w:rsidRPr="00526B14">
        <w:fldChar w:fldCharType="end"/>
      </w:r>
      <w:r w:rsidRPr="00526B14">
        <w:t xml:space="preserve"> are uncertain, and these changes are determinant in the way people work, move around, and use their free time. Therefore, it is likely that when the COVID-19 pandemic ends, the issues of insufficient PA and sedentary behavior needs to be reinforced and addressed urgently, avoiding the likely increase in NCDs morbidity and mortality, thus healthcare system costs. Therefore, it is necessary to design a regional action plan to promote PA and reduce sedentary behavior to face the uncertain "new normal".</w:t>
      </w:r>
    </w:p>
    <w:p w14:paraId="65DC2627" w14:textId="77777777" w:rsidR="00526B14" w:rsidRPr="00526B14" w:rsidRDefault="00526B14" w:rsidP="00526B14">
      <w:pPr>
        <w:pStyle w:val="MDPI31text"/>
      </w:pPr>
    </w:p>
    <w:p w14:paraId="49B084F4" w14:textId="77777777" w:rsidR="00526B14" w:rsidRPr="00526B14" w:rsidRDefault="00526B14" w:rsidP="00526B14">
      <w:pPr>
        <w:pStyle w:val="MDPI31text"/>
        <w:rPr>
          <w:i/>
          <w:iCs/>
        </w:rPr>
      </w:pPr>
      <w:r w:rsidRPr="00526B14">
        <w:rPr>
          <w:i/>
          <w:iCs/>
        </w:rPr>
        <w:t>Limitations and Strengths</w:t>
      </w:r>
    </w:p>
    <w:p w14:paraId="13E955DE" w14:textId="13A50736" w:rsidR="00526B14" w:rsidRPr="00526B14" w:rsidRDefault="00526B14" w:rsidP="00526B14">
      <w:pPr>
        <w:pStyle w:val="MDPI31text"/>
      </w:pPr>
      <w:r w:rsidRPr="00526B14">
        <w:t xml:space="preserve">Limitations of this study include a non-representative sample from the involved countries limiting generalization. Self-reported and recall of pre-isolation activity can incur bias into the findings. However, isolated questions on PA and ST were derived from the global physical activity questionnaire instrument which is validated in both countries </w:t>
      </w:r>
      <w:r w:rsidRPr="00526B14">
        <w:fldChar w:fldCharType="begin" w:fldLock="1"/>
      </w:r>
      <w:r w:rsidR="00CE5359">
        <w:instrText>ADDIN CSL_CITATION {"citationItems":[{"id":"ITEM-1","itemData":{"ISSN":"1543-3080","PMID":"20101923","abstract":"PURPOSE Instruments to assess physical activity are needed for (inter)national surveillance systems and comparison. METHODS Male and female adults were recruited from diverse sociocultural, educational and economic backgrounds in 9 countries (total n = 2657). GPAQ and the International Physical Activity Questionnaire (IPAQ) were administered on at least 2 occasions. Eight countries assessed criterion validity using an objective measure (pedometer or accelerometer) over 7 days. RESULTS Reliability coefficients were of moderate to substantial strength (Kappa 0.67 to 0.73; Spearman's rho 0.67 to 0.81). Results on concurrent validity between IPAQ and GPAQ also showed a moderate to strong positive relationship (range 0.45 to 0.65). Results on criterion validity were in the poor-fair (range 0.06 to 0.35). There were some observed differences between sex, education, BMI and urban/rural and between countries. CONCLUSIONS Overall GPAQ provides reproducible data and showed a moderate-strong positive correlation with IPAQ, a previously validated and accepted measure of physical activity. Validation of GPAQ produced poor results although the magnitude was similar to the range reported in other studies. Overall, these results indicate that GPAQ is a suitable and acceptable instrument for monitoring physical activity in population health surveillance systems, although further replication of this work in other countries is warranted.","author":[{"dropping-particle":"","family":"Bull","given":"Fiona C","non-dropping-particle":"","parse-names":false,"suffix":""},{"dropping-particle":"","family":"Maslin","given":"Tahlia S","non-dropping-particle":"","parse-names":false,"suffix":""},{"dropping-particle":"","family":"Armstrong","given":"Timothy","non-dropping-particle":"","parse-names":false,"suffix":""}],"container-title":"Journal of physical activity &amp; health","id":"ITEM-1","issue":"6","issued":{"date-parts":[["2009","11"]]},"page":"790-804","title":"Global Physical Activity questionnaire (GPAQ): Nine country reliability and validity study.","type":"article-journal","volume":"6"},"uris":["http://www.mendeley.com/documents/?uuid=752caf5e-356b-3c16-a7c7-b85ebe0b4164"]}],"mendeley":{"formattedCitation":"[40]","plainTextFormattedCitation":"[40]","previouslyFormattedCitation":"[40]"},"properties":{"noteIndex":0},"schema":"https://github.com/citation-style-language/schema/raw/master/csl-citation.json"}</w:instrText>
      </w:r>
      <w:r w:rsidRPr="00526B14">
        <w:fldChar w:fldCharType="separate"/>
      </w:r>
      <w:r w:rsidRPr="00526B14">
        <w:rPr>
          <w:noProof/>
        </w:rPr>
        <w:t>[40]</w:t>
      </w:r>
      <w:r w:rsidRPr="00526B14">
        <w:fldChar w:fldCharType="end"/>
      </w:r>
      <w:r w:rsidRPr="00526B14">
        <w:t>. Also, the cross-sectional design is incapable of establishing causality.</w:t>
      </w:r>
    </w:p>
    <w:p w14:paraId="798FD53A" w14:textId="77777777" w:rsidR="00526B14" w:rsidRDefault="00526B14" w:rsidP="00526B14">
      <w:pPr>
        <w:pStyle w:val="MDPI31text"/>
      </w:pPr>
    </w:p>
    <w:p w14:paraId="1192374F" w14:textId="4C987596" w:rsidR="00526B14" w:rsidRPr="009C71F9" w:rsidRDefault="00526B14" w:rsidP="009C71F9">
      <w:pPr>
        <w:pStyle w:val="MDPI31text"/>
      </w:pPr>
      <w:r w:rsidRPr="00526B14">
        <w:t>On the other hand, strengths include a survey which has been used in many countries (United Kingdom, Spain, Italy, Jordan, Brazil, United States and Australia). Moreover, studies on changes in PA, ST and SE due to COVID-19 isolation or combining these behaviors are inexistent in South American adults.</w:t>
      </w:r>
    </w:p>
    <w:p w14:paraId="6A441CD3" w14:textId="77777777" w:rsidR="00522304" w:rsidRPr="00325902" w:rsidRDefault="00522304" w:rsidP="002019E5">
      <w:pPr>
        <w:pStyle w:val="MDPI21heading1"/>
      </w:pPr>
      <w:r>
        <w:t>5. Conclusions</w:t>
      </w:r>
    </w:p>
    <w:p w14:paraId="7722A1F3" w14:textId="77777777" w:rsidR="009C71F9" w:rsidRPr="009C71F9" w:rsidRDefault="009C71F9" w:rsidP="009C71F9">
      <w:pPr>
        <w:pStyle w:val="MDPI31text"/>
      </w:pPr>
      <w:r w:rsidRPr="009C71F9">
        <w:t xml:space="preserve">This study is the first in South America indicating detrimental effects of COVID-19 isolation on MPA, VPA, ST and SE in adults. Promotion of PA and reducing sedentary behaviors with public strategies are needed in order to mitigate the behavioral effects of COVID-19 isolation. Shifts into high-risk categories (low PA and high ST) </w:t>
      </w:r>
      <w:r>
        <w:t>that have the potential to extend beyond lockdown are</w:t>
      </w:r>
      <w:r w:rsidRPr="002450A8">
        <w:t xml:space="preserve"> leaving a population at risk </w:t>
      </w:r>
      <w:r>
        <w:t xml:space="preserve">of major medical concerns needing to be supported by </w:t>
      </w:r>
      <w:r w:rsidRPr="002450A8">
        <w:t xml:space="preserve">a healthcare system weakened by the pandemic itself. Therefore, a major challenge lies ahead: investment </w:t>
      </w:r>
      <w:r>
        <w:t>is needed to</w:t>
      </w:r>
      <w:r w:rsidRPr="002450A8">
        <w:t xml:space="preserve"> promot</w:t>
      </w:r>
      <w:r>
        <w:t>e</w:t>
      </w:r>
      <w:r w:rsidRPr="002450A8">
        <w:t xml:space="preserve"> physical activity as part of the plan to remedy the consequences of COVID 19.</w:t>
      </w:r>
      <w:r>
        <w:t xml:space="preserve"> </w:t>
      </w:r>
      <w:r w:rsidRPr="009C71F9">
        <w:t>To better understand the long-term consequences, prospective follow-up studies comparing countries involved and various containment and health promotion strategies are needed, in order to provide robust information for decision makers during and after pandemics.</w:t>
      </w:r>
    </w:p>
    <w:p w14:paraId="3D301110" w14:textId="77777777" w:rsidR="0009365D" w:rsidRDefault="0009365D" w:rsidP="0009365D">
      <w:pPr>
        <w:pStyle w:val="MDPI31text"/>
        <w:rPr>
          <w:b/>
        </w:rPr>
      </w:pPr>
    </w:p>
    <w:p w14:paraId="1E4F1C8C" w14:textId="2FA17824" w:rsidR="0009365D" w:rsidRPr="0009365D" w:rsidRDefault="00522304" w:rsidP="0009365D">
      <w:pPr>
        <w:pStyle w:val="MDPI31text"/>
        <w:rPr>
          <w:sz w:val="18"/>
          <w:szCs w:val="20"/>
          <w:lang w:eastAsia="en-US"/>
        </w:rPr>
      </w:pPr>
      <w:r w:rsidRPr="00FA04F1">
        <w:rPr>
          <w:b/>
        </w:rPr>
        <w:t>Supplementary Materials:</w:t>
      </w:r>
      <w:r w:rsidRPr="00FA04F1">
        <w:t xml:space="preserve"> </w:t>
      </w:r>
      <w:r w:rsidRPr="0009365D">
        <w:rPr>
          <w:sz w:val="18"/>
          <w:szCs w:val="20"/>
          <w:lang w:eastAsia="en-US"/>
        </w:rPr>
        <w:t xml:space="preserve">The following are available online at www.mdpi.com/xxx/s1, Figure S1: </w:t>
      </w:r>
      <w:r w:rsidR="0009365D" w:rsidRPr="0009365D">
        <w:rPr>
          <w:sz w:val="18"/>
          <w:szCs w:val="20"/>
          <w:lang w:eastAsia="en-US"/>
        </w:rPr>
        <w:t>Percentages of the reported changes in physical activity and sitting time (A) physical activity changes in subjects who were active before lockdown (B) physical activity changes in subjects who were inactive before</w:t>
      </w:r>
      <w:r w:rsidR="0009365D">
        <w:rPr>
          <w:sz w:val="18"/>
          <w:szCs w:val="20"/>
          <w:lang w:eastAsia="en-US"/>
        </w:rPr>
        <w:t xml:space="preserve"> </w:t>
      </w:r>
      <w:r w:rsidR="0009365D" w:rsidRPr="0009365D">
        <w:rPr>
          <w:sz w:val="18"/>
          <w:szCs w:val="20"/>
          <w:lang w:eastAsia="en-US"/>
        </w:rPr>
        <w:t>lockdown (C) sitting time changes in subjects who were low-sitters before lockdown (D) sitting time changes in subjects who were high-sitters before lockdown.</w:t>
      </w:r>
    </w:p>
    <w:p w14:paraId="7ADB01AC" w14:textId="6C39E55B" w:rsidR="00522304" w:rsidRDefault="00522304" w:rsidP="00C14397">
      <w:pPr>
        <w:pStyle w:val="MDPI62BackMatter"/>
        <w:spacing w:before="240"/>
      </w:pPr>
      <w:r w:rsidRPr="00C14397">
        <w:lastRenderedPageBreak/>
        <w:t xml:space="preserve">Table S1: </w:t>
      </w:r>
      <w:r w:rsidR="00C14397" w:rsidRPr="00C14397">
        <w:t>Association between differences pre-during COVID-19 lockdown in physical activity, sitting time and screen exposure and</w:t>
      </w:r>
      <w:r w:rsidR="00C14397">
        <w:t xml:space="preserve"> </w:t>
      </w:r>
      <w:r w:rsidR="00C14397" w:rsidRPr="00C14397">
        <w:t>sociodemographic factors.</w:t>
      </w:r>
    </w:p>
    <w:p w14:paraId="7C71EEDA" w14:textId="02D10132" w:rsidR="00C51842" w:rsidRPr="00613B31" w:rsidRDefault="00522304" w:rsidP="00EB05B2">
      <w:pPr>
        <w:pStyle w:val="MDPI62BackMatter"/>
      </w:pPr>
      <w:r w:rsidRPr="00613B31">
        <w:rPr>
          <w:b/>
        </w:rPr>
        <w:t>Author Contributions:</w:t>
      </w:r>
      <w:r w:rsidRPr="00613B31">
        <w:t xml:space="preserve"> Conceptualization, </w:t>
      </w:r>
      <w:r w:rsidR="00C51842">
        <w:t>K.P.S, G.F.D.R, P.L</w:t>
      </w:r>
      <w:r w:rsidRPr="00613B31">
        <w:t xml:space="preserve"> and </w:t>
      </w:r>
      <w:r w:rsidR="00C51842">
        <w:t>R.C</w:t>
      </w:r>
      <w:r w:rsidRPr="00613B31">
        <w:t xml:space="preserve">; methodology, </w:t>
      </w:r>
      <w:r w:rsidR="00A0170A">
        <w:t>K.P.S</w:t>
      </w:r>
      <w:r w:rsidRPr="00613B31">
        <w:t xml:space="preserve">; formal analysis, </w:t>
      </w:r>
      <w:r w:rsidR="00C51842">
        <w:t>K.P.S and P.L</w:t>
      </w:r>
      <w:r w:rsidRPr="00613B31">
        <w:t xml:space="preserve">; investigation, </w:t>
      </w:r>
      <w:r w:rsidR="00A0170A">
        <w:t>K.P.S, G.F.D.R and P.L;</w:t>
      </w:r>
      <w:r w:rsidRPr="00613B31">
        <w:t xml:space="preserve"> data curation, </w:t>
      </w:r>
      <w:r w:rsidR="00A0170A">
        <w:t>P.L and R.C</w:t>
      </w:r>
      <w:r w:rsidRPr="00613B31">
        <w:t xml:space="preserve">; writing—original draft preparation, </w:t>
      </w:r>
      <w:r w:rsidR="00A0170A">
        <w:t>K.P.S, G.F.D.R, P.L</w:t>
      </w:r>
      <w:r w:rsidR="00A0170A" w:rsidRPr="00613B31">
        <w:t xml:space="preserve"> and </w:t>
      </w:r>
      <w:r w:rsidR="00A0170A">
        <w:t>R.C</w:t>
      </w:r>
      <w:r w:rsidRPr="00613B31">
        <w:t xml:space="preserve">.; writing—review and editing, </w:t>
      </w:r>
      <w:r w:rsidR="00A0170A">
        <w:t>K.P.S, G.F.D.R, P.L, R.C, J.M, C.C.M, D.M.G, G.F, F.S, A.G.S, M.S, N.V, H.A, I.G, C.M.C, M.T and L.S</w:t>
      </w:r>
      <w:r w:rsidRPr="00613B31">
        <w:t xml:space="preserve">; visualization, </w:t>
      </w:r>
      <w:r w:rsidR="00A0170A">
        <w:t xml:space="preserve">K.P.S. </w:t>
      </w:r>
      <w:r w:rsidRPr="00613B31">
        <w:t>All authors have read and agreed to the published version of the manuscript.</w:t>
      </w:r>
    </w:p>
    <w:p w14:paraId="1BD0E574" w14:textId="6396BB40" w:rsidR="00522304" w:rsidRPr="00613B31" w:rsidRDefault="00522304" w:rsidP="00522304">
      <w:pPr>
        <w:pStyle w:val="MDPI62BackMatter"/>
      </w:pPr>
      <w:r w:rsidRPr="00613B31">
        <w:rPr>
          <w:b/>
        </w:rPr>
        <w:t>Funding:</w:t>
      </w:r>
      <w:r w:rsidRPr="00613B31">
        <w:t xml:space="preserve"> This research received no external funding</w:t>
      </w:r>
      <w:r w:rsidR="00EB05B2">
        <w:t xml:space="preserve">. </w:t>
      </w:r>
    </w:p>
    <w:p w14:paraId="33029EB6" w14:textId="57C8DC2F" w:rsidR="00CE5359" w:rsidRPr="00CE5359" w:rsidRDefault="00484C66" w:rsidP="00CE5359">
      <w:pPr>
        <w:pStyle w:val="MDPI62BackMatter"/>
      </w:pPr>
      <w:bookmarkStart w:id="1" w:name="_Hlk60054323"/>
      <w:r w:rsidRPr="007D75A8">
        <w:rPr>
          <w:b/>
        </w:rPr>
        <w:t>Institutional Review Board Statement:</w:t>
      </w:r>
      <w:r w:rsidR="00CE5359">
        <w:rPr>
          <w:b/>
        </w:rPr>
        <w:t xml:space="preserve"> </w:t>
      </w:r>
      <w:r w:rsidR="00CE5359" w:rsidRPr="00CE5359">
        <w:t xml:space="preserve">The study was conducted according to the guidelines of the Declaration of Helsinki, and approved by the Universidad de Flores (Argentina) (protocol code 09/2020 and date of approval April 22nd 2020) and the faculty of medicine at the Universidad Diego Portales (Chile) (protocol code 02-220 and date of approval March 27th 2020). </w:t>
      </w:r>
    </w:p>
    <w:p w14:paraId="0C4DA61A" w14:textId="1D16DAF7" w:rsidR="00484C66" w:rsidRDefault="00484C66" w:rsidP="00CE5359">
      <w:pPr>
        <w:pStyle w:val="MDPI62BackMatter"/>
        <w:spacing w:after="0"/>
      </w:pPr>
      <w:r w:rsidRPr="007D75A8">
        <w:rPr>
          <w:b/>
        </w:rPr>
        <w:t xml:space="preserve">Informed Consent Statement: </w:t>
      </w:r>
      <w:r w:rsidRPr="007D75A8">
        <w:t>Written informed consent has been obtained from the patient</w:t>
      </w:r>
      <w:r w:rsidR="00CE5359">
        <w:t>s</w:t>
      </w:r>
      <w:r w:rsidRPr="007D75A8">
        <w:t xml:space="preserve"> to publish this paper</w:t>
      </w:r>
      <w:r w:rsidR="00CE5359">
        <w:t>.</w:t>
      </w:r>
    </w:p>
    <w:p w14:paraId="10E3D6AF" w14:textId="77777777" w:rsidR="00CE5359" w:rsidRPr="007D75A8" w:rsidRDefault="00CE5359" w:rsidP="00CE5359">
      <w:pPr>
        <w:pStyle w:val="MDPI62BackMatter"/>
        <w:spacing w:after="0"/>
        <w:ind w:left="2550"/>
      </w:pPr>
    </w:p>
    <w:bookmarkEnd w:id="1"/>
    <w:p w14:paraId="5B029B92" w14:textId="3AA43978" w:rsidR="00CE5359" w:rsidRPr="00CE5359" w:rsidRDefault="00522304" w:rsidP="00CE5359">
      <w:pPr>
        <w:pStyle w:val="MDPI62BackMatter"/>
        <w:rPr>
          <w:bCs/>
        </w:rPr>
      </w:pPr>
      <w:r w:rsidRPr="00613B31">
        <w:rPr>
          <w:b/>
        </w:rPr>
        <w:t>Acknowledgments:</w:t>
      </w:r>
      <w:r w:rsidRPr="00CE5359">
        <w:rPr>
          <w:b/>
        </w:rPr>
        <w:t xml:space="preserve"> </w:t>
      </w:r>
      <w:r w:rsidR="00CE5359" w:rsidRPr="00CE5359">
        <w:rPr>
          <w:bCs/>
        </w:rPr>
        <w:t>The authors gratefully acknowledge those who participated in this study. HA acknowledges Taif University Researchers Supporting Project number (TURSP-2020/238), Taif University, Taif, Saudi Arabia.</w:t>
      </w:r>
    </w:p>
    <w:p w14:paraId="165AC8FF" w14:textId="71665E56" w:rsidR="00522304" w:rsidRPr="00613B31" w:rsidRDefault="00522304" w:rsidP="00CE5359">
      <w:pPr>
        <w:pStyle w:val="MDPI62BackMatter"/>
      </w:pPr>
      <w:r w:rsidRPr="00613B31">
        <w:rPr>
          <w:b/>
        </w:rPr>
        <w:t>Conflicts of Interest:</w:t>
      </w:r>
      <w:r w:rsidRPr="00613B31">
        <w:t xml:space="preserve"> The authors declare no conflict of interest.</w:t>
      </w:r>
    </w:p>
    <w:p w14:paraId="135E268B" w14:textId="77777777" w:rsidR="00522304" w:rsidRPr="00FA04F1" w:rsidRDefault="00522304" w:rsidP="00183AB8">
      <w:pPr>
        <w:pStyle w:val="MDPI21heading1"/>
        <w:ind w:left="0"/>
      </w:pPr>
      <w:r w:rsidRPr="00FA04F1">
        <w:t>References</w:t>
      </w:r>
    </w:p>
    <w:p w14:paraId="674B113A" w14:textId="1281868B" w:rsidR="008D04CE" w:rsidRPr="0092277B" w:rsidRDefault="00CE5359" w:rsidP="008D04CE">
      <w:pPr>
        <w:widowControl w:val="0"/>
        <w:autoSpaceDE w:val="0"/>
        <w:autoSpaceDN w:val="0"/>
        <w:adjustRightInd w:val="0"/>
        <w:spacing w:line="240" w:lineRule="auto"/>
        <w:ind w:left="640" w:hanging="640"/>
        <w:rPr>
          <w:sz w:val="18"/>
        </w:rPr>
      </w:pPr>
      <w:r>
        <w:fldChar w:fldCharType="begin" w:fldLock="1"/>
      </w:r>
      <w:r>
        <w:instrText xml:space="preserve">ADDIN Mendeley Bibliography CSL_BIBLIOGRAPHY </w:instrText>
      </w:r>
      <w:r>
        <w:fldChar w:fldCharType="separate"/>
      </w:r>
      <w:r w:rsidR="008D04CE" w:rsidRPr="0092277B">
        <w:rPr>
          <w:sz w:val="18"/>
        </w:rPr>
        <w:t xml:space="preserve">1. </w:t>
      </w:r>
      <w:r w:rsidR="008D04CE" w:rsidRPr="0092277B">
        <w:rPr>
          <w:sz w:val="18"/>
        </w:rPr>
        <w:tab/>
        <w:t xml:space="preserve">Forouzanfar, M.H.; Afshin, A.; Alexander, L.T.; Biryukov, S.; Brauer, M.; Cercy, K.; Charlson, F.J.; Cohen, A.J.; Dandona, L.; Estep, K.; et al. Global, regional, and national comparative risk assessment of 79 behavioural, environmental and occupational, and metabolic risks or clusters of risks, 1990–2015: a systematic analysis for the Global Burden of Disease Study 2015. </w:t>
      </w:r>
      <w:r w:rsidR="008D04CE" w:rsidRPr="0092277B">
        <w:rPr>
          <w:i/>
          <w:iCs/>
          <w:sz w:val="18"/>
        </w:rPr>
        <w:t>Lancet</w:t>
      </w:r>
      <w:r w:rsidR="008D04CE" w:rsidRPr="0092277B">
        <w:rPr>
          <w:sz w:val="18"/>
        </w:rPr>
        <w:t xml:space="preserve"> </w:t>
      </w:r>
      <w:r w:rsidR="008D04CE" w:rsidRPr="0092277B">
        <w:rPr>
          <w:b/>
          <w:bCs/>
          <w:sz w:val="18"/>
        </w:rPr>
        <w:t>2016</w:t>
      </w:r>
      <w:r w:rsidR="008D04CE" w:rsidRPr="0092277B">
        <w:rPr>
          <w:sz w:val="18"/>
        </w:rPr>
        <w:t xml:space="preserve">, </w:t>
      </w:r>
      <w:r w:rsidR="008D04CE" w:rsidRPr="0092277B">
        <w:rPr>
          <w:i/>
          <w:iCs/>
          <w:sz w:val="18"/>
        </w:rPr>
        <w:t>388</w:t>
      </w:r>
      <w:r w:rsidR="008D04CE" w:rsidRPr="0092277B">
        <w:rPr>
          <w:sz w:val="18"/>
        </w:rPr>
        <w:t>, 1659–1724, doi:10.1016/S0140-6736(16)31679-8.</w:t>
      </w:r>
    </w:p>
    <w:p w14:paraId="45E0DDD3"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 </w:t>
      </w:r>
      <w:r w:rsidRPr="0092277B">
        <w:rPr>
          <w:sz w:val="18"/>
        </w:rPr>
        <w:tab/>
        <w:t xml:space="preserve">Lee, I.M.; Shiroma, E.; Lobelo, F.; Puska, P.; Blair, S.N.; Katzmarzyk, P.T.; Group, L.P.A.S.W. Effect of physical inactivity on major non-communicable diseases worldwide: An analysis of burden of disease and life expectancy. </w:t>
      </w:r>
      <w:r w:rsidRPr="0092277B">
        <w:rPr>
          <w:i/>
          <w:iCs/>
          <w:sz w:val="18"/>
        </w:rPr>
        <w:t>Lancet (London, England)</w:t>
      </w:r>
      <w:r w:rsidRPr="0092277B">
        <w:rPr>
          <w:sz w:val="18"/>
        </w:rPr>
        <w:t xml:space="preserve"> </w:t>
      </w:r>
      <w:r w:rsidRPr="0092277B">
        <w:rPr>
          <w:b/>
          <w:bCs/>
          <w:sz w:val="18"/>
        </w:rPr>
        <w:t>2012</w:t>
      </w:r>
      <w:r w:rsidRPr="0092277B">
        <w:rPr>
          <w:sz w:val="18"/>
        </w:rPr>
        <w:t xml:space="preserve">, </w:t>
      </w:r>
      <w:r w:rsidRPr="0092277B">
        <w:rPr>
          <w:i/>
          <w:iCs/>
          <w:sz w:val="18"/>
        </w:rPr>
        <w:t>380</w:t>
      </w:r>
      <w:r w:rsidRPr="0092277B">
        <w:rPr>
          <w:sz w:val="18"/>
        </w:rPr>
        <w:t>, 219–29, doi:10.1016/S0140-6736(12)61031-9.</w:t>
      </w:r>
    </w:p>
    <w:p w14:paraId="5EAAB5E0"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 </w:t>
      </w:r>
      <w:r w:rsidRPr="0092277B">
        <w:rPr>
          <w:sz w:val="18"/>
        </w:rPr>
        <w:tab/>
        <w:t xml:space="preserve">World Health Organization </w:t>
      </w:r>
      <w:r w:rsidRPr="0092277B">
        <w:rPr>
          <w:i/>
          <w:iCs/>
          <w:sz w:val="18"/>
        </w:rPr>
        <w:t>Global health risks: Mortality and burden of disease attributable to selected major risks</w:t>
      </w:r>
      <w:r w:rsidRPr="0092277B">
        <w:rPr>
          <w:sz w:val="18"/>
        </w:rPr>
        <w:t>; 2009; Vol. 87;.</w:t>
      </w:r>
    </w:p>
    <w:p w14:paraId="5610447D" w14:textId="77777777" w:rsidR="008D04CE" w:rsidRPr="008D04CE" w:rsidRDefault="008D04CE" w:rsidP="008D04CE">
      <w:pPr>
        <w:widowControl w:val="0"/>
        <w:autoSpaceDE w:val="0"/>
        <w:autoSpaceDN w:val="0"/>
        <w:adjustRightInd w:val="0"/>
        <w:spacing w:line="240" w:lineRule="auto"/>
        <w:ind w:left="640" w:hanging="640"/>
        <w:rPr>
          <w:sz w:val="18"/>
          <w:lang w:val="es-ES_tradnl"/>
        </w:rPr>
      </w:pPr>
      <w:r w:rsidRPr="0092277B">
        <w:rPr>
          <w:sz w:val="18"/>
        </w:rPr>
        <w:t xml:space="preserve">4. </w:t>
      </w:r>
      <w:r w:rsidRPr="0092277B">
        <w:rPr>
          <w:sz w:val="18"/>
        </w:rPr>
        <w:tab/>
        <w:t xml:space="preserve">Guthold, R.; Stevens, G.A.; Riley, L.M.; Bull, F.C. Worldwide trends in insufficient physical activity from 2001 to 2016: A pooled analysis of 358 population-based surveys with 1·9 million participants. </w:t>
      </w:r>
      <w:r w:rsidRPr="008D04CE">
        <w:rPr>
          <w:i/>
          <w:iCs/>
          <w:sz w:val="18"/>
          <w:lang w:val="es-ES_tradnl"/>
        </w:rPr>
        <w:t>Lancet Glob. Heal.</w:t>
      </w:r>
      <w:r w:rsidRPr="008D04CE">
        <w:rPr>
          <w:sz w:val="18"/>
          <w:lang w:val="es-ES_tradnl"/>
        </w:rPr>
        <w:t xml:space="preserve"> </w:t>
      </w:r>
      <w:r w:rsidRPr="008D04CE">
        <w:rPr>
          <w:b/>
          <w:bCs/>
          <w:sz w:val="18"/>
          <w:lang w:val="es-ES_tradnl"/>
        </w:rPr>
        <w:t>2018</w:t>
      </w:r>
      <w:r w:rsidRPr="008D04CE">
        <w:rPr>
          <w:sz w:val="18"/>
          <w:lang w:val="es-ES_tradnl"/>
        </w:rPr>
        <w:t>, doi:10.1016/S2214-109X(18)30357-7.</w:t>
      </w:r>
    </w:p>
    <w:p w14:paraId="492061C0" w14:textId="77777777" w:rsidR="008D04CE" w:rsidRPr="0092277B" w:rsidRDefault="008D04CE" w:rsidP="008D04CE">
      <w:pPr>
        <w:widowControl w:val="0"/>
        <w:autoSpaceDE w:val="0"/>
        <w:autoSpaceDN w:val="0"/>
        <w:adjustRightInd w:val="0"/>
        <w:spacing w:line="240" w:lineRule="auto"/>
        <w:ind w:left="640" w:hanging="640"/>
        <w:rPr>
          <w:sz w:val="18"/>
        </w:rPr>
      </w:pPr>
      <w:r w:rsidRPr="008D04CE">
        <w:rPr>
          <w:sz w:val="18"/>
          <w:lang w:val="es-ES_tradnl"/>
        </w:rPr>
        <w:t xml:space="preserve">5. </w:t>
      </w:r>
      <w:r w:rsidRPr="008D04CE">
        <w:rPr>
          <w:sz w:val="18"/>
          <w:lang w:val="es-ES_tradnl"/>
        </w:rPr>
        <w:tab/>
        <w:t xml:space="preserve">Leppe Zamora, J.; Munizaga Rodríguez, B.; Margozzini, P. Resúmenes V Congreso Chileno de Salud Pública y VII Congreso Chileno de Epidemiología. </w:t>
      </w:r>
      <w:r w:rsidRPr="0092277B">
        <w:rPr>
          <w:sz w:val="18"/>
        </w:rPr>
        <w:t>Concepción, Chile; 2018. In Proceedings of the Medwave; NLM (Medline), 2019; Vol. 19.</w:t>
      </w:r>
    </w:p>
    <w:p w14:paraId="7A52E3A1" w14:textId="77777777" w:rsidR="008D04CE" w:rsidRPr="008D04CE" w:rsidRDefault="008D04CE" w:rsidP="008D04CE">
      <w:pPr>
        <w:widowControl w:val="0"/>
        <w:autoSpaceDE w:val="0"/>
        <w:autoSpaceDN w:val="0"/>
        <w:adjustRightInd w:val="0"/>
        <w:spacing w:line="240" w:lineRule="auto"/>
        <w:ind w:left="640" w:hanging="640"/>
        <w:rPr>
          <w:sz w:val="18"/>
          <w:lang w:val="es-ES_tradnl"/>
        </w:rPr>
      </w:pPr>
      <w:r w:rsidRPr="008D04CE">
        <w:rPr>
          <w:sz w:val="18"/>
          <w:lang w:val="es-ES_tradnl"/>
        </w:rPr>
        <w:t xml:space="preserve">6. </w:t>
      </w:r>
      <w:r w:rsidRPr="008D04CE">
        <w:rPr>
          <w:sz w:val="18"/>
          <w:lang w:val="es-ES_tradnl"/>
        </w:rPr>
        <w:tab/>
        <w:t xml:space="preserve">Ministerio de Salud y Desarrollo Social </w:t>
      </w:r>
      <w:r w:rsidRPr="008D04CE">
        <w:rPr>
          <w:i/>
          <w:iCs/>
          <w:sz w:val="18"/>
          <w:lang w:val="es-ES_tradnl"/>
        </w:rPr>
        <w:t>4° Encuesta Nacional de Factores de Riesgo</w:t>
      </w:r>
      <w:r w:rsidRPr="008D04CE">
        <w:rPr>
          <w:sz w:val="18"/>
          <w:lang w:val="es-ES_tradnl"/>
        </w:rPr>
        <w:t>; 2019;</w:t>
      </w:r>
    </w:p>
    <w:p w14:paraId="58F3925F"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7. </w:t>
      </w:r>
      <w:r w:rsidRPr="0092277B">
        <w:rPr>
          <w:sz w:val="18"/>
        </w:rPr>
        <w:tab/>
        <w:t xml:space="preserve">World Health Organization. Global action plan on physical activity 2018–2030: more active people for a healthier world. </w:t>
      </w:r>
      <w:r w:rsidRPr="0092277B">
        <w:rPr>
          <w:i/>
          <w:iCs/>
          <w:sz w:val="18"/>
        </w:rPr>
        <w:t>WHO</w:t>
      </w:r>
      <w:r w:rsidRPr="0092277B">
        <w:rPr>
          <w:sz w:val="18"/>
        </w:rPr>
        <w:t xml:space="preserve"> </w:t>
      </w:r>
      <w:r w:rsidRPr="0092277B">
        <w:rPr>
          <w:b/>
          <w:bCs/>
          <w:sz w:val="18"/>
        </w:rPr>
        <w:t>2018</w:t>
      </w:r>
      <w:r w:rsidRPr="0092277B">
        <w:rPr>
          <w:sz w:val="18"/>
        </w:rPr>
        <w:t>.</w:t>
      </w:r>
    </w:p>
    <w:p w14:paraId="13431C28"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8. </w:t>
      </w:r>
      <w:r w:rsidRPr="0092277B">
        <w:rPr>
          <w:sz w:val="18"/>
        </w:rPr>
        <w:tab/>
        <w:t xml:space="preserve">Clarke, A.E.; Janssen, I. A compositional analysis of time spent in sleep, sedentary behaviour and physical activity with all-cause mortality risk. </w:t>
      </w:r>
      <w:r w:rsidRPr="0092277B">
        <w:rPr>
          <w:i/>
          <w:iCs/>
          <w:sz w:val="18"/>
        </w:rPr>
        <w:t>Int. J. Behav. Nutr. Phys. Act.</w:t>
      </w:r>
      <w:r w:rsidRPr="0092277B">
        <w:rPr>
          <w:sz w:val="18"/>
        </w:rPr>
        <w:t xml:space="preserve"> </w:t>
      </w:r>
      <w:r w:rsidRPr="0092277B">
        <w:rPr>
          <w:b/>
          <w:bCs/>
          <w:sz w:val="18"/>
        </w:rPr>
        <w:t>2021</w:t>
      </w:r>
      <w:r w:rsidRPr="0092277B">
        <w:rPr>
          <w:sz w:val="18"/>
        </w:rPr>
        <w:t xml:space="preserve">, </w:t>
      </w:r>
      <w:r w:rsidRPr="0092277B">
        <w:rPr>
          <w:i/>
          <w:iCs/>
          <w:sz w:val="18"/>
        </w:rPr>
        <w:t>18</w:t>
      </w:r>
      <w:r w:rsidRPr="0092277B">
        <w:rPr>
          <w:sz w:val="18"/>
        </w:rPr>
        <w:t>, 25, doi:10.1186/s12966-021-01092-0.</w:t>
      </w:r>
    </w:p>
    <w:p w14:paraId="109BF59D"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9. </w:t>
      </w:r>
      <w:r w:rsidRPr="0092277B">
        <w:rPr>
          <w:sz w:val="18"/>
        </w:rPr>
        <w:tab/>
        <w:t xml:space="preserve">Ekelund, U.; Tarp, J.; Steene-Johannessen, J.; Hansen, B.H.; Jefferis, B.; Fagerland, M.W.; Whincup, P.; Diaz, K.M.; Hooker, S.P.; Chernofsky, A.; et al. Dose-response associations between accelerometry measured physical activity and sedentary time and all cause mortality: Systematic review and harmonised meta-analysis. </w:t>
      </w:r>
      <w:r w:rsidRPr="0092277B">
        <w:rPr>
          <w:i/>
          <w:iCs/>
          <w:sz w:val="18"/>
        </w:rPr>
        <w:t>BMJ</w:t>
      </w:r>
      <w:r w:rsidRPr="0092277B">
        <w:rPr>
          <w:sz w:val="18"/>
        </w:rPr>
        <w:t xml:space="preserve"> </w:t>
      </w:r>
      <w:r w:rsidRPr="0092277B">
        <w:rPr>
          <w:b/>
          <w:bCs/>
          <w:sz w:val="18"/>
        </w:rPr>
        <w:t>2019</w:t>
      </w:r>
      <w:r w:rsidRPr="0092277B">
        <w:rPr>
          <w:sz w:val="18"/>
        </w:rPr>
        <w:t xml:space="preserve">, </w:t>
      </w:r>
      <w:r w:rsidRPr="0092277B">
        <w:rPr>
          <w:i/>
          <w:iCs/>
          <w:sz w:val="18"/>
        </w:rPr>
        <w:t>366</w:t>
      </w:r>
      <w:r w:rsidRPr="0092277B">
        <w:rPr>
          <w:sz w:val="18"/>
        </w:rPr>
        <w:t>, doi:10.1136/bmj.l4570.</w:t>
      </w:r>
    </w:p>
    <w:p w14:paraId="4A2A3BA9"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10. </w:t>
      </w:r>
      <w:r w:rsidRPr="0092277B">
        <w:rPr>
          <w:sz w:val="18"/>
        </w:rPr>
        <w:tab/>
        <w:t xml:space="preserve">Ekelund, U.; Steene-Johannessen, J.; Brown, W.J.; Fagerland, M.W.; Owen, N.; Powell, K.E.; Bauman, A.; Lee, I.-M.; Committee, L.P.A.S. 2 E.; Group, L.S.B.W. Does physical activity attenuate, or even eliminate, the detrimental association of sitting time with mortality? A harmonised meta-analysis of data from more than 1 million men and women. </w:t>
      </w:r>
      <w:r w:rsidRPr="0092277B">
        <w:rPr>
          <w:i/>
          <w:iCs/>
          <w:sz w:val="18"/>
        </w:rPr>
        <w:t>Lancet</w:t>
      </w:r>
      <w:r w:rsidRPr="0092277B">
        <w:rPr>
          <w:sz w:val="18"/>
        </w:rPr>
        <w:t xml:space="preserve"> </w:t>
      </w:r>
      <w:r w:rsidRPr="0092277B">
        <w:rPr>
          <w:b/>
          <w:bCs/>
          <w:sz w:val="18"/>
        </w:rPr>
        <w:t>2016</w:t>
      </w:r>
      <w:r w:rsidRPr="0092277B">
        <w:rPr>
          <w:sz w:val="18"/>
        </w:rPr>
        <w:t>, doi:10.1016/S0140-6736(16)30370-1.</w:t>
      </w:r>
    </w:p>
    <w:p w14:paraId="513FA201"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lastRenderedPageBreak/>
        <w:t xml:space="preserve">11. </w:t>
      </w:r>
      <w:r w:rsidRPr="0092277B">
        <w:rPr>
          <w:sz w:val="18"/>
        </w:rPr>
        <w:tab/>
        <w:t>Presidencia de la Nación Decreto 297/2020  Available online: https://www.boletinoficial.gob.ar/detalleAviso/primera/227042/20200320 (accessed on Mar 19, 2021).</w:t>
      </w:r>
    </w:p>
    <w:p w14:paraId="1136D184" w14:textId="77777777" w:rsidR="008D04CE" w:rsidRPr="008D04CE" w:rsidRDefault="008D04CE" w:rsidP="008D04CE">
      <w:pPr>
        <w:widowControl w:val="0"/>
        <w:autoSpaceDE w:val="0"/>
        <w:autoSpaceDN w:val="0"/>
        <w:adjustRightInd w:val="0"/>
        <w:spacing w:line="240" w:lineRule="auto"/>
        <w:ind w:left="640" w:hanging="640"/>
        <w:rPr>
          <w:sz w:val="18"/>
          <w:lang w:val="es-ES_tradnl"/>
        </w:rPr>
      </w:pPr>
      <w:r w:rsidRPr="008D04CE">
        <w:rPr>
          <w:sz w:val="18"/>
          <w:lang w:val="es-ES_tradnl"/>
        </w:rPr>
        <w:t xml:space="preserve">12. </w:t>
      </w:r>
      <w:r w:rsidRPr="008D04CE">
        <w:rPr>
          <w:sz w:val="18"/>
          <w:lang w:val="es-ES_tradnl"/>
        </w:rPr>
        <w:tab/>
        <w:t xml:space="preserve">Ministerio de Salud </w:t>
      </w:r>
      <w:r w:rsidRPr="008D04CE">
        <w:rPr>
          <w:i/>
          <w:iCs/>
          <w:sz w:val="18"/>
          <w:lang w:val="es-ES_tradnl"/>
        </w:rPr>
        <w:t>Decreto 104/2020</w:t>
      </w:r>
      <w:r w:rsidRPr="008D04CE">
        <w:rPr>
          <w:sz w:val="18"/>
          <w:lang w:val="es-ES_tradnl"/>
        </w:rPr>
        <w:t>; Chile;</w:t>
      </w:r>
    </w:p>
    <w:p w14:paraId="7F105D90"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13. </w:t>
      </w:r>
      <w:r w:rsidRPr="0092277B">
        <w:rPr>
          <w:sz w:val="18"/>
        </w:rPr>
        <w:tab/>
        <w:t xml:space="preserve">Dunton, G.F.; Wang, S.D.; Do, B.; Courtney, J. Early effects of the COVID-19 pandemic on physical activity locations and behaviors in adults living in the United States. </w:t>
      </w:r>
      <w:r w:rsidRPr="0092277B">
        <w:rPr>
          <w:i/>
          <w:iCs/>
          <w:sz w:val="18"/>
        </w:rPr>
        <w:t>Prev. Med. Reports</w:t>
      </w:r>
      <w:r w:rsidRPr="0092277B">
        <w:rPr>
          <w:sz w:val="18"/>
        </w:rPr>
        <w:t xml:space="preserve"> </w:t>
      </w:r>
      <w:r w:rsidRPr="0092277B">
        <w:rPr>
          <w:b/>
          <w:bCs/>
          <w:sz w:val="18"/>
        </w:rPr>
        <w:t>2020</w:t>
      </w:r>
      <w:r w:rsidRPr="0092277B">
        <w:rPr>
          <w:sz w:val="18"/>
        </w:rPr>
        <w:t xml:space="preserve">, </w:t>
      </w:r>
      <w:r w:rsidRPr="0092277B">
        <w:rPr>
          <w:i/>
          <w:iCs/>
          <w:sz w:val="18"/>
        </w:rPr>
        <w:t>20</w:t>
      </w:r>
      <w:r w:rsidRPr="0092277B">
        <w:rPr>
          <w:sz w:val="18"/>
        </w:rPr>
        <w:t>, 101241, doi:10.1016/j.pmedr.2020.101241.</w:t>
      </w:r>
    </w:p>
    <w:p w14:paraId="31E24863"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14. </w:t>
      </w:r>
      <w:r w:rsidRPr="0092277B">
        <w:rPr>
          <w:sz w:val="18"/>
        </w:rPr>
        <w:tab/>
        <w:t xml:space="preserve">De Vos, J. The effect of COVID-19 and subsequent social distancing on travel behavior. </w:t>
      </w:r>
      <w:r w:rsidRPr="0092277B">
        <w:rPr>
          <w:i/>
          <w:iCs/>
          <w:sz w:val="18"/>
        </w:rPr>
        <w:t>Transp. Res. Interdiscip. Perspect.</w:t>
      </w:r>
      <w:r w:rsidRPr="0092277B">
        <w:rPr>
          <w:sz w:val="18"/>
        </w:rPr>
        <w:t xml:space="preserve"> </w:t>
      </w:r>
      <w:r w:rsidRPr="0092277B">
        <w:rPr>
          <w:b/>
          <w:bCs/>
          <w:sz w:val="18"/>
        </w:rPr>
        <w:t>2020</w:t>
      </w:r>
      <w:r w:rsidRPr="0092277B">
        <w:rPr>
          <w:sz w:val="18"/>
        </w:rPr>
        <w:t xml:space="preserve">, </w:t>
      </w:r>
      <w:r w:rsidRPr="0092277B">
        <w:rPr>
          <w:i/>
          <w:iCs/>
          <w:sz w:val="18"/>
        </w:rPr>
        <w:t>5</w:t>
      </w:r>
      <w:r w:rsidRPr="0092277B">
        <w:rPr>
          <w:sz w:val="18"/>
        </w:rPr>
        <w:t>, 100121, doi:10.1016/j.trip.2020.100121.</w:t>
      </w:r>
    </w:p>
    <w:p w14:paraId="50FFC72B"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15. </w:t>
      </w:r>
      <w:r w:rsidRPr="0092277B">
        <w:rPr>
          <w:sz w:val="18"/>
        </w:rPr>
        <w:tab/>
        <w:t>International Society of Physical Activity and Health Global Observatory for Physical Activity Available online: http://new.globalphysicalactivityobservatory.com/card/?country=AR (accessed on Mar 18, 2021).</w:t>
      </w:r>
    </w:p>
    <w:p w14:paraId="7F88A837"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16. </w:t>
      </w:r>
      <w:r w:rsidRPr="0092277B">
        <w:rPr>
          <w:sz w:val="18"/>
        </w:rPr>
        <w:tab/>
        <w:t>International Society of Physical Activity and Health Global Observatory for Physical Activity Available online: http://new.globalphysicalactivityobservatory.com/card/?country=CL (accessed on Mar 18, 2021).</w:t>
      </w:r>
    </w:p>
    <w:p w14:paraId="38AA3FE4"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17. </w:t>
      </w:r>
      <w:r w:rsidRPr="0092277B">
        <w:rPr>
          <w:sz w:val="18"/>
        </w:rPr>
        <w:tab/>
        <w:t xml:space="preserve">Bull, F.C.; Al-Ansari, S.S.; Biddle, S.; Borodulin, K.; Buman, M.P.; Cardon, G.; Carty, C.; Chaput, J.P.; Chastin, S.; Chou, R.; et al. World Health Organization 2020 guidelines on physical activity and sedentary behaviour. </w:t>
      </w:r>
      <w:r w:rsidRPr="0092277B">
        <w:rPr>
          <w:i/>
          <w:iCs/>
          <w:sz w:val="18"/>
        </w:rPr>
        <w:t>Br. J. Sports Med.</w:t>
      </w:r>
      <w:r w:rsidRPr="0092277B">
        <w:rPr>
          <w:sz w:val="18"/>
        </w:rPr>
        <w:t xml:space="preserve"> 2020, </w:t>
      </w:r>
      <w:r w:rsidRPr="0092277B">
        <w:rPr>
          <w:i/>
          <w:iCs/>
          <w:sz w:val="18"/>
        </w:rPr>
        <w:t>54</w:t>
      </w:r>
      <w:r w:rsidRPr="0092277B">
        <w:rPr>
          <w:sz w:val="18"/>
        </w:rPr>
        <w:t>, 1451–1462.</w:t>
      </w:r>
    </w:p>
    <w:p w14:paraId="7661D5AE"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18. </w:t>
      </w:r>
      <w:r w:rsidRPr="0092277B">
        <w:rPr>
          <w:sz w:val="18"/>
        </w:rPr>
        <w:tab/>
        <w:t xml:space="preserve">World Health Organization </w:t>
      </w:r>
      <w:r w:rsidRPr="0092277B">
        <w:rPr>
          <w:i/>
          <w:iCs/>
          <w:sz w:val="18"/>
        </w:rPr>
        <w:t>Global Physical Activity Questionnaire (GPAQ)</w:t>
      </w:r>
      <w:r w:rsidRPr="0092277B">
        <w:rPr>
          <w:sz w:val="18"/>
        </w:rPr>
        <w:t>; Geneva, 2009;</w:t>
      </w:r>
    </w:p>
    <w:p w14:paraId="224F7BD5"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19. </w:t>
      </w:r>
      <w:r w:rsidRPr="0092277B">
        <w:rPr>
          <w:sz w:val="18"/>
        </w:rPr>
        <w:tab/>
        <w:t xml:space="preserve">Ku, P.W.; Steptoe, A.; Liao, Y.; Hsueh, M.C.; Chen, L.J. A cut-off of daily sedentary time and all-cause mortality in adults: A meta-regression analysis involving more than 1 million participants. </w:t>
      </w:r>
      <w:r w:rsidRPr="0092277B">
        <w:rPr>
          <w:i/>
          <w:iCs/>
          <w:sz w:val="18"/>
        </w:rPr>
        <w:t>BMC Med.</w:t>
      </w:r>
      <w:r w:rsidRPr="0092277B">
        <w:rPr>
          <w:sz w:val="18"/>
        </w:rPr>
        <w:t xml:space="preserve"> </w:t>
      </w:r>
      <w:r w:rsidRPr="0092277B">
        <w:rPr>
          <w:b/>
          <w:bCs/>
          <w:sz w:val="18"/>
        </w:rPr>
        <w:t>2018</w:t>
      </w:r>
      <w:r w:rsidRPr="0092277B">
        <w:rPr>
          <w:sz w:val="18"/>
        </w:rPr>
        <w:t xml:space="preserve">, </w:t>
      </w:r>
      <w:r w:rsidRPr="0092277B">
        <w:rPr>
          <w:i/>
          <w:iCs/>
          <w:sz w:val="18"/>
        </w:rPr>
        <w:t>16</w:t>
      </w:r>
      <w:r w:rsidRPr="0092277B">
        <w:rPr>
          <w:sz w:val="18"/>
        </w:rPr>
        <w:t>, 74, doi:10.1186/s12916-018-1062-2.</w:t>
      </w:r>
    </w:p>
    <w:p w14:paraId="5E4E6B86"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20. </w:t>
      </w:r>
      <w:r w:rsidRPr="0092277B">
        <w:rPr>
          <w:sz w:val="18"/>
        </w:rPr>
        <w:tab/>
        <w:t xml:space="preserve">Katzmarzyk, P.T.; Powell, K.E.; Jakicic, J.M.; Troiano, R.P.; Piercy, K.; Tennant, B. Sedentary Behavior and Health: Update from the 2018 Physical Activity Guidelines Advisory Committee. </w:t>
      </w:r>
      <w:r w:rsidRPr="0092277B">
        <w:rPr>
          <w:i/>
          <w:iCs/>
          <w:sz w:val="18"/>
        </w:rPr>
        <w:t>Med. Sci. Sports Exerc.</w:t>
      </w:r>
      <w:r w:rsidRPr="0092277B">
        <w:rPr>
          <w:sz w:val="18"/>
        </w:rPr>
        <w:t xml:space="preserve"> </w:t>
      </w:r>
      <w:r w:rsidRPr="0092277B">
        <w:rPr>
          <w:b/>
          <w:bCs/>
          <w:sz w:val="18"/>
        </w:rPr>
        <w:t>2019</w:t>
      </w:r>
      <w:r w:rsidRPr="0092277B">
        <w:rPr>
          <w:sz w:val="18"/>
        </w:rPr>
        <w:t xml:space="preserve">, </w:t>
      </w:r>
      <w:r w:rsidRPr="0092277B">
        <w:rPr>
          <w:i/>
          <w:iCs/>
          <w:sz w:val="18"/>
        </w:rPr>
        <w:t>51</w:t>
      </w:r>
      <w:r w:rsidRPr="0092277B">
        <w:rPr>
          <w:sz w:val="18"/>
        </w:rPr>
        <w:t>, 1227–1241, doi:10.1249/MSS.0000000000001935.</w:t>
      </w:r>
    </w:p>
    <w:p w14:paraId="017FE906"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21. </w:t>
      </w:r>
      <w:r w:rsidRPr="0092277B">
        <w:rPr>
          <w:sz w:val="18"/>
        </w:rPr>
        <w:tab/>
        <w:t xml:space="preserve">Cohen, J. </w:t>
      </w:r>
      <w:r w:rsidRPr="0092277B">
        <w:rPr>
          <w:i/>
          <w:iCs/>
          <w:sz w:val="18"/>
        </w:rPr>
        <w:t>Statistical Power Analysis for the Behavioral Sciences</w:t>
      </w:r>
      <w:r w:rsidRPr="0092277B">
        <w:rPr>
          <w:sz w:val="18"/>
        </w:rPr>
        <w:t>; Hillsdale, N.J.</w:t>
      </w:r>
      <w:r w:rsidRPr="0092277B">
        <w:rPr>
          <w:rFonts w:ascii="Times New Roman" w:hAnsi="Times New Roman"/>
          <w:sz w:val="18"/>
        </w:rPr>
        <w:t> </w:t>
      </w:r>
      <w:r w:rsidRPr="0092277B">
        <w:rPr>
          <w:sz w:val="18"/>
        </w:rPr>
        <w:t>: L. Erlbaum Associates: New York, 1988;</w:t>
      </w:r>
    </w:p>
    <w:p w14:paraId="231B2987"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22. </w:t>
      </w:r>
      <w:r w:rsidRPr="0092277B">
        <w:rPr>
          <w:sz w:val="18"/>
        </w:rPr>
        <w:tab/>
        <w:t xml:space="preserve">Ammar, A.; Brach, M.; Trabelsi, K.; Chtourou, H.; Boukhris, O.; Masmoudi, L.; Bouaziz, B.; Bentlage, E.; How, D.; Ahmed, M.; et al. Effects of COVID-19 home confinement on eating behaviour and physical activity: Results of the ECLB-COVID19 international online survey. </w:t>
      </w:r>
      <w:r w:rsidRPr="0092277B">
        <w:rPr>
          <w:i/>
          <w:iCs/>
          <w:sz w:val="18"/>
        </w:rPr>
        <w:t>Nutrients</w:t>
      </w:r>
      <w:r w:rsidRPr="0092277B">
        <w:rPr>
          <w:sz w:val="18"/>
        </w:rPr>
        <w:t xml:space="preserve"> </w:t>
      </w:r>
      <w:r w:rsidRPr="0092277B">
        <w:rPr>
          <w:b/>
          <w:bCs/>
          <w:sz w:val="18"/>
        </w:rPr>
        <w:t>2020</w:t>
      </w:r>
      <w:r w:rsidRPr="0092277B">
        <w:rPr>
          <w:sz w:val="18"/>
        </w:rPr>
        <w:t xml:space="preserve">, </w:t>
      </w:r>
      <w:r w:rsidRPr="0092277B">
        <w:rPr>
          <w:i/>
          <w:iCs/>
          <w:sz w:val="18"/>
        </w:rPr>
        <w:t>12</w:t>
      </w:r>
      <w:r w:rsidRPr="0092277B">
        <w:rPr>
          <w:sz w:val="18"/>
        </w:rPr>
        <w:t>, doi:10.3390/nu12061583.</w:t>
      </w:r>
    </w:p>
    <w:p w14:paraId="6414E92C"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23. </w:t>
      </w:r>
      <w:r w:rsidRPr="0092277B">
        <w:rPr>
          <w:sz w:val="18"/>
        </w:rPr>
        <w:tab/>
        <w:t xml:space="preserve">He, M.; Xian, Y.; Lv, X.; He, J.; Ren, Y. Changes in body weight, physical activity and lifestyle during the semi-lockdown period after the outbreak of COVID-19 in China: An online survey. </w:t>
      </w:r>
      <w:r w:rsidRPr="0092277B">
        <w:rPr>
          <w:i/>
          <w:iCs/>
          <w:sz w:val="18"/>
        </w:rPr>
        <w:t>Disaster Med. Public Health Prep.</w:t>
      </w:r>
      <w:r w:rsidRPr="0092277B">
        <w:rPr>
          <w:sz w:val="18"/>
        </w:rPr>
        <w:t xml:space="preserve"> </w:t>
      </w:r>
      <w:r w:rsidRPr="0092277B">
        <w:rPr>
          <w:b/>
          <w:bCs/>
          <w:sz w:val="18"/>
        </w:rPr>
        <w:t>2020</w:t>
      </w:r>
      <w:r w:rsidRPr="0092277B">
        <w:rPr>
          <w:sz w:val="18"/>
        </w:rPr>
        <w:t>, 1–6, doi:10.1017/dmp.2020.237.</w:t>
      </w:r>
    </w:p>
    <w:p w14:paraId="11422D1E"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24. </w:t>
      </w:r>
      <w:r w:rsidRPr="0092277B">
        <w:rPr>
          <w:sz w:val="18"/>
        </w:rPr>
        <w:tab/>
        <w:t xml:space="preserve">López-Sánchez, G.F.; López-Bueno, R.; Gil-Salmerón, A.; Zauder, R.; Skalska, M.; Jastrzębska, J.; Jastrzębski, Z.; Schuch, F.B.; Grabovac, I.; Tully, M.A.; et al. Comparison of physical activity levels in Spanish adults with chronic conditions before and during COVID-19 quarantine. </w:t>
      </w:r>
      <w:r w:rsidRPr="0092277B">
        <w:rPr>
          <w:i/>
          <w:iCs/>
          <w:sz w:val="18"/>
        </w:rPr>
        <w:t>Eur. J. Public Health</w:t>
      </w:r>
      <w:r w:rsidRPr="0092277B">
        <w:rPr>
          <w:sz w:val="18"/>
        </w:rPr>
        <w:t xml:space="preserve"> </w:t>
      </w:r>
      <w:r w:rsidRPr="0092277B">
        <w:rPr>
          <w:b/>
          <w:bCs/>
          <w:sz w:val="18"/>
        </w:rPr>
        <w:t>2021</w:t>
      </w:r>
      <w:r w:rsidRPr="0092277B">
        <w:rPr>
          <w:sz w:val="18"/>
        </w:rPr>
        <w:t xml:space="preserve">, </w:t>
      </w:r>
      <w:r w:rsidRPr="0092277B">
        <w:rPr>
          <w:i/>
          <w:iCs/>
          <w:sz w:val="18"/>
        </w:rPr>
        <w:t>31</w:t>
      </w:r>
      <w:r w:rsidRPr="0092277B">
        <w:rPr>
          <w:sz w:val="18"/>
        </w:rPr>
        <w:t>, 161–166, doi:10.1093/eurpub/ckaa159.</w:t>
      </w:r>
    </w:p>
    <w:p w14:paraId="32C997E3"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25. </w:t>
      </w:r>
      <w:r w:rsidRPr="0092277B">
        <w:rPr>
          <w:sz w:val="18"/>
        </w:rPr>
        <w:tab/>
        <w:t xml:space="preserve">Castañeda-Babarro, A.; Coca, A.; Arbillaga-Etxarri, A.; Gutiérrez-Santamaría, B. Physical activity change during COVID-19 confinement. </w:t>
      </w:r>
      <w:r w:rsidRPr="0092277B">
        <w:rPr>
          <w:i/>
          <w:iCs/>
          <w:sz w:val="18"/>
        </w:rPr>
        <w:t>Int. J. Environ. Res. Public Health</w:t>
      </w:r>
      <w:r w:rsidRPr="0092277B">
        <w:rPr>
          <w:sz w:val="18"/>
        </w:rPr>
        <w:t xml:space="preserve"> </w:t>
      </w:r>
      <w:r w:rsidRPr="0092277B">
        <w:rPr>
          <w:b/>
          <w:bCs/>
          <w:sz w:val="18"/>
        </w:rPr>
        <w:t>2020</w:t>
      </w:r>
      <w:r w:rsidRPr="0092277B">
        <w:rPr>
          <w:sz w:val="18"/>
        </w:rPr>
        <w:t xml:space="preserve">, </w:t>
      </w:r>
      <w:r w:rsidRPr="0092277B">
        <w:rPr>
          <w:i/>
          <w:iCs/>
          <w:sz w:val="18"/>
        </w:rPr>
        <w:t>17</w:t>
      </w:r>
      <w:r w:rsidRPr="0092277B">
        <w:rPr>
          <w:sz w:val="18"/>
        </w:rPr>
        <w:t>, 1–10, doi:10.3390/ijerph17186878.</w:t>
      </w:r>
    </w:p>
    <w:p w14:paraId="7AD4BDF2"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26. </w:t>
      </w:r>
      <w:r w:rsidRPr="0092277B">
        <w:rPr>
          <w:sz w:val="18"/>
        </w:rPr>
        <w:tab/>
        <w:t xml:space="preserve">Meyer, J.; Herring, M.; McDowell, C.; Lansing, J.; Brower, C.; Schuch, F.; Smith, L.; Tully, M.; Martin, J.; Caswell, S.; et al. Joint prevalence of physical activity and sitting time during COVID-19 among US adults in April 2020. </w:t>
      </w:r>
      <w:r w:rsidRPr="0092277B">
        <w:rPr>
          <w:i/>
          <w:iCs/>
          <w:sz w:val="18"/>
        </w:rPr>
        <w:t>Prev. Med. Reports</w:t>
      </w:r>
      <w:r w:rsidRPr="0092277B">
        <w:rPr>
          <w:sz w:val="18"/>
        </w:rPr>
        <w:t xml:space="preserve"> </w:t>
      </w:r>
      <w:r w:rsidRPr="0092277B">
        <w:rPr>
          <w:b/>
          <w:bCs/>
          <w:sz w:val="18"/>
        </w:rPr>
        <w:t>2020</w:t>
      </w:r>
      <w:r w:rsidRPr="0092277B">
        <w:rPr>
          <w:sz w:val="18"/>
        </w:rPr>
        <w:t xml:space="preserve">, </w:t>
      </w:r>
      <w:r w:rsidRPr="0092277B">
        <w:rPr>
          <w:i/>
          <w:iCs/>
          <w:sz w:val="18"/>
        </w:rPr>
        <w:t>20</w:t>
      </w:r>
      <w:r w:rsidRPr="0092277B">
        <w:rPr>
          <w:sz w:val="18"/>
        </w:rPr>
        <w:t>, 101256, doi:10.1016/j.pmedr.2020.101256.</w:t>
      </w:r>
    </w:p>
    <w:p w14:paraId="4E87EEFD"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27. </w:t>
      </w:r>
      <w:r w:rsidRPr="0092277B">
        <w:rPr>
          <w:sz w:val="18"/>
        </w:rPr>
        <w:tab/>
        <w:t xml:space="preserve">Janssen, X.; Fleming, L.; Kirk, A.; Rollins, L.; Young, D.; Grealy, M.; MacDonald, B.; Flowers, P.; Williams, L. Changes in Physical Activity, Sitting and Sleep across the COVID-19 National Lockdown Period in Scotland. </w:t>
      </w:r>
      <w:r w:rsidRPr="0092277B">
        <w:rPr>
          <w:i/>
          <w:iCs/>
          <w:sz w:val="18"/>
        </w:rPr>
        <w:t>Int. J. Environ. Res. Public Health</w:t>
      </w:r>
      <w:r w:rsidRPr="0092277B">
        <w:rPr>
          <w:sz w:val="18"/>
        </w:rPr>
        <w:t xml:space="preserve"> </w:t>
      </w:r>
      <w:r w:rsidRPr="0092277B">
        <w:rPr>
          <w:b/>
          <w:bCs/>
          <w:sz w:val="18"/>
        </w:rPr>
        <w:t>2020</w:t>
      </w:r>
      <w:r w:rsidRPr="0092277B">
        <w:rPr>
          <w:sz w:val="18"/>
        </w:rPr>
        <w:t xml:space="preserve">, </w:t>
      </w:r>
      <w:r w:rsidRPr="0092277B">
        <w:rPr>
          <w:i/>
          <w:iCs/>
          <w:sz w:val="18"/>
        </w:rPr>
        <w:t>17</w:t>
      </w:r>
      <w:r w:rsidRPr="0092277B">
        <w:rPr>
          <w:sz w:val="18"/>
        </w:rPr>
        <w:t>, 9362, doi:10.3390/ijerph17249362.</w:t>
      </w:r>
    </w:p>
    <w:p w14:paraId="4FE84656"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28. </w:t>
      </w:r>
      <w:r w:rsidRPr="0092277B">
        <w:rPr>
          <w:sz w:val="18"/>
        </w:rPr>
        <w:tab/>
        <w:t xml:space="preserve">Knell, G.; Robertson, M.C.; Dooley, E.E.; Burford, K.; Mendez, K.S. Health Behavior Changes During COVID-19 Pandemic and Subsequent “Stay-at-Home” Orders. </w:t>
      </w:r>
      <w:r w:rsidRPr="0092277B">
        <w:rPr>
          <w:i/>
          <w:iCs/>
          <w:sz w:val="18"/>
        </w:rPr>
        <w:t>Int. J. Environ. Res. Public Health</w:t>
      </w:r>
      <w:r w:rsidRPr="0092277B">
        <w:rPr>
          <w:sz w:val="18"/>
        </w:rPr>
        <w:t xml:space="preserve"> </w:t>
      </w:r>
      <w:r w:rsidRPr="0092277B">
        <w:rPr>
          <w:b/>
          <w:bCs/>
          <w:sz w:val="18"/>
        </w:rPr>
        <w:t>2020</w:t>
      </w:r>
      <w:r w:rsidRPr="0092277B">
        <w:rPr>
          <w:sz w:val="18"/>
        </w:rPr>
        <w:t xml:space="preserve">, </w:t>
      </w:r>
      <w:r w:rsidRPr="0092277B">
        <w:rPr>
          <w:i/>
          <w:iCs/>
          <w:sz w:val="18"/>
        </w:rPr>
        <w:t>17</w:t>
      </w:r>
      <w:r w:rsidRPr="0092277B">
        <w:rPr>
          <w:sz w:val="18"/>
        </w:rPr>
        <w:t>, 6268, doi:10.3390/ijerph17176268.</w:t>
      </w:r>
    </w:p>
    <w:p w14:paraId="1CDF36B3"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29. </w:t>
      </w:r>
      <w:r w:rsidRPr="0092277B">
        <w:rPr>
          <w:sz w:val="18"/>
        </w:rPr>
        <w:tab/>
        <w:t xml:space="preserve">Cancello, R.; Soranna, D.; Zambra, G.; Zambon, A.; Invitti, C. Determinants of the Lifestyle Changes during COVID-19 Pandemic in the Residents of Northern Italy. </w:t>
      </w:r>
      <w:r w:rsidRPr="0092277B">
        <w:rPr>
          <w:i/>
          <w:iCs/>
          <w:sz w:val="18"/>
        </w:rPr>
        <w:t>Int. J. Environ. Res. Public Health</w:t>
      </w:r>
      <w:r w:rsidRPr="0092277B">
        <w:rPr>
          <w:sz w:val="18"/>
        </w:rPr>
        <w:t xml:space="preserve"> </w:t>
      </w:r>
      <w:r w:rsidRPr="0092277B">
        <w:rPr>
          <w:b/>
          <w:bCs/>
          <w:sz w:val="18"/>
        </w:rPr>
        <w:t>2020</w:t>
      </w:r>
      <w:r w:rsidRPr="0092277B">
        <w:rPr>
          <w:sz w:val="18"/>
        </w:rPr>
        <w:t xml:space="preserve">, </w:t>
      </w:r>
      <w:r w:rsidRPr="0092277B">
        <w:rPr>
          <w:i/>
          <w:iCs/>
          <w:sz w:val="18"/>
        </w:rPr>
        <w:t>17</w:t>
      </w:r>
      <w:r w:rsidRPr="0092277B">
        <w:rPr>
          <w:sz w:val="18"/>
        </w:rPr>
        <w:t>, 6287, doi:10.3390/ijerph17176287.</w:t>
      </w:r>
    </w:p>
    <w:p w14:paraId="3A422242"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lastRenderedPageBreak/>
        <w:t xml:space="preserve">30. </w:t>
      </w:r>
      <w:r w:rsidRPr="0092277B">
        <w:rPr>
          <w:sz w:val="18"/>
        </w:rPr>
        <w:tab/>
        <w:t>World Health Organization Stay physically active during self-quarantine Available online: https://www.euro.who.int/en/health-topics/health-emergencies/coronavirus-covid-19/publications-and-technical-guidance/noncommunicable-diseases/stay-physically-active-during-self-quarantine (accessed on Mar 19, 2021).</w:t>
      </w:r>
    </w:p>
    <w:p w14:paraId="1628FE6B"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31. </w:t>
      </w:r>
      <w:r w:rsidRPr="0092277B">
        <w:rPr>
          <w:sz w:val="18"/>
        </w:rPr>
        <w:tab/>
        <w:t xml:space="preserve">Stockwell, S.; Trott, M.; Tully, M.; Shin, J.; Barnett, Y.; Butler, L.; McDermott, D.; Schuch, F.; Smith, L. Changes in physical activity and sedentary behaviours from before to during the COVID-19 pandemic lockdown: A systematic review. </w:t>
      </w:r>
      <w:r w:rsidRPr="0092277B">
        <w:rPr>
          <w:i/>
          <w:iCs/>
          <w:sz w:val="18"/>
        </w:rPr>
        <w:t>BMJ Open Sport Exerc. Med.</w:t>
      </w:r>
      <w:r w:rsidRPr="0092277B">
        <w:rPr>
          <w:sz w:val="18"/>
        </w:rPr>
        <w:t xml:space="preserve"> 2021, </w:t>
      </w:r>
      <w:r w:rsidRPr="0092277B">
        <w:rPr>
          <w:i/>
          <w:iCs/>
          <w:sz w:val="18"/>
        </w:rPr>
        <w:t>7</w:t>
      </w:r>
      <w:r w:rsidRPr="0092277B">
        <w:rPr>
          <w:sz w:val="18"/>
        </w:rPr>
        <w:t>, 960.</w:t>
      </w:r>
    </w:p>
    <w:p w14:paraId="3DB50A71"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32. </w:t>
      </w:r>
      <w:r w:rsidRPr="0092277B">
        <w:rPr>
          <w:sz w:val="18"/>
        </w:rPr>
        <w:tab/>
        <w:t xml:space="preserve">da Silveira, M.P.; da Silva Fagundes, K.K.; Bizuti, M.R.; Starck, É.; Rossi, R.C.; de Resende e Silva, D.T. Physical exercise as a tool to help the immune system against COVID-19: an integrative review of the current literature. </w:t>
      </w:r>
      <w:r w:rsidRPr="0092277B">
        <w:rPr>
          <w:i/>
          <w:iCs/>
          <w:sz w:val="18"/>
        </w:rPr>
        <w:t>Clin. Exp. Med.</w:t>
      </w:r>
      <w:r w:rsidRPr="0092277B">
        <w:rPr>
          <w:sz w:val="18"/>
        </w:rPr>
        <w:t xml:space="preserve"> 2021, </w:t>
      </w:r>
      <w:r w:rsidRPr="0092277B">
        <w:rPr>
          <w:i/>
          <w:iCs/>
          <w:sz w:val="18"/>
        </w:rPr>
        <w:t>21</w:t>
      </w:r>
      <w:r w:rsidRPr="0092277B">
        <w:rPr>
          <w:sz w:val="18"/>
        </w:rPr>
        <w:t>, 15–28.</w:t>
      </w:r>
    </w:p>
    <w:p w14:paraId="655E5409"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33. </w:t>
      </w:r>
      <w:r w:rsidRPr="0092277B">
        <w:rPr>
          <w:sz w:val="18"/>
        </w:rPr>
        <w:tab/>
        <w:t xml:space="preserve">Zbinden-Foncea, H.; Francaux, M.; Deldicque, L.; Hawley, J.A. Does High Cardiorespiratory Fitness Confer Some Protection Against Proinflammatory Responses After Infection by SARS-CoV-2? </w:t>
      </w:r>
      <w:r w:rsidRPr="0092277B">
        <w:rPr>
          <w:i/>
          <w:iCs/>
          <w:sz w:val="18"/>
        </w:rPr>
        <w:t>Obesity</w:t>
      </w:r>
      <w:r w:rsidRPr="0092277B">
        <w:rPr>
          <w:sz w:val="18"/>
        </w:rPr>
        <w:t xml:space="preserve"> 2020, </w:t>
      </w:r>
      <w:r w:rsidRPr="0092277B">
        <w:rPr>
          <w:i/>
          <w:iCs/>
          <w:sz w:val="18"/>
        </w:rPr>
        <w:t>28</w:t>
      </w:r>
      <w:r w:rsidRPr="0092277B">
        <w:rPr>
          <w:sz w:val="18"/>
        </w:rPr>
        <w:t>, 1378–1381.</w:t>
      </w:r>
    </w:p>
    <w:p w14:paraId="6ECAC5F1"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34. </w:t>
      </w:r>
      <w:r w:rsidRPr="0092277B">
        <w:rPr>
          <w:sz w:val="18"/>
        </w:rPr>
        <w:tab/>
        <w:t xml:space="preserve">Hamer, M.; Kivimäki, M.; Gale, C.R.; Batty, G.D. Lifestyle risk factors, inflammatory mechanisms, and COVID-19 hospitalization: A community-based cohort study of 387,109 adults in UK. </w:t>
      </w:r>
      <w:r w:rsidRPr="0092277B">
        <w:rPr>
          <w:i/>
          <w:iCs/>
          <w:sz w:val="18"/>
        </w:rPr>
        <w:t>Brain. Behav. Immun.</w:t>
      </w:r>
      <w:r w:rsidRPr="0092277B">
        <w:rPr>
          <w:sz w:val="18"/>
        </w:rPr>
        <w:t xml:space="preserve"> </w:t>
      </w:r>
      <w:r w:rsidRPr="0092277B">
        <w:rPr>
          <w:b/>
          <w:bCs/>
          <w:sz w:val="18"/>
        </w:rPr>
        <w:t>2020</w:t>
      </w:r>
      <w:r w:rsidRPr="0092277B">
        <w:rPr>
          <w:sz w:val="18"/>
        </w:rPr>
        <w:t xml:space="preserve">, </w:t>
      </w:r>
      <w:r w:rsidRPr="0092277B">
        <w:rPr>
          <w:i/>
          <w:iCs/>
          <w:sz w:val="18"/>
        </w:rPr>
        <w:t>87</w:t>
      </w:r>
      <w:r w:rsidRPr="0092277B">
        <w:rPr>
          <w:sz w:val="18"/>
        </w:rPr>
        <w:t>, 184–187, doi:10.1016/j.bbi.2020.05.059.</w:t>
      </w:r>
    </w:p>
    <w:p w14:paraId="7418A53C"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35. </w:t>
      </w:r>
      <w:r w:rsidRPr="0092277B">
        <w:rPr>
          <w:sz w:val="18"/>
        </w:rPr>
        <w:tab/>
        <w:t xml:space="preserve">Carter, S.J.; Baranauskas, M.N.; Fly, A.D. Considerations for Obesity, Vitamin D, and Physical Activity Amid the COVID-19 Pandemic. </w:t>
      </w:r>
      <w:r w:rsidRPr="0092277B">
        <w:rPr>
          <w:i/>
          <w:iCs/>
          <w:sz w:val="18"/>
        </w:rPr>
        <w:t>Obesity</w:t>
      </w:r>
      <w:r w:rsidRPr="0092277B">
        <w:rPr>
          <w:sz w:val="18"/>
        </w:rPr>
        <w:t xml:space="preserve"> </w:t>
      </w:r>
      <w:r w:rsidRPr="0092277B">
        <w:rPr>
          <w:b/>
          <w:bCs/>
          <w:sz w:val="18"/>
        </w:rPr>
        <w:t>2020</w:t>
      </w:r>
      <w:r w:rsidRPr="0092277B">
        <w:rPr>
          <w:sz w:val="18"/>
        </w:rPr>
        <w:t xml:space="preserve">, </w:t>
      </w:r>
      <w:r w:rsidRPr="0092277B">
        <w:rPr>
          <w:i/>
          <w:iCs/>
          <w:sz w:val="18"/>
        </w:rPr>
        <w:t>28</w:t>
      </w:r>
      <w:r w:rsidRPr="0092277B">
        <w:rPr>
          <w:sz w:val="18"/>
        </w:rPr>
        <w:t>, 1176–1177, doi:10.1002/oby.22838.</w:t>
      </w:r>
    </w:p>
    <w:p w14:paraId="7087E435"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36. </w:t>
      </w:r>
      <w:r w:rsidRPr="0092277B">
        <w:rPr>
          <w:sz w:val="18"/>
        </w:rPr>
        <w:tab/>
        <w:t xml:space="preserve">Ding, D.; Lawson, K.D.; Kolbe-Alexander, T.L.; Finkelstein, E.A.; Katzmarzyk, P.T.; van Mechelen, W.; Pratt, M.; Committee, L.P.A.S. 2 E.; Hallal, P.C.; Andersen, L.B.; et al. The economic burden of physical inactivity: A global analysis of major non-communicable diseases. </w:t>
      </w:r>
      <w:r w:rsidRPr="0092277B">
        <w:rPr>
          <w:i/>
          <w:iCs/>
          <w:sz w:val="18"/>
        </w:rPr>
        <w:t>Lancet</w:t>
      </w:r>
      <w:r w:rsidRPr="0092277B">
        <w:rPr>
          <w:sz w:val="18"/>
        </w:rPr>
        <w:t xml:space="preserve"> </w:t>
      </w:r>
      <w:r w:rsidRPr="0092277B">
        <w:rPr>
          <w:b/>
          <w:bCs/>
          <w:sz w:val="18"/>
        </w:rPr>
        <w:t>2016</w:t>
      </w:r>
      <w:r w:rsidRPr="0092277B">
        <w:rPr>
          <w:sz w:val="18"/>
        </w:rPr>
        <w:t xml:space="preserve">, </w:t>
      </w:r>
      <w:r w:rsidRPr="0092277B">
        <w:rPr>
          <w:i/>
          <w:iCs/>
          <w:sz w:val="18"/>
        </w:rPr>
        <w:t>380</w:t>
      </w:r>
      <w:r w:rsidRPr="0092277B">
        <w:rPr>
          <w:sz w:val="18"/>
        </w:rPr>
        <w:t>, 247–257, doi:10.1016/S0140-6736(12)60646-1.</w:t>
      </w:r>
    </w:p>
    <w:p w14:paraId="284AB75F"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37. </w:t>
      </w:r>
      <w:r w:rsidRPr="0092277B">
        <w:rPr>
          <w:sz w:val="18"/>
        </w:rPr>
        <w:tab/>
        <w:t xml:space="preserve">Bull, F.; Goenka, S.; Lambert, V.; Pratt, M. Physical Activity for the Prevention of Cardiometabolic Disease. In </w:t>
      </w:r>
      <w:r w:rsidRPr="0092277B">
        <w:rPr>
          <w:i/>
          <w:iCs/>
          <w:sz w:val="18"/>
        </w:rPr>
        <w:t>Disease Control Priorities, Third Edition (Volume 5): Cardiovascular, Respiratory, and Related Disorders</w:t>
      </w:r>
      <w:r w:rsidRPr="0092277B">
        <w:rPr>
          <w:sz w:val="18"/>
        </w:rPr>
        <w:t>; The World Bank, 2017; pp. 79–99 ISBN 9781464805189.</w:t>
      </w:r>
    </w:p>
    <w:p w14:paraId="55698390"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38. </w:t>
      </w:r>
      <w:r w:rsidRPr="0092277B">
        <w:rPr>
          <w:sz w:val="18"/>
        </w:rPr>
        <w:tab/>
        <w:t xml:space="preserve">Heron, L.; O’Neill, C.; McAneney, H.; Kee, F.; Tully, M.A. Direct healthcare costs of sedentary behaviour in the UK. </w:t>
      </w:r>
      <w:r w:rsidRPr="0092277B">
        <w:rPr>
          <w:i/>
          <w:iCs/>
          <w:sz w:val="18"/>
        </w:rPr>
        <w:t>J. Epidemiol. Community Health</w:t>
      </w:r>
      <w:r w:rsidRPr="0092277B">
        <w:rPr>
          <w:sz w:val="18"/>
        </w:rPr>
        <w:t xml:space="preserve"> </w:t>
      </w:r>
      <w:r w:rsidRPr="0092277B">
        <w:rPr>
          <w:b/>
          <w:bCs/>
          <w:sz w:val="18"/>
        </w:rPr>
        <w:t>2019</w:t>
      </w:r>
      <w:r w:rsidRPr="0092277B">
        <w:rPr>
          <w:sz w:val="18"/>
        </w:rPr>
        <w:t xml:space="preserve">, </w:t>
      </w:r>
      <w:r w:rsidRPr="0092277B">
        <w:rPr>
          <w:i/>
          <w:iCs/>
          <w:sz w:val="18"/>
        </w:rPr>
        <w:t>73</w:t>
      </w:r>
      <w:r w:rsidRPr="0092277B">
        <w:rPr>
          <w:sz w:val="18"/>
        </w:rPr>
        <w:t>, doi:10.1136/jech-2018-211758.</w:t>
      </w:r>
    </w:p>
    <w:p w14:paraId="4BE9132A" w14:textId="77777777" w:rsidR="008D04CE" w:rsidRPr="0092277B" w:rsidRDefault="008D04CE" w:rsidP="008D04CE">
      <w:pPr>
        <w:widowControl w:val="0"/>
        <w:autoSpaceDE w:val="0"/>
        <w:autoSpaceDN w:val="0"/>
        <w:adjustRightInd w:val="0"/>
        <w:spacing w:line="240" w:lineRule="auto"/>
        <w:ind w:left="640" w:hanging="640"/>
        <w:rPr>
          <w:sz w:val="18"/>
        </w:rPr>
      </w:pPr>
      <w:r w:rsidRPr="0092277B">
        <w:rPr>
          <w:sz w:val="18"/>
        </w:rPr>
        <w:t xml:space="preserve">39. </w:t>
      </w:r>
      <w:r w:rsidRPr="0092277B">
        <w:rPr>
          <w:sz w:val="18"/>
        </w:rPr>
        <w:tab/>
        <w:t xml:space="preserve">Hall, G.; Laddu, D.R.; Phillips, S.A.; Lavie, C.J.; Arena, R. A tale of two pandemics: How will COVID-19 and global trends in physical inactivity and sedentary behavior affect one another? </w:t>
      </w:r>
      <w:r w:rsidRPr="0092277B">
        <w:rPr>
          <w:i/>
          <w:iCs/>
          <w:sz w:val="18"/>
        </w:rPr>
        <w:t>Prog. Cardiovasc. Dis.</w:t>
      </w:r>
      <w:r w:rsidRPr="0092277B">
        <w:rPr>
          <w:sz w:val="18"/>
        </w:rPr>
        <w:t xml:space="preserve"> 2020.</w:t>
      </w:r>
    </w:p>
    <w:p w14:paraId="479102A8" w14:textId="77777777" w:rsidR="008D04CE" w:rsidRPr="008D04CE" w:rsidRDefault="008D04CE" w:rsidP="008D04CE">
      <w:pPr>
        <w:widowControl w:val="0"/>
        <w:autoSpaceDE w:val="0"/>
        <w:autoSpaceDN w:val="0"/>
        <w:adjustRightInd w:val="0"/>
        <w:spacing w:line="240" w:lineRule="auto"/>
        <w:ind w:left="640" w:hanging="640"/>
        <w:rPr>
          <w:sz w:val="18"/>
        </w:rPr>
      </w:pPr>
      <w:r w:rsidRPr="0092277B">
        <w:rPr>
          <w:sz w:val="18"/>
        </w:rPr>
        <w:t xml:space="preserve">40. </w:t>
      </w:r>
      <w:r w:rsidRPr="0092277B">
        <w:rPr>
          <w:sz w:val="18"/>
        </w:rPr>
        <w:tab/>
        <w:t xml:space="preserve">Bull, F.C.; Maslin, T.S.; Armstrong, T. Global Physical Activity questionnaire (GPAQ): Nine country reliability and validity study. </w:t>
      </w:r>
      <w:r w:rsidRPr="008D04CE">
        <w:rPr>
          <w:i/>
          <w:iCs/>
          <w:sz w:val="18"/>
          <w:lang w:val="es-ES_tradnl"/>
        </w:rPr>
        <w:t>J. Phys. Act. Health</w:t>
      </w:r>
      <w:r w:rsidRPr="008D04CE">
        <w:rPr>
          <w:sz w:val="18"/>
          <w:lang w:val="es-ES_tradnl"/>
        </w:rPr>
        <w:t xml:space="preserve"> </w:t>
      </w:r>
      <w:r w:rsidRPr="008D04CE">
        <w:rPr>
          <w:b/>
          <w:bCs/>
          <w:sz w:val="18"/>
          <w:lang w:val="es-ES_tradnl"/>
        </w:rPr>
        <w:t>2009</w:t>
      </w:r>
      <w:r w:rsidRPr="008D04CE">
        <w:rPr>
          <w:sz w:val="18"/>
          <w:lang w:val="es-ES_tradnl"/>
        </w:rPr>
        <w:t xml:space="preserve">, </w:t>
      </w:r>
      <w:r w:rsidRPr="008D04CE">
        <w:rPr>
          <w:i/>
          <w:iCs/>
          <w:sz w:val="18"/>
          <w:lang w:val="es-ES_tradnl"/>
        </w:rPr>
        <w:t>6</w:t>
      </w:r>
      <w:r w:rsidRPr="008D04CE">
        <w:rPr>
          <w:sz w:val="18"/>
          <w:lang w:val="es-ES_tradnl"/>
        </w:rPr>
        <w:t>, 790–804.</w:t>
      </w:r>
    </w:p>
    <w:p w14:paraId="36A6AC91" w14:textId="211FBD0D" w:rsidR="00522304" w:rsidRDefault="00CE5359" w:rsidP="008D04CE">
      <w:pPr>
        <w:widowControl w:val="0"/>
        <w:autoSpaceDE w:val="0"/>
        <w:autoSpaceDN w:val="0"/>
        <w:adjustRightInd w:val="0"/>
        <w:spacing w:line="240" w:lineRule="auto"/>
        <w:ind w:left="640" w:hanging="640"/>
      </w:pPr>
      <w:r>
        <w:fldChar w:fldCharType="end"/>
      </w:r>
    </w:p>
    <w:sectPr w:rsidR="00522304" w:rsidSect="00284BEB">
      <w:headerReference w:type="even" r:id="rId29"/>
      <w:headerReference w:type="default" r:id="rId30"/>
      <w:footerReference w:type="default" r:id="rId31"/>
      <w:headerReference w:type="first" r:id="rId32"/>
      <w:footerReference w:type="first" r:id="rId33"/>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2A857" w14:textId="77777777" w:rsidR="001F7010" w:rsidRDefault="001F7010">
      <w:pPr>
        <w:spacing w:line="240" w:lineRule="auto"/>
      </w:pPr>
      <w:r>
        <w:separator/>
      </w:r>
    </w:p>
  </w:endnote>
  <w:endnote w:type="continuationSeparator" w:id="0">
    <w:p w14:paraId="40F59D1B" w14:textId="77777777" w:rsidR="001F7010" w:rsidRDefault="001F70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oto Serif CJK JP">
    <w:charset w:val="00"/>
    <w:family w:val="auto"/>
    <w:pitch w:val="variable"/>
  </w:font>
  <w:font w:name="DejaVu Sans">
    <w:altName w:val="Verdana"/>
    <w:charset w:val="00"/>
    <w:family w:val="auto"/>
    <w:pitch w:val="variable"/>
  </w:font>
  <w:font w:name="DengXian">
    <w:altName w:val="Arial Unicode MS"/>
    <w:charset w:val="86"/>
    <w:family w:val="auto"/>
    <w:pitch w:val="variable"/>
    <w:sig w:usb0="00000000"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A9034" w14:textId="77777777" w:rsidR="00EE7269" w:rsidRPr="00590BF9" w:rsidRDefault="00EE7269" w:rsidP="00E90986">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BC032" w14:textId="77777777" w:rsidR="00EE7269" w:rsidRDefault="00EE7269" w:rsidP="00F32F04">
    <w:pPr>
      <w:pStyle w:val="MDPIfooterfirstpage"/>
      <w:pBdr>
        <w:top w:val="single" w:sz="4" w:space="0" w:color="000000"/>
      </w:pBdr>
      <w:adjustRightInd w:val="0"/>
      <w:snapToGrid w:val="0"/>
      <w:spacing w:before="480" w:line="100" w:lineRule="exact"/>
      <w:rPr>
        <w:i/>
        <w:szCs w:val="16"/>
      </w:rPr>
    </w:pPr>
  </w:p>
  <w:p w14:paraId="6F38F396" w14:textId="77777777" w:rsidR="00EE7269" w:rsidRPr="008B308E" w:rsidRDefault="00EE7269"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072F70">
      <w:rPr>
        <w:b/>
        <w:szCs w:val="16"/>
      </w:rPr>
      <w:t>2021</w:t>
    </w:r>
    <w:r w:rsidRPr="00AE348C">
      <w:rPr>
        <w:szCs w:val="16"/>
      </w:rPr>
      <w:t xml:space="preserve">, </w:t>
    </w:r>
    <w:r w:rsidRPr="00072F70">
      <w:rPr>
        <w:i/>
        <w:szCs w:val="16"/>
      </w:rPr>
      <w:t>18</w:t>
    </w:r>
    <w:r w:rsidRPr="00AE348C">
      <w:rPr>
        <w:szCs w:val="16"/>
      </w:rPr>
      <w:t xml:space="preserve">, </w:t>
    </w:r>
    <w:r>
      <w:rPr>
        <w:szCs w:val="16"/>
      </w:rPr>
      <w:t>x. https://doi.org/10.3390/xxxxx</w:t>
    </w:r>
    <w:r w:rsidRPr="008B308E">
      <w:rPr>
        <w:lang w:val="fr-CH"/>
      </w:rPr>
      <w:tab/>
      <w:t>www.mdpi.com/journal/</w:t>
    </w:r>
    <w:proofErr w:type="spellStart"/>
    <w:r>
      <w:t>ijerph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12568" w14:textId="77777777" w:rsidR="001F7010" w:rsidRDefault="001F7010">
      <w:pPr>
        <w:spacing w:line="240" w:lineRule="auto"/>
      </w:pPr>
      <w:r>
        <w:separator/>
      </w:r>
    </w:p>
  </w:footnote>
  <w:footnote w:type="continuationSeparator" w:id="0">
    <w:p w14:paraId="287D6C2A" w14:textId="77777777" w:rsidR="001F7010" w:rsidRDefault="001F70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4420A" w14:textId="77777777" w:rsidR="00EE7269" w:rsidRDefault="00EE7269" w:rsidP="00E90986">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B9944" w14:textId="4E75733C" w:rsidR="00EE7269" w:rsidRDefault="00EE7269" w:rsidP="00B200C8">
    <w:pPr>
      <w:tabs>
        <w:tab w:val="right" w:pos="10466"/>
      </w:tabs>
      <w:adjustRightInd w:val="0"/>
      <w:snapToGrid w:val="0"/>
      <w:spacing w:line="240" w:lineRule="auto"/>
      <w:rPr>
        <w:sz w:val="16"/>
      </w:rPr>
    </w:pPr>
    <w:r>
      <w:rPr>
        <w:i/>
        <w:sz w:val="16"/>
      </w:rPr>
      <w:t xml:space="preserve">Int. J. Environ. Res. Public Health </w:t>
    </w:r>
    <w:r w:rsidRPr="00B432DE">
      <w:rPr>
        <w:b/>
        <w:sz w:val="16"/>
      </w:rPr>
      <w:t>2021</w:t>
    </w:r>
    <w:r w:rsidRPr="00AE348C">
      <w:rPr>
        <w:sz w:val="16"/>
      </w:rPr>
      <w:t xml:space="preserve">, </w:t>
    </w:r>
    <w:r w:rsidRPr="00B432DE">
      <w:rPr>
        <w:i/>
        <w:sz w:val="16"/>
      </w:rPr>
      <w:t>18</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92277B">
      <w:rPr>
        <w:sz w:val="16"/>
      </w:rPr>
      <w:t>13</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92277B">
      <w:rPr>
        <w:sz w:val="16"/>
      </w:rPr>
      <w:t>13</w:t>
    </w:r>
    <w:r>
      <w:rPr>
        <w:sz w:val="16"/>
      </w:rPr>
      <w:fldChar w:fldCharType="end"/>
    </w:r>
  </w:p>
  <w:p w14:paraId="3863986D" w14:textId="77777777" w:rsidR="00EE7269" w:rsidRPr="00305CED" w:rsidRDefault="00EE7269"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87" w:type="dxa"/>
      <w:tblCellMar>
        <w:left w:w="0" w:type="dxa"/>
        <w:right w:w="0" w:type="dxa"/>
      </w:tblCellMar>
      <w:tblLook w:val="04A0" w:firstRow="1" w:lastRow="0" w:firstColumn="1" w:lastColumn="0" w:noHBand="0" w:noVBand="1"/>
    </w:tblPr>
    <w:tblGrid>
      <w:gridCol w:w="3679"/>
      <w:gridCol w:w="4535"/>
      <w:gridCol w:w="2273"/>
    </w:tblGrid>
    <w:tr w:rsidR="00EE7269" w:rsidRPr="00B200C8" w14:paraId="4D8C254A" w14:textId="77777777" w:rsidTr="00B200C8">
      <w:trPr>
        <w:trHeight w:val="686"/>
      </w:trPr>
      <w:tc>
        <w:tcPr>
          <w:tcW w:w="3679" w:type="dxa"/>
          <w:shd w:val="clear" w:color="auto" w:fill="auto"/>
          <w:vAlign w:val="center"/>
        </w:tcPr>
        <w:p w14:paraId="07F8A80A" w14:textId="77777777" w:rsidR="00EE7269" w:rsidRPr="006331AD" w:rsidRDefault="00EE7269" w:rsidP="00B200C8">
          <w:pPr>
            <w:pStyle w:val="Header"/>
            <w:pBdr>
              <w:bottom w:val="none" w:sz="0" w:space="0" w:color="auto"/>
            </w:pBdr>
            <w:jc w:val="left"/>
            <w:rPr>
              <w:rFonts w:eastAsia="DengXian"/>
              <w:b/>
              <w:bCs/>
            </w:rPr>
          </w:pPr>
          <w:r w:rsidRPr="006331AD">
            <w:rPr>
              <w:rFonts w:eastAsia="DengXian"/>
              <w:b/>
              <w:bCs/>
              <w:lang w:val="en-GB" w:eastAsia="en-GB"/>
            </w:rPr>
            <w:drawing>
              <wp:inline distT="0" distB="0" distL="0" distR="0" wp14:anchorId="30B8E53C" wp14:editId="403F0437">
                <wp:extent cx="1828800" cy="431800"/>
                <wp:effectExtent l="0" t="0" r="0" b="0"/>
                <wp:docPr id="5" name="Picture 3" descr="C:\Users\home\Desktop\logos\png\ijerph-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31800"/>
                        </a:xfrm>
                        <a:prstGeom prst="rect">
                          <a:avLst/>
                        </a:prstGeom>
                        <a:noFill/>
                        <a:ln>
                          <a:noFill/>
                        </a:ln>
                      </pic:spPr>
                    </pic:pic>
                  </a:graphicData>
                </a:graphic>
              </wp:inline>
            </w:drawing>
          </w:r>
        </w:p>
      </w:tc>
      <w:tc>
        <w:tcPr>
          <w:tcW w:w="4535" w:type="dxa"/>
          <w:shd w:val="clear" w:color="auto" w:fill="auto"/>
          <w:vAlign w:val="center"/>
        </w:tcPr>
        <w:p w14:paraId="69534D50" w14:textId="77777777" w:rsidR="00EE7269" w:rsidRPr="006331AD" w:rsidRDefault="00EE7269" w:rsidP="00B200C8">
          <w:pPr>
            <w:pStyle w:val="Header"/>
            <w:pBdr>
              <w:bottom w:val="none" w:sz="0" w:space="0" w:color="auto"/>
            </w:pBdr>
            <w:rPr>
              <w:rFonts w:eastAsia="DengXian"/>
              <w:b/>
              <w:bCs/>
            </w:rPr>
          </w:pPr>
        </w:p>
      </w:tc>
      <w:tc>
        <w:tcPr>
          <w:tcW w:w="2273" w:type="dxa"/>
          <w:shd w:val="clear" w:color="auto" w:fill="auto"/>
          <w:vAlign w:val="center"/>
        </w:tcPr>
        <w:p w14:paraId="3BC9F36B" w14:textId="77777777" w:rsidR="00EE7269" w:rsidRPr="006331AD" w:rsidRDefault="00EE7269" w:rsidP="00B200C8">
          <w:pPr>
            <w:pStyle w:val="Header"/>
            <w:pBdr>
              <w:bottom w:val="none" w:sz="0" w:space="0" w:color="auto"/>
            </w:pBdr>
            <w:jc w:val="right"/>
            <w:rPr>
              <w:rFonts w:eastAsia="DengXian"/>
              <w:b/>
              <w:bCs/>
            </w:rPr>
          </w:pPr>
          <w:r w:rsidRPr="006331AD">
            <w:rPr>
              <w:rFonts w:eastAsia="DengXian"/>
              <w:b/>
              <w:bCs/>
              <w:lang w:val="en-GB" w:eastAsia="en-GB"/>
            </w:rPr>
            <w:drawing>
              <wp:inline distT="0" distB="0" distL="0" distR="0" wp14:anchorId="4C918E84" wp14:editId="0715444F">
                <wp:extent cx="541655" cy="355600"/>
                <wp:effectExtent l="0" t="0" r="0" b="0"/>
                <wp:docPr id="6" name="Imagen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355600"/>
                        </a:xfrm>
                        <a:prstGeom prst="rect">
                          <a:avLst/>
                        </a:prstGeom>
                        <a:noFill/>
                        <a:ln>
                          <a:noFill/>
                        </a:ln>
                      </pic:spPr>
                    </pic:pic>
                  </a:graphicData>
                </a:graphic>
              </wp:inline>
            </w:drawing>
          </w:r>
        </w:p>
      </w:tc>
    </w:tr>
  </w:tbl>
  <w:p w14:paraId="147F646C" w14:textId="77777777" w:rsidR="00EE7269" w:rsidRPr="00953C94" w:rsidRDefault="00EE7269"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1EA"/>
    <w:multiLevelType w:val="hybridMultilevel"/>
    <w:tmpl w:val="BB4255E2"/>
    <w:lvl w:ilvl="0" w:tplc="AEAC696C">
      <w:start w:val="16"/>
      <w:numFmt w:val="decimal"/>
      <w:lvlText w:val="%1"/>
      <w:lvlJc w:val="left"/>
      <w:pPr>
        <w:ind w:left="1080" w:hanging="360"/>
      </w:pPr>
      <w:rPr>
        <w:rFonts w:ascii="Palatino Linotype" w:hAnsi="Palatino Linotype" w:hint="default"/>
        <w:color w:val="000000"/>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5F5F7A49"/>
    <w:multiLevelType w:val="hybridMultilevel"/>
    <w:tmpl w:val="5F3022B2"/>
    <w:lvl w:ilvl="0" w:tplc="65F4B97A">
      <w:start w:val="17"/>
      <w:numFmt w:val="decimal"/>
      <w:lvlText w:val="%1"/>
      <w:lvlJc w:val="left"/>
      <w:pPr>
        <w:ind w:left="360" w:hanging="360"/>
      </w:pPr>
      <w:rPr>
        <w:rFonts w:hint="default"/>
        <w:vertAlign w:val="superscrip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9" w15:restartNumberingAfterBreak="0">
    <w:nsid w:val="644E618A"/>
    <w:multiLevelType w:val="hybridMultilevel"/>
    <w:tmpl w:val="7AEC294C"/>
    <w:lvl w:ilvl="0" w:tplc="502AD1E2">
      <w:start w:val="16"/>
      <w:numFmt w:val="decimal"/>
      <w:lvlText w:val="%1"/>
      <w:lvlJc w:val="left"/>
      <w:pPr>
        <w:ind w:left="1440" w:hanging="360"/>
      </w:pPr>
      <w:rPr>
        <w:rFonts w:ascii="Palatino Linotype" w:hAnsi="Palatino Linotype" w:hint="default"/>
        <w:color w:val="000000"/>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0" w15:restartNumberingAfterBreak="0">
    <w:nsid w:val="6C442F8F"/>
    <w:multiLevelType w:val="hybridMultilevel"/>
    <w:tmpl w:val="7D9C6810"/>
    <w:lvl w:ilvl="0" w:tplc="C5DC1060">
      <w:start w:val="1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4"/>
  </w:num>
  <w:num w:numId="2">
    <w:abstractNumId w:val="6"/>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2"/>
  </w:num>
  <w:num w:numId="8">
    <w:abstractNumId w:val="7"/>
  </w:num>
  <w:num w:numId="9">
    <w:abstractNumId w:val="2"/>
  </w:num>
  <w:num w:numId="10">
    <w:abstractNumId w:val="7"/>
  </w:num>
  <w:num w:numId="11">
    <w:abstractNumId w:val="2"/>
  </w:num>
  <w:num w:numId="12">
    <w:abstractNumId w:val="11"/>
  </w:num>
  <w:num w:numId="13">
    <w:abstractNumId w:val="7"/>
  </w:num>
  <w:num w:numId="14">
    <w:abstractNumId w:val="2"/>
  </w:num>
  <w:num w:numId="15">
    <w:abstractNumId w:val="1"/>
  </w:num>
  <w:num w:numId="16">
    <w:abstractNumId w:val="8"/>
  </w:num>
  <w:num w:numId="17">
    <w:abstractNumId w:val="10"/>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B6B"/>
    <w:rsid w:val="0002554A"/>
    <w:rsid w:val="0003183D"/>
    <w:rsid w:val="00041937"/>
    <w:rsid w:val="00047C14"/>
    <w:rsid w:val="00062D64"/>
    <w:rsid w:val="00070BC3"/>
    <w:rsid w:val="00072F70"/>
    <w:rsid w:val="00092FFF"/>
    <w:rsid w:val="0009365D"/>
    <w:rsid w:val="000A5115"/>
    <w:rsid w:val="000C3D95"/>
    <w:rsid w:val="000D4CAC"/>
    <w:rsid w:val="001035B5"/>
    <w:rsid w:val="00112DEB"/>
    <w:rsid w:val="00113A18"/>
    <w:rsid w:val="00121956"/>
    <w:rsid w:val="001228BC"/>
    <w:rsid w:val="00172C04"/>
    <w:rsid w:val="00177995"/>
    <w:rsid w:val="00183AB8"/>
    <w:rsid w:val="00194C32"/>
    <w:rsid w:val="001957FA"/>
    <w:rsid w:val="001A5131"/>
    <w:rsid w:val="001D3514"/>
    <w:rsid w:val="001D41F9"/>
    <w:rsid w:val="001E2AEB"/>
    <w:rsid w:val="001F0C32"/>
    <w:rsid w:val="001F53CA"/>
    <w:rsid w:val="001F6D18"/>
    <w:rsid w:val="001F7010"/>
    <w:rsid w:val="002019E5"/>
    <w:rsid w:val="002053DC"/>
    <w:rsid w:val="0020566A"/>
    <w:rsid w:val="00205AC7"/>
    <w:rsid w:val="0020625A"/>
    <w:rsid w:val="00210B6B"/>
    <w:rsid w:val="00212893"/>
    <w:rsid w:val="00214A6A"/>
    <w:rsid w:val="00223336"/>
    <w:rsid w:val="0025137D"/>
    <w:rsid w:val="00257BA9"/>
    <w:rsid w:val="00284BEB"/>
    <w:rsid w:val="0028607E"/>
    <w:rsid w:val="002D57A5"/>
    <w:rsid w:val="002E1E7D"/>
    <w:rsid w:val="002E3019"/>
    <w:rsid w:val="002F3D49"/>
    <w:rsid w:val="00306807"/>
    <w:rsid w:val="00322BD2"/>
    <w:rsid w:val="00326141"/>
    <w:rsid w:val="00327586"/>
    <w:rsid w:val="003404EE"/>
    <w:rsid w:val="00342171"/>
    <w:rsid w:val="003456F1"/>
    <w:rsid w:val="003663D4"/>
    <w:rsid w:val="0039002C"/>
    <w:rsid w:val="003938DA"/>
    <w:rsid w:val="00401B3A"/>
    <w:rsid w:val="00401D30"/>
    <w:rsid w:val="00407587"/>
    <w:rsid w:val="00414DE1"/>
    <w:rsid w:val="00417958"/>
    <w:rsid w:val="00421077"/>
    <w:rsid w:val="0042738E"/>
    <w:rsid w:val="0046726B"/>
    <w:rsid w:val="00484C66"/>
    <w:rsid w:val="004A751A"/>
    <w:rsid w:val="004B5280"/>
    <w:rsid w:val="004B7EF4"/>
    <w:rsid w:val="004D5A80"/>
    <w:rsid w:val="004D6B8D"/>
    <w:rsid w:val="00514646"/>
    <w:rsid w:val="00522304"/>
    <w:rsid w:val="00526B14"/>
    <w:rsid w:val="00527484"/>
    <w:rsid w:val="00547C19"/>
    <w:rsid w:val="00576272"/>
    <w:rsid w:val="005940DE"/>
    <w:rsid w:val="005B0E8A"/>
    <w:rsid w:val="005B6C3D"/>
    <w:rsid w:val="005D71B5"/>
    <w:rsid w:val="005E04FC"/>
    <w:rsid w:val="005E213E"/>
    <w:rsid w:val="00615FFE"/>
    <w:rsid w:val="006211DD"/>
    <w:rsid w:val="006331AD"/>
    <w:rsid w:val="00633E57"/>
    <w:rsid w:val="00662E41"/>
    <w:rsid w:val="006822FA"/>
    <w:rsid w:val="00686327"/>
    <w:rsid w:val="00692393"/>
    <w:rsid w:val="006C61EE"/>
    <w:rsid w:val="00711C0C"/>
    <w:rsid w:val="00713758"/>
    <w:rsid w:val="007A05A0"/>
    <w:rsid w:val="007A0755"/>
    <w:rsid w:val="007A1783"/>
    <w:rsid w:val="007B3E14"/>
    <w:rsid w:val="007C437A"/>
    <w:rsid w:val="007D1435"/>
    <w:rsid w:val="007E5A5B"/>
    <w:rsid w:val="00826149"/>
    <w:rsid w:val="008B4E46"/>
    <w:rsid w:val="008C5CBF"/>
    <w:rsid w:val="008D04CE"/>
    <w:rsid w:val="008E3B5E"/>
    <w:rsid w:val="00900DB5"/>
    <w:rsid w:val="0092277B"/>
    <w:rsid w:val="009313EF"/>
    <w:rsid w:val="00950618"/>
    <w:rsid w:val="00950D8B"/>
    <w:rsid w:val="00953C94"/>
    <w:rsid w:val="00985746"/>
    <w:rsid w:val="00997B86"/>
    <w:rsid w:val="009A52C8"/>
    <w:rsid w:val="009B03B9"/>
    <w:rsid w:val="009B152D"/>
    <w:rsid w:val="009C0155"/>
    <w:rsid w:val="009C71F9"/>
    <w:rsid w:val="009F274E"/>
    <w:rsid w:val="009F70E6"/>
    <w:rsid w:val="00A0136F"/>
    <w:rsid w:val="00A0170A"/>
    <w:rsid w:val="00A02301"/>
    <w:rsid w:val="00A146C0"/>
    <w:rsid w:val="00A41EC8"/>
    <w:rsid w:val="00A64950"/>
    <w:rsid w:val="00AC61B4"/>
    <w:rsid w:val="00AD2D7B"/>
    <w:rsid w:val="00AE0E14"/>
    <w:rsid w:val="00AE348C"/>
    <w:rsid w:val="00AF44C1"/>
    <w:rsid w:val="00B00E09"/>
    <w:rsid w:val="00B02073"/>
    <w:rsid w:val="00B06823"/>
    <w:rsid w:val="00B200C8"/>
    <w:rsid w:val="00B230E1"/>
    <w:rsid w:val="00B432DE"/>
    <w:rsid w:val="00B670B5"/>
    <w:rsid w:val="00B8068E"/>
    <w:rsid w:val="00B91113"/>
    <w:rsid w:val="00BE6750"/>
    <w:rsid w:val="00BF437C"/>
    <w:rsid w:val="00C13470"/>
    <w:rsid w:val="00C14397"/>
    <w:rsid w:val="00C22823"/>
    <w:rsid w:val="00C23CAF"/>
    <w:rsid w:val="00C243C9"/>
    <w:rsid w:val="00C51842"/>
    <w:rsid w:val="00C639EA"/>
    <w:rsid w:val="00C65B0B"/>
    <w:rsid w:val="00C82596"/>
    <w:rsid w:val="00CA7505"/>
    <w:rsid w:val="00CB597B"/>
    <w:rsid w:val="00CC3BD2"/>
    <w:rsid w:val="00CC57CC"/>
    <w:rsid w:val="00CE5359"/>
    <w:rsid w:val="00D1351A"/>
    <w:rsid w:val="00D412C1"/>
    <w:rsid w:val="00D523FA"/>
    <w:rsid w:val="00D75394"/>
    <w:rsid w:val="00D81521"/>
    <w:rsid w:val="00D84E70"/>
    <w:rsid w:val="00D96023"/>
    <w:rsid w:val="00DC7F54"/>
    <w:rsid w:val="00DD5900"/>
    <w:rsid w:val="00E04E7D"/>
    <w:rsid w:val="00E66088"/>
    <w:rsid w:val="00E706A1"/>
    <w:rsid w:val="00E736CC"/>
    <w:rsid w:val="00E755FF"/>
    <w:rsid w:val="00E85BB4"/>
    <w:rsid w:val="00E90986"/>
    <w:rsid w:val="00E95E8B"/>
    <w:rsid w:val="00E96DDC"/>
    <w:rsid w:val="00EB05B2"/>
    <w:rsid w:val="00EB5F86"/>
    <w:rsid w:val="00ED1BAB"/>
    <w:rsid w:val="00EE7269"/>
    <w:rsid w:val="00F005AA"/>
    <w:rsid w:val="00F01EEE"/>
    <w:rsid w:val="00F21F85"/>
    <w:rsid w:val="00F22F3D"/>
    <w:rsid w:val="00F32F04"/>
    <w:rsid w:val="00F35C92"/>
    <w:rsid w:val="00F62C5C"/>
    <w:rsid w:val="00F71EC5"/>
    <w:rsid w:val="00F92622"/>
    <w:rsid w:val="00FA6084"/>
    <w:rsid w:val="00FB0D48"/>
    <w:rsid w:val="00FE6577"/>
    <w:rsid w:val="00FF1726"/>
  </w:rsids>
  <m:mathPr>
    <m:mathFont m:val="Cambria Math"/>
    <m:brkBin m:val="before"/>
    <m:brkBinSub m:val="--"/>
    <m:smallFrac m:val="0"/>
    <m:dispDef/>
    <m:lMargin m:val="0"/>
    <m:rMargin m:val="0"/>
    <m:defJc m:val="centerGroup"/>
    <m:wrapIndent m:val="1440"/>
    <m:intLim m:val="subSup"/>
    <m:naryLim m:val="undOvr"/>
  </m:mathPr>
  <w:themeFontLang w:val="es-CL"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24E01"/>
  <w15:chartTrackingRefBased/>
  <w15:docId w15:val="{23012A4F-62EB-4740-BFAD-C8F8C75F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s-CL"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304"/>
    <w:pPr>
      <w:spacing w:line="260" w:lineRule="atLeast"/>
      <w:jc w:val="both"/>
    </w:pPr>
    <w:rPr>
      <w:rFonts w:ascii="Palatino Linotype" w:hAnsi="Palatino Linotype"/>
      <w:noProof/>
      <w:color w:val="00000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522304"/>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Normal"/>
    <w:qFormat/>
    <w:rsid w:val="00522304"/>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Normal"/>
    <w:qFormat/>
    <w:rsid w:val="00522304"/>
    <w:pPr>
      <w:adjustRightInd w:val="0"/>
      <w:snapToGrid w:val="0"/>
      <w:spacing w:after="36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Normal"/>
    <w:next w:val="Normal"/>
    <w:qFormat/>
    <w:rsid w:val="00522304"/>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522304"/>
    <w:pPr>
      <w:adjustRightInd w:val="0"/>
      <w:snapToGrid w:val="0"/>
      <w:spacing w:line="200" w:lineRule="atLeast"/>
      <w:ind w:left="2806" w:hanging="198"/>
    </w:pPr>
    <w:rPr>
      <w:rFonts w:ascii="Palatino Linotype" w:eastAsia="Times New Roman" w:hAnsi="Palatino Linotype"/>
      <w:color w:val="000000"/>
      <w:sz w:val="16"/>
      <w:szCs w:val="18"/>
      <w:lang w:val="en-US" w:eastAsia="de-DE" w:bidi="en-US"/>
    </w:rPr>
  </w:style>
  <w:style w:type="paragraph" w:customStyle="1" w:styleId="MDPI17abstract">
    <w:name w:val="MDPI_1.7_abstract"/>
    <w:next w:val="Normal"/>
    <w:qFormat/>
    <w:rsid w:val="00522304"/>
    <w:pPr>
      <w:adjustRightInd w:val="0"/>
      <w:snapToGrid w:val="0"/>
      <w:spacing w:before="240" w:line="260" w:lineRule="atLeast"/>
      <w:ind w:left="2608"/>
      <w:jc w:val="both"/>
    </w:pPr>
    <w:rPr>
      <w:rFonts w:ascii="Palatino Linotype" w:eastAsia="Times New Roman" w:hAnsi="Palatino Linotype"/>
      <w:color w:val="000000"/>
      <w:sz w:val="18"/>
      <w:szCs w:val="22"/>
      <w:lang w:val="en-US" w:eastAsia="de-DE" w:bidi="en-US"/>
    </w:rPr>
  </w:style>
  <w:style w:type="paragraph" w:customStyle="1" w:styleId="MDPI18keywords">
    <w:name w:val="MDPI_1.8_keywords"/>
    <w:next w:val="Normal"/>
    <w:qFormat/>
    <w:rsid w:val="00522304"/>
    <w:pPr>
      <w:adjustRightInd w:val="0"/>
      <w:snapToGrid w:val="0"/>
      <w:spacing w:before="240" w:line="260" w:lineRule="atLeast"/>
      <w:ind w:left="2608"/>
      <w:jc w:val="both"/>
    </w:pPr>
    <w:rPr>
      <w:rFonts w:ascii="Palatino Linotype" w:eastAsia="Times New Roman" w:hAnsi="Palatino Linotype"/>
      <w:snapToGrid w:val="0"/>
      <w:color w:val="000000"/>
      <w:sz w:val="18"/>
      <w:szCs w:val="22"/>
      <w:lang w:val="en-US" w:eastAsia="de-DE" w:bidi="en-US"/>
    </w:rPr>
  </w:style>
  <w:style w:type="paragraph" w:customStyle="1" w:styleId="MDPI19line">
    <w:name w:val="MDPI_1.9_line"/>
    <w:qFormat/>
    <w:rsid w:val="0052230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val="en-US"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522304"/>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522304"/>
    <w:pPr>
      <w:ind w:firstLine="0"/>
    </w:pPr>
  </w:style>
  <w:style w:type="paragraph" w:customStyle="1" w:styleId="MDPI31text">
    <w:name w:val="MDPI_3.1_text"/>
    <w:qFormat/>
    <w:rsid w:val="00322BD2"/>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522304"/>
    <w:pPr>
      <w:adjustRightInd w:val="0"/>
      <w:snapToGrid w:val="0"/>
      <w:spacing w:after="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4textspacebefore">
    <w:name w:val="MDPI_3.4_text_space_before"/>
    <w:qFormat/>
    <w:rsid w:val="00522304"/>
    <w:pPr>
      <w:adjustRightInd w:val="0"/>
      <w:snapToGrid w:val="0"/>
      <w:spacing w:before="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522304"/>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522304"/>
    <w:pPr>
      <w:adjustRightInd w:val="0"/>
      <w:snapToGrid w:val="0"/>
      <w:spacing w:before="12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522304"/>
    <w:pPr>
      <w:numPr>
        <w:numId w:val="13"/>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8bullet">
    <w:name w:val="MDPI_3.8_bullet"/>
    <w:qFormat/>
    <w:rsid w:val="00522304"/>
    <w:pPr>
      <w:numPr>
        <w:numId w:val="14"/>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9equation">
    <w:name w:val="MDPI_3.9_equation"/>
    <w:qFormat/>
    <w:rsid w:val="00522304"/>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522304"/>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41tablecaption">
    <w:name w:val="MDPI_4.1_table_caption"/>
    <w:qFormat/>
    <w:rsid w:val="00522304"/>
    <w:pPr>
      <w:adjustRightInd w:val="0"/>
      <w:snapToGrid w:val="0"/>
      <w:spacing w:before="240" w:after="120"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522304"/>
    <w:pPr>
      <w:adjustRightInd w:val="0"/>
      <w:snapToGrid w:val="0"/>
      <w:spacing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51figurecaption">
    <w:name w:val="MDPI_5.1_figure_caption"/>
    <w:qFormat/>
    <w:rsid w:val="00522304"/>
    <w:pPr>
      <w:adjustRightInd w:val="0"/>
      <w:snapToGrid w:val="0"/>
      <w:spacing w:before="120" w:after="240" w:line="228" w:lineRule="auto"/>
      <w:ind w:left="2608"/>
    </w:pPr>
    <w:rPr>
      <w:rFonts w:ascii="Palatino Linotype" w:eastAsia="Times New Roman" w:hAnsi="Palatino Linotype"/>
      <w:color w:val="000000"/>
      <w:sz w:val="18"/>
      <w:lang w:val="en-US" w:eastAsia="de-DE" w:bidi="en-US"/>
    </w:rPr>
  </w:style>
  <w:style w:type="paragraph" w:customStyle="1" w:styleId="MDPI52figure">
    <w:name w:val="MDPI_5.2_figure"/>
    <w:qFormat/>
    <w:rsid w:val="00522304"/>
    <w:pPr>
      <w:adjustRightInd w:val="0"/>
      <w:snapToGrid w:val="0"/>
      <w:spacing w:before="240" w:after="120"/>
      <w:jc w:val="center"/>
    </w:pPr>
    <w:rPr>
      <w:rFonts w:ascii="Palatino Linotype" w:eastAsia="Times New Roman" w:hAnsi="Palatino Linotype"/>
      <w:snapToGrid w:val="0"/>
      <w:color w:val="000000"/>
      <w:lang w:val="en-US" w:eastAsia="de-DE" w:bidi="en-US"/>
    </w:rPr>
  </w:style>
  <w:style w:type="paragraph" w:customStyle="1" w:styleId="MDPI81theorem">
    <w:name w:val="MDPI_8.1_theorem"/>
    <w:qFormat/>
    <w:rsid w:val="00522304"/>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522304"/>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footerfirstpage">
    <w:name w:val="MDPI_footer_firstpage"/>
    <w:qFormat/>
    <w:rsid w:val="00522304"/>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23heading3">
    <w:name w:val="MDPI_2.3_heading3"/>
    <w:qFormat/>
    <w:rsid w:val="00522304"/>
    <w:pPr>
      <w:adjustRightInd w:val="0"/>
      <w:snapToGrid w:val="0"/>
      <w:spacing w:before="60" w:after="60" w:line="228" w:lineRule="auto"/>
      <w:ind w:left="2608"/>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52230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52230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5E213E"/>
    <w:pPr>
      <w:numPr>
        <w:numId w:val="15"/>
      </w:numPr>
      <w:adjustRightInd w:val="0"/>
      <w:snapToGrid w:val="0"/>
      <w:spacing w:line="228" w:lineRule="auto"/>
      <w:jc w:val="both"/>
    </w:pPr>
    <w:rPr>
      <w:rFonts w:ascii="Palatino Linotype" w:eastAsia="Times New Roman" w:hAnsi="Palatino Linotype"/>
      <w:color w:val="000000"/>
      <w:sz w:val="18"/>
      <w:lang w:val="en-US" w:eastAsia="de-DE" w:bidi="en-US"/>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52230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customStyle="1"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22304"/>
    <w:pPr>
      <w:adjustRightInd w:val="0"/>
      <w:snapToGrid w:val="0"/>
      <w:spacing w:line="240" w:lineRule="atLeast"/>
      <w:ind w:right="113"/>
    </w:pPr>
    <w:rPr>
      <w:rFonts w:ascii="Palatino Linotype" w:hAnsi="Palatino Linotype" w:cs="Cordia New"/>
      <w:sz w:val="14"/>
      <w:szCs w:val="22"/>
      <w:lang w:val="en-US" w:eastAsia="zh-CN"/>
    </w:rPr>
  </w:style>
  <w:style w:type="paragraph" w:customStyle="1" w:styleId="MDPI62BackMatter">
    <w:name w:val="MDPI_6.2_BackMatter"/>
    <w:qFormat/>
    <w:rsid w:val="00522304"/>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522304"/>
    <w:pPr>
      <w:adjustRightInd w:val="0"/>
      <w:snapToGrid w:val="0"/>
      <w:spacing w:after="120" w:line="240" w:lineRule="atLeast"/>
      <w:ind w:right="113"/>
    </w:pPr>
    <w:rPr>
      <w:rFonts w:ascii="Palatino Linotype" w:hAnsi="Palatino Linotype"/>
      <w:snapToGrid w:val="0"/>
      <w:color w:val="000000"/>
      <w:sz w:val="14"/>
      <w:lang w:val="en-US" w:eastAsia="en-US" w:bidi="en-US"/>
    </w:rPr>
  </w:style>
  <w:style w:type="paragraph" w:customStyle="1" w:styleId="MDPI15academiceditor">
    <w:name w:val="MDPI_1.5_academic_editor"/>
    <w:qFormat/>
    <w:rsid w:val="00522304"/>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paragraph" w:customStyle="1" w:styleId="MDPI19classification">
    <w:name w:val="MDPI_1.9_classification"/>
    <w:qFormat/>
    <w:rsid w:val="00522304"/>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411onetablecaption">
    <w:name w:val="MDPI_4.1.1_one_table_caption"/>
    <w:qFormat/>
    <w:rsid w:val="00522304"/>
    <w:pPr>
      <w:adjustRightInd w:val="0"/>
      <w:snapToGrid w:val="0"/>
      <w:spacing w:before="240" w:after="120" w:line="260" w:lineRule="atLeast"/>
      <w:jc w:val="center"/>
    </w:pPr>
    <w:rPr>
      <w:rFonts w:ascii="Palatino Linotype" w:hAnsi="Palatino Linotype" w:cs="Cordia New"/>
      <w:noProof/>
      <w:color w:val="000000"/>
      <w:sz w:val="18"/>
      <w:szCs w:val="22"/>
      <w:lang w:val="en-US" w:eastAsia="zh-CN" w:bidi="en-US"/>
    </w:rPr>
  </w:style>
  <w:style w:type="paragraph" w:customStyle="1" w:styleId="MDPI511onefigurecaption">
    <w:name w:val="MDPI_5.1.1_one_figure_caption"/>
    <w:qFormat/>
    <w:rsid w:val="00522304"/>
    <w:pPr>
      <w:adjustRightInd w:val="0"/>
      <w:snapToGrid w:val="0"/>
      <w:spacing w:before="240" w:after="120" w:line="260" w:lineRule="atLeast"/>
      <w:jc w:val="center"/>
    </w:pPr>
    <w:rPr>
      <w:rFonts w:ascii="Palatino Linotype" w:hAnsi="Palatino Linotype"/>
      <w:noProof/>
      <w:color w:val="000000"/>
      <w:sz w:val="18"/>
      <w:lang w:val="en-US" w:eastAsia="zh-CN" w:bidi="en-US"/>
    </w:rPr>
  </w:style>
  <w:style w:type="paragraph" w:customStyle="1" w:styleId="MDPI72Copyright">
    <w:name w:val="MDPI_7.2_Copyright"/>
    <w:qFormat/>
    <w:rsid w:val="0052230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522304"/>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equationFram">
    <w:name w:val="MDPI_equationFram"/>
    <w:qFormat/>
    <w:rsid w:val="00522304"/>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522304"/>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header">
    <w:name w:val="MDPI_header"/>
    <w:qFormat/>
    <w:rsid w:val="00522304"/>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522304"/>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522304"/>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table" w:customStyle="1" w:styleId="MDPITable">
    <w:name w:val="MDPI_Table"/>
    <w:basedOn w:val="TableNormal"/>
    <w:uiPriority w:val="99"/>
    <w:rsid w:val="00522304"/>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522304"/>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522304"/>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val="en-US"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rsid w:val="00522304"/>
    <w:rPr>
      <w:sz w:val="21"/>
      <w:szCs w:val="21"/>
    </w:rPr>
  </w:style>
  <w:style w:type="paragraph" w:styleId="CommentText">
    <w:name w:val="annotation text"/>
    <w:basedOn w:val="Normal"/>
    <w:link w:val="CommentTextChar"/>
    <w:rsid w:val="00522304"/>
  </w:style>
  <w:style w:type="character" w:customStyle="1" w:styleId="CommentTextChar">
    <w:name w:val="Comment Text Char"/>
    <w:link w:val="CommentText"/>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semiHidden/>
    <w:unhideWhenUsed/>
    <w:rsid w:val="00522304"/>
    <w:pPr>
      <w:spacing w:line="240" w:lineRule="auto"/>
    </w:pPr>
  </w:style>
  <w:style w:type="character" w:customStyle="1" w:styleId="FootnoteTextChar">
    <w:name w:val="Footnote Text Char"/>
    <w:link w:val="FootnoteText"/>
    <w:semiHidden/>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paragraph" w:styleId="ListParagraph">
    <w:name w:val="List Paragraph"/>
    <w:basedOn w:val="Normal"/>
    <w:uiPriority w:val="34"/>
    <w:qFormat/>
    <w:rsid w:val="00210B6B"/>
    <w:pPr>
      <w:spacing w:line="240" w:lineRule="auto"/>
      <w:ind w:left="720"/>
      <w:contextualSpacing/>
      <w:jc w:val="left"/>
    </w:pPr>
    <w:rPr>
      <w:rFonts w:ascii="Times New Roman" w:eastAsia="Times New Roman" w:hAnsi="Times New Roman"/>
      <w:noProof w:val="0"/>
      <w:color w:val="auto"/>
      <w:sz w:val="24"/>
      <w:szCs w:val="24"/>
      <w:lang w:val="es-CL" w:eastAsia="es-ES_tradnl"/>
    </w:rPr>
  </w:style>
  <w:style w:type="paragraph" w:customStyle="1" w:styleId="Standard">
    <w:name w:val="Standard"/>
    <w:rsid w:val="00D523FA"/>
    <w:pPr>
      <w:suppressAutoHyphens/>
      <w:autoSpaceDN w:val="0"/>
      <w:textAlignment w:val="baseline"/>
    </w:pPr>
    <w:rPr>
      <w:rFonts w:ascii="Liberation Serif" w:eastAsia="Noto Serif CJK JP" w:hAnsi="Liberation Serif" w:cs="DejaVu Sans"/>
      <w:kern w:val="3"/>
      <w:sz w:val="24"/>
      <w:szCs w:val="24"/>
      <w:lang w:val="es-AR" w:eastAsia="ja-JP"/>
    </w:rPr>
  </w:style>
  <w:style w:type="paragraph" w:customStyle="1" w:styleId="TableContents">
    <w:name w:val="Table Contents"/>
    <w:basedOn w:val="Normal"/>
    <w:rsid w:val="00D523FA"/>
    <w:pPr>
      <w:widowControl w:val="0"/>
      <w:suppressLineNumbers/>
      <w:suppressAutoHyphens/>
      <w:autoSpaceDN w:val="0"/>
      <w:spacing w:line="240" w:lineRule="auto"/>
      <w:jc w:val="left"/>
      <w:textAlignment w:val="baseline"/>
    </w:pPr>
    <w:rPr>
      <w:rFonts w:ascii="Liberation Serif" w:eastAsia="Noto Serif CJK JP" w:hAnsi="Liberation Serif" w:cs="DejaVu Sans"/>
      <w:noProof w:val="0"/>
      <w:color w:val="auto"/>
      <w:kern w:val="3"/>
      <w:sz w:val="24"/>
      <w:szCs w:val="24"/>
      <w:lang w:val="es-A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777415">
      <w:bodyDiv w:val="1"/>
      <w:marLeft w:val="0"/>
      <w:marRight w:val="0"/>
      <w:marTop w:val="0"/>
      <w:marBottom w:val="0"/>
      <w:divBdr>
        <w:top w:val="none" w:sz="0" w:space="0" w:color="auto"/>
        <w:left w:val="none" w:sz="0" w:space="0" w:color="auto"/>
        <w:bottom w:val="none" w:sz="0" w:space="0" w:color="auto"/>
        <w:right w:val="none" w:sz="0" w:space="0" w:color="auto"/>
      </w:divBdr>
    </w:div>
    <w:div w:id="2028218131">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obinsonchavez@gmail.com" TargetMode="External"/><Relationship Id="rId18" Type="http://schemas.openxmlformats.org/officeDocument/2006/relationships/hyperlink" Target="mailto:felipe.schuch@ufsm.br" TargetMode="External"/><Relationship Id="rId26" Type="http://schemas.openxmlformats.org/officeDocument/2006/relationships/hyperlink" Target="mailto:Lee.Smith@aru.ac.uk" TargetMode="External"/><Relationship Id="rId3" Type="http://schemas.openxmlformats.org/officeDocument/2006/relationships/styles" Target="styles.xml"/><Relationship Id="rId21" Type="http://schemas.openxmlformats.org/officeDocument/2006/relationships/hyperlink" Target="mailto:ilmannato@gmail.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ablo.lobo@uflouniversidad.edu.ar" TargetMode="External"/><Relationship Id="rId17" Type="http://schemas.openxmlformats.org/officeDocument/2006/relationships/hyperlink" Target="mailto:gerson.demoraes@usach.cl" TargetMode="External"/><Relationship Id="rId25" Type="http://schemas.openxmlformats.org/officeDocument/2006/relationships/hyperlink" Target="mailto:m.tully@ulster.ac.uk"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d.martinez@uam.es" TargetMode="External"/><Relationship Id="rId20" Type="http://schemas.openxmlformats.org/officeDocument/2006/relationships/hyperlink" Target="mailto:marco.solmi83@gmail.co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a.deroia@uflouniversidad.edu.ar" TargetMode="External"/><Relationship Id="rId24" Type="http://schemas.openxmlformats.org/officeDocument/2006/relationships/hyperlink" Target="mailto:Cristina.Caperchione@uts.edu.au"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carlos.cristi.montero@gmail.com" TargetMode="External"/><Relationship Id="rId23" Type="http://schemas.openxmlformats.org/officeDocument/2006/relationships/hyperlink" Target="mailto:igor.grabovac@meduniwien.ac.at" TargetMode="External"/><Relationship Id="rId28" Type="http://schemas.openxmlformats.org/officeDocument/2006/relationships/image" Target="media/image2.png"/><Relationship Id="rId10" Type="http://schemas.openxmlformats.org/officeDocument/2006/relationships/hyperlink" Target="mailto:kabir.sadarangani@gmail.com" TargetMode="External"/><Relationship Id="rId19" Type="http://schemas.openxmlformats.org/officeDocument/2006/relationships/hyperlink" Target="mailto:alejandro.gil.salmeron@uv.e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abir.sadarangani@gmail.com" TargetMode="External"/><Relationship Id="rId14" Type="http://schemas.openxmlformats.org/officeDocument/2006/relationships/hyperlink" Target="mailto:jdmeyer3@iastate.edu" TargetMode="External"/><Relationship Id="rId22" Type="http://schemas.openxmlformats.org/officeDocument/2006/relationships/hyperlink" Target="mailto:halzahrani@tu.edu.sa" TargetMode="External"/><Relationship Id="rId27" Type="http://schemas.openxmlformats.org/officeDocument/2006/relationships/hyperlink" Target="mailto:kabir.sadarangani@gmail.com" TargetMode="External"/><Relationship Id="rId30" Type="http://schemas.openxmlformats.org/officeDocument/2006/relationships/header" Target="header2.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7FA5C-102B-4386-A33D-F153A43FB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44162</Words>
  <Characters>251730</Characters>
  <Application>Microsoft Office Word</Application>
  <DocSecurity>0</DocSecurity>
  <Lines>2097</Lines>
  <Paragraphs>590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Type of the Paper (Article</vt:lpstr>
      <vt:lpstr>Type of the Paper (Article</vt:lpstr>
    </vt:vector>
  </TitlesOfParts>
  <Company/>
  <LinksUpToDate>false</LinksUpToDate>
  <CharactersWithSpaces>295302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Microsoft Office User</dc:creator>
  <cp:keywords/>
  <dc:description/>
  <cp:lastModifiedBy>L.Smith</cp:lastModifiedBy>
  <cp:revision>2</cp:revision>
  <cp:lastPrinted>2021-04-22T08:18:00Z</cp:lastPrinted>
  <dcterms:created xsi:type="dcterms:W3CDTF">2021-04-27T12:09:00Z</dcterms:created>
  <dcterms:modified xsi:type="dcterms:W3CDTF">2021-04-27T12:09:00Z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http://www.zotero.org/styles/international-journal-of-environmental-research-and-public-health</vt:lpwstr>
  </property>
  <property fmtid="{D5CDD505-2E9C-101B-9397-08002B2CF9AE}" pid="13" name="Mendeley Recent Style Name 5_1">
    <vt:lpwstr>International Journal of Environmental Research and Public Health</vt:lpwstr>
  </property>
  <property fmtid="{D5CDD505-2E9C-101B-9397-08002B2CF9AE}" pid="14" name="Mendeley Recent Style Id 6_1">
    <vt:lpwstr>http://www.zotero.org/styles/journal-of-transport-and-health</vt:lpwstr>
  </property>
  <property fmtid="{D5CDD505-2E9C-101B-9397-08002B2CF9AE}" pid="15" name="Mendeley Recent Style Name 6_1">
    <vt:lpwstr>Journal of Transport &amp; Health</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852a2164-2d53-3ded-923b-acd7812ca6ed</vt:lpwstr>
  </property>
  <property fmtid="{D5CDD505-2E9C-101B-9397-08002B2CF9AE}" pid="24" name="Mendeley Citation Style_1">
    <vt:lpwstr>http://www.zotero.org/styles/international-journal-of-environmental-research-and-public-health</vt:lpwstr>
  </property>
</Properties>
</file>