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8C8C2" w14:textId="77777777" w:rsidR="00EE7DF7" w:rsidRPr="005B16A4" w:rsidRDefault="00EE7DF7" w:rsidP="005F1E9C">
      <w:pPr>
        <w:pStyle w:val="Title"/>
      </w:pPr>
      <w:r w:rsidRPr="005B16A4">
        <w:t>EXCESSIVE DAYTIME SLEEPINESS IS ASSOCIATED WITH AN INCREASED FREQUENCY OF FALLS AND SARCOPENIA</w:t>
      </w:r>
    </w:p>
    <w:p w14:paraId="340AA89F" w14:textId="41828403" w:rsidR="00EE7DF7" w:rsidRPr="005B16A4" w:rsidRDefault="00EE7DF7" w:rsidP="00EE7DF7">
      <w:pPr>
        <w:spacing w:line="360" w:lineRule="auto"/>
        <w:jc w:val="center"/>
        <w:rPr>
          <w:rFonts w:cs="Times New Roman"/>
          <w:vertAlign w:val="superscript"/>
        </w:rPr>
      </w:pPr>
      <w:r w:rsidRPr="005B16A4">
        <w:rPr>
          <w:rFonts w:cs="Times New Roman"/>
        </w:rPr>
        <w:t>Pinar SOYSAL</w:t>
      </w:r>
      <w:r w:rsidRPr="005B16A4">
        <w:rPr>
          <w:rFonts w:cs="Times New Roman"/>
          <w:vertAlign w:val="superscript"/>
        </w:rPr>
        <w:t>1</w:t>
      </w:r>
      <w:r w:rsidRPr="005B16A4">
        <w:rPr>
          <w:rFonts w:cs="Times New Roman"/>
        </w:rPr>
        <w:t>, Lee SMITH</w:t>
      </w:r>
      <w:r w:rsidRPr="005B16A4">
        <w:rPr>
          <w:rFonts w:cs="Times New Roman"/>
          <w:vertAlign w:val="superscript"/>
        </w:rPr>
        <w:t>2</w:t>
      </w:r>
      <w:r w:rsidRPr="005B16A4">
        <w:rPr>
          <w:rFonts w:cs="Times New Roman"/>
        </w:rPr>
        <w:t>, S</w:t>
      </w:r>
      <w:r w:rsidR="00717116" w:rsidRPr="005B16A4">
        <w:rPr>
          <w:rFonts w:cs="Times New Roman"/>
        </w:rPr>
        <w:t>emen</w:t>
      </w:r>
      <w:r w:rsidRPr="005B16A4">
        <w:rPr>
          <w:rFonts w:cs="Times New Roman"/>
        </w:rPr>
        <w:t xml:space="preserve"> Gokce TAN</w:t>
      </w:r>
      <w:r w:rsidRPr="005B16A4">
        <w:rPr>
          <w:rFonts w:cs="Times New Roman"/>
          <w:vertAlign w:val="superscript"/>
        </w:rPr>
        <w:t xml:space="preserve">1, </w:t>
      </w:r>
      <w:r w:rsidRPr="005B16A4">
        <w:rPr>
          <w:rFonts w:cs="Times New Roman"/>
        </w:rPr>
        <w:t>, Emre CAPAR</w:t>
      </w:r>
      <w:r w:rsidRPr="005B16A4">
        <w:rPr>
          <w:rFonts w:cs="Times New Roman"/>
          <w:vertAlign w:val="superscript"/>
        </w:rPr>
        <w:t>3</w:t>
      </w:r>
      <w:r w:rsidRPr="005B16A4">
        <w:rPr>
          <w:rFonts w:cs="Times New Roman"/>
        </w:rPr>
        <w:t>, Nicola VERONESE</w:t>
      </w:r>
      <w:r w:rsidRPr="005B16A4">
        <w:rPr>
          <w:rFonts w:cs="Times New Roman"/>
          <w:vertAlign w:val="superscript"/>
        </w:rPr>
        <w:t>4</w:t>
      </w:r>
      <w:r w:rsidRPr="005B16A4">
        <w:rPr>
          <w:rFonts w:cs="Times New Roman"/>
        </w:rPr>
        <w:t>, Lin YANG</w:t>
      </w:r>
      <w:r w:rsidRPr="005B16A4">
        <w:rPr>
          <w:rFonts w:cs="Times New Roman"/>
          <w:vertAlign w:val="superscript"/>
        </w:rPr>
        <w:t>5</w:t>
      </w:r>
    </w:p>
    <w:p w14:paraId="17F3B60E" w14:textId="77777777" w:rsidR="00EE7DF7" w:rsidRPr="005B16A4" w:rsidRDefault="00EE7DF7" w:rsidP="00EE7DF7">
      <w:pPr>
        <w:spacing w:line="360" w:lineRule="auto"/>
        <w:jc w:val="center"/>
        <w:rPr>
          <w:rFonts w:cs="Times New Roman"/>
        </w:rPr>
      </w:pPr>
    </w:p>
    <w:p w14:paraId="7B9BE5D6" w14:textId="087F7D07" w:rsidR="00EE7DF7" w:rsidRPr="005B16A4" w:rsidRDefault="00EE7DF7" w:rsidP="00EE7DF7">
      <w:pPr>
        <w:spacing w:line="360" w:lineRule="auto"/>
        <w:rPr>
          <w:rFonts w:cs="Times New Roman"/>
        </w:rPr>
      </w:pPr>
      <w:r w:rsidRPr="005B16A4">
        <w:rPr>
          <w:rFonts w:cs="Times New Roman"/>
        </w:rPr>
        <w:t>1 Department of Geriatric Medicine, Faculty of Medicine, Bezmialem</w:t>
      </w:r>
      <w:r w:rsidR="00421CB8" w:rsidRPr="005B16A4">
        <w:rPr>
          <w:rFonts w:cs="Times New Roman"/>
        </w:rPr>
        <w:t xml:space="preserve"> </w:t>
      </w:r>
      <w:r w:rsidRPr="005B16A4">
        <w:rPr>
          <w:rFonts w:cs="Times New Roman"/>
        </w:rPr>
        <w:t>Vakif University, Istanbul, Turkey.</w:t>
      </w:r>
    </w:p>
    <w:p w14:paraId="26CD5022" w14:textId="77777777" w:rsidR="00EE7DF7" w:rsidRPr="005B16A4" w:rsidRDefault="00EE7DF7" w:rsidP="00EE7DF7">
      <w:pPr>
        <w:spacing w:line="360" w:lineRule="auto"/>
        <w:rPr>
          <w:rFonts w:cs="Times New Roman"/>
        </w:rPr>
      </w:pPr>
      <w:r w:rsidRPr="005B16A4">
        <w:rPr>
          <w:rFonts w:cs="Times New Roman"/>
        </w:rPr>
        <w:t>2 The Cambridge Centre for Sport and Exercise Sciences, Anglia Ruskin University, Cambridge, United Kingdom.</w:t>
      </w:r>
    </w:p>
    <w:p w14:paraId="2D87F8E7" w14:textId="77777777" w:rsidR="00EE7DF7" w:rsidRPr="005B16A4" w:rsidRDefault="00EE7DF7" w:rsidP="00EE7DF7">
      <w:pPr>
        <w:spacing w:line="360" w:lineRule="auto"/>
        <w:rPr>
          <w:rFonts w:cs="Times New Roman"/>
        </w:rPr>
      </w:pPr>
      <w:r w:rsidRPr="005B16A4">
        <w:rPr>
          <w:rFonts w:cs="Times New Roman"/>
        </w:rPr>
        <w:t>3 Department of Internal Medicine, Marmara University Pendik Training and Research Hospital, Istanbul, Turkey.</w:t>
      </w:r>
    </w:p>
    <w:p w14:paraId="54647382" w14:textId="77777777" w:rsidR="00EE7DF7" w:rsidRPr="005B16A4" w:rsidRDefault="00EE7DF7" w:rsidP="00EE7DF7">
      <w:pPr>
        <w:spacing w:line="360" w:lineRule="auto"/>
        <w:rPr>
          <w:rFonts w:cs="Times New Roman"/>
        </w:rPr>
      </w:pPr>
      <w:r w:rsidRPr="005B16A4">
        <w:rPr>
          <w:rFonts w:cs="Times New Roman"/>
        </w:rPr>
        <w:t>4 Geriatric Unit, Department of Internal Medicine and Geriatrics, University of Palermo, Palermo, Italy.</w:t>
      </w:r>
    </w:p>
    <w:p w14:paraId="2CB027E8" w14:textId="77777777" w:rsidR="00EE7DF7" w:rsidRPr="005B16A4" w:rsidRDefault="00EE7DF7" w:rsidP="00EE7DF7">
      <w:pPr>
        <w:spacing w:line="360" w:lineRule="auto"/>
        <w:rPr>
          <w:rFonts w:cs="Times New Roman"/>
        </w:rPr>
      </w:pPr>
      <w:r w:rsidRPr="005B16A4">
        <w:rPr>
          <w:rFonts w:cs="Times New Roman"/>
        </w:rPr>
        <w:t>5 Department of Cancer Epidemiology and Prevention Research, Alberta Health Services, Holy Cross Centre, AlbertaT5J 3E4, Canada.</w:t>
      </w:r>
    </w:p>
    <w:p w14:paraId="7CF7B569" w14:textId="77777777" w:rsidR="00EE7DF7" w:rsidRPr="005B16A4" w:rsidRDefault="00EE7DF7" w:rsidP="00EE7DF7">
      <w:pPr>
        <w:spacing w:line="360" w:lineRule="auto"/>
        <w:rPr>
          <w:rFonts w:cs="Times New Roman"/>
        </w:rPr>
      </w:pPr>
      <w:r w:rsidRPr="005B16A4">
        <w:rPr>
          <w:rFonts w:cs="Times New Roman"/>
          <w:b/>
        </w:rPr>
        <w:t xml:space="preserve">Running title: </w:t>
      </w:r>
      <w:r w:rsidRPr="005B16A4">
        <w:rPr>
          <w:rFonts w:cs="Times New Roman"/>
        </w:rPr>
        <w:t>Daytime Sleepiness and Falls</w:t>
      </w:r>
    </w:p>
    <w:p w14:paraId="45F77DF2" w14:textId="77777777" w:rsidR="00EE7DF7" w:rsidRPr="005B16A4" w:rsidRDefault="00EE7DF7" w:rsidP="00EE7DF7">
      <w:pPr>
        <w:spacing w:line="360" w:lineRule="auto"/>
        <w:rPr>
          <w:rFonts w:cs="Times New Roman"/>
        </w:rPr>
      </w:pPr>
      <w:r w:rsidRPr="005B16A4">
        <w:rPr>
          <w:rFonts w:cs="Times New Roman"/>
          <w:b/>
        </w:rPr>
        <w:t xml:space="preserve">Corresponding Author: </w:t>
      </w:r>
      <w:r w:rsidRPr="005B16A4">
        <w:rPr>
          <w:rFonts w:cs="Times New Roman"/>
        </w:rPr>
        <w:t>Pinar SOYSAL, Associate Prof</w:t>
      </w:r>
    </w:p>
    <w:p w14:paraId="42A7900B" w14:textId="77777777" w:rsidR="00EE7DF7" w:rsidRPr="005B16A4" w:rsidRDefault="00EE7DF7" w:rsidP="00EE7DF7">
      <w:pPr>
        <w:spacing w:line="360" w:lineRule="auto"/>
        <w:rPr>
          <w:rFonts w:cs="Times New Roman"/>
        </w:rPr>
      </w:pPr>
      <w:r w:rsidRPr="005B16A4">
        <w:rPr>
          <w:rFonts w:cs="Times New Roman"/>
        </w:rPr>
        <w:t>Department of Geriatric Medicine, BezmialemVakif University, Faculty of Medicine, Istanbul, Turkey</w:t>
      </w:r>
    </w:p>
    <w:p w14:paraId="314DDBC0" w14:textId="77777777" w:rsidR="00EE7DF7" w:rsidRPr="005B16A4" w:rsidRDefault="00EE7DF7" w:rsidP="00EE7DF7">
      <w:pPr>
        <w:spacing w:line="360" w:lineRule="auto"/>
        <w:rPr>
          <w:rFonts w:cs="Times New Roman"/>
        </w:rPr>
      </w:pPr>
      <w:r w:rsidRPr="005B16A4">
        <w:rPr>
          <w:rFonts w:cs="Times New Roman"/>
        </w:rPr>
        <w:t>Full Postal Address: Adnan Menderes Bulvarı (Vatan Street) Postal code: 34093 Fatih , İstanbul, Turkey</w:t>
      </w:r>
    </w:p>
    <w:p w14:paraId="12F421DB" w14:textId="77777777" w:rsidR="00EE7DF7" w:rsidRPr="005B16A4" w:rsidRDefault="00EE7DF7" w:rsidP="00EE7DF7">
      <w:pPr>
        <w:spacing w:line="360" w:lineRule="auto"/>
        <w:rPr>
          <w:rFonts w:cs="Times New Roman"/>
        </w:rPr>
      </w:pPr>
      <w:r w:rsidRPr="005B16A4">
        <w:rPr>
          <w:rFonts w:cs="Times New Roman"/>
        </w:rPr>
        <w:t xml:space="preserve">E-mail: </w:t>
      </w:r>
      <w:hyperlink r:id="rId6" w:history="1">
        <w:r w:rsidRPr="005B16A4">
          <w:rPr>
            <w:rStyle w:val="Hyperlink"/>
            <w:rFonts w:cs="Times New Roman"/>
          </w:rPr>
          <w:t>psoysal@bezmialem.edu.tr</w:t>
        </w:r>
      </w:hyperlink>
      <w:r w:rsidRPr="005B16A4">
        <w:rPr>
          <w:rFonts w:cs="Times New Roman"/>
        </w:rPr>
        <w:t>; Phone: +90 212 4531700 Fax: +90 212 4531869</w:t>
      </w:r>
    </w:p>
    <w:p w14:paraId="3AC37E83" w14:textId="77777777" w:rsidR="00EE7DF7" w:rsidRPr="005B16A4" w:rsidRDefault="00EE7DF7" w:rsidP="00EE7DF7">
      <w:pPr>
        <w:spacing w:line="360" w:lineRule="auto"/>
        <w:rPr>
          <w:rFonts w:cs="Times New Roman"/>
          <w:b/>
        </w:rPr>
      </w:pPr>
      <w:r w:rsidRPr="005B16A4">
        <w:rPr>
          <w:rFonts w:cs="Times New Roman"/>
          <w:b/>
        </w:rPr>
        <w:t xml:space="preserve">Declarations of interest: </w:t>
      </w:r>
      <w:r w:rsidRPr="005B16A4">
        <w:rPr>
          <w:rFonts w:cs="Times New Roman"/>
        </w:rPr>
        <w:t>none</w:t>
      </w:r>
    </w:p>
    <w:p w14:paraId="46E95B06" w14:textId="428FE516" w:rsidR="00EE7DF7" w:rsidRPr="005B16A4" w:rsidRDefault="00EE7DF7" w:rsidP="00EE7DF7">
      <w:pPr>
        <w:spacing w:line="360" w:lineRule="auto"/>
        <w:rPr>
          <w:rFonts w:eastAsia="Times New Roman" w:cs="Times New Roman"/>
          <w:b/>
        </w:rPr>
      </w:pPr>
      <w:r w:rsidRPr="005B16A4">
        <w:rPr>
          <w:rFonts w:cs="Times New Roman"/>
          <w:b/>
        </w:rPr>
        <w:t xml:space="preserve">Funding: </w:t>
      </w:r>
      <w:r w:rsidRPr="005B16A4">
        <w:rPr>
          <w:rFonts w:cs="Times New Roman"/>
        </w:rPr>
        <w:t>This research did not receive any funding from agencies in the public, commercial, or not-for-profit sectors.</w:t>
      </w:r>
    </w:p>
    <w:p w14:paraId="51A95EDF" w14:textId="77777777" w:rsidR="00EE7DF7" w:rsidRPr="005B16A4" w:rsidRDefault="00EE7DF7">
      <w:pPr>
        <w:jc w:val="center"/>
        <w:rPr>
          <w:rFonts w:eastAsia="Times New Roman" w:cs="Times New Roman"/>
          <w:b/>
        </w:rPr>
      </w:pPr>
    </w:p>
    <w:p w14:paraId="22E550CD" w14:textId="77777777" w:rsidR="00EE7DF7" w:rsidRPr="005B16A4" w:rsidRDefault="00EE7DF7">
      <w:pPr>
        <w:jc w:val="center"/>
        <w:rPr>
          <w:rFonts w:eastAsia="Times New Roman" w:cs="Times New Roman"/>
          <w:b/>
        </w:rPr>
      </w:pPr>
    </w:p>
    <w:p w14:paraId="4ED240FE" w14:textId="77777777" w:rsidR="00EE7DF7" w:rsidRPr="005B16A4" w:rsidRDefault="00EE7DF7">
      <w:pPr>
        <w:jc w:val="center"/>
        <w:rPr>
          <w:rFonts w:eastAsia="Times New Roman" w:cs="Times New Roman"/>
          <w:b/>
        </w:rPr>
      </w:pPr>
    </w:p>
    <w:p w14:paraId="65FF9EF5" w14:textId="77777777" w:rsidR="00EE7DF7" w:rsidRPr="005B16A4" w:rsidRDefault="00EE7DF7">
      <w:pPr>
        <w:jc w:val="center"/>
        <w:rPr>
          <w:rFonts w:eastAsia="Times New Roman" w:cs="Times New Roman"/>
          <w:b/>
        </w:rPr>
      </w:pPr>
    </w:p>
    <w:p w14:paraId="44506785" w14:textId="73141F3F" w:rsidR="008C43AC" w:rsidRPr="005B16A4" w:rsidRDefault="00A81554">
      <w:pPr>
        <w:jc w:val="center"/>
        <w:rPr>
          <w:rFonts w:eastAsia="Times New Roman" w:cs="Times New Roman"/>
          <w:b/>
        </w:rPr>
      </w:pPr>
      <w:r w:rsidRPr="005B16A4">
        <w:rPr>
          <w:rFonts w:eastAsia="Times New Roman" w:cs="Times New Roman"/>
          <w:b/>
        </w:rPr>
        <w:lastRenderedPageBreak/>
        <w:t>EXCESSIVE DAYTIME SLEEPINESS IS ASSOCIATED WITH</w:t>
      </w:r>
      <w:r w:rsidR="00552389" w:rsidRPr="005B16A4">
        <w:rPr>
          <w:rFonts w:eastAsia="Times New Roman" w:cs="Times New Roman"/>
          <w:b/>
        </w:rPr>
        <w:t xml:space="preserve"> AN</w:t>
      </w:r>
      <w:r w:rsidRPr="005B16A4">
        <w:rPr>
          <w:rFonts w:eastAsia="Times New Roman" w:cs="Times New Roman"/>
          <w:b/>
        </w:rPr>
        <w:t xml:space="preserve"> </w:t>
      </w:r>
      <w:r w:rsidR="00F5152F" w:rsidRPr="005B16A4">
        <w:rPr>
          <w:rFonts w:eastAsia="Times New Roman" w:cs="Times New Roman"/>
          <w:b/>
        </w:rPr>
        <w:t>INCREASED FREQUENCY</w:t>
      </w:r>
      <w:r w:rsidRPr="005B16A4">
        <w:rPr>
          <w:rFonts w:eastAsia="Times New Roman" w:cs="Times New Roman"/>
          <w:b/>
        </w:rPr>
        <w:t xml:space="preserve"> OF FALLS AND SARCOPENIA</w:t>
      </w:r>
    </w:p>
    <w:p w14:paraId="5BA029A3" w14:textId="77777777" w:rsidR="008C43AC" w:rsidRPr="005B16A4" w:rsidRDefault="00A81554" w:rsidP="005F1E9C">
      <w:pPr>
        <w:pStyle w:val="Heading1"/>
        <w:rPr>
          <w:b w:val="0"/>
        </w:rPr>
      </w:pPr>
      <w:r w:rsidRPr="005B16A4">
        <w:t>Abstract</w:t>
      </w:r>
    </w:p>
    <w:p w14:paraId="2A6A47A1" w14:textId="0E5AF080" w:rsidR="008C43AC" w:rsidRPr="00A96689" w:rsidRDefault="00A81554">
      <w:pPr>
        <w:jc w:val="both"/>
        <w:rPr>
          <w:rFonts w:eastAsia="Times New Roman" w:cs="Times New Roman"/>
        </w:rPr>
      </w:pPr>
      <w:r w:rsidRPr="00A96689">
        <w:rPr>
          <w:rFonts w:eastAsia="Times New Roman" w:cs="Times New Roman"/>
          <w:b/>
        </w:rPr>
        <w:t>Background</w:t>
      </w:r>
      <w:bookmarkStart w:id="0" w:name="_Hlk67747242"/>
      <w:r w:rsidR="00DC2F0C" w:rsidRPr="00A96689">
        <w:rPr>
          <w:rFonts w:eastAsia="Times New Roman" w:cs="Times New Roman"/>
          <w:b/>
        </w:rPr>
        <w:t>:</w:t>
      </w:r>
      <w:r w:rsidR="007D5E8E" w:rsidRPr="00A96689">
        <w:rPr>
          <w:rFonts w:eastAsia="Times New Roman" w:cs="Times New Roman"/>
          <w:b/>
        </w:rPr>
        <w:t xml:space="preserve"> </w:t>
      </w:r>
      <w:r w:rsidR="00C61235" w:rsidRPr="00A96689">
        <w:rPr>
          <w:rFonts w:eastAsia="Times New Roman" w:cs="Times New Roman"/>
        </w:rPr>
        <w:t>Th</w:t>
      </w:r>
      <w:r w:rsidR="00B87E17" w:rsidRPr="00A96689">
        <w:rPr>
          <w:rFonts w:eastAsia="Times New Roman" w:cs="Times New Roman"/>
        </w:rPr>
        <w:t>is</w:t>
      </w:r>
      <w:r w:rsidR="00C61235" w:rsidRPr="00A96689">
        <w:rPr>
          <w:rFonts w:eastAsia="Times New Roman" w:cs="Times New Roman"/>
        </w:rPr>
        <w:t xml:space="preserve"> </w:t>
      </w:r>
      <w:r w:rsidR="00B87E17" w:rsidRPr="00A96689">
        <w:rPr>
          <w:rFonts w:eastAsia="Times New Roman" w:cs="Times New Roman"/>
          <w:lang w:val="en-GB"/>
        </w:rPr>
        <w:t>cross-sectional study</w:t>
      </w:r>
      <w:r w:rsidR="00B87E17" w:rsidRPr="00A96689">
        <w:rPr>
          <w:rFonts w:eastAsia="Times New Roman" w:cs="Times New Roman"/>
        </w:rPr>
        <w:t xml:space="preserve"> </w:t>
      </w:r>
      <w:r w:rsidR="00C61235" w:rsidRPr="00A96689">
        <w:rPr>
          <w:rFonts w:eastAsia="Times New Roman" w:cs="Times New Roman"/>
        </w:rPr>
        <w:t>aimed</w:t>
      </w:r>
      <w:r w:rsidR="00C61235" w:rsidRPr="00A96689">
        <w:rPr>
          <w:rFonts w:eastAsia="Times New Roman" w:cs="Times New Roman"/>
          <w:b/>
        </w:rPr>
        <w:t xml:space="preserve"> </w:t>
      </w:r>
      <w:r w:rsidRPr="00A96689">
        <w:rPr>
          <w:rFonts w:eastAsia="Times New Roman" w:cs="Times New Roman"/>
        </w:rPr>
        <w:t xml:space="preserve">to </w:t>
      </w:r>
      <w:r w:rsidR="00FB1AAD" w:rsidRPr="00A96689">
        <w:rPr>
          <w:rFonts w:eastAsia="Times New Roman" w:cs="Times New Roman"/>
        </w:rPr>
        <w:t xml:space="preserve">examine associations </w:t>
      </w:r>
      <w:bookmarkEnd w:id="0"/>
      <w:r w:rsidRPr="00A96689">
        <w:rPr>
          <w:rFonts w:eastAsia="Times New Roman" w:cs="Times New Roman"/>
        </w:rPr>
        <w:t xml:space="preserve">between excessive daytime sleepiness (EDS) </w:t>
      </w:r>
      <w:r w:rsidR="00FB1AAD" w:rsidRPr="00A96689">
        <w:rPr>
          <w:rFonts w:eastAsia="Times New Roman" w:cs="Times New Roman"/>
        </w:rPr>
        <w:t>with</w:t>
      </w:r>
      <w:r w:rsidR="00F5152F" w:rsidRPr="00A96689">
        <w:rPr>
          <w:rFonts w:eastAsia="Times New Roman" w:cs="Times New Roman"/>
        </w:rPr>
        <w:t xml:space="preserve"> </w:t>
      </w:r>
      <w:r w:rsidR="00C31DB6" w:rsidRPr="00A96689">
        <w:rPr>
          <w:rFonts w:eastAsia="Times New Roman" w:cs="Times New Roman"/>
        </w:rPr>
        <w:t>falls and</w:t>
      </w:r>
      <w:r w:rsidR="00E96F4D" w:rsidRPr="00A96689">
        <w:rPr>
          <w:rFonts w:eastAsia="Times New Roman" w:cs="Times New Roman"/>
        </w:rPr>
        <w:t xml:space="preserve"> falls related conditions in older adults.</w:t>
      </w:r>
    </w:p>
    <w:p w14:paraId="143875F1" w14:textId="594900BF" w:rsidR="00D73659" w:rsidRPr="00A96689" w:rsidRDefault="00A81554">
      <w:pPr>
        <w:jc w:val="both"/>
        <w:rPr>
          <w:rFonts w:eastAsia="Times New Roman" w:cs="Times New Roman"/>
        </w:rPr>
      </w:pPr>
      <w:r w:rsidRPr="00A96689">
        <w:rPr>
          <w:rFonts w:eastAsia="Times New Roman" w:cs="Times New Roman"/>
          <w:b/>
        </w:rPr>
        <w:t>Methods:</w:t>
      </w:r>
      <w:r w:rsidR="007D5E8E" w:rsidRPr="00A96689">
        <w:rPr>
          <w:rFonts w:eastAsia="Times New Roman" w:cs="Times New Roman"/>
          <w:b/>
        </w:rPr>
        <w:t xml:space="preserve"> </w:t>
      </w:r>
      <w:r w:rsidR="00FB1AAD" w:rsidRPr="00A96689">
        <w:rPr>
          <w:rFonts w:eastAsia="Times New Roman" w:cs="Times New Roman"/>
        </w:rPr>
        <w:t>To assess EDS</w:t>
      </w:r>
      <w:r w:rsidR="00F5152F" w:rsidRPr="00A96689">
        <w:rPr>
          <w:rFonts w:eastAsia="Times New Roman" w:cs="Times New Roman"/>
        </w:rPr>
        <w:t>,</w:t>
      </w:r>
      <w:r w:rsidRPr="00A96689">
        <w:rPr>
          <w:rFonts w:eastAsia="Times New Roman" w:cs="Times New Roman"/>
        </w:rPr>
        <w:t xml:space="preserve"> the Epworth Sleepiness Scale</w:t>
      </w:r>
      <w:r w:rsidR="00FB1AAD" w:rsidRPr="00A96689">
        <w:rPr>
          <w:rFonts w:eastAsia="Times New Roman" w:cs="Times New Roman"/>
        </w:rPr>
        <w:t xml:space="preserve"> was used, with</w:t>
      </w:r>
      <w:r w:rsidR="00F5152F" w:rsidRPr="00A96689">
        <w:rPr>
          <w:rFonts w:eastAsia="Times New Roman" w:cs="Times New Roman"/>
        </w:rPr>
        <w:t xml:space="preserve"> </w:t>
      </w:r>
      <w:r w:rsidR="00FB1AAD" w:rsidRPr="00A96689">
        <w:rPr>
          <w:rFonts w:eastAsia="Times New Roman" w:cs="Times New Roman"/>
        </w:rPr>
        <w:t>a</w:t>
      </w:r>
      <w:r w:rsidRPr="00A96689">
        <w:rPr>
          <w:rFonts w:eastAsia="Times New Roman" w:cs="Times New Roman"/>
        </w:rPr>
        <w:t xml:space="preserve"> score of ≥ 11/24 points </w:t>
      </w:r>
      <w:r w:rsidR="00FB1AAD" w:rsidRPr="00A96689">
        <w:rPr>
          <w:rFonts w:eastAsia="Times New Roman" w:cs="Times New Roman"/>
        </w:rPr>
        <w:t>indicating EDS</w:t>
      </w:r>
      <w:r w:rsidRPr="00A96689">
        <w:rPr>
          <w:rFonts w:eastAsia="Times New Roman" w:cs="Times New Roman"/>
        </w:rPr>
        <w:t xml:space="preserve">. </w:t>
      </w:r>
      <w:r w:rsidR="00C61235" w:rsidRPr="00A96689">
        <w:rPr>
          <w:rFonts w:eastAsia="Times New Roman" w:cs="Times New Roman"/>
        </w:rPr>
        <w:t>N</w:t>
      </w:r>
      <w:r w:rsidRPr="00A96689">
        <w:rPr>
          <w:rFonts w:eastAsia="Times New Roman" w:cs="Times New Roman"/>
        </w:rPr>
        <w:t>umber of falls and fall history (at least one) in the last year w</w:t>
      </w:r>
      <w:r w:rsidR="00C61235" w:rsidRPr="00A96689">
        <w:rPr>
          <w:rFonts w:eastAsia="Times New Roman" w:cs="Times New Roman"/>
        </w:rPr>
        <w:t>ere</w:t>
      </w:r>
      <w:r w:rsidRPr="00A96689">
        <w:rPr>
          <w:rFonts w:eastAsia="Times New Roman" w:cs="Times New Roman"/>
        </w:rPr>
        <w:t xml:space="preserve"> recorded. Time</w:t>
      </w:r>
      <w:r w:rsidR="008002F3" w:rsidRPr="00A96689">
        <w:rPr>
          <w:rFonts w:eastAsia="Times New Roman" w:cs="Times New Roman"/>
        </w:rPr>
        <w:t>d</w:t>
      </w:r>
      <w:r w:rsidRPr="00A96689">
        <w:rPr>
          <w:rFonts w:eastAsia="Times New Roman" w:cs="Times New Roman"/>
        </w:rPr>
        <w:t xml:space="preserve"> Up and Go test (TUG) was used to assess fall risk. Sarcopenia</w:t>
      </w:r>
      <w:r w:rsidR="00CF6608" w:rsidRPr="00A96689">
        <w:rPr>
          <w:rFonts w:eastAsia="Times New Roman" w:cs="Times New Roman"/>
        </w:rPr>
        <w:t xml:space="preserve"> </w:t>
      </w:r>
      <w:r w:rsidRPr="00A96689">
        <w:rPr>
          <w:rFonts w:eastAsia="Times New Roman" w:cs="Times New Roman"/>
        </w:rPr>
        <w:t>was defined by SARC-F</w:t>
      </w:r>
      <w:r w:rsidR="0008720D" w:rsidRPr="00A96689">
        <w:rPr>
          <w:rFonts w:eastAsia="Times New Roman" w:cs="Times New Roman"/>
        </w:rPr>
        <w:t xml:space="preserve"> tool</w:t>
      </w:r>
      <w:r w:rsidRPr="00A96689">
        <w:rPr>
          <w:rFonts w:eastAsia="Times New Roman" w:cs="Times New Roman"/>
        </w:rPr>
        <w:t>. A</w:t>
      </w:r>
      <w:r w:rsidR="00CF6608" w:rsidRPr="00A96689">
        <w:rPr>
          <w:rFonts w:eastAsia="Times New Roman" w:cs="Times New Roman"/>
        </w:rPr>
        <w:t xml:space="preserve"> </w:t>
      </w:r>
      <w:r w:rsidRPr="00A96689">
        <w:rPr>
          <w:rFonts w:eastAsia="Times New Roman" w:cs="Times New Roman"/>
        </w:rPr>
        <w:t>grip strength score of the dominant hand</w:t>
      </w:r>
      <w:r w:rsidR="00C61235" w:rsidRPr="00A96689">
        <w:rPr>
          <w:rFonts w:eastAsia="Times New Roman" w:cs="Times New Roman"/>
        </w:rPr>
        <w:t>,</w:t>
      </w:r>
      <w:r w:rsidRPr="00A96689">
        <w:rPr>
          <w:rFonts w:eastAsia="Times New Roman" w:cs="Times New Roman"/>
        </w:rPr>
        <w:t xml:space="preserve"> </w:t>
      </w:r>
      <w:r w:rsidR="00FB1AAD" w:rsidRPr="00A96689">
        <w:rPr>
          <w:rFonts w:eastAsia="Times New Roman" w:cs="Times New Roman"/>
        </w:rPr>
        <w:t xml:space="preserve">measured </w:t>
      </w:r>
      <w:r w:rsidRPr="00A96689">
        <w:rPr>
          <w:rFonts w:eastAsia="Times New Roman" w:cs="Times New Roman"/>
        </w:rPr>
        <w:t xml:space="preserve">with </w:t>
      </w:r>
      <w:r w:rsidR="00FB1AAD" w:rsidRPr="00A96689">
        <w:rPr>
          <w:rFonts w:eastAsia="Times New Roman" w:cs="Times New Roman"/>
        </w:rPr>
        <w:t>a hand</w:t>
      </w:r>
      <w:r w:rsidR="00C61235" w:rsidRPr="00A96689">
        <w:rPr>
          <w:rFonts w:eastAsia="Times New Roman" w:cs="Times New Roman"/>
        </w:rPr>
        <w:t xml:space="preserve">-grip </w:t>
      </w:r>
      <w:r w:rsidRPr="00A96689">
        <w:rPr>
          <w:rFonts w:eastAsia="Times New Roman" w:cs="Times New Roman"/>
        </w:rPr>
        <w:t>dynamometer</w:t>
      </w:r>
      <w:r w:rsidR="00C61235" w:rsidRPr="00A96689">
        <w:rPr>
          <w:rFonts w:eastAsia="Times New Roman" w:cs="Times New Roman"/>
        </w:rPr>
        <w:t>,</w:t>
      </w:r>
      <w:r w:rsidRPr="00A96689">
        <w:rPr>
          <w:rFonts w:eastAsia="Times New Roman" w:cs="Times New Roman"/>
        </w:rPr>
        <w:t xml:space="preserve"> less than 16 kg in females and 27 kg in males was accepted as dynapenia. Frailty status was defined by five dimensions including shrinking, exhaustion, low levels of activity, weakness, and slowness with those scoring</w:t>
      </w:r>
      <w:r w:rsidR="00CF6608" w:rsidRPr="00A96689">
        <w:rPr>
          <w:rFonts w:eastAsia="Times New Roman" w:cs="Times New Roman"/>
        </w:rPr>
        <w:t xml:space="preserve"> </w:t>
      </w:r>
      <w:r w:rsidRPr="00A96689">
        <w:rPr>
          <w:rFonts w:eastAsia="Times New Roman" w:cs="Times New Roman"/>
        </w:rPr>
        <w:t>positive on ≥ 3 dimensions</w:t>
      </w:r>
      <w:r w:rsidR="00CF6608" w:rsidRPr="00A96689">
        <w:rPr>
          <w:rFonts w:eastAsia="Times New Roman" w:cs="Times New Roman"/>
        </w:rPr>
        <w:t xml:space="preserve"> </w:t>
      </w:r>
      <w:r w:rsidRPr="00A96689">
        <w:rPr>
          <w:rFonts w:eastAsia="Times New Roman" w:cs="Times New Roman"/>
        </w:rPr>
        <w:t>being categorized as frail.</w:t>
      </w:r>
      <w:r w:rsidR="00CF1D93" w:rsidRPr="00A96689">
        <w:rPr>
          <w:rFonts w:eastAsia="Times New Roman" w:cs="Times New Roman"/>
        </w:rPr>
        <w:t xml:space="preserve"> </w:t>
      </w:r>
      <w:r w:rsidR="00D73659" w:rsidRPr="00A96689">
        <w:rPr>
          <w:rFonts w:eastAsia="Times New Roman" w:cs="Times New Roman"/>
        </w:rPr>
        <w:t xml:space="preserve">The relationship </w:t>
      </w:r>
      <w:r w:rsidR="00CF1D93" w:rsidRPr="00A96689">
        <w:rPr>
          <w:rFonts w:eastAsia="Times New Roman" w:cs="Times New Roman"/>
        </w:rPr>
        <w:t>between</w:t>
      </w:r>
      <w:r w:rsidR="00D73659" w:rsidRPr="00A96689">
        <w:rPr>
          <w:rFonts w:eastAsia="Times New Roman" w:cs="Times New Roman"/>
        </w:rPr>
        <w:t xml:space="preserve"> EDS with outcomes </w:t>
      </w:r>
      <w:r w:rsidR="005865FC" w:rsidRPr="00A96689">
        <w:rPr>
          <w:rFonts w:eastAsia="Times New Roman" w:cs="Times New Roman"/>
        </w:rPr>
        <w:t>including</w:t>
      </w:r>
      <w:r w:rsidR="00D73659" w:rsidRPr="00A96689">
        <w:rPr>
          <w:rFonts w:eastAsia="Times New Roman" w:cs="Times New Roman"/>
        </w:rPr>
        <w:t xml:space="preserve"> fall, number of falls, falls risk, dynapenia, sarcopenia and frailty was investigated.</w:t>
      </w:r>
    </w:p>
    <w:p w14:paraId="2F61B1A2" w14:textId="0E2DCE30" w:rsidR="008C43AC" w:rsidRPr="00A96689" w:rsidRDefault="00A81554">
      <w:pPr>
        <w:jc w:val="both"/>
        <w:rPr>
          <w:rFonts w:eastAsia="Times New Roman" w:cs="Times New Roman"/>
          <w:b/>
        </w:rPr>
      </w:pPr>
      <w:r w:rsidRPr="00A96689">
        <w:rPr>
          <w:rFonts w:eastAsia="Times New Roman" w:cs="Times New Roman"/>
          <w:b/>
        </w:rPr>
        <w:t>Results:</w:t>
      </w:r>
      <w:r w:rsidR="00E96F4D" w:rsidRPr="00A96689">
        <w:rPr>
          <w:rFonts w:eastAsia="Times New Roman" w:cs="Times New Roman"/>
          <w:b/>
        </w:rPr>
        <w:t xml:space="preserve"> </w:t>
      </w:r>
      <w:r w:rsidRPr="00A96689">
        <w:rPr>
          <w:rFonts w:eastAsia="Times New Roman" w:cs="Times New Roman"/>
        </w:rPr>
        <w:t>Of the 575 outpatients (</w:t>
      </w:r>
      <w:r w:rsidR="005112FD" w:rsidRPr="00A96689">
        <w:rPr>
          <w:rFonts w:eastAsia="Times New Roman" w:cs="Times New Roman"/>
        </w:rPr>
        <w:t xml:space="preserve">mean age </w:t>
      </w:r>
      <w:r w:rsidR="006D4049" w:rsidRPr="00A96689">
        <w:rPr>
          <w:rFonts w:eastAsia="Times New Roman" w:cs="Times New Roman"/>
        </w:rPr>
        <w:t>78.7±7.5 years</w:t>
      </w:r>
      <w:r w:rsidRPr="00A96689">
        <w:rPr>
          <w:rFonts w:eastAsia="Times New Roman" w:cs="Times New Roman"/>
        </w:rPr>
        <w:t>,</w:t>
      </w:r>
      <w:r w:rsidR="00CF1D93" w:rsidRPr="00A96689">
        <w:rPr>
          <w:rFonts w:eastAsia="Times New Roman" w:cs="Times New Roman"/>
        </w:rPr>
        <w:t xml:space="preserve"> </w:t>
      </w:r>
      <w:r w:rsidRPr="00A96689">
        <w:rPr>
          <w:rFonts w:eastAsia="Times New Roman" w:cs="Times New Roman"/>
        </w:rPr>
        <w:t>female:70.4%), the prevalence of EDS was 19.8%. In the multivariable model adjusted for age, sex, living status, marital status, polypharmacy, osteoarthritis, Parkinson disease, depression and dementia;</w:t>
      </w:r>
      <w:bookmarkStart w:id="1" w:name="_Hlk67771159"/>
      <w:r w:rsidR="00CF1D93" w:rsidRPr="00A96689">
        <w:rPr>
          <w:rFonts w:eastAsia="Times New Roman" w:cs="Times New Roman"/>
        </w:rPr>
        <w:t xml:space="preserve"> </w:t>
      </w:r>
      <w:r w:rsidR="007E0672" w:rsidRPr="00A96689">
        <w:rPr>
          <w:rFonts w:eastAsia="Times New Roman" w:cs="Times New Roman"/>
        </w:rPr>
        <w:t xml:space="preserve">EDS was significantly associated with </w:t>
      </w:r>
      <w:r w:rsidRPr="00A96689">
        <w:rPr>
          <w:rFonts w:eastAsia="Times New Roman" w:cs="Times New Roman"/>
        </w:rPr>
        <w:t xml:space="preserve">the number of falls </w:t>
      </w:r>
      <w:r w:rsidR="00EE62AC" w:rsidRPr="00A96689">
        <w:rPr>
          <w:rFonts w:eastAsia="Times New Roman" w:cs="Times New Roman"/>
        </w:rPr>
        <w:t>last</w:t>
      </w:r>
      <w:r w:rsidRPr="00A96689">
        <w:rPr>
          <w:rFonts w:eastAsia="Times New Roman" w:cs="Times New Roman"/>
        </w:rPr>
        <w:t xml:space="preserve"> year (IRR=1.9</w:t>
      </w:r>
      <w:r w:rsidR="005B14E6" w:rsidRPr="00A96689">
        <w:rPr>
          <w:rFonts w:eastAsia="Times New Roman" w:cs="Times New Roman"/>
        </w:rPr>
        <w:t>4</w:t>
      </w:r>
      <w:r w:rsidRPr="00A96689">
        <w:rPr>
          <w:rFonts w:eastAsia="Times New Roman" w:cs="Times New Roman"/>
        </w:rPr>
        <w:t>, 95% CI:1.</w:t>
      </w:r>
      <w:r w:rsidR="005B14E6" w:rsidRPr="00A96689">
        <w:rPr>
          <w:rFonts w:eastAsia="Times New Roman" w:cs="Times New Roman"/>
        </w:rPr>
        <w:t>42</w:t>
      </w:r>
      <w:r w:rsidR="001A4B55" w:rsidRPr="00A96689">
        <w:rPr>
          <w:rFonts w:eastAsia="Times New Roman" w:cs="Times New Roman"/>
        </w:rPr>
        <w:t>-</w:t>
      </w:r>
      <w:r w:rsidRPr="00A96689">
        <w:rPr>
          <w:rFonts w:eastAsia="Times New Roman" w:cs="Times New Roman"/>
        </w:rPr>
        <w:t>2.</w:t>
      </w:r>
      <w:r w:rsidR="005B14E6" w:rsidRPr="00A96689">
        <w:rPr>
          <w:rFonts w:eastAsia="Times New Roman" w:cs="Times New Roman"/>
        </w:rPr>
        <w:t>65</w:t>
      </w:r>
      <w:r w:rsidRPr="00A96689">
        <w:rPr>
          <w:rFonts w:eastAsia="Times New Roman" w:cs="Times New Roman"/>
        </w:rPr>
        <w:t>) and sarcopenia (OR=2.41,95% CI:1.41</w:t>
      </w:r>
      <w:r w:rsidR="001A4B55" w:rsidRPr="00A96689">
        <w:rPr>
          <w:rFonts w:eastAsia="Times New Roman" w:cs="Times New Roman"/>
        </w:rPr>
        <w:t>-</w:t>
      </w:r>
      <w:r w:rsidRPr="00A96689">
        <w:rPr>
          <w:rFonts w:eastAsia="Times New Roman" w:cs="Times New Roman"/>
        </w:rPr>
        <w:t>4.12)</w:t>
      </w:r>
      <w:r w:rsidR="005C0A3C" w:rsidRPr="00A96689">
        <w:rPr>
          <w:rFonts w:eastAsia="Times New Roman" w:cs="Times New Roman"/>
        </w:rPr>
        <w:t>.</w:t>
      </w:r>
      <w:r w:rsidRPr="00A96689">
        <w:rPr>
          <w:rFonts w:eastAsia="Times New Roman" w:cs="Times New Roman"/>
        </w:rPr>
        <w:t xml:space="preserve"> </w:t>
      </w:r>
      <w:bookmarkEnd w:id="1"/>
      <w:r w:rsidR="004956E8" w:rsidRPr="00A96689">
        <w:rPr>
          <w:rFonts w:eastAsia="Times New Roman" w:cs="Times New Roman"/>
          <w:lang w:val="en-GB"/>
        </w:rPr>
        <w:t xml:space="preserve">EDS was not significantly associated with </w:t>
      </w:r>
      <w:r w:rsidRPr="00A96689">
        <w:rPr>
          <w:rFonts w:eastAsia="Times New Roman" w:cs="Times New Roman"/>
        </w:rPr>
        <w:t>TUG based fall risk, frailty and dynapenia</w:t>
      </w:r>
      <w:r w:rsidR="004956E8" w:rsidRPr="00A96689">
        <w:rPr>
          <w:rFonts w:eastAsia="Times New Roman" w:cs="Times New Roman"/>
        </w:rPr>
        <w:t>.</w:t>
      </w:r>
    </w:p>
    <w:p w14:paraId="51E8527E" w14:textId="0758150D" w:rsidR="008C43AC" w:rsidRPr="00A96689" w:rsidRDefault="00A81554">
      <w:pPr>
        <w:jc w:val="both"/>
        <w:rPr>
          <w:rFonts w:eastAsia="Times New Roman" w:cs="Times New Roman"/>
        </w:rPr>
      </w:pPr>
      <w:r w:rsidRPr="00A96689">
        <w:rPr>
          <w:rFonts w:eastAsia="Times New Roman" w:cs="Times New Roman"/>
          <w:b/>
        </w:rPr>
        <w:t>Conclusions:</w:t>
      </w:r>
      <w:bookmarkStart w:id="2" w:name="_Hlk67773197"/>
      <w:r w:rsidR="00E96F4D" w:rsidRPr="00A96689">
        <w:rPr>
          <w:rFonts w:eastAsia="Times New Roman" w:cs="Times New Roman"/>
          <w:b/>
        </w:rPr>
        <w:t xml:space="preserve"> </w:t>
      </w:r>
      <w:r w:rsidRPr="00A96689">
        <w:rPr>
          <w:rFonts w:eastAsia="Times New Roman" w:cs="Times New Roman"/>
        </w:rPr>
        <w:t>EDS was observed</w:t>
      </w:r>
      <w:r w:rsidR="00F6647C" w:rsidRPr="00A96689">
        <w:rPr>
          <w:rFonts w:eastAsia="Times New Roman" w:cs="Times New Roman"/>
        </w:rPr>
        <w:t xml:space="preserve"> </w:t>
      </w:r>
      <w:r w:rsidRPr="00A96689">
        <w:rPr>
          <w:rFonts w:eastAsia="Times New Roman" w:cs="Times New Roman"/>
        </w:rPr>
        <w:t>in approximately one in every five older adults</w:t>
      </w:r>
      <w:r w:rsidR="001A4B55" w:rsidRPr="00A96689">
        <w:rPr>
          <w:rFonts w:eastAsia="Times New Roman" w:cs="Times New Roman"/>
        </w:rPr>
        <w:t xml:space="preserve">. </w:t>
      </w:r>
      <w:bookmarkStart w:id="3" w:name="_Hlk67834763"/>
      <w:r w:rsidR="001A4B55" w:rsidRPr="00A96689">
        <w:rPr>
          <w:rFonts w:eastAsia="Times New Roman" w:cs="Times New Roman"/>
        </w:rPr>
        <w:t>EDS should be</w:t>
      </w:r>
      <w:r w:rsidR="00CF1D93" w:rsidRPr="00A96689">
        <w:rPr>
          <w:rFonts w:eastAsia="Times New Roman" w:cs="Times New Roman"/>
        </w:rPr>
        <w:t xml:space="preserve"> evaluated as part of geriatric assessment. Moreover, </w:t>
      </w:r>
      <w:r w:rsidR="00743759" w:rsidRPr="00A96689">
        <w:rPr>
          <w:rFonts w:eastAsia="Times New Roman" w:cs="Times New Roman"/>
        </w:rPr>
        <w:t xml:space="preserve">older patients </w:t>
      </w:r>
      <w:r w:rsidR="001A4B55" w:rsidRPr="00A96689">
        <w:rPr>
          <w:rFonts w:eastAsia="Times New Roman" w:cs="Times New Roman"/>
        </w:rPr>
        <w:t xml:space="preserve">with </w:t>
      </w:r>
      <w:r w:rsidR="00743759" w:rsidRPr="00A96689">
        <w:rPr>
          <w:rFonts w:eastAsia="Times New Roman" w:cs="Times New Roman"/>
        </w:rPr>
        <w:t>EDS should be further assessed for falls and sarcopenia</w:t>
      </w:r>
      <w:r w:rsidRPr="00A96689">
        <w:rPr>
          <w:rFonts w:eastAsia="Times New Roman" w:cs="Times New Roman"/>
        </w:rPr>
        <w:t>.</w:t>
      </w:r>
    </w:p>
    <w:bookmarkEnd w:id="2"/>
    <w:bookmarkEnd w:id="3"/>
    <w:p w14:paraId="58B17FEB" w14:textId="77777777" w:rsidR="008C43AC" w:rsidRPr="00A96689" w:rsidRDefault="00A81554">
      <w:pPr>
        <w:jc w:val="both"/>
        <w:rPr>
          <w:rFonts w:eastAsia="Times New Roman" w:cs="Times New Roman"/>
        </w:rPr>
      </w:pPr>
      <w:r w:rsidRPr="00A96689">
        <w:rPr>
          <w:rFonts w:eastAsia="Times New Roman" w:cs="Times New Roman"/>
          <w:b/>
        </w:rPr>
        <w:t xml:space="preserve">Keywords: </w:t>
      </w:r>
      <w:r w:rsidRPr="00A96689">
        <w:rPr>
          <w:rFonts w:eastAsia="Times New Roman" w:cs="Times New Roman"/>
        </w:rPr>
        <w:t xml:space="preserve">Excessive daytime sleepiness, falls, sarcopenia, dynapenia, </w:t>
      </w:r>
      <w:r w:rsidR="00F6647C" w:rsidRPr="00A96689">
        <w:rPr>
          <w:rFonts w:eastAsia="Times New Roman" w:cs="Times New Roman"/>
        </w:rPr>
        <w:t>frailt</w:t>
      </w:r>
      <w:r w:rsidR="001460AB" w:rsidRPr="00A96689">
        <w:rPr>
          <w:rFonts w:eastAsia="Times New Roman" w:cs="Times New Roman"/>
        </w:rPr>
        <w:t>y</w:t>
      </w:r>
    </w:p>
    <w:p w14:paraId="2C85338A" w14:textId="77777777" w:rsidR="001460AB" w:rsidRPr="00A96689" w:rsidRDefault="001460AB">
      <w:pPr>
        <w:jc w:val="both"/>
        <w:rPr>
          <w:rFonts w:eastAsia="Times New Roman" w:cs="Times New Roman"/>
        </w:rPr>
      </w:pPr>
    </w:p>
    <w:p w14:paraId="5C40508F" w14:textId="2B910D4A" w:rsidR="005F1E9C" w:rsidRPr="005F1E9C" w:rsidRDefault="00A81554" w:rsidP="005F1E9C">
      <w:pPr>
        <w:numPr>
          <w:ilvl w:val="0"/>
          <w:numId w:val="1"/>
        </w:numPr>
        <w:pBdr>
          <w:top w:val="nil"/>
          <w:left w:val="nil"/>
          <w:bottom w:val="nil"/>
          <w:right w:val="nil"/>
          <w:between w:val="nil"/>
        </w:pBdr>
        <w:rPr>
          <w:rFonts w:eastAsia="Times New Roman" w:cs="Times New Roman"/>
          <w:b/>
          <w:color w:val="000000"/>
        </w:rPr>
      </w:pPr>
      <w:r w:rsidRPr="00A96689">
        <w:rPr>
          <w:rFonts w:eastAsia="Times New Roman" w:cs="Times New Roman"/>
          <w:b/>
          <w:color w:val="000000"/>
        </w:rPr>
        <w:lastRenderedPageBreak/>
        <w:t>INTRODUCTION</w:t>
      </w:r>
    </w:p>
    <w:p w14:paraId="6B21C400" w14:textId="77777777" w:rsidR="007860CD" w:rsidRPr="00A96689" w:rsidRDefault="00A81554" w:rsidP="00837570">
      <w:pPr>
        <w:jc w:val="both"/>
        <w:rPr>
          <w:rFonts w:eastAsia="Times New Roman" w:cs="Times New Roman"/>
        </w:rPr>
      </w:pPr>
      <w:r w:rsidRPr="00A96689">
        <w:rPr>
          <w:rFonts w:eastAsia="Times New Roman" w:cs="Times New Roman"/>
        </w:rPr>
        <w:t>Sleep is a factor that may impact motor learning and improve spatiotemporal gait parameters that have been used to assess gait performance as well as risk of fall, fear of falling, and community ambulation ability in middle-aged and older adults (Al-Sharman &amp;</w:t>
      </w:r>
      <w:r w:rsidR="001E3A5F" w:rsidRPr="00A96689">
        <w:rPr>
          <w:rFonts w:eastAsia="Times New Roman" w:cs="Times New Roman"/>
        </w:rPr>
        <w:t xml:space="preserve"> </w:t>
      </w:r>
      <w:r w:rsidRPr="00A96689">
        <w:rPr>
          <w:rFonts w:eastAsia="Times New Roman" w:cs="Times New Roman"/>
        </w:rPr>
        <w:t>Siengsukon, 2014). Increasing but insufficient evidence shows that sleeping habits, insomnia or excessive sleep increase the risk of falls and injury (Robillard</w:t>
      </w:r>
      <w:r w:rsidR="002A2BE9" w:rsidRPr="00A96689">
        <w:rPr>
          <w:rFonts w:eastAsia="Times New Roman" w:cs="Times New Roman"/>
        </w:rPr>
        <w:t xml:space="preserve"> et al., </w:t>
      </w:r>
      <w:r w:rsidRPr="00A96689">
        <w:rPr>
          <w:rFonts w:eastAsia="Times New Roman" w:cs="Times New Roman"/>
        </w:rPr>
        <w:t>2011; Stone et al., 2014; Tyagi</w:t>
      </w:r>
      <w:r w:rsidR="002A2BE9" w:rsidRPr="00A96689">
        <w:rPr>
          <w:rFonts w:eastAsia="Times New Roman" w:cs="Times New Roman"/>
        </w:rPr>
        <w:t xml:space="preserve"> et al., </w:t>
      </w:r>
      <w:r w:rsidRPr="00A96689">
        <w:rPr>
          <w:rFonts w:eastAsia="Times New Roman" w:cs="Times New Roman"/>
        </w:rPr>
        <w:t xml:space="preserve">2017). Sleep problems can cause adverse effects on postural control, attention and cognition required to maintain </w:t>
      </w:r>
      <w:r w:rsidR="001700EE" w:rsidRPr="00A96689">
        <w:rPr>
          <w:rFonts w:eastAsia="Times New Roman" w:cs="Times New Roman"/>
        </w:rPr>
        <w:t xml:space="preserve">a </w:t>
      </w:r>
      <w:r w:rsidRPr="00A96689">
        <w:rPr>
          <w:rFonts w:eastAsia="Times New Roman" w:cs="Times New Roman"/>
        </w:rPr>
        <w:t>healthy balance and</w:t>
      </w:r>
      <w:r w:rsidR="001700EE" w:rsidRPr="00A96689">
        <w:rPr>
          <w:rFonts w:eastAsia="Times New Roman" w:cs="Times New Roman"/>
        </w:rPr>
        <w:t xml:space="preserve"> optimal</w:t>
      </w:r>
      <w:r w:rsidRPr="00A96689">
        <w:rPr>
          <w:rFonts w:eastAsia="Times New Roman" w:cs="Times New Roman"/>
        </w:rPr>
        <w:t xml:space="preserve"> walking performance (Ma et al., 2009; Stevens et al., 2020). Excessive daytime sleepiness (EDS), commonly a secondary symptom of sleep disorders, is characterized by difficult</w:t>
      </w:r>
      <w:r w:rsidR="001700EE" w:rsidRPr="00A96689">
        <w:rPr>
          <w:rFonts w:eastAsia="Times New Roman" w:cs="Times New Roman"/>
        </w:rPr>
        <w:t>y</w:t>
      </w:r>
      <w:r w:rsidRPr="00A96689">
        <w:rPr>
          <w:rFonts w:eastAsia="Times New Roman" w:cs="Times New Roman"/>
        </w:rPr>
        <w:t xml:space="preserve"> in </w:t>
      </w:r>
      <w:r w:rsidR="001700EE" w:rsidRPr="00A96689">
        <w:rPr>
          <w:rFonts w:eastAsia="Times New Roman" w:cs="Times New Roman"/>
        </w:rPr>
        <w:t xml:space="preserve">staying </w:t>
      </w:r>
      <w:r w:rsidRPr="00A96689">
        <w:rPr>
          <w:rFonts w:eastAsia="Times New Roman" w:cs="Times New Roman"/>
        </w:rPr>
        <w:t xml:space="preserve">awake </w:t>
      </w:r>
      <w:r w:rsidR="001700EE" w:rsidRPr="00A96689">
        <w:rPr>
          <w:rFonts w:eastAsia="Times New Roman" w:cs="Times New Roman"/>
        </w:rPr>
        <w:t xml:space="preserve">during </w:t>
      </w:r>
      <w:r w:rsidRPr="00A96689">
        <w:rPr>
          <w:rFonts w:eastAsia="Times New Roman" w:cs="Times New Roman"/>
        </w:rPr>
        <w:t>the wake period</w:t>
      </w:r>
      <w:r w:rsidR="00BE08F5" w:rsidRPr="00A96689">
        <w:rPr>
          <w:rFonts w:eastAsia="Times New Roman" w:cs="Times New Roman"/>
        </w:rPr>
        <w:t xml:space="preserve">, and </w:t>
      </w:r>
      <w:r w:rsidRPr="00A96689">
        <w:rPr>
          <w:rFonts w:eastAsia="Times New Roman" w:cs="Times New Roman"/>
        </w:rPr>
        <w:t>frequency increases exponentially with age (Hublin</w:t>
      </w:r>
      <w:r w:rsidR="00E1074E" w:rsidRPr="00A96689">
        <w:rPr>
          <w:rFonts w:eastAsia="Times New Roman" w:cs="Times New Roman"/>
        </w:rPr>
        <w:t xml:space="preserve"> et al., </w:t>
      </w:r>
      <w:r w:rsidRPr="00A96689">
        <w:rPr>
          <w:rFonts w:eastAsia="Times New Roman" w:cs="Times New Roman"/>
        </w:rPr>
        <w:t>1996). In those aged 30-60</w:t>
      </w:r>
      <w:r w:rsidR="001700EE" w:rsidRPr="00A96689">
        <w:rPr>
          <w:rFonts w:eastAsia="Times New Roman" w:cs="Times New Roman"/>
        </w:rPr>
        <w:t xml:space="preserve"> years</w:t>
      </w:r>
      <w:r w:rsidRPr="00A96689">
        <w:rPr>
          <w:rFonts w:eastAsia="Times New Roman" w:cs="Times New Roman"/>
        </w:rPr>
        <w:t>, the pre</w:t>
      </w:r>
      <w:r w:rsidR="0036395D" w:rsidRPr="00A96689">
        <w:rPr>
          <w:rFonts w:eastAsia="Times New Roman" w:cs="Times New Roman"/>
        </w:rPr>
        <w:t>valence of EDS is 11.0% in female and 6.7% in male</w:t>
      </w:r>
      <w:r w:rsidRPr="00A96689">
        <w:rPr>
          <w:rFonts w:eastAsia="Times New Roman" w:cs="Times New Roman"/>
        </w:rPr>
        <w:t>, while this rate increases to almost one in three people in either sex over 80 years (Hayley et al., 2014; Hublin et al., 1996).</w:t>
      </w:r>
      <w:r w:rsidR="009B4496" w:rsidRPr="00A96689">
        <w:rPr>
          <w:rFonts w:eastAsia="Times New Roman" w:cs="Times New Roman"/>
        </w:rPr>
        <w:t xml:space="preserve"> Limited literature has found that</w:t>
      </w:r>
      <w:r w:rsidRPr="00A96689">
        <w:rPr>
          <w:rFonts w:eastAsia="Times New Roman" w:cs="Times New Roman"/>
        </w:rPr>
        <w:t xml:space="preserve"> EDS </w:t>
      </w:r>
      <w:r w:rsidR="009B4496" w:rsidRPr="00A96689">
        <w:rPr>
          <w:rFonts w:eastAsia="Times New Roman" w:cs="Times New Roman"/>
        </w:rPr>
        <w:t xml:space="preserve">is </w:t>
      </w:r>
      <w:r w:rsidRPr="00A96689">
        <w:rPr>
          <w:rFonts w:eastAsia="Times New Roman" w:cs="Times New Roman"/>
        </w:rPr>
        <w:t>associated with low physical activity levels (Odd</w:t>
      </w:r>
      <w:r w:rsidR="004E2D66" w:rsidRPr="00A96689">
        <w:rPr>
          <w:rFonts w:eastAsia="Times New Roman" w:cs="Times New Roman"/>
        </w:rPr>
        <w:t>s</w:t>
      </w:r>
      <w:r w:rsidRPr="00A96689">
        <w:rPr>
          <w:rFonts w:eastAsia="Times New Roman" w:cs="Times New Roman"/>
        </w:rPr>
        <w:t xml:space="preserve"> ratio</w:t>
      </w:r>
      <w:r w:rsidR="00C5793F" w:rsidRPr="00A96689">
        <w:rPr>
          <w:rFonts w:eastAsia="Times New Roman" w:cs="Times New Roman"/>
        </w:rPr>
        <w:t xml:space="preserve"> [OR]</w:t>
      </w:r>
      <w:r w:rsidRPr="00A96689">
        <w:rPr>
          <w:rFonts w:eastAsia="Times New Roman" w:cs="Times New Roman"/>
        </w:rPr>
        <w:t>:1.62), disability in daily activities (O</w:t>
      </w:r>
      <w:r w:rsidR="00C5793F" w:rsidRPr="00A96689">
        <w:rPr>
          <w:rFonts w:eastAsia="Times New Roman" w:cs="Times New Roman"/>
        </w:rPr>
        <w:t>R</w:t>
      </w:r>
      <w:r w:rsidRPr="00A96689">
        <w:rPr>
          <w:rFonts w:eastAsia="Times New Roman" w:cs="Times New Roman"/>
        </w:rPr>
        <w:t>:1.53), depression (O</w:t>
      </w:r>
      <w:r w:rsidR="00C5793F" w:rsidRPr="00A96689">
        <w:rPr>
          <w:rFonts w:eastAsia="Times New Roman" w:cs="Times New Roman"/>
        </w:rPr>
        <w:t>R</w:t>
      </w:r>
      <w:r w:rsidRPr="00A96689">
        <w:rPr>
          <w:rFonts w:eastAsia="Times New Roman" w:cs="Times New Roman"/>
        </w:rPr>
        <w:t>:1.83) and 4-year mortality rate (O</w:t>
      </w:r>
      <w:r w:rsidR="00C5793F" w:rsidRPr="00A96689">
        <w:rPr>
          <w:rFonts w:eastAsia="Times New Roman" w:cs="Times New Roman"/>
        </w:rPr>
        <w:t>R</w:t>
      </w:r>
      <w:r w:rsidRPr="00A96689">
        <w:rPr>
          <w:rFonts w:eastAsia="Times New Roman" w:cs="Times New Roman"/>
        </w:rPr>
        <w:t>:1.73) (Gooneratne et al., 2003; Ohayon</w:t>
      </w:r>
      <w:r w:rsidR="00BA545D" w:rsidRPr="00A96689">
        <w:rPr>
          <w:rFonts w:eastAsia="Times New Roman" w:cs="Times New Roman"/>
        </w:rPr>
        <w:t xml:space="preserve">  </w:t>
      </w:r>
      <w:r w:rsidRPr="00A96689">
        <w:rPr>
          <w:rFonts w:eastAsia="Times New Roman" w:cs="Times New Roman"/>
        </w:rPr>
        <w:t>&amp;</w:t>
      </w:r>
      <w:r w:rsidR="00BA545D" w:rsidRPr="00A96689">
        <w:rPr>
          <w:rFonts w:eastAsia="Times New Roman" w:cs="Times New Roman"/>
        </w:rPr>
        <w:t xml:space="preserve"> </w:t>
      </w:r>
      <w:r w:rsidRPr="00A96689">
        <w:rPr>
          <w:rFonts w:eastAsia="Times New Roman" w:cs="Times New Roman"/>
        </w:rPr>
        <w:t xml:space="preserve">Vecchierini, 2002). </w:t>
      </w:r>
      <w:r w:rsidR="00837570" w:rsidRPr="00A96689">
        <w:rPr>
          <w:rFonts w:eastAsia="Times New Roman" w:cs="Times New Roman"/>
        </w:rPr>
        <w:t xml:space="preserve">To the best of the authors’ knowledge just two studies have reported that napping for long periods during the day is related to an increased risk of falls and EDS is associated with poor balance and slower gait speed (St George et al.; Tyagi et al., 2017). </w:t>
      </w:r>
    </w:p>
    <w:p w14:paraId="77C74A03" w14:textId="59EB5DF2" w:rsidR="00837570" w:rsidRPr="00A96689" w:rsidRDefault="00762566" w:rsidP="00837570">
      <w:pPr>
        <w:jc w:val="both"/>
        <w:rPr>
          <w:rFonts w:eastAsia="Times New Roman" w:cs="Times New Roman"/>
        </w:rPr>
      </w:pPr>
      <w:r w:rsidRPr="00A96689">
        <w:rPr>
          <w:rFonts w:eastAsia="Times New Roman" w:cs="Times New Roman"/>
        </w:rPr>
        <w:t xml:space="preserve">Indeed, </w:t>
      </w:r>
      <w:r w:rsidR="0027603B" w:rsidRPr="00A96689">
        <w:rPr>
          <w:rFonts w:eastAsia="Times New Roman" w:cs="Times New Roman"/>
        </w:rPr>
        <w:t xml:space="preserve">the relationship between </w:t>
      </w:r>
      <w:r w:rsidRPr="00A96689">
        <w:rPr>
          <w:rFonts w:eastAsia="Times New Roman" w:cs="Times New Roman"/>
        </w:rPr>
        <w:t>f</w:t>
      </w:r>
      <w:r w:rsidR="006D4777" w:rsidRPr="00A96689">
        <w:rPr>
          <w:rFonts w:eastAsia="Times New Roman" w:cs="Times New Roman"/>
        </w:rPr>
        <w:t xml:space="preserve">alling </w:t>
      </w:r>
      <w:r w:rsidR="0027603B" w:rsidRPr="00A96689">
        <w:rPr>
          <w:rFonts w:eastAsia="Times New Roman" w:cs="Times New Roman"/>
        </w:rPr>
        <w:t xml:space="preserve">and EDS </w:t>
      </w:r>
      <w:r w:rsidR="009D3810" w:rsidRPr="00A96689">
        <w:rPr>
          <w:rFonts w:eastAsia="Times New Roman" w:cs="Times New Roman"/>
        </w:rPr>
        <w:t xml:space="preserve">is of importance as </w:t>
      </w:r>
      <w:r w:rsidR="007860CD" w:rsidRPr="00A96689">
        <w:rPr>
          <w:rFonts w:eastAsia="Times New Roman" w:cs="Times New Roman"/>
        </w:rPr>
        <w:t>m</w:t>
      </w:r>
      <w:r w:rsidR="00837570" w:rsidRPr="00A96689">
        <w:rPr>
          <w:rFonts w:eastAsia="Times New Roman" w:cs="Times New Roman"/>
        </w:rPr>
        <w:t>ore than one-third of adults aged 65 year</w:t>
      </w:r>
      <w:r w:rsidR="009D3810" w:rsidRPr="00A96689">
        <w:rPr>
          <w:rFonts w:eastAsia="Times New Roman" w:cs="Times New Roman"/>
        </w:rPr>
        <w:t>s</w:t>
      </w:r>
      <w:r w:rsidR="00837570" w:rsidRPr="00A96689">
        <w:rPr>
          <w:rFonts w:eastAsia="Times New Roman" w:cs="Times New Roman"/>
        </w:rPr>
        <w:t xml:space="preserve"> and over fall each year (Hausdorff, Rios, &amp;Edelberg, 2001). One study evaluating geriatric syndromes </w:t>
      </w:r>
      <w:r w:rsidR="009D3810" w:rsidRPr="00A96689">
        <w:rPr>
          <w:rFonts w:eastAsia="Times New Roman" w:cs="Times New Roman"/>
        </w:rPr>
        <w:t xml:space="preserve">by </w:t>
      </w:r>
      <w:r w:rsidR="00837570" w:rsidRPr="00A96689">
        <w:rPr>
          <w:rFonts w:eastAsia="Times New Roman" w:cs="Times New Roman"/>
        </w:rPr>
        <w:t>age, found t</w:t>
      </w:r>
      <w:r w:rsidR="009D3810" w:rsidRPr="00A96689">
        <w:rPr>
          <w:rFonts w:eastAsia="Times New Roman" w:cs="Times New Roman"/>
        </w:rPr>
        <w:t>he frequency of falls t</w:t>
      </w:r>
      <w:r w:rsidR="00837570" w:rsidRPr="00A96689">
        <w:rPr>
          <w:rFonts w:eastAsia="Times New Roman" w:cs="Times New Roman"/>
        </w:rPr>
        <w:t xml:space="preserve">o be 25%, 31%, and 44% for those aged 60-70 years, 70-80 years and 80 years, respectively (Ates Bulut et al., 2018). </w:t>
      </w:r>
      <w:r w:rsidR="00E52CE2" w:rsidRPr="00A96689">
        <w:rPr>
          <w:rFonts w:eastAsia="Times New Roman" w:cs="Times New Roman"/>
        </w:rPr>
        <w:t>F</w:t>
      </w:r>
      <w:r w:rsidR="00837570" w:rsidRPr="00A96689">
        <w:rPr>
          <w:rFonts w:eastAsia="Times New Roman" w:cs="Times New Roman"/>
        </w:rPr>
        <w:t>alls have been found to be associated with reduced functional capacity, disability, fractures, increased healthcare costs, and a high risk of mortality in older adults (Kannus et al., 1999; Kannus et al., 2005</w:t>
      </w:r>
      <w:r w:rsidR="00081B7A" w:rsidRPr="00A96689">
        <w:rPr>
          <w:rFonts w:eastAsia="Times New Roman" w:cs="Times New Roman"/>
        </w:rPr>
        <w:t xml:space="preserve">; </w:t>
      </w:r>
      <w:r w:rsidR="00837570" w:rsidRPr="00A96689">
        <w:rPr>
          <w:rFonts w:eastAsia="Times New Roman" w:cs="Times New Roman"/>
        </w:rPr>
        <w:t xml:space="preserve">Arik et al., 2020; Bloch et al., 2014). Owing to all the above, it is of importance to identify </w:t>
      </w:r>
      <w:r w:rsidR="002B6DFC" w:rsidRPr="00A96689">
        <w:rPr>
          <w:rFonts w:eastAsia="Times New Roman" w:cs="Times New Roman"/>
        </w:rPr>
        <w:t xml:space="preserve">whether EDS may be a </w:t>
      </w:r>
      <w:r w:rsidR="00837570" w:rsidRPr="00A96689">
        <w:rPr>
          <w:rFonts w:eastAsia="Times New Roman" w:cs="Times New Roman"/>
        </w:rPr>
        <w:t>risk factor for falls among older adults.</w:t>
      </w:r>
    </w:p>
    <w:p w14:paraId="309D854D" w14:textId="77777777" w:rsidR="004D7EA6" w:rsidRPr="00A96689" w:rsidRDefault="009D3810" w:rsidP="002D661F">
      <w:pPr>
        <w:jc w:val="both"/>
        <w:rPr>
          <w:rFonts w:eastAsia="Times New Roman" w:cs="Times New Roman"/>
          <w:lang w:val="en-GB"/>
        </w:rPr>
      </w:pPr>
      <w:r w:rsidRPr="00A96689">
        <w:rPr>
          <w:rFonts w:eastAsia="Times New Roman" w:cs="Times New Roman"/>
        </w:rPr>
        <w:lastRenderedPageBreak/>
        <w:t xml:space="preserve">Importantly, </w:t>
      </w:r>
      <w:r w:rsidR="00E52CE2" w:rsidRPr="00A96689">
        <w:rPr>
          <w:rFonts w:eastAsia="Times New Roman" w:cs="Times New Roman"/>
        </w:rPr>
        <w:t xml:space="preserve">frailty, </w:t>
      </w:r>
      <w:r w:rsidR="00AF2440" w:rsidRPr="00A96689">
        <w:rPr>
          <w:rFonts w:eastAsia="Times New Roman" w:cs="Times New Roman"/>
        </w:rPr>
        <w:t>s</w:t>
      </w:r>
      <w:r w:rsidR="001911D5" w:rsidRPr="00A96689">
        <w:rPr>
          <w:rFonts w:eastAsia="Times New Roman" w:cs="Times New Roman"/>
        </w:rPr>
        <w:t xml:space="preserve">arcopenia and dynapenia are clinical conditions that are quite common in older adults, and related with falls, bone fractures, </w:t>
      </w:r>
      <w:r w:rsidR="00E52CE2" w:rsidRPr="00A96689">
        <w:rPr>
          <w:rFonts w:eastAsia="Times New Roman" w:cs="Times New Roman"/>
        </w:rPr>
        <w:t xml:space="preserve">depression, </w:t>
      </w:r>
      <w:r w:rsidR="00EF33F1" w:rsidRPr="00A96689">
        <w:rPr>
          <w:rFonts w:eastAsia="Times New Roman" w:cs="Times New Roman"/>
        </w:rPr>
        <w:t xml:space="preserve">orthostatic hypotension, </w:t>
      </w:r>
      <w:r w:rsidR="001911D5" w:rsidRPr="00A96689">
        <w:rPr>
          <w:rFonts w:eastAsia="Times New Roman" w:cs="Times New Roman"/>
        </w:rPr>
        <w:t>and disability (Tarantino et al., 2013; Soysal et al, 2020</w:t>
      </w:r>
      <w:r w:rsidR="00E52CE2" w:rsidRPr="00A96689">
        <w:rPr>
          <w:rFonts w:eastAsia="Times New Roman" w:cs="Times New Roman"/>
        </w:rPr>
        <w:t xml:space="preserve">; </w:t>
      </w:r>
      <w:r w:rsidR="00A0065D" w:rsidRPr="00A96689">
        <w:rPr>
          <w:rFonts w:eastAsia="Times New Roman" w:cs="Times New Roman"/>
        </w:rPr>
        <w:t>Soysal et al., 2016; Soysal et al., 2017</w:t>
      </w:r>
      <w:r w:rsidR="00F158B7" w:rsidRPr="00A96689">
        <w:rPr>
          <w:rFonts w:eastAsia="Times New Roman" w:cs="Times New Roman"/>
        </w:rPr>
        <w:t xml:space="preserve">; </w:t>
      </w:r>
      <w:r w:rsidR="00D924C4" w:rsidRPr="00A96689">
        <w:rPr>
          <w:rFonts w:eastAsia="Times New Roman" w:cs="Times New Roman"/>
        </w:rPr>
        <w:t>Kocyigit</w:t>
      </w:r>
      <w:r w:rsidR="00C95558" w:rsidRPr="00A96689">
        <w:rPr>
          <w:rFonts w:eastAsia="Times New Roman" w:cs="Times New Roman"/>
        </w:rPr>
        <w:t xml:space="preserve"> </w:t>
      </w:r>
      <w:r w:rsidR="00D924C4" w:rsidRPr="00A96689">
        <w:rPr>
          <w:rFonts w:eastAsia="Times New Roman" w:cs="Times New Roman"/>
        </w:rPr>
        <w:t xml:space="preserve"> et al., 2019</w:t>
      </w:r>
      <w:r w:rsidR="00F158B7" w:rsidRPr="00A96689">
        <w:rPr>
          <w:rFonts w:eastAsia="Times New Roman" w:cs="Times New Roman"/>
        </w:rPr>
        <w:t>)</w:t>
      </w:r>
      <w:r w:rsidR="00CC6110" w:rsidRPr="00A96689">
        <w:rPr>
          <w:rFonts w:eastAsia="Times New Roman" w:cs="Times New Roman"/>
        </w:rPr>
        <w:t xml:space="preserve">. </w:t>
      </w:r>
      <w:r w:rsidR="001911D5" w:rsidRPr="00A96689">
        <w:rPr>
          <w:rFonts w:eastAsia="Times New Roman" w:cs="Times New Roman"/>
        </w:rPr>
        <w:t>C</w:t>
      </w:r>
      <w:r w:rsidR="00A81554" w:rsidRPr="00A96689">
        <w:rPr>
          <w:rFonts w:eastAsia="Times New Roman" w:cs="Times New Roman"/>
        </w:rPr>
        <w:t xml:space="preserve">onsidering that EDS </w:t>
      </w:r>
      <w:r w:rsidR="002D661F" w:rsidRPr="00A96689">
        <w:rPr>
          <w:rFonts w:eastAsia="Times New Roman" w:cs="Times New Roman"/>
        </w:rPr>
        <w:t>may form</w:t>
      </w:r>
      <w:r w:rsidR="00E610E2" w:rsidRPr="00A96689">
        <w:rPr>
          <w:rFonts w:eastAsia="Times New Roman" w:cs="Times New Roman"/>
        </w:rPr>
        <w:t xml:space="preserve"> a </w:t>
      </w:r>
      <w:r w:rsidR="00A81554" w:rsidRPr="00A96689">
        <w:rPr>
          <w:rFonts w:eastAsia="Times New Roman" w:cs="Times New Roman"/>
        </w:rPr>
        <w:t xml:space="preserve">part of sedentary lifestyle, there is </w:t>
      </w:r>
      <w:r w:rsidR="002D661F" w:rsidRPr="00A96689">
        <w:rPr>
          <w:rFonts w:eastAsia="Times New Roman" w:cs="Times New Roman"/>
        </w:rPr>
        <w:t>limited</w:t>
      </w:r>
      <w:r w:rsidR="00A81554" w:rsidRPr="00A96689">
        <w:rPr>
          <w:rFonts w:eastAsia="Times New Roman" w:cs="Times New Roman"/>
        </w:rPr>
        <w:t xml:space="preserve"> evidence about how sarcopenia, decreased muscle strength (dynapenia) and frailty are affected by EDS, which may be related to this condition</w:t>
      </w:r>
      <w:r w:rsidR="002D661F" w:rsidRPr="00A96689">
        <w:rPr>
          <w:rFonts w:eastAsia="Times New Roman" w:cs="Times New Roman"/>
        </w:rPr>
        <w:t xml:space="preserve">, </w:t>
      </w:r>
      <w:r w:rsidR="00A81554" w:rsidRPr="00A96689">
        <w:rPr>
          <w:rFonts w:eastAsia="Times New Roman" w:cs="Times New Roman"/>
        </w:rPr>
        <w:t>share many common features</w:t>
      </w:r>
      <w:r w:rsidR="002D661F" w:rsidRPr="00A96689">
        <w:rPr>
          <w:rFonts w:eastAsia="Times New Roman" w:cs="Times New Roman"/>
        </w:rPr>
        <w:t>,</w:t>
      </w:r>
      <w:r w:rsidR="00A81554" w:rsidRPr="00A96689">
        <w:rPr>
          <w:rFonts w:eastAsia="Times New Roman" w:cs="Times New Roman"/>
        </w:rPr>
        <w:t xml:space="preserve"> and increase the risk of falls (Cao et al., 2019; Diniz</w:t>
      </w:r>
      <w:r w:rsidR="00F05CD5" w:rsidRPr="00A96689">
        <w:rPr>
          <w:rFonts w:eastAsia="Times New Roman" w:cs="Times New Roman"/>
        </w:rPr>
        <w:t xml:space="preserve"> et al.; </w:t>
      </w:r>
      <w:r w:rsidR="000902BA" w:rsidRPr="00A96689">
        <w:rPr>
          <w:rFonts w:eastAsia="Times New Roman" w:cs="Times New Roman"/>
        </w:rPr>
        <w:t>2016; St George et al., 2009</w:t>
      </w:r>
      <w:r w:rsidR="00D27B14" w:rsidRPr="00A96689">
        <w:rPr>
          <w:rFonts w:eastAsia="Times New Roman" w:cs="Times New Roman"/>
        </w:rPr>
        <w:t>; Smith et al., 2020</w:t>
      </w:r>
      <w:r w:rsidR="000902BA" w:rsidRPr="00A96689">
        <w:rPr>
          <w:rFonts w:eastAsia="Times New Roman" w:cs="Times New Roman"/>
        </w:rPr>
        <w:t>).</w:t>
      </w:r>
      <w:r w:rsidR="0054257D" w:rsidRPr="00A96689">
        <w:rPr>
          <w:rFonts w:eastAsia="Times New Roman" w:cs="Times New Roman"/>
        </w:rPr>
        <w:t xml:space="preserve">One study found that EDS accompanied with snoring or apnea was associated with the lowest handgrip strength (Cao et al., 2019). </w:t>
      </w:r>
      <w:r w:rsidR="004A2DF7" w:rsidRPr="00A96689">
        <w:rPr>
          <w:rFonts w:eastAsia="Times New Roman" w:cs="Times New Roman"/>
        </w:rPr>
        <w:t xml:space="preserve">Another study showed that older adults reporting 8 or more hours of sleep had an almost twofold increased risk of sarcopenia (Chien et al., 2015). </w:t>
      </w:r>
      <w:r w:rsidR="00A81554" w:rsidRPr="00A96689">
        <w:rPr>
          <w:rFonts w:eastAsia="Times New Roman" w:cs="Times New Roman"/>
        </w:rPr>
        <w:t xml:space="preserve">However, </w:t>
      </w:r>
      <w:r w:rsidRPr="00A96689">
        <w:rPr>
          <w:rFonts w:eastAsia="Times New Roman" w:cs="Times New Roman"/>
        </w:rPr>
        <w:t xml:space="preserve">findings from </w:t>
      </w:r>
      <w:r w:rsidR="00A81554" w:rsidRPr="00A96689">
        <w:rPr>
          <w:rFonts w:eastAsia="Times New Roman" w:cs="Times New Roman"/>
        </w:rPr>
        <w:t>studies examining the relationship between frailty</w:t>
      </w:r>
      <w:r w:rsidR="002541B2" w:rsidRPr="00A96689">
        <w:rPr>
          <w:rFonts w:eastAsia="Times New Roman" w:cs="Times New Roman"/>
        </w:rPr>
        <w:t xml:space="preserve"> </w:t>
      </w:r>
      <w:r w:rsidR="00A81554" w:rsidRPr="00A96689">
        <w:rPr>
          <w:rFonts w:eastAsia="Times New Roman" w:cs="Times New Roman"/>
        </w:rPr>
        <w:t>and EDS are inconsistent (Endeshaw</w:t>
      </w:r>
      <w:r w:rsidR="00670AC2" w:rsidRPr="00A96689">
        <w:rPr>
          <w:rFonts w:eastAsia="Times New Roman" w:cs="Times New Roman"/>
        </w:rPr>
        <w:t xml:space="preserve"> et al.,</w:t>
      </w:r>
      <w:r w:rsidR="00A81554" w:rsidRPr="00A96689">
        <w:rPr>
          <w:rFonts w:eastAsia="Times New Roman" w:cs="Times New Roman"/>
        </w:rPr>
        <w:t>2009; Ensrud et al., 2009).</w:t>
      </w:r>
      <w:r w:rsidR="0054257D" w:rsidRPr="00A96689">
        <w:rPr>
          <w:rFonts w:eastAsia="Times New Roman" w:cs="Times New Roman"/>
        </w:rPr>
        <w:t xml:space="preserve"> </w:t>
      </w:r>
      <w:r w:rsidR="00D309C1" w:rsidRPr="00A96689">
        <w:rPr>
          <w:rFonts w:eastAsia="Times New Roman" w:cs="Times New Roman"/>
          <w:lang w:val="en-GB"/>
        </w:rPr>
        <w:t xml:space="preserve">Given both the high frequency of EDS and the health burden associated with falls and falls related conditions including risk of falling, </w:t>
      </w:r>
      <w:r w:rsidR="00D309C1" w:rsidRPr="00A96689">
        <w:rPr>
          <w:rFonts w:eastAsia="Times New Roman" w:cs="Times New Roman"/>
        </w:rPr>
        <w:t>dynapenia, sarcopenia and frailty</w:t>
      </w:r>
      <w:r w:rsidR="00D309C1" w:rsidRPr="00A96689">
        <w:rPr>
          <w:rFonts w:eastAsia="Times New Roman" w:cs="Times New Roman"/>
          <w:lang w:val="en-GB"/>
        </w:rPr>
        <w:t xml:space="preserve"> in older adults, direct assessment of the relationship between these factors may assist in identifying possible modifiable factors, and thus, substantially improve primary preventative strategies for falls in these populations.</w:t>
      </w:r>
      <w:bookmarkStart w:id="4" w:name="_Hlk68647712"/>
      <w:r w:rsidR="00B56D07" w:rsidRPr="00A96689">
        <w:rPr>
          <w:rFonts w:eastAsia="Times New Roman" w:cs="Times New Roman"/>
          <w:lang w:val="en-GB"/>
        </w:rPr>
        <w:t xml:space="preserve"> </w:t>
      </w:r>
    </w:p>
    <w:p w14:paraId="13944022" w14:textId="2F92C3D8" w:rsidR="002D661F" w:rsidRPr="00A96689" w:rsidRDefault="009D3810" w:rsidP="002D661F">
      <w:pPr>
        <w:jc w:val="both"/>
        <w:rPr>
          <w:rFonts w:eastAsia="Times New Roman" w:cs="Times New Roman"/>
        </w:rPr>
      </w:pPr>
      <w:r w:rsidRPr="00A96689">
        <w:rPr>
          <w:rFonts w:eastAsia="Times New Roman" w:cs="Times New Roman"/>
        </w:rPr>
        <w:t xml:space="preserve">We hypothesize </w:t>
      </w:r>
      <w:r w:rsidR="00FB3F04" w:rsidRPr="00A96689">
        <w:rPr>
          <w:rFonts w:eastAsia="Times New Roman" w:cs="Times New Roman"/>
          <w:lang w:val="en-GB"/>
        </w:rPr>
        <w:t xml:space="preserve">that higher EDS may </w:t>
      </w:r>
      <w:r w:rsidR="00AE110E" w:rsidRPr="00A96689">
        <w:rPr>
          <w:rFonts w:eastAsia="Times New Roman" w:cs="Times New Roman"/>
          <w:lang w:val="en-GB"/>
        </w:rPr>
        <w:t xml:space="preserve">be </w:t>
      </w:r>
      <w:r w:rsidR="00E82E8B" w:rsidRPr="00A96689">
        <w:rPr>
          <w:rFonts w:eastAsia="Times New Roman" w:cs="Times New Roman"/>
          <w:lang w:val="en-GB"/>
        </w:rPr>
        <w:t xml:space="preserve">related </w:t>
      </w:r>
      <w:r w:rsidR="00FB3F04" w:rsidRPr="00A96689">
        <w:rPr>
          <w:rFonts w:eastAsia="Times New Roman" w:cs="Times New Roman"/>
          <w:lang w:val="en-GB"/>
        </w:rPr>
        <w:t>with the higher falls and falls-related conditions</w:t>
      </w:r>
      <w:r w:rsidR="004D119F" w:rsidRPr="00A96689">
        <w:rPr>
          <w:rFonts w:eastAsia="Times New Roman" w:cs="Times New Roman"/>
          <w:lang w:val="en-GB"/>
        </w:rPr>
        <w:t>,</w:t>
      </w:r>
      <w:r w:rsidR="004D7EA6" w:rsidRPr="00A96689">
        <w:rPr>
          <w:rFonts w:eastAsia="Times New Roman" w:cs="Times New Roman"/>
          <w:lang w:val="en-GB"/>
        </w:rPr>
        <w:t xml:space="preserve"> because </w:t>
      </w:r>
      <w:r w:rsidR="004D119F" w:rsidRPr="00A96689">
        <w:rPr>
          <w:rFonts w:eastAsia="Times New Roman" w:cs="Times New Roman"/>
        </w:rPr>
        <w:t xml:space="preserve">it may lead to a low level of physical activity and a more sedentary life during the hours when a person should be awake and active, thereby increasing the development of both falls and falls related conditions. </w:t>
      </w:r>
      <w:r w:rsidR="00D309C1" w:rsidRPr="00A96689">
        <w:rPr>
          <w:rFonts w:eastAsia="Times New Roman" w:cs="Times New Roman"/>
        </w:rPr>
        <w:t xml:space="preserve">Therefore, the aim of this study is to examine associations between EDS with history and frequency of falls, as well as </w:t>
      </w:r>
      <w:r w:rsidR="00D309C1" w:rsidRPr="00A96689">
        <w:rPr>
          <w:rFonts w:eastAsia="Times New Roman" w:cs="Times New Roman"/>
          <w:lang w:val="en-GB"/>
        </w:rPr>
        <w:t>risk of falling,</w:t>
      </w:r>
      <w:r w:rsidR="00D309C1" w:rsidRPr="00A96689">
        <w:rPr>
          <w:rFonts w:eastAsia="Times New Roman" w:cs="Times New Roman"/>
        </w:rPr>
        <w:t xml:space="preserve"> dynapenia, sarcopenia and frailty.</w:t>
      </w:r>
    </w:p>
    <w:bookmarkEnd w:id="4"/>
    <w:p w14:paraId="396D0B87" w14:textId="77777777" w:rsidR="008C43AC" w:rsidRPr="00A96689" w:rsidRDefault="00A81554">
      <w:pPr>
        <w:numPr>
          <w:ilvl w:val="0"/>
          <w:numId w:val="1"/>
        </w:numPr>
        <w:pBdr>
          <w:top w:val="nil"/>
          <w:left w:val="nil"/>
          <w:bottom w:val="nil"/>
          <w:right w:val="nil"/>
          <w:between w:val="nil"/>
        </w:pBdr>
        <w:rPr>
          <w:rFonts w:eastAsia="Times New Roman" w:cs="Times New Roman"/>
          <w:b/>
          <w:color w:val="000000"/>
        </w:rPr>
      </w:pPr>
      <w:r w:rsidRPr="00A96689">
        <w:rPr>
          <w:rFonts w:eastAsia="Times New Roman" w:cs="Times New Roman"/>
          <w:b/>
          <w:color w:val="000000"/>
        </w:rPr>
        <w:t>METHOD</w:t>
      </w:r>
    </w:p>
    <w:p w14:paraId="5F9FA57C" w14:textId="4AB21CD6" w:rsidR="00CC0D3D" w:rsidRPr="00A96689" w:rsidRDefault="00AE6D5A">
      <w:pPr>
        <w:jc w:val="both"/>
        <w:rPr>
          <w:rFonts w:eastAsia="Times New Roman" w:cs="Times New Roman"/>
        </w:rPr>
      </w:pPr>
      <w:r w:rsidRPr="00A96689">
        <w:rPr>
          <w:rFonts w:eastAsia="Times New Roman" w:cs="Times New Roman"/>
        </w:rPr>
        <w:t>The present cross-sectional study</w:t>
      </w:r>
      <w:r w:rsidR="00A81554" w:rsidRPr="00A96689">
        <w:rPr>
          <w:rFonts w:eastAsia="Times New Roman" w:cs="Times New Roman"/>
        </w:rPr>
        <w:t xml:space="preserve"> included 575 outpatients</w:t>
      </w:r>
      <w:r w:rsidR="00906575" w:rsidRPr="00A96689">
        <w:rPr>
          <w:rFonts w:eastAsia="Times New Roman" w:cs="Times New Roman"/>
        </w:rPr>
        <w:t xml:space="preserve"> </w:t>
      </w:r>
      <w:r w:rsidR="002D661F" w:rsidRPr="00A96689">
        <w:rPr>
          <w:rFonts w:eastAsia="Times New Roman" w:cs="Times New Roman"/>
        </w:rPr>
        <w:t>≥</w:t>
      </w:r>
      <w:r w:rsidR="00A81554" w:rsidRPr="00A96689">
        <w:rPr>
          <w:rFonts w:eastAsia="Times New Roman" w:cs="Times New Roman"/>
        </w:rPr>
        <w:t>65 years who</w:t>
      </w:r>
      <w:r w:rsidRPr="00A96689">
        <w:rPr>
          <w:rFonts w:eastAsia="Times New Roman" w:cs="Times New Roman"/>
        </w:rPr>
        <w:t xml:space="preserve"> were</w:t>
      </w:r>
      <w:r w:rsidR="00A81554" w:rsidRPr="00A96689">
        <w:rPr>
          <w:rFonts w:eastAsia="Times New Roman" w:cs="Times New Roman"/>
        </w:rPr>
        <w:t xml:space="preserve"> admitted to </w:t>
      </w:r>
      <w:r w:rsidRPr="00A96689">
        <w:rPr>
          <w:rFonts w:eastAsia="Times New Roman" w:cs="Times New Roman"/>
        </w:rPr>
        <w:t>one</w:t>
      </w:r>
      <w:r w:rsidR="00A81554" w:rsidRPr="00A96689">
        <w:rPr>
          <w:rFonts w:eastAsia="Times New Roman" w:cs="Times New Roman"/>
        </w:rPr>
        <w:t xml:space="preserve"> geriatric outpatient clinic</w:t>
      </w:r>
      <w:r w:rsidRPr="00A96689">
        <w:rPr>
          <w:rFonts w:eastAsia="Times New Roman" w:cs="Times New Roman"/>
        </w:rPr>
        <w:t xml:space="preserve"> </w:t>
      </w:r>
      <w:r w:rsidR="00CC0D3D" w:rsidRPr="00A96689">
        <w:rPr>
          <w:rFonts w:eastAsia="Times New Roman" w:cs="Times New Roman"/>
        </w:rPr>
        <w:t>for any health issue in Turkey between January 2019 and September 2020, and who did not have</w:t>
      </w:r>
      <w:r w:rsidR="009D3810" w:rsidRPr="00A96689">
        <w:rPr>
          <w:rFonts w:eastAsia="Times New Roman" w:cs="Times New Roman"/>
        </w:rPr>
        <w:t xml:space="preserve"> any of the</w:t>
      </w:r>
      <w:r w:rsidR="00CC0D3D" w:rsidRPr="00A96689">
        <w:rPr>
          <w:rFonts w:eastAsia="Times New Roman" w:cs="Times New Roman"/>
        </w:rPr>
        <w:t xml:space="preserve"> exclusion criteria. </w:t>
      </w:r>
      <w:r w:rsidR="00A81554" w:rsidRPr="00A96689">
        <w:rPr>
          <w:rFonts w:eastAsia="Times New Roman" w:cs="Times New Roman"/>
        </w:rPr>
        <w:t xml:space="preserve">University Ethics committee approved this study (2018/297). </w:t>
      </w:r>
    </w:p>
    <w:p w14:paraId="2C40B2C4" w14:textId="5A427AC6" w:rsidR="008C43AC" w:rsidRPr="00A96689" w:rsidRDefault="00A81554">
      <w:pPr>
        <w:jc w:val="both"/>
        <w:rPr>
          <w:rFonts w:eastAsia="Times New Roman" w:cs="Times New Roman"/>
        </w:rPr>
      </w:pPr>
      <w:r w:rsidRPr="00A96689">
        <w:rPr>
          <w:rFonts w:eastAsia="Times New Roman" w:cs="Times New Roman"/>
        </w:rPr>
        <w:lastRenderedPageBreak/>
        <w:t>Exclusion criteria: Severe and moderate dementia (n =180), patients who can not walk even with an assistive device (n =10), those who have localized muscle strength loss due to stroke (n=21), those who have severe vision and hearing impairment that prevent communication and understanding commands during the examination (n=19), those who refused to participate (n =17), those who have terminal disease (n=6), a life-threatening disease in the last 6 months or those hospitalized for major surgery (n=6) were not included in the study. Finally, 259 of 834 registered older patients were excluded, and 575 were included.</w:t>
      </w:r>
      <w:r w:rsidR="009D3810" w:rsidRPr="00A96689">
        <w:rPr>
          <w:rFonts w:eastAsia="Times New Roman" w:cs="Times New Roman"/>
        </w:rPr>
        <w:t xml:space="preserve"> No patient included in the present study used any medication, </w:t>
      </w:r>
      <w:r w:rsidR="009D3810" w:rsidRPr="00A96689">
        <w:rPr>
          <w:rFonts w:eastAsia="Times New Roman" w:cs="Times New Roman"/>
          <w:lang w:val="en-GB"/>
        </w:rPr>
        <w:t>such as such as </w:t>
      </w:r>
      <w:hyperlink r:id="rId7" w:history="1">
        <w:r w:rsidR="009D3810" w:rsidRPr="00A96689">
          <w:t>methylphenidate</w:t>
        </w:r>
      </w:hyperlink>
      <w:r w:rsidR="009D3810" w:rsidRPr="00A96689">
        <w:rPr>
          <w:rFonts w:eastAsia="Times New Roman" w:cs="Times New Roman"/>
        </w:rPr>
        <w:t xml:space="preserve"> and </w:t>
      </w:r>
      <w:hyperlink r:id="rId8" w:history="1">
        <w:r w:rsidR="009D3810" w:rsidRPr="00A96689">
          <w:t>modafinil</w:t>
        </w:r>
      </w:hyperlink>
      <w:r w:rsidR="009D3810" w:rsidRPr="00A96689">
        <w:rPr>
          <w:rFonts w:eastAsia="Times New Roman" w:cs="Times New Roman"/>
        </w:rPr>
        <w:t xml:space="preserve">, for the treatment of EDS. </w:t>
      </w:r>
      <w:r w:rsidRPr="00A96689">
        <w:rPr>
          <w:rFonts w:eastAsia="Times New Roman" w:cs="Times New Roman"/>
        </w:rPr>
        <w:t xml:space="preserve"> </w:t>
      </w:r>
    </w:p>
    <w:p w14:paraId="4916D5EE" w14:textId="4148361E" w:rsidR="008C43AC" w:rsidRPr="00A96689" w:rsidRDefault="00A81554">
      <w:pPr>
        <w:jc w:val="both"/>
        <w:rPr>
          <w:rFonts w:eastAsia="Times New Roman" w:cs="Times New Roman"/>
        </w:rPr>
      </w:pPr>
      <w:r w:rsidRPr="00A96689">
        <w:rPr>
          <w:rFonts w:eastAsia="Times New Roman" w:cs="Times New Roman"/>
        </w:rPr>
        <w:t xml:space="preserve">All </w:t>
      </w:r>
      <w:r w:rsidR="0069161D" w:rsidRPr="00A96689">
        <w:rPr>
          <w:rFonts w:eastAsia="Times New Roman" w:cs="Times New Roman"/>
        </w:rPr>
        <w:t>patients</w:t>
      </w:r>
      <w:r w:rsidRPr="00A96689">
        <w:rPr>
          <w:rFonts w:eastAsia="Times New Roman" w:cs="Times New Roman"/>
        </w:rPr>
        <w:t xml:space="preserve"> provided written informed consent before the study was initiated. A geriatrician evaluated th</w:t>
      </w:r>
      <w:r w:rsidR="00AE6D5A" w:rsidRPr="00A96689">
        <w:rPr>
          <w:rFonts w:eastAsia="Times New Roman" w:cs="Times New Roman"/>
        </w:rPr>
        <w:t>e patients</w:t>
      </w:r>
      <w:r w:rsidRPr="00A96689">
        <w:rPr>
          <w:rFonts w:eastAsia="Times New Roman" w:cs="Times New Roman"/>
        </w:rPr>
        <w:t xml:space="preserve">, and a gerontologist collected </w:t>
      </w:r>
      <w:r w:rsidR="00AE6D5A" w:rsidRPr="00A96689">
        <w:rPr>
          <w:rFonts w:eastAsia="Times New Roman" w:cs="Times New Roman"/>
        </w:rPr>
        <w:t xml:space="preserve">study </w:t>
      </w:r>
      <w:r w:rsidRPr="00A96689">
        <w:rPr>
          <w:rFonts w:eastAsia="Times New Roman" w:cs="Times New Roman"/>
        </w:rPr>
        <w:t>data.</w:t>
      </w:r>
      <w:r w:rsidR="00C829E5" w:rsidRPr="00A96689">
        <w:rPr>
          <w:rFonts w:eastAsia="Times New Roman" w:cs="Times New Roman"/>
        </w:rPr>
        <w:t xml:space="preserve"> </w:t>
      </w:r>
      <w:bookmarkStart w:id="5" w:name="_gjdgxs" w:colFirst="0" w:colLast="0"/>
      <w:bookmarkEnd w:id="5"/>
      <w:r w:rsidRPr="00A96689">
        <w:rPr>
          <w:rFonts w:eastAsia="Times New Roman" w:cs="Times New Roman"/>
        </w:rPr>
        <w:t>Age, sex, education, marital and living status, number of medications,</w:t>
      </w:r>
      <w:r w:rsidR="00CC4AE7" w:rsidRPr="00A96689">
        <w:rPr>
          <w:rFonts w:eastAsia="Times New Roman" w:cs="Times New Roman"/>
        </w:rPr>
        <w:t xml:space="preserve"> and</w:t>
      </w:r>
      <w:r w:rsidRPr="00A96689">
        <w:rPr>
          <w:rFonts w:eastAsia="Times New Roman" w:cs="Times New Roman"/>
        </w:rPr>
        <w:t xml:space="preserve"> comorbid diseases (hypertension, diabetes mellitus, chronic obstructive pulmonary disease, congestive heart disease, dementia, Parkinson's disease</w:t>
      </w:r>
      <w:r w:rsidR="00083F44" w:rsidRPr="00A96689">
        <w:rPr>
          <w:rFonts w:eastAsia="Times New Roman" w:cs="Times New Roman"/>
        </w:rPr>
        <w:t xml:space="preserve"> (PD)</w:t>
      </w:r>
      <w:r w:rsidRPr="00A96689">
        <w:rPr>
          <w:rFonts w:eastAsia="Times New Roman" w:cs="Times New Roman"/>
        </w:rPr>
        <w:t xml:space="preserve">, osteoarthritis) were recorded. </w:t>
      </w:r>
      <w:r w:rsidR="00AE6D5A" w:rsidRPr="00A96689">
        <w:rPr>
          <w:rFonts w:eastAsia="Times New Roman" w:cs="Times New Roman"/>
        </w:rPr>
        <w:t>Information on n</w:t>
      </w:r>
      <w:r w:rsidRPr="00A96689">
        <w:rPr>
          <w:rFonts w:eastAsia="Times New Roman" w:cs="Times New Roman"/>
        </w:rPr>
        <w:t>octuria </w:t>
      </w:r>
      <w:r w:rsidR="00AE6D5A" w:rsidRPr="00A96689">
        <w:rPr>
          <w:rFonts w:eastAsia="Times New Roman" w:cs="Times New Roman"/>
        </w:rPr>
        <w:t>was collected and nocturia was</w:t>
      </w:r>
      <w:r w:rsidR="00906575" w:rsidRPr="00A96689">
        <w:rPr>
          <w:rFonts w:eastAsia="Times New Roman" w:cs="Times New Roman"/>
        </w:rPr>
        <w:t xml:space="preserve"> </w:t>
      </w:r>
      <w:r w:rsidRPr="00A96689">
        <w:rPr>
          <w:rFonts w:eastAsia="Times New Roman" w:cs="Times New Roman"/>
        </w:rPr>
        <w:t>defined by the International Continence Society</w:t>
      </w:r>
      <w:r w:rsidR="00673FA6" w:rsidRPr="00A96689">
        <w:rPr>
          <w:rFonts w:eastAsia="Times New Roman" w:cs="Times New Roman"/>
        </w:rPr>
        <w:t xml:space="preserve"> (van Kerrebroeck P et al., 2007). </w:t>
      </w:r>
      <w:r w:rsidRPr="00A96689">
        <w:rPr>
          <w:rFonts w:eastAsia="Times New Roman" w:cs="Times New Roman"/>
        </w:rPr>
        <w:t xml:space="preserve">The question, ‘‘Generally, during the past 30 days, how many times do you usually urinate after you have gone to sleep at night until the time you got up in the morning?’’ was used and at least one void per night was accepted as nocturia (Dutoglu et al., 2019). A geriatrician interviewed </w:t>
      </w:r>
      <w:r w:rsidR="004B396D" w:rsidRPr="00A96689">
        <w:rPr>
          <w:rFonts w:eastAsia="Times New Roman" w:cs="Times New Roman"/>
          <w:lang w:val="en-GB"/>
        </w:rPr>
        <w:t xml:space="preserve">family members or people who live with the </w:t>
      </w:r>
      <w:r w:rsidR="0069161D" w:rsidRPr="00A96689">
        <w:rPr>
          <w:rFonts w:eastAsia="Times New Roman" w:cs="Times New Roman"/>
        </w:rPr>
        <w:t>patients</w:t>
      </w:r>
      <w:r w:rsidR="004B396D" w:rsidRPr="00A96689">
        <w:rPr>
          <w:rFonts w:eastAsia="Times New Roman" w:cs="Times New Roman"/>
          <w:lang w:val="en-GB"/>
        </w:rPr>
        <w:t xml:space="preserve"> </w:t>
      </w:r>
      <w:r w:rsidRPr="00A96689">
        <w:rPr>
          <w:rFonts w:eastAsia="Times New Roman" w:cs="Times New Roman"/>
        </w:rPr>
        <w:t xml:space="preserve">to obtain information on course of </w:t>
      </w:r>
      <w:r w:rsidR="0069161D" w:rsidRPr="00A96689">
        <w:rPr>
          <w:rFonts w:eastAsia="Times New Roman" w:cs="Times New Roman"/>
        </w:rPr>
        <w:t xml:space="preserve">patients’ </w:t>
      </w:r>
      <w:r w:rsidRPr="00A96689">
        <w:rPr>
          <w:rFonts w:eastAsia="Times New Roman" w:cs="Times New Roman"/>
        </w:rPr>
        <w:t>cognitive functioning and activities of da</w:t>
      </w:r>
      <w:r w:rsidR="00C829E5" w:rsidRPr="00A96689">
        <w:rPr>
          <w:rFonts w:eastAsia="Times New Roman" w:cs="Times New Roman"/>
        </w:rPr>
        <w:t xml:space="preserve">ily living over the past </w:t>
      </w:r>
      <w:r w:rsidRPr="00A96689">
        <w:rPr>
          <w:rFonts w:eastAsia="Times New Roman" w:cs="Times New Roman"/>
        </w:rPr>
        <w:t xml:space="preserve">years, and neurocognitive assessment was carried out on </w:t>
      </w:r>
      <w:r w:rsidR="0069161D" w:rsidRPr="00A96689">
        <w:rPr>
          <w:rFonts w:eastAsia="Times New Roman" w:cs="Times New Roman"/>
        </w:rPr>
        <w:t>patients</w:t>
      </w:r>
      <w:r w:rsidRPr="00A96689">
        <w:rPr>
          <w:rFonts w:eastAsia="Times New Roman" w:cs="Times New Roman"/>
        </w:rPr>
        <w:t xml:space="preserve"> who </w:t>
      </w:r>
      <w:r w:rsidR="00AE6D5A" w:rsidRPr="00A96689">
        <w:rPr>
          <w:rFonts w:eastAsia="Times New Roman" w:cs="Times New Roman"/>
        </w:rPr>
        <w:t xml:space="preserve">may </w:t>
      </w:r>
      <w:r w:rsidRPr="00A96689">
        <w:rPr>
          <w:rFonts w:eastAsia="Times New Roman" w:cs="Times New Roman"/>
        </w:rPr>
        <w:t xml:space="preserve">have cognitive impairment. Dementia was diagnosed according to the Diagnostic and Statistical Manual of Mental </w:t>
      </w:r>
      <w:r w:rsidR="00E50855" w:rsidRPr="00A96689">
        <w:rPr>
          <w:rFonts w:eastAsia="Times New Roman" w:cs="Times New Roman"/>
        </w:rPr>
        <w:t xml:space="preserve">Disorders—Fifth Edition </w:t>
      </w:r>
      <w:r w:rsidRPr="00A96689">
        <w:rPr>
          <w:rFonts w:eastAsia="Times New Roman" w:cs="Times New Roman"/>
        </w:rPr>
        <w:t xml:space="preserve">major cognitive impairment diagnostic criteria. </w:t>
      </w:r>
      <w:bookmarkStart w:id="6" w:name="_Hlk67760854"/>
      <w:r w:rsidRPr="00A96689">
        <w:rPr>
          <w:rFonts w:eastAsia="Times New Roman" w:cs="Times New Roman"/>
        </w:rPr>
        <w:t xml:space="preserve">All patients with dementia underwent neuroimaging </w:t>
      </w:r>
      <w:r w:rsidR="009D3810" w:rsidRPr="00A96689">
        <w:rPr>
          <w:rFonts w:eastAsia="Times New Roman" w:cs="Times New Roman"/>
        </w:rPr>
        <w:t>investigation</w:t>
      </w:r>
      <w:r w:rsidR="002914DE" w:rsidRPr="00A96689">
        <w:rPr>
          <w:rFonts w:eastAsia="Times New Roman" w:cs="Times New Roman"/>
        </w:rPr>
        <w:t>,</w:t>
      </w:r>
      <w:r w:rsidRPr="00A96689">
        <w:rPr>
          <w:rFonts w:eastAsia="Times New Roman" w:cs="Times New Roman"/>
        </w:rPr>
        <w:t xml:space="preserve"> such as cranial magnetic resonance imaging or computed tomography</w:t>
      </w:r>
      <w:r w:rsidR="002914DE" w:rsidRPr="00A96689">
        <w:rPr>
          <w:rFonts w:eastAsia="Times New Roman" w:cs="Times New Roman"/>
        </w:rPr>
        <w:t>,</w:t>
      </w:r>
      <w:r w:rsidR="004B396D" w:rsidRPr="00A96689">
        <w:rPr>
          <w:rFonts w:eastAsia="Times New Roman" w:cs="Times New Roman"/>
        </w:rPr>
        <w:t xml:space="preserve"> to rule out other causes of cognitive impairment (such as a brain tum</w:t>
      </w:r>
      <w:r w:rsidR="002914DE" w:rsidRPr="00A96689">
        <w:rPr>
          <w:rFonts w:eastAsia="Times New Roman" w:cs="Times New Roman"/>
        </w:rPr>
        <w:t>o</w:t>
      </w:r>
      <w:r w:rsidR="004B396D" w:rsidRPr="00A96689">
        <w:rPr>
          <w:rFonts w:eastAsia="Times New Roman" w:cs="Times New Roman"/>
        </w:rPr>
        <w:t>r).</w:t>
      </w:r>
      <w:bookmarkEnd w:id="6"/>
      <w:r w:rsidRPr="00A96689">
        <w:rPr>
          <w:rFonts w:eastAsia="Times New Roman" w:cs="Times New Roman"/>
        </w:rPr>
        <w:t xml:space="preserve"> Depression was diagnosed using the geriatric depression scale-15 (GDS-15). A score of  ≥5 on the GDS-15 was accepted as depression (Durmaz</w:t>
      </w:r>
      <w:r w:rsidR="00E610E2" w:rsidRPr="00A96689">
        <w:rPr>
          <w:rFonts w:eastAsia="Times New Roman" w:cs="Times New Roman"/>
        </w:rPr>
        <w:t xml:space="preserve"> et al., </w:t>
      </w:r>
      <w:r w:rsidRPr="00A96689">
        <w:rPr>
          <w:rFonts w:eastAsia="Times New Roman" w:cs="Times New Roman"/>
        </w:rPr>
        <w:t>2018). Using five or more drugs was considered polypharmacy (Ates</w:t>
      </w:r>
      <w:r w:rsidR="00515915" w:rsidRPr="00A96689">
        <w:rPr>
          <w:rFonts w:eastAsia="Times New Roman" w:cs="Times New Roman"/>
        </w:rPr>
        <w:t xml:space="preserve"> </w:t>
      </w:r>
      <w:r w:rsidRPr="00A96689">
        <w:rPr>
          <w:rFonts w:eastAsia="Times New Roman" w:cs="Times New Roman"/>
        </w:rPr>
        <w:t>Bulut</w:t>
      </w:r>
      <w:r w:rsidR="00E610E2" w:rsidRPr="00A96689">
        <w:rPr>
          <w:rFonts w:eastAsia="Times New Roman" w:cs="Times New Roman"/>
        </w:rPr>
        <w:t xml:space="preserve"> et al, </w:t>
      </w:r>
      <w:r w:rsidRPr="00A96689">
        <w:rPr>
          <w:rFonts w:eastAsia="Times New Roman" w:cs="Times New Roman"/>
        </w:rPr>
        <w:t xml:space="preserve">2018). </w:t>
      </w:r>
    </w:p>
    <w:p w14:paraId="637EEB6E" w14:textId="77777777" w:rsidR="005960D0" w:rsidRPr="00A96689" w:rsidRDefault="005960D0" w:rsidP="005960D0">
      <w:pPr>
        <w:numPr>
          <w:ilvl w:val="1"/>
          <w:numId w:val="1"/>
        </w:numPr>
        <w:jc w:val="both"/>
        <w:rPr>
          <w:rFonts w:eastAsia="Times New Roman" w:cs="Times New Roman"/>
          <w:b/>
        </w:rPr>
      </w:pPr>
      <w:r w:rsidRPr="00A96689">
        <w:rPr>
          <w:rFonts w:eastAsia="Times New Roman" w:cs="Times New Roman"/>
          <w:b/>
        </w:rPr>
        <w:lastRenderedPageBreak/>
        <w:t>Excessive daytime sleepiness (EDS)</w:t>
      </w:r>
    </w:p>
    <w:p w14:paraId="761DCDC1" w14:textId="1A46AC06" w:rsidR="005960D0" w:rsidRPr="00A96689" w:rsidRDefault="005960D0" w:rsidP="005960D0">
      <w:pPr>
        <w:jc w:val="both"/>
        <w:rPr>
          <w:rFonts w:eastAsia="Times New Roman" w:cs="Times New Roman"/>
        </w:rPr>
      </w:pPr>
      <w:r w:rsidRPr="00A96689">
        <w:rPr>
          <w:rFonts w:eastAsia="Times New Roman" w:cs="Times New Roman"/>
        </w:rPr>
        <w:t xml:space="preserve">EDS was assessed using the Epworth Sleepiness Scale (ESS). The ESS is a 4-point Likert-style questionnaire composed of eight items, in which the subject marks the possibility of napping in routine situations, such as watching television, lying down to rest, and while being a passenger in a vehicle. The scoring for each item varies from 0 (no chance of napping) to 3 (great probability of napping). The total score is based on a scale of 0 to 24. A score of ≥ 11 points indicates EDS. ESS has a high sensitivity (93.5%) and high specificity (100%) with a cut-off score of ≥ 11 for an abnormal level of daytime sleepiness (Izci et al., 2008; Johns, 2000). The </w:t>
      </w:r>
      <w:r w:rsidR="000D40CA" w:rsidRPr="00A96689">
        <w:rPr>
          <w:rFonts w:eastAsia="Times New Roman" w:cs="Times New Roman"/>
        </w:rPr>
        <w:t>informant-completed</w:t>
      </w:r>
      <w:r w:rsidRPr="00A96689">
        <w:rPr>
          <w:rFonts w:eastAsia="Times New Roman" w:cs="Times New Roman"/>
        </w:rPr>
        <w:t xml:space="preserve"> ESS was administered for patients with dementia (Kasanuki et al., 2018).</w:t>
      </w:r>
    </w:p>
    <w:p w14:paraId="0C19E54E" w14:textId="0176CCC5" w:rsidR="008C43AC" w:rsidRPr="00A96689" w:rsidRDefault="00A81554">
      <w:pPr>
        <w:numPr>
          <w:ilvl w:val="1"/>
          <w:numId w:val="1"/>
        </w:numPr>
        <w:pBdr>
          <w:top w:val="nil"/>
          <w:left w:val="nil"/>
          <w:bottom w:val="nil"/>
          <w:right w:val="nil"/>
          <w:between w:val="nil"/>
        </w:pBdr>
        <w:rPr>
          <w:rFonts w:eastAsia="Times New Roman" w:cs="Times New Roman"/>
          <w:b/>
          <w:color w:val="000000"/>
        </w:rPr>
      </w:pPr>
      <w:r w:rsidRPr="00A96689">
        <w:rPr>
          <w:rFonts w:eastAsia="Times New Roman" w:cs="Times New Roman"/>
          <w:b/>
          <w:color w:val="000000"/>
        </w:rPr>
        <w:t xml:space="preserve">Evaluation for Fall and risk of falling </w:t>
      </w:r>
    </w:p>
    <w:p w14:paraId="587E8CA5" w14:textId="70D8C52B" w:rsidR="008C43AC" w:rsidRPr="00A96689" w:rsidRDefault="00A81554">
      <w:pPr>
        <w:jc w:val="both"/>
        <w:rPr>
          <w:rFonts w:eastAsia="Times New Roman" w:cs="Times New Roman"/>
          <w:color w:val="000000"/>
        </w:rPr>
      </w:pPr>
      <w:r w:rsidRPr="00A96689">
        <w:rPr>
          <w:rFonts w:eastAsia="Times New Roman" w:cs="Times New Roman"/>
        </w:rPr>
        <w:t xml:space="preserve">A fall is defined as an event which results in a person coming to rest unintentionally on the ground or other lower level, not due to any intentional movement, a major intrinsic event or extrinsic force. The number of falls in the last year was obtained by asking the patients themselves or their caregivers. To perform the </w:t>
      </w:r>
      <w:r w:rsidR="00312480" w:rsidRPr="00A96689">
        <w:rPr>
          <w:rFonts w:eastAsia="Times New Roman" w:cs="Times New Roman"/>
        </w:rPr>
        <w:t>Timed Up and Go test (TUG)</w:t>
      </w:r>
      <w:r w:rsidRPr="00A96689">
        <w:rPr>
          <w:rFonts w:eastAsia="Times New Roman" w:cs="Times New Roman"/>
        </w:rPr>
        <w:t xml:space="preserve"> as described in the original derivation study, the patient is timed while they rise from an </w:t>
      </w:r>
      <w:r w:rsidR="00EF2959" w:rsidRPr="00A96689">
        <w:rPr>
          <w:rFonts w:eastAsia="Times New Roman" w:cs="Times New Roman"/>
        </w:rPr>
        <w:t>armchair</w:t>
      </w:r>
      <w:r w:rsidRPr="00A96689">
        <w:rPr>
          <w:rFonts w:eastAsia="Times New Roman" w:cs="Times New Roman"/>
        </w:rPr>
        <w:t>, walk at a comfortable and safe pace to a line on the floor 3 m away, turn and walk back to the chair, and sit down again. The subject walks through the test once before being timed to become familiar with the test.</w:t>
      </w:r>
      <w:r w:rsidR="0043745D" w:rsidRPr="00A96689">
        <w:rPr>
          <w:rFonts w:eastAsia="Times New Roman" w:cs="Times New Roman"/>
        </w:rPr>
        <w:t xml:space="preserve"> </w:t>
      </w:r>
      <w:r w:rsidR="000A2089" w:rsidRPr="00A96689">
        <w:rPr>
          <w:rFonts w:eastAsia="Times New Roman" w:cs="Times New Roman"/>
        </w:rPr>
        <w:t>Times</w:t>
      </w:r>
      <w:r w:rsidRPr="00A96689">
        <w:rPr>
          <w:rFonts w:eastAsia="Times New Roman" w:cs="Times New Roman"/>
        </w:rPr>
        <w:t xml:space="preserve"> of</w:t>
      </w:r>
      <w:r w:rsidR="009E3A37" w:rsidRPr="00A96689">
        <w:rPr>
          <w:rFonts w:eastAsia="Times New Roman" w:cs="Times New Roman"/>
        </w:rPr>
        <w:t xml:space="preserve"> </w:t>
      </w:r>
      <w:r w:rsidRPr="00A96689">
        <w:rPr>
          <w:rFonts w:eastAsia="Times New Roman" w:cs="Times New Roman"/>
        </w:rPr>
        <w:t>≥13.5 s</w:t>
      </w:r>
      <w:r w:rsidR="009E3A37" w:rsidRPr="00A96689">
        <w:rPr>
          <w:rFonts w:eastAsia="Times New Roman" w:cs="Times New Roman"/>
        </w:rPr>
        <w:t>econd</w:t>
      </w:r>
      <w:r w:rsidRPr="00A96689">
        <w:rPr>
          <w:rFonts w:eastAsia="Times New Roman" w:cs="Times New Roman"/>
        </w:rPr>
        <w:t xml:space="preserve"> are defined as a risk of falling </w:t>
      </w:r>
      <w:r w:rsidR="00DD5A1A" w:rsidRPr="00A96689">
        <w:rPr>
          <w:rFonts w:eastAsia="Times New Roman" w:cs="Times New Roman"/>
          <w:color w:val="000000"/>
        </w:rPr>
        <w:t xml:space="preserve">(Dokuzlar et al., 2020a; Dokuzlar et al., 2020b; </w:t>
      </w:r>
      <w:r w:rsidRPr="00A96689">
        <w:rPr>
          <w:rFonts w:eastAsia="Times New Roman" w:cs="Times New Roman"/>
        </w:rPr>
        <w:t>Shumway-Cook</w:t>
      </w:r>
      <w:r w:rsidR="00CB0EBD" w:rsidRPr="00A96689">
        <w:rPr>
          <w:rFonts w:eastAsia="Times New Roman" w:cs="Times New Roman"/>
        </w:rPr>
        <w:t xml:space="preserve"> et al., </w:t>
      </w:r>
      <w:r w:rsidRPr="00A96689">
        <w:rPr>
          <w:rFonts w:eastAsia="Times New Roman" w:cs="Times New Roman"/>
        </w:rPr>
        <w:t>2000).</w:t>
      </w:r>
    </w:p>
    <w:p w14:paraId="09E66F56" w14:textId="77777777" w:rsidR="008C43AC" w:rsidRPr="00A96689" w:rsidRDefault="00A81554">
      <w:pPr>
        <w:numPr>
          <w:ilvl w:val="1"/>
          <w:numId w:val="1"/>
        </w:numPr>
        <w:pBdr>
          <w:top w:val="nil"/>
          <w:left w:val="nil"/>
          <w:bottom w:val="nil"/>
          <w:right w:val="nil"/>
          <w:between w:val="nil"/>
        </w:pBdr>
        <w:jc w:val="both"/>
        <w:rPr>
          <w:rFonts w:eastAsia="Times New Roman" w:cs="Times New Roman"/>
          <w:b/>
          <w:color w:val="000000"/>
        </w:rPr>
      </w:pPr>
      <w:r w:rsidRPr="00A96689">
        <w:rPr>
          <w:rFonts w:eastAsia="Times New Roman" w:cs="Times New Roman"/>
          <w:b/>
          <w:color w:val="000000"/>
        </w:rPr>
        <w:t>Dynapenia, Sarcopenia and Frailty</w:t>
      </w:r>
    </w:p>
    <w:p w14:paraId="6849DE1A" w14:textId="05E22C9A" w:rsidR="008C43AC" w:rsidRPr="00A96689" w:rsidRDefault="000A2089">
      <w:pPr>
        <w:jc w:val="both"/>
        <w:rPr>
          <w:rFonts w:eastAsia="Times New Roman" w:cs="Times New Roman"/>
        </w:rPr>
      </w:pPr>
      <w:r w:rsidRPr="00A96689">
        <w:rPr>
          <w:rFonts w:eastAsia="Times New Roman" w:cs="Times New Roman"/>
        </w:rPr>
        <w:t>G</w:t>
      </w:r>
      <w:r w:rsidR="00A81554" w:rsidRPr="00A96689">
        <w:rPr>
          <w:rFonts w:eastAsia="Times New Roman" w:cs="Times New Roman"/>
        </w:rPr>
        <w:t xml:space="preserve">rip strength of the dominant hand </w:t>
      </w:r>
      <w:r w:rsidRPr="00A96689">
        <w:rPr>
          <w:rFonts w:eastAsia="Times New Roman" w:cs="Times New Roman"/>
        </w:rPr>
        <w:t xml:space="preserve">measured </w:t>
      </w:r>
      <w:r w:rsidR="00A81554" w:rsidRPr="00A96689">
        <w:rPr>
          <w:rFonts w:eastAsia="Times New Roman" w:cs="Times New Roman"/>
        </w:rPr>
        <w:t xml:space="preserve">with </w:t>
      </w:r>
      <w:r w:rsidRPr="00A96689">
        <w:rPr>
          <w:rFonts w:eastAsia="Times New Roman" w:cs="Times New Roman"/>
        </w:rPr>
        <w:t>a hand</w:t>
      </w:r>
      <w:r w:rsidR="00CC4AE7" w:rsidRPr="00A96689">
        <w:rPr>
          <w:rFonts w:eastAsia="Times New Roman" w:cs="Times New Roman"/>
        </w:rPr>
        <w:t>-grip</w:t>
      </w:r>
      <w:r w:rsidRPr="00A96689">
        <w:rPr>
          <w:rFonts w:eastAsia="Times New Roman" w:cs="Times New Roman"/>
        </w:rPr>
        <w:t xml:space="preserve"> </w:t>
      </w:r>
      <w:r w:rsidR="00A81554" w:rsidRPr="00A96689">
        <w:rPr>
          <w:rFonts w:eastAsia="Times New Roman" w:cs="Times New Roman"/>
        </w:rPr>
        <w:t xml:space="preserve">dynamometer less than 16 kg in females and 27 kg in males was </w:t>
      </w:r>
      <w:r w:rsidRPr="00A96689">
        <w:rPr>
          <w:rFonts w:eastAsia="Times New Roman" w:cs="Times New Roman"/>
        </w:rPr>
        <w:t>categorized</w:t>
      </w:r>
      <w:r w:rsidR="00A81554" w:rsidRPr="00A96689">
        <w:rPr>
          <w:rFonts w:eastAsia="Times New Roman" w:cs="Times New Roman"/>
        </w:rPr>
        <w:t xml:space="preserve"> as</w:t>
      </w:r>
      <w:r w:rsidRPr="00A96689">
        <w:rPr>
          <w:rFonts w:eastAsia="Times New Roman" w:cs="Times New Roman"/>
        </w:rPr>
        <w:t xml:space="preserve"> having</w:t>
      </w:r>
      <w:r w:rsidR="00AB4987" w:rsidRPr="00A96689">
        <w:rPr>
          <w:rFonts w:eastAsia="Times New Roman" w:cs="Times New Roman"/>
        </w:rPr>
        <w:t xml:space="preserve"> </w:t>
      </w:r>
      <w:r w:rsidR="001E3A5F" w:rsidRPr="00A96689">
        <w:rPr>
          <w:rFonts w:eastAsia="Times New Roman" w:cs="Times New Roman"/>
        </w:rPr>
        <w:t>dynapenia (</w:t>
      </w:r>
      <w:r w:rsidR="001C335E" w:rsidRPr="00A96689">
        <w:rPr>
          <w:rFonts w:eastAsia="Times New Roman" w:cs="Times New Roman"/>
        </w:rPr>
        <w:t>Borges</w:t>
      </w:r>
      <w:r w:rsidR="006A07BF" w:rsidRPr="00A96689">
        <w:rPr>
          <w:rFonts w:eastAsia="Times New Roman" w:cs="Times New Roman"/>
        </w:rPr>
        <w:t xml:space="preserve"> et al., </w:t>
      </w:r>
      <w:r w:rsidR="001E3A5F" w:rsidRPr="00A96689">
        <w:rPr>
          <w:rFonts w:eastAsia="Times New Roman" w:cs="Times New Roman"/>
        </w:rPr>
        <w:t xml:space="preserve">2020). </w:t>
      </w:r>
      <w:r w:rsidR="00A81554" w:rsidRPr="00A96689">
        <w:rPr>
          <w:rFonts w:eastAsia="Times New Roman" w:cs="Times New Roman"/>
        </w:rPr>
        <w:t xml:space="preserve">The SARC-F was developed as a </w:t>
      </w:r>
      <w:r w:rsidRPr="00A96689">
        <w:rPr>
          <w:rFonts w:eastAsia="Times New Roman" w:cs="Times New Roman"/>
        </w:rPr>
        <w:t xml:space="preserve">brief </w:t>
      </w:r>
      <w:r w:rsidR="00A81554" w:rsidRPr="00A96689">
        <w:rPr>
          <w:rFonts w:eastAsia="Times New Roman" w:cs="Times New Roman"/>
        </w:rPr>
        <w:t>diagnostic tool for sarcopenia. The lowest score is zero and highest 10 for the 5-item tool. A score ≥4 is predictive of sarcopenia and poor outcomes (Malmstrom</w:t>
      </w:r>
      <w:r w:rsidR="006A07BF" w:rsidRPr="00A96689">
        <w:rPr>
          <w:rFonts w:eastAsia="Times New Roman" w:cs="Times New Roman"/>
        </w:rPr>
        <w:t xml:space="preserve"> et al., </w:t>
      </w:r>
      <w:r w:rsidR="00A81554" w:rsidRPr="00A96689">
        <w:rPr>
          <w:rFonts w:eastAsia="Times New Roman" w:cs="Times New Roman"/>
        </w:rPr>
        <w:t xml:space="preserve">2016). We used SARC-F </w:t>
      </w:r>
      <w:r w:rsidR="00A81554" w:rsidRPr="00A96689">
        <w:rPr>
          <w:rFonts w:eastAsia="Times New Roman" w:cs="Times New Roman"/>
          <w:color w:val="212121"/>
        </w:rPr>
        <w:t xml:space="preserve">to detect </w:t>
      </w:r>
      <w:r w:rsidR="00A81554" w:rsidRPr="00A96689">
        <w:rPr>
          <w:rFonts w:eastAsia="Times New Roman" w:cs="Times New Roman"/>
        </w:rPr>
        <w:t xml:space="preserve">sarcopenia. Frailty status was defined based on five dimensions of Fried frailty phenotype, including </w:t>
      </w:r>
      <w:r w:rsidR="00A81554" w:rsidRPr="00A96689">
        <w:rPr>
          <w:rFonts w:eastAsia="Times New Roman" w:cs="Times New Roman"/>
        </w:rPr>
        <w:lastRenderedPageBreak/>
        <w:t xml:space="preserve">shrinking, exhaustion, low levels of physical activity, weakness and slowness. </w:t>
      </w:r>
      <w:bookmarkStart w:id="7" w:name="_Hlk67761472"/>
      <w:r w:rsidRPr="00A96689">
        <w:rPr>
          <w:rFonts w:eastAsia="Times New Roman" w:cs="Times New Roman"/>
        </w:rPr>
        <w:t xml:space="preserve">A measurement of </w:t>
      </w:r>
      <w:r w:rsidR="00A81554" w:rsidRPr="00A96689">
        <w:rPr>
          <w:rFonts w:eastAsia="Times New Roman" w:cs="Times New Roman"/>
        </w:rPr>
        <w:t xml:space="preserve">&gt; 4.5 kg </w:t>
      </w:r>
      <w:r w:rsidR="005E3B18" w:rsidRPr="00A96689">
        <w:rPr>
          <w:rFonts w:eastAsia="Times New Roman" w:cs="Times New Roman"/>
        </w:rPr>
        <w:t xml:space="preserve">unintentional weight loss </w:t>
      </w:r>
      <w:r w:rsidR="00A81554" w:rsidRPr="00A96689">
        <w:rPr>
          <w:rFonts w:eastAsia="Times New Roman" w:cs="Times New Roman"/>
        </w:rPr>
        <w:t xml:space="preserve">within the past year was </w:t>
      </w:r>
      <w:r w:rsidRPr="00A96689">
        <w:rPr>
          <w:rFonts w:eastAsia="Times New Roman" w:cs="Times New Roman"/>
        </w:rPr>
        <w:t xml:space="preserve">categorized as </w:t>
      </w:r>
      <w:r w:rsidR="00A81554" w:rsidRPr="00A96689">
        <w:rPr>
          <w:rFonts w:eastAsia="Times New Roman" w:cs="Times New Roman"/>
        </w:rPr>
        <w:t xml:space="preserve">shrinking. </w:t>
      </w:r>
      <w:bookmarkEnd w:id="7"/>
      <w:r w:rsidR="00A81554" w:rsidRPr="00A96689">
        <w:rPr>
          <w:rFonts w:eastAsia="Times New Roman" w:cs="Times New Roman"/>
        </w:rPr>
        <w:t xml:space="preserve">Exhaustion was defined </w:t>
      </w:r>
      <w:r w:rsidRPr="00A96689">
        <w:rPr>
          <w:rFonts w:eastAsia="Times New Roman" w:cs="Times New Roman"/>
        </w:rPr>
        <w:t xml:space="preserve">based on the response to </w:t>
      </w:r>
      <w:r w:rsidR="00A81554" w:rsidRPr="00A96689">
        <w:rPr>
          <w:rFonts w:eastAsia="Times New Roman" w:cs="Times New Roman"/>
        </w:rPr>
        <w:t>the question “Much or m</w:t>
      </w:r>
      <w:r w:rsidRPr="00A96689">
        <w:rPr>
          <w:rFonts w:eastAsia="Times New Roman" w:cs="Times New Roman"/>
        </w:rPr>
        <w:t>o</w:t>
      </w:r>
      <w:r w:rsidR="00A81554" w:rsidRPr="00A96689">
        <w:rPr>
          <w:rFonts w:eastAsia="Times New Roman" w:cs="Times New Roman"/>
        </w:rPr>
        <w:t xml:space="preserve">st of the time, have you felt tired or fatigued without reason during the past 2 weeks?” </w:t>
      </w:r>
      <w:r w:rsidRPr="00A96689">
        <w:rPr>
          <w:rFonts w:eastAsia="Times New Roman" w:cs="Times New Roman"/>
        </w:rPr>
        <w:t>W</w:t>
      </w:r>
      <w:r w:rsidR="00A81554" w:rsidRPr="00A96689">
        <w:rPr>
          <w:rFonts w:eastAsia="Times New Roman" w:cs="Times New Roman"/>
        </w:rPr>
        <w:t>eakness, assessed by grip strength of the dominant hand with</w:t>
      </w:r>
      <w:r w:rsidRPr="00A96689">
        <w:rPr>
          <w:rFonts w:eastAsia="Times New Roman" w:cs="Times New Roman"/>
        </w:rPr>
        <w:t xml:space="preserve"> a han</w:t>
      </w:r>
      <w:r w:rsidR="00CC4AE7" w:rsidRPr="00A96689">
        <w:rPr>
          <w:rFonts w:eastAsia="Times New Roman" w:cs="Times New Roman"/>
        </w:rPr>
        <w:t>d-grip</w:t>
      </w:r>
      <w:r w:rsidR="00A81554" w:rsidRPr="00A96689">
        <w:rPr>
          <w:rFonts w:eastAsia="Times New Roman" w:cs="Times New Roman"/>
        </w:rPr>
        <w:t xml:space="preserve"> dynamometer, was accepted to be less than or equal to the cut-off points according to sex and body mass. Low levels of activity was considered positive in patients who had no p</w:t>
      </w:r>
      <w:r w:rsidRPr="00A96689">
        <w:rPr>
          <w:rFonts w:eastAsia="Times New Roman" w:cs="Times New Roman"/>
        </w:rPr>
        <w:t>hysical</w:t>
      </w:r>
      <w:r w:rsidR="00A81554" w:rsidRPr="00A96689">
        <w:rPr>
          <w:rFonts w:eastAsia="Times New Roman" w:cs="Times New Roman"/>
        </w:rPr>
        <w:t xml:space="preserve"> activity, spent most of the time sitting, or rarely had short walks in the past year. Low gait speed was evaluated by 4-m walking test, and if it was less than or equal to the cut-off points according to sex and height points, it was regarded as slowness. </w:t>
      </w:r>
      <w:r w:rsidRPr="00A96689">
        <w:rPr>
          <w:rFonts w:eastAsia="Times New Roman" w:cs="Times New Roman"/>
        </w:rPr>
        <w:t>Older adults reporting</w:t>
      </w:r>
      <w:r w:rsidR="00E64179" w:rsidRPr="00A96689">
        <w:rPr>
          <w:rFonts w:eastAsia="Times New Roman" w:cs="Times New Roman"/>
        </w:rPr>
        <w:t xml:space="preserve"> </w:t>
      </w:r>
      <w:r w:rsidR="00A81554" w:rsidRPr="00A96689">
        <w:rPr>
          <w:rFonts w:eastAsia="Times New Roman" w:cs="Times New Roman"/>
          <w:u w:val="single"/>
        </w:rPr>
        <w:t>&gt;</w:t>
      </w:r>
      <w:r w:rsidR="00A81554" w:rsidRPr="00A96689">
        <w:rPr>
          <w:rFonts w:eastAsia="Times New Roman" w:cs="Times New Roman"/>
        </w:rPr>
        <w:t>3 frail</w:t>
      </w:r>
      <w:r w:rsidR="00E934F0" w:rsidRPr="00A96689">
        <w:rPr>
          <w:rFonts w:eastAsia="Times New Roman" w:cs="Times New Roman"/>
        </w:rPr>
        <w:t xml:space="preserve"> </w:t>
      </w:r>
      <w:r w:rsidRPr="00A96689">
        <w:rPr>
          <w:rFonts w:eastAsia="Times New Roman" w:cs="Times New Roman"/>
        </w:rPr>
        <w:t>categorizes</w:t>
      </w:r>
      <w:r w:rsidR="00A81554" w:rsidRPr="00A96689">
        <w:rPr>
          <w:rFonts w:eastAsia="Times New Roman" w:cs="Times New Roman"/>
        </w:rPr>
        <w:t xml:space="preserve"> was accepted as frail (</w:t>
      </w:r>
      <w:r w:rsidRPr="00A96689">
        <w:rPr>
          <w:rFonts w:eastAsia="Times New Roman" w:cs="Times New Roman"/>
        </w:rPr>
        <w:t xml:space="preserve">this measure of frailty has been reported in detail in </w:t>
      </w:r>
      <w:r w:rsidR="00A81554" w:rsidRPr="00A96689">
        <w:rPr>
          <w:rFonts w:eastAsia="Times New Roman" w:cs="Times New Roman"/>
        </w:rPr>
        <w:t>previous studies)</w:t>
      </w:r>
      <w:r w:rsidR="00E64179" w:rsidRPr="00A96689">
        <w:rPr>
          <w:rFonts w:eastAsia="Times New Roman" w:cs="Times New Roman"/>
        </w:rPr>
        <w:t xml:space="preserve"> </w:t>
      </w:r>
      <w:r w:rsidR="00A81554" w:rsidRPr="00A96689">
        <w:rPr>
          <w:rFonts w:eastAsia="Times New Roman" w:cs="Times New Roman"/>
        </w:rPr>
        <w:t>(Ates</w:t>
      </w:r>
      <w:r w:rsidR="00E934F0" w:rsidRPr="00A96689">
        <w:rPr>
          <w:rFonts w:eastAsia="Times New Roman" w:cs="Times New Roman"/>
        </w:rPr>
        <w:t xml:space="preserve"> </w:t>
      </w:r>
      <w:r w:rsidR="00A81554" w:rsidRPr="00A96689">
        <w:rPr>
          <w:rFonts w:eastAsia="Times New Roman" w:cs="Times New Roman"/>
        </w:rPr>
        <w:t>Bulut</w:t>
      </w:r>
      <w:r w:rsidR="00191406" w:rsidRPr="00A96689">
        <w:rPr>
          <w:rFonts w:eastAsia="Times New Roman" w:cs="Times New Roman"/>
        </w:rPr>
        <w:t xml:space="preserve"> et al., </w:t>
      </w:r>
      <w:r w:rsidR="00A81554" w:rsidRPr="00A96689">
        <w:rPr>
          <w:rFonts w:eastAsia="Times New Roman" w:cs="Times New Roman"/>
        </w:rPr>
        <w:t>2018).</w:t>
      </w:r>
    </w:p>
    <w:p w14:paraId="61A9FCEA" w14:textId="77777777" w:rsidR="008C43AC" w:rsidRPr="00A96689" w:rsidRDefault="00A81554">
      <w:pPr>
        <w:numPr>
          <w:ilvl w:val="1"/>
          <w:numId w:val="1"/>
        </w:numPr>
        <w:pBdr>
          <w:top w:val="nil"/>
          <w:left w:val="nil"/>
          <w:bottom w:val="nil"/>
          <w:right w:val="nil"/>
          <w:between w:val="nil"/>
        </w:pBdr>
        <w:jc w:val="both"/>
        <w:rPr>
          <w:rFonts w:eastAsia="Times New Roman" w:cs="Times New Roman"/>
          <w:b/>
          <w:color w:val="000000"/>
        </w:rPr>
      </w:pPr>
      <w:r w:rsidRPr="00A96689">
        <w:rPr>
          <w:rFonts w:eastAsia="Times New Roman" w:cs="Times New Roman"/>
          <w:b/>
          <w:color w:val="000000"/>
        </w:rPr>
        <w:t>Statistical analysis</w:t>
      </w:r>
    </w:p>
    <w:p w14:paraId="51587F8A" w14:textId="3B46AE0A" w:rsidR="008C43AC" w:rsidRPr="00A96689" w:rsidRDefault="00A81554">
      <w:pPr>
        <w:jc w:val="both"/>
        <w:rPr>
          <w:rFonts w:eastAsia="Times New Roman" w:cs="Times New Roman"/>
        </w:rPr>
      </w:pPr>
      <w:bookmarkStart w:id="8" w:name="_30j0zll" w:colFirst="0" w:colLast="0"/>
      <w:bookmarkEnd w:id="8"/>
      <w:r w:rsidRPr="00A96689">
        <w:rPr>
          <w:rFonts w:eastAsia="Times New Roman" w:cs="Times New Roman"/>
        </w:rPr>
        <w:t xml:space="preserve">Descriptive statistics for patients’ characteristics and pre-existing chronic disease conditions were calculated in the overall population as well as by daytime sleepiness </w:t>
      </w:r>
      <w:r w:rsidR="00DC4F52" w:rsidRPr="00A96689">
        <w:rPr>
          <w:rFonts w:eastAsia="Times New Roman" w:cs="Times New Roman"/>
        </w:rPr>
        <w:t>status</w:t>
      </w:r>
      <w:r w:rsidRPr="00A96689">
        <w:rPr>
          <w:rFonts w:eastAsia="Times New Roman" w:cs="Times New Roman"/>
        </w:rPr>
        <w:t>. Mean and standard deviation were summarized and compared using t-test for age, and proportions were summarized and compared using chi square tests for the rest of the categorical variables. We estimated associations of daytime sleepiness with a range of outcomes of interests, including falls last year (yes/no), number of falls last year (continuous), TUG based fall risk (yes/no), sarcopenia (yes/no), frailty (yes/no), and dynapenia (yes/no). The mean number of falls last year were presented as mean and range by whether daytime sleepiness was reported, and the rest of the outcomes were presented as frequencies and proportions by whether daytime sleepiness were reported. Univariate, age-adjusted and multivariable-adjusted regressions were carried out to examine the association using Poisson regression (IRR and 95% CI) for number of falls last year due to the nature of count data and using logic regression (OR and 95% CI) for other outcomes.</w:t>
      </w:r>
      <w:r w:rsidR="00D420F5" w:rsidRPr="00A96689">
        <w:rPr>
          <w:rFonts w:eastAsia="Times New Roman" w:cs="Times New Roman"/>
        </w:rPr>
        <w:t xml:space="preserve"> </w:t>
      </w:r>
      <w:r w:rsidR="00E01A55" w:rsidRPr="00A96689">
        <w:rPr>
          <w:rFonts w:eastAsia="Times New Roman" w:cs="Times New Roman"/>
          <w:lang w:val="en-GB"/>
        </w:rPr>
        <w:t xml:space="preserve">Because previous studies showed that the effect of EDS on frailty was different in males and females, we </w:t>
      </w:r>
      <w:r w:rsidR="009D3810" w:rsidRPr="00A96689">
        <w:rPr>
          <w:rFonts w:eastAsia="Times New Roman" w:cs="Times New Roman"/>
          <w:lang w:val="en-GB"/>
        </w:rPr>
        <w:t xml:space="preserve">carried out </w:t>
      </w:r>
      <w:r w:rsidR="00E01A55" w:rsidRPr="00A96689">
        <w:rPr>
          <w:rFonts w:eastAsia="Times New Roman" w:cs="Times New Roman"/>
          <w:lang w:val="en-GB"/>
        </w:rPr>
        <w:t>sex specific association of EDS with each</w:t>
      </w:r>
      <w:r w:rsidR="009D3810" w:rsidRPr="00A96689">
        <w:rPr>
          <w:rFonts w:eastAsia="Times New Roman" w:cs="Times New Roman"/>
          <w:lang w:val="en-GB"/>
        </w:rPr>
        <w:t xml:space="preserve"> </w:t>
      </w:r>
      <w:r w:rsidR="00E01A55" w:rsidRPr="00A96689">
        <w:rPr>
          <w:rFonts w:eastAsia="Times New Roman" w:cs="Times New Roman"/>
          <w:lang w:val="en-GB"/>
        </w:rPr>
        <w:t>outcome (</w:t>
      </w:r>
      <w:r w:rsidR="00E01A55" w:rsidRPr="00A96689">
        <w:rPr>
          <w:rFonts w:eastAsia="Times New Roman" w:cs="Times New Roman"/>
        </w:rPr>
        <w:t xml:space="preserve">Supplementary Table 1). </w:t>
      </w:r>
      <w:r w:rsidRPr="00A96689">
        <w:rPr>
          <w:rFonts w:eastAsia="Times New Roman" w:cs="Times New Roman"/>
        </w:rPr>
        <w:t xml:space="preserve">This is a post hoc analyses and findings should be interpreted for exploratory purpose only. The statistical analysis was conducted with Stata 16.0 </w:t>
      </w:r>
      <w:r w:rsidRPr="00A96689">
        <w:rPr>
          <w:rFonts w:eastAsia="Times New Roman" w:cs="Times New Roman"/>
        </w:rPr>
        <w:lastRenderedPageBreak/>
        <w:t xml:space="preserve">(Stata Corp, LP, College station, Texas). The sample size needed was calculated to be 197 patients with an acceptable error of 5% and a 95% confidence level.  </w:t>
      </w:r>
    </w:p>
    <w:p w14:paraId="4B21A580" w14:textId="77777777" w:rsidR="008C43AC" w:rsidRPr="00A96689" w:rsidRDefault="00A81554">
      <w:pPr>
        <w:numPr>
          <w:ilvl w:val="0"/>
          <w:numId w:val="1"/>
        </w:numPr>
        <w:pBdr>
          <w:top w:val="nil"/>
          <w:left w:val="nil"/>
          <w:bottom w:val="nil"/>
          <w:right w:val="nil"/>
          <w:between w:val="nil"/>
        </w:pBdr>
        <w:jc w:val="both"/>
        <w:rPr>
          <w:rFonts w:eastAsia="Times New Roman" w:cs="Times New Roman"/>
          <w:b/>
          <w:color w:val="000000"/>
        </w:rPr>
      </w:pPr>
      <w:r w:rsidRPr="00A96689">
        <w:rPr>
          <w:rFonts w:eastAsia="Times New Roman" w:cs="Times New Roman"/>
          <w:b/>
          <w:color w:val="000000"/>
        </w:rPr>
        <w:t>RESULTS</w:t>
      </w:r>
    </w:p>
    <w:p w14:paraId="64D70D91" w14:textId="54B0976E" w:rsidR="008C43AC" w:rsidRPr="00A96689" w:rsidRDefault="00A81554">
      <w:pPr>
        <w:jc w:val="both"/>
        <w:rPr>
          <w:rFonts w:eastAsia="Times New Roman" w:cs="Times New Roman"/>
        </w:rPr>
      </w:pPr>
      <w:r w:rsidRPr="00A96689">
        <w:rPr>
          <w:rFonts w:eastAsia="Times New Roman" w:cs="Times New Roman"/>
        </w:rPr>
        <w:t>A total of 575 outpatients (</w:t>
      </w:r>
      <w:r w:rsidR="00E42D55" w:rsidRPr="00A96689">
        <w:rPr>
          <w:rFonts w:eastAsia="Times New Roman" w:cs="Times New Roman"/>
        </w:rPr>
        <w:t>mean age 78.7±7.5 years</w:t>
      </w:r>
      <w:r w:rsidRPr="00A96689">
        <w:rPr>
          <w:rFonts w:eastAsia="Times New Roman" w:cs="Times New Roman"/>
        </w:rPr>
        <w:t>) provided completed data on sociodemographic characteristics, daytime sleepiness and data on outcomes of interests (falls last year, number of falls last year, TUG based fall risk, sarcopenia, frailty, and dynapenia</w:t>
      </w:r>
      <w:r w:rsidR="00C038EF" w:rsidRPr="00A96689">
        <w:rPr>
          <w:rFonts w:eastAsia="Times New Roman" w:cs="Times New Roman"/>
        </w:rPr>
        <w:t>)</w:t>
      </w:r>
      <w:r w:rsidRPr="00A96689">
        <w:rPr>
          <w:rFonts w:eastAsia="Times New Roman" w:cs="Times New Roman"/>
        </w:rPr>
        <w:t xml:space="preserve">. The prevalence of EDS was 19.8%. The majority of the </w:t>
      </w:r>
      <w:r w:rsidR="0069161D" w:rsidRPr="00A96689">
        <w:rPr>
          <w:rFonts w:eastAsia="Times New Roman" w:cs="Times New Roman"/>
        </w:rPr>
        <w:t>patients</w:t>
      </w:r>
      <w:r w:rsidRPr="00A96689">
        <w:rPr>
          <w:rFonts w:eastAsia="Times New Roman" w:cs="Times New Roman"/>
        </w:rPr>
        <w:t xml:space="preserve"> were female (70.4%), living with </w:t>
      </w:r>
      <w:r w:rsidR="00C038EF" w:rsidRPr="00A96689">
        <w:rPr>
          <w:rFonts w:eastAsia="Times New Roman" w:cs="Times New Roman"/>
        </w:rPr>
        <w:t xml:space="preserve">a </w:t>
      </w:r>
      <w:r w:rsidRPr="00A96689">
        <w:rPr>
          <w:rFonts w:eastAsia="Times New Roman" w:cs="Times New Roman"/>
        </w:rPr>
        <w:t xml:space="preserve">partner (46.3%) or family (36.9%), married (46.4%) or widowed (36.0%). Despite </w:t>
      </w:r>
      <w:r w:rsidR="00C038EF" w:rsidRPr="00A96689">
        <w:rPr>
          <w:rFonts w:eastAsia="Times New Roman" w:cs="Times New Roman"/>
        </w:rPr>
        <w:t xml:space="preserve">the </w:t>
      </w:r>
      <w:r w:rsidRPr="00A96689">
        <w:rPr>
          <w:rFonts w:eastAsia="Times New Roman" w:cs="Times New Roman"/>
        </w:rPr>
        <w:t xml:space="preserve">majority of </w:t>
      </w:r>
      <w:r w:rsidR="00C038EF" w:rsidRPr="00A96689">
        <w:rPr>
          <w:rFonts w:eastAsia="Times New Roman" w:cs="Times New Roman"/>
        </w:rPr>
        <w:t>patients reporting</w:t>
      </w:r>
      <w:r w:rsidRPr="00A96689">
        <w:rPr>
          <w:rFonts w:eastAsia="Times New Roman" w:cs="Times New Roman"/>
        </w:rPr>
        <w:t xml:space="preserve"> polypharmacy (65.2%), most </w:t>
      </w:r>
      <w:r w:rsidR="00C038EF" w:rsidRPr="00A96689">
        <w:rPr>
          <w:rFonts w:eastAsia="Times New Roman" w:cs="Times New Roman"/>
        </w:rPr>
        <w:t>were</w:t>
      </w:r>
      <w:r w:rsidRPr="00A96689">
        <w:rPr>
          <w:rFonts w:eastAsia="Times New Roman" w:cs="Times New Roman"/>
        </w:rPr>
        <w:t xml:space="preserve"> free of osteoarthritis (87.4%), </w:t>
      </w:r>
      <w:r w:rsidR="00083F44" w:rsidRPr="00A96689">
        <w:rPr>
          <w:rFonts w:eastAsia="Times New Roman" w:cs="Times New Roman"/>
        </w:rPr>
        <w:t>PD</w:t>
      </w:r>
      <w:r w:rsidRPr="00A96689">
        <w:rPr>
          <w:rFonts w:eastAsia="Times New Roman" w:cs="Times New Roman"/>
        </w:rPr>
        <w:t xml:space="preserve"> (91.3%), depression (66.1%), and dementia (73.9). Notably, age, sex, polypharmacy, </w:t>
      </w:r>
      <w:r w:rsidR="00083F44" w:rsidRPr="00A96689">
        <w:rPr>
          <w:rFonts w:eastAsia="Times New Roman" w:cs="Times New Roman"/>
        </w:rPr>
        <w:t>PD</w:t>
      </w:r>
      <w:r w:rsidRPr="00A96689">
        <w:rPr>
          <w:rFonts w:eastAsia="Times New Roman" w:cs="Times New Roman"/>
        </w:rPr>
        <w:t xml:space="preserve"> and dementia differed by whether daytime sleepiness was reported (Table 1).</w:t>
      </w:r>
    </w:p>
    <w:p w14:paraId="2AD1E6C6" w14:textId="77777777" w:rsidR="00F955EC" w:rsidRPr="00A96689" w:rsidRDefault="00F955EC">
      <w:pPr>
        <w:jc w:val="both"/>
        <w:rPr>
          <w:rFonts w:eastAsia="Times New Roman" w:cs="Times New Roman"/>
        </w:rPr>
      </w:pPr>
    </w:p>
    <w:tbl>
      <w:tblPr>
        <w:tblStyle w:val="a"/>
        <w:tblW w:w="7495" w:type="dxa"/>
        <w:tblInd w:w="-284" w:type="dxa"/>
        <w:tblLayout w:type="fixed"/>
        <w:tblLook w:val="0420" w:firstRow="1" w:lastRow="0" w:firstColumn="0" w:lastColumn="0" w:noHBand="0" w:noVBand="1"/>
      </w:tblPr>
      <w:tblGrid>
        <w:gridCol w:w="2127"/>
        <w:gridCol w:w="1409"/>
        <w:gridCol w:w="1555"/>
        <w:gridCol w:w="1417"/>
        <w:gridCol w:w="987"/>
      </w:tblGrid>
      <w:tr w:rsidR="008C43AC" w:rsidRPr="00A96689" w14:paraId="525DA90C" w14:textId="77777777" w:rsidTr="00DB6816">
        <w:trPr>
          <w:trHeight w:val="300"/>
        </w:trPr>
        <w:tc>
          <w:tcPr>
            <w:tcW w:w="7495" w:type="dxa"/>
            <w:gridSpan w:val="5"/>
            <w:tcBorders>
              <w:bottom w:val="single" w:sz="4" w:space="0" w:color="000000"/>
            </w:tcBorders>
            <w:shd w:val="clear" w:color="auto" w:fill="auto"/>
            <w:vAlign w:val="bottom"/>
          </w:tcPr>
          <w:p w14:paraId="29306D5C" w14:textId="1D662B6E" w:rsidR="008C43AC" w:rsidRPr="00A96689" w:rsidRDefault="008455F1" w:rsidP="0026413A">
            <w:pPr>
              <w:spacing w:after="0" w:line="240" w:lineRule="auto"/>
              <w:jc w:val="center"/>
              <w:rPr>
                <w:rFonts w:cs="Times New Roman"/>
                <w:b/>
                <w:color w:val="000000"/>
              </w:rPr>
            </w:pPr>
            <w:r w:rsidRPr="00A96689">
              <w:rPr>
                <w:rFonts w:cs="Times New Roman"/>
                <w:b/>
                <w:color w:val="000000"/>
              </w:rPr>
              <w:t xml:space="preserve">Table 1: </w:t>
            </w:r>
            <w:r w:rsidR="009D3D50" w:rsidRPr="00A96689">
              <w:rPr>
                <w:rFonts w:cs="Times New Roman"/>
                <w:b/>
                <w:color w:val="000000"/>
              </w:rPr>
              <w:t xml:space="preserve">Patients’ </w:t>
            </w:r>
            <w:r w:rsidRPr="00A96689">
              <w:rPr>
                <w:rFonts w:cs="Times New Roman"/>
                <w:b/>
                <w:color w:val="000000"/>
              </w:rPr>
              <w:t>C</w:t>
            </w:r>
            <w:r w:rsidR="00A81554" w:rsidRPr="00A96689">
              <w:rPr>
                <w:rFonts w:cs="Times New Roman"/>
                <w:b/>
                <w:color w:val="000000"/>
              </w:rPr>
              <w:t>haracteristics</w:t>
            </w:r>
          </w:p>
          <w:p w14:paraId="41E03BA9" w14:textId="77777777" w:rsidR="008455F1" w:rsidRPr="00A96689" w:rsidRDefault="008455F1" w:rsidP="0026413A">
            <w:pPr>
              <w:spacing w:after="0" w:line="240" w:lineRule="auto"/>
              <w:jc w:val="center"/>
              <w:rPr>
                <w:rFonts w:eastAsia="Times New Roman" w:cs="Times New Roman"/>
                <w:b/>
              </w:rPr>
            </w:pPr>
          </w:p>
        </w:tc>
      </w:tr>
      <w:tr w:rsidR="008C43AC" w:rsidRPr="00A96689" w14:paraId="25D8598E" w14:textId="77777777" w:rsidTr="00DB6816">
        <w:trPr>
          <w:trHeight w:val="300"/>
        </w:trPr>
        <w:tc>
          <w:tcPr>
            <w:tcW w:w="2127" w:type="dxa"/>
            <w:tcBorders>
              <w:top w:val="single" w:sz="4" w:space="0" w:color="000000"/>
            </w:tcBorders>
            <w:shd w:val="clear" w:color="auto" w:fill="auto"/>
            <w:vAlign w:val="bottom"/>
          </w:tcPr>
          <w:p w14:paraId="6E2B055A" w14:textId="77777777" w:rsidR="008C43AC" w:rsidRPr="00A96689" w:rsidRDefault="008C43AC">
            <w:pPr>
              <w:spacing w:after="0" w:line="240" w:lineRule="auto"/>
              <w:rPr>
                <w:rFonts w:cs="Times New Roman"/>
                <w:color w:val="000000"/>
              </w:rPr>
            </w:pPr>
          </w:p>
        </w:tc>
        <w:tc>
          <w:tcPr>
            <w:tcW w:w="1409" w:type="dxa"/>
            <w:vMerge w:val="restart"/>
            <w:tcBorders>
              <w:top w:val="single" w:sz="4" w:space="0" w:color="000000"/>
            </w:tcBorders>
            <w:shd w:val="clear" w:color="auto" w:fill="auto"/>
            <w:vAlign w:val="bottom"/>
          </w:tcPr>
          <w:p w14:paraId="03793F4A" w14:textId="77777777" w:rsidR="008C43AC" w:rsidRPr="00A96689" w:rsidRDefault="00A81554">
            <w:pPr>
              <w:spacing w:after="0" w:line="240" w:lineRule="auto"/>
              <w:jc w:val="center"/>
              <w:rPr>
                <w:rFonts w:cs="Times New Roman"/>
                <w:color w:val="000000"/>
              </w:rPr>
            </w:pPr>
            <w:r w:rsidRPr="00A96689">
              <w:rPr>
                <w:rFonts w:cs="Times New Roman"/>
                <w:color w:val="000000"/>
              </w:rPr>
              <w:t>Total</w:t>
            </w:r>
          </w:p>
        </w:tc>
        <w:tc>
          <w:tcPr>
            <w:tcW w:w="2972" w:type="dxa"/>
            <w:gridSpan w:val="2"/>
            <w:tcBorders>
              <w:top w:val="single" w:sz="4" w:space="0" w:color="000000"/>
            </w:tcBorders>
            <w:shd w:val="clear" w:color="auto" w:fill="auto"/>
            <w:vAlign w:val="bottom"/>
          </w:tcPr>
          <w:p w14:paraId="5D7DBB72" w14:textId="1ACD644C" w:rsidR="008C43AC" w:rsidRPr="00A96689" w:rsidRDefault="005A6706" w:rsidP="005A6706">
            <w:pPr>
              <w:spacing w:after="0" w:line="240" w:lineRule="auto"/>
              <w:rPr>
                <w:rFonts w:cs="Times New Roman"/>
                <w:color w:val="000000"/>
              </w:rPr>
            </w:pPr>
            <w:r w:rsidRPr="00A96689">
              <w:rPr>
                <w:rFonts w:cs="Times New Roman"/>
                <w:color w:val="000000"/>
              </w:rPr>
              <w:t>Excessive Daytime Sleepiness</w:t>
            </w:r>
          </w:p>
        </w:tc>
        <w:tc>
          <w:tcPr>
            <w:tcW w:w="987" w:type="dxa"/>
            <w:tcBorders>
              <w:top w:val="single" w:sz="4" w:space="0" w:color="000000"/>
            </w:tcBorders>
            <w:shd w:val="clear" w:color="auto" w:fill="auto"/>
            <w:vAlign w:val="bottom"/>
          </w:tcPr>
          <w:p w14:paraId="3B8CDBC8" w14:textId="77777777" w:rsidR="008C43AC" w:rsidRPr="00A96689" w:rsidRDefault="00A81554">
            <w:pPr>
              <w:spacing w:after="0" w:line="240" w:lineRule="auto"/>
              <w:jc w:val="center"/>
              <w:rPr>
                <w:rFonts w:cs="Times New Roman"/>
                <w:color w:val="000000"/>
              </w:rPr>
            </w:pPr>
            <w:r w:rsidRPr="00A96689">
              <w:rPr>
                <w:rFonts w:cs="Times New Roman"/>
                <w:color w:val="000000"/>
              </w:rPr>
              <w:t>P-value</w:t>
            </w:r>
          </w:p>
        </w:tc>
      </w:tr>
      <w:tr w:rsidR="008C43AC" w:rsidRPr="00A96689" w14:paraId="14DB7D7B" w14:textId="77777777" w:rsidTr="00DB6816">
        <w:trPr>
          <w:trHeight w:val="300"/>
        </w:trPr>
        <w:tc>
          <w:tcPr>
            <w:tcW w:w="2127" w:type="dxa"/>
            <w:tcBorders>
              <w:bottom w:val="single" w:sz="4" w:space="0" w:color="000000"/>
            </w:tcBorders>
            <w:shd w:val="clear" w:color="auto" w:fill="auto"/>
            <w:vAlign w:val="bottom"/>
          </w:tcPr>
          <w:p w14:paraId="77F06484" w14:textId="77777777" w:rsidR="008C43AC" w:rsidRPr="00A96689" w:rsidRDefault="00A81554">
            <w:pPr>
              <w:spacing w:after="0" w:line="240" w:lineRule="auto"/>
              <w:rPr>
                <w:rFonts w:cs="Times New Roman"/>
                <w:color w:val="000000"/>
              </w:rPr>
            </w:pPr>
            <w:r w:rsidRPr="00A96689">
              <w:rPr>
                <w:rFonts w:cs="Times New Roman"/>
                <w:color w:val="000000"/>
              </w:rPr>
              <w:t>Characteristics</w:t>
            </w:r>
          </w:p>
        </w:tc>
        <w:tc>
          <w:tcPr>
            <w:tcW w:w="1409" w:type="dxa"/>
            <w:vMerge/>
            <w:tcBorders>
              <w:top w:val="single" w:sz="4" w:space="0" w:color="000000"/>
            </w:tcBorders>
            <w:shd w:val="clear" w:color="auto" w:fill="auto"/>
            <w:vAlign w:val="bottom"/>
          </w:tcPr>
          <w:p w14:paraId="5C4D042D" w14:textId="77777777" w:rsidR="008C43AC" w:rsidRPr="00A96689" w:rsidRDefault="008C43AC">
            <w:pPr>
              <w:widowControl w:val="0"/>
              <w:pBdr>
                <w:top w:val="nil"/>
                <w:left w:val="nil"/>
                <w:bottom w:val="nil"/>
                <w:right w:val="nil"/>
                <w:between w:val="nil"/>
              </w:pBdr>
              <w:spacing w:after="0" w:line="276" w:lineRule="auto"/>
              <w:rPr>
                <w:rFonts w:cs="Times New Roman"/>
                <w:color w:val="000000"/>
              </w:rPr>
            </w:pPr>
          </w:p>
        </w:tc>
        <w:tc>
          <w:tcPr>
            <w:tcW w:w="1555" w:type="dxa"/>
            <w:tcBorders>
              <w:bottom w:val="single" w:sz="4" w:space="0" w:color="000000"/>
            </w:tcBorders>
            <w:shd w:val="clear" w:color="auto" w:fill="auto"/>
            <w:vAlign w:val="bottom"/>
          </w:tcPr>
          <w:p w14:paraId="11A625AA" w14:textId="77777777" w:rsidR="008C43AC" w:rsidRPr="00A96689" w:rsidRDefault="00A81554">
            <w:pPr>
              <w:spacing w:after="0" w:line="240" w:lineRule="auto"/>
              <w:jc w:val="center"/>
              <w:rPr>
                <w:rFonts w:cs="Times New Roman"/>
                <w:color w:val="000000"/>
              </w:rPr>
            </w:pPr>
            <w:r w:rsidRPr="00A96689">
              <w:rPr>
                <w:rFonts w:cs="Times New Roman"/>
                <w:color w:val="000000"/>
              </w:rPr>
              <w:t>No</w:t>
            </w:r>
          </w:p>
        </w:tc>
        <w:tc>
          <w:tcPr>
            <w:tcW w:w="1417" w:type="dxa"/>
            <w:tcBorders>
              <w:bottom w:val="single" w:sz="4" w:space="0" w:color="000000"/>
            </w:tcBorders>
            <w:shd w:val="clear" w:color="auto" w:fill="auto"/>
            <w:vAlign w:val="bottom"/>
          </w:tcPr>
          <w:p w14:paraId="2DFFB324" w14:textId="77777777" w:rsidR="008C43AC" w:rsidRPr="00A96689" w:rsidRDefault="00A81554">
            <w:pPr>
              <w:spacing w:after="0" w:line="240" w:lineRule="auto"/>
              <w:jc w:val="center"/>
              <w:rPr>
                <w:rFonts w:cs="Times New Roman"/>
                <w:color w:val="000000"/>
              </w:rPr>
            </w:pPr>
            <w:r w:rsidRPr="00A96689">
              <w:rPr>
                <w:rFonts w:cs="Times New Roman"/>
                <w:color w:val="000000"/>
              </w:rPr>
              <w:t>Yes</w:t>
            </w:r>
          </w:p>
        </w:tc>
        <w:tc>
          <w:tcPr>
            <w:tcW w:w="987" w:type="dxa"/>
            <w:tcBorders>
              <w:bottom w:val="single" w:sz="4" w:space="0" w:color="000000"/>
            </w:tcBorders>
            <w:shd w:val="clear" w:color="auto" w:fill="auto"/>
            <w:vAlign w:val="bottom"/>
          </w:tcPr>
          <w:p w14:paraId="45883163" w14:textId="77777777" w:rsidR="008C43AC" w:rsidRPr="00A96689" w:rsidRDefault="008C43AC">
            <w:pPr>
              <w:spacing w:after="0" w:line="240" w:lineRule="auto"/>
              <w:jc w:val="center"/>
              <w:rPr>
                <w:rFonts w:cs="Times New Roman"/>
                <w:color w:val="000000"/>
              </w:rPr>
            </w:pPr>
          </w:p>
        </w:tc>
      </w:tr>
      <w:tr w:rsidR="008C43AC" w:rsidRPr="00A96689" w14:paraId="5D6A59C1" w14:textId="77777777" w:rsidTr="00DB6816">
        <w:trPr>
          <w:trHeight w:val="300"/>
        </w:trPr>
        <w:tc>
          <w:tcPr>
            <w:tcW w:w="2127" w:type="dxa"/>
            <w:tcBorders>
              <w:top w:val="single" w:sz="4" w:space="0" w:color="000000"/>
            </w:tcBorders>
            <w:shd w:val="clear" w:color="auto" w:fill="auto"/>
            <w:vAlign w:val="bottom"/>
          </w:tcPr>
          <w:p w14:paraId="43699B58" w14:textId="6394B93C" w:rsidR="008C43AC" w:rsidRPr="00A96689" w:rsidRDefault="00A81554">
            <w:pPr>
              <w:spacing w:after="0" w:line="240" w:lineRule="auto"/>
              <w:rPr>
                <w:rFonts w:cs="Times New Roman"/>
                <w:color w:val="000000"/>
              </w:rPr>
            </w:pPr>
            <w:r w:rsidRPr="00A96689">
              <w:rPr>
                <w:rFonts w:cs="Times New Roman"/>
                <w:color w:val="000000"/>
              </w:rPr>
              <w:t>Age</w:t>
            </w:r>
            <w:r w:rsidR="00B76EED" w:rsidRPr="00A96689">
              <w:rPr>
                <w:rFonts w:cs="Times New Roman"/>
                <w:color w:val="000000"/>
              </w:rPr>
              <w:t xml:space="preserve"> (</w:t>
            </w:r>
            <w:r w:rsidR="00B76EED" w:rsidRPr="00A96689">
              <w:rPr>
                <w:rFonts w:cs="Times New Roman"/>
                <w:color w:val="000000"/>
                <w:lang w:val="en-GB"/>
              </w:rPr>
              <w:t>mean, SD</w:t>
            </w:r>
          </w:p>
        </w:tc>
        <w:tc>
          <w:tcPr>
            <w:tcW w:w="1409" w:type="dxa"/>
            <w:tcBorders>
              <w:top w:val="single" w:sz="4" w:space="0" w:color="000000"/>
            </w:tcBorders>
            <w:shd w:val="clear" w:color="auto" w:fill="auto"/>
            <w:vAlign w:val="bottom"/>
          </w:tcPr>
          <w:p w14:paraId="457959A2" w14:textId="77777777" w:rsidR="008C43AC" w:rsidRPr="00A96689" w:rsidRDefault="00A81554">
            <w:pPr>
              <w:spacing w:after="0" w:line="240" w:lineRule="auto"/>
              <w:jc w:val="center"/>
              <w:rPr>
                <w:rFonts w:cs="Times New Roman"/>
                <w:color w:val="000000"/>
              </w:rPr>
            </w:pPr>
            <w:r w:rsidRPr="00A96689">
              <w:rPr>
                <w:rFonts w:cs="Times New Roman"/>
                <w:color w:val="000000"/>
              </w:rPr>
              <w:t>78.7 (7.5)</w:t>
            </w:r>
          </w:p>
        </w:tc>
        <w:tc>
          <w:tcPr>
            <w:tcW w:w="1555" w:type="dxa"/>
            <w:tcBorders>
              <w:top w:val="single" w:sz="4" w:space="0" w:color="000000"/>
            </w:tcBorders>
            <w:shd w:val="clear" w:color="auto" w:fill="auto"/>
            <w:vAlign w:val="bottom"/>
          </w:tcPr>
          <w:p w14:paraId="5B706D72" w14:textId="77777777" w:rsidR="008C43AC" w:rsidRPr="00A96689" w:rsidRDefault="00A81554">
            <w:pPr>
              <w:spacing w:after="0" w:line="240" w:lineRule="auto"/>
              <w:jc w:val="center"/>
              <w:rPr>
                <w:rFonts w:cs="Times New Roman"/>
                <w:color w:val="000000"/>
              </w:rPr>
            </w:pPr>
            <w:r w:rsidRPr="00A96689">
              <w:rPr>
                <w:rFonts w:cs="Times New Roman"/>
                <w:color w:val="000000"/>
              </w:rPr>
              <w:t>78.2 (7.6)</w:t>
            </w:r>
          </w:p>
        </w:tc>
        <w:tc>
          <w:tcPr>
            <w:tcW w:w="1417" w:type="dxa"/>
            <w:tcBorders>
              <w:top w:val="single" w:sz="4" w:space="0" w:color="000000"/>
            </w:tcBorders>
            <w:shd w:val="clear" w:color="auto" w:fill="auto"/>
            <w:vAlign w:val="bottom"/>
          </w:tcPr>
          <w:p w14:paraId="0323A734" w14:textId="77777777" w:rsidR="008C43AC" w:rsidRPr="00A96689" w:rsidRDefault="00A81554">
            <w:pPr>
              <w:spacing w:after="0" w:line="240" w:lineRule="auto"/>
              <w:jc w:val="center"/>
              <w:rPr>
                <w:rFonts w:cs="Times New Roman"/>
                <w:color w:val="000000"/>
              </w:rPr>
            </w:pPr>
            <w:r w:rsidRPr="00A96689">
              <w:rPr>
                <w:rFonts w:cs="Times New Roman"/>
                <w:color w:val="000000"/>
              </w:rPr>
              <w:t>80.6 (6.6)</w:t>
            </w:r>
          </w:p>
        </w:tc>
        <w:tc>
          <w:tcPr>
            <w:tcW w:w="987" w:type="dxa"/>
            <w:tcBorders>
              <w:top w:val="single" w:sz="4" w:space="0" w:color="000000"/>
            </w:tcBorders>
            <w:shd w:val="clear" w:color="auto" w:fill="auto"/>
            <w:vAlign w:val="bottom"/>
          </w:tcPr>
          <w:p w14:paraId="09D221E1" w14:textId="77777777" w:rsidR="008C43AC" w:rsidRPr="00A96689" w:rsidRDefault="00A81554">
            <w:pPr>
              <w:spacing w:after="0" w:line="240" w:lineRule="auto"/>
              <w:jc w:val="center"/>
              <w:rPr>
                <w:rFonts w:cs="Times New Roman"/>
                <w:color w:val="000000"/>
              </w:rPr>
            </w:pPr>
            <w:r w:rsidRPr="00A96689">
              <w:rPr>
                <w:rFonts w:cs="Times New Roman"/>
                <w:color w:val="000000"/>
              </w:rPr>
              <w:t>0.002</w:t>
            </w:r>
          </w:p>
        </w:tc>
      </w:tr>
      <w:tr w:rsidR="008C43AC" w:rsidRPr="00A96689" w14:paraId="517ADEAF" w14:textId="77777777" w:rsidTr="00DB6816">
        <w:trPr>
          <w:trHeight w:val="300"/>
        </w:trPr>
        <w:tc>
          <w:tcPr>
            <w:tcW w:w="2127" w:type="dxa"/>
            <w:shd w:val="clear" w:color="auto" w:fill="auto"/>
            <w:vAlign w:val="bottom"/>
          </w:tcPr>
          <w:p w14:paraId="5402279B" w14:textId="06D7FD40" w:rsidR="008C43AC" w:rsidRPr="00A96689" w:rsidRDefault="00A81554">
            <w:pPr>
              <w:spacing w:after="0" w:line="240" w:lineRule="auto"/>
              <w:rPr>
                <w:rFonts w:cs="Times New Roman"/>
                <w:color w:val="000000"/>
              </w:rPr>
            </w:pPr>
            <w:r w:rsidRPr="00A96689">
              <w:rPr>
                <w:rFonts w:cs="Times New Roman"/>
                <w:color w:val="000000"/>
              </w:rPr>
              <w:t>Sex</w:t>
            </w:r>
            <w:r w:rsidR="003544A5" w:rsidRPr="00A96689">
              <w:rPr>
                <w:rFonts w:cs="Times New Roman"/>
                <w:color w:val="000000"/>
              </w:rPr>
              <w:t xml:space="preserve"> </w:t>
            </w:r>
            <w:r w:rsidR="003544A5" w:rsidRPr="00A96689">
              <w:rPr>
                <w:rFonts w:cs="Times New Roman"/>
                <w:color w:val="000000"/>
                <w:lang w:val="en-GB"/>
              </w:rPr>
              <w:t>n (%)</w:t>
            </w:r>
          </w:p>
        </w:tc>
        <w:tc>
          <w:tcPr>
            <w:tcW w:w="1409" w:type="dxa"/>
            <w:shd w:val="clear" w:color="auto" w:fill="auto"/>
            <w:vAlign w:val="bottom"/>
          </w:tcPr>
          <w:p w14:paraId="71B64271" w14:textId="77777777" w:rsidR="008C43AC" w:rsidRPr="00A96689" w:rsidRDefault="008C43AC">
            <w:pPr>
              <w:spacing w:after="0" w:line="240" w:lineRule="auto"/>
              <w:jc w:val="center"/>
              <w:rPr>
                <w:rFonts w:cs="Times New Roman"/>
                <w:color w:val="000000"/>
              </w:rPr>
            </w:pPr>
          </w:p>
        </w:tc>
        <w:tc>
          <w:tcPr>
            <w:tcW w:w="1555" w:type="dxa"/>
            <w:shd w:val="clear" w:color="auto" w:fill="auto"/>
            <w:vAlign w:val="bottom"/>
          </w:tcPr>
          <w:p w14:paraId="781FE0C8" w14:textId="77777777" w:rsidR="008C43AC" w:rsidRPr="00A96689" w:rsidRDefault="008C43AC">
            <w:pPr>
              <w:spacing w:after="0" w:line="240" w:lineRule="auto"/>
              <w:jc w:val="center"/>
              <w:rPr>
                <w:rFonts w:eastAsia="Times New Roman" w:cs="Times New Roman"/>
              </w:rPr>
            </w:pPr>
          </w:p>
        </w:tc>
        <w:tc>
          <w:tcPr>
            <w:tcW w:w="1417" w:type="dxa"/>
            <w:shd w:val="clear" w:color="auto" w:fill="auto"/>
            <w:vAlign w:val="bottom"/>
          </w:tcPr>
          <w:p w14:paraId="79FF630C" w14:textId="77777777" w:rsidR="008C43AC" w:rsidRPr="00A96689" w:rsidRDefault="008C43AC">
            <w:pPr>
              <w:spacing w:after="0" w:line="240" w:lineRule="auto"/>
              <w:jc w:val="center"/>
              <w:rPr>
                <w:rFonts w:eastAsia="Times New Roman" w:cs="Times New Roman"/>
              </w:rPr>
            </w:pPr>
          </w:p>
        </w:tc>
        <w:tc>
          <w:tcPr>
            <w:tcW w:w="987" w:type="dxa"/>
            <w:shd w:val="clear" w:color="auto" w:fill="auto"/>
            <w:vAlign w:val="bottom"/>
          </w:tcPr>
          <w:p w14:paraId="5587B014" w14:textId="77777777" w:rsidR="008C43AC" w:rsidRPr="00A96689" w:rsidRDefault="00A81554">
            <w:pPr>
              <w:spacing w:after="0" w:line="240" w:lineRule="auto"/>
              <w:jc w:val="center"/>
              <w:rPr>
                <w:rFonts w:cs="Times New Roman"/>
                <w:color w:val="000000"/>
              </w:rPr>
            </w:pPr>
            <w:r w:rsidRPr="00A96689">
              <w:rPr>
                <w:rFonts w:cs="Times New Roman"/>
                <w:color w:val="000000"/>
              </w:rPr>
              <w:t>&lt;.001</w:t>
            </w:r>
          </w:p>
        </w:tc>
      </w:tr>
      <w:tr w:rsidR="008C43AC" w:rsidRPr="00A96689" w14:paraId="5DE21891" w14:textId="77777777" w:rsidTr="00DB6816">
        <w:trPr>
          <w:trHeight w:val="300"/>
        </w:trPr>
        <w:tc>
          <w:tcPr>
            <w:tcW w:w="2127" w:type="dxa"/>
            <w:shd w:val="clear" w:color="auto" w:fill="auto"/>
            <w:vAlign w:val="bottom"/>
          </w:tcPr>
          <w:p w14:paraId="71BDBD3B" w14:textId="77777777" w:rsidR="008C43AC" w:rsidRPr="00A96689" w:rsidRDefault="00A81554">
            <w:pPr>
              <w:spacing w:after="0" w:line="240" w:lineRule="auto"/>
              <w:ind w:firstLine="164"/>
              <w:rPr>
                <w:rFonts w:cs="Times New Roman"/>
                <w:color w:val="000000"/>
              </w:rPr>
            </w:pPr>
            <w:r w:rsidRPr="00A96689">
              <w:rPr>
                <w:rFonts w:cs="Times New Roman"/>
                <w:color w:val="000000"/>
              </w:rPr>
              <w:t>Female</w:t>
            </w:r>
          </w:p>
        </w:tc>
        <w:tc>
          <w:tcPr>
            <w:tcW w:w="1409" w:type="dxa"/>
            <w:shd w:val="clear" w:color="auto" w:fill="auto"/>
            <w:vAlign w:val="bottom"/>
          </w:tcPr>
          <w:p w14:paraId="17118296" w14:textId="77777777" w:rsidR="008C43AC" w:rsidRPr="00A96689" w:rsidRDefault="00A81554">
            <w:pPr>
              <w:spacing w:after="0" w:line="240" w:lineRule="auto"/>
              <w:jc w:val="center"/>
              <w:rPr>
                <w:rFonts w:cs="Times New Roman"/>
                <w:color w:val="000000"/>
              </w:rPr>
            </w:pPr>
            <w:r w:rsidRPr="00A96689">
              <w:rPr>
                <w:rFonts w:cs="Times New Roman"/>
                <w:color w:val="000000"/>
              </w:rPr>
              <w:t>405 (70.4)</w:t>
            </w:r>
          </w:p>
        </w:tc>
        <w:tc>
          <w:tcPr>
            <w:tcW w:w="1555" w:type="dxa"/>
            <w:shd w:val="clear" w:color="auto" w:fill="auto"/>
            <w:vAlign w:val="bottom"/>
          </w:tcPr>
          <w:p w14:paraId="15CB7B9A" w14:textId="77777777" w:rsidR="008C43AC" w:rsidRPr="00A96689" w:rsidRDefault="00A81554">
            <w:pPr>
              <w:spacing w:after="0" w:line="240" w:lineRule="auto"/>
              <w:jc w:val="center"/>
              <w:rPr>
                <w:rFonts w:cs="Times New Roman"/>
                <w:color w:val="000000"/>
              </w:rPr>
            </w:pPr>
            <w:r w:rsidRPr="00A96689">
              <w:rPr>
                <w:rFonts w:cs="Times New Roman"/>
                <w:color w:val="000000"/>
              </w:rPr>
              <w:t>344 (74.6)</w:t>
            </w:r>
          </w:p>
        </w:tc>
        <w:tc>
          <w:tcPr>
            <w:tcW w:w="1417" w:type="dxa"/>
            <w:shd w:val="clear" w:color="auto" w:fill="auto"/>
            <w:vAlign w:val="bottom"/>
          </w:tcPr>
          <w:p w14:paraId="3A5184E2" w14:textId="77777777" w:rsidR="008C43AC" w:rsidRPr="00A96689" w:rsidRDefault="00A81554">
            <w:pPr>
              <w:spacing w:after="0" w:line="240" w:lineRule="auto"/>
              <w:jc w:val="center"/>
              <w:rPr>
                <w:rFonts w:cs="Times New Roman"/>
                <w:color w:val="000000"/>
              </w:rPr>
            </w:pPr>
            <w:r w:rsidRPr="00A96689">
              <w:rPr>
                <w:rFonts w:cs="Times New Roman"/>
                <w:color w:val="000000"/>
              </w:rPr>
              <w:t>61 (53.5)</w:t>
            </w:r>
          </w:p>
        </w:tc>
        <w:tc>
          <w:tcPr>
            <w:tcW w:w="987" w:type="dxa"/>
            <w:shd w:val="clear" w:color="auto" w:fill="auto"/>
            <w:vAlign w:val="bottom"/>
          </w:tcPr>
          <w:p w14:paraId="6463A5F2" w14:textId="77777777" w:rsidR="008C43AC" w:rsidRPr="00A96689" w:rsidRDefault="008C43AC">
            <w:pPr>
              <w:spacing w:after="0" w:line="240" w:lineRule="auto"/>
              <w:jc w:val="center"/>
              <w:rPr>
                <w:rFonts w:cs="Times New Roman"/>
                <w:color w:val="000000"/>
              </w:rPr>
            </w:pPr>
          </w:p>
        </w:tc>
      </w:tr>
      <w:tr w:rsidR="008C43AC" w:rsidRPr="00A96689" w14:paraId="366D5390" w14:textId="77777777" w:rsidTr="00DB6816">
        <w:trPr>
          <w:trHeight w:val="300"/>
        </w:trPr>
        <w:tc>
          <w:tcPr>
            <w:tcW w:w="2127" w:type="dxa"/>
            <w:shd w:val="clear" w:color="auto" w:fill="auto"/>
            <w:vAlign w:val="bottom"/>
          </w:tcPr>
          <w:p w14:paraId="02914F0A" w14:textId="3EC67E16" w:rsidR="008C43AC" w:rsidRPr="00A96689" w:rsidRDefault="00A81554">
            <w:pPr>
              <w:spacing w:after="0" w:line="240" w:lineRule="auto"/>
              <w:rPr>
                <w:rFonts w:cs="Times New Roman"/>
                <w:color w:val="000000"/>
              </w:rPr>
            </w:pPr>
            <w:r w:rsidRPr="00A96689">
              <w:rPr>
                <w:rFonts w:cs="Times New Roman"/>
                <w:color w:val="000000"/>
              </w:rPr>
              <w:t>Living status</w:t>
            </w:r>
            <w:r w:rsidR="003544A5" w:rsidRPr="00A96689">
              <w:rPr>
                <w:rFonts w:cs="Times New Roman"/>
                <w:color w:val="000000"/>
              </w:rPr>
              <w:t xml:space="preserve"> </w:t>
            </w:r>
            <w:r w:rsidR="003544A5" w:rsidRPr="00A96689">
              <w:rPr>
                <w:rFonts w:cs="Times New Roman"/>
                <w:color w:val="000000"/>
                <w:lang w:val="en-GB"/>
              </w:rPr>
              <w:t>n (%)</w:t>
            </w:r>
          </w:p>
        </w:tc>
        <w:tc>
          <w:tcPr>
            <w:tcW w:w="1409" w:type="dxa"/>
            <w:shd w:val="clear" w:color="auto" w:fill="auto"/>
            <w:vAlign w:val="bottom"/>
          </w:tcPr>
          <w:p w14:paraId="1B91E536" w14:textId="77777777" w:rsidR="008C43AC" w:rsidRPr="00A96689" w:rsidRDefault="008C43AC">
            <w:pPr>
              <w:spacing w:after="0" w:line="240" w:lineRule="auto"/>
              <w:jc w:val="center"/>
              <w:rPr>
                <w:rFonts w:cs="Times New Roman"/>
                <w:color w:val="000000"/>
              </w:rPr>
            </w:pPr>
          </w:p>
        </w:tc>
        <w:tc>
          <w:tcPr>
            <w:tcW w:w="1555" w:type="dxa"/>
            <w:shd w:val="clear" w:color="auto" w:fill="auto"/>
            <w:vAlign w:val="bottom"/>
          </w:tcPr>
          <w:p w14:paraId="47131366" w14:textId="77777777" w:rsidR="008C43AC" w:rsidRPr="00A96689" w:rsidRDefault="008C43AC">
            <w:pPr>
              <w:spacing w:after="0" w:line="240" w:lineRule="auto"/>
              <w:jc w:val="center"/>
              <w:rPr>
                <w:rFonts w:eastAsia="Times New Roman" w:cs="Times New Roman"/>
              </w:rPr>
            </w:pPr>
          </w:p>
        </w:tc>
        <w:tc>
          <w:tcPr>
            <w:tcW w:w="1417" w:type="dxa"/>
            <w:shd w:val="clear" w:color="auto" w:fill="auto"/>
            <w:vAlign w:val="bottom"/>
          </w:tcPr>
          <w:p w14:paraId="41DC052C" w14:textId="77777777" w:rsidR="008C43AC" w:rsidRPr="00A96689" w:rsidRDefault="008C43AC">
            <w:pPr>
              <w:spacing w:after="0" w:line="240" w:lineRule="auto"/>
              <w:jc w:val="center"/>
              <w:rPr>
                <w:rFonts w:eastAsia="Times New Roman" w:cs="Times New Roman"/>
              </w:rPr>
            </w:pPr>
          </w:p>
        </w:tc>
        <w:tc>
          <w:tcPr>
            <w:tcW w:w="987" w:type="dxa"/>
            <w:shd w:val="clear" w:color="auto" w:fill="auto"/>
            <w:vAlign w:val="bottom"/>
          </w:tcPr>
          <w:p w14:paraId="30BF5003" w14:textId="77777777" w:rsidR="008C43AC" w:rsidRPr="00A96689" w:rsidRDefault="00A81554">
            <w:pPr>
              <w:spacing w:after="0" w:line="240" w:lineRule="auto"/>
              <w:jc w:val="center"/>
              <w:rPr>
                <w:rFonts w:cs="Times New Roman"/>
                <w:color w:val="000000"/>
              </w:rPr>
            </w:pPr>
            <w:r w:rsidRPr="00A96689">
              <w:rPr>
                <w:rFonts w:cs="Times New Roman"/>
                <w:color w:val="000000"/>
              </w:rPr>
              <w:t>0.074</w:t>
            </w:r>
          </w:p>
        </w:tc>
      </w:tr>
      <w:tr w:rsidR="008C43AC" w:rsidRPr="00A96689" w14:paraId="1CCFF1F2" w14:textId="77777777" w:rsidTr="00DB6816">
        <w:trPr>
          <w:trHeight w:val="300"/>
        </w:trPr>
        <w:tc>
          <w:tcPr>
            <w:tcW w:w="2127" w:type="dxa"/>
            <w:shd w:val="clear" w:color="auto" w:fill="auto"/>
            <w:vAlign w:val="bottom"/>
          </w:tcPr>
          <w:p w14:paraId="1B2B984D" w14:textId="77777777" w:rsidR="008C43AC" w:rsidRPr="00A96689" w:rsidRDefault="00A81554">
            <w:pPr>
              <w:spacing w:after="0" w:line="240" w:lineRule="auto"/>
              <w:ind w:firstLine="164"/>
              <w:rPr>
                <w:rFonts w:cs="Times New Roman"/>
                <w:color w:val="000000"/>
              </w:rPr>
            </w:pPr>
            <w:r w:rsidRPr="00A96689">
              <w:rPr>
                <w:rFonts w:cs="Times New Roman"/>
                <w:color w:val="000000"/>
              </w:rPr>
              <w:t>Alone</w:t>
            </w:r>
          </w:p>
        </w:tc>
        <w:tc>
          <w:tcPr>
            <w:tcW w:w="1409" w:type="dxa"/>
            <w:shd w:val="clear" w:color="auto" w:fill="auto"/>
            <w:vAlign w:val="bottom"/>
          </w:tcPr>
          <w:p w14:paraId="727E8568" w14:textId="77777777" w:rsidR="008C43AC" w:rsidRPr="00A96689" w:rsidRDefault="00A81554">
            <w:pPr>
              <w:spacing w:after="0" w:line="240" w:lineRule="auto"/>
              <w:jc w:val="center"/>
              <w:rPr>
                <w:rFonts w:cs="Times New Roman"/>
                <w:color w:val="000000"/>
              </w:rPr>
            </w:pPr>
            <w:r w:rsidRPr="00A96689">
              <w:rPr>
                <w:rFonts w:cs="Times New Roman"/>
                <w:color w:val="000000"/>
              </w:rPr>
              <w:t>82 (14.3)</w:t>
            </w:r>
          </w:p>
        </w:tc>
        <w:tc>
          <w:tcPr>
            <w:tcW w:w="1555" w:type="dxa"/>
            <w:shd w:val="clear" w:color="auto" w:fill="auto"/>
            <w:vAlign w:val="bottom"/>
          </w:tcPr>
          <w:p w14:paraId="7AD0D2E6" w14:textId="77777777" w:rsidR="008C43AC" w:rsidRPr="00A96689" w:rsidRDefault="00A81554">
            <w:pPr>
              <w:spacing w:after="0" w:line="240" w:lineRule="auto"/>
              <w:jc w:val="center"/>
              <w:rPr>
                <w:rFonts w:cs="Times New Roman"/>
                <w:color w:val="000000"/>
              </w:rPr>
            </w:pPr>
            <w:r w:rsidRPr="00A96689">
              <w:rPr>
                <w:rFonts w:cs="Times New Roman"/>
                <w:color w:val="000000"/>
              </w:rPr>
              <w:t>72 (15.6)</w:t>
            </w:r>
          </w:p>
        </w:tc>
        <w:tc>
          <w:tcPr>
            <w:tcW w:w="1417" w:type="dxa"/>
            <w:shd w:val="clear" w:color="auto" w:fill="auto"/>
            <w:vAlign w:val="bottom"/>
          </w:tcPr>
          <w:p w14:paraId="3837C5F4" w14:textId="77777777" w:rsidR="008C43AC" w:rsidRPr="00A96689" w:rsidRDefault="00A81554">
            <w:pPr>
              <w:spacing w:after="0" w:line="240" w:lineRule="auto"/>
              <w:jc w:val="center"/>
              <w:rPr>
                <w:rFonts w:cs="Times New Roman"/>
                <w:color w:val="000000"/>
              </w:rPr>
            </w:pPr>
            <w:r w:rsidRPr="00A96689">
              <w:rPr>
                <w:rFonts w:cs="Times New Roman"/>
                <w:color w:val="000000"/>
              </w:rPr>
              <w:t>10 (8.8)</w:t>
            </w:r>
          </w:p>
        </w:tc>
        <w:tc>
          <w:tcPr>
            <w:tcW w:w="987" w:type="dxa"/>
            <w:shd w:val="clear" w:color="auto" w:fill="auto"/>
            <w:vAlign w:val="bottom"/>
          </w:tcPr>
          <w:p w14:paraId="4EB1F9FB" w14:textId="77777777" w:rsidR="008C43AC" w:rsidRPr="00A96689" w:rsidRDefault="008C43AC">
            <w:pPr>
              <w:spacing w:after="0" w:line="240" w:lineRule="auto"/>
              <w:jc w:val="center"/>
              <w:rPr>
                <w:rFonts w:cs="Times New Roman"/>
                <w:color w:val="000000"/>
              </w:rPr>
            </w:pPr>
          </w:p>
        </w:tc>
      </w:tr>
      <w:tr w:rsidR="008C43AC" w:rsidRPr="00A96689" w14:paraId="4E6B411C" w14:textId="77777777" w:rsidTr="00DB6816">
        <w:trPr>
          <w:trHeight w:val="300"/>
        </w:trPr>
        <w:tc>
          <w:tcPr>
            <w:tcW w:w="2127" w:type="dxa"/>
            <w:shd w:val="clear" w:color="auto" w:fill="auto"/>
            <w:vAlign w:val="bottom"/>
          </w:tcPr>
          <w:p w14:paraId="708189A2" w14:textId="77777777" w:rsidR="008C43AC" w:rsidRPr="00A96689" w:rsidRDefault="00A81554">
            <w:pPr>
              <w:spacing w:after="0" w:line="240" w:lineRule="auto"/>
              <w:ind w:firstLine="164"/>
              <w:rPr>
                <w:rFonts w:cs="Times New Roman"/>
                <w:color w:val="000000"/>
              </w:rPr>
            </w:pPr>
            <w:r w:rsidRPr="00A96689">
              <w:rPr>
                <w:rFonts w:cs="Times New Roman"/>
                <w:color w:val="000000"/>
              </w:rPr>
              <w:t>With partner</w:t>
            </w:r>
          </w:p>
        </w:tc>
        <w:tc>
          <w:tcPr>
            <w:tcW w:w="1409" w:type="dxa"/>
            <w:shd w:val="clear" w:color="auto" w:fill="auto"/>
            <w:vAlign w:val="bottom"/>
          </w:tcPr>
          <w:p w14:paraId="3489F8F3" w14:textId="77777777" w:rsidR="008C43AC" w:rsidRPr="00A96689" w:rsidRDefault="00A81554">
            <w:pPr>
              <w:spacing w:after="0" w:line="240" w:lineRule="auto"/>
              <w:jc w:val="center"/>
              <w:rPr>
                <w:rFonts w:cs="Times New Roman"/>
                <w:color w:val="000000"/>
              </w:rPr>
            </w:pPr>
            <w:r w:rsidRPr="00A96689">
              <w:rPr>
                <w:rFonts w:cs="Times New Roman"/>
                <w:color w:val="000000"/>
              </w:rPr>
              <w:t>266 (46.3)</w:t>
            </w:r>
          </w:p>
        </w:tc>
        <w:tc>
          <w:tcPr>
            <w:tcW w:w="1555" w:type="dxa"/>
            <w:shd w:val="clear" w:color="auto" w:fill="auto"/>
            <w:vAlign w:val="bottom"/>
          </w:tcPr>
          <w:p w14:paraId="2C2047BD" w14:textId="77777777" w:rsidR="008C43AC" w:rsidRPr="00A96689" w:rsidRDefault="00A81554">
            <w:pPr>
              <w:spacing w:after="0" w:line="240" w:lineRule="auto"/>
              <w:jc w:val="center"/>
              <w:rPr>
                <w:rFonts w:cs="Times New Roman"/>
                <w:color w:val="000000"/>
              </w:rPr>
            </w:pPr>
            <w:r w:rsidRPr="00A96689">
              <w:rPr>
                <w:rFonts w:cs="Times New Roman"/>
                <w:color w:val="000000"/>
              </w:rPr>
              <w:t>217 (47.1)</w:t>
            </w:r>
          </w:p>
        </w:tc>
        <w:tc>
          <w:tcPr>
            <w:tcW w:w="1417" w:type="dxa"/>
            <w:shd w:val="clear" w:color="auto" w:fill="auto"/>
            <w:vAlign w:val="bottom"/>
          </w:tcPr>
          <w:p w14:paraId="6D6CDFBF" w14:textId="77777777" w:rsidR="008C43AC" w:rsidRPr="00A96689" w:rsidRDefault="00A81554">
            <w:pPr>
              <w:spacing w:after="0" w:line="240" w:lineRule="auto"/>
              <w:jc w:val="center"/>
              <w:rPr>
                <w:rFonts w:cs="Times New Roman"/>
                <w:color w:val="000000"/>
              </w:rPr>
            </w:pPr>
            <w:r w:rsidRPr="00A96689">
              <w:rPr>
                <w:rFonts w:cs="Times New Roman"/>
                <w:color w:val="000000"/>
              </w:rPr>
              <w:t>49 (43.0)</w:t>
            </w:r>
          </w:p>
        </w:tc>
        <w:tc>
          <w:tcPr>
            <w:tcW w:w="987" w:type="dxa"/>
            <w:shd w:val="clear" w:color="auto" w:fill="auto"/>
            <w:vAlign w:val="bottom"/>
          </w:tcPr>
          <w:p w14:paraId="04D0842C" w14:textId="77777777" w:rsidR="008C43AC" w:rsidRPr="00A96689" w:rsidRDefault="008C43AC">
            <w:pPr>
              <w:spacing w:after="0" w:line="240" w:lineRule="auto"/>
              <w:jc w:val="center"/>
              <w:rPr>
                <w:rFonts w:cs="Times New Roman"/>
                <w:color w:val="000000"/>
              </w:rPr>
            </w:pPr>
          </w:p>
        </w:tc>
      </w:tr>
      <w:tr w:rsidR="008C43AC" w:rsidRPr="00A96689" w14:paraId="0BF29E2C" w14:textId="77777777" w:rsidTr="00DB6816">
        <w:trPr>
          <w:trHeight w:val="300"/>
        </w:trPr>
        <w:tc>
          <w:tcPr>
            <w:tcW w:w="2127" w:type="dxa"/>
            <w:shd w:val="clear" w:color="auto" w:fill="auto"/>
            <w:vAlign w:val="bottom"/>
          </w:tcPr>
          <w:p w14:paraId="03ADA0B3" w14:textId="77777777" w:rsidR="008C43AC" w:rsidRPr="00A96689" w:rsidRDefault="00A81554">
            <w:pPr>
              <w:spacing w:after="0" w:line="240" w:lineRule="auto"/>
              <w:ind w:firstLine="164"/>
              <w:rPr>
                <w:rFonts w:cs="Times New Roman"/>
                <w:color w:val="000000"/>
              </w:rPr>
            </w:pPr>
            <w:r w:rsidRPr="00A96689">
              <w:rPr>
                <w:rFonts w:cs="Times New Roman"/>
                <w:color w:val="000000"/>
              </w:rPr>
              <w:t>With family</w:t>
            </w:r>
          </w:p>
        </w:tc>
        <w:tc>
          <w:tcPr>
            <w:tcW w:w="1409" w:type="dxa"/>
            <w:shd w:val="clear" w:color="auto" w:fill="auto"/>
            <w:vAlign w:val="bottom"/>
          </w:tcPr>
          <w:p w14:paraId="36FA981E" w14:textId="5AFA7A70" w:rsidR="008C43AC" w:rsidRPr="00A96689" w:rsidRDefault="00A81554">
            <w:pPr>
              <w:spacing w:after="0" w:line="240" w:lineRule="auto"/>
              <w:jc w:val="center"/>
              <w:rPr>
                <w:rFonts w:cs="Times New Roman"/>
                <w:color w:val="000000"/>
              </w:rPr>
            </w:pPr>
            <w:r w:rsidRPr="00A96689">
              <w:rPr>
                <w:rFonts w:cs="Times New Roman"/>
                <w:color w:val="000000"/>
              </w:rPr>
              <w:t>212 (36.</w:t>
            </w:r>
            <w:r w:rsidR="00942888" w:rsidRPr="00A96689">
              <w:rPr>
                <w:rFonts w:cs="Times New Roman"/>
                <w:color w:val="000000"/>
              </w:rPr>
              <w:t>8</w:t>
            </w:r>
            <w:r w:rsidRPr="00A96689">
              <w:rPr>
                <w:rFonts w:cs="Times New Roman"/>
                <w:color w:val="000000"/>
              </w:rPr>
              <w:t>)</w:t>
            </w:r>
          </w:p>
        </w:tc>
        <w:tc>
          <w:tcPr>
            <w:tcW w:w="1555" w:type="dxa"/>
            <w:shd w:val="clear" w:color="auto" w:fill="auto"/>
            <w:vAlign w:val="bottom"/>
          </w:tcPr>
          <w:p w14:paraId="46AA8D5E" w14:textId="77777777" w:rsidR="008C43AC" w:rsidRPr="00A96689" w:rsidRDefault="00A81554">
            <w:pPr>
              <w:spacing w:after="0" w:line="240" w:lineRule="auto"/>
              <w:jc w:val="center"/>
              <w:rPr>
                <w:rFonts w:cs="Times New Roman"/>
                <w:color w:val="000000"/>
              </w:rPr>
            </w:pPr>
            <w:r w:rsidRPr="00A96689">
              <w:rPr>
                <w:rFonts w:cs="Times New Roman"/>
                <w:color w:val="000000"/>
              </w:rPr>
              <w:t>162 (34.1)</w:t>
            </w:r>
          </w:p>
        </w:tc>
        <w:tc>
          <w:tcPr>
            <w:tcW w:w="1417" w:type="dxa"/>
            <w:shd w:val="clear" w:color="auto" w:fill="auto"/>
            <w:vAlign w:val="bottom"/>
          </w:tcPr>
          <w:p w14:paraId="17FE1A28" w14:textId="77777777" w:rsidR="008C43AC" w:rsidRPr="00A96689" w:rsidRDefault="00A81554">
            <w:pPr>
              <w:spacing w:after="0" w:line="240" w:lineRule="auto"/>
              <w:jc w:val="center"/>
              <w:rPr>
                <w:rFonts w:cs="Times New Roman"/>
                <w:color w:val="000000"/>
              </w:rPr>
            </w:pPr>
            <w:r w:rsidRPr="00A96689">
              <w:rPr>
                <w:rFonts w:cs="Times New Roman"/>
                <w:color w:val="000000"/>
              </w:rPr>
              <w:t>50 (43.8)</w:t>
            </w:r>
          </w:p>
        </w:tc>
        <w:tc>
          <w:tcPr>
            <w:tcW w:w="987" w:type="dxa"/>
            <w:shd w:val="clear" w:color="auto" w:fill="auto"/>
            <w:vAlign w:val="bottom"/>
          </w:tcPr>
          <w:p w14:paraId="0A3E1D31" w14:textId="77777777" w:rsidR="008C43AC" w:rsidRPr="00A96689" w:rsidRDefault="008C43AC">
            <w:pPr>
              <w:spacing w:after="0" w:line="240" w:lineRule="auto"/>
              <w:jc w:val="center"/>
              <w:rPr>
                <w:rFonts w:cs="Times New Roman"/>
                <w:color w:val="000000"/>
              </w:rPr>
            </w:pPr>
          </w:p>
        </w:tc>
      </w:tr>
      <w:tr w:rsidR="008C43AC" w:rsidRPr="00A96689" w14:paraId="05DF97C6" w14:textId="77777777" w:rsidTr="00DB6816">
        <w:trPr>
          <w:trHeight w:val="300"/>
        </w:trPr>
        <w:tc>
          <w:tcPr>
            <w:tcW w:w="2127" w:type="dxa"/>
            <w:shd w:val="clear" w:color="auto" w:fill="auto"/>
            <w:vAlign w:val="bottom"/>
          </w:tcPr>
          <w:p w14:paraId="75AAA864" w14:textId="77777777" w:rsidR="008C43AC" w:rsidRPr="00A96689" w:rsidRDefault="00A81554">
            <w:pPr>
              <w:spacing w:after="0" w:line="240" w:lineRule="auto"/>
              <w:ind w:firstLine="164"/>
              <w:rPr>
                <w:rFonts w:cs="Times New Roman"/>
                <w:color w:val="000000"/>
              </w:rPr>
            </w:pPr>
            <w:r w:rsidRPr="00A96689">
              <w:rPr>
                <w:rFonts w:cs="Times New Roman"/>
                <w:color w:val="000000"/>
              </w:rPr>
              <w:t>With caregiver</w:t>
            </w:r>
          </w:p>
        </w:tc>
        <w:tc>
          <w:tcPr>
            <w:tcW w:w="1409" w:type="dxa"/>
            <w:shd w:val="clear" w:color="auto" w:fill="auto"/>
            <w:vAlign w:val="bottom"/>
          </w:tcPr>
          <w:p w14:paraId="2F0AFD30" w14:textId="77777777" w:rsidR="008C43AC" w:rsidRPr="00A96689" w:rsidRDefault="00A81554">
            <w:pPr>
              <w:spacing w:after="0" w:line="240" w:lineRule="auto"/>
              <w:jc w:val="center"/>
              <w:rPr>
                <w:rFonts w:cs="Times New Roman"/>
                <w:color w:val="000000"/>
              </w:rPr>
            </w:pPr>
            <w:r w:rsidRPr="00A96689">
              <w:rPr>
                <w:rFonts w:cs="Times New Roman"/>
                <w:color w:val="000000"/>
              </w:rPr>
              <w:t>15 (2.6)</w:t>
            </w:r>
          </w:p>
        </w:tc>
        <w:tc>
          <w:tcPr>
            <w:tcW w:w="1555" w:type="dxa"/>
            <w:shd w:val="clear" w:color="auto" w:fill="auto"/>
            <w:vAlign w:val="bottom"/>
          </w:tcPr>
          <w:p w14:paraId="539FF3D3" w14:textId="77777777" w:rsidR="008C43AC" w:rsidRPr="00A96689" w:rsidRDefault="00A81554">
            <w:pPr>
              <w:spacing w:after="0" w:line="240" w:lineRule="auto"/>
              <w:jc w:val="center"/>
              <w:rPr>
                <w:rFonts w:cs="Times New Roman"/>
                <w:color w:val="000000"/>
              </w:rPr>
            </w:pPr>
            <w:r w:rsidRPr="00A96689">
              <w:rPr>
                <w:rFonts w:cs="Times New Roman"/>
                <w:color w:val="000000"/>
              </w:rPr>
              <w:t>10 (2.2)</w:t>
            </w:r>
          </w:p>
        </w:tc>
        <w:tc>
          <w:tcPr>
            <w:tcW w:w="1417" w:type="dxa"/>
            <w:shd w:val="clear" w:color="auto" w:fill="auto"/>
            <w:vAlign w:val="bottom"/>
          </w:tcPr>
          <w:p w14:paraId="3A59DA3E" w14:textId="77777777" w:rsidR="008C43AC" w:rsidRPr="00A96689" w:rsidRDefault="00A81554">
            <w:pPr>
              <w:spacing w:after="0" w:line="240" w:lineRule="auto"/>
              <w:jc w:val="center"/>
              <w:rPr>
                <w:rFonts w:cs="Times New Roman"/>
                <w:color w:val="000000"/>
              </w:rPr>
            </w:pPr>
            <w:r w:rsidRPr="00A96689">
              <w:rPr>
                <w:rFonts w:cs="Times New Roman"/>
                <w:color w:val="000000"/>
              </w:rPr>
              <w:t>4 (4.4)</w:t>
            </w:r>
          </w:p>
        </w:tc>
        <w:tc>
          <w:tcPr>
            <w:tcW w:w="987" w:type="dxa"/>
            <w:shd w:val="clear" w:color="auto" w:fill="auto"/>
            <w:vAlign w:val="bottom"/>
          </w:tcPr>
          <w:p w14:paraId="24164847" w14:textId="77777777" w:rsidR="008C43AC" w:rsidRPr="00A96689" w:rsidRDefault="008C43AC">
            <w:pPr>
              <w:spacing w:after="0" w:line="240" w:lineRule="auto"/>
              <w:jc w:val="center"/>
              <w:rPr>
                <w:rFonts w:cs="Times New Roman"/>
                <w:color w:val="000000"/>
              </w:rPr>
            </w:pPr>
          </w:p>
        </w:tc>
      </w:tr>
      <w:tr w:rsidR="008C43AC" w:rsidRPr="00A96689" w14:paraId="2868F87E" w14:textId="77777777" w:rsidTr="00DB6816">
        <w:trPr>
          <w:trHeight w:val="300"/>
        </w:trPr>
        <w:tc>
          <w:tcPr>
            <w:tcW w:w="2127" w:type="dxa"/>
            <w:shd w:val="clear" w:color="auto" w:fill="auto"/>
            <w:vAlign w:val="bottom"/>
          </w:tcPr>
          <w:p w14:paraId="6DCE4172" w14:textId="0EB73AD4" w:rsidR="008C43AC" w:rsidRPr="00A96689" w:rsidRDefault="00A81554">
            <w:pPr>
              <w:spacing w:after="0" w:line="240" w:lineRule="auto"/>
              <w:rPr>
                <w:rFonts w:cs="Times New Roman"/>
                <w:color w:val="000000"/>
              </w:rPr>
            </w:pPr>
            <w:r w:rsidRPr="00A96689">
              <w:rPr>
                <w:rFonts w:cs="Times New Roman"/>
                <w:color w:val="000000"/>
              </w:rPr>
              <w:t>Marital status</w:t>
            </w:r>
            <w:r w:rsidR="003544A5" w:rsidRPr="00A96689">
              <w:rPr>
                <w:rFonts w:cs="Times New Roman"/>
                <w:color w:val="000000"/>
              </w:rPr>
              <w:t xml:space="preserve"> </w:t>
            </w:r>
            <w:r w:rsidR="003544A5" w:rsidRPr="00A96689">
              <w:rPr>
                <w:rFonts w:cs="Times New Roman"/>
                <w:color w:val="000000"/>
                <w:lang w:val="en-GB"/>
              </w:rPr>
              <w:t>n (%)</w:t>
            </w:r>
          </w:p>
        </w:tc>
        <w:tc>
          <w:tcPr>
            <w:tcW w:w="1409" w:type="dxa"/>
            <w:shd w:val="clear" w:color="auto" w:fill="auto"/>
            <w:vAlign w:val="bottom"/>
          </w:tcPr>
          <w:p w14:paraId="1CB1AD4D" w14:textId="77777777" w:rsidR="008C43AC" w:rsidRPr="00A96689" w:rsidRDefault="008C43AC">
            <w:pPr>
              <w:spacing w:after="0" w:line="240" w:lineRule="auto"/>
              <w:jc w:val="center"/>
              <w:rPr>
                <w:rFonts w:cs="Times New Roman"/>
                <w:color w:val="000000"/>
              </w:rPr>
            </w:pPr>
          </w:p>
        </w:tc>
        <w:tc>
          <w:tcPr>
            <w:tcW w:w="1555" w:type="dxa"/>
            <w:shd w:val="clear" w:color="auto" w:fill="auto"/>
            <w:vAlign w:val="bottom"/>
          </w:tcPr>
          <w:p w14:paraId="67521240" w14:textId="77777777" w:rsidR="008C43AC" w:rsidRPr="00A96689" w:rsidRDefault="008C43AC">
            <w:pPr>
              <w:spacing w:after="0" w:line="240" w:lineRule="auto"/>
              <w:jc w:val="center"/>
              <w:rPr>
                <w:rFonts w:eastAsia="Times New Roman" w:cs="Times New Roman"/>
              </w:rPr>
            </w:pPr>
          </w:p>
        </w:tc>
        <w:tc>
          <w:tcPr>
            <w:tcW w:w="1417" w:type="dxa"/>
            <w:shd w:val="clear" w:color="auto" w:fill="auto"/>
            <w:vAlign w:val="bottom"/>
          </w:tcPr>
          <w:p w14:paraId="529312B1" w14:textId="77777777" w:rsidR="008C43AC" w:rsidRPr="00A96689" w:rsidRDefault="008C43AC">
            <w:pPr>
              <w:spacing w:after="0" w:line="240" w:lineRule="auto"/>
              <w:jc w:val="center"/>
              <w:rPr>
                <w:rFonts w:eastAsia="Times New Roman" w:cs="Times New Roman"/>
              </w:rPr>
            </w:pPr>
          </w:p>
        </w:tc>
        <w:tc>
          <w:tcPr>
            <w:tcW w:w="987" w:type="dxa"/>
            <w:shd w:val="clear" w:color="auto" w:fill="auto"/>
            <w:vAlign w:val="bottom"/>
          </w:tcPr>
          <w:p w14:paraId="6F40EA49" w14:textId="77777777" w:rsidR="008C43AC" w:rsidRPr="00A96689" w:rsidRDefault="00A81554">
            <w:pPr>
              <w:spacing w:after="0" w:line="240" w:lineRule="auto"/>
              <w:jc w:val="center"/>
              <w:rPr>
                <w:rFonts w:cs="Times New Roman"/>
                <w:color w:val="000000"/>
              </w:rPr>
            </w:pPr>
            <w:r w:rsidRPr="00A96689">
              <w:rPr>
                <w:rFonts w:cs="Times New Roman"/>
                <w:color w:val="000000"/>
              </w:rPr>
              <w:t>0.263</w:t>
            </w:r>
          </w:p>
        </w:tc>
      </w:tr>
      <w:tr w:rsidR="008C43AC" w:rsidRPr="00A96689" w14:paraId="5CEA4218" w14:textId="77777777" w:rsidTr="00DB6816">
        <w:trPr>
          <w:trHeight w:val="300"/>
        </w:trPr>
        <w:tc>
          <w:tcPr>
            <w:tcW w:w="2127" w:type="dxa"/>
            <w:shd w:val="clear" w:color="auto" w:fill="auto"/>
            <w:vAlign w:val="bottom"/>
          </w:tcPr>
          <w:p w14:paraId="5E11CAEB" w14:textId="77777777" w:rsidR="008C43AC" w:rsidRPr="00A96689" w:rsidRDefault="00A81554">
            <w:pPr>
              <w:spacing w:after="0" w:line="240" w:lineRule="auto"/>
              <w:ind w:firstLine="164"/>
              <w:rPr>
                <w:rFonts w:cs="Times New Roman"/>
                <w:color w:val="000000"/>
              </w:rPr>
            </w:pPr>
            <w:r w:rsidRPr="00A96689">
              <w:rPr>
                <w:rFonts w:cs="Times New Roman"/>
                <w:color w:val="000000"/>
              </w:rPr>
              <w:t>Not married</w:t>
            </w:r>
          </w:p>
        </w:tc>
        <w:tc>
          <w:tcPr>
            <w:tcW w:w="1409" w:type="dxa"/>
            <w:shd w:val="clear" w:color="auto" w:fill="auto"/>
            <w:vAlign w:val="bottom"/>
          </w:tcPr>
          <w:p w14:paraId="6BA28EB5" w14:textId="77777777" w:rsidR="008C43AC" w:rsidRPr="00A96689" w:rsidRDefault="00A81554">
            <w:pPr>
              <w:spacing w:after="0" w:line="240" w:lineRule="auto"/>
              <w:jc w:val="center"/>
              <w:rPr>
                <w:rFonts w:cs="Times New Roman"/>
                <w:color w:val="000000"/>
              </w:rPr>
            </w:pPr>
            <w:r w:rsidRPr="00A96689">
              <w:rPr>
                <w:rFonts w:cs="Times New Roman"/>
                <w:color w:val="000000"/>
              </w:rPr>
              <w:t>101 (17.6)</w:t>
            </w:r>
          </w:p>
        </w:tc>
        <w:tc>
          <w:tcPr>
            <w:tcW w:w="1555" w:type="dxa"/>
            <w:shd w:val="clear" w:color="auto" w:fill="auto"/>
            <w:vAlign w:val="bottom"/>
          </w:tcPr>
          <w:p w14:paraId="5649A0D3" w14:textId="77777777" w:rsidR="008C43AC" w:rsidRPr="00A96689" w:rsidRDefault="00A81554">
            <w:pPr>
              <w:spacing w:after="0" w:line="240" w:lineRule="auto"/>
              <w:jc w:val="center"/>
              <w:rPr>
                <w:rFonts w:cs="Times New Roman"/>
                <w:color w:val="000000"/>
              </w:rPr>
            </w:pPr>
            <w:r w:rsidRPr="00A96689">
              <w:rPr>
                <w:rFonts w:cs="Times New Roman"/>
                <w:color w:val="000000"/>
              </w:rPr>
              <w:t>86 (18.7)</w:t>
            </w:r>
          </w:p>
        </w:tc>
        <w:tc>
          <w:tcPr>
            <w:tcW w:w="1417" w:type="dxa"/>
            <w:shd w:val="clear" w:color="auto" w:fill="auto"/>
            <w:vAlign w:val="bottom"/>
          </w:tcPr>
          <w:p w14:paraId="61ABAE38" w14:textId="77777777" w:rsidR="008C43AC" w:rsidRPr="00A96689" w:rsidRDefault="00A81554">
            <w:pPr>
              <w:spacing w:after="0" w:line="240" w:lineRule="auto"/>
              <w:jc w:val="center"/>
              <w:rPr>
                <w:rFonts w:cs="Times New Roman"/>
                <w:color w:val="000000"/>
              </w:rPr>
            </w:pPr>
            <w:r w:rsidRPr="00A96689">
              <w:rPr>
                <w:rFonts w:cs="Times New Roman"/>
                <w:color w:val="000000"/>
              </w:rPr>
              <w:t>15 (13.2)</w:t>
            </w:r>
          </w:p>
        </w:tc>
        <w:tc>
          <w:tcPr>
            <w:tcW w:w="987" w:type="dxa"/>
            <w:shd w:val="clear" w:color="auto" w:fill="auto"/>
            <w:vAlign w:val="bottom"/>
          </w:tcPr>
          <w:p w14:paraId="124785F2" w14:textId="77777777" w:rsidR="008C43AC" w:rsidRPr="00A96689" w:rsidRDefault="008C43AC">
            <w:pPr>
              <w:spacing w:after="0" w:line="240" w:lineRule="auto"/>
              <w:jc w:val="center"/>
              <w:rPr>
                <w:rFonts w:cs="Times New Roman"/>
                <w:color w:val="000000"/>
              </w:rPr>
            </w:pPr>
          </w:p>
        </w:tc>
      </w:tr>
      <w:tr w:rsidR="008C43AC" w:rsidRPr="00A96689" w14:paraId="02AD2CE9" w14:textId="77777777" w:rsidTr="00DB6816">
        <w:trPr>
          <w:trHeight w:val="300"/>
        </w:trPr>
        <w:tc>
          <w:tcPr>
            <w:tcW w:w="2127" w:type="dxa"/>
            <w:shd w:val="clear" w:color="auto" w:fill="auto"/>
            <w:vAlign w:val="bottom"/>
          </w:tcPr>
          <w:p w14:paraId="21F680DE" w14:textId="77777777" w:rsidR="008C43AC" w:rsidRPr="00A96689" w:rsidRDefault="00A81554">
            <w:pPr>
              <w:spacing w:after="0" w:line="240" w:lineRule="auto"/>
              <w:ind w:firstLine="164"/>
              <w:rPr>
                <w:rFonts w:cs="Times New Roman"/>
                <w:color w:val="000000"/>
              </w:rPr>
            </w:pPr>
            <w:r w:rsidRPr="00A96689">
              <w:rPr>
                <w:rFonts w:cs="Times New Roman"/>
                <w:color w:val="000000"/>
              </w:rPr>
              <w:t>Married</w:t>
            </w:r>
          </w:p>
        </w:tc>
        <w:tc>
          <w:tcPr>
            <w:tcW w:w="1409" w:type="dxa"/>
            <w:shd w:val="clear" w:color="auto" w:fill="auto"/>
            <w:vAlign w:val="bottom"/>
          </w:tcPr>
          <w:p w14:paraId="08BA7894" w14:textId="77777777" w:rsidR="008C43AC" w:rsidRPr="00A96689" w:rsidRDefault="00A81554">
            <w:pPr>
              <w:spacing w:after="0" w:line="240" w:lineRule="auto"/>
              <w:jc w:val="center"/>
              <w:rPr>
                <w:rFonts w:cs="Times New Roman"/>
                <w:color w:val="000000"/>
              </w:rPr>
            </w:pPr>
            <w:r w:rsidRPr="00A96689">
              <w:rPr>
                <w:rFonts w:cs="Times New Roman"/>
                <w:color w:val="000000"/>
              </w:rPr>
              <w:t>267 (46.4)</w:t>
            </w:r>
          </w:p>
        </w:tc>
        <w:tc>
          <w:tcPr>
            <w:tcW w:w="1555" w:type="dxa"/>
            <w:shd w:val="clear" w:color="auto" w:fill="auto"/>
            <w:vAlign w:val="bottom"/>
          </w:tcPr>
          <w:p w14:paraId="74B07485" w14:textId="77777777" w:rsidR="008C43AC" w:rsidRPr="00A96689" w:rsidRDefault="00A81554">
            <w:pPr>
              <w:spacing w:after="0" w:line="240" w:lineRule="auto"/>
              <w:jc w:val="center"/>
              <w:rPr>
                <w:rFonts w:cs="Times New Roman"/>
                <w:color w:val="000000"/>
              </w:rPr>
            </w:pPr>
            <w:r w:rsidRPr="00A96689">
              <w:rPr>
                <w:rFonts w:cs="Times New Roman"/>
                <w:color w:val="000000"/>
              </w:rPr>
              <w:t>215 (46.6)</w:t>
            </w:r>
          </w:p>
        </w:tc>
        <w:tc>
          <w:tcPr>
            <w:tcW w:w="1417" w:type="dxa"/>
            <w:shd w:val="clear" w:color="auto" w:fill="auto"/>
            <w:vAlign w:val="bottom"/>
          </w:tcPr>
          <w:p w14:paraId="3072F958" w14:textId="77777777" w:rsidR="008C43AC" w:rsidRPr="00A96689" w:rsidRDefault="00A81554">
            <w:pPr>
              <w:spacing w:after="0" w:line="240" w:lineRule="auto"/>
              <w:jc w:val="center"/>
              <w:rPr>
                <w:rFonts w:cs="Times New Roman"/>
                <w:color w:val="000000"/>
              </w:rPr>
            </w:pPr>
            <w:r w:rsidRPr="00A96689">
              <w:rPr>
                <w:rFonts w:cs="Times New Roman"/>
                <w:color w:val="000000"/>
              </w:rPr>
              <w:t>52 (45.6)</w:t>
            </w:r>
          </w:p>
        </w:tc>
        <w:tc>
          <w:tcPr>
            <w:tcW w:w="987" w:type="dxa"/>
            <w:shd w:val="clear" w:color="auto" w:fill="auto"/>
            <w:vAlign w:val="bottom"/>
          </w:tcPr>
          <w:p w14:paraId="45D47584" w14:textId="77777777" w:rsidR="008C43AC" w:rsidRPr="00A96689" w:rsidRDefault="008C43AC">
            <w:pPr>
              <w:spacing w:after="0" w:line="240" w:lineRule="auto"/>
              <w:jc w:val="center"/>
              <w:rPr>
                <w:rFonts w:cs="Times New Roman"/>
                <w:color w:val="000000"/>
              </w:rPr>
            </w:pPr>
          </w:p>
        </w:tc>
      </w:tr>
      <w:tr w:rsidR="008C43AC" w:rsidRPr="00A96689" w14:paraId="4EECE12C" w14:textId="77777777" w:rsidTr="00DB6816">
        <w:trPr>
          <w:trHeight w:val="300"/>
        </w:trPr>
        <w:tc>
          <w:tcPr>
            <w:tcW w:w="2127" w:type="dxa"/>
            <w:shd w:val="clear" w:color="auto" w:fill="auto"/>
            <w:vAlign w:val="bottom"/>
          </w:tcPr>
          <w:p w14:paraId="48A0A5F5" w14:textId="77777777" w:rsidR="008C43AC" w:rsidRPr="00A96689" w:rsidRDefault="00A81554">
            <w:pPr>
              <w:spacing w:after="0" w:line="240" w:lineRule="auto"/>
              <w:ind w:firstLine="164"/>
              <w:rPr>
                <w:rFonts w:cs="Times New Roman"/>
                <w:color w:val="000000"/>
              </w:rPr>
            </w:pPr>
            <w:r w:rsidRPr="00A96689">
              <w:rPr>
                <w:rFonts w:cs="Times New Roman"/>
                <w:color w:val="000000"/>
              </w:rPr>
              <w:t>Widowed</w:t>
            </w:r>
          </w:p>
        </w:tc>
        <w:tc>
          <w:tcPr>
            <w:tcW w:w="1409" w:type="dxa"/>
            <w:shd w:val="clear" w:color="auto" w:fill="auto"/>
            <w:vAlign w:val="bottom"/>
          </w:tcPr>
          <w:p w14:paraId="560B9480" w14:textId="77777777" w:rsidR="008C43AC" w:rsidRPr="00A96689" w:rsidRDefault="00A81554">
            <w:pPr>
              <w:spacing w:after="0" w:line="240" w:lineRule="auto"/>
              <w:jc w:val="center"/>
              <w:rPr>
                <w:rFonts w:cs="Times New Roman"/>
                <w:color w:val="000000"/>
              </w:rPr>
            </w:pPr>
            <w:r w:rsidRPr="00A96689">
              <w:rPr>
                <w:rFonts w:cs="Times New Roman"/>
                <w:color w:val="000000"/>
              </w:rPr>
              <w:t>207 (36.0)</w:t>
            </w:r>
          </w:p>
        </w:tc>
        <w:tc>
          <w:tcPr>
            <w:tcW w:w="1555" w:type="dxa"/>
            <w:shd w:val="clear" w:color="auto" w:fill="auto"/>
            <w:vAlign w:val="bottom"/>
          </w:tcPr>
          <w:p w14:paraId="154CE3F2" w14:textId="77777777" w:rsidR="008C43AC" w:rsidRPr="00A96689" w:rsidRDefault="00A81554">
            <w:pPr>
              <w:spacing w:after="0" w:line="240" w:lineRule="auto"/>
              <w:jc w:val="center"/>
              <w:rPr>
                <w:rFonts w:cs="Times New Roman"/>
                <w:color w:val="000000"/>
              </w:rPr>
            </w:pPr>
            <w:r w:rsidRPr="00A96689">
              <w:rPr>
                <w:rFonts w:cs="Times New Roman"/>
                <w:color w:val="000000"/>
              </w:rPr>
              <w:t>160 (34.7)</w:t>
            </w:r>
          </w:p>
        </w:tc>
        <w:tc>
          <w:tcPr>
            <w:tcW w:w="1417" w:type="dxa"/>
            <w:shd w:val="clear" w:color="auto" w:fill="auto"/>
            <w:vAlign w:val="bottom"/>
          </w:tcPr>
          <w:p w14:paraId="41D16E8A" w14:textId="77777777" w:rsidR="008C43AC" w:rsidRPr="00A96689" w:rsidRDefault="00A81554">
            <w:pPr>
              <w:spacing w:after="0" w:line="240" w:lineRule="auto"/>
              <w:jc w:val="center"/>
              <w:rPr>
                <w:rFonts w:cs="Times New Roman"/>
                <w:color w:val="000000"/>
              </w:rPr>
            </w:pPr>
            <w:r w:rsidRPr="00A96689">
              <w:rPr>
                <w:rFonts w:cs="Times New Roman"/>
                <w:color w:val="000000"/>
              </w:rPr>
              <w:t>47 (41.2)</w:t>
            </w:r>
          </w:p>
        </w:tc>
        <w:tc>
          <w:tcPr>
            <w:tcW w:w="987" w:type="dxa"/>
            <w:shd w:val="clear" w:color="auto" w:fill="auto"/>
            <w:vAlign w:val="bottom"/>
          </w:tcPr>
          <w:p w14:paraId="1A8A83BE" w14:textId="77777777" w:rsidR="008C43AC" w:rsidRPr="00A96689" w:rsidRDefault="008C43AC">
            <w:pPr>
              <w:spacing w:after="0" w:line="240" w:lineRule="auto"/>
              <w:jc w:val="center"/>
              <w:rPr>
                <w:rFonts w:cs="Times New Roman"/>
                <w:color w:val="000000"/>
              </w:rPr>
            </w:pPr>
          </w:p>
        </w:tc>
      </w:tr>
      <w:tr w:rsidR="006143B8" w:rsidRPr="00A96689" w14:paraId="38AFAD1D" w14:textId="77777777" w:rsidTr="00DB6816">
        <w:trPr>
          <w:trHeight w:val="300"/>
        </w:trPr>
        <w:tc>
          <w:tcPr>
            <w:tcW w:w="6508" w:type="dxa"/>
            <w:gridSpan w:val="4"/>
            <w:shd w:val="clear" w:color="auto" w:fill="auto"/>
            <w:vAlign w:val="bottom"/>
          </w:tcPr>
          <w:p w14:paraId="43187031" w14:textId="425F6A8F" w:rsidR="006143B8" w:rsidRPr="00A96689" w:rsidRDefault="006143B8" w:rsidP="006143B8">
            <w:pPr>
              <w:spacing w:after="0" w:line="240" w:lineRule="auto"/>
              <w:rPr>
                <w:rFonts w:eastAsia="Times New Roman" w:cs="Times New Roman"/>
              </w:rPr>
            </w:pPr>
            <w:r w:rsidRPr="00A96689">
              <w:rPr>
                <w:rFonts w:cs="Times New Roman"/>
                <w:color w:val="000000"/>
              </w:rPr>
              <w:t xml:space="preserve">Polypharmacy </w:t>
            </w:r>
            <w:r w:rsidR="003544A5" w:rsidRPr="00A96689">
              <w:rPr>
                <w:rFonts w:cs="Times New Roman"/>
                <w:color w:val="000000"/>
                <w:lang w:val="en-GB"/>
              </w:rPr>
              <w:t>n (%)</w:t>
            </w:r>
          </w:p>
        </w:tc>
        <w:tc>
          <w:tcPr>
            <w:tcW w:w="987" w:type="dxa"/>
            <w:shd w:val="clear" w:color="auto" w:fill="auto"/>
            <w:vAlign w:val="bottom"/>
          </w:tcPr>
          <w:p w14:paraId="1B94DB59" w14:textId="77777777" w:rsidR="006143B8" w:rsidRPr="00A96689" w:rsidRDefault="006143B8">
            <w:pPr>
              <w:spacing w:after="0" w:line="240" w:lineRule="auto"/>
              <w:jc w:val="center"/>
              <w:rPr>
                <w:rFonts w:cs="Times New Roman"/>
                <w:color w:val="000000"/>
              </w:rPr>
            </w:pPr>
            <w:r w:rsidRPr="00A96689">
              <w:rPr>
                <w:rFonts w:cs="Times New Roman"/>
                <w:color w:val="000000"/>
              </w:rPr>
              <w:t>0.001</w:t>
            </w:r>
          </w:p>
        </w:tc>
      </w:tr>
      <w:tr w:rsidR="008C43AC" w:rsidRPr="00A96689" w14:paraId="3699C049" w14:textId="77777777" w:rsidTr="00DB6816">
        <w:trPr>
          <w:trHeight w:val="300"/>
        </w:trPr>
        <w:tc>
          <w:tcPr>
            <w:tcW w:w="2127" w:type="dxa"/>
            <w:shd w:val="clear" w:color="auto" w:fill="auto"/>
            <w:vAlign w:val="bottom"/>
          </w:tcPr>
          <w:p w14:paraId="349A856B" w14:textId="035D272A" w:rsidR="008C43AC" w:rsidRPr="00A96689" w:rsidRDefault="008C43AC">
            <w:pPr>
              <w:spacing w:after="0" w:line="240" w:lineRule="auto"/>
              <w:ind w:firstLine="164"/>
              <w:rPr>
                <w:rFonts w:cs="Times New Roman"/>
                <w:color w:val="000000"/>
              </w:rPr>
            </w:pPr>
          </w:p>
        </w:tc>
        <w:tc>
          <w:tcPr>
            <w:tcW w:w="1409" w:type="dxa"/>
            <w:shd w:val="clear" w:color="auto" w:fill="auto"/>
            <w:vAlign w:val="bottom"/>
          </w:tcPr>
          <w:p w14:paraId="26FD33B6" w14:textId="77777777" w:rsidR="008C43AC" w:rsidRPr="00A96689" w:rsidRDefault="00A81554">
            <w:pPr>
              <w:spacing w:after="0" w:line="240" w:lineRule="auto"/>
              <w:jc w:val="center"/>
              <w:rPr>
                <w:rFonts w:cs="Times New Roman"/>
                <w:color w:val="000000"/>
              </w:rPr>
            </w:pPr>
            <w:r w:rsidRPr="00A96689">
              <w:rPr>
                <w:rFonts w:cs="Times New Roman"/>
                <w:color w:val="000000"/>
              </w:rPr>
              <w:t>375 (65.2)</w:t>
            </w:r>
          </w:p>
        </w:tc>
        <w:tc>
          <w:tcPr>
            <w:tcW w:w="1555" w:type="dxa"/>
            <w:shd w:val="clear" w:color="auto" w:fill="auto"/>
            <w:vAlign w:val="bottom"/>
          </w:tcPr>
          <w:p w14:paraId="5AB59ECA" w14:textId="77777777" w:rsidR="008C43AC" w:rsidRPr="00A96689" w:rsidRDefault="00A81554">
            <w:pPr>
              <w:spacing w:after="0" w:line="240" w:lineRule="auto"/>
              <w:jc w:val="center"/>
              <w:rPr>
                <w:rFonts w:cs="Times New Roman"/>
                <w:color w:val="000000"/>
              </w:rPr>
            </w:pPr>
            <w:r w:rsidRPr="00A96689">
              <w:rPr>
                <w:rFonts w:cs="Times New Roman"/>
                <w:color w:val="000000"/>
              </w:rPr>
              <w:t>286 (62.0)</w:t>
            </w:r>
          </w:p>
        </w:tc>
        <w:tc>
          <w:tcPr>
            <w:tcW w:w="1417" w:type="dxa"/>
            <w:shd w:val="clear" w:color="auto" w:fill="auto"/>
            <w:vAlign w:val="bottom"/>
          </w:tcPr>
          <w:p w14:paraId="049984C7" w14:textId="77777777" w:rsidR="008C43AC" w:rsidRPr="00A96689" w:rsidRDefault="00A81554">
            <w:pPr>
              <w:spacing w:after="0" w:line="240" w:lineRule="auto"/>
              <w:jc w:val="center"/>
              <w:rPr>
                <w:rFonts w:cs="Times New Roman"/>
                <w:color w:val="000000"/>
              </w:rPr>
            </w:pPr>
            <w:r w:rsidRPr="00A96689">
              <w:rPr>
                <w:rFonts w:cs="Times New Roman"/>
                <w:color w:val="000000"/>
              </w:rPr>
              <w:t>89 (78.1)</w:t>
            </w:r>
          </w:p>
        </w:tc>
        <w:tc>
          <w:tcPr>
            <w:tcW w:w="987" w:type="dxa"/>
            <w:shd w:val="clear" w:color="auto" w:fill="auto"/>
            <w:vAlign w:val="bottom"/>
          </w:tcPr>
          <w:p w14:paraId="10876E28" w14:textId="77777777" w:rsidR="008C43AC" w:rsidRPr="00A96689" w:rsidRDefault="008C43AC">
            <w:pPr>
              <w:spacing w:after="0" w:line="240" w:lineRule="auto"/>
              <w:jc w:val="center"/>
              <w:rPr>
                <w:rFonts w:cs="Times New Roman"/>
                <w:color w:val="000000"/>
              </w:rPr>
            </w:pPr>
          </w:p>
        </w:tc>
      </w:tr>
      <w:tr w:rsidR="008C43AC" w:rsidRPr="00A96689" w14:paraId="00A3427D" w14:textId="77777777" w:rsidTr="00DB6816">
        <w:trPr>
          <w:trHeight w:val="300"/>
        </w:trPr>
        <w:tc>
          <w:tcPr>
            <w:tcW w:w="2127" w:type="dxa"/>
            <w:shd w:val="clear" w:color="auto" w:fill="auto"/>
            <w:vAlign w:val="bottom"/>
          </w:tcPr>
          <w:p w14:paraId="43727C7F" w14:textId="6C0F7F3B" w:rsidR="008C43AC" w:rsidRPr="00A96689" w:rsidRDefault="00A81554">
            <w:pPr>
              <w:spacing w:after="0" w:line="240" w:lineRule="auto"/>
              <w:rPr>
                <w:rFonts w:cs="Times New Roman"/>
                <w:color w:val="000000"/>
              </w:rPr>
            </w:pPr>
            <w:r w:rsidRPr="00A96689">
              <w:rPr>
                <w:rFonts w:cs="Times New Roman"/>
                <w:color w:val="000000"/>
              </w:rPr>
              <w:t>Hypertension</w:t>
            </w:r>
            <w:r w:rsidR="006143B8" w:rsidRPr="00A96689">
              <w:rPr>
                <w:rFonts w:cs="Times New Roman"/>
                <w:color w:val="000000"/>
              </w:rPr>
              <w:t xml:space="preserve"> </w:t>
            </w:r>
            <w:r w:rsidR="003544A5" w:rsidRPr="00A96689">
              <w:rPr>
                <w:rFonts w:cs="Times New Roman"/>
                <w:color w:val="000000"/>
                <w:lang w:val="en-GB"/>
              </w:rPr>
              <w:t>n (%)</w:t>
            </w:r>
          </w:p>
        </w:tc>
        <w:tc>
          <w:tcPr>
            <w:tcW w:w="1409" w:type="dxa"/>
            <w:shd w:val="clear" w:color="auto" w:fill="auto"/>
            <w:vAlign w:val="bottom"/>
          </w:tcPr>
          <w:p w14:paraId="1A1EF506" w14:textId="77777777" w:rsidR="008C43AC" w:rsidRPr="00A96689" w:rsidRDefault="008C43AC">
            <w:pPr>
              <w:spacing w:after="0" w:line="240" w:lineRule="auto"/>
              <w:jc w:val="center"/>
              <w:rPr>
                <w:rFonts w:cs="Times New Roman"/>
                <w:color w:val="000000"/>
              </w:rPr>
            </w:pPr>
          </w:p>
        </w:tc>
        <w:tc>
          <w:tcPr>
            <w:tcW w:w="1555" w:type="dxa"/>
            <w:shd w:val="clear" w:color="auto" w:fill="auto"/>
            <w:vAlign w:val="bottom"/>
          </w:tcPr>
          <w:p w14:paraId="30AA9556" w14:textId="77777777" w:rsidR="008C43AC" w:rsidRPr="00A96689" w:rsidRDefault="008C43AC">
            <w:pPr>
              <w:spacing w:after="0" w:line="240" w:lineRule="auto"/>
              <w:rPr>
                <w:rFonts w:cs="Times New Roman"/>
                <w:color w:val="000000"/>
              </w:rPr>
            </w:pPr>
          </w:p>
        </w:tc>
        <w:tc>
          <w:tcPr>
            <w:tcW w:w="1417" w:type="dxa"/>
            <w:shd w:val="clear" w:color="auto" w:fill="auto"/>
            <w:vAlign w:val="bottom"/>
          </w:tcPr>
          <w:p w14:paraId="1B2FD9E3" w14:textId="77777777" w:rsidR="008C43AC" w:rsidRPr="00A96689" w:rsidRDefault="008C43AC">
            <w:pPr>
              <w:spacing w:after="0" w:line="240" w:lineRule="auto"/>
              <w:jc w:val="center"/>
              <w:rPr>
                <w:rFonts w:cs="Times New Roman"/>
                <w:color w:val="000000"/>
              </w:rPr>
            </w:pPr>
          </w:p>
        </w:tc>
        <w:tc>
          <w:tcPr>
            <w:tcW w:w="987" w:type="dxa"/>
            <w:shd w:val="clear" w:color="auto" w:fill="auto"/>
            <w:vAlign w:val="bottom"/>
          </w:tcPr>
          <w:p w14:paraId="15C6A48C" w14:textId="77777777" w:rsidR="008C43AC" w:rsidRPr="00A96689" w:rsidRDefault="00A81554">
            <w:pPr>
              <w:spacing w:after="0" w:line="240" w:lineRule="auto"/>
              <w:jc w:val="center"/>
              <w:rPr>
                <w:rFonts w:cs="Times New Roman"/>
                <w:color w:val="000000"/>
              </w:rPr>
            </w:pPr>
            <w:r w:rsidRPr="00A96689">
              <w:rPr>
                <w:rFonts w:cs="Times New Roman"/>
                <w:color w:val="000000"/>
              </w:rPr>
              <w:t>0.332</w:t>
            </w:r>
          </w:p>
        </w:tc>
      </w:tr>
      <w:tr w:rsidR="008C43AC" w:rsidRPr="00A96689" w14:paraId="648A887A" w14:textId="77777777" w:rsidTr="00DB6816">
        <w:trPr>
          <w:trHeight w:val="300"/>
        </w:trPr>
        <w:tc>
          <w:tcPr>
            <w:tcW w:w="2127" w:type="dxa"/>
            <w:shd w:val="clear" w:color="auto" w:fill="auto"/>
            <w:vAlign w:val="bottom"/>
          </w:tcPr>
          <w:p w14:paraId="07B77D80" w14:textId="21365C54" w:rsidR="008C43AC" w:rsidRPr="00A96689" w:rsidRDefault="008C43AC">
            <w:pPr>
              <w:spacing w:after="0" w:line="240" w:lineRule="auto"/>
              <w:ind w:firstLine="164"/>
              <w:rPr>
                <w:rFonts w:cs="Times New Roman"/>
                <w:color w:val="000000"/>
              </w:rPr>
            </w:pPr>
          </w:p>
        </w:tc>
        <w:tc>
          <w:tcPr>
            <w:tcW w:w="1409" w:type="dxa"/>
            <w:shd w:val="clear" w:color="auto" w:fill="auto"/>
            <w:vAlign w:val="bottom"/>
          </w:tcPr>
          <w:p w14:paraId="25564A4E" w14:textId="77777777" w:rsidR="008C43AC" w:rsidRPr="00A96689" w:rsidRDefault="00A81554">
            <w:pPr>
              <w:spacing w:after="0" w:line="240" w:lineRule="auto"/>
              <w:jc w:val="center"/>
              <w:rPr>
                <w:rFonts w:cs="Times New Roman"/>
                <w:color w:val="000000"/>
              </w:rPr>
            </w:pPr>
            <w:r w:rsidRPr="00A96689">
              <w:rPr>
                <w:rFonts w:cs="Times New Roman"/>
                <w:color w:val="000000"/>
              </w:rPr>
              <w:t>397 (69.0)</w:t>
            </w:r>
          </w:p>
        </w:tc>
        <w:tc>
          <w:tcPr>
            <w:tcW w:w="1555" w:type="dxa"/>
            <w:shd w:val="clear" w:color="auto" w:fill="auto"/>
            <w:vAlign w:val="bottom"/>
          </w:tcPr>
          <w:p w14:paraId="7A6D4BA7" w14:textId="77777777" w:rsidR="008C43AC" w:rsidRPr="00A96689" w:rsidRDefault="00A81554">
            <w:pPr>
              <w:spacing w:after="0" w:line="240" w:lineRule="auto"/>
              <w:jc w:val="center"/>
              <w:rPr>
                <w:rFonts w:cs="Times New Roman"/>
                <w:color w:val="000000"/>
              </w:rPr>
            </w:pPr>
            <w:r w:rsidRPr="00A96689">
              <w:rPr>
                <w:rFonts w:cs="Times New Roman"/>
                <w:color w:val="000000"/>
              </w:rPr>
              <w:t>314 (68.1)</w:t>
            </w:r>
          </w:p>
        </w:tc>
        <w:tc>
          <w:tcPr>
            <w:tcW w:w="1417" w:type="dxa"/>
            <w:shd w:val="clear" w:color="auto" w:fill="auto"/>
            <w:vAlign w:val="bottom"/>
          </w:tcPr>
          <w:p w14:paraId="4DFC4425" w14:textId="77777777" w:rsidR="008C43AC" w:rsidRPr="00A96689" w:rsidRDefault="00A81554">
            <w:pPr>
              <w:spacing w:after="0" w:line="240" w:lineRule="auto"/>
              <w:jc w:val="center"/>
              <w:rPr>
                <w:rFonts w:cs="Times New Roman"/>
                <w:color w:val="000000"/>
              </w:rPr>
            </w:pPr>
            <w:r w:rsidRPr="00A96689">
              <w:rPr>
                <w:rFonts w:cs="Times New Roman"/>
                <w:color w:val="000000"/>
              </w:rPr>
              <w:t>83 (72.8)</w:t>
            </w:r>
          </w:p>
        </w:tc>
        <w:tc>
          <w:tcPr>
            <w:tcW w:w="987" w:type="dxa"/>
            <w:shd w:val="clear" w:color="auto" w:fill="auto"/>
            <w:vAlign w:val="bottom"/>
          </w:tcPr>
          <w:p w14:paraId="61CF30A8" w14:textId="77777777" w:rsidR="008C43AC" w:rsidRPr="00A96689" w:rsidRDefault="008C43AC">
            <w:pPr>
              <w:spacing w:after="0" w:line="240" w:lineRule="auto"/>
              <w:jc w:val="center"/>
              <w:rPr>
                <w:rFonts w:cs="Times New Roman"/>
                <w:color w:val="000000"/>
              </w:rPr>
            </w:pPr>
          </w:p>
        </w:tc>
      </w:tr>
      <w:tr w:rsidR="006143B8" w:rsidRPr="00A96689" w14:paraId="6FDAF80F" w14:textId="77777777" w:rsidTr="00DB6816">
        <w:trPr>
          <w:trHeight w:val="300"/>
        </w:trPr>
        <w:tc>
          <w:tcPr>
            <w:tcW w:w="6508" w:type="dxa"/>
            <w:gridSpan w:val="4"/>
            <w:shd w:val="clear" w:color="auto" w:fill="auto"/>
            <w:vAlign w:val="bottom"/>
          </w:tcPr>
          <w:p w14:paraId="3438C779" w14:textId="42B37F3F" w:rsidR="006143B8" w:rsidRPr="00A96689" w:rsidRDefault="006143B8" w:rsidP="006143B8">
            <w:pPr>
              <w:spacing w:after="0" w:line="240" w:lineRule="auto"/>
              <w:rPr>
                <w:rFonts w:cs="Times New Roman"/>
                <w:color w:val="000000"/>
              </w:rPr>
            </w:pPr>
            <w:r w:rsidRPr="00A96689">
              <w:rPr>
                <w:rFonts w:cs="Times New Roman"/>
                <w:color w:val="000000"/>
              </w:rPr>
              <w:t xml:space="preserve">Diabetes Mellitus </w:t>
            </w:r>
            <w:r w:rsidR="003544A5" w:rsidRPr="00A96689">
              <w:rPr>
                <w:rFonts w:cs="Times New Roman"/>
                <w:color w:val="000000"/>
                <w:lang w:val="en-GB"/>
              </w:rPr>
              <w:t>n (%)</w:t>
            </w:r>
          </w:p>
        </w:tc>
        <w:tc>
          <w:tcPr>
            <w:tcW w:w="987" w:type="dxa"/>
            <w:shd w:val="clear" w:color="auto" w:fill="auto"/>
            <w:vAlign w:val="bottom"/>
          </w:tcPr>
          <w:p w14:paraId="0149309F" w14:textId="77777777" w:rsidR="006143B8" w:rsidRPr="00A96689" w:rsidRDefault="006143B8">
            <w:pPr>
              <w:spacing w:after="0" w:line="240" w:lineRule="auto"/>
              <w:jc w:val="center"/>
              <w:rPr>
                <w:rFonts w:cs="Times New Roman"/>
                <w:color w:val="000000"/>
              </w:rPr>
            </w:pPr>
            <w:r w:rsidRPr="00A96689">
              <w:rPr>
                <w:rFonts w:cs="Times New Roman"/>
                <w:color w:val="000000"/>
              </w:rPr>
              <w:t>0.547</w:t>
            </w:r>
          </w:p>
        </w:tc>
      </w:tr>
      <w:tr w:rsidR="008C43AC" w:rsidRPr="00A96689" w14:paraId="1808C67D" w14:textId="77777777" w:rsidTr="00DB6816">
        <w:trPr>
          <w:trHeight w:val="300"/>
        </w:trPr>
        <w:tc>
          <w:tcPr>
            <w:tcW w:w="2127" w:type="dxa"/>
            <w:shd w:val="clear" w:color="auto" w:fill="auto"/>
            <w:vAlign w:val="bottom"/>
          </w:tcPr>
          <w:p w14:paraId="0C493911" w14:textId="2D31DC7C" w:rsidR="008C43AC" w:rsidRPr="00A96689" w:rsidRDefault="008C43AC">
            <w:pPr>
              <w:spacing w:after="0" w:line="240" w:lineRule="auto"/>
              <w:ind w:firstLine="164"/>
              <w:rPr>
                <w:rFonts w:cs="Times New Roman"/>
                <w:color w:val="000000"/>
              </w:rPr>
            </w:pPr>
          </w:p>
        </w:tc>
        <w:tc>
          <w:tcPr>
            <w:tcW w:w="1409" w:type="dxa"/>
            <w:shd w:val="clear" w:color="auto" w:fill="auto"/>
            <w:vAlign w:val="bottom"/>
          </w:tcPr>
          <w:p w14:paraId="701EF180" w14:textId="77777777" w:rsidR="008C43AC" w:rsidRPr="00A96689" w:rsidRDefault="00A81554">
            <w:pPr>
              <w:spacing w:after="0" w:line="240" w:lineRule="auto"/>
              <w:jc w:val="center"/>
              <w:rPr>
                <w:rFonts w:cs="Times New Roman"/>
                <w:color w:val="000000"/>
              </w:rPr>
            </w:pPr>
            <w:r w:rsidRPr="00A96689">
              <w:rPr>
                <w:rFonts w:cs="Times New Roman"/>
                <w:color w:val="000000"/>
              </w:rPr>
              <w:t>203 (35.3)</w:t>
            </w:r>
          </w:p>
        </w:tc>
        <w:tc>
          <w:tcPr>
            <w:tcW w:w="1555" w:type="dxa"/>
            <w:shd w:val="clear" w:color="auto" w:fill="auto"/>
            <w:vAlign w:val="bottom"/>
          </w:tcPr>
          <w:p w14:paraId="6E23C1C5" w14:textId="77777777" w:rsidR="008C43AC" w:rsidRPr="00A96689" w:rsidRDefault="00A81554">
            <w:pPr>
              <w:spacing w:after="0" w:line="240" w:lineRule="auto"/>
              <w:jc w:val="center"/>
              <w:rPr>
                <w:rFonts w:cs="Times New Roman"/>
                <w:color w:val="000000"/>
              </w:rPr>
            </w:pPr>
            <w:r w:rsidRPr="00A96689">
              <w:rPr>
                <w:rFonts w:cs="Times New Roman"/>
                <w:color w:val="000000"/>
              </w:rPr>
              <w:t>160 (34.7)</w:t>
            </w:r>
          </w:p>
        </w:tc>
        <w:tc>
          <w:tcPr>
            <w:tcW w:w="1417" w:type="dxa"/>
            <w:shd w:val="clear" w:color="auto" w:fill="auto"/>
            <w:vAlign w:val="bottom"/>
          </w:tcPr>
          <w:p w14:paraId="6CCD8F96" w14:textId="77777777" w:rsidR="008C43AC" w:rsidRPr="00A96689" w:rsidRDefault="00A81554">
            <w:pPr>
              <w:spacing w:after="0" w:line="240" w:lineRule="auto"/>
              <w:jc w:val="center"/>
              <w:rPr>
                <w:rFonts w:cs="Times New Roman"/>
                <w:color w:val="000000"/>
              </w:rPr>
            </w:pPr>
            <w:r w:rsidRPr="00A96689">
              <w:rPr>
                <w:rFonts w:cs="Times New Roman"/>
                <w:color w:val="000000"/>
              </w:rPr>
              <w:t>43 (37.7)</w:t>
            </w:r>
          </w:p>
        </w:tc>
        <w:tc>
          <w:tcPr>
            <w:tcW w:w="987" w:type="dxa"/>
            <w:shd w:val="clear" w:color="auto" w:fill="auto"/>
            <w:vAlign w:val="bottom"/>
          </w:tcPr>
          <w:p w14:paraId="250A526C" w14:textId="77777777" w:rsidR="008C43AC" w:rsidRPr="00A96689" w:rsidRDefault="008C43AC">
            <w:pPr>
              <w:spacing w:after="0" w:line="240" w:lineRule="auto"/>
              <w:jc w:val="center"/>
              <w:rPr>
                <w:rFonts w:cs="Times New Roman"/>
                <w:color w:val="000000"/>
              </w:rPr>
            </w:pPr>
          </w:p>
        </w:tc>
      </w:tr>
      <w:tr w:rsidR="0092722E" w:rsidRPr="00A96689" w14:paraId="376FFB27" w14:textId="77777777" w:rsidTr="00DB6816">
        <w:trPr>
          <w:trHeight w:val="300"/>
        </w:trPr>
        <w:tc>
          <w:tcPr>
            <w:tcW w:w="6508" w:type="dxa"/>
            <w:gridSpan w:val="4"/>
            <w:shd w:val="clear" w:color="auto" w:fill="auto"/>
            <w:vAlign w:val="bottom"/>
          </w:tcPr>
          <w:p w14:paraId="26C7F038" w14:textId="5F13AC61" w:rsidR="0092722E" w:rsidRPr="00A96689" w:rsidRDefault="0092722E" w:rsidP="0092722E">
            <w:pPr>
              <w:spacing w:after="0" w:line="240" w:lineRule="auto"/>
              <w:rPr>
                <w:rFonts w:cs="Times New Roman"/>
                <w:color w:val="000000"/>
              </w:rPr>
            </w:pPr>
            <w:r w:rsidRPr="00A96689">
              <w:rPr>
                <w:rFonts w:cs="Times New Roman"/>
                <w:color w:val="000000"/>
              </w:rPr>
              <w:lastRenderedPageBreak/>
              <w:t>Chronic Obstructive Pulmonary Disease</w:t>
            </w:r>
            <w:r w:rsidR="006143B8" w:rsidRPr="00A96689">
              <w:rPr>
                <w:rFonts w:cs="Times New Roman"/>
                <w:color w:val="000000"/>
              </w:rPr>
              <w:t xml:space="preserve"> </w:t>
            </w:r>
            <w:r w:rsidR="003544A5" w:rsidRPr="00A96689">
              <w:rPr>
                <w:rFonts w:cs="Times New Roman"/>
                <w:color w:val="000000"/>
                <w:lang w:val="en-GB"/>
              </w:rPr>
              <w:t>n (%)</w:t>
            </w:r>
          </w:p>
        </w:tc>
        <w:tc>
          <w:tcPr>
            <w:tcW w:w="987" w:type="dxa"/>
            <w:shd w:val="clear" w:color="auto" w:fill="auto"/>
            <w:vAlign w:val="bottom"/>
          </w:tcPr>
          <w:p w14:paraId="5F576950" w14:textId="77777777" w:rsidR="0092722E" w:rsidRPr="00A96689" w:rsidRDefault="0092722E">
            <w:pPr>
              <w:spacing w:after="0" w:line="240" w:lineRule="auto"/>
              <w:jc w:val="center"/>
              <w:rPr>
                <w:rFonts w:cs="Times New Roman"/>
                <w:color w:val="000000"/>
              </w:rPr>
            </w:pPr>
            <w:r w:rsidRPr="00A96689">
              <w:rPr>
                <w:rFonts w:cs="Times New Roman"/>
                <w:color w:val="000000"/>
              </w:rPr>
              <w:t>0.443</w:t>
            </w:r>
          </w:p>
        </w:tc>
      </w:tr>
      <w:tr w:rsidR="008C43AC" w:rsidRPr="00A96689" w14:paraId="3BF57DEF" w14:textId="77777777" w:rsidTr="00DB6816">
        <w:trPr>
          <w:trHeight w:val="300"/>
        </w:trPr>
        <w:tc>
          <w:tcPr>
            <w:tcW w:w="2127" w:type="dxa"/>
            <w:shd w:val="clear" w:color="auto" w:fill="auto"/>
            <w:vAlign w:val="bottom"/>
          </w:tcPr>
          <w:p w14:paraId="78BF5F32" w14:textId="367C4D11" w:rsidR="008C43AC" w:rsidRPr="00A96689" w:rsidRDefault="008C43AC">
            <w:pPr>
              <w:spacing w:after="0" w:line="240" w:lineRule="auto"/>
              <w:ind w:firstLine="164"/>
              <w:rPr>
                <w:rFonts w:cs="Times New Roman"/>
                <w:color w:val="000000"/>
              </w:rPr>
            </w:pPr>
          </w:p>
        </w:tc>
        <w:tc>
          <w:tcPr>
            <w:tcW w:w="1409" w:type="dxa"/>
            <w:shd w:val="clear" w:color="auto" w:fill="auto"/>
            <w:vAlign w:val="bottom"/>
          </w:tcPr>
          <w:p w14:paraId="60B3FE98" w14:textId="77777777" w:rsidR="008C43AC" w:rsidRPr="00A96689" w:rsidRDefault="00A81554">
            <w:pPr>
              <w:spacing w:after="0" w:line="240" w:lineRule="auto"/>
              <w:jc w:val="center"/>
              <w:rPr>
                <w:rFonts w:cs="Times New Roman"/>
                <w:color w:val="000000"/>
              </w:rPr>
            </w:pPr>
            <w:r w:rsidRPr="00A96689">
              <w:rPr>
                <w:rFonts w:cs="Times New Roman"/>
                <w:color w:val="000000"/>
              </w:rPr>
              <w:t>50 (8.7)</w:t>
            </w:r>
          </w:p>
        </w:tc>
        <w:tc>
          <w:tcPr>
            <w:tcW w:w="1555" w:type="dxa"/>
            <w:shd w:val="clear" w:color="auto" w:fill="auto"/>
            <w:vAlign w:val="bottom"/>
          </w:tcPr>
          <w:p w14:paraId="743AE9C1" w14:textId="77777777" w:rsidR="008C43AC" w:rsidRPr="00A96689" w:rsidRDefault="00A81554">
            <w:pPr>
              <w:spacing w:after="0" w:line="240" w:lineRule="auto"/>
              <w:jc w:val="center"/>
              <w:rPr>
                <w:rFonts w:cs="Times New Roman"/>
                <w:color w:val="000000"/>
              </w:rPr>
            </w:pPr>
            <w:r w:rsidRPr="00A96689">
              <w:rPr>
                <w:rFonts w:cs="Times New Roman"/>
                <w:color w:val="000000"/>
              </w:rPr>
              <w:t>38 (8.3)</w:t>
            </w:r>
          </w:p>
        </w:tc>
        <w:tc>
          <w:tcPr>
            <w:tcW w:w="1417" w:type="dxa"/>
            <w:shd w:val="clear" w:color="auto" w:fill="auto"/>
            <w:vAlign w:val="bottom"/>
          </w:tcPr>
          <w:p w14:paraId="13267778" w14:textId="77777777" w:rsidR="008C43AC" w:rsidRPr="00A96689" w:rsidRDefault="00A81554">
            <w:pPr>
              <w:spacing w:after="0" w:line="240" w:lineRule="auto"/>
              <w:jc w:val="center"/>
              <w:rPr>
                <w:rFonts w:cs="Times New Roman"/>
                <w:color w:val="000000"/>
              </w:rPr>
            </w:pPr>
            <w:r w:rsidRPr="00A96689">
              <w:rPr>
                <w:rFonts w:cs="Times New Roman"/>
                <w:color w:val="000000"/>
              </w:rPr>
              <w:t>12 (10.5)</w:t>
            </w:r>
          </w:p>
        </w:tc>
        <w:tc>
          <w:tcPr>
            <w:tcW w:w="987" w:type="dxa"/>
            <w:shd w:val="clear" w:color="auto" w:fill="auto"/>
            <w:vAlign w:val="bottom"/>
          </w:tcPr>
          <w:p w14:paraId="45C1EEDD" w14:textId="77777777" w:rsidR="008C43AC" w:rsidRPr="00A96689" w:rsidRDefault="008C43AC">
            <w:pPr>
              <w:spacing w:after="0" w:line="240" w:lineRule="auto"/>
              <w:jc w:val="center"/>
              <w:rPr>
                <w:rFonts w:cs="Times New Roman"/>
                <w:color w:val="000000"/>
              </w:rPr>
            </w:pPr>
          </w:p>
        </w:tc>
      </w:tr>
      <w:tr w:rsidR="007A04C0" w:rsidRPr="00A96689" w14:paraId="18FF29F7" w14:textId="77777777" w:rsidTr="00DB6816">
        <w:trPr>
          <w:trHeight w:val="300"/>
        </w:trPr>
        <w:tc>
          <w:tcPr>
            <w:tcW w:w="6508" w:type="dxa"/>
            <w:gridSpan w:val="4"/>
            <w:shd w:val="clear" w:color="auto" w:fill="auto"/>
            <w:vAlign w:val="bottom"/>
          </w:tcPr>
          <w:p w14:paraId="1D9399AF" w14:textId="064AE69F" w:rsidR="007A04C0" w:rsidRPr="00A96689" w:rsidRDefault="007A04C0" w:rsidP="007A04C0">
            <w:pPr>
              <w:spacing w:after="0" w:line="240" w:lineRule="auto"/>
              <w:rPr>
                <w:rFonts w:cs="Times New Roman"/>
                <w:color w:val="000000"/>
              </w:rPr>
            </w:pPr>
            <w:r w:rsidRPr="00A96689">
              <w:rPr>
                <w:rFonts w:cs="Times New Roman"/>
                <w:color w:val="000000"/>
              </w:rPr>
              <w:t>Congestive Heart Failure</w:t>
            </w:r>
            <w:r w:rsidR="006143B8" w:rsidRPr="00A96689">
              <w:rPr>
                <w:rFonts w:cs="Times New Roman"/>
                <w:color w:val="000000"/>
              </w:rPr>
              <w:t xml:space="preserve"> </w:t>
            </w:r>
            <w:r w:rsidR="003544A5" w:rsidRPr="00A96689">
              <w:rPr>
                <w:rFonts w:cs="Times New Roman"/>
                <w:color w:val="000000"/>
                <w:lang w:val="en-GB"/>
              </w:rPr>
              <w:t>n (%)</w:t>
            </w:r>
          </w:p>
        </w:tc>
        <w:tc>
          <w:tcPr>
            <w:tcW w:w="987" w:type="dxa"/>
            <w:shd w:val="clear" w:color="auto" w:fill="auto"/>
            <w:vAlign w:val="bottom"/>
          </w:tcPr>
          <w:p w14:paraId="427B8DE4" w14:textId="77777777" w:rsidR="007A04C0" w:rsidRPr="00A96689" w:rsidRDefault="007A04C0">
            <w:pPr>
              <w:spacing w:after="0" w:line="240" w:lineRule="auto"/>
              <w:jc w:val="center"/>
              <w:rPr>
                <w:rFonts w:cs="Times New Roman"/>
                <w:color w:val="000000"/>
              </w:rPr>
            </w:pPr>
            <w:r w:rsidRPr="00A96689">
              <w:rPr>
                <w:rFonts w:cs="Times New Roman"/>
                <w:color w:val="000000"/>
              </w:rPr>
              <w:t>0.802</w:t>
            </w:r>
          </w:p>
        </w:tc>
      </w:tr>
      <w:tr w:rsidR="008C43AC" w:rsidRPr="00A96689" w14:paraId="7586767E" w14:textId="77777777" w:rsidTr="00DB6816">
        <w:trPr>
          <w:trHeight w:val="300"/>
        </w:trPr>
        <w:tc>
          <w:tcPr>
            <w:tcW w:w="2127" w:type="dxa"/>
            <w:shd w:val="clear" w:color="auto" w:fill="auto"/>
            <w:vAlign w:val="bottom"/>
          </w:tcPr>
          <w:p w14:paraId="4999AADC" w14:textId="5DA9D435" w:rsidR="008C43AC" w:rsidRPr="00A96689" w:rsidRDefault="008C43AC">
            <w:pPr>
              <w:spacing w:after="0" w:line="240" w:lineRule="auto"/>
              <w:ind w:firstLine="164"/>
              <w:rPr>
                <w:rFonts w:cs="Times New Roman"/>
                <w:color w:val="000000"/>
              </w:rPr>
            </w:pPr>
          </w:p>
        </w:tc>
        <w:tc>
          <w:tcPr>
            <w:tcW w:w="1409" w:type="dxa"/>
            <w:shd w:val="clear" w:color="auto" w:fill="auto"/>
            <w:vAlign w:val="bottom"/>
          </w:tcPr>
          <w:p w14:paraId="273C9782" w14:textId="77777777" w:rsidR="008C43AC" w:rsidRPr="00A96689" w:rsidRDefault="00A81554">
            <w:pPr>
              <w:spacing w:after="0" w:line="240" w:lineRule="auto"/>
              <w:jc w:val="center"/>
              <w:rPr>
                <w:rFonts w:cs="Times New Roman"/>
                <w:color w:val="000000"/>
              </w:rPr>
            </w:pPr>
            <w:r w:rsidRPr="00A96689">
              <w:rPr>
                <w:rFonts w:cs="Times New Roman"/>
                <w:color w:val="000000"/>
              </w:rPr>
              <w:t>64 (11.2)</w:t>
            </w:r>
          </w:p>
        </w:tc>
        <w:tc>
          <w:tcPr>
            <w:tcW w:w="1555" w:type="dxa"/>
            <w:shd w:val="clear" w:color="auto" w:fill="auto"/>
            <w:vAlign w:val="bottom"/>
          </w:tcPr>
          <w:p w14:paraId="5A8D2B0B" w14:textId="77777777" w:rsidR="008C43AC" w:rsidRPr="00A96689" w:rsidRDefault="00A81554">
            <w:pPr>
              <w:spacing w:after="0" w:line="240" w:lineRule="auto"/>
              <w:jc w:val="center"/>
              <w:rPr>
                <w:rFonts w:cs="Times New Roman"/>
                <w:color w:val="000000"/>
              </w:rPr>
            </w:pPr>
            <w:r w:rsidRPr="00A96689">
              <w:rPr>
                <w:rFonts w:cs="Times New Roman"/>
                <w:color w:val="000000"/>
              </w:rPr>
              <w:t>52 (11.4)</w:t>
            </w:r>
          </w:p>
        </w:tc>
        <w:tc>
          <w:tcPr>
            <w:tcW w:w="1417" w:type="dxa"/>
            <w:shd w:val="clear" w:color="auto" w:fill="auto"/>
            <w:vAlign w:val="bottom"/>
          </w:tcPr>
          <w:p w14:paraId="74B93682" w14:textId="77777777" w:rsidR="008C43AC" w:rsidRPr="00A96689" w:rsidRDefault="00A81554">
            <w:pPr>
              <w:spacing w:after="0" w:line="240" w:lineRule="auto"/>
              <w:jc w:val="center"/>
              <w:rPr>
                <w:rFonts w:cs="Times New Roman"/>
                <w:color w:val="000000"/>
              </w:rPr>
            </w:pPr>
            <w:r w:rsidRPr="00A96689">
              <w:rPr>
                <w:rFonts w:cs="Times New Roman"/>
                <w:color w:val="000000"/>
              </w:rPr>
              <w:t>12 (10.5)</w:t>
            </w:r>
          </w:p>
        </w:tc>
        <w:tc>
          <w:tcPr>
            <w:tcW w:w="987" w:type="dxa"/>
            <w:shd w:val="clear" w:color="auto" w:fill="auto"/>
            <w:vAlign w:val="bottom"/>
          </w:tcPr>
          <w:p w14:paraId="006D208D" w14:textId="77777777" w:rsidR="008C43AC" w:rsidRPr="00A96689" w:rsidRDefault="008C43AC">
            <w:pPr>
              <w:spacing w:after="0" w:line="240" w:lineRule="auto"/>
              <w:jc w:val="center"/>
              <w:rPr>
                <w:rFonts w:cs="Times New Roman"/>
                <w:color w:val="000000"/>
              </w:rPr>
            </w:pPr>
          </w:p>
        </w:tc>
      </w:tr>
      <w:tr w:rsidR="008C43AC" w:rsidRPr="00A96689" w14:paraId="30787042" w14:textId="77777777" w:rsidTr="00DB6816">
        <w:trPr>
          <w:trHeight w:val="300"/>
        </w:trPr>
        <w:tc>
          <w:tcPr>
            <w:tcW w:w="2127" w:type="dxa"/>
            <w:shd w:val="clear" w:color="auto" w:fill="auto"/>
            <w:vAlign w:val="bottom"/>
          </w:tcPr>
          <w:p w14:paraId="427CC599" w14:textId="39917BE0" w:rsidR="008C43AC" w:rsidRPr="00A96689" w:rsidRDefault="00A81554">
            <w:pPr>
              <w:spacing w:after="0" w:line="240" w:lineRule="auto"/>
              <w:rPr>
                <w:rFonts w:cs="Times New Roman"/>
                <w:color w:val="000000"/>
              </w:rPr>
            </w:pPr>
            <w:r w:rsidRPr="00A96689">
              <w:rPr>
                <w:rFonts w:cs="Times New Roman"/>
                <w:color w:val="000000"/>
              </w:rPr>
              <w:t>Nocturia</w:t>
            </w:r>
            <w:r w:rsidR="006143B8" w:rsidRPr="00A96689">
              <w:rPr>
                <w:rFonts w:cs="Times New Roman"/>
                <w:color w:val="000000"/>
              </w:rPr>
              <w:t xml:space="preserve"> </w:t>
            </w:r>
            <w:r w:rsidR="003544A5" w:rsidRPr="00A96689">
              <w:rPr>
                <w:rFonts w:cs="Times New Roman"/>
                <w:color w:val="000000"/>
                <w:lang w:val="en-GB"/>
              </w:rPr>
              <w:t>n (%)</w:t>
            </w:r>
          </w:p>
        </w:tc>
        <w:tc>
          <w:tcPr>
            <w:tcW w:w="1409" w:type="dxa"/>
            <w:shd w:val="clear" w:color="auto" w:fill="auto"/>
            <w:vAlign w:val="bottom"/>
          </w:tcPr>
          <w:p w14:paraId="47B54D55" w14:textId="77777777" w:rsidR="008C43AC" w:rsidRPr="00A96689" w:rsidRDefault="008C43AC">
            <w:pPr>
              <w:spacing w:after="0" w:line="240" w:lineRule="auto"/>
              <w:jc w:val="center"/>
              <w:rPr>
                <w:rFonts w:cs="Times New Roman"/>
                <w:color w:val="000000"/>
              </w:rPr>
            </w:pPr>
          </w:p>
        </w:tc>
        <w:tc>
          <w:tcPr>
            <w:tcW w:w="1555" w:type="dxa"/>
            <w:shd w:val="clear" w:color="auto" w:fill="auto"/>
            <w:vAlign w:val="bottom"/>
          </w:tcPr>
          <w:p w14:paraId="11648C0D" w14:textId="77777777" w:rsidR="008C43AC" w:rsidRPr="00A96689" w:rsidRDefault="008C43AC">
            <w:pPr>
              <w:spacing w:after="0" w:line="240" w:lineRule="auto"/>
              <w:jc w:val="center"/>
              <w:rPr>
                <w:rFonts w:cs="Times New Roman"/>
                <w:color w:val="000000"/>
              </w:rPr>
            </w:pPr>
          </w:p>
        </w:tc>
        <w:tc>
          <w:tcPr>
            <w:tcW w:w="1417" w:type="dxa"/>
            <w:shd w:val="clear" w:color="auto" w:fill="auto"/>
            <w:vAlign w:val="bottom"/>
          </w:tcPr>
          <w:p w14:paraId="595D7DDA" w14:textId="77777777" w:rsidR="008C43AC" w:rsidRPr="00A96689" w:rsidRDefault="008C43AC">
            <w:pPr>
              <w:spacing w:after="0" w:line="240" w:lineRule="auto"/>
              <w:jc w:val="center"/>
              <w:rPr>
                <w:rFonts w:cs="Times New Roman"/>
                <w:color w:val="000000"/>
              </w:rPr>
            </w:pPr>
          </w:p>
        </w:tc>
        <w:tc>
          <w:tcPr>
            <w:tcW w:w="987" w:type="dxa"/>
            <w:shd w:val="clear" w:color="auto" w:fill="auto"/>
            <w:vAlign w:val="bottom"/>
          </w:tcPr>
          <w:p w14:paraId="72B1F7B3" w14:textId="77777777" w:rsidR="008C43AC" w:rsidRPr="00A96689" w:rsidRDefault="00A81554">
            <w:pPr>
              <w:spacing w:after="0" w:line="240" w:lineRule="auto"/>
              <w:jc w:val="center"/>
              <w:rPr>
                <w:rFonts w:cs="Times New Roman"/>
                <w:color w:val="000000"/>
              </w:rPr>
            </w:pPr>
            <w:r w:rsidRPr="00A96689">
              <w:rPr>
                <w:rFonts w:cs="Times New Roman"/>
                <w:color w:val="000000"/>
              </w:rPr>
              <w:t>0.624</w:t>
            </w:r>
          </w:p>
        </w:tc>
      </w:tr>
      <w:tr w:rsidR="008C43AC" w:rsidRPr="00A96689" w14:paraId="047A2907" w14:textId="77777777" w:rsidTr="00DB6816">
        <w:trPr>
          <w:trHeight w:val="300"/>
        </w:trPr>
        <w:tc>
          <w:tcPr>
            <w:tcW w:w="2127" w:type="dxa"/>
            <w:shd w:val="clear" w:color="auto" w:fill="auto"/>
            <w:vAlign w:val="bottom"/>
          </w:tcPr>
          <w:p w14:paraId="4ACE9C29" w14:textId="74F15317" w:rsidR="008C43AC" w:rsidRPr="00A96689" w:rsidRDefault="008C43AC" w:rsidP="006143B8">
            <w:pPr>
              <w:spacing w:after="0" w:line="240" w:lineRule="auto"/>
              <w:rPr>
                <w:rFonts w:cs="Times New Roman"/>
                <w:color w:val="000000"/>
              </w:rPr>
            </w:pPr>
          </w:p>
        </w:tc>
        <w:tc>
          <w:tcPr>
            <w:tcW w:w="1409" w:type="dxa"/>
            <w:shd w:val="clear" w:color="auto" w:fill="auto"/>
            <w:vAlign w:val="bottom"/>
          </w:tcPr>
          <w:p w14:paraId="73499D52" w14:textId="77777777" w:rsidR="008C43AC" w:rsidRPr="00A96689" w:rsidRDefault="00A81554">
            <w:pPr>
              <w:spacing w:after="0" w:line="240" w:lineRule="auto"/>
              <w:jc w:val="center"/>
              <w:rPr>
                <w:rFonts w:cs="Times New Roman"/>
                <w:color w:val="000000"/>
              </w:rPr>
            </w:pPr>
            <w:r w:rsidRPr="00A96689">
              <w:rPr>
                <w:rFonts w:cs="Times New Roman"/>
                <w:color w:val="000000"/>
              </w:rPr>
              <w:t>491 (85.4)</w:t>
            </w:r>
          </w:p>
        </w:tc>
        <w:tc>
          <w:tcPr>
            <w:tcW w:w="1555" w:type="dxa"/>
            <w:shd w:val="clear" w:color="auto" w:fill="auto"/>
            <w:vAlign w:val="bottom"/>
          </w:tcPr>
          <w:p w14:paraId="6A25371E" w14:textId="77777777" w:rsidR="008C43AC" w:rsidRPr="00A96689" w:rsidRDefault="00A81554">
            <w:pPr>
              <w:spacing w:after="0" w:line="240" w:lineRule="auto"/>
              <w:jc w:val="center"/>
              <w:rPr>
                <w:rFonts w:cs="Times New Roman"/>
                <w:color w:val="000000"/>
              </w:rPr>
            </w:pPr>
            <w:r w:rsidRPr="00A96689">
              <w:rPr>
                <w:rFonts w:cs="Times New Roman"/>
                <w:color w:val="000000"/>
              </w:rPr>
              <w:t>392 (85.0)</w:t>
            </w:r>
          </w:p>
        </w:tc>
        <w:tc>
          <w:tcPr>
            <w:tcW w:w="1417" w:type="dxa"/>
            <w:shd w:val="clear" w:color="auto" w:fill="auto"/>
            <w:vAlign w:val="bottom"/>
          </w:tcPr>
          <w:p w14:paraId="30C05C21" w14:textId="77777777" w:rsidR="008C43AC" w:rsidRPr="00A96689" w:rsidRDefault="00A81554">
            <w:pPr>
              <w:spacing w:after="0" w:line="240" w:lineRule="auto"/>
              <w:jc w:val="center"/>
              <w:rPr>
                <w:rFonts w:cs="Times New Roman"/>
                <w:color w:val="000000"/>
              </w:rPr>
            </w:pPr>
            <w:r w:rsidRPr="00A96689">
              <w:rPr>
                <w:rFonts w:cs="Times New Roman"/>
                <w:color w:val="000000"/>
              </w:rPr>
              <w:t>99 (86.8)</w:t>
            </w:r>
          </w:p>
        </w:tc>
        <w:tc>
          <w:tcPr>
            <w:tcW w:w="987" w:type="dxa"/>
            <w:shd w:val="clear" w:color="auto" w:fill="auto"/>
            <w:vAlign w:val="bottom"/>
          </w:tcPr>
          <w:p w14:paraId="5E9B3CD9" w14:textId="77777777" w:rsidR="008C43AC" w:rsidRPr="00A96689" w:rsidRDefault="008C43AC">
            <w:pPr>
              <w:spacing w:after="0" w:line="240" w:lineRule="auto"/>
              <w:jc w:val="center"/>
              <w:rPr>
                <w:rFonts w:cs="Times New Roman"/>
                <w:color w:val="000000"/>
              </w:rPr>
            </w:pPr>
          </w:p>
        </w:tc>
      </w:tr>
      <w:tr w:rsidR="008C43AC" w:rsidRPr="00A96689" w14:paraId="06006FA6" w14:textId="77777777" w:rsidTr="00DB6816">
        <w:trPr>
          <w:trHeight w:val="300"/>
        </w:trPr>
        <w:tc>
          <w:tcPr>
            <w:tcW w:w="2127" w:type="dxa"/>
            <w:shd w:val="clear" w:color="auto" w:fill="auto"/>
            <w:vAlign w:val="bottom"/>
          </w:tcPr>
          <w:p w14:paraId="5D849D00" w14:textId="3FE22CE3" w:rsidR="008C43AC" w:rsidRPr="00A96689" w:rsidRDefault="00A81554">
            <w:pPr>
              <w:spacing w:after="0" w:line="240" w:lineRule="auto"/>
              <w:rPr>
                <w:rFonts w:cs="Times New Roman"/>
                <w:color w:val="000000"/>
              </w:rPr>
            </w:pPr>
            <w:r w:rsidRPr="00A96689">
              <w:rPr>
                <w:rFonts w:cs="Times New Roman"/>
                <w:color w:val="000000"/>
              </w:rPr>
              <w:t>Osteoarthritis</w:t>
            </w:r>
            <w:r w:rsidR="006143B8" w:rsidRPr="00A96689">
              <w:rPr>
                <w:rFonts w:cs="Times New Roman"/>
                <w:color w:val="000000"/>
              </w:rPr>
              <w:t xml:space="preserve"> </w:t>
            </w:r>
            <w:r w:rsidR="003544A5" w:rsidRPr="00A96689">
              <w:rPr>
                <w:rFonts w:cs="Times New Roman"/>
                <w:color w:val="000000"/>
                <w:lang w:val="en-GB"/>
              </w:rPr>
              <w:t>n (%)</w:t>
            </w:r>
          </w:p>
        </w:tc>
        <w:tc>
          <w:tcPr>
            <w:tcW w:w="1409" w:type="dxa"/>
            <w:shd w:val="clear" w:color="auto" w:fill="auto"/>
            <w:vAlign w:val="bottom"/>
          </w:tcPr>
          <w:p w14:paraId="4387F054" w14:textId="77777777" w:rsidR="008C43AC" w:rsidRPr="00A96689" w:rsidRDefault="008C43AC">
            <w:pPr>
              <w:spacing w:after="0" w:line="240" w:lineRule="auto"/>
              <w:jc w:val="center"/>
              <w:rPr>
                <w:rFonts w:cs="Times New Roman"/>
                <w:color w:val="000000"/>
              </w:rPr>
            </w:pPr>
          </w:p>
        </w:tc>
        <w:tc>
          <w:tcPr>
            <w:tcW w:w="1555" w:type="dxa"/>
            <w:shd w:val="clear" w:color="auto" w:fill="auto"/>
            <w:vAlign w:val="bottom"/>
          </w:tcPr>
          <w:p w14:paraId="511B8C7F" w14:textId="77777777" w:rsidR="008C43AC" w:rsidRPr="00A96689" w:rsidRDefault="008C43AC">
            <w:pPr>
              <w:spacing w:after="0" w:line="240" w:lineRule="auto"/>
              <w:jc w:val="center"/>
              <w:rPr>
                <w:rFonts w:eastAsia="Times New Roman" w:cs="Times New Roman"/>
              </w:rPr>
            </w:pPr>
          </w:p>
        </w:tc>
        <w:tc>
          <w:tcPr>
            <w:tcW w:w="1417" w:type="dxa"/>
            <w:shd w:val="clear" w:color="auto" w:fill="auto"/>
            <w:vAlign w:val="bottom"/>
          </w:tcPr>
          <w:p w14:paraId="28E9D701" w14:textId="77777777" w:rsidR="008C43AC" w:rsidRPr="00A96689" w:rsidRDefault="008C43AC">
            <w:pPr>
              <w:spacing w:after="0" w:line="240" w:lineRule="auto"/>
              <w:jc w:val="center"/>
              <w:rPr>
                <w:rFonts w:eastAsia="Times New Roman" w:cs="Times New Roman"/>
              </w:rPr>
            </w:pPr>
          </w:p>
        </w:tc>
        <w:tc>
          <w:tcPr>
            <w:tcW w:w="987" w:type="dxa"/>
            <w:shd w:val="clear" w:color="auto" w:fill="auto"/>
            <w:vAlign w:val="bottom"/>
          </w:tcPr>
          <w:p w14:paraId="2DEA064C" w14:textId="517F048B" w:rsidR="008C43AC" w:rsidRPr="00A96689" w:rsidRDefault="00EA21A0">
            <w:pPr>
              <w:spacing w:after="0" w:line="240" w:lineRule="auto"/>
              <w:jc w:val="center"/>
              <w:rPr>
                <w:rFonts w:eastAsia="Times New Roman" w:cs="Times New Roman"/>
              </w:rPr>
            </w:pPr>
            <w:r w:rsidRPr="00A96689">
              <w:rPr>
                <w:rFonts w:eastAsia="Times New Roman" w:cs="Times New Roman"/>
              </w:rPr>
              <w:t>0.093</w:t>
            </w:r>
          </w:p>
        </w:tc>
      </w:tr>
      <w:tr w:rsidR="008C43AC" w:rsidRPr="00A96689" w14:paraId="2EF36F17" w14:textId="77777777" w:rsidTr="00DB6816">
        <w:trPr>
          <w:trHeight w:val="300"/>
        </w:trPr>
        <w:tc>
          <w:tcPr>
            <w:tcW w:w="2127" w:type="dxa"/>
            <w:shd w:val="clear" w:color="auto" w:fill="auto"/>
            <w:vAlign w:val="bottom"/>
          </w:tcPr>
          <w:p w14:paraId="7755B86C" w14:textId="641B5A9A" w:rsidR="008C43AC" w:rsidRPr="00A96689" w:rsidRDefault="008C43AC">
            <w:pPr>
              <w:spacing w:after="0" w:line="240" w:lineRule="auto"/>
              <w:ind w:firstLine="164"/>
              <w:rPr>
                <w:rFonts w:cs="Times New Roman"/>
                <w:color w:val="000000"/>
              </w:rPr>
            </w:pPr>
          </w:p>
        </w:tc>
        <w:tc>
          <w:tcPr>
            <w:tcW w:w="1409" w:type="dxa"/>
            <w:shd w:val="clear" w:color="auto" w:fill="auto"/>
            <w:vAlign w:val="bottom"/>
          </w:tcPr>
          <w:p w14:paraId="2E90F4B5" w14:textId="77777777" w:rsidR="008C43AC" w:rsidRPr="00A96689" w:rsidRDefault="00A81554">
            <w:pPr>
              <w:spacing w:after="0" w:line="240" w:lineRule="auto"/>
              <w:jc w:val="center"/>
              <w:rPr>
                <w:rFonts w:cs="Times New Roman"/>
                <w:color w:val="000000"/>
              </w:rPr>
            </w:pPr>
            <w:r w:rsidRPr="00A96689">
              <w:rPr>
                <w:rFonts w:cs="Times New Roman"/>
                <w:color w:val="000000"/>
              </w:rPr>
              <w:t>72 (12.6)</w:t>
            </w:r>
          </w:p>
        </w:tc>
        <w:tc>
          <w:tcPr>
            <w:tcW w:w="1555" w:type="dxa"/>
            <w:shd w:val="clear" w:color="auto" w:fill="auto"/>
            <w:vAlign w:val="bottom"/>
          </w:tcPr>
          <w:p w14:paraId="0A0885C5" w14:textId="77777777" w:rsidR="008C43AC" w:rsidRPr="00A96689" w:rsidRDefault="00A81554">
            <w:pPr>
              <w:spacing w:after="0" w:line="240" w:lineRule="auto"/>
              <w:jc w:val="center"/>
              <w:rPr>
                <w:rFonts w:cs="Times New Roman"/>
                <w:color w:val="000000"/>
              </w:rPr>
            </w:pPr>
            <w:r w:rsidRPr="00A96689">
              <w:rPr>
                <w:rFonts w:cs="Times New Roman"/>
                <w:color w:val="000000"/>
              </w:rPr>
              <w:t>63 (13.7)</w:t>
            </w:r>
          </w:p>
        </w:tc>
        <w:tc>
          <w:tcPr>
            <w:tcW w:w="1417" w:type="dxa"/>
            <w:shd w:val="clear" w:color="auto" w:fill="auto"/>
            <w:vAlign w:val="bottom"/>
          </w:tcPr>
          <w:p w14:paraId="04008B05" w14:textId="77777777" w:rsidR="008C43AC" w:rsidRPr="00A96689" w:rsidRDefault="00A81554">
            <w:pPr>
              <w:spacing w:after="0" w:line="240" w:lineRule="auto"/>
              <w:jc w:val="center"/>
              <w:rPr>
                <w:rFonts w:cs="Times New Roman"/>
                <w:color w:val="000000"/>
              </w:rPr>
            </w:pPr>
            <w:r w:rsidRPr="00A96689">
              <w:rPr>
                <w:rFonts w:cs="Times New Roman"/>
                <w:color w:val="000000"/>
              </w:rPr>
              <w:t>9 (7.9)</w:t>
            </w:r>
          </w:p>
        </w:tc>
        <w:tc>
          <w:tcPr>
            <w:tcW w:w="987" w:type="dxa"/>
            <w:shd w:val="clear" w:color="auto" w:fill="auto"/>
            <w:vAlign w:val="bottom"/>
          </w:tcPr>
          <w:p w14:paraId="23E1F7FD" w14:textId="77777777" w:rsidR="008C43AC" w:rsidRPr="00A96689" w:rsidRDefault="008C43AC">
            <w:pPr>
              <w:spacing w:after="0" w:line="240" w:lineRule="auto"/>
              <w:jc w:val="center"/>
              <w:rPr>
                <w:rFonts w:cs="Times New Roman"/>
                <w:color w:val="000000"/>
              </w:rPr>
            </w:pPr>
          </w:p>
        </w:tc>
      </w:tr>
      <w:tr w:rsidR="006143B8" w:rsidRPr="00A96689" w14:paraId="766588B6" w14:textId="77777777" w:rsidTr="00DB6816">
        <w:trPr>
          <w:trHeight w:val="300"/>
        </w:trPr>
        <w:tc>
          <w:tcPr>
            <w:tcW w:w="6508" w:type="dxa"/>
            <w:gridSpan w:val="4"/>
            <w:shd w:val="clear" w:color="auto" w:fill="auto"/>
            <w:vAlign w:val="bottom"/>
          </w:tcPr>
          <w:p w14:paraId="3BCE3554" w14:textId="5DD4ACB0" w:rsidR="006143B8" w:rsidRPr="00A96689" w:rsidRDefault="006143B8" w:rsidP="006143B8">
            <w:pPr>
              <w:spacing w:after="0" w:line="240" w:lineRule="auto"/>
              <w:rPr>
                <w:rFonts w:eastAsia="Times New Roman" w:cs="Times New Roman"/>
              </w:rPr>
            </w:pPr>
            <w:r w:rsidRPr="00A96689">
              <w:rPr>
                <w:rFonts w:cs="Times New Roman"/>
                <w:color w:val="000000"/>
              </w:rPr>
              <w:t>Parkinson disease</w:t>
            </w:r>
            <w:r w:rsidR="007B5366" w:rsidRPr="00A96689">
              <w:rPr>
                <w:rFonts w:cs="Times New Roman"/>
                <w:color w:val="000000"/>
              </w:rPr>
              <w:t xml:space="preserve"> </w:t>
            </w:r>
            <w:r w:rsidR="003544A5" w:rsidRPr="00A96689">
              <w:rPr>
                <w:rFonts w:cs="Times New Roman"/>
                <w:color w:val="000000"/>
                <w:lang w:val="en-GB"/>
              </w:rPr>
              <w:t>n (%)</w:t>
            </w:r>
          </w:p>
        </w:tc>
        <w:tc>
          <w:tcPr>
            <w:tcW w:w="987" w:type="dxa"/>
            <w:shd w:val="clear" w:color="auto" w:fill="auto"/>
            <w:vAlign w:val="bottom"/>
          </w:tcPr>
          <w:p w14:paraId="70E0AD4E" w14:textId="77777777" w:rsidR="006143B8" w:rsidRPr="00A96689" w:rsidRDefault="006143B8">
            <w:pPr>
              <w:spacing w:after="0" w:line="240" w:lineRule="auto"/>
              <w:jc w:val="center"/>
              <w:rPr>
                <w:rFonts w:cs="Times New Roman"/>
                <w:color w:val="000000"/>
              </w:rPr>
            </w:pPr>
            <w:r w:rsidRPr="00A96689">
              <w:rPr>
                <w:rFonts w:cs="Times New Roman"/>
                <w:color w:val="000000"/>
              </w:rPr>
              <w:t>0.001</w:t>
            </w:r>
          </w:p>
        </w:tc>
      </w:tr>
      <w:tr w:rsidR="008C43AC" w:rsidRPr="00A96689" w14:paraId="4B2548D9" w14:textId="77777777" w:rsidTr="00DB6816">
        <w:trPr>
          <w:trHeight w:val="300"/>
        </w:trPr>
        <w:tc>
          <w:tcPr>
            <w:tcW w:w="2127" w:type="dxa"/>
            <w:shd w:val="clear" w:color="auto" w:fill="auto"/>
            <w:vAlign w:val="bottom"/>
          </w:tcPr>
          <w:p w14:paraId="536FE08D" w14:textId="640D5520" w:rsidR="008C43AC" w:rsidRPr="00A96689" w:rsidRDefault="008C43AC">
            <w:pPr>
              <w:spacing w:after="0" w:line="240" w:lineRule="auto"/>
              <w:ind w:firstLine="164"/>
              <w:rPr>
                <w:rFonts w:cs="Times New Roman"/>
                <w:color w:val="000000"/>
              </w:rPr>
            </w:pPr>
          </w:p>
        </w:tc>
        <w:tc>
          <w:tcPr>
            <w:tcW w:w="1409" w:type="dxa"/>
            <w:shd w:val="clear" w:color="auto" w:fill="auto"/>
            <w:vAlign w:val="bottom"/>
          </w:tcPr>
          <w:p w14:paraId="06067477" w14:textId="77777777" w:rsidR="008C43AC" w:rsidRPr="00A96689" w:rsidRDefault="00A81554">
            <w:pPr>
              <w:spacing w:after="0" w:line="240" w:lineRule="auto"/>
              <w:jc w:val="center"/>
              <w:rPr>
                <w:rFonts w:cs="Times New Roman"/>
                <w:color w:val="000000"/>
              </w:rPr>
            </w:pPr>
            <w:r w:rsidRPr="00A96689">
              <w:rPr>
                <w:rFonts w:cs="Times New Roman"/>
                <w:color w:val="000000"/>
              </w:rPr>
              <w:t>50 (8.7)</w:t>
            </w:r>
          </w:p>
        </w:tc>
        <w:tc>
          <w:tcPr>
            <w:tcW w:w="1555" w:type="dxa"/>
            <w:shd w:val="clear" w:color="auto" w:fill="auto"/>
            <w:vAlign w:val="bottom"/>
          </w:tcPr>
          <w:p w14:paraId="40AEBAA5" w14:textId="77777777" w:rsidR="008C43AC" w:rsidRPr="00A96689" w:rsidRDefault="00A81554">
            <w:pPr>
              <w:spacing w:after="0" w:line="240" w:lineRule="auto"/>
              <w:jc w:val="center"/>
              <w:rPr>
                <w:rFonts w:cs="Times New Roman"/>
                <w:color w:val="000000"/>
              </w:rPr>
            </w:pPr>
            <w:r w:rsidRPr="00A96689">
              <w:rPr>
                <w:rFonts w:cs="Times New Roman"/>
                <w:color w:val="000000"/>
              </w:rPr>
              <w:t>31 (6.8)</w:t>
            </w:r>
          </w:p>
        </w:tc>
        <w:tc>
          <w:tcPr>
            <w:tcW w:w="1417" w:type="dxa"/>
            <w:shd w:val="clear" w:color="auto" w:fill="auto"/>
            <w:vAlign w:val="bottom"/>
          </w:tcPr>
          <w:p w14:paraId="0A3B1560" w14:textId="77777777" w:rsidR="008C43AC" w:rsidRPr="00A96689" w:rsidRDefault="00A81554">
            <w:pPr>
              <w:spacing w:after="0" w:line="240" w:lineRule="auto"/>
              <w:jc w:val="center"/>
              <w:rPr>
                <w:rFonts w:cs="Times New Roman"/>
                <w:color w:val="000000"/>
              </w:rPr>
            </w:pPr>
            <w:r w:rsidRPr="00A96689">
              <w:rPr>
                <w:rFonts w:cs="Times New Roman"/>
                <w:color w:val="000000"/>
              </w:rPr>
              <w:t>19 (16.7)</w:t>
            </w:r>
          </w:p>
        </w:tc>
        <w:tc>
          <w:tcPr>
            <w:tcW w:w="987" w:type="dxa"/>
            <w:shd w:val="clear" w:color="auto" w:fill="auto"/>
            <w:vAlign w:val="bottom"/>
          </w:tcPr>
          <w:p w14:paraId="17AFB7A7" w14:textId="77777777" w:rsidR="008C43AC" w:rsidRPr="00A96689" w:rsidRDefault="008C43AC">
            <w:pPr>
              <w:spacing w:after="0" w:line="240" w:lineRule="auto"/>
              <w:jc w:val="center"/>
              <w:rPr>
                <w:rFonts w:cs="Times New Roman"/>
                <w:color w:val="000000"/>
              </w:rPr>
            </w:pPr>
          </w:p>
        </w:tc>
      </w:tr>
      <w:tr w:rsidR="008C43AC" w:rsidRPr="00A96689" w14:paraId="36741B86" w14:textId="77777777" w:rsidTr="00DB6816">
        <w:trPr>
          <w:trHeight w:val="300"/>
        </w:trPr>
        <w:tc>
          <w:tcPr>
            <w:tcW w:w="2127" w:type="dxa"/>
            <w:shd w:val="clear" w:color="auto" w:fill="auto"/>
            <w:vAlign w:val="bottom"/>
          </w:tcPr>
          <w:p w14:paraId="70689C19" w14:textId="52103456" w:rsidR="008C43AC" w:rsidRPr="00A96689" w:rsidRDefault="00A81554">
            <w:pPr>
              <w:spacing w:after="0" w:line="240" w:lineRule="auto"/>
              <w:rPr>
                <w:rFonts w:cs="Times New Roman"/>
                <w:color w:val="000000"/>
              </w:rPr>
            </w:pPr>
            <w:r w:rsidRPr="00A96689">
              <w:rPr>
                <w:rFonts w:cs="Times New Roman"/>
                <w:color w:val="000000"/>
              </w:rPr>
              <w:t>Depression</w:t>
            </w:r>
            <w:r w:rsidR="007B5366" w:rsidRPr="00A96689">
              <w:rPr>
                <w:rFonts w:cs="Times New Roman"/>
                <w:color w:val="000000"/>
              </w:rPr>
              <w:t xml:space="preserve"> </w:t>
            </w:r>
            <w:r w:rsidR="003544A5" w:rsidRPr="00A96689">
              <w:rPr>
                <w:rFonts w:cs="Times New Roman"/>
                <w:color w:val="000000"/>
                <w:lang w:val="en-GB"/>
              </w:rPr>
              <w:t>n (%)</w:t>
            </w:r>
          </w:p>
        </w:tc>
        <w:tc>
          <w:tcPr>
            <w:tcW w:w="1409" w:type="dxa"/>
            <w:shd w:val="clear" w:color="auto" w:fill="auto"/>
            <w:vAlign w:val="bottom"/>
          </w:tcPr>
          <w:p w14:paraId="7839612A" w14:textId="77777777" w:rsidR="008C43AC" w:rsidRPr="00A96689" w:rsidRDefault="008C43AC">
            <w:pPr>
              <w:spacing w:after="0" w:line="240" w:lineRule="auto"/>
              <w:jc w:val="center"/>
              <w:rPr>
                <w:rFonts w:cs="Times New Roman"/>
                <w:color w:val="000000"/>
              </w:rPr>
            </w:pPr>
          </w:p>
        </w:tc>
        <w:tc>
          <w:tcPr>
            <w:tcW w:w="1555" w:type="dxa"/>
            <w:shd w:val="clear" w:color="auto" w:fill="auto"/>
            <w:vAlign w:val="bottom"/>
          </w:tcPr>
          <w:p w14:paraId="4C5192A6" w14:textId="77777777" w:rsidR="008C43AC" w:rsidRPr="00A96689" w:rsidRDefault="008C43AC">
            <w:pPr>
              <w:spacing w:after="0" w:line="240" w:lineRule="auto"/>
              <w:jc w:val="center"/>
              <w:rPr>
                <w:rFonts w:eastAsia="Times New Roman" w:cs="Times New Roman"/>
              </w:rPr>
            </w:pPr>
          </w:p>
        </w:tc>
        <w:tc>
          <w:tcPr>
            <w:tcW w:w="1417" w:type="dxa"/>
            <w:shd w:val="clear" w:color="auto" w:fill="auto"/>
            <w:vAlign w:val="bottom"/>
          </w:tcPr>
          <w:p w14:paraId="7073D706" w14:textId="77777777" w:rsidR="008C43AC" w:rsidRPr="00A96689" w:rsidRDefault="008C43AC">
            <w:pPr>
              <w:spacing w:after="0" w:line="240" w:lineRule="auto"/>
              <w:jc w:val="center"/>
              <w:rPr>
                <w:rFonts w:eastAsia="Times New Roman" w:cs="Times New Roman"/>
              </w:rPr>
            </w:pPr>
          </w:p>
        </w:tc>
        <w:tc>
          <w:tcPr>
            <w:tcW w:w="987" w:type="dxa"/>
            <w:shd w:val="clear" w:color="auto" w:fill="auto"/>
            <w:vAlign w:val="bottom"/>
          </w:tcPr>
          <w:p w14:paraId="270CF086" w14:textId="77777777" w:rsidR="008C43AC" w:rsidRPr="00A96689" w:rsidRDefault="00A81554">
            <w:pPr>
              <w:spacing w:after="0" w:line="240" w:lineRule="auto"/>
              <w:jc w:val="center"/>
              <w:rPr>
                <w:rFonts w:cs="Times New Roman"/>
                <w:color w:val="000000"/>
              </w:rPr>
            </w:pPr>
            <w:r w:rsidRPr="00A96689">
              <w:rPr>
                <w:rFonts w:cs="Times New Roman"/>
                <w:color w:val="000000"/>
              </w:rPr>
              <w:t>0.338</w:t>
            </w:r>
          </w:p>
        </w:tc>
      </w:tr>
      <w:tr w:rsidR="008C43AC" w:rsidRPr="00A96689" w14:paraId="2E801802" w14:textId="77777777" w:rsidTr="00DB6816">
        <w:trPr>
          <w:trHeight w:val="300"/>
        </w:trPr>
        <w:tc>
          <w:tcPr>
            <w:tcW w:w="2127" w:type="dxa"/>
            <w:shd w:val="clear" w:color="auto" w:fill="auto"/>
            <w:vAlign w:val="bottom"/>
          </w:tcPr>
          <w:p w14:paraId="6A351E48" w14:textId="63558032" w:rsidR="008C43AC" w:rsidRPr="00A96689" w:rsidRDefault="008C43AC">
            <w:pPr>
              <w:spacing w:after="0" w:line="240" w:lineRule="auto"/>
              <w:ind w:firstLine="164"/>
              <w:rPr>
                <w:rFonts w:cs="Times New Roman"/>
                <w:color w:val="000000"/>
              </w:rPr>
            </w:pPr>
          </w:p>
        </w:tc>
        <w:tc>
          <w:tcPr>
            <w:tcW w:w="1409" w:type="dxa"/>
            <w:shd w:val="clear" w:color="auto" w:fill="auto"/>
            <w:vAlign w:val="bottom"/>
          </w:tcPr>
          <w:p w14:paraId="12D79670" w14:textId="77777777" w:rsidR="008C43AC" w:rsidRPr="00A96689" w:rsidRDefault="00A81554">
            <w:pPr>
              <w:spacing w:after="0" w:line="240" w:lineRule="auto"/>
              <w:jc w:val="center"/>
              <w:rPr>
                <w:rFonts w:cs="Times New Roman"/>
                <w:color w:val="000000"/>
              </w:rPr>
            </w:pPr>
            <w:r w:rsidRPr="00A96689">
              <w:rPr>
                <w:rFonts w:cs="Times New Roman"/>
                <w:color w:val="000000"/>
              </w:rPr>
              <w:t>195 (33.9)</w:t>
            </w:r>
          </w:p>
        </w:tc>
        <w:tc>
          <w:tcPr>
            <w:tcW w:w="1555" w:type="dxa"/>
            <w:shd w:val="clear" w:color="auto" w:fill="auto"/>
            <w:vAlign w:val="bottom"/>
          </w:tcPr>
          <w:p w14:paraId="73B2F7D6" w14:textId="77777777" w:rsidR="008C43AC" w:rsidRPr="00A96689" w:rsidRDefault="00A81554">
            <w:pPr>
              <w:spacing w:after="0" w:line="240" w:lineRule="auto"/>
              <w:jc w:val="center"/>
              <w:rPr>
                <w:rFonts w:cs="Times New Roman"/>
                <w:color w:val="000000"/>
              </w:rPr>
            </w:pPr>
            <w:r w:rsidRPr="00A96689">
              <w:rPr>
                <w:rFonts w:cs="Times New Roman"/>
                <w:color w:val="000000"/>
              </w:rPr>
              <w:t>152 (33.0)</w:t>
            </w:r>
          </w:p>
        </w:tc>
        <w:tc>
          <w:tcPr>
            <w:tcW w:w="1417" w:type="dxa"/>
            <w:shd w:val="clear" w:color="auto" w:fill="auto"/>
            <w:vAlign w:val="bottom"/>
          </w:tcPr>
          <w:p w14:paraId="33DAD2F1" w14:textId="77777777" w:rsidR="008C43AC" w:rsidRPr="00A96689" w:rsidRDefault="00A81554">
            <w:pPr>
              <w:spacing w:after="0" w:line="240" w:lineRule="auto"/>
              <w:jc w:val="center"/>
              <w:rPr>
                <w:rFonts w:cs="Times New Roman"/>
                <w:color w:val="000000"/>
              </w:rPr>
            </w:pPr>
            <w:r w:rsidRPr="00A96689">
              <w:rPr>
                <w:rFonts w:cs="Times New Roman"/>
                <w:color w:val="000000"/>
              </w:rPr>
              <w:t>43 (37.7)</w:t>
            </w:r>
          </w:p>
        </w:tc>
        <w:tc>
          <w:tcPr>
            <w:tcW w:w="987" w:type="dxa"/>
            <w:shd w:val="clear" w:color="auto" w:fill="auto"/>
            <w:vAlign w:val="bottom"/>
          </w:tcPr>
          <w:p w14:paraId="6CDB2750" w14:textId="77777777" w:rsidR="008C43AC" w:rsidRPr="00A96689" w:rsidRDefault="008C43AC">
            <w:pPr>
              <w:spacing w:after="0" w:line="240" w:lineRule="auto"/>
              <w:jc w:val="center"/>
              <w:rPr>
                <w:rFonts w:cs="Times New Roman"/>
                <w:color w:val="000000"/>
              </w:rPr>
            </w:pPr>
          </w:p>
        </w:tc>
      </w:tr>
      <w:tr w:rsidR="008C43AC" w:rsidRPr="00A96689" w14:paraId="6D08D79D" w14:textId="77777777" w:rsidTr="00DB6816">
        <w:trPr>
          <w:trHeight w:val="300"/>
        </w:trPr>
        <w:tc>
          <w:tcPr>
            <w:tcW w:w="2127" w:type="dxa"/>
            <w:shd w:val="clear" w:color="auto" w:fill="auto"/>
            <w:vAlign w:val="bottom"/>
          </w:tcPr>
          <w:p w14:paraId="0325C698" w14:textId="7A040CB9" w:rsidR="008C43AC" w:rsidRPr="00A96689" w:rsidRDefault="00A81554">
            <w:pPr>
              <w:spacing w:after="0" w:line="240" w:lineRule="auto"/>
              <w:rPr>
                <w:rFonts w:cs="Times New Roman"/>
                <w:color w:val="000000"/>
              </w:rPr>
            </w:pPr>
            <w:r w:rsidRPr="00A96689">
              <w:rPr>
                <w:rFonts w:cs="Times New Roman"/>
                <w:color w:val="000000"/>
              </w:rPr>
              <w:t>Dementia</w:t>
            </w:r>
            <w:r w:rsidR="009C46B8" w:rsidRPr="00A96689">
              <w:rPr>
                <w:rFonts w:cs="Times New Roman"/>
                <w:color w:val="000000"/>
              </w:rPr>
              <w:t xml:space="preserve"> </w:t>
            </w:r>
            <w:r w:rsidR="003544A5" w:rsidRPr="00A96689">
              <w:rPr>
                <w:rFonts w:cs="Times New Roman"/>
                <w:color w:val="000000"/>
                <w:lang w:val="en-GB"/>
              </w:rPr>
              <w:t>n (%)</w:t>
            </w:r>
          </w:p>
        </w:tc>
        <w:tc>
          <w:tcPr>
            <w:tcW w:w="1409" w:type="dxa"/>
            <w:shd w:val="clear" w:color="auto" w:fill="auto"/>
            <w:vAlign w:val="bottom"/>
          </w:tcPr>
          <w:p w14:paraId="5B405BBB" w14:textId="77777777" w:rsidR="008C43AC" w:rsidRPr="00A96689" w:rsidRDefault="008C43AC">
            <w:pPr>
              <w:spacing w:after="0" w:line="240" w:lineRule="auto"/>
              <w:jc w:val="center"/>
              <w:rPr>
                <w:rFonts w:cs="Times New Roman"/>
                <w:color w:val="000000"/>
              </w:rPr>
            </w:pPr>
          </w:p>
        </w:tc>
        <w:tc>
          <w:tcPr>
            <w:tcW w:w="1555" w:type="dxa"/>
            <w:shd w:val="clear" w:color="auto" w:fill="auto"/>
            <w:vAlign w:val="bottom"/>
          </w:tcPr>
          <w:p w14:paraId="4F0BFCB6" w14:textId="77777777" w:rsidR="008C43AC" w:rsidRPr="00A96689" w:rsidRDefault="008C43AC">
            <w:pPr>
              <w:spacing w:after="0" w:line="240" w:lineRule="auto"/>
              <w:jc w:val="center"/>
              <w:rPr>
                <w:rFonts w:eastAsia="Times New Roman" w:cs="Times New Roman"/>
              </w:rPr>
            </w:pPr>
          </w:p>
        </w:tc>
        <w:tc>
          <w:tcPr>
            <w:tcW w:w="1417" w:type="dxa"/>
            <w:shd w:val="clear" w:color="auto" w:fill="auto"/>
            <w:vAlign w:val="bottom"/>
          </w:tcPr>
          <w:p w14:paraId="19EAB28D" w14:textId="77777777" w:rsidR="008C43AC" w:rsidRPr="00A96689" w:rsidRDefault="008C43AC">
            <w:pPr>
              <w:spacing w:after="0" w:line="240" w:lineRule="auto"/>
              <w:jc w:val="center"/>
              <w:rPr>
                <w:rFonts w:eastAsia="Times New Roman" w:cs="Times New Roman"/>
              </w:rPr>
            </w:pPr>
          </w:p>
        </w:tc>
        <w:tc>
          <w:tcPr>
            <w:tcW w:w="987" w:type="dxa"/>
            <w:shd w:val="clear" w:color="auto" w:fill="auto"/>
            <w:vAlign w:val="bottom"/>
          </w:tcPr>
          <w:p w14:paraId="5BD09C4B" w14:textId="77777777" w:rsidR="008C43AC" w:rsidRPr="00A96689" w:rsidRDefault="00A81554">
            <w:pPr>
              <w:spacing w:after="0" w:line="240" w:lineRule="auto"/>
              <w:jc w:val="center"/>
              <w:rPr>
                <w:rFonts w:cs="Times New Roman"/>
                <w:color w:val="000000"/>
              </w:rPr>
            </w:pPr>
            <w:r w:rsidRPr="00A96689">
              <w:rPr>
                <w:rFonts w:cs="Times New Roman"/>
                <w:color w:val="000000"/>
              </w:rPr>
              <w:t>&lt;.001</w:t>
            </w:r>
          </w:p>
        </w:tc>
      </w:tr>
      <w:tr w:rsidR="008C43AC" w:rsidRPr="00A96689" w14:paraId="55B7B63E" w14:textId="77777777" w:rsidTr="00DB6816">
        <w:trPr>
          <w:trHeight w:val="300"/>
        </w:trPr>
        <w:tc>
          <w:tcPr>
            <w:tcW w:w="2127" w:type="dxa"/>
            <w:tcBorders>
              <w:bottom w:val="single" w:sz="4" w:space="0" w:color="000000"/>
            </w:tcBorders>
            <w:shd w:val="clear" w:color="auto" w:fill="auto"/>
            <w:vAlign w:val="bottom"/>
          </w:tcPr>
          <w:p w14:paraId="6E3BAD8B" w14:textId="7064313A" w:rsidR="008C43AC" w:rsidRPr="00A96689" w:rsidRDefault="008C43AC">
            <w:pPr>
              <w:spacing w:after="0" w:line="240" w:lineRule="auto"/>
              <w:ind w:firstLine="164"/>
              <w:rPr>
                <w:rFonts w:cs="Times New Roman"/>
                <w:color w:val="000000"/>
              </w:rPr>
            </w:pPr>
          </w:p>
        </w:tc>
        <w:tc>
          <w:tcPr>
            <w:tcW w:w="1409" w:type="dxa"/>
            <w:tcBorders>
              <w:bottom w:val="single" w:sz="4" w:space="0" w:color="000000"/>
            </w:tcBorders>
            <w:shd w:val="clear" w:color="auto" w:fill="auto"/>
            <w:vAlign w:val="bottom"/>
          </w:tcPr>
          <w:p w14:paraId="027DA89B" w14:textId="77777777" w:rsidR="008C43AC" w:rsidRPr="00A96689" w:rsidRDefault="00A81554">
            <w:pPr>
              <w:spacing w:after="0" w:line="240" w:lineRule="auto"/>
              <w:jc w:val="center"/>
              <w:rPr>
                <w:rFonts w:cs="Times New Roman"/>
                <w:color w:val="000000"/>
              </w:rPr>
            </w:pPr>
            <w:r w:rsidRPr="00A96689">
              <w:rPr>
                <w:rFonts w:cs="Times New Roman"/>
                <w:color w:val="000000"/>
              </w:rPr>
              <w:t>150 (26.1)</w:t>
            </w:r>
          </w:p>
        </w:tc>
        <w:tc>
          <w:tcPr>
            <w:tcW w:w="1555" w:type="dxa"/>
            <w:tcBorders>
              <w:bottom w:val="single" w:sz="4" w:space="0" w:color="000000"/>
            </w:tcBorders>
            <w:shd w:val="clear" w:color="auto" w:fill="auto"/>
            <w:vAlign w:val="bottom"/>
          </w:tcPr>
          <w:p w14:paraId="29BA0692" w14:textId="77777777" w:rsidR="008C43AC" w:rsidRPr="00A96689" w:rsidRDefault="00A81554">
            <w:pPr>
              <w:spacing w:after="0" w:line="240" w:lineRule="auto"/>
              <w:jc w:val="center"/>
              <w:rPr>
                <w:rFonts w:cs="Times New Roman"/>
                <w:color w:val="000000"/>
              </w:rPr>
            </w:pPr>
            <w:r w:rsidRPr="00A96689">
              <w:rPr>
                <w:rFonts w:cs="Times New Roman"/>
                <w:color w:val="000000"/>
              </w:rPr>
              <w:t>103 (22.3)</w:t>
            </w:r>
          </w:p>
        </w:tc>
        <w:tc>
          <w:tcPr>
            <w:tcW w:w="1417" w:type="dxa"/>
            <w:tcBorders>
              <w:bottom w:val="single" w:sz="4" w:space="0" w:color="000000"/>
            </w:tcBorders>
            <w:shd w:val="clear" w:color="auto" w:fill="auto"/>
            <w:vAlign w:val="bottom"/>
          </w:tcPr>
          <w:p w14:paraId="609AD4B9" w14:textId="77777777" w:rsidR="008C43AC" w:rsidRPr="00A96689" w:rsidRDefault="00A81554">
            <w:pPr>
              <w:spacing w:after="0" w:line="240" w:lineRule="auto"/>
              <w:jc w:val="center"/>
              <w:rPr>
                <w:rFonts w:cs="Times New Roman"/>
                <w:color w:val="000000"/>
              </w:rPr>
            </w:pPr>
            <w:r w:rsidRPr="00A96689">
              <w:rPr>
                <w:rFonts w:cs="Times New Roman"/>
                <w:color w:val="000000"/>
              </w:rPr>
              <w:t>47 (41.2)</w:t>
            </w:r>
          </w:p>
        </w:tc>
        <w:tc>
          <w:tcPr>
            <w:tcW w:w="987" w:type="dxa"/>
            <w:tcBorders>
              <w:bottom w:val="single" w:sz="4" w:space="0" w:color="000000"/>
            </w:tcBorders>
            <w:shd w:val="clear" w:color="auto" w:fill="auto"/>
            <w:vAlign w:val="bottom"/>
          </w:tcPr>
          <w:p w14:paraId="2EDFAB34" w14:textId="77777777" w:rsidR="008C43AC" w:rsidRPr="00A96689" w:rsidRDefault="008C43AC">
            <w:pPr>
              <w:spacing w:after="0" w:line="240" w:lineRule="auto"/>
              <w:jc w:val="center"/>
              <w:rPr>
                <w:rFonts w:cs="Times New Roman"/>
                <w:color w:val="000000"/>
              </w:rPr>
            </w:pPr>
          </w:p>
        </w:tc>
      </w:tr>
    </w:tbl>
    <w:p w14:paraId="39E3B602" w14:textId="1AC55E17" w:rsidR="004D79C0" w:rsidRPr="00A96689" w:rsidRDefault="001176C7" w:rsidP="00C73BB4">
      <w:pPr>
        <w:spacing w:after="0" w:line="240" w:lineRule="auto"/>
        <w:jc w:val="both"/>
        <w:rPr>
          <w:rFonts w:eastAsia="Times New Roman" w:cs="Times New Roman"/>
        </w:rPr>
      </w:pPr>
      <w:r w:rsidRPr="00A96689">
        <w:rPr>
          <w:rFonts w:cs="Times New Roman"/>
          <w:color w:val="000000"/>
        </w:rPr>
        <w:t>D</w:t>
      </w:r>
      <w:r w:rsidR="00A81554" w:rsidRPr="00A96689">
        <w:rPr>
          <w:rFonts w:cs="Times New Roman"/>
          <w:color w:val="000000"/>
        </w:rPr>
        <w:t>escriptive statistics are shown as proportion for categorical variables and as mean</w:t>
      </w:r>
      <w:r w:rsidR="004D79C0" w:rsidRPr="00A96689">
        <w:rPr>
          <w:rFonts w:cs="Times New Roman"/>
          <w:color w:val="000000"/>
        </w:rPr>
        <w:t xml:space="preserve"> </w:t>
      </w:r>
      <w:r w:rsidR="00A81554" w:rsidRPr="00A96689">
        <w:rPr>
          <w:rFonts w:cs="Times New Roman"/>
          <w:color w:val="222222"/>
        </w:rPr>
        <w:t>±</w:t>
      </w:r>
      <w:r w:rsidR="004D79C0" w:rsidRPr="00A96689">
        <w:rPr>
          <w:rFonts w:cs="Times New Roman"/>
          <w:color w:val="222222"/>
        </w:rPr>
        <w:t xml:space="preserve"> </w:t>
      </w:r>
      <w:r w:rsidR="004D79C0" w:rsidRPr="00A96689">
        <w:rPr>
          <w:rFonts w:cs="Times New Roman"/>
          <w:color w:val="222222"/>
          <w:lang w:val="en-GB"/>
        </w:rPr>
        <w:t>standard deviation</w:t>
      </w:r>
    </w:p>
    <w:p w14:paraId="3EE3E8F2" w14:textId="7957882F" w:rsidR="008C43AC" w:rsidRPr="00A96689" w:rsidRDefault="00A81554" w:rsidP="00C73BB4">
      <w:pPr>
        <w:spacing w:after="0" w:line="240" w:lineRule="auto"/>
        <w:jc w:val="both"/>
        <w:rPr>
          <w:rFonts w:eastAsia="Times New Roman" w:cs="Times New Roman"/>
        </w:rPr>
      </w:pPr>
      <w:r w:rsidRPr="00A96689">
        <w:rPr>
          <w:rFonts w:eastAsia="Times New Roman" w:cs="Times New Roman"/>
        </w:rPr>
        <w:t xml:space="preserve"> for age; Chi-square test compared the difference of categorical variables between </w:t>
      </w:r>
      <w:r w:rsidR="00C73BB4" w:rsidRPr="00A96689">
        <w:rPr>
          <w:rFonts w:eastAsia="Times New Roman" w:cs="Times New Roman"/>
        </w:rPr>
        <w:t xml:space="preserve">excessive </w:t>
      </w:r>
      <w:r w:rsidRPr="00A96689">
        <w:rPr>
          <w:rFonts w:eastAsia="Times New Roman" w:cs="Times New Roman"/>
        </w:rPr>
        <w:t xml:space="preserve">daytime sleepiness (yes/no), t-test was used for age. </w:t>
      </w:r>
    </w:p>
    <w:p w14:paraId="486C71F7" w14:textId="77777777" w:rsidR="008C43AC" w:rsidRPr="00A96689" w:rsidRDefault="008C43AC">
      <w:pPr>
        <w:spacing w:after="0"/>
        <w:jc w:val="both"/>
        <w:rPr>
          <w:rFonts w:eastAsia="Times New Roman" w:cs="Times New Roman"/>
          <w:sz w:val="24"/>
          <w:szCs w:val="24"/>
        </w:rPr>
      </w:pPr>
    </w:p>
    <w:p w14:paraId="035CF9B6" w14:textId="2FD8F7F4" w:rsidR="008C43AC" w:rsidRPr="00A96689" w:rsidRDefault="00A81554">
      <w:pPr>
        <w:jc w:val="both"/>
        <w:rPr>
          <w:rFonts w:eastAsia="Times New Roman" w:cs="Times New Roman"/>
        </w:rPr>
      </w:pPr>
      <w:r w:rsidRPr="00A96689">
        <w:rPr>
          <w:rFonts w:eastAsia="Times New Roman" w:cs="Times New Roman"/>
        </w:rPr>
        <w:t xml:space="preserve">At the univariate level, EDS  was associated with falls last year, </w:t>
      </w:r>
      <w:r w:rsidR="00D87170" w:rsidRPr="00A96689">
        <w:rPr>
          <w:rFonts w:eastAsia="Times New Roman" w:cs="Times New Roman"/>
        </w:rPr>
        <w:t xml:space="preserve">higher </w:t>
      </w:r>
      <w:r w:rsidRPr="00A96689">
        <w:rPr>
          <w:rFonts w:eastAsia="Times New Roman" w:cs="Times New Roman"/>
        </w:rPr>
        <w:t xml:space="preserve">number of falls last year, TUG based fall risk, sarcopenia, frailty and dynapenia (see Table 2 for descriptive and IRR [95% CI] and OR [95% CI]). </w:t>
      </w:r>
      <w:r w:rsidR="00C038EF" w:rsidRPr="00A96689">
        <w:rPr>
          <w:rFonts w:eastAsia="Times New Roman" w:cs="Times New Roman"/>
        </w:rPr>
        <w:t>A</w:t>
      </w:r>
      <w:r w:rsidRPr="00A96689">
        <w:rPr>
          <w:rFonts w:eastAsia="Times New Roman" w:cs="Times New Roman"/>
        </w:rPr>
        <w:t>ssociation</w:t>
      </w:r>
      <w:r w:rsidR="00C038EF" w:rsidRPr="00A96689">
        <w:rPr>
          <w:rFonts w:eastAsia="Times New Roman" w:cs="Times New Roman"/>
        </w:rPr>
        <w:t>s</w:t>
      </w:r>
      <w:r w:rsidRPr="00A96689">
        <w:rPr>
          <w:rFonts w:eastAsia="Times New Roman" w:cs="Times New Roman"/>
        </w:rPr>
        <w:t xml:space="preserve"> remained significant after adjusting for age, and attenuated to null in most outcomes after further adjusting for sex, living status, marital status, polypharmacy, osteoarthritis, </w:t>
      </w:r>
      <w:r w:rsidR="00083F44" w:rsidRPr="00A96689">
        <w:rPr>
          <w:rFonts w:eastAsia="Times New Roman" w:cs="Times New Roman"/>
        </w:rPr>
        <w:t>PD</w:t>
      </w:r>
      <w:r w:rsidRPr="00A96689">
        <w:rPr>
          <w:rFonts w:eastAsia="Times New Roman" w:cs="Times New Roman"/>
        </w:rPr>
        <w:t>, depression and dementia. In the multivariable adjusted models, the number of falls last year (IRR=1.9</w:t>
      </w:r>
      <w:r w:rsidR="004B56FC" w:rsidRPr="00A96689">
        <w:rPr>
          <w:rFonts w:eastAsia="Times New Roman" w:cs="Times New Roman"/>
        </w:rPr>
        <w:t>4</w:t>
      </w:r>
      <w:r w:rsidRPr="00A96689">
        <w:rPr>
          <w:rFonts w:eastAsia="Times New Roman" w:cs="Times New Roman"/>
        </w:rPr>
        <w:t>, 95% CI: 1.</w:t>
      </w:r>
      <w:r w:rsidR="004B56FC" w:rsidRPr="00A96689">
        <w:rPr>
          <w:rFonts w:eastAsia="Times New Roman" w:cs="Times New Roman"/>
        </w:rPr>
        <w:t>42</w:t>
      </w:r>
      <w:r w:rsidRPr="00A96689">
        <w:rPr>
          <w:rFonts w:eastAsia="Times New Roman" w:cs="Times New Roman"/>
        </w:rPr>
        <w:t xml:space="preserve"> to 2.</w:t>
      </w:r>
      <w:r w:rsidR="004B56FC" w:rsidRPr="00A96689">
        <w:rPr>
          <w:rFonts w:eastAsia="Times New Roman" w:cs="Times New Roman"/>
        </w:rPr>
        <w:t>65</w:t>
      </w:r>
      <w:r w:rsidRPr="00A96689">
        <w:rPr>
          <w:rFonts w:eastAsia="Times New Roman" w:cs="Times New Roman"/>
        </w:rPr>
        <w:t xml:space="preserve">) and sarcopenia (OR=2.41, 95% CI: 1.41 to 4.12) remained significantly associated with EDS. The p values are as follows: 0.112 (falls last year), &lt;.001 (number of falls last year), 0.077 (TUG based fall risk), 0.001 (sarcopenia), 0.074 (frailty), and 0.106 (dynapenia). </w:t>
      </w:r>
    </w:p>
    <w:p w14:paraId="20E45A97" w14:textId="77777777" w:rsidR="008C43AC" w:rsidRPr="00A96689" w:rsidRDefault="00A81554">
      <w:pPr>
        <w:jc w:val="both"/>
        <w:rPr>
          <w:rFonts w:eastAsia="Times New Roman" w:cs="Times New Roman"/>
        </w:rPr>
      </w:pPr>
      <w:r w:rsidRPr="00A96689">
        <w:rPr>
          <w:rFonts w:eastAsia="Times New Roman" w:cs="Times New Roman"/>
        </w:rPr>
        <w:t>Supplementary Table 1. shows sex specific association of EDS with falls and falls related measures.</w:t>
      </w:r>
    </w:p>
    <w:p w14:paraId="46CD2969" w14:textId="77777777" w:rsidR="008C43AC" w:rsidRPr="00A96689" w:rsidRDefault="008C43AC">
      <w:pPr>
        <w:jc w:val="both"/>
        <w:rPr>
          <w:rFonts w:eastAsia="Times New Roman" w:cs="Times New Roman"/>
        </w:rPr>
        <w:sectPr w:rsidR="008C43AC" w:rsidRPr="00A96689">
          <w:pgSz w:w="12240" w:h="15840"/>
          <w:pgMar w:top="1417" w:right="1417" w:bottom="1417" w:left="1417" w:header="708" w:footer="708" w:gutter="0"/>
          <w:pgNumType w:start="1"/>
          <w:cols w:space="720"/>
        </w:sectPr>
      </w:pPr>
    </w:p>
    <w:p w14:paraId="47BA7E94" w14:textId="77777777" w:rsidR="008C43AC" w:rsidRPr="00A96689" w:rsidRDefault="008C43AC">
      <w:pPr>
        <w:widowControl w:val="0"/>
        <w:pBdr>
          <w:top w:val="nil"/>
          <w:left w:val="nil"/>
          <w:bottom w:val="nil"/>
          <w:right w:val="nil"/>
          <w:between w:val="nil"/>
        </w:pBdr>
        <w:spacing w:after="0" w:line="276" w:lineRule="auto"/>
        <w:rPr>
          <w:rFonts w:eastAsia="Times New Roman" w:cs="Times New Roman"/>
        </w:rPr>
      </w:pPr>
    </w:p>
    <w:tbl>
      <w:tblPr>
        <w:tblW w:w="13313" w:type="dxa"/>
        <w:tblLook w:val="04A0" w:firstRow="1" w:lastRow="0" w:firstColumn="1" w:lastColumn="0" w:noHBand="0" w:noVBand="1"/>
      </w:tblPr>
      <w:tblGrid>
        <w:gridCol w:w="4111"/>
        <w:gridCol w:w="266"/>
        <w:gridCol w:w="1275"/>
        <w:gridCol w:w="6"/>
        <w:gridCol w:w="1270"/>
        <w:gridCol w:w="6"/>
        <w:gridCol w:w="260"/>
        <w:gridCol w:w="6"/>
        <w:gridCol w:w="1996"/>
        <w:gridCol w:w="6"/>
        <w:gridCol w:w="1978"/>
        <w:gridCol w:w="6"/>
        <w:gridCol w:w="2121"/>
        <w:gridCol w:w="6"/>
      </w:tblGrid>
      <w:tr w:rsidR="009B4B9B" w:rsidRPr="00A96689" w14:paraId="0B6FFDFB" w14:textId="77777777" w:rsidTr="008C689F">
        <w:trPr>
          <w:gridAfter w:val="1"/>
          <w:wAfter w:w="6" w:type="dxa"/>
          <w:trHeight w:val="300"/>
        </w:trPr>
        <w:tc>
          <w:tcPr>
            <w:tcW w:w="13307" w:type="dxa"/>
            <w:gridSpan w:val="13"/>
            <w:tcBorders>
              <w:top w:val="nil"/>
              <w:left w:val="nil"/>
              <w:bottom w:val="nil"/>
              <w:right w:val="nil"/>
            </w:tcBorders>
            <w:shd w:val="clear" w:color="auto" w:fill="auto"/>
            <w:noWrap/>
            <w:vAlign w:val="bottom"/>
            <w:hideMark/>
          </w:tcPr>
          <w:p w14:paraId="369EF6D4" w14:textId="77777777" w:rsidR="009B4B9B" w:rsidRPr="00A96689" w:rsidRDefault="009B4B9B" w:rsidP="009B4B9B">
            <w:pPr>
              <w:spacing w:after="0" w:line="240" w:lineRule="auto"/>
              <w:rPr>
                <w:rFonts w:asciiTheme="majorHAnsi" w:eastAsia="Times New Roman" w:hAnsiTheme="majorHAnsi" w:cstheme="majorHAnsi"/>
                <w:b/>
                <w:bCs/>
                <w:color w:val="000000"/>
                <w:lang w:val="en-CA" w:eastAsia="en-US"/>
              </w:rPr>
            </w:pPr>
            <w:bookmarkStart w:id="9" w:name="_Hlk68649283"/>
            <w:r w:rsidRPr="00A96689">
              <w:rPr>
                <w:rFonts w:asciiTheme="majorHAnsi" w:eastAsia="Times New Roman" w:hAnsiTheme="majorHAnsi" w:cstheme="majorHAnsi"/>
                <w:b/>
                <w:bCs/>
                <w:color w:val="000000"/>
                <w:lang w:val="en-CA" w:eastAsia="en-US"/>
              </w:rPr>
              <w:t>Table 2. The presence and association of excessive daylight sleepiness with falls and related measures</w:t>
            </w:r>
          </w:p>
        </w:tc>
      </w:tr>
      <w:tr w:rsidR="009B4B9B" w:rsidRPr="00A96689" w14:paraId="5F38ABC4" w14:textId="77777777" w:rsidTr="008C689F">
        <w:trPr>
          <w:trHeight w:val="300"/>
        </w:trPr>
        <w:tc>
          <w:tcPr>
            <w:tcW w:w="4111" w:type="dxa"/>
            <w:tcBorders>
              <w:top w:val="single" w:sz="4" w:space="0" w:color="auto"/>
              <w:left w:val="nil"/>
              <w:bottom w:val="nil"/>
              <w:right w:val="nil"/>
            </w:tcBorders>
            <w:shd w:val="clear" w:color="auto" w:fill="auto"/>
            <w:noWrap/>
            <w:vAlign w:val="bottom"/>
            <w:hideMark/>
          </w:tcPr>
          <w:p w14:paraId="626F4D4A" w14:textId="77777777" w:rsidR="009B4B9B" w:rsidRPr="00A96689" w:rsidRDefault="009B4B9B" w:rsidP="009B4B9B">
            <w:pPr>
              <w:spacing w:after="0" w:line="240" w:lineRule="auto"/>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 </w:t>
            </w:r>
          </w:p>
        </w:tc>
        <w:tc>
          <w:tcPr>
            <w:tcW w:w="266" w:type="dxa"/>
            <w:tcBorders>
              <w:top w:val="single" w:sz="4" w:space="0" w:color="auto"/>
              <w:left w:val="nil"/>
              <w:bottom w:val="nil"/>
              <w:right w:val="nil"/>
            </w:tcBorders>
            <w:shd w:val="clear" w:color="auto" w:fill="auto"/>
            <w:noWrap/>
            <w:vAlign w:val="bottom"/>
            <w:hideMark/>
          </w:tcPr>
          <w:p w14:paraId="62F4F82E" w14:textId="77777777" w:rsidR="009B4B9B" w:rsidRPr="00A96689" w:rsidRDefault="009B4B9B" w:rsidP="009B4B9B">
            <w:pPr>
              <w:spacing w:after="0" w:line="240" w:lineRule="auto"/>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 </w:t>
            </w:r>
          </w:p>
        </w:tc>
        <w:tc>
          <w:tcPr>
            <w:tcW w:w="2557" w:type="dxa"/>
            <w:gridSpan w:val="4"/>
            <w:tcBorders>
              <w:top w:val="single" w:sz="4" w:space="0" w:color="auto"/>
              <w:left w:val="nil"/>
              <w:bottom w:val="nil"/>
              <w:right w:val="nil"/>
            </w:tcBorders>
            <w:shd w:val="clear" w:color="auto" w:fill="auto"/>
            <w:noWrap/>
            <w:vAlign w:val="bottom"/>
            <w:hideMark/>
          </w:tcPr>
          <w:p w14:paraId="6AE1F6EB" w14:textId="77777777" w:rsidR="009B4B9B" w:rsidRPr="00A96689" w:rsidRDefault="009B4B9B" w:rsidP="009B4B9B">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Daytime sleepiness, n(%)</w:t>
            </w:r>
          </w:p>
        </w:tc>
        <w:tc>
          <w:tcPr>
            <w:tcW w:w="266" w:type="dxa"/>
            <w:gridSpan w:val="2"/>
            <w:tcBorders>
              <w:top w:val="single" w:sz="4" w:space="0" w:color="auto"/>
              <w:left w:val="nil"/>
              <w:bottom w:val="nil"/>
              <w:right w:val="nil"/>
            </w:tcBorders>
            <w:shd w:val="clear" w:color="auto" w:fill="auto"/>
            <w:noWrap/>
            <w:vAlign w:val="bottom"/>
            <w:hideMark/>
          </w:tcPr>
          <w:p w14:paraId="79CA7906" w14:textId="77777777" w:rsidR="009B4B9B" w:rsidRPr="00A96689" w:rsidRDefault="009B4B9B" w:rsidP="009B4B9B">
            <w:pPr>
              <w:spacing w:after="0" w:line="240" w:lineRule="auto"/>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 </w:t>
            </w:r>
          </w:p>
        </w:tc>
        <w:tc>
          <w:tcPr>
            <w:tcW w:w="6113" w:type="dxa"/>
            <w:gridSpan w:val="6"/>
            <w:tcBorders>
              <w:top w:val="single" w:sz="4" w:space="0" w:color="auto"/>
              <w:left w:val="nil"/>
              <w:bottom w:val="nil"/>
              <w:right w:val="nil"/>
            </w:tcBorders>
            <w:shd w:val="clear" w:color="auto" w:fill="auto"/>
            <w:noWrap/>
            <w:vAlign w:val="bottom"/>
            <w:hideMark/>
          </w:tcPr>
          <w:p w14:paraId="6791CB7F" w14:textId="1DDB82F9" w:rsidR="009B4B9B" w:rsidRPr="00A96689" w:rsidRDefault="009B4B9B" w:rsidP="009B4B9B">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Logistic/Poisson regression, OR</w:t>
            </w:r>
            <w:r w:rsidR="00FE5EA8" w:rsidRPr="00A96689">
              <w:rPr>
                <w:rFonts w:asciiTheme="majorHAnsi" w:eastAsia="Times New Roman" w:hAnsiTheme="majorHAnsi" w:cstheme="majorHAnsi"/>
                <w:color w:val="000000"/>
                <w:lang w:val="en-CA" w:eastAsia="en-US"/>
              </w:rPr>
              <w:t>/IRR</w:t>
            </w:r>
            <w:r w:rsidRPr="00A96689">
              <w:rPr>
                <w:rFonts w:asciiTheme="majorHAnsi" w:eastAsia="Times New Roman" w:hAnsiTheme="majorHAnsi" w:cstheme="majorHAnsi"/>
                <w:color w:val="000000"/>
                <w:lang w:val="en-CA" w:eastAsia="en-US"/>
              </w:rPr>
              <w:t xml:space="preserve"> (95%</w:t>
            </w:r>
            <w:r w:rsidR="00FF64F3" w:rsidRPr="00A96689">
              <w:rPr>
                <w:rFonts w:asciiTheme="majorHAnsi" w:eastAsia="Times New Roman" w:hAnsiTheme="majorHAnsi" w:cstheme="majorHAnsi"/>
                <w:color w:val="000000"/>
                <w:lang w:val="en-CA" w:eastAsia="en-US"/>
              </w:rPr>
              <w:t xml:space="preserve"> Confidence Interval</w:t>
            </w:r>
            <w:r w:rsidRPr="00A96689">
              <w:rPr>
                <w:rFonts w:asciiTheme="majorHAnsi" w:eastAsia="Times New Roman" w:hAnsiTheme="majorHAnsi" w:cstheme="majorHAnsi"/>
                <w:color w:val="000000"/>
                <w:lang w:val="en-CA" w:eastAsia="en-US"/>
              </w:rPr>
              <w:t>)</w:t>
            </w:r>
          </w:p>
        </w:tc>
      </w:tr>
      <w:tr w:rsidR="009B4B9B" w:rsidRPr="00A96689" w14:paraId="4ED3039C" w14:textId="77777777" w:rsidTr="008C689F">
        <w:trPr>
          <w:trHeight w:val="345"/>
        </w:trPr>
        <w:tc>
          <w:tcPr>
            <w:tcW w:w="4111" w:type="dxa"/>
            <w:tcBorders>
              <w:top w:val="nil"/>
              <w:left w:val="nil"/>
              <w:bottom w:val="nil"/>
              <w:right w:val="nil"/>
            </w:tcBorders>
            <w:shd w:val="clear" w:color="auto" w:fill="auto"/>
            <w:noWrap/>
            <w:vAlign w:val="bottom"/>
            <w:hideMark/>
          </w:tcPr>
          <w:p w14:paraId="1C2255DF" w14:textId="77777777" w:rsidR="009B4B9B" w:rsidRPr="00A96689" w:rsidRDefault="009B4B9B" w:rsidP="009B4B9B">
            <w:pPr>
              <w:spacing w:after="0" w:line="240" w:lineRule="auto"/>
              <w:rPr>
                <w:rFonts w:asciiTheme="majorHAnsi" w:eastAsia="Times New Roman" w:hAnsiTheme="majorHAnsi" w:cstheme="majorHAnsi"/>
                <w:color w:val="000000"/>
                <w:lang w:val="en-CA" w:eastAsia="en-US"/>
              </w:rPr>
            </w:pPr>
          </w:p>
        </w:tc>
        <w:tc>
          <w:tcPr>
            <w:tcW w:w="266" w:type="dxa"/>
            <w:tcBorders>
              <w:top w:val="nil"/>
              <w:left w:val="nil"/>
              <w:bottom w:val="nil"/>
              <w:right w:val="nil"/>
            </w:tcBorders>
            <w:shd w:val="clear" w:color="auto" w:fill="auto"/>
            <w:noWrap/>
            <w:vAlign w:val="bottom"/>
            <w:hideMark/>
          </w:tcPr>
          <w:p w14:paraId="6C45136A" w14:textId="77777777" w:rsidR="009B4B9B" w:rsidRPr="00A96689" w:rsidRDefault="009B4B9B" w:rsidP="009B4B9B">
            <w:pPr>
              <w:spacing w:after="0" w:line="240" w:lineRule="auto"/>
              <w:rPr>
                <w:rFonts w:asciiTheme="majorHAnsi" w:eastAsia="Times New Roman" w:hAnsiTheme="majorHAnsi" w:cstheme="majorHAnsi"/>
                <w:lang w:val="en-CA" w:eastAsia="en-US"/>
              </w:rPr>
            </w:pPr>
          </w:p>
        </w:tc>
        <w:tc>
          <w:tcPr>
            <w:tcW w:w="1281" w:type="dxa"/>
            <w:gridSpan w:val="2"/>
            <w:tcBorders>
              <w:top w:val="nil"/>
              <w:left w:val="nil"/>
              <w:bottom w:val="single" w:sz="4" w:space="0" w:color="auto"/>
              <w:right w:val="nil"/>
            </w:tcBorders>
            <w:shd w:val="clear" w:color="auto" w:fill="auto"/>
            <w:noWrap/>
            <w:vAlign w:val="bottom"/>
            <w:hideMark/>
          </w:tcPr>
          <w:p w14:paraId="3106CDAF" w14:textId="77777777" w:rsidR="009B4B9B" w:rsidRPr="00A96689" w:rsidRDefault="009B4B9B" w:rsidP="009B4B9B">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No (n=461)</w:t>
            </w:r>
          </w:p>
        </w:tc>
        <w:tc>
          <w:tcPr>
            <w:tcW w:w="1276" w:type="dxa"/>
            <w:gridSpan w:val="2"/>
            <w:tcBorders>
              <w:top w:val="nil"/>
              <w:left w:val="nil"/>
              <w:bottom w:val="single" w:sz="4" w:space="0" w:color="auto"/>
              <w:right w:val="nil"/>
            </w:tcBorders>
            <w:shd w:val="clear" w:color="auto" w:fill="auto"/>
            <w:noWrap/>
            <w:vAlign w:val="bottom"/>
            <w:hideMark/>
          </w:tcPr>
          <w:p w14:paraId="6D0D75EF" w14:textId="77777777" w:rsidR="009B4B9B" w:rsidRPr="00A96689" w:rsidRDefault="009B4B9B" w:rsidP="009B4B9B">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Yes (n=114)</w:t>
            </w:r>
          </w:p>
        </w:tc>
        <w:tc>
          <w:tcPr>
            <w:tcW w:w="266" w:type="dxa"/>
            <w:gridSpan w:val="2"/>
            <w:tcBorders>
              <w:top w:val="nil"/>
              <w:left w:val="nil"/>
              <w:bottom w:val="nil"/>
              <w:right w:val="nil"/>
            </w:tcBorders>
            <w:shd w:val="clear" w:color="auto" w:fill="auto"/>
            <w:noWrap/>
            <w:vAlign w:val="bottom"/>
            <w:hideMark/>
          </w:tcPr>
          <w:p w14:paraId="387236FA" w14:textId="77777777" w:rsidR="009B4B9B" w:rsidRPr="00A96689" w:rsidRDefault="009B4B9B" w:rsidP="009B4B9B">
            <w:pPr>
              <w:spacing w:after="0" w:line="240" w:lineRule="auto"/>
              <w:rPr>
                <w:rFonts w:asciiTheme="majorHAnsi" w:eastAsia="Times New Roman" w:hAnsiTheme="majorHAnsi" w:cstheme="majorHAnsi"/>
                <w:color w:val="000000"/>
                <w:lang w:val="en-CA" w:eastAsia="en-US"/>
              </w:rPr>
            </w:pPr>
          </w:p>
        </w:tc>
        <w:tc>
          <w:tcPr>
            <w:tcW w:w="2002" w:type="dxa"/>
            <w:gridSpan w:val="2"/>
            <w:tcBorders>
              <w:top w:val="nil"/>
              <w:left w:val="nil"/>
              <w:bottom w:val="single" w:sz="4" w:space="0" w:color="auto"/>
              <w:right w:val="nil"/>
            </w:tcBorders>
            <w:shd w:val="clear" w:color="auto" w:fill="auto"/>
            <w:noWrap/>
            <w:vAlign w:val="bottom"/>
            <w:hideMark/>
          </w:tcPr>
          <w:p w14:paraId="10B3F70E" w14:textId="77777777" w:rsidR="009B4B9B" w:rsidRPr="00A96689" w:rsidRDefault="009B4B9B" w:rsidP="009B4B9B">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Univariate</w:t>
            </w:r>
          </w:p>
        </w:tc>
        <w:tc>
          <w:tcPr>
            <w:tcW w:w="1984" w:type="dxa"/>
            <w:gridSpan w:val="2"/>
            <w:tcBorders>
              <w:top w:val="nil"/>
              <w:left w:val="nil"/>
              <w:bottom w:val="single" w:sz="4" w:space="0" w:color="auto"/>
              <w:right w:val="nil"/>
            </w:tcBorders>
            <w:shd w:val="clear" w:color="auto" w:fill="auto"/>
            <w:noWrap/>
            <w:vAlign w:val="bottom"/>
            <w:hideMark/>
          </w:tcPr>
          <w:p w14:paraId="63198C94" w14:textId="77777777" w:rsidR="009B4B9B" w:rsidRPr="00A96689" w:rsidRDefault="009B4B9B" w:rsidP="009B4B9B">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Age-adjusted</w:t>
            </w:r>
          </w:p>
        </w:tc>
        <w:tc>
          <w:tcPr>
            <w:tcW w:w="2127" w:type="dxa"/>
            <w:gridSpan w:val="2"/>
            <w:tcBorders>
              <w:top w:val="nil"/>
              <w:left w:val="nil"/>
              <w:bottom w:val="single" w:sz="4" w:space="0" w:color="auto"/>
              <w:right w:val="nil"/>
            </w:tcBorders>
            <w:shd w:val="clear" w:color="auto" w:fill="auto"/>
            <w:noWrap/>
            <w:vAlign w:val="bottom"/>
            <w:hideMark/>
          </w:tcPr>
          <w:p w14:paraId="66330851" w14:textId="5871B613" w:rsidR="009B4B9B" w:rsidRPr="00A96689" w:rsidRDefault="009B4B9B" w:rsidP="009B4B9B">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MV-adjusted</w:t>
            </w:r>
            <w:r w:rsidRPr="00A96689">
              <w:rPr>
                <w:rFonts w:asciiTheme="majorHAnsi" w:eastAsia="Times New Roman" w:hAnsiTheme="majorHAnsi" w:cstheme="majorHAnsi"/>
                <w:color w:val="000000"/>
                <w:vertAlign w:val="superscript"/>
                <w:lang w:val="en-CA" w:eastAsia="en-US"/>
              </w:rPr>
              <w:t>a</w:t>
            </w:r>
          </w:p>
        </w:tc>
      </w:tr>
      <w:tr w:rsidR="009B4B9B" w:rsidRPr="00A96689" w14:paraId="036351AC" w14:textId="77777777" w:rsidTr="008C689F">
        <w:trPr>
          <w:trHeight w:val="300"/>
        </w:trPr>
        <w:tc>
          <w:tcPr>
            <w:tcW w:w="4111" w:type="dxa"/>
            <w:tcBorders>
              <w:top w:val="nil"/>
              <w:left w:val="nil"/>
              <w:bottom w:val="nil"/>
              <w:right w:val="nil"/>
            </w:tcBorders>
            <w:shd w:val="clear" w:color="auto" w:fill="auto"/>
            <w:noWrap/>
            <w:vAlign w:val="bottom"/>
            <w:hideMark/>
          </w:tcPr>
          <w:p w14:paraId="103E5F00" w14:textId="77777777" w:rsidR="009B4B9B" w:rsidRPr="00A96689" w:rsidRDefault="009B4B9B" w:rsidP="009B4B9B">
            <w:pPr>
              <w:spacing w:after="0" w:line="240" w:lineRule="auto"/>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Falls last year (yes/no)</w:t>
            </w:r>
          </w:p>
        </w:tc>
        <w:tc>
          <w:tcPr>
            <w:tcW w:w="266" w:type="dxa"/>
            <w:tcBorders>
              <w:top w:val="nil"/>
              <w:left w:val="nil"/>
              <w:bottom w:val="nil"/>
              <w:right w:val="nil"/>
            </w:tcBorders>
            <w:shd w:val="clear" w:color="auto" w:fill="auto"/>
            <w:noWrap/>
            <w:vAlign w:val="bottom"/>
            <w:hideMark/>
          </w:tcPr>
          <w:p w14:paraId="43CF48FC" w14:textId="77777777" w:rsidR="009B4B9B" w:rsidRPr="00A96689" w:rsidRDefault="009B4B9B" w:rsidP="009B4B9B">
            <w:pPr>
              <w:spacing w:after="0" w:line="240" w:lineRule="auto"/>
              <w:rPr>
                <w:rFonts w:asciiTheme="majorHAnsi" w:eastAsia="Times New Roman" w:hAnsiTheme="majorHAnsi" w:cstheme="majorHAnsi"/>
                <w:color w:val="000000"/>
                <w:lang w:val="en-CA" w:eastAsia="en-US"/>
              </w:rPr>
            </w:pPr>
          </w:p>
        </w:tc>
        <w:tc>
          <w:tcPr>
            <w:tcW w:w="1281" w:type="dxa"/>
            <w:gridSpan w:val="2"/>
            <w:tcBorders>
              <w:top w:val="nil"/>
              <w:left w:val="nil"/>
              <w:bottom w:val="nil"/>
              <w:right w:val="nil"/>
            </w:tcBorders>
            <w:shd w:val="clear" w:color="auto" w:fill="auto"/>
            <w:noWrap/>
            <w:vAlign w:val="bottom"/>
            <w:hideMark/>
          </w:tcPr>
          <w:p w14:paraId="022FB80E" w14:textId="77777777" w:rsidR="009B4B9B" w:rsidRPr="00A96689" w:rsidRDefault="009B4B9B" w:rsidP="009B4B9B">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177 (38.6)</w:t>
            </w:r>
          </w:p>
        </w:tc>
        <w:tc>
          <w:tcPr>
            <w:tcW w:w="1276" w:type="dxa"/>
            <w:gridSpan w:val="2"/>
            <w:tcBorders>
              <w:top w:val="nil"/>
              <w:left w:val="nil"/>
              <w:bottom w:val="nil"/>
              <w:right w:val="nil"/>
            </w:tcBorders>
            <w:shd w:val="clear" w:color="auto" w:fill="auto"/>
            <w:noWrap/>
            <w:vAlign w:val="bottom"/>
            <w:hideMark/>
          </w:tcPr>
          <w:p w14:paraId="7BB48FA7" w14:textId="77777777" w:rsidR="009B4B9B" w:rsidRPr="00A96689" w:rsidRDefault="009B4B9B" w:rsidP="009B4B9B">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58 (52.3)</w:t>
            </w:r>
          </w:p>
        </w:tc>
        <w:tc>
          <w:tcPr>
            <w:tcW w:w="266" w:type="dxa"/>
            <w:gridSpan w:val="2"/>
            <w:tcBorders>
              <w:top w:val="nil"/>
              <w:left w:val="nil"/>
              <w:bottom w:val="nil"/>
              <w:right w:val="nil"/>
            </w:tcBorders>
            <w:shd w:val="clear" w:color="auto" w:fill="auto"/>
            <w:noWrap/>
            <w:vAlign w:val="bottom"/>
            <w:hideMark/>
          </w:tcPr>
          <w:p w14:paraId="58F7FE11" w14:textId="77777777" w:rsidR="009B4B9B" w:rsidRPr="00A96689" w:rsidRDefault="009B4B9B" w:rsidP="009B4B9B">
            <w:pPr>
              <w:spacing w:after="0" w:line="240" w:lineRule="auto"/>
              <w:jc w:val="center"/>
              <w:rPr>
                <w:rFonts w:asciiTheme="majorHAnsi" w:eastAsia="Times New Roman" w:hAnsiTheme="majorHAnsi" w:cstheme="majorHAnsi"/>
                <w:color w:val="000000"/>
                <w:lang w:val="en-CA" w:eastAsia="en-US"/>
              </w:rPr>
            </w:pPr>
          </w:p>
        </w:tc>
        <w:tc>
          <w:tcPr>
            <w:tcW w:w="2002" w:type="dxa"/>
            <w:gridSpan w:val="2"/>
            <w:tcBorders>
              <w:top w:val="nil"/>
              <w:left w:val="nil"/>
              <w:bottom w:val="nil"/>
              <w:right w:val="nil"/>
            </w:tcBorders>
            <w:shd w:val="clear" w:color="auto" w:fill="auto"/>
            <w:noWrap/>
            <w:vAlign w:val="bottom"/>
            <w:hideMark/>
          </w:tcPr>
          <w:p w14:paraId="3CDAC172" w14:textId="77777777" w:rsidR="009B4B9B" w:rsidRPr="00A96689" w:rsidRDefault="009B4B9B" w:rsidP="009B4B9B">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1.74 (1.15 to 2.65)</w:t>
            </w:r>
          </w:p>
        </w:tc>
        <w:tc>
          <w:tcPr>
            <w:tcW w:w="1984" w:type="dxa"/>
            <w:gridSpan w:val="2"/>
            <w:tcBorders>
              <w:top w:val="nil"/>
              <w:left w:val="nil"/>
              <w:bottom w:val="nil"/>
              <w:right w:val="nil"/>
            </w:tcBorders>
            <w:shd w:val="clear" w:color="auto" w:fill="auto"/>
            <w:noWrap/>
            <w:vAlign w:val="bottom"/>
            <w:hideMark/>
          </w:tcPr>
          <w:p w14:paraId="2F3C0224" w14:textId="77777777" w:rsidR="009B4B9B" w:rsidRPr="00A96689" w:rsidRDefault="009B4B9B" w:rsidP="009B4B9B">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1.63 (1.07 to 2.49)</w:t>
            </w:r>
          </w:p>
        </w:tc>
        <w:tc>
          <w:tcPr>
            <w:tcW w:w="2127" w:type="dxa"/>
            <w:gridSpan w:val="2"/>
            <w:tcBorders>
              <w:top w:val="nil"/>
              <w:left w:val="nil"/>
              <w:bottom w:val="nil"/>
              <w:right w:val="nil"/>
            </w:tcBorders>
            <w:shd w:val="clear" w:color="auto" w:fill="auto"/>
            <w:noWrap/>
            <w:vAlign w:val="bottom"/>
            <w:hideMark/>
          </w:tcPr>
          <w:p w14:paraId="2C2ADCBF" w14:textId="711770FF" w:rsidR="009B4B9B" w:rsidRPr="00A96689" w:rsidRDefault="009B4B9B" w:rsidP="009B4B9B">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1.4</w:t>
            </w:r>
            <w:r w:rsidR="00B36BE8" w:rsidRPr="00A96689">
              <w:rPr>
                <w:rFonts w:asciiTheme="majorHAnsi" w:eastAsia="Times New Roman" w:hAnsiTheme="majorHAnsi" w:cstheme="majorHAnsi"/>
                <w:color w:val="000000"/>
                <w:lang w:val="en-CA" w:eastAsia="en-US"/>
              </w:rPr>
              <w:t>4</w:t>
            </w:r>
            <w:r w:rsidRPr="00A96689">
              <w:rPr>
                <w:rFonts w:asciiTheme="majorHAnsi" w:eastAsia="Times New Roman" w:hAnsiTheme="majorHAnsi" w:cstheme="majorHAnsi"/>
                <w:color w:val="000000"/>
                <w:lang w:val="en-CA" w:eastAsia="en-US"/>
              </w:rPr>
              <w:t xml:space="preserve"> (0.9</w:t>
            </w:r>
            <w:r w:rsidR="00B36BE8" w:rsidRPr="00A96689">
              <w:rPr>
                <w:rFonts w:asciiTheme="majorHAnsi" w:eastAsia="Times New Roman" w:hAnsiTheme="majorHAnsi" w:cstheme="majorHAnsi"/>
                <w:color w:val="000000"/>
                <w:lang w:val="en-CA" w:eastAsia="en-US"/>
              </w:rPr>
              <w:t>2</w:t>
            </w:r>
            <w:r w:rsidRPr="00A96689">
              <w:rPr>
                <w:rFonts w:asciiTheme="majorHAnsi" w:eastAsia="Times New Roman" w:hAnsiTheme="majorHAnsi" w:cstheme="majorHAnsi"/>
                <w:color w:val="000000"/>
                <w:lang w:val="en-CA" w:eastAsia="en-US"/>
              </w:rPr>
              <w:t xml:space="preserve"> to 2.</w:t>
            </w:r>
            <w:r w:rsidR="00B36BE8" w:rsidRPr="00A96689">
              <w:rPr>
                <w:rFonts w:asciiTheme="majorHAnsi" w:eastAsia="Times New Roman" w:hAnsiTheme="majorHAnsi" w:cstheme="majorHAnsi"/>
                <w:color w:val="000000"/>
                <w:lang w:val="en-CA" w:eastAsia="en-US"/>
              </w:rPr>
              <w:t>26</w:t>
            </w:r>
            <w:r w:rsidRPr="00A96689">
              <w:rPr>
                <w:rFonts w:asciiTheme="majorHAnsi" w:eastAsia="Times New Roman" w:hAnsiTheme="majorHAnsi" w:cstheme="majorHAnsi"/>
                <w:color w:val="000000"/>
                <w:lang w:val="en-CA" w:eastAsia="en-US"/>
              </w:rPr>
              <w:t>)</w:t>
            </w:r>
          </w:p>
        </w:tc>
      </w:tr>
      <w:tr w:rsidR="009B4B9B" w:rsidRPr="00A96689" w14:paraId="79A7B9E9" w14:textId="77777777" w:rsidTr="008C689F">
        <w:trPr>
          <w:trHeight w:val="300"/>
        </w:trPr>
        <w:tc>
          <w:tcPr>
            <w:tcW w:w="4111" w:type="dxa"/>
            <w:tcBorders>
              <w:top w:val="nil"/>
              <w:left w:val="nil"/>
              <w:bottom w:val="nil"/>
              <w:right w:val="nil"/>
            </w:tcBorders>
            <w:shd w:val="clear" w:color="auto" w:fill="auto"/>
            <w:noWrap/>
            <w:vAlign w:val="bottom"/>
            <w:hideMark/>
          </w:tcPr>
          <w:p w14:paraId="1440F580" w14:textId="778FAFE9" w:rsidR="009B4B9B" w:rsidRPr="00A96689" w:rsidRDefault="00B36BE8" w:rsidP="00B36BE8">
            <w:pPr>
              <w:spacing w:after="0" w:line="240" w:lineRule="auto"/>
              <w:ind w:firstLine="321"/>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P-value</w:t>
            </w:r>
          </w:p>
        </w:tc>
        <w:tc>
          <w:tcPr>
            <w:tcW w:w="266" w:type="dxa"/>
            <w:tcBorders>
              <w:top w:val="nil"/>
              <w:left w:val="nil"/>
              <w:bottom w:val="nil"/>
              <w:right w:val="nil"/>
            </w:tcBorders>
            <w:shd w:val="clear" w:color="auto" w:fill="auto"/>
            <w:noWrap/>
            <w:vAlign w:val="bottom"/>
            <w:hideMark/>
          </w:tcPr>
          <w:p w14:paraId="1B16E3F4" w14:textId="77777777" w:rsidR="009B4B9B" w:rsidRPr="00A96689" w:rsidRDefault="009B4B9B" w:rsidP="009B4B9B">
            <w:pPr>
              <w:spacing w:after="0" w:line="240" w:lineRule="auto"/>
              <w:rPr>
                <w:rFonts w:asciiTheme="majorHAnsi" w:eastAsia="Times New Roman" w:hAnsiTheme="majorHAnsi" w:cstheme="majorHAnsi"/>
                <w:lang w:val="en-CA" w:eastAsia="en-US"/>
              </w:rPr>
            </w:pPr>
          </w:p>
        </w:tc>
        <w:tc>
          <w:tcPr>
            <w:tcW w:w="1281" w:type="dxa"/>
            <w:gridSpan w:val="2"/>
            <w:tcBorders>
              <w:top w:val="nil"/>
              <w:left w:val="nil"/>
              <w:bottom w:val="nil"/>
              <w:right w:val="nil"/>
            </w:tcBorders>
            <w:shd w:val="clear" w:color="auto" w:fill="auto"/>
            <w:noWrap/>
            <w:vAlign w:val="bottom"/>
            <w:hideMark/>
          </w:tcPr>
          <w:p w14:paraId="5833C0CF" w14:textId="77777777" w:rsidR="009B4B9B" w:rsidRPr="00A96689" w:rsidRDefault="009B4B9B" w:rsidP="009B4B9B">
            <w:pPr>
              <w:spacing w:after="0" w:line="240" w:lineRule="auto"/>
              <w:jc w:val="center"/>
              <w:rPr>
                <w:rFonts w:asciiTheme="majorHAnsi" w:eastAsia="Times New Roman" w:hAnsiTheme="majorHAnsi" w:cstheme="majorHAnsi"/>
                <w:lang w:val="en-CA" w:eastAsia="en-US"/>
              </w:rPr>
            </w:pPr>
          </w:p>
        </w:tc>
        <w:tc>
          <w:tcPr>
            <w:tcW w:w="1276" w:type="dxa"/>
            <w:gridSpan w:val="2"/>
            <w:tcBorders>
              <w:top w:val="nil"/>
              <w:left w:val="nil"/>
              <w:bottom w:val="nil"/>
              <w:right w:val="nil"/>
            </w:tcBorders>
            <w:shd w:val="clear" w:color="auto" w:fill="auto"/>
            <w:noWrap/>
            <w:vAlign w:val="bottom"/>
            <w:hideMark/>
          </w:tcPr>
          <w:p w14:paraId="5478B5BE" w14:textId="77777777" w:rsidR="009B4B9B" w:rsidRPr="00A96689" w:rsidRDefault="009B4B9B" w:rsidP="009B4B9B">
            <w:pPr>
              <w:spacing w:after="0" w:line="240" w:lineRule="auto"/>
              <w:jc w:val="center"/>
              <w:rPr>
                <w:rFonts w:asciiTheme="majorHAnsi" w:eastAsia="Times New Roman" w:hAnsiTheme="majorHAnsi" w:cstheme="majorHAnsi"/>
                <w:lang w:val="en-CA" w:eastAsia="en-US"/>
              </w:rPr>
            </w:pPr>
          </w:p>
        </w:tc>
        <w:tc>
          <w:tcPr>
            <w:tcW w:w="266" w:type="dxa"/>
            <w:gridSpan w:val="2"/>
            <w:tcBorders>
              <w:top w:val="nil"/>
              <w:left w:val="nil"/>
              <w:bottom w:val="nil"/>
              <w:right w:val="nil"/>
            </w:tcBorders>
            <w:shd w:val="clear" w:color="auto" w:fill="auto"/>
            <w:noWrap/>
            <w:vAlign w:val="bottom"/>
            <w:hideMark/>
          </w:tcPr>
          <w:p w14:paraId="35E10D1F" w14:textId="77777777" w:rsidR="009B4B9B" w:rsidRPr="00A96689" w:rsidRDefault="009B4B9B" w:rsidP="009B4B9B">
            <w:pPr>
              <w:spacing w:after="0" w:line="240" w:lineRule="auto"/>
              <w:jc w:val="center"/>
              <w:rPr>
                <w:rFonts w:asciiTheme="majorHAnsi" w:eastAsia="Times New Roman" w:hAnsiTheme="majorHAnsi" w:cstheme="majorHAnsi"/>
                <w:lang w:val="en-CA" w:eastAsia="en-US"/>
              </w:rPr>
            </w:pPr>
          </w:p>
        </w:tc>
        <w:tc>
          <w:tcPr>
            <w:tcW w:w="2002" w:type="dxa"/>
            <w:gridSpan w:val="2"/>
            <w:tcBorders>
              <w:top w:val="nil"/>
              <w:left w:val="nil"/>
              <w:bottom w:val="nil"/>
              <w:right w:val="nil"/>
            </w:tcBorders>
            <w:shd w:val="clear" w:color="auto" w:fill="auto"/>
            <w:noWrap/>
            <w:vAlign w:val="bottom"/>
            <w:hideMark/>
          </w:tcPr>
          <w:p w14:paraId="15C12299" w14:textId="2E1CD5F6" w:rsidR="009B4B9B" w:rsidRPr="00A96689" w:rsidRDefault="00B36BE8" w:rsidP="009B4B9B">
            <w:pPr>
              <w:spacing w:after="0" w:line="240" w:lineRule="auto"/>
              <w:jc w:val="center"/>
              <w:rPr>
                <w:rFonts w:asciiTheme="majorHAnsi" w:eastAsia="Times New Roman" w:hAnsiTheme="majorHAnsi" w:cstheme="majorHAnsi"/>
                <w:lang w:val="en-CA" w:eastAsia="en-US"/>
              </w:rPr>
            </w:pPr>
            <w:r w:rsidRPr="00A96689">
              <w:rPr>
                <w:rFonts w:asciiTheme="majorHAnsi" w:eastAsia="Times New Roman" w:hAnsiTheme="majorHAnsi" w:cstheme="majorHAnsi"/>
                <w:lang w:val="en-CA" w:eastAsia="en-US"/>
              </w:rPr>
              <w:t>0.009</w:t>
            </w:r>
          </w:p>
        </w:tc>
        <w:tc>
          <w:tcPr>
            <w:tcW w:w="1984" w:type="dxa"/>
            <w:gridSpan w:val="2"/>
            <w:tcBorders>
              <w:top w:val="nil"/>
              <w:left w:val="nil"/>
              <w:bottom w:val="nil"/>
              <w:right w:val="nil"/>
            </w:tcBorders>
            <w:shd w:val="clear" w:color="auto" w:fill="auto"/>
            <w:noWrap/>
            <w:vAlign w:val="bottom"/>
            <w:hideMark/>
          </w:tcPr>
          <w:p w14:paraId="2D59143C" w14:textId="7D6ABBDD" w:rsidR="009B4B9B" w:rsidRPr="00A96689" w:rsidRDefault="00B36BE8" w:rsidP="009B4B9B">
            <w:pPr>
              <w:spacing w:after="0" w:line="240" w:lineRule="auto"/>
              <w:jc w:val="center"/>
              <w:rPr>
                <w:rFonts w:asciiTheme="majorHAnsi" w:eastAsia="Times New Roman" w:hAnsiTheme="majorHAnsi" w:cstheme="majorHAnsi"/>
                <w:lang w:val="en-CA" w:eastAsia="en-US"/>
              </w:rPr>
            </w:pPr>
            <w:r w:rsidRPr="00A96689">
              <w:rPr>
                <w:rFonts w:asciiTheme="majorHAnsi" w:eastAsia="Times New Roman" w:hAnsiTheme="majorHAnsi" w:cstheme="majorHAnsi"/>
                <w:lang w:val="en-CA" w:eastAsia="en-US"/>
              </w:rPr>
              <w:t>0.023</w:t>
            </w:r>
          </w:p>
        </w:tc>
        <w:tc>
          <w:tcPr>
            <w:tcW w:w="2127" w:type="dxa"/>
            <w:gridSpan w:val="2"/>
            <w:tcBorders>
              <w:top w:val="nil"/>
              <w:left w:val="nil"/>
              <w:bottom w:val="nil"/>
              <w:right w:val="nil"/>
            </w:tcBorders>
            <w:shd w:val="clear" w:color="auto" w:fill="auto"/>
            <w:noWrap/>
            <w:vAlign w:val="bottom"/>
            <w:hideMark/>
          </w:tcPr>
          <w:p w14:paraId="4D6A14AB" w14:textId="6AD39580" w:rsidR="009B4B9B" w:rsidRPr="00A96689" w:rsidRDefault="00B36BE8" w:rsidP="009B4B9B">
            <w:pPr>
              <w:spacing w:after="0" w:line="240" w:lineRule="auto"/>
              <w:jc w:val="center"/>
              <w:rPr>
                <w:rFonts w:asciiTheme="majorHAnsi" w:eastAsia="Times New Roman" w:hAnsiTheme="majorHAnsi" w:cstheme="majorHAnsi"/>
                <w:lang w:val="en-CA" w:eastAsia="en-US"/>
              </w:rPr>
            </w:pPr>
            <w:r w:rsidRPr="00A96689">
              <w:rPr>
                <w:rFonts w:asciiTheme="majorHAnsi" w:eastAsia="Times New Roman" w:hAnsiTheme="majorHAnsi" w:cstheme="majorHAnsi"/>
                <w:lang w:val="en-CA" w:eastAsia="en-US"/>
              </w:rPr>
              <w:t>0.112</w:t>
            </w:r>
          </w:p>
        </w:tc>
      </w:tr>
      <w:tr w:rsidR="009B4B9B" w:rsidRPr="00A96689" w14:paraId="049AD3B3" w14:textId="77777777" w:rsidTr="008C689F">
        <w:trPr>
          <w:trHeight w:val="345"/>
        </w:trPr>
        <w:tc>
          <w:tcPr>
            <w:tcW w:w="4111" w:type="dxa"/>
            <w:tcBorders>
              <w:top w:val="nil"/>
              <w:left w:val="nil"/>
              <w:bottom w:val="nil"/>
              <w:right w:val="nil"/>
            </w:tcBorders>
            <w:shd w:val="clear" w:color="auto" w:fill="auto"/>
            <w:noWrap/>
            <w:vAlign w:val="bottom"/>
            <w:hideMark/>
          </w:tcPr>
          <w:p w14:paraId="32941F06" w14:textId="77777777" w:rsidR="009B4B9B" w:rsidRPr="00A96689" w:rsidRDefault="009B4B9B" w:rsidP="009B4B9B">
            <w:pPr>
              <w:spacing w:after="0" w:line="240" w:lineRule="auto"/>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Number of falls last year (#)</w:t>
            </w:r>
          </w:p>
        </w:tc>
        <w:tc>
          <w:tcPr>
            <w:tcW w:w="266" w:type="dxa"/>
            <w:tcBorders>
              <w:top w:val="nil"/>
              <w:left w:val="nil"/>
              <w:bottom w:val="nil"/>
              <w:right w:val="nil"/>
            </w:tcBorders>
            <w:shd w:val="clear" w:color="auto" w:fill="auto"/>
            <w:noWrap/>
            <w:vAlign w:val="bottom"/>
            <w:hideMark/>
          </w:tcPr>
          <w:p w14:paraId="7776FAEC" w14:textId="77777777" w:rsidR="009B4B9B" w:rsidRPr="00A96689" w:rsidRDefault="009B4B9B" w:rsidP="009B4B9B">
            <w:pPr>
              <w:spacing w:after="0" w:line="240" w:lineRule="auto"/>
              <w:rPr>
                <w:rFonts w:asciiTheme="majorHAnsi" w:eastAsia="Times New Roman" w:hAnsiTheme="majorHAnsi" w:cstheme="majorHAnsi"/>
                <w:color w:val="000000"/>
                <w:lang w:val="en-CA" w:eastAsia="en-US"/>
              </w:rPr>
            </w:pPr>
          </w:p>
        </w:tc>
        <w:tc>
          <w:tcPr>
            <w:tcW w:w="1281" w:type="dxa"/>
            <w:gridSpan w:val="2"/>
            <w:tcBorders>
              <w:top w:val="nil"/>
              <w:left w:val="nil"/>
              <w:bottom w:val="nil"/>
              <w:right w:val="nil"/>
            </w:tcBorders>
            <w:shd w:val="clear" w:color="auto" w:fill="auto"/>
            <w:noWrap/>
            <w:vAlign w:val="bottom"/>
            <w:hideMark/>
          </w:tcPr>
          <w:p w14:paraId="2A853675" w14:textId="77777777" w:rsidR="009B4B9B" w:rsidRPr="00A96689" w:rsidRDefault="009B4B9B" w:rsidP="009B4B9B">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0.9 (1.7)</w:t>
            </w:r>
            <w:r w:rsidRPr="00A96689">
              <w:rPr>
                <w:rFonts w:asciiTheme="majorHAnsi" w:eastAsia="Times New Roman" w:hAnsiTheme="majorHAnsi" w:cstheme="majorHAnsi"/>
                <w:color w:val="000000"/>
                <w:vertAlign w:val="superscript"/>
                <w:lang w:val="en-CA" w:eastAsia="en-US"/>
              </w:rPr>
              <w:t>b</w:t>
            </w:r>
          </w:p>
        </w:tc>
        <w:tc>
          <w:tcPr>
            <w:tcW w:w="1276" w:type="dxa"/>
            <w:gridSpan w:val="2"/>
            <w:tcBorders>
              <w:top w:val="nil"/>
              <w:left w:val="nil"/>
              <w:bottom w:val="nil"/>
              <w:right w:val="nil"/>
            </w:tcBorders>
            <w:shd w:val="clear" w:color="auto" w:fill="auto"/>
            <w:noWrap/>
            <w:vAlign w:val="bottom"/>
            <w:hideMark/>
          </w:tcPr>
          <w:p w14:paraId="5386F0C2" w14:textId="77777777" w:rsidR="009B4B9B" w:rsidRPr="00A96689" w:rsidRDefault="009B4B9B" w:rsidP="009B4B9B">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2.1 (3.3)</w:t>
            </w:r>
            <w:r w:rsidRPr="00A96689">
              <w:rPr>
                <w:rFonts w:asciiTheme="majorHAnsi" w:eastAsia="Times New Roman" w:hAnsiTheme="majorHAnsi" w:cstheme="majorHAnsi"/>
                <w:color w:val="000000"/>
                <w:vertAlign w:val="superscript"/>
                <w:lang w:val="en-CA" w:eastAsia="en-US"/>
              </w:rPr>
              <w:t>b</w:t>
            </w:r>
          </w:p>
        </w:tc>
        <w:tc>
          <w:tcPr>
            <w:tcW w:w="266" w:type="dxa"/>
            <w:gridSpan w:val="2"/>
            <w:tcBorders>
              <w:top w:val="nil"/>
              <w:left w:val="nil"/>
              <w:bottom w:val="nil"/>
              <w:right w:val="nil"/>
            </w:tcBorders>
            <w:shd w:val="clear" w:color="auto" w:fill="auto"/>
            <w:noWrap/>
            <w:vAlign w:val="bottom"/>
            <w:hideMark/>
          </w:tcPr>
          <w:p w14:paraId="7ACF1C89" w14:textId="77777777" w:rsidR="009B4B9B" w:rsidRPr="00A96689" w:rsidRDefault="009B4B9B" w:rsidP="009B4B9B">
            <w:pPr>
              <w:spacing w:after="0" w:line="240" w:lineRule="auto"/>
              <w:jc w:val="center"/>
              <w:rPr>
                <w:rFonts w:asciiTheme="majorHAnsi" w:eastAsia="Times New Roman" w:hAnsiTheme="majorHAnsi" w:cstheme="majorHAnsi"/>
                <w:color w:val="000000"/>
                <w:lang w:val="en-CA" w:eastAsia="en-US"/>
              </w:rPr>
            </w:pPr>
          </w:p>
        </w:tc>
        <w:tc>
          <w:tcPr>
            <w:tcW w:w="2002" w:type="dxa"/>
            <w:gridSpan w:val="2"/>
            <w:tcBorders>
              <w:top w:val="nil"/>
              <w:left w:val="nil"/>
              <w:bottom w:val="nil"/>
              <w:right w:val="nil"/>
            </w:tcBorders>
            <w:shd w:val="clear" w:color="auto" w:fill="auto"/>
            <w:noWrap/>
            <w:vAlign w:val="bottom"/>
            <w:hideMark/>
          </w:tcPr>
          <w:p w14:paraId="7686C0B5" w14:textId="77777777" w:rsidR="009B4B9B" w:rsidRPr="00A96689" w:rsidRDefault="009B4B9B" w:rsidP="009B4B9B">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1.96 (1.47 to 2.62)</w:t>
            </w:r>
            <w:r w:rsidRPr="00A96689">
              <w:rPr>
                <w:rFonts w:asciiTheme="majorHAnsi" w:eastAsia="Times New Roman" w:hAnsiTheme="majorHAnsi" w:cstheme="majorHAnsi"/>
                <w:color w:val="000000"/>
                <w:vertAlign w:val="superscript"/>
                <w:lang w:val="en-CA" w:eastAsia="en-US"/>
              </w:rPr>
              <w:t>c</w:t>
            </w:r>
          </w:p>
        </w:tc>
        <w:tc>
          <w:tcPr>
            <w:tcW w:w="1984" w:type="dxa"/>
            <w:gridSpan w:val="2"/>
            <w:tcBorders>
              <w:top w:val="nil"/>
              <w:left w:val="nil"/>
              <w:bottom w:val="nil"/>
              <w:right w:val="nil"/>
            </w:tcBorders>
            <w:shd w:val="clear" w:color="auto" w:fill="auto"/>
            <w:noWrap/>
            <w:vAlign w:val="bottom"/>
            <w:hideMark/>
          </w:tcPr>
          <w:p w14:paraId="2A9BD338" w14:textId="77777777" w:rsidR="009B4B9B" w:rsidRPr="00A96689" w:rsidRDefault="009B4B9B" w:rsidP="009B4B9B">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1.97 (1.48 to 2.64)</w:t>
            </w:r>
            <w:r w:rsidRPr="00A96689">
              <w:rPr>
                <w:rFonts w:asciiTheme="majorHAnsi" w:eastAsia="Times New Roman" w:hAnsiTheme="majorHAnsi" w:cstheme="majorHAnsi"/>
                <w:color w:val="000000"/>
                <w:vertAlign w:val="superscript"/>
                <w:lang w:val="en-CA" w:eastAsia="en-US"/>
              </w:rPr>
              <w:t>c</w:t>
            </w:r>
          </w:p>
        </w:tc>
        <w:tc>
          <w:tcPr>
            <w:tcW w:w="2127" w:type="dxa"/>
            <w:gridSpan w:val="2"/>
            <w:tcBorders>
              <w:top w:val="nil"/>
              <w:left w:val="nil"/>
              <w:bottom w:val="nil"/>
              <w:right w:val="nil"/>
            </w:tcBorders>
            <w:shd w:val="clear" w:color="auto" w:fill="auto"/>
            <w:noWrap/>
            <w:vAlign w:val="bottom"/>
            <w:hideMark/>
          </w:tcPr>
          <w:p w14:paraId="3702E1BD" w14:textId="77777777" w:rsidR="009B4B9B" w:rsidRPr="00A96689" w:rsidRDefault="009B4B9B" w:rsidP="009B4B9B">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1.94 (1.42 to 2.65)</w:t>
            </w:r>
            <w:r w:rsidRPr="00A96689">
              <w:rPr>
                <w:rFonts w:asciiTheme="majorHAnsi" w:eastAsia="Times New Roman" w:hAnsiTheme="majorHAnsi" w:cstheme="majorHAnsi"/>
                <w:color w:val="000000"/>
                <w:vertAlign w:val="superscript"/>
                <w:lang w:val="en-CA" w:eastAsia="en-US"/>
              </w:rPr>
              <w:t>c</w:t>
            </w:r>
          </w:p>
        </w:tc>
      </w:tr>
      <w:tr w:rsidR="00B36BE8" w:rsidRPr="00A96689" w14:paraId="4E0CE9D5" w14:textId="77777777" w:rsidTr="008C689F">
        <w:trPr>
          <w:trHeight w:val="300"/>
        </w:trPr>
        <w:tc>
          <w:tcPr>
            <w:tcW w:w="4111" w:type="dxa"/>
            <w:tcBorders>
              <w:top w:val="nil"/>
              <w:left w:val="nil"/>
              <w:bottom w:val="nil"/>
              <w:right w:val="nil"/>
            </w:tcBorders>
            <w:shd w:val="clear" w:color="auto" w:fill="auto"/>
            <w:noWrap/>
            <w:vAlign w:val="bottom"/>
            <w:hideMark/>
          </w:tcPr>
          <w:p w14:paraId="42B82ACE" w14:textId="191679BE" w:rsidR="00B36BE8" w:rsidRPr="00A96689" w:rsidRDefault="00B36BE8" w:rsidP="00B36BE8">
            <w:pPr>
              <w:spacing w:after="0" w:line="240" w:lineRule="auto"/>
              <w:ind w:firstLine="321"/>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P-value</w:t>
            </w:r>
          </w:p>
        </w:tc>
        <w:tc>
          <w:tcPr>
            <w:tcW w:w="266" w:type="dxa"/>
            <w:tcBorders>
              <w:top w:val="nil"/>
              <w:left w:val="nil"/>
              <w:bottom w:val="nil"/>
              <w:right w:val="nil"/>
            </w:tcBorders>
            <w:shd w:val="clear" w:color="auto" w:fill="auto"/>
            <w:noWrap/>
            <w:vAlign w:val="bottom"/>
            <w:hideMark/>
          </w:tcPr>
          <w:p w14:paraId="2E4F0431" w14:textId="77777777" w:rsidR="00B36BE8" w:rsidRPr="00A96689" w:rsidRDefault="00B36BE8" w:rsidP="00B36BE8">
            <w:pPr>
              <w:spacing w:after="0" w:line="240" w:lineRule="auto"/>
              <w:rPr>
                <w:rFonts w:asciiTheme="majorHAnsi" w:eastAsia="Times New Roman" w:hAnsiTheme="majorHAnsi" w:cstheme="majorHAnsi"/>
                <w:lang w:val="en-CA" w:eastAsia="en-US"/>
              </w:rPr>
            </w:pPr>
          </w:p>
        </w:tc>
        <w:tc>
          <w:tcPr>
            <w:tcW w:w="1281" w:type="dxa"/>
            <w:gridSpan w:val="2"/>
            <w:tcBorders>
              <w:top w:val="nil"/>
              <w:left w:val="nil"/>
              <w:bottom w:val="nil"/>
              <w:right w:val="nil"/>
            </w:tcBorders>
            <w:shd w:val="clear" w:color="auto" w:fill="auto"/>
            <w:noWrap/>
            <w:vAlign w:val="bottom"/>
            <w:hideMark/>
          </w:tcPr>
          <w:p w14:paraId="2860A019" w14:textId="77777777" w:rsidR="00B36BE8" w:rsidRPr="00A96689" w:rsidRDefault="00B36BE8" w:rsidP="00B36BE8">
            <w:pPr>
              <w:spacing w:after="0" w:line="240" w:lineRule="auto"/>
              <w:jc w:val="center"/>
              <w:rPr>
                <w:rFonts w:asciiTheme="majorHAnsi" w:eastAsia="Times New Roman" w:hAnsiTheme="majorHAnsi" w:cstheme="majorHAnsi"/>
                <w:lang w:val="en-CA" w:eastAsia="en-US"/>
              </w:rPr>
            </w:pPr>
          </w:p>
        </w:tc>
        <w:tc>
          <w:tcPr>
            <w:tcW w:w="1276" w:type="dxa"/>
            <w:gridSpan w:val="2"/>
            <w:tcBorders>
              <w:top w:val="nil"/>
              <w:left w:val="nil"/>
              <w:bottom w:val="nil"/>
              <w:right w:val="nil"/>
            </w:tcBorders>
            <w:shd w:val="clear" w:color="auto" w:fill="auto"/>
            <w:noWrap/>
            <w:vAlign w:val="bottom"/>
            <w:hideMark/>
          </w:tcPr>
          <w:p w14:paraId="1DEA9FD3" w14:textId="77777777" w:rsidR="00B36BE8" w:rsidRPr="00A96689" w:rsidRDefault="00B36BE8" w:rsidP="00B36BE8">
            <w:pPr>
              <w:spacing w:after="0" w:line="240" w:lineRule="auto"/>
              <w:jc w:val="center"/>
              <w:rPr>
                <w:rFonts w:asciiTheme="majorHAnsi" w:eastAsia="Times New Roman" w:hAnsiTheme="majorHAnsi" w:cstheme="majorHAnsi"/>
                <w:lang w:val="en-CA" w:eastAsia="en-US"/>
              </w:rPr>
            </w:pPr>
          </w:p>
        </w:tc>
        <w:tc>
          <w:tcPr>
            <w:tcW w:w="266" w:type="dxa"/>
            <w:gridSpan w:val="2"/>
            <w:tcBorders>
              <w:top w:val="nil"/>
              <w:left w:val="nil"/>
              <w:bottom w:val="nil"/>
              <w:right w:val="nil"/>
            </w:tcBorders>
            <w:shd w:val="clear" w:color="auto" w:fill="auto"/>
            <w:noWrap/>
            <w:vAlign w:val="bottom"/>
            <w:hideMark/>
          </w:tcPr>
          <w:p w14:paraId="4D0212BB" w14:textId="77777777" w:rsidR="00B36BE8" w:rsidRPr="00A96689" w:rsidRDefault="00B36BE8" w:rsidP="00B36BE8">
            <w:pPr>
              <w:spacing w:after="0" w:line="240" w:lineRule="auto"/>
              <w:jc w:val="center"/>
              <w:rPr>
                <w:rFonts w:asciiTheme="majorHAnsi" w:eastAsia="Times New Roman" w:hAnsiTheme="majorHAnsi" w:cstheme="majorHAnsi"/>
                <w:lang w:val="en-CA" w:eastAsia="en-US"/>
              </w:rPr>
            </w:pPr>
          </w:p>
        </w:tc>
        <w:tc>
          <w:tcPr>
            <w:tcW w:w="2002" w:type="dxa"/>
            <w:gridSpan w:val="2"/>
            <w:tcBorders>
              <w:top w:val="nil"/>
              <w:left w:val="nil"/>
              <w:bottom w:val="nil"/>
              <w:right w:val="nil"/>
            </w:tcBorders>
            <w:shd w:val="clear" w:color="auto" w:fill="auto"/>
            <w:noWrap/>
            <w:vAlign w:val="bottom"/>
            <w:hideMark/>
          </w:tcPr>
          <w:p w14:paraId="639568CC" w14:textId="3CE29C1A" w:rsidR="00B36BE8" w:rsidRPr="00A96689" w:rsidRDefault="00B36BE8" w:rsidP="00B36BE8">
            <w:pPr>
              <w:spacing w:after="0" w:line="240" w:lineRule="auto"/>
              <w:jc w:val="center"/>
              <w:rPr>
                <w:rFonts w:asciiTheme="majorHAnsi" w:eastAsia="Times New Roman" w:hAnsiTheme="majorHAnsi" w:cstheme="majorHAnsi"/>
                <w:lang w:val="en-CA" w:eastAsia="en-US"/>
              </w:rPr>
            </w:pPr>
            <w:r w:rsidRPr="00A96689">
              <w:rPr>
                <w:rFonts w:asciiTheme="majorHAnsi" w:eastAsia="Times New Roman" w:hAnsiTheme="majorHAnsi" w:cstheme="majorHAnsi"/>
                <w:lang w:val="en-CA" w:eastAsia="en-US"/>
              </w:rPr>
              <w:t>&lt;.001</w:t>
            </w:r>
          </w:p>
        </w:tc>
        <w:tc>
          <w:tcPr>
            <w:tcW w:w="1984" w:type="dxa"/>
            <w:gridSpan w:val="2"/>
            <w:tcBorders>
              <w:top w:val="nil"/>
              <w:left w:val="nil"/>
              <w:bottom w:val="nil"/>
              <w:right w:val="nil"/>
            </w:tcBorders>
            <w:shd w:val="clear" w:color="auto" w:fill="auto"/>
            <w:noWrap/>
            <w:vAlign w:val="bottom"/>
            <w:hideMark/>
          </w:tcPr>
          <w:p w14:paraId="75E24448" w14:textId="425779BD" w:rsidR="00B36BE8" w:rsidRPr="00A96689" w:rsidRDefault="00B36BE8" w:rsidP="00B36BE8">
            <w:pPr>
              <w:spacing w:after="0" w:line="240" w:lineRule="auto"/>
              <w:jc w:val="center"/>
              <w:rPr>
                <w:rFonts w:asciiTheme="majorHAnsi" w:eastAsia="Times New Roman" w:hAnsiTheme="majorHAnsi" w:cstheme="majorHAnsi"/>
                <w:lang w:val="en-CA" w:eastAsia="en-US"/>
              </w:rPr>
            </w:pPr>
            <w:r w:rsidRPr="00A96689">
              <w:rPr>
                <w:rFonts w:asciiTheme="majorHAnsi" w:eastAsia="Times New Roman" w:hAnsiTheme="majorHAnsi" w:cstheme="majorHAnsi"/>
                <w:lang w:val="en-CA" w:eastAsia="en-US"/>
              </w:rPr>
              <w:t>&lt;.001</w:t>
            </w:r>
          </w:p>
        </w:tc>
        <w:tc>
          <w:tcPr>
            <w:tcW w:w="2127" w:type="dxa"/>
            <w:gridSpan w:val="2"/>
            <w:tcBorders>
              <w:top w:val="nil"/>
              <w:left w:val="nil"/>
              <w:bottom w:val="nil"/>
              <w:right w:val="nil"/>
            </w:tcBorders>
            <w:shd w:val="clear" w:color="auto" w:fill="auto"/>
            <w:noWrap/>
            <w:vAlign w:val="bottom"/>
            <w:hideMark/>
          </w:tcPr>
          <w:p w14:paraId="046266C3" w14:textId="25F375B8" w:rsidR="00B36BE8" w:rsidRPr="00A96689" w:rsidRDefault="00B36BE8" w:rsidP="00B36BE8">
            <w:pPr>
              <w:spacing w:after="0" w:line="240" w:lineRule="auto"/>
              <w:jc w:val="center"/>
              <w:rPr>
                <w:rFonts w:asciiTheme="majorHAnsi" w:eastAsia="Times New Roman" w:hAnsiTheme="majorHAnsi" w:cstheme="majorHAnsi"/>
                <w:lang w:val="en-CA" w:eastAsia="en-US"/>
              </w:rPr>
            </w:pPr>
            <w:r w:rsidRPr="00A96689">
              <w:rPr>
                <w:rFonts w:asciiTheme="majorHAnsi" w:eastAsia="Times New Roman" w:hAnsiTheme="majorHAnsi" w:cstheme="majorHAnsi"/>
                <w:lang w:val="en-CA" w:eastAsia="en-US"/>
              </w:rPr>
              <w:t>&lt;.001</w:t>
            </w:r>
          </w:p>
        </w:tc>
      </w:tr>
      <w:tr w:rsidR="00B36BE8" w:rsidRPr="00A96689" w14:paraId="356BEDA3" w14:textId="77777777" w:rsidTr="008C689F">
        <w:trPr>
          <w:trHeight w:val="300"/>
        </w:trPr>
        <w:tc>
          <w:tcPr>
            <w:tcW w:w="4111" w:type="dxa"/>
            <w:tcBorders>
              <w:top w:val="nil"/>
              <w:left w:val="nil"/>
              <w:bottom w:val="nil"/>
              <w:right w:val="nil"/>
            </w:tcBorders>
            <w:shd w:val="clear" w:color="auto" w:fill="auto"/>
            <w:noWrap/>
            <w:vAlign w:val="bottom"/>
            <w:hideMark/>
          </w:tcPr>
          <w:p w14:paraId="6073638C" w14:textId="0A9CA8F0" w:rsidR="00B36BE8" w:rsidRPr="00A96689" w:rsidRDefault="00B36BE8" w:rsidP="00B36BE8">
            <w:pPr>
              <w:spacing w:after="0" w:line="240" w:lineRule="auto"/>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Timed Up and Go based fall risk (yes/no)</w:t>
            </w:r>
          </w:p>
        </w:tc>
        <w:tc>
          <w:tcPr>
            <w:tcW w:w="266" w:type="dxa"/>
            <w:tcBorders>
              <w:top w:val="nil"/>
              <w:left w:val="nil"/>
              <w:bottom w:val="nil"/>
              <w:right w:val="nil"/>
            </w:tcBorders>
            <w:shd w:val="clear" w:color="auto" w:fill="auto"/>
            <w:noWrap/>
            <w:vAlign w:val="bottom"/>
            <w:hideMark/>
          </w:tcPr>
          <w:p w14:paraId="45BEE387" w14:textId="77777777" w:rsidR="00B36BE8" w:rsidRPr="00A96689" w:rsidRDefault="00B36BE8" w:rsidP="00B36BE8">
            <w:pPr>
              <w:spacing w:after="0" w:line="240" w:lineRule="auto"/>
              <w:rPr>
                <w:rFonts w:asciiTheme="majorHAnsi" w:eastAsia="Times New Roman" w:hAnsiTheme="majorHAnsi" w:cstheme="majorHAnsi"/>
                <w:color w:val="000000"/>
                <w:lang w:val="en-CA" w:eastAsia="en-US"/>
              </w:rPr>
            </w:pPr>
          </w:p>
        </w:tc>
        <w:tc>
          <w:tcPr>
            <w:tcW w:w="1281" w:type="dxa"/>
            <w:gridSpan w:val="2"/>
            <w:tcBorders>
              <w:top w:val="nil"/>
              <w:left w:val="nil"/>
              <w:bottom w:val="nil"/>
              <w:right w:val="nil"/>
            </w:tcBorders>
            <w:shd w:val="clear" w:color="auto" w:fill="auto"/>
            <w:noWrap/>
            <w:vAlign w:val="bottom"/>
            <w:hideMark/>
          </w:tcPr>
          <w:p w14:paraId="472B7A93"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212 (46.0)</w:t>
            </w:r>
          </w:p>
        </w:tc>
        <w:tc>
          <w:tcPr>
            <w:tcW w:w="1276" w:type="dxa"/>
            <w:gridSpan w:val="2"/>
            <w:tcBorders>
              <w:top w:val="nil"/>
              <w:left w:val="nil"/>
              <w:bottom w:val="nil"/>
              <w:right w:val="nil"/>
            </w:tcBorders>
            <w:shd w:val="clear" w:color="auto" w:fill="auto"/>
            <w:noWrap/>
            <w:vAlign w:val="bottom"/>
            <w:hideMark/>
          </w:tcPr>
          <w:p w14:paraId="6A0A2CA5"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76 (66.7)</w:t>
            </w:r>
          </w:p>
        </w:tc>
        <w:tc>
          <w:tcPr>
            <w:tcW w:w="266" w:type="dxa"/>
            <w:gridSpan w:val="2"/>
            <w:tcBorders>
              <w:top w:val="nil"/>
              <w:left w:val="nil"/>
              <w:bottom w:val="nil"/>
              <w:right w:val="nil"/>
            </w:tcBorders>
            <w:shd w:val="clear" w:color="auto" w:fill="auto"/>
            <w:noWrap/>
            <w:vAlign w:val="bottom"/>
            <w:hideMark/>
          </w:tcPr>
          <w:p w14:paraId="235FAE94"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p>
        </w:tc>
        <w:tc>
          <w:tcPr>
            <w:tcW w:w="2002" w:type="dxa"/>
            <w:gridSpan w:val="2"/>
            <w:tcBorders>
              <w:top w:val="nil"/>
              <w:left w:val="nil"/>
              <w:bottom w:val="nil"/>
              <w:right w:val="nil"/>
            </w:tcBorders>
            <w:shd w:val="clear" w:color="auto" w:fill="auto"/>
            <w:noWrap/>
            <w:vAlign w:val="bottom"/>
            <w:hideMark/>
          </w:tcPr>
          <w:p w14:paraId="28B9282D"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2.35 (1.53 to 3.61)</w:t>
            </w:r>
          </w:p>
        </w:tc>
        <w:tc>
          <w:tcPr>
            <w:tcW w:w="1984" w:type="dxa"/>
            <w:gridSpan w:val="2"/>
            <w:tcBorders>
              <w:top w:val="nil"/>
              <w:left w:val="nil"/>
              <w:bottom w:val="nil"/>
              <w:right w:val="nil"/>
            </w:tcBorders>
            <w:shd w:val="clear" w:color="auto" w:fill="auto"/>
            <w:noWrap/>
            <w:vAlign w:val="bottom"/>
            <w:hideMark/>
          </w:tcPr>
          <w:p w14:paraId="624719F7"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2.00 (1.27 to 3.16)</w:t>
            </w:r>
          </w:p>
        </w:tc>
        <w:tc>
          <w:tcPr>
            <w:tcW w:w="2127" w:type="dxa"/>
            <w:gridSpan w:val="2"/>
            <w:tcBorders>
              <w:top w:val="nil"/>
              <w:left w:val="nil"/>
              <w:bottom w:val="nil"/>
              <w:right w:val="nil"/>
            </w:tcBorders>
            <w:shd w:val="clear" w:color="auto" w:fill="auto"/>
            <w:noWrap/>
            <w:vAlign w:val="bottom"/>
            <w:hideMark/>
          </w:tcPr>
          <w:p w14:paraId="5CBC0DD8"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1.58 (0.95 to 2.61)</w:t>
            </w:r>
          </w:p>
        </w:tc>
      </w:tr>
      <w:tr w:rsidR="00B36BE8" w:rsidRPr="00A96689" w14:paraId="37132FF0" w14:textId="77777777" w:rsidTr="008C689F">
        <w:trPr>
          <w:trHeight w:val="300"/>
        </w:trPr>
        <w:tc>
          <w:tcPr>
            <w:tcW w:w="4111" w:type="dxa"/>
            <w:tcBorders>
              <w:top w:val="nil"/>
              <w:left w:val="nil"/>
              <w:right w:val="nil"/>
            </w:tcBorders>
            <w:shd w:val="clear" w:color="auto" w:fill="auto"/>
            <w:noWrap/>
            <w:vAlign w:val="bottom"/>
            <w:hideMark/>
          </w:tcPr>
          <w:p w14:paraId="08885BB6" w14:textId="5F84AA02" w:rsidR="00B36BE8" w:rsidRPr="00A96689" w:rsidRDefault="00B36BE8" w:rsidP="00B36BE8">
            <w:pPr>
              <w:spacing w:after="0" w:line="240" w:lineRule="auto"/>
              <w:ind w:firstLine="321"/>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P-value</w:t>
            </w:r>
          </w:p>
        </w:tc>
        <w:tc>
          <w:tcPr>
            <w:tcW w:w="266" w:type="dxa"/>
            <w:tcBorders>
              <w:top w:val="nil"/>
              <w:left w:val="nil"/>
              <w:right w:val="nil"/>
            </w:tcBorders>
            <w:shd w:val="clear" w:color="auto" w:fill="auto"/>
            <w:noWrap/>
            <w:vAlign w:val="bottom"/>
            <w:hideMark/>
          </w:tcPr>
          <w:p w14:paraId="72331242" w14:textId="77777777" w:rsidR="00B36BE8" w:rsidRPr="00A96689" w:rsidRDefault="00B36BE8" w:rsidP="00B36BE8">
            <w:pPr>
              <w:spacing w:after="0" w:line="240" w:lineRule="auto"/>
              <w:rPr>
                <w:rFonts w:asciiTheme="majorHAnsi" w:eastAsia="Times New Roman" w:hAnsiTheme="majorHAnsi" w:cstheme="majorHAnsi"/>
                <w:lang w:val="en-CA" w:eastAsia="en-US"/>
              </w:rPr>
            </w:pPr>
          </w:p>
        </w:tc>
        <w:tc>
          <w:tcPr>
            <w:tcW w:w="1281" w:type="dxa"/>
            <w:gridSpan w:val="2"/>
            <w:tcBorders>
              <w:top w:val="nil"/>
              <w:left w:val="nil"/>
              <w:right w:val="nil"/>
            </w:tcBorders>
            <w:shd w:val="clear" w:color="auto" w:fill="auto"/>
            <w:noWrap/>
            <w:vAlign w:val="bottom"/>
            <w:hideMark/>
          </w:tcPr>
          <w:p w14:paraId="2C505036" w14:textId="77777777" w:rsidR="00B36BE8" w:rsidRPr="00A96689" w:rsidRDefault="00B36BE8" w:rsidP="00B36BE8">
            <w:pPr>
              <w:spacing w:after="0" w:line="240" w:lineRule="auto"/>
              <w:jc w:val="center"/>
              <w:rPr>
                <w:rFonts w:asciiTheme="majorHAnsi" w:eastAsia="Times New Roman" w:hAnsiTheme="majorHAnsi" w:cstheme="majorHAnsi"/>
                <w:lang w:val="en-CA" w:eastAsia="en-US"/>
              </w:rPr>
            </w:pPr>
          </w:p>
        </w:tc>
        <w:tc>
          <w:tcPr>
            <w:tcW w:w="1276" w:type="dxa"/>
            <w:gridSpan w:val="2"/>
            <w:tcBorders>
              <w:top w:val="nil"/>
              <w:left w:val="nil"/>
              <w:right w:val="nil"/>
            </w:tcBorders>
            <w:shd w:val="clear" w:color="auto" w:fill="auto"/>
            <w:noWrap/>
            <w:vAlign w:val="bottom"/>
            <w:hideMark/>
          </w:tcPr>
          <w:p w14:paraId="2021E031" w14:textId="77777777" w:rsidR="00B36BE8" w:rsidRPr="00A96689" w:rsidRDefault="00B36BE8" w:rsidP="00B36BE8">
            <w:pPr>
              <w:spacing w:after="0" w:line="240" w:lineRule="auto"/>
              <w:jc w:val="center"/>
              <w:rPr>
                <w:rFonts w:asciiTheme="majorHAnsi" w:eastAsia="Times New Roman" w:hAnsiTheme="majorHAnsi" w:cstheme="majorHAnsi"/>
                <w:lang w:val="en-CA" w:eastAsia="en-US"/>
              </w:rPr>
            </w:pPr>
          </w:p>
        </w:tc>
        <w:tc>
          <w:tcPr>
            <w:tcW w:w="266" w:type="dxa"/>
            <w:gridSpan w:val="2"/>
            <w:tcBorders>
              <w:top w:val="nil"/>
              <w:left w:val="nil"/>
              <w:right w:val="nil"/>
            </w:tcBorders>
            <w:shd w:val="clear" w:color="auto" w:fill="auto"/>
            <w:noWrap/>
            <w:vAlign w:val="bottom"/>
            <w:hideMark/>
          </w:tcPr>
          <w:p w14:paraId="4EA27099" w14:textId="77777777" w:rsidR="00B36BE8" w:rsidRPr="00A96689" w:rsidRDefault="00B36BE8" w:rsidP="00B36BE8">
            <w:pPr>
              <w:spacing w:after="0" w:line="240" w:lineRule="auto"/>
              <w:jc w:val="center"/>
              <w:rPr>
                <w:rFonts w:asciiTheme="majorHAnsi" w:eastAsia="Times New Roman" w:hAnsiTheme="majorHAnsi" w:cstheme="majorHAnsi"/>
                <w:lang w:val="en-CA" w:eastAsia="en-US"/>
              </w:rPr>
            </w:pPr>
          </w:p>
        </w:tc>
        <w:tc>
          <w:tcPr>
            <w:tcW w:w="2002" w:type="dxa"/>
            <w:gridSpan w:val="2"/>
            <w:tcBorders>
              <w:top w:val="nil"/>
              <w:left w:val="nil"/>
              <w:right w:val="nil"/>
            </w:tcBorders>
            <w:shd w:val="clear" w:color="auto" w:fill="auto"/>
            <w:noWrap/>
            <w:vAlign w:val="bottom"/>
            <w:hideMark/>
          </w:tcPr>
          <w:p w14:paraId="48C66B48" w14:textId="77909635" w:rsidR="00B36BE8" w:rsidRPr="00A96689" w:rsidRDefault="00B36BE8" w:rsidP="00B36BE8">
            <w:pPr>
              <w:spacing w:after="0" w:line="240" w:lineRule="auto"/>
              <w:jc w:val="center"/>
              <w:rPr>
                <w:rFonts w:asciiTheme="majorHAnsi" w:eastAsia="Times New Roman" w:hAnsiTheme="majorHAnsi" w:cstheme="majorHAnsi"/>
                <w:lang w:val="en-CA" w:eastAsia="en-US"/>
              </w:rPr>
            </w:pPr>
            <w:r w:rsidRPr="00A96689">
              <w:rPr>
                <w:rFonts w:asciiTheme="majorHAnsi" w:eastAsia="Times New Roman" w:hAnsiTheme="majorHAnsi" w:cstheme="majorHAnsi"/>
                <w:lang w:val="en-CA" w:eastAsia="en-US"/>
              </w:rPr>
              <w:t>&lt;.001</w:t>
            </w:r>
          </w:p>
        </w:tc>
        <w:tc>
          <w:tcPr>
            <w:tcW w:w="1984" w:type="dxa"/>
            <w:gridSpan w:val="2"/>
            <w:tcBorders>
              <w:top w:val="nil"/>
              <w:left w:val="nil"/>
              <w:right w:val="nil"/>
            </w:tcBorders>
            <w:shd w:val="clear" w:color="auto" w:fill="auto"/>
            <w:noWrap/>
            <w:vAlign w:val="bottom"/>
            <w:hideMark/>
          </w:tcPr>
          <w:p w14:paraId="7F0E90DA" w14:textId="10FDDB2C" w:rsidR="00B36BE8" w:rsidRPr="00A96689" w:rsidRDefault="00B36BE8" w:rsidP="00B36BE8">
            <w:pPr>
              <w:spacing w:after="0" w:line="240" w:lineRule="auto"/>
              <w:jc w:val="center"/>
              <w:rPr>
                <w:rFonts w:asciiTheme="majorHAnsi" w:eastAsia="Times New Roman" w:hAnsiTheme="majorHAnsi" w:cstheme="majorHAnsi"/>
                <w:lang w:val="en-CA" w:eastAsia="en-US"/>
              </w:rPr>
            </w:pPr>
            <w:r w:rsidRPr="00A96689">
              <w:rPr>
                <w:rFonts w:asciiTheme="majorHAnsi" w:eastAsia="Times New Roman" w:hAnsiTheme="majorHAnsi" w:cstheme="majorHAnsi"/>
                <w:lang w:val="en-CA" w:eastAsia="en-US"/>
              </w:rPr>
              <w:t>0.003</w:t>
            </w:r>
          </w:p>
        </w:tc>
        <w:tc>
          <w:tcPr>
            <w:tcW w:w="2127" w:type="dxa"/>
            <w:gridSpan w:val="2"/>
            <w:tcBorders>
              <w:top w:val="nil"/>
              <w:left w:val="nil"/>
              <w:right w:val="nil"/>
            </w:tcBorders>
            <w:shd w:val="clear" w:color="auto" w:fill="auto"/>
            <w:noWrap/>
            <w:vAlign w:val="bottom"/>
            <w:hideMark/>
          </w:tcPr>
          <w:p w14:paraId="6CD80A62" w14:textId="7065200F" w:rsidR="00B36BE8" w:rsidRPr="00A96689" w:rsidRDefault="00B36BE8" w:rsidP="00B36BE8">
            <w:pPr>
              <w:spacing w:after="0" w:line="240" w:lineRule="auto"/>
              <w:jc w:val="center"/>
              <w:rPr>
                <w:rFonts w:asciiTheme="majorHAnsi" w:eastAsia="Times New Roman" w:hAnsiTheme="majorHAnsi" w:cstheme="majorHAnsi"/>
                <w:lang w:val="en-CA" w:eastAsia="en-US"/>
              </w:rPr>
            </w:pPr>
            <w:r w:rsidRPr="00A96689">
              <w:rPr>
                <w:rFonts w:asciiTheme="majorHAnsi" w:eastAsia="Times New Roman" w:hAnsiTheme="majorHAnsi" w:cstheme="majorHAnsi"/>
                <w:lang w:val="en-CA" w:eastAsia="en-US"/>
              </w:rPr>
              <w:t>0.077</w:t>
            </w:r>
          </w:p>
        </w:tc>
      </w:tr>
      <w:tr w:rsidR="00B36BE8" w:rsidRPr="00A96689" w14:paraId="774830A6" w14:textId="77777777" w:rsidTr="008C689F">
        <w:trPr>
          <w:trHeight w:val="300"/>
        </w:trPr>
        <w:tc>
          <w:tcPr>
            <w:tcW w:w="4111" w:type="dxa"/>
            <w:tcBorders>
              <w:top w:val="nil"/>
              <w:left w:val="nil"/>
              <w:right w:val="nil"/>
            </w:tcBorders>
            <w:shd w:val="clear" w:color="auto" w:fill="auto"/>
            <w:noWrap/>
            <w:vAlign w:val="bottom"/>
            <w:hideMark/>
          </w:tcPr>
          <w:p w14:paraId="452EFB4F" w14:textId="77777777" w:rsidR="00B36BE8" w:rsidRPr="00A96689" w:rsidRDefault="00B36BE8" w:rsidP="00B36BE8">
            <w:pPr>
              <w:spacing w:after="0" w:line="240" w:lineRule="auto"/>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Sarcopenia (yes/no)</w:t>
            </w:r>
          </w:p>
        </w:tc>
        <w:tc>
          <w:tcPr>
            <w:tcW w:w="266" w:type="dxa"/>
            <w:tcBorders>
              <w:top w:val="nil"/>
              <w:left w:val="nil"/>
              <w:right w:val="nil"/>
            </w:tcBorders>
            <w:shd w:val="clear" w:color="auto" w:fill="auto"/>
            <w:noWrap/>
            <w:vAlign w:val="bottom"/>
            <w:hideMark/>
          </w:tcPr>
          <w:p w14:paraId="366BF14C" w14:textId="77777777" w:rsidR="00B36BE8" w:rsidRPr="00A96689" w:rsidRDefault="00B36BE8" w:rsidP="00B36BE8">
            <w:pPr>
              <w:spacing w:after="0" w:line="240" w:lineRule="auto"/>
              <w:rPr>
                <w:rFonts w:asciiTheme="majorHAnsi" w:eastAsia="Times New Roman" w:hAnsiTheme="majorHAnsi" w:cstheme="majorHAnsi"/>
                <w:color w:val="000000"/>
                <w:lang w:val="en-CA" w:eastAsia="en-US"/>
              </w:rPr>
            </w:pPr>
          </w:p>
        </w:tc>
        <w:tc>
          <w:tcPr>
            <w:tcW w:w="1281" w:type="dxa"/>
            <w:gridSpan w:val="2"/>
            <w:tcBorders>
              <w:top w:val="nil"/>
              <w:left w:val="nil"/>
              <w:right w:val="nil"/>
            </w:tcBorders>
            <w:shd w:val="clear" w:color="auto" w:fill="auto"/>
            <w:noWrap/>
            <w:vAlign w:val="bottom"/>
            <w:hideMark/>
          </w:tcPr>
          <w:p w14:paraId="6614C427"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235 (51.0)</w:t>
            </w:r>
          </w:p>
        </w:tc>
        <w:tc>
          <w:tcPr>
            <w:tcW w:w="1276" w:type="dxa"/>
            <w:gridSpan w:val="2"/>
            <w:tcBorders>
              <w:top w:val="nil"/>
              <w:left w:val="nil"/>
              <w:right w:val="nil"/>
            </w:tcBorders>
            <w:shd w:val="clear" w:color="auto" w:fill="auto"/>
            <w:noWrap/>
            <w:vAlign w:val="bottom"/>
            <w:hideMark/>
          </w:tcPr>
          <w:p w14:paraId="45B5FA50"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87 (76.3)</w:t>
            </w:r>
          </w:p>
        </w:tc>
        <w:tc>
          <w:tcPr>
            <w:tcW w:w="266" w:type="dxa"/>
            <w:gridSpan w:val="2"/>
            <w:tcBorders>
              <w:top w:val="nil"/>
              <w:left w:val="nil"/>
              <w:right w:val="nil"/>
            </w:tcBorders>
            <w:shd w:val="clear" w:color="auto" w:fill="auto"/>
            <w:noWrap/>
            <w:vAlign w:val="bottom"/>
            <w:hideMark/>
          </w:tcPr>
          <w:p w14:paraId="7150A959"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p>
        </w:tc>
        <w:tc>
          <w:tcPr>
            <w:tcW w:w="2002" w:type="dxa"/>
            <w:gridSpan w:val="2"/>
            <w:tcBorders>
              <w:top w:val="nil"/>
              <w:left w:val="nil"/>
              <w:right w:val="nil"/>
            </w:tcBorders>
            <w:shd w:val="clear" w:color="auto" w:fill="auto"/>
            <w:noWrap/>
            <w:vAlign w:val="bottom"/>
            <w:hideMark/>
          </w:tcPr>
          <w:p w14:paraId="3E7DB6D0"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3.10 (1.93 to 4.95)</w:t>
            </w:r>
          </w:p>
        </w:tc>
        <w:tc>
          <w:tcPr>
            <w:tcW w:w="1984" w:type="dxa"/>
            <w:gridSpan w:val="2"/>
            <w:tcBorders>
              <w:top w:val="nil"/>
              <w:left w:val="nil"/>
              <w:right w:val="nil"/>
            </w:tcBorders>
            <w:shd w:val="clear" w:color="auto" w:fill="auto"/>
            <w:noWrap/>
            <w:vAlign w:val="bottom"/>
            <w:hideMark/>
          </w:tcPr>
          <w:p w14:paraId="77DB3096"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2.71 (1.67 to 4.41)</w:t>
            </w:r>
          </w:p>
        </w:tc>
        <w:tc>
          <w:tcPr>
            <w:tcW w:w="2127" w:type="dxa"/>
            <w:gridSpan w:val="2"/>
            <w:tcBorders>
              <w:top w:val="nil"/>
              <w:left w:val="nil"/>
              <w:right w:val="nil"/>
            </w:tcBorders>
            <w:shd w:val="clear" w:color="auto" w:fill="auto"/>
            <w:noWrap/>
            <w:vAlign w:val="bottom"/>
            <w:hideMark/>
          </w:tcPr>
          <w:p w14:paraId="2EE3E154"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2.41 (1.41 to 4.12)</w:t>
            </w:r>
          </w:p>
        </w:tc>
      </w:tr>
      <w:tr w:rsidR="00B36BE8" w:rsidRPr="00A96689" w14:paraId="1F8CE7B2" w14:textId="77777777" w:rsidTr="008C689F">
        <w:trPr>
          <w:trHeight w:val="300"/>
        </w:trPr>
        <w:tc>
          <w:tcPr>
            <w:tcW w:w="4111" w:type="dxa"/>
            <w:tcBorders>
              <w:top w:val="nil"/>
              <w:left w:val="nil"/>
              <w:right w:val="nil"/>
            </w:tcBorders>
            <w:shd w:val="clear" w:color="auto" w:fill="auto"/>
            <w:noWrap/>
            <w:vAlign w:val="bottom"/>
          </w:tcPr>
          <w:p w14:paraId="58DB3C24" w14:textId="605D81B9" w:rsidR="00B36BE8" w:rsidRPr="00A96689" w:rsidRDefault="00B36BE8" w:rsidP="00B36BE8">
            <w:pPr>
              <w:spacing w:after="0" w:line="240" w:lineRule="auto"/>
              <w:ind w:firstLine="321"/>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P-value</w:t>
            </w:r>
          </w:p>
        </w:tc>
        <w:tc>
          <w:tcPr>
            <w:tcW w:w="266" w:type="dxa"/>
            <w:tcBorders>
              <w:top w:val="nil"/>
              <w:left w:val="nil"/>
              <w:right w:val="nil"/>
            </w:tcBorders>
            <w:shd w:val="clear" w:color="auto" w:fill="auto"/>
            <w:noWrap/>
            <w:vAlign w:val="bottom"/>
          </w:tcPr>
          <w:p w14:paraId="6D9F243E" w14:textId="77777777" w:rsidR="00B36BE8" w:rsidRPr="00A96689" w:rsidRDefault="00B36BE8" w:rsidP="00B36BE8">
            <w:pPr>
              <w:spacing w:after="0" w:line="240" w:lineRule="auto"/>
              <w:rPr>
                <w:rFonts w:asciiTheme="majorHAnsi" w:eastAsia="Times New Roman" w:hAnsiTheme="majorHAnsi" w:cstheme="majorHAnsi"/>
                <w:color w:val="000000"/>
                <w:lang w:val="en-CA" w:eastAsia="en-US"/>
              </w:rPr>
            </w:pPr>
          </w:p>
        </w:tc>
        <w:tc>
          <w:tcPr>
            <w:tcW w:w="1281" w:type="dxa"/>
            <w:gridSpan w:val="2"/>
            <w:tcBorders>
              <w:top w:val="nil"/>
              <w:left w:val="nil"/>
              <w:right w:val="nil"/>
            </w:tcBorders>
            <w:shd w:val="clear" w:color="auto" w:fill="auto"/>
            <w:noWrap/>
            <w:vAlign w:val="bottom"/>
          </w:tcPr>
          <w:p w14:paraId="0D3E3F56"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p>
        </w:tc>
        <w:tc>
          <w:tcPr>
            <w:tcW w:w="1276" w:type="dxa"/>
            <w:gridSpan w:val="2"/>
            <w:tcBorders>
              <w:top w:val="nil"/>
              <w:left w:val="nil"/>
              <w:right w:val="nil"/>
            </w:tcBorders>
            <w:shd w:val="clear" w:color="auto" w:fill="auto"/>
            <w:noWrap/>
            <w:vAlign w:val="bottom"/>
          </w:tcPr>
          <w:p w14:paraId="28106D6E"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p>
        </w:tc>
        <w:tc>
          <w:tcPr>
            <w:tcW w:w="266" w:type="dxa"/>
            <w:gridSpan w:val="2"/>
            <w:tcBorders>
              <w:top w:val="nil"/>
              <w:left w:val="nil"/>
              <w:right w:val="nil"/>
            </w:tcBorders>
            <w:shd w:val="clear" w:color="auto" w:fill="auto"/>
            <w:noWrap/>
            <w:vAlign w:val="bottom"/>
          </w:tcPr>
          <w:p w14:paraId="1942EEBA"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p>
        </w:tc>
        <w:tc>
          <w:tcPr>
            <w:tcW w:w="2002" w:type="dxa"/>
            <w:gridSpan w:val="2"/>
            <w:tcBorders>
              <w:top w:val="nil"/>
              <w:left w:val="nil"/>
              <w:right w:val="nil"/>
            </w:tcBorders>
            <w:shd w:val="clear" w:color="auto" w:fill="auto"/>
            <w:noWrap/>
            <w:vAlign w:val="bottom"/>
          </w:tcPr>
          <w:p w14:paraId="37CD2046" w14:textId="0D288AD9" w:rsidR="00B36BE8" w:rsidRPr="00A96689" w:rsidRDefault="001D6177"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&lt;.001</w:t>
            </w:r>
          </w:p>
        </w:tc>
        <w:tc>
          <w:tcPr>
            <w:tcW w:w="1984" w:type="dxa"/>
            <w:gridSpan w:val="2"/>
            <w:tcBorders>
              <w:top w:val="nil"/>
              <w:left w:val="nil"/>
              <w:right w:val="nil"/>
            </w:tcBorders>
            <w:shd w:val="clear" w:color="auto" w:fill="auto"/>
            <w:noWrap/>
            <w:vAlign w:val="bottom"/>
          </w:tcPr>
          <w:p w14:paraId="535BFAF0" w14:textId="72B894E0" w:rsidR="00B36BE8" w:rsidRPr="00A96689" w:rsidRDefault="001D6177"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&lt;.001</w:t>
            </w:r>
          </w:p>
        </w:tc>
        <w:tc>
          <w:tcPr>
            <w:tcW w:w="2127" w:type="dxa"/>
            <w:gridSpan w:val="2"/>
            <w:tcBorders>
              <w:top w:val="nil"/>
              <w:left w:val="nil"/>
              <w:right w:val="nil"/>
            </w:tcBorders>
            <w:shd w:val="clear" w:color="auto" w:fill="auto"/>
            <w:noWrap/>
            <w:vAlign w:val="bottom"/>
          </w:tcPr>
          <w:p w14:paraId="0AB6BD68" w14:textId="57585D3D" w:rsidR="00B36BE8" w:rsidRPr="00A96689" w:rsidRDefault="001D6177"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0.001</w:t>
            </w:r>
          </w:p>
        </w:tc>
      </w:tr>
      <w:tr w:rsidR="00B36BE8" w:rsidRPr="00A96689" w14:paraId="7F6B0DBC" w14:textId="77777777" w:rsidTr="008C689F">
        <w:trPr>
          <w:trHeight w:val="300"/>
        </w:trPr>
        <w:tc>
          <w:tcPr>
            <w:tcW w:w="4111" w:type="dxa"/>
            <w:tcBorders>
              <w:top w:val="nil"/>
              <w:left w:val="nil"/>
              <w:right w:val="nil"/>
            </w:tcBorders>
            <w:shd w:val="clear" w:color="auto" w:fill="auto"/>
            <w:noWrap/>
            <w:vAlign w:val="bottom"/>
          </w:tcPr>
          <w:p w14:paraId="1A7472C7" w14:textId="300DB7DC" w:rsidR="00B36BE8" w:rsidRPr="00A96689" w:rsidRDefault="00B36BE8" w:rsidP="00B36BE8">
            <w:pPr>
              <w:spacing w:after="0" w:line="240" w:lineRule="auto"/>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Dynapenia (yes/no)</w:t>
            </w:r>
          </w:p>
        </w:tc>
        <w:tc>
          <w:tcPr>
            <w:tcW w:w="266" w:type="dxa"/>
            <w:tcBorders>
              <w:top w:val="nil"/>
              <w:left w:val="nil"/>
              <w:right w:val="nil"/>
            </w:tcBorders>
            <w:shd w:val="clear" w:color="auto" w:fill="auto"/>
            <w:noWrap/>
            <w:vAlign w:val="bottom"/>
          </w:tcPr>
          <w:p w14:paraId="00640833" w14:textId="1953329D" w:rsidR="00B36BE8" w:rsidRPr="00A96689" w:rsidRDefault="00B36BE8" w:rsidP="00B36BE8">
            <w:pPr>
              <w:spacing w:after="0" w:line="240" w:lineRule="auto"/>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 </w:t>
            </w:r>
          </w:p>
        </w:tc>
        <w:tc>
          <w:tcPr>
            <w:tcW w:w="1281" w:type="dxa"/>
            <w:gridSpan w:val="2"/>
            <w:tcBorders>
              <w:top w:val="nil"/>
              <w:left w:val="nil"/>
              <w:right w:val="nil"/>
            </w:tcBorders>
            <w:shd w:val="clear" w:color="auto" w:fill="auto"/>
            <w:noWrap/>
            <w:vAlign w:val="bottom"/>
          </w:tcPr>
          <w:p w14:paraId="189B4015" w14:textId="27C973A6"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250 (54.2)</w:t>
            </w:r>
          </w:p>
        </w:tc>
        <w:tc>
          <w:tcPr>
            <w:tcW w:w="1276" w:type="dxa"/>
            <w:gridSpan w:val="2"/>
            <w:tcBorders>
              <w:top w:val="nil"/>
              <w:left w:val="nil"/>
              <w:right w:val="nil"/>
            </w:tcBorders>
            <w:shd w:val="clear" w:color="auto" w:fill="auto"/>
            <w:noWrap/>
            <w:vAlign w:val="bottom"/>
          </w:tcPr>
          <w:p w14:paraId="16F617E9" w14:textId="76666D23"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85 (74.6)</w:t>
            </w:r>
          </w:p>
        </w:tc>
        <w:tc>
          <w:tcPr>
            <w:tcW w:w="266" w:type="dxa"/>
            <w:gridSpan w:val="2"/>
            <w:tcBorders>
              <w:top w:val="nil"/>
              <w:left w:val="nil"/>
              <w:right w:val="nil"/>
            </w:tcBorders>
            <w:shd w:val="clear" w:color="auto" w:fill="auto"/>
            <w:noWrap/>
            <w:vAlign w:val="bottom"/>
          </w:tcPr>
          <w:p w14:paraId="7A0002EA"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p>
        </w:tc>
        <w:tc>
          <w:tcPr>
            <w:tcW w:w="2002" w:type="dxa"/>
            <w:gridSpan w:val="2"/>
            <w:tcBorders>
              <w:top w:val="nil"/>
              <w:left w:val="nil"/>
              <w:right w:val="nil"/>
            </w:tcBorders>
            <w:shd w:val="clear" w:color="auto" w:fill="auto"/>
            <w:noWrap/>
            <w:vAlign w:val="bottom"/>
          </w:tcPr>
          <w:p w14:paraId="6D7CC306" w14:textId="5275BCA4"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2.47 (1.56 to 3.92)</w:t>
            </w:r>
          </w:p>
        </w:tc>
        <w:tc>
          <w:tcPr>
            <w:tcW w:w="1984" w:type="dxa"/>
            <w:gridSpan w:val="2"/>
            <w:tcBorders>
              <w:top w:val="nil"/>
              <w:left w:val="nil"/>
              <w:right w:val="nil"/>
            </w:tcBorders>
            <w:shd w:val="clear" w:color="auto" w:fill="auto"/>
            <w:noWrap/>
            <w:vAlign w:val="bottom"/>
          </w:tcPr>
          <w:p w14:paraId="66529E82" w14:textId="09D2D332"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2.08 (1.28 to 3.38)</w:t>
            </w:r>
          </w:p>
        </w:tc>
        <w:tc>
          <w:tcPr>
            <w:tcW w:w="2127" w:type="dxa"/>
            <w:gridSpan w:val="2"/>
            <w:tcBorders>
              <w:top w:val="nil"/>
              <w:left w:val="nil"/>
              <w:right w:val="nil"/>
            </w:tcBorders>
            <w:shd w:val="clear" w:color="auto" w:fill="auto"/>
            <w:noWrap/>
            <w:vAlign w:val="bottom"/>
          </w:tcPr>
          <w:p w14:paraId="0A97DFA2" w14:textId="77FCE30D"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1.54 (0.91 to 2.61)</w:t>
            </w:r>
          </w:p>
        </w:tc>
      </w:tr>
      <w:tr w:rsidR="00B36BE8" w:rsidRPr="00A96689" w14:paraId="415A00E0" w14:textId="77777777" w:rsidTr="008C689F">
        <w:trPr>
          <w:trHeight w:val="300"/>
        </w:trPr>
        <w:tc>
          <w:tcPr>
            <w:tcW w:w="4111" w:type="dxa"/>
            <w:tcBorders>
              <w:top w:val="nil"/>
              <w:left w:val="nil"/>
              <w:bottom w:val="nil"/>
              <w:right w:val="nil"/>
            </w:tcBorders>
            <w:shd w:val="clear" w:color="auto" w:fill="auto"/>
            <w:noWrap/>
            <w:vAlign w:val="bottom"/>
            <w:hideMark/>
          </w:tcPr>
          <w:p w14:paraId="277F480B" w14:textId="10D220D7" w:rsidR="00B36BE8" w:rsidRPr="00A96689" w:rsidRDefault="00B36BE8" w:rsidP="00B36BE8">
            <w:pPr>
              <w:spacing w:after="0" w:line="240" w:lineRule="auto"/>
              <w:ind w:firstLine="321"/>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P-value</w:t>
            </w:r>
          </w:p>
        </w:tc>
        <w:tc>
          <w:tcPr>
            <w:tcW w:w="266" w:type="dxa"/>
            <w:tcBorders>
              <w:top w:val="nil"/>
              <w:left w:val="nil"/>
              <w:bottom w:val="nil"/>
              <w:right w:val="nil"/>
            </w:tcBorders>
            <w:shd w:val="clear" w:color="auto" w:fill="auto"/>
            <w:noWrap/>
            <w:vAlign w:val="bottom"/>
            <w:hideMark/>
          </w:tcPr>
          <w:p w14:paraId="58FB8BA9" w14:textId="77777777" w:rsidR="00B36BE8" w:rsidRPr="00A96689" w:rsidRDefault="00B36BE8" w:rsidP="00B36BE8">
            <w:pPr>
              <w:spacing w:after="0" w:line="240" w:lineRule="auto"/>
              <w:rPr>
                <w:rFonts w:asciiTheme="majorHAnsi" w:eastAsia="Times New Roman" w:hAnsiTheme="majorHAnsi" w:cstheme="majorHAnsi"/>
                <w:lang w:val="en-CA" w:eastAsia="en-US"/>
              </w:rPr>
            </w:pPr>
          </w:p>
        </w:tc>
        <w:tc>
          <w:tcPr>
            <w:tcW w:w="1281" w:type="dxa"/>
            <w:gridSpan w:val="2"/>
            <w:tcBorders>
              <w:top w:val="nil"/>
              <w:left w:val="nil"/>
              <w:bottom w:val="nil"/>
              <w:right w:val="nil"/>
            </w:tcBorders>
            <w:shd w:val="clear" w:color="auto" w:fill="auto"/>
            <w:noWrap/>
            <w:vAlign w:val="bottom"/>
            <w:hideMark/>
          </w:tcPr>
          <w:p w14:paraId="4529BF0A" w14:textId="77777777" w:rsidR="00B36BE8" w:rsidRPr="00A96689" w:rsidRDefault="00B36BE8" w:rsidP="00B36BE8">
            <w:pPr>
              <w:spacing w:after="0" w:line="240" w:lineRule="auto"/>
              <w:jc w:val="center"/>
              <w:rPr>
                <w:rFonts w:asciiTheme="majorHAnsi" w:eastAsia="Times New Roman" w:hAnsiTheme="majorHAnsi" w:cstheme="majorHAnsi"/>
                <w:lang w:val="en-CA" w:eastAsia="en-US"/>
              </w:rPr>
            </w:pPr>
          </w:p>
        </w:tc>
        <w:tc>
          <w:tcPr>
            <w:tcW w:w="1276" w:type="dxa"/>
            <w:gridSpan w:val="2"/>
            <w:tcBorders>
              <w:top w:val="nil"/>
              <w:left w:val="nil"/>
              <w:bottom w:val="nil"/>
              <w:right w:val="nil"/>
            </w:tcBorders>
            <w:shd w:val="clear" w:color="auto" w:fill="auto"/>
            <w:noWrap/>
            <w:vAlign w:val="bottom"/>
            <w:hideMark/>
          </w:tcPr>
          <w:p w14:paraId="6D92CB01" w14:textId="77777777" w:rsidR="00B36BE8" w:rsidRPr="00A96689" w:rsidRDefault="00B36BE8" w:rsidP="00B36BE8">
            <w:pPr>
              <w:spacing w:after="0" w:line="240" w:lineRule="auto"/>
              <w:jc w:val="center"/>
              <w:rPr>
                <w:rFonts w:asciiTheme="majorHAnsi" w:eastAsia="Times New Roman" w:hAnsiTheme="majorHAnsi" w:cstheme="majorHAnsi"/>
                <w:lang w:val="en-CA" w:eastAsia="en-US"/>
              </w:rPr>
            </w:pPr>
          </w:p>
        </w:tc>
        <w:tc>
          <w:tcPr>
            <w:tcW w:w="266" w:type="dxa"/>
            <w:gridSpan w:val="2"/>
            <w:tcBorders>
              <w:top w:val="nil"/>
              <w:left w:val="nil"/>
              <w:bottom w:val="nil"/>
              <w:right w:val="nil"/>
            </w:tcBorders>
            <w:shd w:val="clear" w:color="auto" w:fill="auto"/>
            <w:noWrap/>
            <w:vAlign w:val="bottom"/>
            <w:hideMark/>
          </w:tcPr>
          <w:p w14:paraId="3382E68A" w14:textId="77777777" w:rsidR="00B36BE8" w:rsidRPr="00A96689" w:rsidRDefault="00B36BE8" w:rsidP="00B36BE8">
            <w:pPr>
              <w:spacing w:after="0" w:line="240" w:lineRule="auto"/>
              <w:jc w:val="center"/>
              <w:rPr>
                <w:rFonts w:asciiTheme="majorHAnsi" w:eastAsia="Times New Roman" w:hAnsiTheme="majorHAnsi" w:cstheme="majorHAnsi"/>
                <w:lang w:val="en-CA" w:eastAsia="en-US"/>
              </w:rPr>
            </w:pPr>
          </w:p>
        </w:tc>
        <w:tc>
          <w:tcPr>
            <w:tcW w:w="2002" w:type="dxa"/>
            <w:gridSpan w:val="2"/>
            <w:tcBorders>
              <w:top w:val="nil"/>
              <w:left w:val="nil"/>
              <w:bottom w:val="nil"/>
              <w:right w:val="nil"/>
            </w:tcBorders>
            <w:shd w:val="clear" w:color="auto" w:fill="auto"/>
            <w:noWrap/>
            <w:vAlign w:val="bottom"/>
            <w:hideMark/>
          </w:tcPr>
          <w:p w14:paraId="3FD31BAB" w14:textId="4EEA07C6" w:rsidR="00B36BE8" w:rsidRPr="00A96689" w:rsidRDefault="001D6177" w:rsidP="00B36BE8">
            <w:pPr>
              <w:spacing w:after="0" w:line="240" w:lineRule="auto"/>
              <w:jc w:val="center"/>
              <w:rPr>
                <w:rFonts w:asciiTheme="majorHAnsi" w:eastAsia="Times New Roman" w:hAnsiTheme="majorHAnsi" w:cstheme="majorHAnsi"/>
                <w:lang w:val="en-CA" w:eastAsia="en-US"/>
              </w:rPr>
            </w:pPr>
            <w:r w:rsidRPr="00A96689">
              <w:rPr>
                <w:rFonts w:asciiTheme="majorHAnsi" w:eastAsia="Times New Roman" w:hAnsiTheme="majorHAnsi" w:cstheme="majorHAnsi"/>
                <w:lang w:val="en-CA" w:eastAsia="en-US"/>
              </w:rPr>
              <w:t>&lt;.001</w:t>
            </w:r>
          </w:p>
        </w:tc>
        <w:tc>
          <w:tcPr>
            <w:tcW w:w="1984" w:type="dxa"/>
            <w:gridSpan w:val="2"/>
            <w:tcBorders>
              <w:top w:val="nil"/>
              <w:left w:val="nil"/>
              <w:bottom w:val="nil"/>
              <w:right w:val="nil"/>
            </w:tcBorders>
            <w:shd w:val="clear" w:color="auto" w:fill="auto"/>
            <w:noWrap/>
            <w:vAlign w:val="bottom"/>
            <w:hideMark/>
          </w:tcPr>
          <w:p w14:paraId="20D9394D" w14:textId="2A1CB2DA" w:rsidR="00B36BE8" w:rsidRPr="00A96689" w:rsidRDefault="001D6177" w:rsidP="00B36BE8">
            <w:pPr>
              <w:spacing w:after="0" w:line="240" w:lineRule="auto"/>
              <w:jc w:val="center"/>
              <w:rPr>
                <w:rFonts w:asciiTheme="majorHAnsi" w:eastAsia="Times New Roman" w:hAnsiTheme="majorHAnsi" w:cstheme="majorHAnsi"/>
                <w:lang w:val="en-CA" w:eastAsia="en-US"/>
              </w:rPr>
            </w:pPr>
            <w:r w:rsidRPr="00A96689">
              <w:rPr>
                <w:rFonts w:asciiTheme="majorHAnsi" w:eastAsia="Times New Roman" w:hAnsiTheme="majorHAnsi" w:cstheme="majorHAnsi"/>
                <w:lang w:val="en-CA" w:eastAsia="en-US"/>
              </w:rPr>
              <w:t>0.003</w:t>
            </w:r>
          </w:p>
        </w:tc>
        <w:tc>
          <w:tcPr>
            <w:tcW w:w="2127" w:type="dxa"/>
            <w:gridSpan w:val="2"/>
            <w:tcBorders>
              <w:top w:val="nil"/>
              <w:left w:val="nil"/>
              <w:bottom w:val="nil"/>
              <w:right w:val="nil"/>
            </w:tcBorders>
            <w:shd w:val="clear" w:color="auto" w:fill="auto"/>
            <w:noWrap/>
            <w:vAlign w:val="bottom"/>
            <w:hideMark/>
          </w:tcPr>
          <w:p w14:paraId="48781211" w14:textId="38AA465A" w:rsidR="00B36BE8" w:rsidRPr="00A96689" w:rsidRDefault="001D6177" w:rsidP="00B36BE8">
            <w:pPr>
              <w:spacing w:after="0" w:line="240" w:lineRule="auto"/>
              <w:jc w:val="center"/>
              <w:rPr>
                <w:rFonts w:asciiTheme="majorHAnsi" w:eastAsia="Times New Roman" w:hAnsiTheme="majorHAnsi" w:cstheme="majorHAnsi"/>
                <w:lang w:val="en-CA" w:eastAsia="en-US"/>
              </w:rPr>
            </w:pPr>
            <w:r w:rsidRPr="00A96689">
              <w:rPr>
                <w:rFonts w:asciiTheme="majorHAnsi" w:eastAsia="Times New Roman" w:hAnsiTheme="majorHAnsi" w:cstheme="majorHAnsi"/>
                <w:lang w:val="en-CA" w:eastAsia="en-US"/>
              </w:rPr>
              <w:t>0.106</w:t>
            </w:r>
          </w:p>
        </w:tc>
      </w:tr>
      <w:tr w:rsidR="00B36BE8" w:rsidRPr="00A96689" w14:paraId="38E59D99" w14:textId="77777777" w:rsidTr="00B36BE8">
        <w:trPr>
          <w:trHeight w:val="300"/>
        </w:trPr>
        <w:tc>
          <w:tcPr>
            <w:tcW w:w="4111" w:type="dxa"/>
            <w:tcBorders>
              <w:top w:val="nil"/>
              <w:left w:val="nil"/>
              <w:right w:val="nil"/>
            </w:tcBorders>
            <w:shd w:val="clear" w:color="auto" w:fill="auto"/>
            <w:noWrap/>
            <w:vAlign w:val="bottom"/>
            <w:hideMark/>
          </w:tcPr>
          <w:p w14:paraId="34E05E07" w14:textId="77777777" w:rsidR="00B36BE8" w:rsidRPr="00A96689" w:rsidRDefault="00B36BE8" w:rsidP="00B36BE8">
            <w:pPr>
              <w:spacing w:after="0" w:line="240" w:lineRule="auto"/>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Frailty (yes/no)</w:t>
            </w:r>
          </w:p>
        </w:tc>
        <w:tc>
          <w:tcPr>
            <w:tcW w:w="266" w:type="dxa"/>
            <w:tcBorders>
              <w:top w:val="nil"/>
              <w:left w:val="nil"/>
              <w:right w:val="nil"/>
            </w:tcBorders>
            <w:shd w:val="clear" w:color="auto" w:fill="auto"/>
            <w:noWrap/>
            <w:vAlign w:val="bottom"/>
            <w:hideMark/>
          </w:tcPr>
          <w:p w14:paraId="1E84056B" w14:textId="77777777" w:rsidR="00B36BE8" w:rsidRPr="00A96689" w:rsidRDefault="00B36BE8" w:rsidP="00B36BE8">
            <w:pPr>
              <w:spacing w:after="0" w:line="240" w:lineRule="auto"/>
              <w:rPr>
                <w:rFonts w:asciiTheme="majorHAnsi" w:eastAsia="Times New Roman" w:hAnsiTheme="majorHAnsi" w:cstheme="majorHAnsi"/>
                <w:color w:val="000000"/>
                <w:lang w:val="en-CA" w:eastAsia="en-US"/>
              </w:rPr>
            </w:pPr>
          </w:p>
        </w:tc>
        <w:tc>
          <w:tcPr>
            <w:tcW w:w="1281" w:type="dxa"/>
            <w:gridSpan w:val="2"/>
            <w:tcBorders>
              <w:top w:val="nil"/>
              <w:left w:val="nil"/>
              <w:right w:val="nil"/>
            </w:tcBorders>
            <w:shd w:val="clear" w:color="auto" w:fill="auto"/>
            <w:noWrap/>
            <w:vAlign w:val="bottom"/>
            <w:hideMark/>
          </w:tcPr>
          <w:p w14:paraId="49D0894D"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223 (48.4)</w:t>
            </w:r>
          </w:p>
        </w:tc>
        <w:tc>
          <w:tcPr>
            <w:tcW w:w="1276" w:type="dxa"/>
            <w:gridSpan w:val="2"/>
            <w:tcBorders>
              <w:top w:val="nil"/>
              <w:left w:val="nil"/>
              <w:right w:val="nil"/>
            </w:tcBorders>
            <w:shd w:val="clear" w:color="auto" w:fill="auto"/>
            <w:noWrap/>
            <w:vAlign w:val="bottom"/>
            <w:hideMark/>
          </w:tcPr>
          <w:p w14:paraId="603027FC"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79 (69.3)</w:t>
            </w:r>
          </w:p>
        </w:tc>
        <w:tc>
          <w:tcPr>
            <w:tcW w:w="266" w:type="dxa"/>
            <w:gridSpan w:val="2"/>
            <w:tcBorders>
              <w:top w:val="nil"/>
              <w:left w:val="nil"/>
              <w:right w:val="nil"/>
            </w:tcBorders>
            <w:shd w:val="clear" w:color="auto" w:fill="auto"/>
            <w:noWrap/>
            <w:vAlign w:val="bottom"/>
            <w:hideMark/>
          </w:tcPr>
          <w:p w14:paraId="327AE6A8"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p>
        </w:tc>
        <w:tc>
          <w:tcPr>
            <w:tcW w:w="2002" w:type="dxa"/>
            <w:gridSpan w:val="2"/>
            <w:tcBorders>
              <w:top w:val="nil"/>
              <w:left w:val="nil"/>
              <w:right w:val="nil"/>
            </w:tcBorders>
            <w:shd w:val="clear" w:color="auto" w:fill="auto"/>
            <w:noWrap/>
            <w:vAlign w:val="bottom"/>
            <w:hideMark/>
          </w:tcPr>
          <w:p w14:paraId="2FEF9B64"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2.41 (1.55 to 3.73)</w:t>
            </w:r>
          </w:p>
        </w:tc>
        <w:tc>
          <w:tcPr>
            <w:tcW w:w="1984" w:type="dxa"/>
            <w:gridSpan w:val="2"/>
            <w:tcBorders>
              <w:top w:val="nil"/>
              <w:left w:val="nil"/>
              <w:right w:val="nil"/>
            </w:tcBorders>
            <w:shd w:val="clear" w:color="auto" w:fill="auto"/>
            <w:noWrap/>
            <w:vAlign w:val="bottom"/>
            <w:hideMark/>
          </w:tcPr>
          <w:p w14:paraId="1629156F"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2.07 (1.31 to 3.27)</w:t>
            </w:r>
          </w:p>
        </w:tc>
        <w:tc>
          <w:tcPr>
            <w:tcW w:w="2127" w:type="dxa"/>
            <w:gridSpan w:val="2"/>
            <w:tcBorders>
              <w:top w:val="nil"/>
              <w:left w:val="nil"/>
              <w:right w:val="nil"/>
            </w:tcBorders>
            <w:shd w:val="clear" w:color="auto" w:fill="auto"/>
            <w:noWrap/>
            <w:vAlign w:val="bottom"/>
            <w:hideMark/>
          </w:tcPr>
          <w:p w14:paraId="41280F74"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1.65 (0.95 to 2.87)</w:t>
            </w:r>
          </w:p>
        </w:tc>
      </w:tr>
      <w:tr w:rsidR="00B36BE8" w:rsidRPr="00A96689" w14:paraId="104A4A01" w14:textId="77777777" w:rsidTr="008C689F">
        <w:trPr>
          <w:trHeight w:val="300"/>
        </w:trPr>
        <w:tc>
          <w:tcPr>
            <w:tcW w:w="4111" w:type="dxa"/>
            <w:tcBorders>
              <w:top w:val="nil"/>
              <w:left w:val="nil"/>
              <w:bottom w:val="single" w:sz="4" w:space="0" w:color="auto"/>
              <w:right w:val="nil"/>
            </w:tcBorders>
            <w:shd w:val="clear" w:color="auto" w:fill="auto"/>
            <w:noWrap/>
            <w:vAlign w:val="bottom"/>
          </w:tcPr>
          <w:p w14:paraId="0D3079CB" w14:textId="35562165" w:rsidR="00B36BE8" w:rsidRPr="00A96689" w:rsidRDefault="00B36BE8" w:rsidP="00B36BE8">
            <w:pPr>
              <w:spacing w:after="0" w:line="240" w:lineRule="auto"/>
              <w:ind w:firstLine="321"/>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P-value</w:t>
            </w:r>
          </w:p>
        </w:tc>
        <w:tc>
          <w:tcPr>
            <w:tcW w:w="266" w:type="dxa"/>
            <w:tcBorders>
              <w:top w:val="nil"/>
              <w:left w:val="nil"/>
              <w:bottom w:val="single" w:sz="4" w:space="0" w:color="auto"/>
              <w:right w:val="nil"/>
            </w:tcBorders>
            <w:shd w:val="clear" w:color="auto" w:fill="auto"/>
            <w:noWrap/>
            <w:vAlign w:val="bottom"/>
          </w:tcPr>
          <w:p w14:paraId="17BD0A8F" w14:textId="77777777" w:rsidR="00B36BE8" w:rsidRPr="00A96689" w:rsidRDefault="00B36BE8" w:rsidP="00B36BE8">
            <w:pPr>
              <w:spacing w:after="0" w:line="240" w:lineRule="auto"/>
              <w:rPr>
                <w:rFonts w:asciiTheme="majorHAnsi" w:eastAsia="Times New Roman" w:hAnsiTheme="majorHAnsi" w:cstheme="majorHAnsi"/>
                <w:color w:val="000000"/>
                <w:lang w:val="en-CA" w:eastAsia="en-US"/>
              </w:rPr>
            </w:pPr>
          </w:p>
        </w:tc>
        <w:tc>
          <w:tcPr>
            <w:tcW w:w="1281" w:type="dxa"/>
            <w:gridSpan w:val="2"/>
            <w:tcBorders>
              <w:top w:val="nil"/>
              <w:left w:val="nil"/>
              <w:bottom w:val="single" w:sz="4" w:space="0" w:color="auto"/>
              <w:right w:val="nil"/>
            </w:tcBorders>
            <w:shd w:val="clear" w:color="auto" w:fill="auto"/>
            <w:noWrap/>
            <w:vAlign w:val="bottom"/>
          </w:tcPr>
          <w:p w14:paraId="4A4AD110"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p>
        </w:tc>
        <w:tc>
          <w:tcPr>
            <w:tcW w:w="1276" w:type="dxa"/>
            <w:gridSpan w:val="2"/>
            <w:tcBorders>
              <w:top w:val="nil"/>
              <w:left w:val="nil"/>
              <w:bottom w:val="single" w:sz="4" w:space="0" w:color="auto"/>
              <w:right w:val="nil"/>
            </w:tcBorders>
            <w:shd w:val="clear" w:color="auto" w:fill="auto"/>
            <w:noWrap/>
            <w:vAlign w:val="bottom"/>
          </w:tcPr>
          <w:p w14:paraId="334326BC"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p>
        </w:tc>
        <w:tc>
          <w:tcPr>
            <w:tcW w:w="266" w:type="dxa"/>
            <w:gridSpan w:val="2"/>
            <w:tcBorders>
              <w:top w:val="nil"/>
              <w:left w:val="nil"/>
              <w:bottom w:val="single" w:sz="4" w:space="0" w:color="auto"/>
              <w:right w:val="nil"/>
            </w:tcBorders>
            <w:shd w:val="clear" w:color="auto" w:fill="auto"/>
            <w:noWrap/>
            <w:vAlign w:val="bottom"/>
          </w:tcPr>
          <w:p w14:paraId="3231BE8F" w14:textId="77777777" w:rsidR="00B36BE8" w:rsidRPr="00A96689" w:rsidRDefault="00B36BE8" w:rsidP="00B36BE8">
            <w:pPr>
              <w:spacing w:after="0" w:line="240" w:lineRule="auto"/>
              <w:jc w:val="center"/>
              <w:rPr>
                <w:rFonts w:asciiTheme="majorHAnsi" w:eastAsia="Times New Roman" w:hAnsiTheme="majorHAnsi" w:cstheme="majorHAnsi"/>
                <w:color w:val="000000"/>
                <w:lang w:val="en-CA" w:eastAsia="en-US"/>
              </w:rPr>
            </w:pPr>
          </w:p>
        </w:tc>
        <w:tc>
          <w:tcPr>
            <w:tcW w:w="2002" w:type="dxa"/>
            <w:gridSpan w:val="2"/>
            <w:tcBorders>
              <w:top w:val="nil"/>
              <w:left w:val="nil"/>
              <w:bottom w:val="single" w:sz="4" w:space="0" w:color="auto"/>
              <w:right w:val="nil"/>
            </w:tcBorders>
            <w:shd w:val="clear" w:color="auto" w:fill="auto"/>
            <w:noWrap/>
            <w:vAlign w:val="bottom"/>
          </w:tcPr>
          <w:p w14:paraId="396839A2" w14:textId="50C75767" w:rsidR="00B36BE8" w:rsidRPr="00A96689" w:rsidRDefault="001D6177"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&lt;.001</w:t>
            </w:r>
          </w:p>
        </w:tc>
        <w:tc>
          <w:tcPr>
            <w:tcW w:w="1984" w:type="dxa"/>
            <w:gridSpan w:val="2"/>
            <w:tcBorders>
              <w:top w:val="nil"/>
              <w:left w:val="nil"/>
              <w:bottom w:val="single" w:sz="4" w:space="0" w:color="auto"/>
              <w:right w:val="nil"/>
            </w:tcBorders>
            <w:shd w:val="clear" w:color="auto" w:fill="auto"/>
            <w:noWrap/>
            <w:vAlign w:val="bottom"/>
          </w:tcPr>
          <w:p w14:paraId="6E77D2D7" w14:textId="7107A0C3" w:rsidR="00B36BE8" w:rsidRPr="00A96689" w:rsidRDefault="001D6177"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0.002</w:t>
            </w:r>
          </w:p>
        </w:tc>
        <w:tc>
          <w:tcPr>
            <w:tcW w:w="2127" w:type="dxa"/>
            <w:gridSpan w:val="2"/>
            <w:tcBorders>
              <w:top w:val="nil"/>
              <w:left w:val="nil"/>
              <w:bottom w:val="single" w:sz="4" w:space="0" w:color="auto"/>
              <w:right w:val="nil"/>
            </w:tcBorders>
            <w:shd w:val="clear" w:color="auto" w:fill="auto"/>
            <w:noWrap/>
            <w:vAlign w:val="bottom"/>
          </w:tcPr>
          <w:p w14:paraId="05E07DE4" w14:textId="147DF9B5" w:rsidR="00B36BE8" w:rsidRPr="00A96689" w:rsidRDefault="001D6177" w:rsidP="00B36BE8">
            <w:pPr>
              <w:spacing w:after="0" w:line="240" w:lineRule="auto"/>
              <w:jc w:val="center"/>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0.074</w:t>
            </w:r>
          </w:p>
        </w:tc>
      </w:tr>
      <w:tr w:rsidR="00B36BE8" w:rsidRPr="00A96689" w14:paraId="18CF4851" w14:textId="77777777" w:rsidTr="008C689F">
        <w:trPr>
          <w:gridAfter w:val="1"/>
          <w:wAfter w:w="6" w:type="dxa"/>
          <w:trHeight w:val="300"/>
        </w:trPr>
        <w:tc>
          <w:tcPr>
            <w:tcW w:w="13307" w:type="dxa"/>
            <w:gridSpan w:val="13"/>
            <w:tcBorders>
              <w:top w:val="nil"/>
              <w:left w:val="nil"/>
              <w:bottom w:val="nil"/>
              <w:right w:val="nil"/>
            </w:tcBorders>
            <w:shd w:val="clear" w:color="auto" w:fill="auto"/>
            <w:noWrap/>
            <w:vAlign w:val="bottom"/>
            <w:hideMark/>
          </w:tcPr>
          <w:p w14:paraId="5BDBC2DC" w14:textId="49B72F62" w:rsidR="00B36BE8" w:rsidRPr="00A96689" w:rsidRDefault="00B36BE8" w:rsidP="00B36BE8">
            <w:pPr>
              <w:spacing w:after="0" w:line="240" w:lineRule="auto"/>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a. Multivariable (MV) Adjusted for age, gender, living status, marital status, polypharmacy, osteoarthritis, Parkinson disease, depression, dementia</w:t>
            </w:r>
          </w:p>
        </w:tc>
      </w:tr>
      <w:tr w:rsidR="00B36BE8" w:rsidRPr="00A96689" w14:paraId="6D745D18" w14:textId="77777777" w:rsidTr="008C689F">
        <w:trPr>
          <w:trHeight w:val="300"/>
        </w:trPr>
        <w:tc>
          <w:tcPr>
            <w:tcW w:w="4111" w:type="dxa"/>
            <w:tcBorders>
              <w:top w:val="nil"/>
              <w:left w:val="nil"/>
              <w:bottom w:val="nil"/>
              <w:right w:val="nil"/>
            </w:tcBorders>
            <w:shd w:val="clear" w:color="auto" w:fill="auto"/>
            <w:noWrap/>
            <w:vAlign w:val="bottom"/>
            <w:hideMark/>
          </w:tcPr>
          <w:p w14:paraId="63160F75" w14:textId="77777777" w:rsidR="00B36BE8" w:rsidRPr="00A96689" w:rsidRDefault="00B36BE8" w:rsidP="00B36BE8">
            <w:pPr>
              <w:spacing w:after="0" w:line="240" w:lineRule="auto"/>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b. Mean and standard deviation</w:t>
            </w:r>
          </w:p>
        </w:tc>
        <w:tc>
          <w:tcPr>
            <w:tcW w:w="266" w:type="dxa"/>
            <w:tcBorders>
              <w:top w:val="nil"/>
              <w:left w:val="nil"/>
              <w:bottom w:val="nil"/>
              <w:right w:val="nil"/>
            </w:tcBorders>
            <w:shd w:val="clear" w:color="auto" w:fill="auto"/>
            <w:noWrap/>
            <w:vAlign w:val="bottom"/>
            <w:hideMark/>
          </w:tcPr>
          <w:p w14:paraId="605BF902" w14:textId="77777777" w:rsidR="00B36BE8" w:rsidRPr="00A96689" w:rsidRDefault="00B36BE8" w:rsidP="00B36BE8">
            <w:pPr>
              <w:spacing w:after="0" w:line="240" w:lineRule="auto"/>
              <w:rPr>
                <w:rFonts w:asciiTheme="majorHAnsi" w:eastAsia="Times New Roman" w:hAnsiTheme="majorHAnsi" w:cstheme="majorHAnsi"/>
                <w:color w:val="000000"/>
                <w:lang w:val="en-CA" w:eastAsia="en-US"/>
              </w:rPr>
            </w:pPr>
          </w:p>
        </w:tc>
        <w:tc>
          <w:tcPr>
            <w:tcW w:w="1281" w:type="dxa"/>
            <w:gridSpan w:val="2"/>
            <w:tcBorders>
              <w:top w:val="nil"/>
              <w:left w:val="nil"/>
              <w:bottom w:val="nil"/>
              <w:right w:val="nil"/>
            </w:tcBorders>
            <w:shd w:val="clear" w:color="auto" w:fill="auto"/>
            <w:noWrap/>
            <w:vAlign w:val="bottom"/>
            <w:hideMark/>
          </w:tcPr>
          <w:p w14:paraId="436CA515" w14:textId="77777777" w:rsidR="00B36BE8" w:rsidRPr="00A96689" w:rsidRDefault="00B36BE8" w:rsidP="00B36BE8">
            <w:pPr>
              <w:spacing w:after="0" w:line="240" w:lineRule="auto"/>
              <w:rPr>
                <w:rFonts w:asciiTheme="majorHAnsi" w:eastAsia="Times New Roman" w:hAnsiTheme="majorHAnsi" w:cstheme="majorHAnsi"/>
                <w:lang w:val="en-CA" w:eastAsia="en-US"/>
              </w:rPr>
            </w:pPr>
          </w:p>
        </w:tc>
        <w:tc>
          <w:tcPr>
            <w:tcW w:w="1276" w:type="dxa"/>
            <w:gridSpan w:val="2"/>
            <w:tcBorders>
              <w:top w:val="nil"/>
              <w:left w:val="nil"/>
              <w:bottom w:val="nil"/>
              <w:right w:val="nil"/>
            </w:tcBorders>
            <w:shd w:val="clear" w:color="auto" w:fill="auto"/>
            <w:noWrap/>
            <w:vAlign w:val="bottom"/>
            <w:hideMark/>
          </w:tcPr>
          <w:p w14:paraId="3A05EAED" w14:textId="77777777" w:rsidR="00B36BE8" w:rsidRPr="00A96689" w:rsidRDefault="00B36BE8" w:rsidP="00B36BE8">
            <w:pPr>
              <w:spacing w:after="0" w:line="240" w:lineRule="auto"/>
              <w:rPr>
                <w:rFonts w:asciiTheme="majorHAnsi" w:eastAsia="Times New Roman" w:hAnsiTheme="majorHAnsi" w:cstheme="majorHAnsi"/>
                <w:lang w:val="en-CA" w:eastAsia="en-US"/>
              </w:rPr>
            </w:pPr>
          </w:p>
        </w:tc>
        <w:tc>
          <w:tcPr>
            <w:tcW w:w="266" w:type="dxa"/>
            <w:gridSpan w:val="2"/>
            <w:tcBorders>
              <w:top w:val="nil"/>
              <w:left w:val="nil"/>
              <w:bottom w:val="nil"/>
              <w:right w:val="nil"/>
            </w:tcBorders>
            <w:shd w:val="clear" w:color="auto" w:fill="auto"/>
            <w:noWrap/>
            <w:vAlign w:val="bottom"/>
            <w:hideMark/>
          </w:tcPr>
          <w:p w14:paraId="101246D7" w14:textId="77777777" w:rsidR="00B36BE8" w:rsidRPr="00A96689" w:rsidRDefault="00B36BE8" w:rsidP="00B36BE8">
            <w:pPr>
              <w:spacing w:after="0" w:line="240" w:lineRule="auto"/>
              <w:rPr>
                <w:rFonts w:asciiTheme="majorHAnsi" w:eastAsia="Times New Roman" w:hAnsiTheme="majorHAnsi" w:cstheme="majorHAnsi"/>
                <w:lang w:val="en-CA" w:eastAsia="en-US"/>
              </w:rPr>
            </w:pPr>
          </w:p>
        </w:tc>
        <w:tc>
          <w:tcPr>
            <w:tcW w:w="2002" w:type="dxa"/>
            <w:gridSpan w:val="2"/>
            <w:tcBorders>
              <w:top w:val="nil"/>
              <w:left w:val="nil"/>
              <w:bottom w:val="nil"/>
              <w:right w:val="nil"/>
            </w:tcBorders>
            <w:shd w:val="clear" w:color="auto" w:fill="auto"/>
            <w:noWrap/>
            <w:vAlign w:val="bottom"/>
            <w:hideMark/>
          </w:tcPr>
          <w:p w14:paraId="2834572F" w14:textId="77777777" w:rsidR="00B36BE8" w:rsidRPr="00A96689" w:rsidRDefault="00B36BE8" w:rsidP="00B36BE8">
            <w:pPr>
              <w:spacing w:after="0" w:line="240" w:lineRule="auto"/>
              <w:rPr>
                <w:rFonts w:asciiTheme="majorHAnsi" w:eastAsia="Times New Roman" w:hAnsiTheme="majorHAnsi" w:cstheme="majorHAnsi"/>
                <w:lang w:val="en-CA" w:eastAsia="en-US"/>
              </w:rPr>
            </w:pPr>
          </w:p>
        </w:tc>
        <w:tc>
          <w:tcPr>
            <w:tcW w:w="1984" w:type="dxa"/>
            <w:gridSpan w:val="2"/>
            <w:tcBorders>
              <w:top w:val="nil"/>
              <w:left w:val="nil"/>
              <w:bottom w:val="nil"/>
              <w:right w:val="nil"/>
            </w:tcBorders>
            <w:shd w:val="clear" w:color="auto" w:fill="auto"/>
            <w:noWrap/>
            <w:vAlign w:val="bottom"/>
            <w:hideMark/>
          </w:tcPr>
          <w:p w14:paraId="7B017EF0" w14:textId="77777777" w:rsidR="00B36BE8" w:rsidRPr="00A96689" w:rsidRDefault="00B36BE8" w:rsidP="00B36BE8">
            <w:pPr>
              <w:spacing w:after="0" w:line="240" w:lineRule="auto"/>
              <w:rPr>
                <w:rFonts w:asciiTheme="majorHAnsi" w:eastAsia="Times New Roman" w:hAnsiTheme="majorHAnsi" w:cstheme="majorHAnsi"/>
                <w:lang w:val="en-CA" w:eastAsia="en-US"/>
              </w:rPr>
            </w:pPr>
          </w:p>
        </w:tc>
        <w:tc>
          <w:tcPr>
            <w:tcW w:w="2127" w:type="dxa"/>
            <w:gridSpan w:val="2"/>
            <w:tcBorders>
              <w:top w:val="nil"/>
              <w:left w:val="nil"/>
              <w:bottom w:val="nil"/>
              <w:right w:val="nil"/>
            </w:tcBorders>
            <w:shd w:val="clear" w:color="auto" w:fill="auto"/>
            <w:noWrap/>
            <w:vAlign w:val="bottom"/>
            <w:hideMark/>
          </w:tcPr>
          <w:p w14:paraId="036FA75D" w14:textId="77777777" w:rsidR="00B36BE8" w:rsidRPr="00A96689" w:rsidRDefault="00B36BE8" w:rsidP="00B36BE8">
            <w:pPr>
              <w:spacing w:after="0" w:line="240" w:lineRule="auto"/>
              <w:rPr>
                <w:rFonts w:asciiTheme="majorHAnsi" w:eastAsia="Times New Roman" w:hAnsiTheme="majorHAnsi" w:cstheme="majorHAnsi"/>
                <w:lang w:val="en-CA" w:eastAsia="en-US"/>
              </w:rPr>
            </w:pPr>
          </w:p>
        </w:tc>
      </w:tr>
      <w:tr w:rsidR="00B36BE8" w:rsidRPr="00A96689" w14:paraId="234104AE" w14:textId="77777777" w:rsidTr="008C689F">
        <w:trPr>
          <w:gridAfter w:val="1"/>
          <w:wAfter w:w="6" w:type="dxa"/>
          <w:trHeight w:val="300"/>
        </w:trPr>
        <w:tc>
          <w:tcPr>
            <w:tcW w:w="5652" w:type="dxa"/>
            <w:gridSpan w:val="3"/>
            <w:tcBorders>
              <w:top w:val="nil"/>
              <w:left w:val="nil"/>
              <w:bottom w:val="nil"/>
              <w:right w:val="nil"/>
            </w:tcBorders>
            <w:shd w:val="clear" w:color="auto" w:fill="auto"/>
            <w:noWrap/>
            <w:vAlign w:val="bottom"/>
            <w:hideMark/>
          </w:tcPr>
          <w:p w14:paraId="24245868" w14:textId="5680C285" w:rsidR="00B36BE8" w:rsidRPr="00A96689" w:rsidRDefault="00B36BE8" w:rsidP="00B36BE8">
            <w:pPr>
              <w:spacing w:after="0" w:line="240" w:lineRule="auto"/>
              <w:rPr>
                <w:rFonts w:asciiTheme="majorHAnsi" w:eastAsia="Times New Roman" w:hAnsiTheme="majorHAnsi" w:cstheme="majorHAnsi"/>
                <w:color w:val="000000"/>
                <w:lang w:val="en-CA" w:eastAsia="en-US"/>
              </w:rPr>
            </w:pPr>
            <w:r w:rsidRPr="00A96689">
              <w:rPr>
                <w:rFonts w:asciiTheme="majorHAnsi" w:eastAsia="Times New Roman" w:hAnsiTheme="majorHAnsi" w:cstheme="majorHAnsi"/>
                <w:color w:val="000000"/>
                <w:lang w:val="en-CA" w:eastAsia="en-US"/>
              </w:rPr>
              <w:t>c. Poisson regression</w:t>
            </w:r>
          </w:p>
        </w:tc>
        <w:tc>
          <w:tcPr>
            <w:tcW w:w="1276" w:type="dxa"/>
            <w:gridSpan w:val="2"/>
            <w:tcBorders>
              <w:top w:val="nil"/>
              <w:left w:val="nil"/>
              <w:bottom w:val="nil"/>
              <w:right w:val="nil"/>
            </w:tcBorders>
            <w:shd w:val="clear" w:color="auto" w:fill="auto"/>
            <w:noWrap/>
            <w:vAlign w:val="bottom"/>
            <w:hideMark/>
          </w:tcPr>
          <w:p w14:paraId="21605CD5" w14:textId="77777777" w:rsidR="00B36BE8" w:rsidRPr="00A96689" w:rsidRDefault="00B36BE8" w:rsidP="00B36BE8">
            <w:pPr>
              <w:spacing w:after="0" w:line="240" w:lineRule="auto"/>
              <w:rPr>
                <w:rFonts w:asciiTheme="majorHAnsi" w:eastAsia="Times New Roman" w:hAnsiTheme="majorHAnsi" w:cstheme="majorHAnsi"/>
                <w:color w:val="000000"/>
                <w:lang w:val="en-CA" w:eastAsia="en-US"/>
              </w:rPr>
            </w:pPr>
          </w:p>
        </w:tc>
        <w:tc>
          <w:tcPr>
            <w:tcW w:w="266" w:type="dxa"/>
            <w:gridSpan w:val="2"/>
            <w:tcBorders>
              <w:top w:val="nil"/>
              <w:left w:val="nil"/>
              <w:bottom w:val="nil"/>
              <w:right w:val="nil"/>
            </w:tcBorders>
            <w:shd w:val="clear" w:color="auto" w:fill="auto"/>
            <w:noWrap/>
            <w:vAlign w:val="bottom"/>
            <w:hideMark/>
          </w:tcPr>
          <w:p w14:paraId="08D6230F" w14:textId="77777777" w:rsidR="00B36BE8" w:rsidRPr="00A96689" w:rsidRDefault="00B36BE8" w:rsidP="00B36BE8">
            <w:pPr>
              <w:spacing w:after="0" w:line="240" w:lineRule="auto"/>
              <w:rPr>
                <w:rFonts w:asciiTheme="majorHAnsi" w:eastAsia="Times New Roman" w:hAnsiTheme="majorHAnsi" w:cstheme="majorHAnsi"/>
                <w:lang w:val="en-CA" w:eastAsia="en-US"/>
              </w:rPr>
            </w:pPr>
          </w:p>
        </w:tc>
        <w:tc>
          <w:tcPr>
            <w:tcW w:w="2002" w:type="dxa"/>
            <w:gridSpan w:val="2"/>
            <w:tcBorders>
              <w:top w:val="nil"/>
              <w:left w:val="nil"/>
              <w:bottom w:val="nil"/>
              <w:right w:val="nil"/>
            </w:tcBorders>
            <w:shd w:val="clear" w:color="auto" w:fill="auto"/>
            <w:noWrap/>
            <w:vAlign w:val="bottom"/>
            <w:hideMark/>
          </w:tcPr>
          <w:p w14:paraId="1A0BBB76" w14:textId="77777777" w:rsidR="00B36BE8" w:rsidRPr="00A96689" w:rsidRDefault="00B36BE8" w:rsidP="00B36BE8">
            <w:pPr>
              <w:spacing w:after="0" w:line="240" w:lineRule="auto"/>
              <w:rPr>
                <w:rFonts w:asciiTheme="majorHAnsi" w:eastAsia="Times New Roman" w:hAnsiTheme="majorHAnsi" w:cstheme="majorHAnsi"/>
                <w:lang w:val="en-CA" w:eastAsia="en-US"/>
              </w:rPr>
            </w:pPr>
          </w:p>
        </w:tc>
        <w:tc>
          <w:tcPr>
            <w:tcW w:w="1984" w:type="dxa"/>
            <w:gridSpan w:val="2"/>
            <w:tcBorders>
              <w:top w:val="nil"/>
              <w:left w:val="nil"/>
              <w:bottom w:val="nil"/>
              <w:right w:val="nil"/>
            </w:tcBorders>
            <w:shd w:val="clear" w:color="auto" w:fill="auto"/>
            <w:noWrap/>
            <w:vAlign w:val="bottom"/>
            <w:hideMark/>
          </w:tcPr>
          <w:p w14:paraId="4F235C82" w14:textId="77777777" w:rsidR="00B36BE8" w:rsidRPr="00A96689" w:rsidRDefault="00B36BE8" w:rsidP="00B36BE8">
            <w:pPr>
              <w:spacing w:after="0" w:line="240" w:lineRule="auto"/>
              <w:rPr>
                <w:rFonts w:asciiTheme="majorHAnsi" w:eastAsia="Times New Roman" w:hAnsiTheme="majorHAnsi" w:cstheme="majorHAnsi"/>
                <w:lang w:val="en-CA" w:eastAsia="en-US"/>
              </w:rPr>
            </w:pPr>
          </w:p>
        </w:tc>
        <w:tc>
          <w:tcPr>
            <w:tcW w:w="2127" w:type="dxa"/>
            <w:gridSpan w:val="2"/>
            <w:tcBorders>
              <w:top w:val="nil"/>
              <w:left w:val="nil"/>
              <w:bottom w:val="nil"/>
              <w:right w:val="nil"/>
            </w:tcBorders>
            <w:shd w:val="clear" w:color="auto" w:fill="auto"/>
            <w:noWrap/>
            <w:vAlign w:val="bottom"/>
            <w:hideMark/>
          </w:tcPr>
          <w:p w14:paraId="1AA0BB60" w14:textId="77777777" w:rsidR="00B36BE8" w:rsidRPr="00A96689" w:rsidRDefault="00B36BE8" w:rsidP="00B36BE8">
            <w:pPr>
              <w:spacing w:after="0" w:line="240" w:lineRule="auto"/>
              <w:rPr>
                <w:rFonts w:asciiTheme="majorHAnsi" w:eastAsia="Times New Roman" w:hAnsiTheme="majorHAnsi" w:cstheme="majorHAnsi"/>
                <w:lang w:val="en-CA" w:eastAsia="en-US"/>
              </w:rPr>
            </w:pPr>
          </w:p>
        </w:tc>
      </w:tr>
      <w:bookmarkEnd w:id="9"/>
    </w:tbl>
    <w:p w14:paraId="199B60F8" w14:textId="77777777" w:rsidR="008C43AC" w:rsidRPr="00A96689" w:rsidRDefault="008C43AC">
      <w:pPr>
        <w:sectPr w:rsidR="008C43AC" w:rsidRPr="00A96689">
          <w:pgSz w:w="15840" w:h="12240" w:orient="landscape"/>
          <w:pgMar w:top="1797" w:right="1440" w:bottom="1797" w:left="1440" w:header="851" w:footer="992" w:gutter="0"/>
          <w:cols w:space="720"/>
        </w:sectPr>
      </w:pPr>
    </w:p>
    <w:tbl>
      <w:tblPr>
        <w:tblpPr w:leftFromText="180" w:rightFromText="180" w:horzAnchor="margin" w:tblpXSpec="center" w:tblpY="555"/>
        <w:tblW w:w="15464" w:type="dxa"/>
        <w:tblBorders>
          <w:top w:val="single" w:sz="4" w:space="0" w:color="auto"/>
        </w:tblBorders>
        <w:tblLayout w:type="fixed"/>
        <w:tblLook w:val="04A0" w:firstRow="1" w:lastRow="0" w:firstColumn="1" w:lastColumn="0" w:noHBand="0" w:noVBand="1"/>
      </w:tblPr>
      <w:tblGrid>
        <w:gridCol w:w="2761"/>
        <w:gridCol w:w="265"/>
        <w:gridCol w:w="1941"/>
        <w:gridCol w:w="2071"/>
        <w:gridCol w:w="2029"/>
        <w:gridCol w:w="236"/>
        <w:gridCol w:w="2036"/>
        <w:gridCol w:w="2153"/>
        <w:gridCol w:w="1958"/>
        <w:gridCol w:w="14"/>
      </w:tblGrid>
      <w:tr w:rsidR="00ED296F" w:rsidRPr="00A96689" w14:paraId="5BDC9E41" w14:textId="77777777" w:rsidTr="008C689F">
        <w:trPr>
          <w:trHeight w:val="300"/>
        </w:trPr>
        <w:tc>
          <w:tcPr>
            <w:tcW w:w="15464" w:type="dxa"/>
            <w:gridSpan w:val="10"/>
            <w:tcBorders>
              <w:top w:val="single" w:sz="4" w:space="0" w:color="auto"/>
              <w:bottom w:val="single" w:sz="4" w:space="0" w:color="auto"/>
            </w:tcBorders>
          </w:tcPr>
          <w:p w14:paraId="06B7FFCA" w14:textId="77777777" w:rsidR="00ED296F" w:rsidRPr="00A96689" w:rsidRDefault="00ED296F" w:rsidP="008C689F">
            <w:pPr>
              <w:spacing w:after="0" w:line="240" w:lineRule="auto"/>
              <w:rPr>
                <w:rFonts w:eastAsia="Times New Roman"/>
                <w:b/>
                <w:bCs/>
                <w:color w:val="000000"/>
                <w:lang w:val="en-CA"/>
              </w:rPr>
            </w:pPr>
            <w:bookmarkStart w:id="10" w:name="_Hlk68651032"/>
            <w:r w:rsidRPr="00A96689">
              <w:rPr>
                <w:rFonts w:eastAsia="Times New Roman"/>
                <w:b/>
                <w:bCs/>
                <w:color w:val="000000"/>
                <w:lang w:val="en-CA"/>
              </w:rPr>
              <w:lastRenderedPageBreak/>
              <w:t>Supplementary Table 1. Sex specific association of excessive daylight sleepiness with falls and falls related measures.</w:t>
            </w:r>
          </w:p>
        </w:tc>
      </w:tr>
      <w:tr w:rsidR="008844FF" w:rsidRPr="00A96689" w14:paraId="446263B4" w14:textId="77777777" w:rsidTr="00682DB8">
        <w:trPr>
          <w:gridAfter w:val="1"/>
          <w:wAfter w:w="14" w:type="dxa"/>
          <w:trHeight w:val="300"/>
        </w:trPr>
        <w:tc>
          <w:tcPr>
            <w:tcW w:w="2761" w:type="dxa"/>
            <w:shd w:val="clear" w:color="auto" w:fill="auto"/>
            <w:noWrap/>
            <w:vAlign w:val="bottom"/>
          </w:tcPr>
          <w:p w14:paraId="445101B6" w14:textId="77777777" w:rsidR="008844FF" w:rsidRPr="00A96689" w:rsidRDefault="008844FF" w:rsidP="008C689F">
            <w:pPr>
              <w:spacing w:after="0" w:line="240" w:lineRule="auto"/>
              <w:rPr>
                <w:rFonts w:eastAsia="Times New Roman"/>
                <w:color w:val="000000"/>
                <w:lang w:val="en-CA"/>
              </w:rPr>
            </w:pPr>
          </w:p>
        </w:tc>
        <w:tc>
          <w:tcPr>
            <w:tcW w:w="265" w:type="dxa"/>
            <w:shd w:val="clear" w:color="auto" w:fill="auto"/>
            <w:noWrap/>
            <w:vAlign w:val="bottom"/>
          </w:tcPr>
          <w:p w14:paraId="72BB75D6" w14:textId="77777777" w:rsidR="008844FF" w:rsidRPr="00A96689" w:rsidRDefault="008844FF" w:rsidP="008C689F">
            <w:pPr>
              <w:spacing w:after="0" w:line="240" w:lineRule="auto"/>
              <w:rPr>
                <w:rFonts w:eastAsia="Times New Roman"/>
                <w:color w:val="000000"/>
                <w:lang w:val="en-CA"/>
              </w:rPr>
            </w:pPr>
          </w:p>
        </w:tc>
        <w:tc>
          <w:tcPr>
            <w:tcW w:w="12424" w:type="dxa"/>
            <w:gridSpan w:val="7"/>
            <w:tcBorders>
              <w:top w:val="nil"/>
              <w:bottom w:val="nil"/>
            </w:tcBorders>
            <w:shd w:val="clear" w:color="auto" w:fill="auto"/>
            <w:noWrap/>
            <w:vAlign w:val="bottom"/>
          </w:tcPr>
          <w:tbl>
            <w:tblPr>
              <w:tblW w:w="13313" w:type="dxa"/>
              <w:tblLayout w:type="fixed"/>
              <w:tblLook w:val="04A0" w:firstRow="1" w:lastRow="0" w:firstColumn="1" w:lastColumn="0" w:noHBand="0" w:noVBand="1"/>
            </w:tblPr>
            <w:tblGrid>
              <w:gridCol w:w="13313"/>
            </w:tblGrid>
            <w:tr w:rsidR="002B06C2" w:rsidRPr="00A96689" w14:paraId="567A8776" w14:textId="77777777" w:rsidTr="00A54B3F">
              <w:trPr>
                <w:trHeight w:val="300"/>
              </w:trPr>
              <w:tc>
                <w:tcPr>
                  <w:tcW w:w="6113" w:type="dxa"/>
                  <w:tcBorders>
                    <w:top w:val="single" w:sz="4" w:space="0" w:color="auto"/>
                    <w:left w:val="nil"/>
                    <w:bottom w:val="nil"/>
                    <w:right w:val="nil"/>
                  </w:tcBorders>
                  <w:shd w:val="clear" w:color="auto" w:fill="auto"/>
                  <w:noWrap/>
                  <w:vAlign w:val="bottom"/>
                  <w:hideMark/>
                </w:tcPr>
                <w:p w14:paraId="709D1D50" w14:textId="77777777" w:rsidR="002B06C2" w:rsidRPr="00A96689" w:rsidRDefault="002B06C2" w:rsidP="00DB6816">
                  <w:pPr>
                    <w:framePr w:hSpace="180" w:wrap="around" w:hAnchor="margin" w:xAlign="center" w:y="555"/>
                    <w:spacing w:after="0" w:line="240" w:lineRule="auto"/>
                    <w:jc w:val="center"/>
                    <w:rPr>
                      <w:rFonts w:eastAsia="Times New Roman"/>
                      <w:color w:val="000000"/>
                      <w:lang w:val="en-CA" w:eastAsia="en-US"/>
                    </w:rPr>
                  </w:pPr>
                  <w:r w:rsidRPr="00A96689">
                    <w:rPr>
                      <w:rFonts w:eastAsia="Times New Roman"/>
                      <w:color w:val="000000"/>
                      <w:lang w:val="en-CA" w:eastAsia="en-US"/>
                    </w:rPr>
                    <w:t>Logistic/Poisson regression, OR/IRR (95% Confidence Interval)</w:t>
                  </w:r>
                </w:p>
              </w:tc>
            </w:tr>
          </w:tbl>
          <w:p w14:paraId="4E1630FE" w14:textId="75058A72" w:rsidR="008844FF" w:rsidRPr="00A96689" w:rsidRDefault="008844FF" w:rsidP="008844FF">
            <w:pPr>
              <w:spacing w:after="0" w:line="240" w:lineRule="auto"/>
              <w:jc w:val="center"/>
              <w:rPr>
                <w:rFonts w:eastAsia="Times New Roman"/>
                <w:color w:val="000000"/>
                <w:lang w:val="en-CA"/>
              </w:rPr>
            </w:pPr>
          </w:p>
        </w:tc>
      </w:tr>
      <w:tr w:rsidR="00ED296F" w:rsidRPr="00A96689" w14:paraId="0EE505AD" w14:textId="77777777" w:rsidTr="008C689F">
        <w:trPr>
          <w:gridAfter w:val="1"/>
          <w:wAfter w:w="14" w:type="dxa"/>
          <w:trHeight w:val="300"/>
        </w:trPr>
        <w:tc>
          <w:tcPr>
            <w:tcW w:w="2761" w:type="dxa"/>
            <w:shd w:val="clear" w:color="auto" w:fill="auto"/>
            <w:noWrap/>
            <w:vAlign w:val="bottom"/>
            <w:hideMark/>
          </w:tcPr>
          <w:p w14:paraId="39B01475" w14:textId="77777777" w:rsidR="00ED296F" w:rsidRPr="00A96689" w:rsidRDefault="00ED296F" w:rsidP="008C689F">
            <w:pPr>
              <w:spacing w:after="0" w:line="240" w:lineRule="auto"/>
              <w:rPr>
                <w:rFonts w:eastAsia="Times New Roman"/>
                <w:color w:val="000000"/>
                <w:lang w:val="en-CA"/>
              </w:rPr>
            </w:pPr>
            <w:r w:rsidRPr="00A96689">
              <w:rPr>
                <w:rFonts w:eastAsia="Times New Roman"/>
                <w:color w:val="000000"/>
                <w:lang w:val="en-CA"/>
              </w:rPr>
              <w:t> </w:t>
            </w:r>
          </w:p>
        </w:tc>
        <w:tc>
          <w:tcPr>
            <w:tcW w:w="265" w:type="dxa"/>
            <w:shd w:val="clear" w:color="auto" w:fill="auto"/>
            <w:noWrap/>
            <w:vAlign w:val="bottom"/>
            <w:hideMark/>
          </w:tcPr>
          <w:p w14:paraId="330D951C" w14:textId="77777777" w:rsidR="00ED296F" w:rsidRPr="00A96689" w:rsidRDefault="00ED296F" w:rsidP="008C689F">
            <w:pPr>
              <w:spacing w:after="0" w:line="240" w:lineRule="auto"/>
              <w:rPr>
                <w:rFonts w:eastAsia="Times New Roman"/>
                <w:color w:val="000000"/>
                <w:lang w:val="en-CA"/>
              </w:rPr>
            </w:pPr>
            <w:r w:rsidRPr="00A96689">
              <w:rPr>
                <w:rFonts w:eastAsia="Times New Roman"/>
                <w:color w:val="000000"/>
                <w:lang w:val="en-CA"/>
              </w:rPr>
              <w:t> </w:t>
            </w:r>
          </w:p>
        </w:tc>
        <w:tc>
          <w:tcPr>
            <w:tcW w:w="6041" w:type="dxa"/>
            <w:gridSpan w:val="3"/>
            <w:tcBorders>
              <w:top w:val="nil"/>
              <w:bottom w:val="nil"/>
            </w:tcBorders>
            <w:shd w:val="clear" w:color="auto" w:fill="auto"/>
            <w:noWrap/>
            <w:vAlign w:val="bottom"/>
            <w:hideMark/>
          </w:tcPr>
          <w:p w14:paraId="2B1E2D63" w14:textId="77777777" w:rsidR="00ED296F" w:rsidRPr="00A96689" w:rsidRDefault="00ED296F" w:rsidP="008C689F">
            <w:pPr>
              <w:spacing w:after="0" w:line="240" w:lineRule="auto"/>
              <w:jc w:val="center"/>
              <w:rPr>
                <w:rFonts w:eastAsia="Times New Roman"/>
                <w:color w:val="000000"/>
                <w:lang w:val="en-CA"/>
              </w:rPr>
            </w:pPr>
            <w:r w:rsidRPr="00A96689">
              <w:rPr>
                <w:rFonts w:eastAsia="Times New Roman"/>
                <w:color w:val="000000"/>
                <w:lang w:val="en-CA"/>
              </w:rPr>
              <w:t>Female</w:t>
            </w:r>
          </w:p>
        </w:tc>
        <w:tc>
          <w:tcPr>
            <w:tcW w:w="236" w:type="dxa"/>
            <w:tcBorders>
              <w:bottom w:val="nil"/>
            </w:tcBorders>
          </w:tcPr>
          <w:p w14:paraId="3FBFFD1E" w14:textId="77777777" w:rsidR="00ED296F" w:rsidRPr="00A96689" w:rsidRDefault="00ED296F" w:rsidP="008C689F">
            <w:pPr>
              <w:spacing w:after="0" w:line="240" w:lineRule="auto"/>
              <w:jc w:val="center"/>
              <w:rPr>
                <w:rFonts w:eastAsia="Times New Roman"/>
                <w:color w:val="000000"/>
                <w:lang w:val="en-CA"/>
              </w:rPr>
            </w:pPr>
          </w:p>
        </w:tc>
        <w:tc>
          <w:tcPr>
            <w:tcW w:w="6147" w:type="dxa"/>
            <w:gridSpan w:val="3"/>
            <w:tcBorders>
              <w:top w:val="nil"/>
              <w:bottom w:val="nil"/>
            </w:tcBorders>
            <w:shd w:val="clear" w:color="auto" w:fill="auto"/>
            <w:noWrap/>
            <w:vAlign w:val="bottom"/>
            <w:hideMark/>
          </w:tcPr>
          <w:p w14:paraId="435E2CAF" w14:textId="77777777" w:rsidR="00ED296F" w:rsidRPr="00A96689" w:rsidRDefault="00ED296F" w:rsidP="008C689F">
            <w:pPr>
              <w:spacing w:after="0" w:line="240" w:lineRule="auto"/>
              <w:jc w:val="center"/>
              <w:rPr>
                <w:rFonts w:eastAsia="Times New Roman"/>
                <w:color w:val="000000"/>
                <w:lang w:val="en-CA"/>
              </w:rPr>
            </w:pPr>
            <w:r w:rsidRPr="00A96689">
              <w:rPr>
                <w:rFonts w:eastAsia="Times New Roman"/>
                <w:color w:val="000000"/>
                <w:lang w:val="en-CA"/>
              </w:rPr>
              <w:t>Male</w:t>
            </w:r>
          </w:p>
        </w:tc>
      </w:tr>
      <w:tr w:rsidR="00ED296F" w:rsidRPr="00A96689" w14:paraId="4368745E" w14:textId="77777777" w:rsidTr="008C689F">
        <w:trPr>
          <w:gridAfter w:val="1"/>
          <w:wAfter w:w="14" w:type="dxa"/>
          <w:trHeight w:val="345"/>
        </w:trPr>
        <w:tc>
          <w:tcPr>
            <w:tcW w:w="2761" w:type="dxa"/>
            <w:shd w:val="clear" w:color="auto" w:fill="auto"/>
            <w:noWrap/>
            <w:vAlign w:val="bottom"/>
            <w:hideMark/>
          </w:tcPr>
          <w:p w14:paraId="031777FF" w14:textId="77777777" w:rsidR="00ED296F" w:rsidRPr="00A96689" w:rsidRDefault="00ED296F" w:rsidP="008C689F">
            <w:pPr>
              <w:spacing w:after="0" w:line="240" w:lineRule="auto"/>
              <w:rPr>
                <w:rFonts w:eastAsia="Times New Roman"/>
                <w:color w:val="000000"/>
                <w:lang w:val="en-CA"/>
              </w:rPr>
            </w:pPr>
          </w:p>
        </w:tc>
        <w:tc>
          <w:tcPr>
            <w:tcW w:w="265" w:type="dxa"/>
            <w:shd w:val="clear" w:color="auto" w:fill="auto"/>
            <w:noWrap/>
            <w:vAlign w:val="bottom"/>
            <w:hideMark/>
          </w:tcPr>
          <w:p w14:paraId="36632351" w14:textId="77777777" w:rsidR="00ED296F" w:rsidRPr="00A96689" w:rsidRDefault="00ED296F" w:rsidP="008C689F">
            <w:pPr>
              <w:spacing w:after="0" w:line="240" w:lineRule="auto"/>
              <w:rPr>
                <w:rFonts w:eastAsia="Times New Roman" w:cs="Times New Roman"/>
                <w:sz w:val="20"/>
                <w:szCs w:val="20"/>
                <w:lang w:val="en-CA"/>
              </w:rPr>
            </w:pPr>
          </w:p>
        </w:tc>
        <w:tc>
          <w:tcPr>
            <w:tcW w:w="1941" w:type="dxa"/>
            <w:tcBorders>
              <w:top w:val="nil"/>
              <w:bottom w:val="single" w:sz="4" w:space="0" w:color="auto"/>
            </w:tcBorders>
            <w:shd w:val="clear" w:color="auto" w:fill="auto"/>
            <w:noWrap/>
            <w:vAlign w:val="bottom"/>
            <w:hideMark/>
          </w:tcPr>
          <w:p w14:paraId="144E9E51" w14:textId="77777777" w:rsidR="00ED296F" w:rsidRPr="00A96689" w:rsidRDefault="00ED296F" w:rsidP="008C689F">
            <w:pPr>
              <w:spacing w:after="0" w:line="240" w:lineRule="auto"/>
              <w:jc w:val="center"/>
              <w:rPr>
                <w:rFonts w:eastAsia="Times New Roman"/>
                <w:color w:val="000000"/>
                <w:lang w:val="en-CA"/>
              </w:rPr>
            </w:pPr>
            <w:r w:rsidRPr="00A96689">
              <w:rPr>
                <w:rFonts w:eastAsia="Times New Roman"/>
                <w:color w:val="000000"/>
                <w:lang w:val="en-CA"/>
              </w:rPr>
              <w:t>Univariate</w:t>
            </w:r>
          </w:p>
        </w:tc>
        <w:tc>
          <w:tcPr>
            <w:tcW w:w="2071" w:type="dxa"/>
            <w:tcBorders>
              <w:top w:val="nil"/>
              <w:bottom w:val="single" w:sz="4" w:space="0" w:color="auto"/>
            </w:tcBorders>
            <w:shd w:val="clear" w:color="auto" w:fill="auto"/>
            <w:noWrap/>
            <w:vAlign w:val="bottom"/>
            <w:hideMark/>
          </w:tcPr>
          <w:p w14:paraId="271C4346" w14:textId="77777777" w:rsidR="00ED296F" w:rsidRPr="00A96689" w:rsidRDefault="00ED296F" w:rsidP="008C689F">
            <w:pPr>
              <w:spacing w:after="0" w:line="240" w:lineRule="auto"/>
              <w:jc w:val="center"/>
              <w:rPr>
                <w:rFonts w:eastAsia="Times New Roman"/>
                <w:color w:val="000000"/>
                <w:lang w:val="en-CA"/>
              </w:rPr>
            </w:pPr>
            <w:r w:rsidRPr="00A96689">
              <w:rPr>
                <w:rFonts w:eastAsia="Times New Roman"/>
                <w:color w:val="000000"/>
                <w:lang w:val="en-CA"/>
              </w:rPr>
              <w:t>Age-adjusted</w:t>
            </w:r>
          </w:p>
        </w:tc>
        <w:tc>
          <w:tcPr>
            <w:tcW w:w="2029" w:type="dxa"/>
            <w:tcBorders>
              <w:top w:val="nil"/>
              <w:bottom w:val="single" w:sz="4" w:space="0" w:color="auto"/>
            </w:tcBorders>
            <w:shd w:val="clear" w:color="auto" w:fill="auto"/>
            <w:noWrap/>
            <w:vAlign w:val="bottom"/>
            <w:hideMark/>
          </w:tcPr>
          <w:p w14:paraId="024D909A" w14:textId="77777777" w:rsidR="00ED296F" w:rsidRPr="00A96689" w:rsidRDefault="00ED296F" w:rsidP="008C689F">
            <w:pPr>
              <w:spacing w:after="0" w:line="240" w:lineRule="auto"/>
              <w:rPr>
                <w:rFonts w:eastAsia="Times New Roman"/>
                <w:color w:val="000000"/>
                <w:lang w:val="en-CA"/>
              </w:rPr>
            </w:pPr>
            <w:r w:rsidRPr="00A96689">
              <w:rPr>
                <w:rFonts w:eastAsia="Times New Roman"/>
                <w:color w:val="000000"/>
                <w:lang w:val="en-CA"/>
              </w:rPr>
              <w:t>MV-adjusted</w:t>
            </w:r>
            <w:r w:rsidRPr="00A96689">
              <w:rPr>
                <w:rFonts w:eastAsia="Times New Roman"/>
                <w:color w:val="000000"/>
                <w:vertAlign w:val="superscript"/>
                <w:lang w:val="en-CA"/>
              </w:rPr>
              <w:t>a</w:t>
            </w:r>
          </w:p>
        </w:tc>
        <w:tc>
          <w:tcPr>
            <w:tcW w:w="236" w:type="dxa"/>
            <w:tcBorders>
              <w:top w:val="nil"/>
            </w:tcBorders>
          </w:tcPr>
          <w:p w14:paraId="74B111F3" w14:textId="77777777" w:rsidR="00ED296F" w:rsidRPr="00A96689" w:rsidRDefault="00ED296F" w:rsidP="008C689F">
            <w:pPr>
              <w:spacing w:after="0" w:line="240" w:lineRule="auto"/>
              <w:jc w:val="center"/>
              <w:rPr>
                <w:rFonts w:eastAsia="Times New Roman"/>
                <w:color w:val="000000"/>
                <w:lang w:val="en-CA"/>
              </w:rPr>
            </w:pPr>
          </w:p>
        </w:tc>
        <w:tc>
          <w:tcPr>
            <w:tcW w:w="2036" w:type="dxa"/>
            <w:tcBorders>
              <w:top w:val="nil"/>
              <w:bottom w:val="single" w:sz="4" w:space="0" w:color="auto"/>
            </w:tcBorders>
            <w:shd w:val="clear" w:color="auto" w:fill="auto"/>
            <w:noWrap/>
            <w:vAlign w:val="bottom"/>
            <w:hideMark/>
          </w:tcPr>
          <w:p w14:paraId="480A8559" w14:textId="77777777" w:rsidR="00ED296F" w:rsidRPr="00A96689" w:rsidRDefault="00ED296F" w:rsidP="008C689F">
            <w:pPr>
              <w:spacing w:after="0" w:line="240" w:lineRule="auto"/>
              <w:jc w:val="center"/>
              <w:rPr>
                <w:rFonts w:eastAsia="Times New Roman"/>
                <w:color w:val="000000"/>
                <w:lang w:val="en-CA"/>
              </w:rPr>
            </w:pPr>
            <w:r w:rsidRPr="00A96689">
              <w:rPr>
                <w:rFonts w:eastAsia="Times New Roman"/>
                <w:color w:val="000000"/>
                <w:lang w:val="en-CA"/>
              </w:rPr>
              <w:t>Univariate</w:t>
            </w:r>
          </w:p>
        </w:tc>
        <w:tc>
          <w:tcPr>
            <w:tcW w:w="2153" w:type="dxa"/>
            <w:tcBorders>
              <w:top w:val="nil"/>
              <w:bottom w:val="single" w:sz="4" w:space="0" w:color="auto"/>
            </w:tcBorders>
            <w:shd w:val="clear" w:color="auto" w:fill="auto"/>
            <w:noWrap/>
            <w:vAlign w:val="bottom"/>
            <w:hideMark/>
          </w:tcPr>
          <w:p w14:paraId="56AA91A7" w14:textId="77777777" w:rsidR="00ED296F" w:rsidRPr="00A96689" w:rsidRDefault="00ED296F" w:rsidP="008C689F">
            <w:pPr>
              <w:spacing w:after="0" w:line="240" w:lineRule="auto"/>
              <w:jc w:val="center"/>
              <w:rPr>
                <w:rFonts w:eastAsia="Times New Roman"/>
                <w:color w:val="000000"/>
                <w:lang w:val="en-CA"/>
              </w:rPr>
            </w:pPr>
            <w:r w:rsidRPr="00A96689">
              <w:rPr>
                <w:rFonts w:eastAsia="Times New Roman"/>
                <w:color w:val="000000"/>
                <w:lang w:val="en-CA"/>
              </w:rPr>
              <w:t>Age-adjusted</w:t>
            </w:r>
          </w:p>
        </w:tc>
        <w:tc>
          <w:tcPr>
            <w:tcW w:w="1958" w:type="dxa"/>
            <w:tcBorders>
              <w:top w:val="nil"/>
              <w:bottom w:val="single" w:sz="4" w:space="0" w:color="auto"/>
            </w:tcBorders>
            <w:shd w:val="clear" w:color="auto" w:fill="auto"/>
            <w:noWrap/>
            <w:vAlign w:val="bottom"/>
            <w:hideMark/>
          </w:tcPr>
          <w:p w14:paraId="68A2AA34" w14:textId="77777777" w:rsidR="00ED296F" w:rsidRPr="00A96689" w:rsidRDefault="00ED296F" w:rsidP="008C689F">
            <w:pPr>
              <w:spacing w:after="0" w:line="240" w:lineRule="auto"/>
              <w:jc w:val="center"/>
              <w:rPr>
                <w:rFonts w:eastAsia="Times New Roman"/>
                <w:color w:val="000000"/>
                <w:lang w:val="en-CA"/>
              </w:rPr>
            </w:pPr>
            <w:r w:rsidRPr="00A96689">
              <w:rPr>
                <w:rFonts w:eastAsia="Times New Roman"/>
                <w:color w:val="000000"/>
                <w:lang w:val="en-CA"/>
              </w:rPr>
              <w:t>MV-adjusted</w:t>
            </w:r>
          </w:p>
        </w:tc>
      </w:tr>
      <w:tr w:rsidR="00ED296F" w:rsidRPr="00A96689" w14:paraId="5D2EE273" w14:textId="77777777" w:rsidTr="008C689F">
        <w:trPr>
          <w:gridAfter w:val="1"/>
          <w:wAfter w:w="14" w:type="dxa"/>
          <w:trHeight w:val="345"/>
        </w:trPr>
        <w:tc>
          <w:tcPr>
            <w:tcW w:w="2761" w:type="dxa"/>
            <w:shd w:val="clear" w:color="auto" w:fill="auto"/>
            <w:noWrap/>
            <w:vAlign w:val="bottom"/>
          </w:tcPr>
          <w:p w14:paraId="19450E12" w14:textId="77777777" w:rsidR="00ED296F" w:rsidRPr="00A96689" w:rsidRDefault="00ED296F" w:rsidP="008C689F">
            <w:pPr>
              <w:spacing w:after="0" w:line="240" w:lineRule="auto"/>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Falls last year (yes/no)</w:t>
            </w:r>
          </w:p>
        </w:tc>
        <w:tc>
          <w:tcPr>
            <w:tcW w:w="265" w:type="dxa"/>
            <w:shd w:val="clear" w:color="auto" w:fill="auto"/>
            <w:noWrap/>
            <w:vAlign w:val="bottom"/>
          </w:tcPr>
          <w:p w14:paraId="09398CCD" w14:textId="77777777" w:rsidR="00ED296F" w:rsidRPr="00A96689" w:rsidRDefault="00ED296F" w:rsidP="008C689F">
            <w:pPr>
              <w:spacing w:after="0" w:line="240" w:lineRule="auto"/>
              <w:rPr>
                <w:rFonts w:asciiTheme="majorHAnsi" w:eastAsia="Times New Roman" w:hAnsiTheme="majorHAnsi" w:cstheme="majorHAnsi"/>
                <w:lang w:val="en-CA"/>
              </w:rPr>
            </w:pPr>
          </w:p>
        </w:tc>
        <w:tc>
          <w:tcPr>
            <w:tcW w:w="1941" w:type="dxa"/>
            <w:tcBorders>
              <w:top w:val="single" w:sz="4" w:space="0" w:color="auto"/>
            </w:tcBorders>
            <w:shd w:val="clear" w:color="auto" w:fill="auto"/>
            <w:noWrap/>
            <w:vAlign w:val="bottom"/>
          </w:tcPr>
          <w:p w14:paraId="7FDB5A27" w14:textId="77777777" w:rsidR="00ED296F" w:rsidRPr="00A96689" w:rsidRDefault="00ED296F" w:rsidP="008C689F">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1.35 (0.77 to 2.36)</w:t>
            </w:r>
          </w:p>
        </w:tc>
        <w:tc>
          <w:tcPr>
            <w:tcW w:w="2071" w:type="dxa"/>
            <w:tcBorders>
              <w:top w:val="single" w:sz="4" w:space="0" w:color="auto"/>
            </w:tcBorders>
            <w:shd w:val="clear" w:color="auto" w:fill="auto"/>
            <w:noWrap/>
            <w:vAlign w:val="bottom"/>
          </w:tcPr>
          <w:p w14:paraId="1D1E8787" w14:textId="77777777" w:rsidR="00ED296F" w:rsidRPr="00A96689" w:rsidRDefault="00ED296F" w:rsidP="008C689F">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1.23 (0.70 to 2.17)</w:t>
            </w:r>
          </w:p>
        </w:tc>
        <w:tc>
          <w:tcPr>
            <w:tcW w:w="2029" w:type="dxa"/>
            <w:tcBorders>
              <w:top w:val="single" w:sz="4" w:space="0" w:color="auto"/>
            </w:tcBorders>
            <w:shd w:val="clear" w:color="auto" w:fill="auto"/>
            <w:noWrap/>
            <w:vAlign w:val="bottom"/>
          </w:tcPr>
          <w:p w14:paraId="3741F52C" w14:textId="77777777" w:rsidR="00ED296F" w:rsidRPr="00A96689" w:rsidRDefault="00ED296F" w:rsidP="008C689F">
            <w:pPr>
              <w:spacing w:after="0" w:line="240" w:lineRule="auto"/>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1.23 (0.68 to 2.23)</w:t>
            </w:r>
          </w:p>
        </w:tc>
        <w:tc>
          <w:tcPr>
            <w:tcW w:w="236" w:type="dxa"/>
            <w:tcBorders>
              <w:top w:val="nil"/>
            </w:tcBorders>
          </w:tcPr>
          <w:p w14:paraId="78677C7C" w14:textId="77777777" w:rsidR="00ED296F" w:rsidRPr="00A96689" w:rsidRDefault="00ED296F" w:rsidP="008C689F">
            <w:pPr>
              <w:spacing w:after="0" w:line="240" w:lineRule="auto"/>
              <w:jc w:val="center"/>
              <w:rPr>
                <w:rFonts w:asciiTheme="majorHAnsi" w:eastAsia="Times New Roman" w:hAnsiTheme="majorHAnsi" w:cstheme="majorHAnsi"/>
                <w:color w:val="000000"/>
                <w:lang w:val="en-CA"/>
              </w:rPr>
            </w:pPr>
          </w:p>
        </w:tc>
        <w:tc>
          <w:tcPr>
            <w:tcW w:w="2036" w:type="dxa"/>
            <w:tcBorders>
              <w:top w:val="single" w:sz="4" w:space="0" w:color="auto"/>
            </w:tcBorders>
            <w:shd w:val="clear" w:color="auto" w:fill="auto"/>
            <w:noWrap/>
            <w:vAlign w:val="bottom"/>
          </w:tcPr>
          <w:p w14:paraId="351FA9A4" w14:textId="77777777" w:rsidR="00ED296F" w:rsidRPr="00A96689" w:rsidRDefault="00ED296F" w:rsidP="008C689F">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2.16 (1.11 to 4.19)</w:t>
            </w:r>
          </w:p>
        </w:tc>
        <w:tc>
          <w:tcPr>
            <w:tcW w:w="2153" w:type="dxa"/>
            <w:tcBorders>
              <w:top w:val="single" w:sz="4" w:space="0" w:color="auto"/>
            </w:tcBorders>
            <w:shd w:val="clear" w:color="auto" w:fill="auto"/>
            <w:noWrap/>
            <w:vAlign w:val="bottom"/>
          </w:tcPr>
          <w:p w14:paraId="1ABBD784" w14:textId="77777777" w:rsidR="00ED296F" w:rsidRPr="00A96689" w:rsidRDefault="00ED296F" w:rsidP="008C689F">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2.13 (1.10 to 4.14)</w:t>
            </w:r>
          </w:p>
        </w:tc>
        <w:tc>
          <w:tcPr>
            <w:tcW w:w="1958" w:type="dxa"/>
            <w:tcBorders>
              <w:top w:val="single" w:sz="4" w:space="0" w:color="auto"/>
            </w:tcBorders>
            <w:shd w:val="clear" w:color="auto" w:fill="auto"/>
            <w:noWrap/>
            <w:vAlign w:val="bottom"/>
          </w:tcPr>
          <w:p w14:paraId="33479BC0" w14:textId="77777777" w:rsidR="00ED296F" w:rsidRPr="00A96689" w:rsidRDefault="00ED296F" w:rsidP="008C689F">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1.86 (0.89 to 3.90)</w:t>
            </w:r>
          </w:p>
        </w:tc>
      </w:tr>
      <w:tr w:rsidR="001D6177" w:rsidRPr="00A96689" w14:paraId="35EC6BC2" w14:textId="77777777" w:rsidTr="008C689F">
        <w:trPr>
          <w:gridAfter w:val="1"/>
          <w:wAfter w:w="14" w:type="dxa"/>
          <w:trHeight w:val="345"/>
        </w:trPr>
        <w:tc>
          <w:tcPr>
            <w:tcW w:w="2761" w:type="dxa"/>
            <w:shd w:val="clear" w:color="auto" w:fill="auto"/>
            <w:noWrap/>
            <w:vAlign w:val="bottom"/>
          </w:tcPr>
          <w:p w14:paraId="6AB23D7A" w14:textId="26C2E1B7" w:rsidR="001D6177" w:rsidRPr="00A96689" w:rsidRDefault="001D6177" w:rsidP="001D6177">
            <w:pPr>
              <w:spacing w:after="0" w:line="240" w:lineRule="auto"/>
              <w:ind w:firstLine="321"/>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eastAsia="en-US"/>
              </w:rPr>
              <w:t>P-value</w:t>
            </w:r>
          </w:p>
        </w:tc>
        <w:tc>
          <w:tcPr>
            <w:tcW w:w="265" w:type="dxa"/>
            <w:shd w:val="clear" w:color="auto" w:fill="auto"/>
            <w:noWrap/>
            <w:vAlign w:val="bottom"/>
          </w:tcPr>
          <w:p w14:paraId="52ED5A25" w14:textId="77777777" w:rsidR="001D6177" w:rsidRPr="00A96689" w:rsidRDefault="001D6177" w:rsidP="001D6177">
            <w:pPr>
              <w:spacing w:after="0" w:line="240" w:lineRule="auto"/>
              <w:rPr>
                <w:rFonts w:asciiTheme="majorHAnsi" w:eastAsia="Times New Roman" w:hAnsiTheme="majorHAnsi" w:cstheme="majorHAnsi"/>
                <w:lang w:val="en-CA"/>
              </w:rPr>
            </w:pPr>
          </w:p>
        </w:tc>
        <w:tc>
          <w:tcPr>
            <w:tcW w:w="1941" w:type="dxa"/>
            <w:shd w:val="clear" w:color="auto" w:fill="auto"/>
            <w:noWrap/>
            <w:vAlign w:val="bottom"/>
          </w:tcPr>
          <w:p w14:paraId="76A81BB3" w14:textId="7AD5AF4B"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0.298</w:t>
            </w:r>
          </w:p>
        </w:tc>
        <w:tc>
          <w:tcPr>
            <w:tcW w:w="2071" w:type="dxa"/>
            <w:shd w:val="clear" w:color="auto" w:fill="auto"/>
            <w:noWrap/>
            <w:vAlign w:val="bottom"/>
          </w:tcPr>
          <w:p w14:paraId="2A3B8F33" w14:textId="2DDCD920"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0.477</w:t>
            </w:r>
          </w:p>
        </w:tc>
        <w:tc>
          <w:tcPr>
            <w:tcW w:w="2029" w:type="dxa"/>
            <w:shd w:val="clear" w:color="auto" w:fill="auto"/>
            <w:noWrap/>
            <w:vAlign w:val="bottom"/>
          </w:tcPr>
          <w:p w14:paraId="49F16407" w14:textId="138DEC15"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0.492</w:t>
            </w:r>
          </w:p>
        </w:tc>
        <w:tc>
          <w:tcPr>
            <w:tcW w:w="236" w:type="dxa"/>
          </w:tcPr>
          <w:p w14:paraId="4C974BD7"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p>
        </w:tc>
        <w:tc>
          <w:tcPr>
            <w:tcW w:w="2036" w:type="dxa"/>
            <w:shd w:val="clear" w:color="auto" w:fill="auto"/>
            <w:noWrap/>
            <w:vAlign w:val="bottom"/>
          </w:tcPr>
          <w:p w14:paraId="63455523" w14:textId="6F8469CF"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0.023</w:t>
            </w:r>
          </w:p>
        </w:tc>
        <w:tc>
          <w:tcPr>
            <w:tcW w:w="2153" w:type="dxa"/>
            <w:shd w:val="clear" w:color="auto" w:fill="auto"/>
            <w:noWrap/>
            <w:vAlign w:val="bottom"/>
          </w:tcPr>
          <w:p w14:paraId="75E01E57" w14:textId="0F6BA411"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0.026</w:t>
            </w:r>
          </w:p>
        </w:tc>
        <w:tc>
          <w:tcPr>
            <w:tcW w:w="1958" w:type="dxa"/>
            <w:shd w:val="clear" w:color="auto" w:fill="auto"/>
            <w:noWrap/>
            <w:vAlign w:val="bottom"/>
          </w:tcPr>
          <w:p w14:paraId="31F8EEC3" w14:textId="74EAB609"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0.098</w:t>
            </w:r>
          </w:p>
        </w:tc>
      </w:tr>
      <w:tr w:rsidR="001D6177" w:rsidRPr="00A96689" w14:paraId="6E484FD5" w14:textId="77777777" w:rsidTr="008C689F">
        <w:trPr>
          <w:gridAfter w:val="1"/>
          <w:wAfter w:w="14" w:type="dxa"/>
          <w:trHeight w:val="345"/>
        </w:trPr>
        <w:tc>
          <w:tcPr>
            <w:tcW w:w="2761" w:type="dxa"/>
            <w:shd w:val="clear" w:color="auto" w:fill="auto"/>
            <w:noWrap/>
            <w:vAlign w:val="bottom"/>
            <w:hideMark/>
          </w:tcPr>
          <w:p w14:paraId="49EEBECD" w14:textId="77777777" w:rsidR="001D6177" w:rsidRPr="00A96689" w:rsidRDefault="001D6177" w:rsidP="001D6177">
            <w:pPr>
              <w:spacing w:after="0" w:line="240" w:lineRule="auto"/>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Number of falls last year (#)</w:t>
            </w:r>
          </w:p>
        </w:tc>
        <w:tc>
          <w:tcPr>
            <w:tcW w:w="265" w:type="dxa"/>
            <w:shd w:val="clear" w:color="auto" w:fill="auto"/>
            <w:noWrap/>
            <w:vAlign w:val="bottom"/>
            <w:hideMark/>
          </w:tcPr>
          <w:p w14:paraId="671AA9B1" w14:textId="77777777" w:rsidR="001D6177" w:rsidRPr="00A96689" w:rsidRDefault="001D6177" w:rsidP="001D6177">
            <w:pPr>
              <w:spacing w:after="0" w:line="240" w:lineRule="auto"/>
              <w:rPr>
                <w:rFonts w:asciiTheme="majorHAnsi" w:eastAsia="Times New Roman" w:hAnsiTheme="majorHAnsi" w:cstheme="majorHAnsi"/>
                <w:color w:val="000000"/>
                <w:lang w:val="en-CA"/>
              </w:rPr>
            </w:pPr>
          </w:p>
        </w:tc>
        <w:tc>
          <w:tcPr>
            <w:tcW w:w="1941" w:type="dxa"/>
            <w:shd w:val="clear" w:color="auto" w:fill="auto"/>
            <w:noWrap/>
            <w:vAlign w:val="bottom"/>
            <w:hideMark/>
          </w:tcPr>
          <w:p w14:paraId="04ECE8BC"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1.89 (1.34 to 2.66)</w:t>
            </w:r>
            <w:r w:rsidRPr="00A96689">
              <w:rPr>
                <w:rFonts w:asciiTheme="majorHAnsi" w:eastAsia="Times New Roman" w:hAnsiTheme="majorHAnsi" w:cstheme="majorHAnsi"/>
                <w:color w:val="000000"/>
                <w:vertAlign w:val="superscript"/>
                <w:lang w:val="en-CA"/>
              </w:rPr>
              <w:t>b</w:t>
            </w:r>
          </w:p>
        </w:tc>
        <w:tc>
          <w:tcPr>
            <w:tcW w:w="2071" w:type="dxa"/>
            <w:shd w:val="clear" w:color="auto" w:fill="auto"/>
            <w:noWrap/>
            <w:vAlign w:val="bottom"/>
            <w:hideMark/>
          </w:tcPr>
          <w:p w14:paraId="0FA92A53"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1.86 (1.32 to 2.66)</w:t>
            </w:r>
            <w:r w:rsidRPr="00A96689">
              <w:rPr>
                <w:rFonts w:asciiTheme="majorHAnsi" w:eastAsia="Times New Roman" w:hAnsiTheme="majorHAnsi" w:cstheme="majorHAnsi"/>
                <w:color w:val="000000"/>
                <w:vertAlign w:val="superscript"/>
                <w:lang w:val="en-CA"/>
              </w:rPr>
              <w:t>b</w:t>
            </w:r>
          </w:p>
        </w:tc>
        <w:tc>
          <w:tcPr>
            <w:tcW w:w="2029" w:type="dxa"/>
            <w:shd w:val="clear" w:color="auto" w:fill="auto"/>
            <w:noWrap/>
            <w:vAlign w:val="bottom"/>
            <w:hideMark/>
          </w:tcPr>
          <w:p w14:paraId="67C96434"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2.07 (1.38 to 3.11)</w:t>
            </w:r>
            <w:r w:rsidRPr="00A96689">
              <w:rPr>
                <w:rFonts w:asciiTheme="majorHAnsi" w:eastAsia="Times New Roman" w:hAnsiTheme="majorHAnsi" w:cstheme="majorHAnsi"/>
                <w:color w:val="000000"/>
                <w:vertAlign w:val="superscript"/>
                <w:lang w:val="en-CA"/>
              </w:rPr>
              <w:t>b</w:t>
            </w:r>
          </w:p>
        </w:tc>
        <w:tc>
          <w:tcPr>
            <w:tcW w:w="236" w:type="dxa"/>
          </w:tcPr>
          <w:p w14:paraId="3416059E"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p>
        </w:tc>
        <w:tc>
          <w:tcPr>
            <w:tcW w:w="2036" w:type="dxa"/>
            <w:shd w:val="clear" w:color="auto" w:fill="auto"/>
            <w:noWrap/>
            <w:vAlign w:val="bottom"/>
            <w:hideMark/>
          </w:tcPr>
          <w:p w14:paraId="4BE2595C"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1.89 (1.16 to 3.07)</w:t>
            </w:r>
            <w:r w:rsidRPr="00A96689">
              <w:rPr>
                <w:rFonts w:asciiTheme="majorHAnsi" w:eastAsia="Times New Roman" w:hAnsiTheme="majorHAnsi" w:cstheme="majorHAnsi"/>
                <w:color w:val="000000"/>
                <w:vertAlign w:val="superscript"/>
                <w:lang w:val="en-CA"/>
              </w:rPr>
              <w:t>b</w:t>
            </w:r>
          </w:p>
        </w:tc>
        <w:tc>
          <w:tcPr>
            <w:tcW w:w="2153" w:type="dxa"/>
            <w:shd w:val="clear" w:color="auto" w:fill="auto"/>
            <w:noWrap/>
            <w:vAlign w:val="bottom"/>
            <w:hideMark/>
          </w:tcPr>
          <w:p w14:paraId="458B0BE4"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1.91 (1.19 to 3.05)</w:t>
            </w:r>
            <w:r w:rsidRPr="00A96689">
              <w:rPr>
                <w:rFonts w:asciiTheme="majorHAnsi" w:eastAsia="Times New Roman" w:hAnsiTheme="majorHAnsi" w:cstheme="majorHAnsi"/>
                <w:color w:val="000000"/>
                <w:vertAlign w:val="superscript"/>
                <w:lang w:val="en-CA"/>
              </w:rPr>
              <w:t>b</w:t>
            </w:r>
          </w:p>
        </w:tc>
        <w:tc>
          <w:tcPr>
            <w:tcW w:w="1958" w:type="dxa"/>
            <w:shd w:val="clear" w:color="auto" w:fill="auto"/>
            <w:noWrap/>
            <w:vAlign w:val="bottom"/>
            <w:hideMark/>
          </w:tcPr>
          <w:p w14:paraId="02541222"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1.86 (1.08 to 3.18)</w:t>
            </w:r>
            <w:r w:rsidRPr="00A96689">
              <w:rPr>
                <w:rFonts w:asciiTheme="majorHAnsi" w:eastAsia="Times New Roman" w:hAnsiTheme="majorHAnsi" w:cstheme="majorHAnsi"/>
                <w:color w:val="000000"/>
                <w:vertAlign w:val="superscript"/>
                <w:lang w:val="en-CA"/>
              </w:rPr>
              <w:t>b</w:t>
            </w:r>
          </w:p>
        </w:tc>
      </w:tr>
      <w:tr w:rsidR="001D6177" w:rsidRPr="00A96689" w14:paraId="535F6407" w14:textId="77777777" w:rsidTr="008C689F">
        <w:trPr>
          <w:gridAfter w:val="1"/>
          <w:wAfter w:w="14" w:type="dxa"/>
          <w:trHeight w:val="300"/>
        </w:trPr>
        <w:tc>
          <w:tcPr>
            <w:tcW w:w="2761" w:type="dxa"/>
            <w:shd w:val="clear" w:color="auto" w:fill="auto"/>
            <w:noWrap/>
            <w:vAlign w:val="bottom"/>
            <w:hideMark/>
          </w:tcPr>
          <w:p w14:paraId="672B8209" w14:textId="5690F8BE" w:rsidR="001D6177" w:rsidRPr="00A96689" w:rsidRDefault="001D6177" w:rsidP="001D6177">
            <w:pPr>
              <w:spacing w:after="0" w:line="240" w:lineRule="auto"/>
              <w:ind w:firstLine="321"/>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eastAsia="en-US"/>
              </w:rPr>
              <w:t>P-value</w:t>
            </w:r>
          </w:p>
        </w:tc>
        <w:tc>
          <w:tcPr>
            <w:tcW w:w="265" w:type="dxa"/>
            <w:shd w:val="clear" w:color="auto" w:fill="auto"/>
            <w:noWrap/>
            <w:vAlign w:val="bottom"/>
            <w:hideMark/>
          </w:tcPr>
          <w:p w14:paraId="0B287428" w14:textId="77777777" w:rsidR="001D6177" w:rsidRPr="00A96689" w:rsidRDefault="001D6177" w:rsidP="001D6177">
            <w:pPr>
              <w:spacing w:after="0" w:line="240" w:lineRule="auto"/>
              <w:rPr>
                <w:rFonts w:asciiTheme="majorHAnsi" w:eastAsia="Times New Roman" w:hAnsiTheme="majorHAnsi" w:cstheme="majorHAnsi"/>
                <w:lang w:val="en-CA"/>
              </w:rPr>
            </w:pPr>
          </w:p>
        </w:tc>
        <w:tc>
          <w:tcPr>
            <w:tcW w:w="1941" w:type="dxa"/>
            <w:shd w:val="clear" w:color="auto" w:fill="auto"/>
            <w:noWrap/>
            <w:vAlign w:val="bottom"/>
            <w:hideMark/>
          </w:tcPr>
          <w:p w14:paraId="29FCD0B0" w14:textId="096CEFF9" w:rsidR="001D6177" w:rsidRPr="00A96689" w:rsidRDefault="001D6177" w:rsidP="001D6177">
            <w:pPr>
              <w:spacing w:after="0" w:line="240" w:lineRule="auto"/>
              <w:jc w:val="center"/>
              <w:rPr>
                <w:rFonts w:asciiTheme="majorHAnsi" w:eastAsia="Times New Roman" w:hAnsiTheme="majorHAnsi" w:cstheme="majorHAnsi"/>
                <w:lang w:val="en-CA"/>
              </w:rPr>
            </w:pPr>
            <w:r w:rsidRPr="00A96689">
              <w:rPr>
                <w:rFonts w:asciiTheme="majorHAnsi" w:eastAsia="Times New Roman" w:hAnsiTheme="majorHAnsi" w:cstheme="majorHAnsi"/>
                <w:lang w:val="en-CA"/>
              </w:rPr>
              <w:t>&lt;.001</w:t>
            </w:r>
          </w:p>
        </w:tc>
        <w:tc>
          <w:tcPr>
            <w:tcW w:w="2071" w:type="dxa"/>
            <w:shd w:val="clear" w:color="auto" w:fill="auto"/>
            <w:noWrap/>
            <w:vAlign w:val="bottom"/>
            <w:hideMark/>
          </w:tcPr>
          <w:p w14:paraId="62DEC594" w14:textId="52E06128" w:rsidR="001D6177" w:rsidRPr="00A96689" w:rsidRDefault="001D6177" w:rsidP="001D6177">
            <w:pPr>
              <w:spacing w:after="0" w:line="240" w:lineRule="auto"/>
              <w:jc w:val="center"/>
              <w:rPr>
                <w:rFonts w:asciiTheme="majorHAnsi" w:eastAsia="Times New Roman" w:hAnsiTheme="majorHAnsi" w:cstheme="majorHAnsi"/>
                <w:lang w:val="en-CA"/>
              </w:rPr>
            </w:pPr>
            <w:r w:rsidRPr="00A96689">
              <w:rPr>
                <w:rFonts w:asciiTheme="majorHAnsi" w:eastAsia="Times New Roman" w:hAnsiTheme="majorHAnsi" w:cstheme="majorHAnsi"/>
                <w:lang w:val="en-CA"/>
              </w:rPr>
              <w:t>&lt;.001</w:t>
            </w:r>
          </w:p>
        </w:tc>
        <w:tc>
          <w:tcPr>
            <w:tcW w:w="2029" w:type="dxa"/>
            <w:shd w:val="clear" w:color="auto" w:fill="auto"/>
            <w:noWrap/>
            <w:vAlign w:val="bottom"/>
            <w:hideMark/>
          </w:tcPr>
          <w:p w14:paraId="174EB036" w14:textId="5BEAEE4A" w:rsidR="001D6177" w:rsidRPr="00A96689" w:rsidRDefault="001D6177" w:rsidP="001D6177">
            <w:pPr>
              <w:spacing w:after="0" w:line="240" w:lineRule="auto"/>
              <w:jc w:val="center"/>
              <w:rPr>
                <w:rFonts w:asciiTheme="majorHAnsi" w:eastAsia="Times New Roman" w:hAnsiTheme="majorHAnsi" w:cstheme="majorHAnsi"/>
                <w:lang w:val="en-CA"/>
              </w:rPr>
            </w:pPr>
            <w:r w:rsidRPr="00A96689">
              <w:rPr>
                <w:rFonts w:asciiTheme="majorHAnsi" w:eastAsia="Times New Roman" w:hAnsiTheme="majorHAnsi" w:cstheme="majorHAnsi"/>
                <w:lang w:val="en-CA"/>
              </w:rPr>
              <w:t>&lt;.001</w:t>
            </w:r>
          </w:p>
        </w:tc>
        <w:tc>
          <w:tcPr>
            <w:tcW w:w="236" w:type="dxa"/>
          </w:tcPr>
          <w:p w14:paraId="40CABB3E" w14:textId="77777777" w:rsidR="001D6177" w:rsidRPr="00A96689" w:rsidRDefault="001D6177" w:rsidP="001D6177">
            <w:pPr>
              <w:spacing w:after="0" w:line="240" w:lineRule="auto"/>
              <w:jc w:val="center"/>
              <w:rPr>
                <w:rFonts w:asciiTheme="majorHAnsi" w:eastAsia="Times New Roman" w:hAnsiTheme="majorHAnsi" w:cstheme="majorHAnsi"/>
                <w:lang w:val="en-CA"/>
              </w:rPr>
            </w:pPr>
          </w:p>
        </w:tc>
        <w:tc>
          <w:tcPr>
            <w:tcW w:w="2036" w:type="dxa"/>
            <w:shd w:val="clear" w:color="auto" w:fill="auto"/>
            <w:noWrap/>
            <w:vAlign w:val="bottom"/>
            <w:hideMark/>
          </w:tcPr>
          <w:p w14:paraId="3C7E1922" w14:textId="02325AA8" w:rsidR="001D6177" w:rsidRPr="00A96689" w:rsidRDefault="001D6177" w:rsidP="001D6177">
            <w:pPr>
              <w:spacing w:after="0" w:line="240" w:lineRule="auto"/>
              <w:jc w:val="center"/>
              <w:rPr>
                <w:rFonts w:asciiTheme="majorHAnsi" w:eastAsia="Times New Roman" w:hAnsiTheme="majorHAnsi" w:cstheme="majorHAnsi"/>
                <w:lang w:val="en-CA"/>
              </w:rPr>
            </w:pPr>
            <w:r w:rsidRPr="00A96689">
              <w:rPr>
                <w:rFonts w:asciiTheme="majorHAnsi" w:eastAsia="Times New Roman" w:hAnsiTheme="majorHAnsi" w:cstheme="majorHAnsi"/>
                <w:lang w:val="en-CA"/>
              </w:rPr>
              <w:t>0.10</w:t>
            </w:r>
          </w:p>
        </w:tc>
        <w:tc>
          <w:tcPr>
            <w:tcW w:w="2153" w:type="dxa"/>
            <w:shd w:val="clear" w:color="auto" w:fill="auto"/>
            <w:noWrap/>
            <w:vAlign w:val="bottom"/>
            <w:hideMark/>
          </w:tcPr>
          <w:p w14:paraId="4C96FE80" w14:textId="57A87F65" w:rsidR="001D6177" w:rsidRPr="00A96689" w:rsidRDefault="001D6177" w:rsidP="001D6177">
            <w:pPr>
              <w:spacing w:after="0" w:line="240" w:lineRule="auto"/>
              <w:jc w:val="center"/>
              <w:rPr>
                <w:rFonts w:asciiTheme="majorHAnsi" w:eastAsia="Times New Roman" w:hAnsiTheme="majorHAnsi" w:cstheme="majorHAnsi"/>
                <w:lang w:val="en-CA"/>
              </w:rPr>
            </w:pPr>
            <w:r w:rsidRPr="00A96689">
              <w:rPr>
                <w:rFonts w:asciiTheme="majorHAnsi" w:eastAsia="Times New Roman" w:hAnsiTheme="majorHAnsi" w:cstheme="majorHAnsi"/>
                <w:lang w:val="en-CA"/>
              </w:rPr>
              <w:t>0.007</w:t>
            </w:r>
          </w:p>
        </w:tc>
        <w:tc>
          <w:tcPr>
            <w:tcW w:w="1958" w:type="dxa"/>
            <w:shd w:val="clear" w:color="auto" w:fill="auto"/>
            <w:noWrap/>
            <w:vAlign w:val="bottom"/>
            <w:hideMark/>
          </w:tcPr>
          <w:p w14:paraId="57AE4379" w14:textId="5F2AB329" w:rsidR="001D6177" w:rsidRPr="00A96689" w:rsidRDefault="001D6177" w:rsidP="001D6177">
            <w:pPr>
              <w:spacing w:after="0" w:line="240" w:lineRule="auto"/>
              <w:jc w:val="center"/>
              <w:rPr>
                <w:rFonts w:asciiTheme="majorHAnsi" w:eastAsia="Times New Roman" w:hAnsiTheme="majorHAnsi" w:cstheme="majorHAnsi"/>
                <w:lang w:val="en-CA"/>
              </w:rPr>
            </w:pPr>
            <w:r w:rsidRPr="00A96689">
              <w:rPr>
                <w:rFonts w:asciiTheme="majorHAnsi" w:eastAsia="Times New Roman" w:hAnsiTheme="majorHAnsi" w:cstheme="majorHAnsi"/>
                <w:lang w:val="en-CA"/>
              </w:rPr>
              <w:t>0.024</w:t>
            </w:r>
          </w:p>
        </w:tc>
      </w:tr>
      <w:tr w:rsidR="001D6177" w:rsidRPr="00A96689" w14:paraId="4A17F34C" w14:textId="77777777" w:rsidTr="008C689F">
        <w:trPr>
          <w:gridAfter w:val="1"/>
          <w:wAfter w:w="14" w:type="dxa"/>
          <w:trHeight w:val="300"/>
        </w:trPr>
        <w:tc>
          <w:tcPr>
            <w:tcW w:w="2761" w:type="dxa"/>
            <w:shd w:val="clear" w:color="auto" w:fill="auto"/>
            <w:noWrap/>
            <w:vAlign w:val="bottom"/>
            <w:hideMark/>
          </w:tcPr>
          <w:p w14:paraId="0A569E07" w14:textId="77777777" w:rsidR="001D6177" w:rsidRPr="00A96689" w:rsidRDefault="001D6177" w:rsidP="001D6177">
            <w:pPr>
              <w:spacing w:after="0" w:line="240" w:lineRule="auto"/>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TUG based fall risk (yes/no)</w:t>
            </w:r>
          </w:p>
        </w:tc>
        <w:tc>
          <w:tcPr>
            <w:tcW w:w="265" w:type="dxa"/>
            <w:shd w:val="clear" w:color="auto" w:fill="auto"/>
            <w:noWrap/>
            <w:vAlign w:val="bottom"/>
            <w:hideMark/>
          </w:tcPr>
          <w:p w14:paraId="37F92904" w14:textId="77777777" w:rsidR="001D6177" w:rsidRPr="00A96689" w:rsidRDefault="001D6177" w:rsidP="001D6177">
            <w:pPr>
              <w:spacing w:after="0" w:line="240" w:lineRule="auto"/>
              <w:rPr>
                <w:rFonts w:asciiTheme="majorHAnsi" w:eastAsia="Times New Roman" w:hAnsiTheme="majorHAnsi" w:cstheme="majorHAnsi"/>
                <w:color w:val="000000"/>
                <w:lang w:val="en-CA"/>
              </w:rPr>
            </w:pPr>
          </w:p>
        </w:tc>
        <w:tc>
          <w:tcPr>
            <w:tcW w:w="1941" w:type="dxa"/>
            <w:shd w:val="clear" w:color="auto" w:fill="auto"/>
            <w:noWrap/>
            <w:vAlign w:val="bottom"/>
            <w:hideMark/>
          </w:tcPr>
          <w:p w14:paraId="6CA75A50"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2.45 (1.37 to 4.39)</w:t>
            </w:r>
          </w:p>
        </w:tc>
        <w:tc>
          <w:tcPr>
            <w:tcW w:w="2071" w:type="dxa"/>
            <w:shd w:val="clear" w:color="auto" w:fill="auto"/>
            <w:noWrap/>
            <w:vAlign w:val="bottom"/>
            <w:hideMark/>
          </w:tcPr>
          <w:p w14:paraId="6B40A36C"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1.99 (1.07 to 3.70)</w:t>
            </w:r>
          </w:p>
        </w:tc>
        <w:tc>
          <w:tcPr>
            <w:tcW w:w="2029" w:type="dxa"/>
            <w:shd w:val="clear" w:color="auto" w:fill="auto"/>
            <w:noWrap/>
            <w:vAlign w:val="bottom"/>
            <w:hideMark/>
          </w:tcPr>
          <w:p w14:paraId="29CA69E3"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1.57 (0.81 to 3.05)</w:t>
            </w:r>
          </w:p>
        </w:tc>
        <w:tc>
          <w:tcPr>
            <w:tcW w:w="236" w:type="dxa"/>
          </w:tcPr>
          <w:p w14:paraId="554CE27C"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p>
        </w:tc>
        <w:tc>
          <w:tcPr>
            <w:tcW w:w="2036" w:type="dxa"/>
            <w:shd w:val="clear" w:color="auto" w:fill="auto"/>
            <w:noWrap/>
            <w:vAlign w:val="bottom"/>
            <w:hideMark/>
          </w:tcPr>
          <w:p w14:paraId="019991A8"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2.48 (1.27 to 4.86)</w:t>
            </w:r>
          </w:p>
        </w:tc>
        <w:tc>
          <w:tcPr>
            <w:tcW w:w="2153" w:type="dxa"/>
            <w:shd w:val="clear" w:color="auto" w:fill="auto"/>
            <w:noWrap/>
            <w:vAlign w:val="bottom"/>
            <w:hideMark/>
          </w:tcPr>
          <w:p w14:paraId="7B758F01"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2.47 (1.22 to 5.01)</w:t>
            </w:r>
          </w:p>
        </w:tc>
        <w:tc>
          <w:tcPr>
            <w:tcW w:w="1958" w:type="dxa"/>
            <w:shd w:val="clear" w:color="auto" w:fill="auto"/>
            <w:noWrap/>
            <w:vAlign w:val="bottom"/>
            <w:hideMark/>
          </w:tcPr>
          <w:p w14:paraId="67FC0350"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1.39 (0.40 to 3.21)</w:t>
            </w:r>
          </w:p>
        </w:tc>
      </w:tr>
      <w:tr w:rsidR="001D6177" w:rsidRPr="00A96689" w14:paraId="6D20DAC3" w14:textId="77777777" w:rsidTr="008C689F">
        <w:trPr>
          <w:gridAfter w:val="1"/>
          <w:wAfter w:w="14" w:type="dxa"/>
          <w:trHeight w:val="300"/>
        </w:trPr>
        <w:tc>
          <w:tcPr>
            <w:tcW w:w="2761" w:type="dxa"/>
            <w:tcBorders>
              <w:bottom w:val="nil"/>
            </w:tcBorders>
            <w:shd w:val="clear" w:color="auto" w:fill="auto"/>
            <w:noWrap/>
            <w:vAlign w:val="bottom"/>
            <w:hideMark/>
          </w:tcPr>
          <w:p w14:paraId="13DD7F48" w14:textId="255F45D2" w:rsidR="001D6177" w:rsidRPr="00A96689" w:rsidRDefault="001D6177" w:rsidP="001D6177">
            <w:pPr>
              <w:spacing w:after="0" w:line="240" w:lineRule="auto"/>
              <w:ind w:firstLine="321"/>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eastAsia="en-US"/>
              </w:rPr>
              <w:t>P-value</w:t>
            </w:r>
          </w:p>
        </w:tc>
        <w:tc>
          <w:tcPr>
            <w:tcW w:w="265" w:type="dxa"/>
            <w:tcBorders>
              <w:bottom w:val="nil"/>
            </w:tcBorders>
            <w:shd w:val="clear" w:color="auto" w:fill="auto"/>
            <w:noWrap/>
            <w:vAlign w:val="bottom"/>
            <w:hideMark/>
          </w:tcPr>
          <w:p w14:paraId="3368AA60" w14:textId="77777777" w:rsidR="001D6177" w:rsidRPr="00A96689" w:rsidRDefault="001D6177" w:rsidP="001D6177">
            <w:pPr>
              <w:spacing w:after="0" w:line="240" w:lineRule="auto"/>
              <w:rPr>
                <w:rFonts w:asciiTheme="majorHAnsi" w:eastAsia="Times New Roman" w:hAnsiTheme="majorHAnsi" w:cstheme="majorHAnsi"/>
                <w:lang w:val="en-CA"/>
              </w:rPr>
            </w:pPr>
          </w:p>
        </w:tc>
        <w:tc>
          <w:tcPr>
            <w:tcW w:w="1941" w:type="dxa"/>
            <w:tcBorders>
              <w:bottom w:val="nil"/>
            </w:tcBorders>
            <w:shd w:val="clear" w:color="auto" w:fill="auto"/>
            <w:noWrap/>
            <w:vAlign w:val="bottom"/>
            <w:hideMark/>
          </w:tcPr>
          <w:p w14:paraId="515CE7B6" w14:textId="4C696326" w:rsidR="001D6177" w:rsidRPr="00A96689" w:rsidRDefault="001D6177" w:rsidP="001D6177">
            <w:pPr>
              <w:spacing w:after="0" w:line="240" w:lineRule="auto"/>
              <w:jc w:val="center"/>
              <w:rPr>
                <w:rFonts w:asciiTheme="majorHAnsi" w:eastAsia="Times New Roman" w:hAnsiTheme="majorHAnsi" w:cstheme="majorHAnsi"/>
                <w:lang w:val="en-CA"/>
              </w:rPr>
            </w:pPr>
            <w:r w:rsidRPr="00A96689">
              <w:rPr>
                <w:rFonts w:asciiTheme="majorHAnsi" w:eastAsia="Times New Roman" w:hAnsiTheme="majorHAnsi" w:cstheme="majorHAnsi"/>
                <w:lang w:val="en-CA"/>
              </w:rPr>
              <w:t>0.002</w:t>
            </w:r>
          </w:p>
        </w:tc>
        <w:tc>
          <w:tcPr>
            <w:tcW w:w="2071" w:type="dxa"/>
            <w:tcBorders>
              <w:bottom w:val="nil"/>
            </w:tcBorders>
            <w:shd w:val="clear" w:color="auto" w:fill="auto"/>
            <w:noWrap/>
            <w:vAlign w:val="bottom"/>
            <w:hideMark/>
          </w:tcPr>
          <w:p w14:paraId="74320BDA" w14:textId="3F292B62" w:rsidR="001D6177" w:rsidRPr="00A96689" w:rsidRDefault="001D6177" w:rsidP="001D6177">
            <w:pPr>
              <w:spacing w:after="0" w:line="240" w:lineRule="auto"/>
              <w:jc w:val="center"/>
              <w:rPr>
                <w:rFonts w:asciiTheme="majorHAnsi" w:eastAsia="Times New Roman" w:hAnsiTheme="majorHAnsi" w:cstheme="majorHAnsi"/>
                <w:lang w:val="en-CA"/>
              </w:rPr>
            </w:pPr>
            <w:r w:rsidRPr="00A96689">
              <w:rPr>
                <w:rFonts w:asciiTheme="majorHAnsi" w:eastAsia="Times New Roman" w:hAnsiTheme="majorHAnsi" w:cstheme="majorHAnsi"/>
                <w:lang w:val="en-CA"/>
              </w:rPr>
              <w:t>0.029</w:t>
            </w:r>
          </w:p>
        </w:tc>
        <w:tc>
          <w:tcPr>
            <w:tcW w:w="2029" w:type="dxa"/>
            <w:tcBorders>
              <w:bottom w:val="nil"/>
            </w:tcBorders>
            <w:shd w:val="clear" w:color="auto" w:fill="auto"/>
            <w:noWrap/>
            <w:vAlign w:val="bottom"/>
            <w:hideMark/>
          </w:tcPr>
          <w:p w14:paraId="3EFDA920" w14:textId="2E1936C7" w:rsidR="001D6177" w:rsidRPr="00A96689" w:rsidRDefault="001D6177" w:rsidP="001D6177">
            <w:pPr>
              <w:spacing w:after="0" w:line="240" w:lineRule="auto"/>
              <w:jc w:val="center"/>
              <w:rPr>
                <w:rFonts w:asciiTheme="majorHAnsi" w:eastAsia="Times New Roman" w:hAnsiTheme="majorHAnsi" w:cstheme="majorHAnsi"/>
                <w:lang w:val="en-CA"/>
              </w:rPr>
            </w:pPr>
            <w:r w:rsidRPr="00A96689">
              <w:rPr>
                <w:rFonts w:asciiTheme="majorHAnsi" w:eastAsia="Times New Roman" w:hAnsiTheme="majorHAnsi" w:cstheme="majorHAnsi"/>
                <w:lang w:val="en-CA"/>
              </w:rPr>
              <w:t>0.178</w:t>
            </w:r>
          </w:p>
        </w:tc>
        <w:tc>
          <w:tcPr>
            <w:tcW w:w="236" w:type="dxa"/>
            <w:tcBorders>
              <w:bottom w:val="nil"/>
            </w:tcBorders>
          </w:tcPr>
          <w:p w14:paraId="244DFF14" w14:textId="77777777" w:rsidR="001D6177" w:rsidRPr="00A96689" w:rsidRDefault="001D6177" w:rsidP="001D6177">
            <w:pPr>
              <w:spacing w:after="0" w:line="240" w:lineRule="auto"/>
              <w:jc w:val="center"/>
              <w:rPr>
                <w:rFonts w:asciiTheme="majorHAnsi" w:eastAsia="Times New Roman" w:hAnsiTheme="majorHAnsi" w:cstheme="majorHAnsi"/>
                <w:lang w:val="en-CA"/>
              </w:rPr>
            </w:pPr>
          </w:p>
        </w:tc>
        <w:tc>
          <w:tcPr>
            <w:tcW w:w="2036" w:type="dxa"/>
            <w:tcBorders>
              <w:bottom w:val="nil"/>
            </w:tcBorders>
            <w:shd w:val="clear" w:color="auto" w:fill="auto"/>
            <w:noWrap/>
            <w:vAlign w:val="bottom"/>
            <w:hideMark/>
          </w:tcPr>
          <w:p w14:paraId="5F3F5C8F" w14:textId="6502EAB6" w:rsidR="001D6177" w:rsidRPr="00A96689" w:rsidRDefault="001D6177" w:rsidP="001D6177">
            <w:pPr>
              <w:spacing w:after="0" w:line="240" w:lineRule="auto"/>
              <w:jc w:val="center"/>
              <w:rPr>
                <w:rFonts w:asciiTheme="majorHAnsi" w:eastAsia="Times New Roman" w:hAnsiTheme="majorHAnsi" w:cstheme="majorHAnsi"/>
                <w:lang w:val="en-CA"/>
              </w:rPr>
            </w:pPr>
            <w:r w:rsidRPr="00A96689">
              <w:rPr>
                <w:rFonts w:asciiTheme="majorHAnsi" w:eastAsia="Times New Roman" w:hAnsiTheme="majorHAnsi" w:cstheme="majorHAnsi"/>
                <w:lang w:val="en-CA"/>
              </w:rPr>
              <w:t>0.008</w:t>
            </w:r>
          </w:p>
        </w:tc>
        <w:tc>
          <w:tcPr>
            <w:tcW w:w="2153" w:type="dxa"/>
            <w:tcBorders>
              <w:bottom w:val="nil"/>
            </w:tcBorders>
            <w:shd w:val="clear" w:color="auto" w:fill="auto"/>
            <w:noWrap/>
            <w:vAlign w:val="bottom"/>
            <w:hideMark/>
          </w:tcPr>
          <w:p w14:paraId="1CCEBFEE" w14:textId="66DD4BDA" w:rsidR="001D6177" w:rsidRPr="00A96689" w:rsidRDefault="001D6177" w:rsidP="001D6177">
            <w:pPr>
              <w:spacing w:after="0" w:line="240" w:lineRule="auto"/>
              <w:jc w:val="center"/>
              <w:rPr>
                <w:rFonts w:asciiTheme="majorHAnsi" w:eastAsia="Times New Roman" w:hAnsiTheme="majorHAnsi" w:cstheme="majorHAnsi"/>
                <w:lang w:val="en-CA"/>
              </w:rPr>
            </w:pPr>
            <w:r w:rsidRPr="00A96689">
              <w:rPr>
                <w:rFonts w:asciiTheme="majorHAnsi" w:eastAsia="Times New Roman" w:hAnsiTheme="majorHAnsi" w:cstheme="majorHAnsi"/>
                <w:lang w:val="en-CA"/>
              </w:rPr>
              <w:t>0.012</w:t>
            </w:r>
          </w:p>
        </w:tc>
        <w:tc>
          <w:tcPr>
            <w:tcW w:w="1958" w:type="dxa"/>
            <w:tcBorders>
              <w:bottom w:val="nil"/>
            </w:tcBorders>
            <w:shd w:val="clear" w:color="auto" w:fill="auto"/>
            <w:noWrap/>
            <w:vAlign w:val="bottom"/>
            <w:hideMark/>
          </w:tcPr>
          <w:p w14:paraId="42A5C91B" w14:textId="0F947C43" w:rsidR="001D6177" w:rsidRPr="00A96689" w:rsidRDefault="001D6177" w:rsidP="001D6177">
            <w:pPr>
              <w:spacing w:after="0" w:line="240" w:lineRule="auto"/>
              <w:jc w:val="center"/>
              <w:rPr>
                <w:rFonts w:asciiTheme="majorHAnsi" w:eastAsia="Times New Roman" w:hAnsiTheme="majorHAnsi" w:cstheme="majorHAnsi"/>
                <w:lang w:val="en-CA"/>
              </w:rPr>
            </w:pPr>
            <w:r w:rsidRPr="00A96689">
              <w:rPr>
                <w:rFonts w:asciiTheme="majorHAnsi" w:eastAsia="Times New Roman" w:hAnsiTheme="majorHAnsi" w:cstheme="majorHAnsi"/>
                <w:lang w:val="en-CA"/>
              </w:rPr>
              <w:t>0.435</w:t>
            </w:r>
          </w:p>
        </w:tc>
      </w:tr>
      <w:tr w:rsidR="001D6177" w:rsidRPr="00A96689" w14:paraId="7695B7E7" w14:textId="77777777" w:rsidTr="008C689F">
        <w:trPr>
          <w:gridAfter w:val="1"/>
          <w:wAfter w:w="14" w:type="dxa"/>
          <w:trHeight w:val="300"/>
        </w:trPr>
        <w:tc>
          <w:tcPr>
            <w:tcW w:w="2761" w:type="dxa"/>
            <w:shd w:val="clear" w:color="auto" w:fill="auto"/>
            <w:noWrap/>
            <w:vAlign w:val="bottom"/>
            <w:hideMark/>
          </w:tcPr>
          <w:p w14:paraId="54A75FD9" w14:textId="77777777" w:rsidR="001D6177" w:rsidRPr="00A96689" w:rsidRDefault="001D6177" w:rsidP="001D6177">
            <w:pPr>
              <w:spacing w:after="0" w:line="240" w:lineRule="auto"/>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Sarcopenia (yes/no)</w:t>
            </w:r>
          </w:p>
        </w:tc>
        <w:tc>
          <w:tcPr>
            <w:tcW w:w="265" w:type="dxa"/>
            <w:shd w:val="clear" w:color="auto" w:fill="auto"/>
            <w:noWrap/>
            <w:vAlign w:val="bottom"/>
            <w:hideMark/>
          </w:tcPr>
          <w:p w14:paraId="3414DDA1" w14:textId="77777777" w:rsidR="001D6177" w:rsidRPr="00A96689" w:rsidRDefault="001D6177" w:rsidP="001D6177">
            <w:pPr>
              <w:spacing w:after="0" w:line="240" w:lineRule="auto"/>
              <w:rPr>
                <w:rFonts w:asciiTheme="majorHAnsi" w:eastAsia="Times New Roman" w:hAnsiTheme="majorHAnsi" w:cstheme="majorHAnsi"/>
                <w:color w:val="000000"/>
                <w:lang w:val="en-CA"/>
              </w:rPr>
            </w:pPr>
          </w:p>
        </w:tc>
        <w:tc>
          <w:tcPr>
            <w:tcW w:w="1941" w:type="dxa"/>
            <w:shd w:val="clear" w:color="auto" w:fill="auto"/>
            <w:noWrap/>
            <w:vAlign w:val="bottom"/>
            <w:hideMark/>
          </w:tcPr>
          <w:p w14:paraId="1F873325"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3.51 (1.80 to 6.83)</w:t>
            </w:r>
          </w:p>
        </w:tc>
        <w:tc>
          <w:tcPr>
            <w:tcW w:w="2071" w:type="dxa"/>
            <w:shd w:val="clear" w:color="auto" w:fill="auto"/>
            <w:noWrap/>
            <w:vAlign w:val="bottom"/>
            <w:hideMark/>
          </w:tcPr>
          <w:p w14:paraId="20C1DB20"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2.92 (1.46 to 5.85)</w:t>
            </w:r>
          </w:p>
        </w:tc>
        <w:tc>
          <w:tcPr>
            <w:tcW w:w="2029" w:type="dxa"/>
            <w:shd w:val="clear" w:color="auto" w:fill="auto"/>
            <w:noWrap/>
            <w:vAlign w:val="bottom"/>
            <w:hideMark/>
          </w:tcPr>
          <w:p w14:paraId="48001572"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2.43 (1.16 to 5.07)</w:t>
            </w:r>
          </w:p>
        </w:tc>
        <w:tc>
          <w:tcPr>
            <w:tcW w:w="236" w:type="dxa"/>
          </w:tcPr>
          <w:p w14:paraId="46438071"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p>
        </w:tc>
        <w:tc>
          <w:tcPr>
            <w:tcW w:w="2036" w:type="dxa"/>
            <w:shd w:val="clear" w:color="auto" w:fill="auto"/>
            <w:noWrap/>
            <w:vAlign w:val="bottom"/>
            <w:hideMark/>
          </w:tcPr>
          <w:p w14:paraId="26A35A93"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3.39 (1.68 to 6.84)</w:t>
            </w:r>
          </w:p>
        </w:tc>
        <w:tc>
          <w:tcPr>
            <w:tcW w:w="2153" w:type="dxa"/>
            <w:shd w:val="clear" w:color="auto" w:fill="auto"/>
            <w:noWrap/>
            <w:vAlign w:val="bottom"/>
            <w:hideMark/>
          </w:tcPr>
          <w:p w14:paraId="63D685FA"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3.37 (1.64 to 6.95)</w:t>
            </w:r>
          </w:p>
        </w:tc>
        <w:tc>
          <w:tcPr>
            <w:tcW w:w="1958" w:type="dxa"/>
            <w:shd w:val="clear" w:color="auto" w:fill="auto"/>
            <w:noWrap/>
            <w:vAlign w:val="bottom"/>
            <w:hideMark/>
          </w:tcPr>
          <w:p w14:paraId="37DEBA16"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2.35 (1.04 to 5.31)</w:t>
            </w:r>
          </w:p>
        </w:tc>
      </w:tr>
      <w:tr w:rsidR="001D6177" w:rsidRPr="00A96689" w14:paraId="2BFD4257" w14:textId="77777777" w:rsidTr="008C689F">
        <w:trPr>
          <w:gridAfter w:val="1"/>
          <w:wAfter w:w="14" w:type="dxa"/>
          <w:trHeight w:val="300"/>
        </w:trPr>
        <w:tc>
          <w:tcPr>
            <w:tcW w:w="2761" w:type="dxa"/>
            <w:shd w:val="clear" w:color="auto" w:fill="auto"/>
            <w:noWrap/>
            <w:vAlign w:val="bottom"/>
          </w:tcPr>
          <w:p w14:paraId="1B04FFBB" w14:textId="750078E0" w:rsidR="001D6177" w:rsidRPr="00A96689" w:rsidRDefault="001D6177" w:rsidP="001D6177">
            <w:pPr>
              <w:spacing w:after="0" w:line="240" w:lineRule="auto"/>
              <w:ind w:firstLine="321"/>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eastAsia="en-US"/>
              </w:rPr>
              <w:t>P-value</w:t>
            </w:r>
          </w:p>
        </w:tc>
        <w:tc>
          <w:tcPr>
            <w:tcW w:w="265" w:type="dxa"/>
            <w:shd w:val="clear" w:color="auto" w:fill="auto"/>
            <w:noWrap/>
            <w:vAlign w:val="bottom"/>
          </w:tcPr>
          <w:p w14:paraId="29D35E95" w14:textId="77777777" w:rsidR="001D6177" w:rsidRPr="00A96689" w:rsidRDefault="001D6177" w:rsidP="001D6177">
            <w:pPr>
              <w:spacing w:after="0" w:line="240" w:lineRule="auto"/>
              <w:rPr>
                <w:rFonts w:asciiTheme="majorHAnsi" w:eastAsia="Times New Roman" w:hAnsiTheme="majorHAnsi" w:cstheme="majorHAnsi"/>
                <w:color w:val="000000"/>
                <w:lang w:val="en-CA"/>
              </w:rPr>
            </w:pPr>
          </w:p>
        </w:tc>
        <w:tc>
          <w:tcPr>
            <w:tcW w:w="1941" w:type="dxa"/>
            <w:shd w:val="clear" w:color="auto" w:fill="auto"/>
            <w:noWrap/>
            <w:vAlign w:val="bottom"/>
          </w:tcPr>
          <w:p w14:paraId="2CE05611" w14:textId="47B76B04"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&lt;.001</w:t>
            </w:r>
          </w:p>
        </w:tc>
        <w:tc>
          <w:tcPr>
            <w:tcW w:w="2071" w:type="dxa"/>
            <w:shd w:val="clear" w:color="auto" w:fill="auto"/>
            <w:noWrap/>
            <w:vAlign w:val="bottom"/>
          </w:tcPr>
          <w:p w14:paraId="35529F25" w14:textId="2E7E00EE"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0.002</w:t>
            </w:r>
          </w:p>
        </w:tc>
        <w:tc>
          <w:tcPr>
            <w:tcW w:w="2029" w:type="dxa"/>
            <w:shd w:val="clear" w:color="auto" w:fill="auto"/>
            <w:noWrap/>
            <w:vAlign w:val="bottom"/>
          </w:tcPr>
          <w:p w14:paraId="3DB02788" w14:textId="054D58D1"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0.018</w:t>
            </w:r>
          </w:p>
        </w:tc>
        <w:tc>
          <w:tcPr>
            <w:tcW w:w="236" w:type="dxa"/>
          </w:tcPr>
          <w:p w14:paraId="29E9651F"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p>
        </w:tc>
        <w:tc>
          <w:tcPr>
            <w:tcW w:w="2036" w:type="dxa"/>
            <w:shd w:val="clear" w:color="auto" w:fill="auto"/>
            <w:noWrap/>
            <w:vAlign w:val="bottom"/>
          </w:tcPr>
          <w:p w14:paraId="79D9327F" w14:textId="62DE5C55"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0.001</w:t>
            </w:r>
          </w:p>
        </w:tc>
        <w:tc>
          <w:tcPr>
            <w:tcW w:w="2153" w:type="dxa"/>
            <w:shd w:val="clear" w:color="auto" w:fill="auto"/>
            <w:noWrap/>
            <w:vAlign w:val="bottom"/>
          </w:tcPr>
          <w:p w14:paraId="1C7322FB" w14:textId="495E5DAF"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0.001</w:t>
            </w:r>
          </w:p>
        </w:tc>
        <w:tc>
          <w:tcPr>
            <w:tcW w:w="1958" w:type="dxa"/>
            <w:shd w:val="clear" w:color="auto" w:fill="auto"/>
            <w:noWrap/>
            <w:vAlign w:val="bottom"/>
          </w:tcPr>
          <w:p w14:paraId="0811BFF1" w14:textId="55517F94"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0.040</w:t>
            </w:r>
          </w:p>
        </w:tc>
      </w:tr>
      <w:tr w:rsidR="001D6177" w:rsidRPr="00A96689" w14:paraId="527A3D61" w14:textId="77777777" w:rsidTr="007D0523">
        <w:trPr>
          <w:gridAfter w:val="1"/>
          <w:wAfter w:w="14" w:type="dxa"/>
          <w:trHeight w:val="300"/>
        </w:trPr>
        <w:tc>
          <w:tcPr>
            <w:tcW w:w="2761" w:type="dxa"/>
            <w:tcBorders>
              <w:top w:val="nil"/>
              <w:bottom w:val="nil"/>
            </w:tcBorders>
            <w:shd w:val="clear" w:color="auto" w:fill="auto"/>
            <w:noWrap/>
            <w:vAlign w:val="bottom"/>
          </w:tcPr>
          <w:p w14:paraId="6457AEE1" w14:textId="456F5940" w:rsidR="001D6177" w:rsidRPr="00A96689" w:rsidRDefault="001D6177" w:rsidP="001D6177">
            <w:pPr>
              <w:spacing w:after="0" w:line="240" w:lineRule="auto"/>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Dynapenia (yes/no)</w:t>
            </w:r>
          </w:p>
        </w:tc>
        <w:tc>
          <w:tcPr>
            <w:tcW w:w="265" w:type="dxa"/>
            <w:tcBorders>
              <w:top w:val="nil"/>
              <w:bottom w:val="nil"/>
            </w:tcBorders>
            <w:shd w:val="clear" w:color="auto" w:fill="auto"/>
            <w:noWrap/>
            <w:vAlign w:val="bottom"/>
          </w:tcPr>
          <w:p w14:paraId="12DCD8F7" w14:textId="77777777" w:rsidR="001D6177" w:rsidRPr="00A96689" w:rsidRDefault="001D6177" w:rsidP="001D6177">
            <w:pPr>
              <w:spacing w:after="0" w:line="240" w:lineRule="auto"/>
              <w:rPr>
                <w:rFonts w:asciiTheme="majorHAnsi" w:eastAsia="Times New Roman" w:hAnsiTheme="majorHAnsi" w:cstheme="majorHAnsi"/>
                <w:color w:val="000000"/>
                <w:lang w:val="en-CA"/>
              </w:rPr>
            </w:pPr>
          </w:p>
        </w:tc>
        <w:tc>
          <w:tcPr>
            <w:tcW w:w="1941" w:type="dxa"/>
            <w:tcBorders>
              <w:top w:val="nil"/>
              <w:bottom w:val="nil"/>
            </w:tcBorders>
            <w:shd w:val="clear" w:color="auto" w:fill="auto"/>
            <w:noWrap/>
            <w:vAlign w:val="bottom"/>
          </w:tcPr>
          <w:p w14:paraId="3D7C2C6F" w14:textId="5BBFC424"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2.15 (1.19 to 3.88)</w:t>
            </w:r>
          </w:p>
        </w:tc>
        <w:tc>
          <w:tcPr>
            <w:tcW w:w="2071" w:type="dxa"/>
            <w:tcBorders>
              <w:top w:val="nil"/>
              <w:bottom w:val="nil"/>
            </w:tcBorders>
            <w:shd w:val="clear" w:color="auto" w:fill="auto"/>
            <w:noWrap/>
            <w:vAlign w:val="bottom"/>
          </w:tcPr>
          <w:p w14:paraId="5FC17AB6" w14:textId="66D47563"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1.70 (0.91 to 3.18)</w:t>
            </w:r>
          </w:p>
        </w:tc>
        <w:tc>
          <w:tcPr>
            <w:tcW w:w="2029" w:type="dxa"/>
            <w:tcBorders>
              <w:top w:val="nil"/>
              <w:bottom w:val="nil"/>
            </w:tcBorders>
            <w:shd w:val="clear" w:color="auto" w:fill="auto"/>
            <w:noWrap/>
            <w:vAlign w:val="bottom"/>
          </w:tcPr>
          <w:p w14:paraId="1C8D7089" w14:textId="7FA84EC6"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1.39 (0.71 to 2.75)</w:t>
            </w:r>
          </w:p>
        </w:tc>
        <w:tc>
          <w:tcPr>
            <w:tcW w:w="236" w:type="dxa"/>
            <w:tcBorders>
              <w:top w:val="nil"/>
              <w:bottom w:val="nil"/>
            </w:tcBorders>
          </w:tcPr>
          <w:p w14:paraId="7922F821"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p>
        </w:tc>
        <w:tc>
          <w:tcPr>
            <w:tcW w:w="2036" w:type="dxa"/>
            <w:tcBorders>
              <w:top w:val="nil"/>
              <w:bottom w:val="nil"/>
            </w:tcBorders>
            <w:shd w:val="clear" w:color="auto" w:fill="auto"/>
            <w:noWrap/>
            <w:vAlign w:val="bottom"/>
          </w:tcPr>
          <w:p w14:paraId="4D960B50" w14:textId="76E2ECC6"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2.66 (1.24 to 5.68)</w:t>
            </w:r>
          </w:p>
        </w:tc>
        <w:tc>
          <w:tcPr>
            <w:tcW w:w="2153" w:type="dxa"/>
            <w:tcBorders>
              <w:top w:val="nil"/>
              <w:bottom w:val="nil"/>
            </w:tcBorders>
            <w:shd w:val="clear" w:color="auto" w:fill="auto"/>
            <w:noWrap/>
            <w:vAlign w:val="bottom"/>
          </w:tcPr>
          <w:p w14:paraId="103CE9B0" w14:textId="7AA2690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2.60 (1.18 to 5.73)</w:t>
            </w:r>
          </w:p>
        </w:tc>
        <w:tc>
          <w:tcPr>
            <w:tcW w:w="1958" w:type="dxa"/>
            <w:tcBorders>
              <w:top w:val="nil"/>
              <w:bottom w:val="nil"/>
            </w:tcBorders>
            <w:shd w:val="clear" w:color="auto" w:fill="auto"/>
            <w:noWrap/>
            <w:vAlign w:val="bottom"/>
          </w:tcPr>
          <w:p w14:paraId="0BDDAE74" w14:textId="43A4308C"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1.94 (0.82 to 4.59)</w:t>
            </w:r>
          </w:p>
        </w:tc>
      </w:tr>
      <w:tr w:rsidR="001D6177" w:rsidRPr="00A96689" w14:paraId="49DF6F35" w14:textId="77777777" w:rsidTr="008C689F">
        <w:trPr>
          <w:gridAfter w:val="1"/>
          <w:wAfter w:w="14" w:type="dxa"/>
          <w:trHeight w:val="300"/>
        </w:trPr>
        <w:tc>
          <w:tcPr>
            <w:tcW w:w="2761" w:type="dxa"/>
            <w:tcBorders>
              <w:bottom w:val="nil"/>
            </w:tcBorders>
            <w:shd w:val="clear" w:color="auto" w:fill="auto"/>
            <w:noWrap/>
            <w:vAlign w:val="bottom"/>
            <w:hideMark/>
          </w:tcPr>
          <w:p w14:paraId="68BD17EB" w14:textId="5591DC8A" w:rsidR="001D6177" w:rsidRPr="00A96689" w:rsidRDefault="001D6177" w:rsidP="001D6177">
            <w:pPr>
              <w:spacing w:after="0" w:line="240" w:lineRule="auto"/>
              <w:ind w:firstLine="321"/>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eastAsia="en-US"/>
              </w:rPr>
              <w:t>P-value</w:t>
            </w:r>
          </w:p>
        </w:tc>
        <w:tc>
          <w:tcPr>
            <w:tcW w:w="265" w:type="dxa"/>
            <w:tcBorders>
              <w:bottom w:val="nil"/>
            </w:tcBorders>
            <w:shd w:val="clear" w:color="auto" w:fill="auto"/>
            <w:noWrap/>
            <w:vAlign w:val="bottom"/>
            <w:hideMark/>
          </w:tcPr>
          <w:p w14:paraId="394B8E14" w14:textId="77777777" w:rsidR="001D6177" w:rsidRPr="00A96689" w:rsidRDefault="001D6177" w:rsidP="001D6177">
            <w:pPr>
              <w:spacing w:after="0" w:line="240" w:lineRule="auto"/>
              <w:rPr>
                <w:rFonts w:asciiTheme="majorHAnsi" w:eastAsia="Times New Roman" w:hAnsiTheme="majorHAnsi" w:cstheme="majorHAnsi"/>
                <w:lang w:val="en-CA"/>
              </w:rPr>
            </w:pPr>
          </w:p>
        </w:tc>
        <w:tc>
          <w:tcPr>
            <w:tcW w:w="1941" w:type="dxa"/>
            <w:tcBorders>
              <w:bottom w:val="nil"/>
            </w:tcBorders>
            <w:shd w:val="clear" w:color="auto" w:fill="auto"/>
            <w:noWrap/>
            <w:vAlign w:val="bottom"/>
            <w:hideMark/>
          </w:tcPr>
          <w:p w14:paraId="22966AD6" w14:textId="2092F54A" w:rsidR="001D6177" w:rsidRPr="00A96689" w:rsidRDefault="001D6177" w:rsidP="001D6177">
            <w:pPr>
              <w:spacing w:after="0" w:line="240" w:lineRule="auto"/>
              <w:jc w:val="center"/>
              <w:rPr>
                <w:rFonts w:asciiTheme="majorHAnsi" w:eastAsia="Times New Roman" w:hAnsiTheme="majorHAnsi" w:cstheme="majorHAnsi"/>
                <w:lang w:val="en-CA"/>
              </w:rPr>
            </w:pPr>
            <w:r w:rsidRPr="00A96689">
              <w:rPr>
                <w:rFonts w:asciiTheme="majorHAnsi" w:eastAsia="Times New Roman" w:hAnsiTheme="majorHAnsi" w:cstheme="majorHAnsi"/>
                <w:lang w:val="en-CA"/>
              </w:rPr>
              <w:t>0.011</w:t>
            </w:r>
          </w:p>
        </w:tc>
        <w:tc>
          <w:tcPr>
            <w:tcW w:w="2071" w:type="dxa"/>
            <w:tcBorders>
              <w:bottom w:val="nil"/>
            </w:tcBorders>
            <w:shd w:val="clear" w:color="auto" w:fill="auto"/>
            <w:noWrap/>
            <w:vAlign w:val="bottom"/>
            <w:hideMark/>
          </w:tcPr>
          <w:p w14:paraId="7F8D57D9" w14:textId="3330C1EE" w:rsidR="001D6177" w:rsidRPr="00A96689" w:rsidRDefault="001D6177" w:rsidP="001D6177">
            <w:pPr>
              <w:spacing w:after="0" w:line="240" w:lineRule="auto"/>
              <w:jc w:val="center"/>
              <w:rPr>
                <w:rFonts w:asciiTheme="majorHAnsi" w:eastAsia="Times New Roman" w:hAnsiTheme="majorHAnsi" w:cstheme="majorHAnsi"/>
                <w:lang w:val="en-CA"/>
              </w:rPr>
            </w:pPr>
            <w:r w:rsidRPr="00A96689">
              <w:rPr>
                <w:rFonts w:asciiTheme="majorHAnsi" w:eastAsia="Times New Roman" w:hAnsiTheme="majorHAnsi" w:cstheme="majorHAnsi"/>
                <w:lang w:val="en-CA"/>
              </w:rPr>
              <w:t>0.095</w:t>
            </w:r>
          </w:p>
        </w:tc>
        <w:tc>
          <w:tcPr>
            <w:tcW w:w="2029" w:type="dxa"/>
            <w:tcBorders>
              <w:bottom w:val="nil"/>
            </w:tcBorders>
            <w:shd w:val="clear" w:color="auto" w:fill="auto"/>
            <w:noWrap/>
            <w:vAlign w:val="bottom"/>
            <w:hideMark/>
          </w:tcPr>
          <w:p w14:paraId="6C70244E" w14:textId="3DD4EBAB" w:rsidR="001D6177" w:rsidRPr="00A96689" w:rsidRDefault="001D6177" w:rsidP="001D6177">
            <w:pPr>
              <w:spacing w:after="0" w:line="240" w:lineRule="auto"/>
              <w:jc w:val="center"/>
              <w:rPr>
                <w:rFonts w:asciiTheme="majorHAnsi" w:eastAsia="Times New Roman" w:hAnsiTheme="majorHAnsi" w:cstheme="majorHAnsi"/>
                <w:lang w:val="en-CA"/>
              </w:rPr>
            </w:pPr>
            <w:r w:rsidRPr="00A96689">
              <w:rPr>
                <w:rFonts w:asciiTheme="majorHAnsi" w:eastAsia="Times New Roman" w:hAnsiTheme="majorHAnsi" w:cstheme="majorHAnsi"/>
                <w:lang w:val="en-CA"/>
              </w:rPr>
              <w:t>0.337</w:t>
            </w:r>
          </w:p>
        </w:tc>
        <w:tc>
          <w:tcPr>
            <w:tcW w:w="236" w:type="dxa"/>
            <w:tcBorders>
              <w:bottom w:val="nil"/>
            </w:tcBorders>
          </w:tcPr>
          <w:p w14:paraId="252DA392" w14:textId="77777777" w:rsidR="001D6177" w:rsidRPr="00A96689" w:rsidRDefault="001D6177" w:rsidP="001D6177">
            <w:pPr>
              <w:spacing w:after="0" w:line="240" w:lineRule="auto"/>
              <w:jc w:val="center"/>
              <w:rPr>
                <w:rFonts w:asciiTheme="majorHAnsi" w:eastAsia="Times New Roman" w:hAnsiTheme="majorHAnsi" w:cstheme="majorHAnsi"/>
                <w:lang w:val="en-CA"/>
              </w:rPr>
            </w:pPr>
          </w:p>
        </w:tc>
        <w:tc>
          <w:tcPr>
            <w:tcW w:w="2036" w:type="dxa"/>
            <w:tcBorders>
              <w:bottom w:val="nil"/>
            </w:tcBorders>
            <w:shd w:val="clear" w:color="auto" w:fill="auto"/>
            <w:noWrap/>
            <w:vAlign w:val="bottom"/>
            <w:hideMark/>
          </w:tcPr>
          <w:p w14:paraId="62E8ECC8" w14:textId="5FB43086" w:rsidR="001D6177" w:rsidRPr="00A96689" w:rsidRDefault="001D6177" w:rsidP="001D6177">
            <w:pPr>
              <w:spacing w:after="0" w:line="240" w:lineRule="auto"/>
              <w:jc w:val="center"/>
              <w:rPr>
                <w:rFonts w:asciiTheme="majorHAnsi" w:eastAsia="Times New Roman" w:hAnsiTheme="majorHAnsi" w:cstheme="majorHAnsi"/>
                <w:lang w:val="en-CA"/>
              </w:rPr>
            </w:pPr>
            <w:r w:rsidRPr="00A96689">
              <w:rPr>
                <w:rFonts w:asciiTheme="majorHAnsi" w:eastAsia="Times New Roman" w:hAnsiTheme="majorHAnsi" w:cstheme="majorHAnsi"/>
                <w:lang w:val="en-CA"/>
              </w:rPr>
              <w:t>0.012</w:t>
            </w:r>
          </w:p>
        </w:tc>
        <w:tc>
          <w:tcPr>
            <w:tcW w:w="2153" w:type="dxa"/>
            <w:tcBorders>
              <w:bottom w:val="nil"/>
            </w:tcBorders>
            <w:shd w:val="clear" w:color="auto" w:fill="auto"/>
            <w:noWrap/>
            <w:vAlign w:val="bottom"/>
            <w:hideMark/>
          </w:tcPr>
          <w:p w14:paraId="1CD09F35" w14:textId="24BE157D" w:rsidR="001D6177" w:rsidRPr="00A96689" w:rsidRDefault="001D6177" w:rsidP="001D6177">
            <w:pPr>
              <w:spacing w:after="0" w:line="240" w:lineRule="auto"/>
              <w:jc w:val="center"/>
              <w:rPr>
                <w:rFonts w:asciiTheme="majorHAnsi" w:eastAsia="Times New Roman" w:hAnsiTheme="majorHAnsi" w:cstheme="majorHAnsi"/>
                <w:lang w:val="en-CA"/>
              </w:rPr>
            </w:pPr>
            <w:r w:rsidRPr="00A96689">
              <w:rPr>
                <w:rFonts w:asciiTheme="majorHAnsi" w:eastAsia="Times New Roman" w:hAnsiTheme="majorHAnsi" w:cstheme="majorHAnsi"/>
                <w:lang w:val="en-CA"/>
              </w:rPr>
              <w:t>0.018</w:t>
            </w:r>
          </w:p>
        </w:tc>
        <w:tc>
          <w:tcPr>
            <w:tcW w:w="1958" w:type="dxa"/>
            <w:tcBorders>
              <w:bottom w:val="nil"/>
            </w:tcBorders>
            <w:shd w:val="clear" w:color="auto" w:fill="auto"/>
            <w:noWrap/>
            <w:vAlign w:val="bottom"/>
            <w:hideMark/>
          </w:tcPr>
          <w:p w14:paraId="0A7872F9" w14:textId="0C55569B" w:rsidR="001D6177" w:rsidRPr="00A96689" w:rsidRDefault="001D6177" w:rsidP="001D6177">
            <w:pPr>
              <w:spacing w:after="0" w:line="240" w:lineRule="auto"/>
              <w:jc w:val="center"/>
              <w:rPr>
                <w:rFonts w:asciiTheme="majorHAnsi" w:eastAsia="Times New Roman" w:hAnsiTheme="majorHAnsi" w:cstheme="majorHAnsi"/>
                <w:lang w:val="en-CA"/>
              </w:rPr>
            </w:pPr>
            <w:r w:rsidRPr="00A96689">
              <w:rPr>
                <w:rFonts w:asciiTheme="majorHAnsi" w:eastAsia="Times New Roman" w:hAnsiTheme="majorHAnsi" w:cstheme="majorHAnsi"/>
                <w:lang w:val="en-CA"/>
              </w:rPr>
              <w:t>0.132</w:t>
            </w:r>
          </w:p>
        </w:tc>
      </w:tr>
      <w:tr w:rsidR="001D6177" w:rsidRPr="00A96689" w14:paraId="77F227F7" w14:textId="77777777" w:rsidTr="00B36BE8">
        <w:trPr>
          <w:gridAfter w:val="1"/>
          <w:wAfter w:w="14" w:type="dxa"/>
          <w:trHeight w:val="300"/>
        </w:trPr>
        <w:tc>
          <w:tcPr>
            <w:tcW w:w="2761" w:type="dxa"/>
            <w:tcBorders>
              <w:top w:val="nil"/>
              <w:bottom w:val="nil"/>
            </w:tcBorders>
            <w:shd w:val="clear" w:color="auto" w:fill="auto"/>
            <w:noWrap/>
            <w:vAlign w:val="bottom"/>
            <w:hideMark/>
          </w:tcPr>
          <w:p w14:paraId="1BBA194D" w14:textId="77777777" w:rsidR="001D6177" w:rsidRPr="00A96689" w:rsidRDefault="001D6177" w:rsidP="001D6177">
            <w:pPr>
              <w:spacing w:after="0" w:line="240" w:lineRule="auto"/>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Frailty (yes/no)</w:t>
            </w:r>
          </w:p>
        </w:tc>
        <w:tc>
          <w:tcPr>
            <w:tcW w:w="265" w:type="dxa"/>
            <w:tcBorders>
              <w:top w:val="nil"/>
              <w:bottom w:val="nil"/>
            </w:tcBorders>
            <w:shd w:val="clear" w:color="auto" w:fill="auto"/>
            <w:noWrap/>
            <w:vAlign w:val="bottom"/>
            <w:hideMark/>
          </w:tcPr>
          <w:p w14:paraId="4D6958AB" w14:textId="77777777" w:rsidR="001D6177" w:rsidRPr="00A96689" w:rsidRDefault="001D6177" w:rsidP="001D6177">
            <w:pPr>
              <w:spacing w:after="0" w:line="240" w:lineRule="auto"/>
              <w:rPr>
                <w:rFonts w:asciiTheme="majorHAnsi" w:eastAsia="Times New Roman" w:hAnsiTheme="majorHAnsi" w:cstheme="majorHAnsi"/>
                <w:color w:val="000000"/>
                <w:lang w:val="en-CA"/>
              </w:rPr>
            </w:pPr>
          </w:p>
        </w:tc>
        <w:tc>
          <w:tcPr>
            <w:tcW w:w="1941" w:type="dxa"/>
            <w:tcBorders>
              <w:top w:val="nil"/>
              <w:bottom w:val="nil"/>
            </w:tcBorders>
            <w:shd w:val="clear" w:color="auto" w:fill="auto"/>
            <w:noWrap/>
            <w:vAlign w:val="bottom"/>
            <w:hideMark/>
          </w:tcPr>
          <w:p w14:paraId="5D7B6CB7"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2.68 (1.46 to 4.93)</w:t>
            </w:r>
          </w:p>
        </w:tc>
        <w:tc>
          <w:tcPr>
            <w:tcW w:w="2071" w:type="dxa"/>
            <w:tcBorders>
              <w:top w:val="nil"/>
              <w:bottom w:val="nil"/>
            </w:tcBorders>
            <w:shd w:val="clear" w:color="auto" w:fill="auto"/>
            <w:noWrap/>
            <w:vAlign w:val="bottom"/>
            <w:hideMark/>
          </w:tcPr>
          <w:p w14:paraId="63068517"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2.17 (1.14 to 4.15)</w:t>
            </w:r>
          </w:p>
        </w:tc>
        <w:tc>
          <w:tcPr>
            <w:tcW w:w="2029" w:type="dxa"/>
            <w:tcBorders>
              <w:top w:val="nil"/>
              <w:bottom w:val="nil"/>
            </w:tcBorders>
            <w:shd w:val="clear" w:color="auto" w:fill="auto"/>
            <w:noWrap/>
            <w:vAlign w:val="bottom"/>
            <w:hideMark/>
          </w:tcPr>
          <w:p w14:paraId="0C2CB0AE"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1.66 (0.77 to 3.59)</w:t>
            </w:r>
          </w:p>
        </w:tc>
        <w:tc>
          <w:tcPr>
            <w:tcW w:w="236" w:type="dxa"/>
            <w:tcBorders>
              <w:top w:val="nil"/>
              <w:bottom w:val="nil"/>
            </w:tcBorders>
          </w:tcPr>
          <w:p w14:paraId="2982B736"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p>
        </w:tc>
        <w:tc>
          <w:tcPr>
            <w:tcW w:w="2036" w:type="dxa"/>
            <w:tcBorders>
              <w:top w:val="nil"/>
              <w:bottom w:val="nil"/>
            </w:tcBorders>
            <w:shd w:val="clear" w:color="auto" w:fill="auto"/>
            <w:noWrap/>
            <w:vAlign w:val="bottom"/>
            <w:hideMark/>
          </w:tcPr>
          <w:p w14:paraId="16BB6EB5"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2.67 (1.36 to 5.22)</w:t>
            </w:r>
          </w:p>
        </w:tc>
        <w:tc>
          <w:tcPr>
            <w:tcW w:w="2153" w:type="dxa"/>
            <w:tcBorders>
              <w:top w:val="nil"/>
              <w:bottom w:val="nil"/>
            </w:tcBorders>
            <w:shd w:val="clear" w:color="auto" w:fill="auto"/>
            <w:noWrap/>
            <w:vAlign w:val="bottom"/>
            <w:hideMark/>
          </w:tcPr>
          <w:p w14:paraId="2F92D24C"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2.61 (1.31 to 5.19)</w:t>
            </w:r>
          </w:p>
        </w:tc>
        <w:tc>
          <w:tcPr>
            <w:tcW w:w="1958" w:type="dxa"/>
            <w:tcBorders>
              <w:top w:val="nil"/>
              <w:bottom w:val="nil"/>
            </w:tcBorders>
            <w:shd w:val="clear" w:color="auto" w:fill="auto"/>
            <w:noWrap/>
            <w:vAlign w:val="bottom"/>
            <w:hideMark/>
          </w:tcPr>
          <w:p w14:paraId="2E9A7E75"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1.74 (0.74 to 4.08)</w:t>
            </w:r>
          </w:p>
        </w:tc>
      </w:tr>
      <w:tr w:rsidR="001D6177" w:rsidRPr="00A96689" w14:paraId="0E6586C8" w14:textId="77777777" w:rsidTr="008C689F">
        <w:trPr>
          <w:gridAfter w:val="1"/>
          <w:wAfter w:w="14" w:type="dxa"/>
          <w:trHeight w:val="300"/>
        </w:trPr>
        <w:tc>
          <w:tcPr>
            <w:tcW w:w="2761" w:type="dxa"/>
            <w:tcBorders>
              <w:top w:val="nil"/>
              <w:bottom w:val="single" w:sz="4" w:space="0" w:color="auto"/>
            </w:tcBorders>
            <w:shd w:val="clear" w:color="auto" w:fill="auto"/>
            <w:noWrap/>
            <w:vAlign w:val="bottom"/>
          </w:tcPr>
          <w:p w14:paraId="576043B4" w14:textId="412AAF5B" w:rsidR="001D6177" w:rsidRPr="00A96689" w:rsidRDefault="001D6177" w:rsidP="001D6177">
            <w:pPr>
              <w:spacing w:after="0" w:line="240" w:lineRule="auto"/>
              <w:ind w:firstLine="321"/>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eastAsia="en-US"/>
              </w:rPr>
              <w:t>P-value</w:t>
            </w:r>
          </w:p>
        </w:tc>
        <w:tc>
          <w:tcPr>
            <w:tcW w:w="265" w:type="dxa"/>
            <w:tcBorders>
              <w:top w:val="nil"/>
              <w:bottom w:val="single" w:sz="4" w:space="0" w:color="auto"/>
            </w:tcBorders>
            <w:shd w:val="clear" w:color="auto" w:fill="auto"/>
            <w:noWrap/>
            <w:vAlign w:val="bottom"/>
          </w:tcPr>
          <w:p w14:paraId="2312365F" w14:textId="77777777" w:rsidR="001D6177" w:rsidRPr="00A96689" w:rsidRDefault="001D6177" w:rsidP="001D6177">
            <w:pPr>
              <w:spacing w:after="0" w:line="240" w:lineRule="auto"/>
              <w:rPr>
                <w:rFonts w:asciiTheme="majorHAnsi" w:eastAsia="Times New Roman" w:hAnsiTheme="majorHAnsi" w:cstheme="majorHAnsi"/>
                <w:color w:val="000000"/>
                <w:lang w:val="en-CA"/>
              </w:rPr>
            </w:pPr>
          </w:p>
        </w:tc>
        <w:tc>
          <w:tcPr>
            <w:tcW w:w="1941" w:type="dxa"/>
            <w:tcBorders>
              <w:top w:val="nil"/>
              <w:bottom w:val="single" w:sz="4" w:space="0" w:color="auto"/>
            </w:tcBorders>
            <w:shd w:val="clear" w:color="auto" w:fill="auto"/>
            <w:noWrap/>
            <w:vAlign w:val="bottom"/>
          </w:tcPr>
          <w:p w14:paraId="0CBC9628" w14:textId="198B37FE"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0.001</w:t>
            </w:r>
          </w:p>
        </w:tc>
        <w:tc>
          <w:tcPr>
            <w:tcW w:w="2071" w:type="dxa"/>
            <w:tcBorders>
              <w:top w:val="nil"/>
              <w:bottom w:val="single" w:sz="4" w:space="0" w:color="auto"/>
            </w:tcBorders>
            <w:shd w:val="clear" w:color="auto" w:fill="auto"/>
            <w:noWrap/>
            <w:vAlign w:val="bottom"/>
          </w:tcPr>
          <w:p w14:paraId="39D9467C" w14:textId="11A4DE42"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0.018</w:t>
            </w:r>
          </w:p>
        </w:tc>
        <w:tc>
          <w:tcPr>
            <w:tcW w:w="2029" w:type="dxa"/>
            <w:tcBorders>
              <w:top w:val="nil"/>
              <w:bottom w:val="single" w:sz="4" w:space="0" w:color="auto"/>
            </w:tcBorders>
            <w:shd w:val="clear" w:color="auto" w:fill="auto"/>
            <w:noWrap/>
            <w:vAlign w:val="bottom"/>
          </w:tcPr>
          <w:p w14:paraId="5F71E799" w14:textId="7C02ADD4"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0.193</w:t>
            </w:r>
          </w:p>
        </w:tc>
        <w:tc>
          <w:tcPr>
            <w:tcW w:w="236" w:type="dxa"/>
            <w:tcBorders>
              <w:top w:val="nil"/>
              <w:bottom w:val="single" w:sz="4" w:space="0" w:color="auto"/>
            </w:tcBorders>
          </w:tcPr>
          <w:p w14:paraId="2FCECFA5" w14:textId="77777777" w:rsidR="001D6177" w:rsidRPr="00A96689" w:rsidRDefault="001D6177" w:rsidP="001D6177">
            <w:pPr>
              <w:spacing w:after="0" w:line="240" w:lineRule="auto"/>
              <w:jc w:val="center"/>
              <w:rPr>
                <w:rFonts w:asciiTheme="majorHAnsi" w:eastAsia="Times New Roman" w:hAnsiTheme="majorHAnsi" w:cstheme="majorHAnsi"/>
                <w:color w:val="000000"/>
                <w:lang w:val="en-CA"/>
              </w:rPr>
            </w:pPr>
          </w:p>
        </w:tc>
        <w:tc>
          <w:tcPr>
            <w:tcW w:w="2036" w:type="dxa"/>
            <w:tcBorders>
              <w:top w:val="nil"/>
              <w:bottom w:val="single" w:sz="4" w:space="0" w:color="auto"/>
            </w:tcBorders>
            <w:shd w:val="clear" w:color="auto" w:fill="auto"/>
            <w:noWrap/>
            <w:vAlign w:val="bottom"/>
          </w:tcPr>
          <w:p w14:paraId="2C00B878" w14:textId="1AE75D13"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0.004</w:t>
            </w:r>
          </w:p>
        </w:tc>
        <w:tc>
          <w:tcPr>
            <w:tcW w:w="2153" w:type="dxa"/>
            <w:tcBorders>
              <w:top w:val="nil"/>
              <w:bottom w:val="single" w:sz="4" w:space="0" w:color="auto"/>
            </w:tcBorders>
            <w:shd w:val="clear" w:color="auto" w:fill="auto"/>
            <w:noWrap/>
            <w:vAlign w:val="bottom"/>
          </w:tcPr>
          <w:p w14:paraId="32B1B108" w14:textId="0D868F3D"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0.006</w:t>
            </w:r>
          </w:p>
        </w:tc>
        <w:tc>
          <w:tcPr>
            <w:tcW w:w="1958" w:type="dxa"/>
            <w:tcBorders>
              <w:top w:val="nil"/>
              <w:bottom w:val="single" w:sz="4" w:space="0" w:color="auto"/>
            </w:tcBorders>
            <w:shd w:val="clear" w:color="auto" w:fill="auto"/>
            <w:noWrap/>
            <w:vAlign w:val="bottom"/>
          </w:tcPr>
          <w:p w14:paraId="65E146C9" w14:textId="1CDA58B2" w:rsidR="001D6177" w:rsidRPr="00A96689" w:rsidRDefault="001D6177" w:rsidP="001D6177">
            <w:pPr>
              <w:spacing w:after="0" w:line="240" w:lineRule="auto"/>
              <w:jc w:val="center"/>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0.202</w:t>
            </w:r>
          </w:p>
        </w:tc>
      </w:tr>
      <w:tr w:rsidR="001D6177" w:rsidRPr="00A96689" w14:paraId="75072096" w14:textId="77777777" w:rsidTr="008C689F">
        <w:trPr>
          <w:trHeight w:val="300"/>
        </w:trPr>
        <w:tc>
          <w:tcPr>
            <w:tcW w:w="15464" w:type="dxa"/>
            <w:gridSpan w:val="10"/>
          </w:tcPr>
          <w:p w14:paraId="7D7F55E4" w14:textId="5FAAAB22" w:rsidR="001D6177" w:rsidRPr="00A96689" w:rsidRDefault="001D6177" w:rsidP="001D6177">
            <w:pPr>
              <w:spacing w:after="0" w:line="240" w:lineRule="auto"/>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TUG: Timed Up and Go</w:t>
            </w:r>
          </w:p>
          <w:p w14:paraId="1FF42A4A" w14:textId="552FCB5C" w:rsidR="001D6177" w:rsidRPr="00A96689" w:rsidRDefault="001D6177" w:rsidP="001D6177">
            <w:pPr>
              <w:spacing w:after="0" w:line="240" w:lineRule="auto"/>
              <w:rPr>
                <w:rFonts w:asciiTheme="majorHAnsi" w:eastAsia="Times New Roman" w:hAnsiTheme="majorHAnsi" w:cstheme="majorHAnsi"/>
                <w:color w:val="000000"/>
                <w:lang w:val="en-CA"/>
              </w:rPr>
            </w:pPr>
            <w:r w:rsidRPr="00A96689">
              <w:rPr>
                <w:rFonts w:asciiTheme="majorHAnsi" w:eastAsia="Times New Roman" w:hAnsiTheme="majorHAnsi" w:cstheme="majorHAnsi"/>
                <w:color w:val="000000"/>
                <w:lang w:val="en-CA"/>
              </w:rPr>
              <w:t>a. Logistic regression</w:t>
            </w:r>
            <w:r w:rsidRPr="00A96689">
              <w:rPr>
                <w:rFonts w:asciiTheme="majorHAnsi" w:eastAsia="Times New Roman" w:hAnsiTheme="majorHAnsi" w:cstheme="majorHAnsi"/>
                <w:color w:val="000000"/>
                <w:lang w:val="en-CA" w:eastAsia="en-US"/>
              </w:rPr>
              <w:t xml:space="preserve"> </w:t>
            </w:r>
            <w:r w:rsidRPr="00A96689">
              <w:rPr>
                <w:rFonts w:asciiTheme="majorHAnsi" w:eastAsia="Times New Roman" w:hAnsiTheme="majorHAnsi" w:cstheme="majorHAnsi"/>
                <w:color w:val="000000"/>
                <w:lang w:val="en-CA"/>
              </w:rPr>
              <w:t>multivariable (MV) adjusted for age, living status, marital status, polypharmacy, osteoarthritis, Parkinson disease, depression, dementia</w:t>
            </w:r>
          </w:p>
        </w:tc>
      </w:tr>
      <w:tr w:rsidR="001D6177" w:rsidRPr="00A96689" w14:paraId="1BDD9616" w14:textId="77777777" w:rsidTr="008C689F">
        <w:trPr>
          <w:gridAfter w:val="1"/>
          <w:wAfter w:w="14" w:type="dxa"/>
          <w:trHeight w:val="300"/>
        </w:trPr>
        <w:tc>
          <w:tcPr>
            <w:tcW w:w="4967" w:type="dxa"/>
            <w:gridSpan w:val="3"/>
            <w:shd w:val="clear" w:color="auto" w:fill="auto"/>
            <w:noWrap/>
            <w:vAlign w:val="bottom"/>
            <w:hideMark/>
          </w:tcPr>
          <w:p w14:paraId="2D7A142D" w14:textId="4A29CEE7" w:rsidR="001D6177" w:rsidRPr="00A96689" w:rsidRDefault="001D6177" w:rsidP="001D6177">
            <w:pPr>
              <w:spacing w:after="0" w:line="240" w:lineRule="auto"/>
              <w:rPr>
                <w:rFonts w:eastAsia="Times New Roman" w:cs="Times New Roman"/>
                <w:sz w:val="20"/>
                <w:szCs w:val="20"/>
                <w:lang w:val="en-CA"/>
              </w:rPr>
            </w:pPr>
            <w:r w:rsidRPr="00A96689">
              <w:rPr>
                <w:rFonts w:eastAsia="Times New Roman"/>
                <w:color w:val="000000"/>
                <w:lang w:val="en-CA"/>
              </w:rPr>
              <w:t>b. Poisson regression</w:t>
            </w:r>
          </w:p>
        </w:tc>
        <w:tc>
          <w:tcPr>
            <w:tcW w:w="2071" w:type="dxa"/>
            <w:shd w:val="clear" w:color="auto" w:fill="auto"/>
            <w:noWrap/>
            <w:vAlign w:val="bottom"/>
            <w:hideMark/>
          </w:tcPr>
          <w:p w14:paraId="3F64DB96" w14:textId="77777777" w:rsidR="001D6177" w:rsidRPr="00A96689" w:rsidRDefault="001D6177" w:rsidP="001D6177">
            <w:pPr>
              <w:spacing w:after="0" w:line="240" w:lineRule="auto"/>
              <w:rPr>
                <w:rFonts w:eastAsia="Times New Roman" w:cs="Times New Roman"/>
                <w:sz w:val="20"/>
                <w:szCs w:val="20"/>
                <w:lang w:val="en-CA"/>
              </w:rPr>
            </w:pPr>
          </w:p>
        </w:tc>
        <w:tc>
          <w:tcPr>
            <w:tcW w:w="2029" w:type="dxa"/>
            <w:shd w:val="clear" w:color="auto" w:fill="auto"/>
            <w:noWrap/>
            <w:vAlign w:val="bottom"/>
            <w:hideMark/>
          </w:tcPr>
          <w:p w14:paraId="1B48F026" w14:textId="77777777" w:rsidR="001D6177" w:rsidRPr="00A96689" w:rsidRDefault="001D6177" w:rsidP="001D6177">
            <w:pPr>
              <w:spacing w:after="0" w:line="240" w:lineRule="auto"/>
              <w:rPr>
                <w:rFonts w:eastAsia="Times New Roman" w:cs="Times New Roman"/>
                <w:sz w:val="20"/>
                <w:szCs w:val="20"/>
                <w:lang w:val="en-CA"/>
              </w:rPr>
            </w:pPr>
          </w:p>
        </w:tc>
        <w:tc>
          <w:tcPr>
            <w:tcW w:w="236" w:type="dxa"/>
          </w:tcPr>
          <w:p w14:paraId="58318F6F" w14:textId="77777777" w:rsidR="001D6177" w:rsidRPr="00A96689" w:rsidRDefault="001D6177" w:rsidP="001D6177">
            <w:pPr>
              <w:spacing w:after="0" w:line="240" w:lineRule="auto"/>
              <w:rPr>
                <w:rFonts w:eastAsia="Times New Roman" w:cs="Times New Roman"/>
                <w:sz w:val="20"/>
                <w:szCs w:val="20"/>
                <w:lang w:val="en-CA"/>
              </w:rPr>
            </w:pPr>
          </w:p>
        </w:tc>
        <w:tc>
          <w:tcPr>
            <w:tcW w:w="2036" w:type="dxa"/>
            <w:shd w:val="clear" w:color="auto" w:fill="auto"/>
            <w:noWrap/>
            <w:vAlign w:val="bottom"/>
            <w:hideMark/>
          </w:tcPr>
          <w:p w14:paraId="005886EB" w14:textId="77777777" w:rsidR="001D6177" w:rsidRPr="00A96689" w:rsidRDefault="001D6177" w:rsidP="001D6177">
            <w:pPr>
              <w:spacing w:after="0" w:line="240" w:lineRule="auto"/>
              <w:rPr>
                <w:rFonts w:eastAsia="Times New Roman" w:cs="Times New Roman"/>
                <w:sz w:val="20"/>
                <w:szCs w:val="20"/>
                <w:lang w:val="en-CA"/>
              </w:rPr>
            </w:pPr>
          </w:p>
        </w:tc>
        <w:tc>
          <w:tcPr>
            <w:tcW w:w="2153" w:type="dxa"/>
            <w:shd w:val="clear" w:color="auto" w:fill="auto"/>
            <w:noWrap/>
            <w:vAlign w:val="bottom"/>
            <w:hideMark/>
          </w:tcPr>
          <w:p w14:paraId="5F3CA6EF" w14:textId="77777777" w:rsidR="001D6177" w:rsidRPr="00A96689" w:rsidRDefault="001D6177" w:rsidP="001D6177">
            <w:pPr>
              <w:spacing w:after="0" w:line="240" w:lineRule="auto"/>
              <w:rPr>
                <w:rFonts w:eastAsia="Times New Roman" w:cs="Times New Roman"/>
                <w:sz w:val="20"/>
                <w:szCs w:val="20"/>
                <w:lang w:val="en-CA"/>
              </w:rPr>
            </w:pPr>
          </w:p>
        </w:tc>
        <w:tc>
          <w:tcPr>
            <w:tcW w:w="1958" w:type="dxa"/>
            <w:shd w:val="clear" w:color="auto" w:fill="auto"/>
            <w:noWrap/>
            <w:vAlign w:val="bottom"/>
            <w:hideMark/>
          </w:tcPr>
          <w:p w14:paraId="34DCF631" w14:textId="77777777" w:rsidR="001D6177" w:rsidRPr="00A96689" w:rsidRDefault="001D6177" w:rsidP="001D6177">
            <w:pPr>
              <w:spacing w:after="0" w:line="240" w:lineRule="auto"/>
              <w:rPr>
                <w:rFonts w:eastAsia="Times New Roman" w:cs="Times New Roman"/>
                <w:sz w:val="20"/>
                <w:szCs w:val="20"/>
                <w:lang w:val="en-CA"/>
              </w:rPr>
            </w:pPr>
          </w:p>
        </w:tc>
      </w:tr>
      <w:bookmarkEnd w:id="10"/>
    </w:tbl>
    <w:p w14:paraId="78E3BDDE" w14:textId="77777777" w:rsidR="008C43AC" w:rsidRPr="00A96689" w:rsidRDefault="008C43AC">
      <w:pPr>
        <w:widowControl w:val="0"/>
        <w:pBdr>
          <w:top w:val="nil"/>
          <w:left w:val="nil"/>
          <w:bottom w:val="nil"/>
          <w:right w:val="nil"/>
          <w:between w:val="nil"/>
        </w:pBdr>
        <w:spacing w:after="0" w:line="276" w:lineRule="auto"/>
      </w:pPr>
    </w:p>
    <w:p w14:paraId="66A0D638" w14:textId="77777777" w:rsidR="00022343" w:rsidRPr="00A96689" w:rsidRDefault="00022343" w:rsidP="00022343">
      <w:pPr>
        <w:widowControl w:val="0"/>
        <w:pBdr>
          <w:top w:val="nil"/>
          <w:left w:val="nil"/>
          <w:bottom w:val="nil"/>
          <w:right w:val="nil"/>
          <w:between w:val="nil"/>
        </w:pBdr>
        <w:spacing w:after="0" w:line="276" w:lineRule="auto"/>
        <w:jc w:val="center"/>
      </w:pPr>
    </w:p>
    <w:p w14:paraId="5918E5D8" w14:textId="77777777" w:rsidR="008C43AC" w:rsidRPr="00A96689" w:rsidRDefault="008C43AC"/>
    <w:p w14:paraId="2B367453" w14:textId="77777777" w:rsidR="008C43AC" w:rsidRPr="00A96689" w:rsidRDefault="008C43AC">
      <w:pPr>
        <w:jc w:val="both"/>
        <w:rPr>
          <w:rFonts w:eastAsia="Times New Roman" w:cs="Times New Roman"/>
        </w:rPr>
      </w:pPr>
    </w:p>
    <w:p w14:paraId="5EAC5CD4" w14:textId="77777777" w:rsidR="008C43AC" w:rsidRPr="00A96689" w:rsidRDefault="008C43AC">
      <w:pPr>
        <w:jc w:val="both"/>
        <w:rPr>
          <w:rFonts w:eastAsia="Times New Roman" w:cs="Times New Roman"/>
        </w:rPr>
        <w:sectPr w:rsidR="008C43AC" w:rsidRPr="00A96689">
          <w:pgSz w:w="15840" w:h="12240" w:orient="landscape"/>
          <w:pgMar w:top="1417" w:right="1417" w:bottom="1417" w:left="1417" w:header="708" w:footer="708" w:gutter="0"/>
          <w:cols w:space="720"/>
        </w:sectPr>
      </w:pPr>
    </w:p>
    <w:p w14:paraId="48EBD14E" w14:textId="77777777" w:rsidR="008C43AC" w:rsidRPr="00A96689" w:rsidRDefault="00A81554">
      <w:pPr>
        <w:numPr>
          <w:ilvl w:val="0"/>
          <w:numId w:val="1"/>
        </w:numPr>
        <w:pBdr>
          <w:top w:val="nil"/>
          <w:left w:val="nil"/>
          <w:bottom w:val="nil"/>
          <w:right w:val="nil"/>
          <w:between w:val="nil"/>
        </w:pBdr>
        <w:jc w:val="both"/>
        <w:rPr>
          <w:rFonts w:eastAsia="Times New Roman" w:cs="Times New Roman"/>
          <w:b/>
          <w:color w:val="000000"/>
        </w:rPr>
      </w:pPr>
      <w:r w:rsidRPr="00A96689">
        <w:rPr>
          <w:rFonts w:eastAsia="Times New Roman" w:cs="Times New Roman"/>
          <w:b/>
          <w:color w:val="000000"/>
        </w:rPr>
        <w:lastRenderedPageBreak/>
        <w:t>DISCUSSION</w:t>
      </w:r>
    </w:p>
    <w:p w14:paraId="19C98710" w14:textId="77777777" w:rsidR="008C43AC" w:rsidRPr="00A96689" w:rsidRDefault="00A81554">
      <w:pPr>
        <w:jc w:val="both"/>
        <w:rPr>
          <w:rFonts w:eastAsia="Times New Roman" w:cs="Times New Roman"/>
        </w:rPr>
      </w:pPr>
      <w:r w:rsidRPr="00A96689">
        <w:rPr>
          <w:rFonts w:eastAsia="Times New Roman" w:cs="Times New Roman"/>
        </w:rPr>
        <w:t xml:space="preserve">This study </w:t>
      </w:r>
      <w:r w:rsidR="009B19D9" w:rsidRPr="00A96689">
        <w:rPr>
          <w:rFonts w:eastAsia="Times New Roman" w:cs="Times New Roman"/>
        </w:rPr>
        <w:t xml:space="preserve">observed </w:t>
      </w:r>
      <w:r w:rsidRPr="00A96689">
        <w:rPr>
          <w:rFonts w:eastAsia="Times New Roman" w:cs="Times New Roman"/>
        </w:rPr>
        <w:t>EDS i</w:t>
      </w:r>
      <w:r w:rsidR="009B19D9" w:rsidRPr="00A96689">
        <w:rPr>
          <w:rFonts w:eastAsia="Times New Roman" w:cs="Times New Roman"/>
        </w:rPr>
        <w:t xml:space="preserve">n approximately </w:t>
      </w:r>
      <w:r w:rsidRPr="00A96689">
        <w:rPr>
          <w:rFonts w:eastAsia="Times New Roman" w:cs="Times New Roman"/>
        </w:rPr>
        <w:t xml:space="preserve">one </w:t>
      </w:r>
      <w:r w:rsidR="009B19D9" w:rsidRPr="00A96689">
        <w:rPr>
          <w:rFonts w:eastAsia="Times New Roman" w:cs="Times New Roman"/>
        </w:rPr>
        <w:t>in</w:t>
      </w:r>
      <w:r w:rsidRPr="00A96689">
        <w:rPr>
          <w:rFonts w:eastAsia="Times New Roman" w:cs="Times New Roman"/>
        </w:rPr>
        <w:t xml:space="preserve"> every five </w:t>
      </w:r>
      <w:r w:rsidR="009B19D9" w:rsidRPr="00A96689">
        <w:rPr>
          <w:rFonts w:eastAsia="Times New Roman" w:cs="Times New Roman"/>
        </w:rPr>
        <w:t>older adults</w:t>
      </w:r>
      <w:r w:rsidRPr="00A96689">
        <w:rPr>
          <w:rFonts w:eastAsia="Times New Roman" w:cs="Times New Roman"/>
        </w:rPr>
        <w:t xml:space="preserve"> and EDS </w:t>
      </w:r>
      <w:r w:rsidR="009B19D9" w:rsidRPr="00A96689">
        <w:rPr>
          <w:rFonts w:eastAsia="Times New Roman" w:cs="Times New Roman"/>
        </w:rPr>
        <w:t>was</w:t>
      </w:r>
      <w:r w:rsidRPr="00A96689">
        <w:rPr>
          <w:rFonts w:eastAsia="Times New Roman" w:cs="Times New Roman"/>
        </w:rPr>
        <w:t xml:space="preserve"> associated with</w:t>
      </w:r>
      <w:r w:rsidR="009B19D9" w:rsidRPr="00A96689">
        <w:rPr>
          <w:rFonts w:eastAsia="Times New Roman" w:cs="Times New Roman"/>
        </w:rPr>
        <w:t xml:space="preserve"> a</w:t>
      </w:r>
      <w:r w:rsidRPr="00A96689">
        <w:rPr>
          <w:rFonts w:eastAsia="Times New Roman" w:cs="Times New Roman"/>
        </w:rPr>
        <w:t xml:space="preserve"> higher number of falls and </w:t>
      </w:r>
      <w:r w:rsidR="009B19D9" w:rsidRPr="00A96689">
        <w:rPr>
          <w:rFonts w:eastAsia="Times New Roman" w:cs="Times New Roman"/>
        </w:rPr>
        <w:t xml:space="preserve">a </w:t>
      </w:r>
      <w:r w:rsidRPr="00A96689">
        <w:rPr>
          <w:rFonts w:eastAsia="Times New Roman" w:cs="Times New Roman"/>
        </w:rPr>
        <w:t>higher presence of sarcopenia for both older males and females.</w:t>
      </w:r>
    </w:p>
    <w:p w14:paraId="634F2F9A" w14:textId="0EC8AB3C" w:rsidR="008C43AC" w:rsidRPr="00A96689" w:rsidRDefault="00A81554">
      <w:pPr>
        <w:jc w:val="both"/>
        <w:rPr>
          <w:rFonts w:eastAsia="Times New Roman" w:cs="Times New Roman"/>
        </w:rPr>
      </w:pPr>
      <w:r w:rsidRPr="00A96689">
        <w:rPr>
          <w:rFonts w:eastAsia="Times New Roman" w:cs="Times New Roman"/>
        </w:rPr>
        <w:t xml:space="preserve">The prevalence of EDS in </w:t>
      </w:r>
      <w:r w:rsidR="009B19D9" w:rsidRPr="00A96689">
        <w:rPr>
          <w:rFonts w:eastAsia="Times New Roman" w:cs="Times New Roman"/>
        </w:rPr>
        <w:t xml:space="preserve">older adults </w:t>
      </w:r>
      <w:r w:rsidRPr="00A96689">
        <w:rPr>
          <w:rFonts w:eastAsia="Times New Roman" w:cs="Times New Roman"/>
        </w:rPr>
        <w:t xml:space="preserve">may vary according to the difference in the evaluation scale used and the cut-offs </w:t>
      </w:r>
      <w:r w:rsidR="008752D5" w:rsidRPr="00A96689">
        <w:rPr>
          <w:rFonts w:eastAsia="Times New Roman" w:cs="Times New Roman"/>
        </w:rPr>
        <w:t>applied</w:t>
      </w:r>
      <w:r w:rsidRPr="00A96689">
        <w:rPr>
          <w:rFonts w:eastAsia="Times New Roman" w:cs="Times New Roman"/>
        </w:rPr>
        <w:t xml:space="preserve">. For example, in </w:t>
      </w:r>
      <w:r w:rsidR="008752D5" w:rsidRPr="00A96689">
        <w:rPr>
          <w:rFonts w:eastAsia="Times New Roman" w:cs="Times New Roman"/>
        </w:rPr>
        <w:t>one</w:t>
      </w:r>
      <w:r w:rsidRPr="00A96689">
        <w:rPr>
          <w:rFonts w:eastAsia="Times New Roman" w:cs="Times New Roman"/>
        </w:rPr>
        <w:t xml:space="preserve"> study that </w:t>
      </w:r>
      <w:r w:rsidR="008752D5" w:rsidRPr="00A96689">
        <w:rPr>
          <w:rFonts w:eastAsia="Times New Roman" w:cs="Times New Roman"/>
        </w:rPr>
        <w:t>used</w:t>
      </w:r>
      <w:r w:rsidRPr="00A96689">
        <w:rPr>
          <w:rFonts w:eastAsia="Times New Roman" w:cs="Times New Roman"/>
        </w:rPr>
        <w:t xml:space="preserve"> ≥11 above the ESS as </w:t>
      </w:r>
      <w:r w:rsidR="008752D5" w:rsidRPr="00A96689">
        <w:rPr>
          <w:rFonts w:eastAsia="Times New Roman" w:cs="Times New Roman"/>
        </w:rPr>
        <w:t xml:space="preserve">criteria for </w:t>
      </w:r>
      <w:r w:rsidRPr="00A96689">
        <w:rPr>
          <w:rFonts w:eastAsia="Times New Roman" w:cs="Times New Roman"/>
        </w:rPr>
        <w:t xml:space="preserve">EDS, as in </w:t>
      </w:r>
      <w:r w:rsidR="008752D5" w:rsidRPr="00A96689">
        <w:rPr>
          <w:rFonts w:eastAsia="Times New Roman" w:cs="Times New Roman"/>
        </w:rPr>
        <w:t>the present</w:t>
      </w:r>
      <w:r w:rsidRPr="00A96689">
        <w:rPr>
          <w:rFonts w:eastAsia="Times New Roman" w:cs="Times New Roman"/>
        </w:rPr>
        <w:t xml:space="preserve"> study, the prevalence was similar to </w:t>
      </w:r>
      <w:r w:rsidR="008752D5" w:rsidRPr="00A96689">
        <w:rPr>
          <w:rFonts w:eastAsia="Times New Roman" w:cs="Times New Roman"/>
        </w:rPr>
        <w:t>the present</w:t>
      </w:r>
      <w:r w:rsidRPr="00A96689">
        <w:rPr>
          <w:rFonts w:eastAsia="Times New Roman" w:cs="Times New Roman"/>
        </w:rPr>
        <w:t xml:space="preserve"> result</w:t>
      </w:r>
      <w:r w:rsidR="008752D5" w:rsidRPr="00A96689">
        <w:rPr>
          <w:rFonts w:eastAsia="Times New Roman" w:cs="Times New Roman"/>
        </w:rPr>
        <w:t>s</w:t>
      </w:r>
      <w:r w:rsidR="003A65B2" w:rsidRPr="00A96689">
        <w:rPr>
          <w:rFonts w:eastAsia="Times New Roman" w:cs="Times New Roman"/>
        </w:rPr>
        <w:t xml:space="preserve"> (</w:t>
      </w:r>
      <w:r w:rsidRPr="00A96689">
        <w:rPr>
          <w:rFonts w:eastAsia="Times New Roman" w:cs="Times New Roman"/>
        </w:rPr>
        <w:t>18%</w:t>
      </w:r>
      <w:r w:rsidR="003A65B2" w:rsidRPr="00A96689">
        <w:rPr>
          <w:rFonts w:eastAsia="Times New Roman" w:cs="Times New Roman"/>
        </w:rPr>
        <w:t xml:space="preserve">) </w:t>
      </w:r>
      <w:r w:rsidRPr="00A96689">
        <w:rPr>
          <w:rFonts w:eastAsia="Times New Roman" w:cs="Times New Roman"/>
        </w:rPr>
        <w:t xml:space="preserve">(Lima et al., 2015). However, in another study, which used a different questionnaire, the prevalence was smaller (13%), </w:t>
      </w:r>
      <w:r w:rsidR="008752D5" w:rsidRPr="00A96689">
        <w:rPr>
          <w:rFonts w:eastAsia="Times New Roman" w:cs="Times New Roman"/>
        </w:rPr>
        <w:t xml:space="preserve">potentially owing to the measure recording the </w:t>
      </w:r>
      <w:r w:rsidRPr="00A96689">
        <w:rPr>
          <w:rFonts w:eastAsia="Times New Roman" w:cs="Times New Roman"/>
        </w:rPr>
        <w:t xml:space="preserve">presence of sleepiness occurring three or more times per week (Hayley et al., 2015). The relationship between sex and EDS is not clear. Some </w:t>
      </w:r>
      <w:r w:rsidR="009B19D9" w:rsidRPr="00A96689">
        <w:rPr>
          <w:rFonts w:eastAsia="Times New Roman" w:cs="Times New Roman"/>
        </w:rPr>
        <w:t xml:space="preserve">studies have found </w:t>
      </w:r>
      <w:r w:rsidRPr="00A96689">
        <w:rPr>
          <w:rFonts w:eastAsia="Times New Roman" w:cs="Times New Roman"/>
        </w:rPr>
        <w:t>that sleepiness is associated with</w:t>
      </w:r>
      <w:r w:rsidR="009B19D9" w:rsidRPr="00A96689">
        <w:rPr>
          <w:rFonts w:eastAsia="Times New Roman" w:cs="Times New Roman"/>
        </w:rPr>
        <w:t xml:space="preserve"> being</w:t>
      </w:r>
      <w:r w:rsidRPr="00A96689">
        <w:rPr>
          <w:rFonts w:eastAsia="Times New Roman" w:cs="Times New Roman"/>
        </w:rPr>
        <w:t xml:space="preserve"> male, while others </w:t>
      </w:r>
      <w:r w:rsidR="009B19D9" w:rsidRPr="00A96689">
        <w:rPr>
          <w:rFonts w:eastAsia="Times New Roman" w:cs="Times New Roman"/>
        </w:rPr>
        <w:t>have found</w:t>
      </w:r>
      <w:r w:rsidRPr="00A96689">
        <w:rPr>
          <w:rFonts w:eastAsia="Times New Roman" w:cs="Times New Roman"/>
        </w:rPr>
        <w:t xml:space="preserve"> that it is more common in </w:t>
      </w:r>
      <w:r w:rsidR="009B19D9" w:rsidRPr="00A96689">
        <w:rPr>
          <w:rFonts w:eastAsia="Times New Roman" w:cs="Times New Roman"/>
        </w:rPr>
        <w:t>females</w:t>
      </w:r>
      <w:r w:rsidRPr="00A96689">
        <w:rPr>
          <w:rFonts w:eastAsia="Times New Roman" w:cs="Times New Roman"/>
        </w:rPr>
        <w:t xml:space="preserve"> (Lima et al., 2015). In </w:t>
      </w:r>
      <w:r w:rsidR="009B19D9" w:rsidRPr="00A96689">
        <w:rPr>
          <w:rFonts w:eastAsia="Times New Roman" w:cs="Times New Roman"/>
        </w:rPr>
        <w:t>the present</w:t>
      </w:r>
      <w:r w:rsidRPr="00A96689">
        <w:rPr>
          <w:rFonts w:eastAsia="Times New Roman" w:cs="Times New Roman"/>
        </w:rPr>
        <w:t xml:space="preserve"> study, the frequency of EDS was found to be higher in </w:t>
      </w:r>
      <w:r w:rsidR="009B19D9" w:rsidRPr="00A96689">
        <w:rPr>
          <w:rFonts w:eastAsia="Times New Roman" w:cs="Times New Roman"/>
        </w:rPr>
        <w:t>older</w:t>
      </w:r>
      <w:r w:rsidR="0036395D" w:rsidRPr="00A96689">
        <w:rPr>
          <w:rFonts w:eastAsia="Times New Roman" w:cs="Times New Roman"/>
        </w:rPr>
        <w:t xml:space="preserve"> male</w:t>
      </w:r>
      <w:r w:rsidR="00F91AE9" w:rsidRPr="00A96689">
        <w:rPr>
          <w:rFonts w:eastAsia="Times New Roman" w:cs="Times New Roman"/>
        </w:rPr>
        <w:t>s</w:t>
      </w:r>
      <w:r w:rsidRPr="00A96689">
        <w:rPr>
          <w:rFonts w:eastAsia="Times New Roman" w:cs="Times New Roman"/>
        </w:rPr>
        <w:t>. Some hormonal and biological differences between the sexes may affect sleep disorders</w:t>
      </w:r>
      <w:r w:rsidR="00B37324" w:rsidRPr="00A96689">
        <w:rPr>
          <w:rFonts w:eastAsia="Times New Roman" w:cs="Times New Roman"/>
        </w:rPr>
        <w:t xml:space="preserve"> (Mong &amp; Cusmano, 2016).</w:t>
      </w:r>
    </w:p>
    <w:p w14:paraId="40283049" w14:textId="7D9EEA4A" w:rsidR="00555DD9" w:rsidRPr="00A96689" w:rsidRDefault="00A81554" w:rsidP="001112EF">
      <w:pPr>
        <w:jc w:val="both"/>
        <w:rPr>
          <w:rFonts w:eastAsia="Times New Roman" w:cs="Times New Roman"/>
        </w:rPr>
      </w:pPr>
      <w:r w:rsidRPr="00A96689">
        <w:rPr>
          <w:rFonts w:eastAsia="Times New Roman" w:cs="Times New Roman"/>
        </w:rPr>
        <w:t xml:space="preserve">Our study investigated whether there was a relationship between EDS and falling history and number of falls in the last year, fall risk (evaluated with TUG), sarcopenia and frailty. While </w:t>
      </w:r>
      <w:r w:rsidR="009B19D9" w:rsidRPr="00A96689">
        <w:rPr>
          <w:rFonts w:eastAsia="Times New Roman" w:cs="Times New Roman"/>
        </w:rPr>
        <w:t>a</w:t>
      </w:r>
      <w:r w:rsidRPr="00A96689">
        <w:rPr>
          <w:rFonts w:eastAsia="Times New Roman" w:cs="Times New Roman"/>
        </w:rPr>
        <w:t xml:space="preserve"> significant relationship</w:t>
      </w:r>
      <w:r w:rsidR="009B19D9" w:rsidRPr="00A96689">
        <w:rPr>
          <w:rFonts w:eastAsia="Times New Roman" w:cs="Times New Roman"/>
        </w:rPr>
        <w:t xml:space="preserve"> was observed wh</w:t>
      </w:r>
      <w:r w:rsidR="00C472BF" w:rsidRPr="00A96689">
        <w:rPr>
          <w:rFonts w:eastAsia="Times New Roman" w:cs="Times New Roman"/>
        </w:rPr>
        <w:t>en models were adjusted for age</w:t>
      </w:r>
      <w:r w:rsidRPr="00A96689">
        <w:rPr>
          <w:rFonts w:eastAsia="Times New Roman" w:cs="Times New Roman"/>
        </w:rPr>
        <w:t xml:space="preserve">, after </w:t>
      </w:r>
      <w:r w:rsidR="009B19D9" w:rsidRPr="00A96689">
        <w:rPr>
          <w:rFonts w:eastAsia="Times New Roman" w:cs="Times New Roman"/>
        </w:rPr>
        <w:t>further adjustment most associations were attenuated to the null</w:t>
      </w:r>
      <w:r w:rsidRPr="00A96689">
        <w:rPr>
          <w:rFonts w:eastAsia="Times New Roman" w:cs="Times New Roman"/>
        </w:rPr>
        <w:t xml:space="preserve">, </w:t>
      </w:r>
      <w:r w:rsidR="009B19D9" w:rsidRPr="00A96689">
        <w:rPr>
          <w:rFonts w:eastAsia="Times New Roman" w:cs="Times New Roman"/>
        </w:rPr>
        <w:t xml:space="preserve">but the association held between </w:t>
      </w:r>
      <w:r w:rsidRPr="00A96689">
        <w:rPr>
          <w:rFonts w:eastAsia="Times New Roman" w:cs="Times New Roman"/>
        </w:rPr>
        <w:t>number of falls and sarcopenia</w:t>
      </w:r>
      <w:r w:rsidR="009B19D9" w:rsidRPr="00A96689">
        <w:rPr>
          <w:rFonts w:eastAsia="Times New Roman" w:cs="Times New Roman"/>
        </w:rPr>
        <w:t>. Therefore, these findings suggest that</w:t>
      </w:r>
      <w:r w:rsidR="00C472BF" w:rsidRPr="00A96689">
        <w:rPr>
          <w:rFonts w:eastAsia="Times New Roman" w:cs="Times New Roman"/>
        </w:rPr>
        <w:t xml:space="preserve"> </w:t>
      </w:r>
      <w:r w:rsidRPr="00A96689">
        <w:rPr>
          <w:rFonts w:eastAsia="Times New Roman" w:cs="Times New Roman"/>
        </w:rPr>
        <w:t xml:space="preserve">the presence of other </w:t>
      </w:r>
      <w:bookmarkStart w:id="11" w:name="_Hlk68633013"/>
      <w:r w:rsidRPr="00A96689">
        <w:rPr>
          <w:rFonts w:eastAsia="Times New Roman" w:cs="Times New Roman"/>
        </w:rPr>
        <w:t>factors</w:t>
      </w:r>
      <w:bookmarkEnd w:id="11"/>
      <w:r w:rsidRPr="00A96689">
        <w:rPr>
          <w:rFonts w:eastAsia="Times New Roman" w:cs="Times New Roman"/>
        </w:rPr>
        <w:t xml:space="preserve"> (cognitive impairment, </w:t>
      </w:r>
      <w:r w:rsidR="00083F44" w:rsidRPr="00A96689">
        <w:rPr>
          <w:rFonts w:eastAsia="Times New Roman" w:cs="Times New Roman"/>
        </w:rPr>
        <w:t>PD</w:t>
      </w:r>
      <w:r w:rsidRPr="00A96689">
        <w:rPr>
          <w:rFonts w:eastAsia="Times New Roman" w:cs="Times New Roman"/>
        </w:rPr>
        <w:t>, drugs us</w:t>
      </w:r>
      <w:r w:rsidR="004C4FFC" w:rsidRPr="00A96689">
        <w:rPr>
          <w:rFonts w:eastAsia="Times New Roman" w:cs="Times New Roman"/>
        </w:rPr>
        <w:t>ed, polypharmacy, depression</w:t>
      </w:r>
      <w:r w:rsidRPr="00A96689">
        <w:rPr>
          <w:rFonts w:eastAsia="Times New Roman" w:cs="Times New Roman"/>
        </w:rPr>
        <w:t>)</w:t>
      </w:r>
      <w:r w:rsidR="004C4FFC" w:rsidRPr="00A96689">
        <w:rPr>
          <w:rFonts w:eastAsia="Times New Roman" w:cs="Times New Roman"/>
        </w:rPr>
        <w:t xml:space="preserve"> </w:t>
      </w:r>
      <w:r w:rsidR="009B19D9" w:rsidRPr="00A96689">
        <w:rPr>
          <w:rFonts w:eastAsia="Times New Roman" w:cs="Times New Roman"/>
        </w:rPr>
        <w:t>explain</w:t>
      </w:r>
      <w:r w:rsidR="00FC56CF" w:rsidRPr="00A96689">
        <w:rPr>
          <w:rFonts w:eastAsia="Times New Roman" w:cs="Times New Roman"/>
        </w:rPr>
        <w:t xml:space="preserve"> </w:t>
      </w:r>
      <w:bookmarkStart w:id="12" w:name="_Hlk68633179"/>
      <w:r w:rsidR="009B19D9" w:rsidRPr="00A96689">
        <w:rPr>
          <w:rFonts w:eastAsia="Times New Roman" w:cs="Times New Roman"/>
        </w:rPr>
        <w:t>most of the observed associations</w:t>
      </w:r>
      <w:bookmarkEnd w:id="12"/>
      <w:r w:rsidRPr="00A96689">
        <w:rPr>
          <w:rFonts w:eastAsia="Times New Roman" w:cs="Times New Roman"/>
        </w:rPr>
        <w:t xml:space="preserve">. </w:t>
      </w:r>
      <w:r w:rsidR="004B0BC6" w:rsidRPr="00A96689">
        <w:rPr>
          <w:rFonts w:eastAsia="Times New Roman" w:cs="Times New Roman"/>
        </w:rPr>
        <w:t xml:space="preserve">For example, </w:t>
      </w:r>
      <w:r w:rsidR="00F313FD" w:rsidRPr="00A96689">
        <w:rPr>
          <w:rFonts w:eastAsia="Times New Roman" w:cs="Times New Roman"/>
          <w:lang w:val="en-GB"/>
        </w:rPr>
        <w:t>EDS is a common nonmotor symptom in PD. However, EDS can be present already prior to the diagnosis of PD. Cross-sectional observations indicate that EDS seems to be associated with the postural instability, gait disorder, and the risk of falls through a variety of mechanisms such as impaired balance and slower reaction times</w:t>
      </w:r>
      <w:r w:rsidR="008363BF" w:rsidRPr="00A96689">
        <w:rPr>
          <w:rFonts w:eastAsia="Times New Roman" w:cs="Times New Roman"/>
          <w:lang w:val="en-GB"/>
        </w:rPr>
        <w:t xml:space="preserve"> </w:t>
      </w:r>
      <w:r w:rsidR="008363BF" w:rsidRPr="00A96689">
        <w:rPr>
          <w:rFonts w:eastAsia="Times New Roman" w:cs="Times New Roman"/>
        </w:rPr>
        <w:t>(Spindler et al., 2013).</w:t>
      </w:r>
      <w:r w:rsidR="008363BF" w:rsidRPr="00A96689">
        <w:rPr>
          <w:rFonts w:eastAsia="Times New Roman" w:cs="Times New Roman"/>
          <w:lang w:val="en-GB"/>
        </w:rPr>
        <w:t xml:space="preserve"> </w:t>
      </w:r>
      <w:r w:rsidR="00F313FD" w:rsidRPr="00A96689">
        <w:rPr>
          <w:rFonts w:eastAsia="Times New Roman" w:cs="Times New Roman"/>
          <w:lang w:val="en-GB"/>
        </w:rPr>
        <w:t xml:space="preserve">Therefore, the presence of PD may be an important </w:t>
      </w:r>
      <w:r w:rsidR="00F313FD" w:rsidRPr="00A96689">
        <w:rPr>
          <w:rFonts w:eastAsia="Times New Roman" w:cs="Times New Roman"/>
        </w:rPr>
        <w:t>factor for both EDS and falls related conditions, and its effect on the observed associations should be eliminated in the studies</w:t>
      </w:r>
      <w:r w:rsidR="008363BF" w:rsidRPr="00A96689">
        <w:rPr>
          <w:rFonts w:eastAsia="Times New Roman" w:cs="Times New Roman"/>
        </w:rPr>
        <w:t xml:space="preserve">. </w:t>
      </w:r>
    </w:p>
    <w:p w14:paraId="3D2AAA37" w14:textId="154CD8DC" w:rsidR="001112EF" w:rsidRPr="00A96689" w:rsidRDefault="001112EF" w:rsidP="001112EF">
      <w:pPr>
        <w:jc w:val="both"/>
        <w:rPr>
          <w:rFonts w:eastAsia="Times New Roman" w:cs="Times New Roman"/>
        </w:rPr>
      </w:pPr>
      <w:r w:rsidRPr="00A96689">
        <w:rPr>
          <w:rFonts w:eastAsia="Times New Roman" w:cs="Times New Roman"/>
        </w:rPr>
        <w:lastRenderedPageBreak/>
        <w:t xml:space="preserve">To date, the relationship between EDS and falls has been investigated in few studies. In the study of Tyagi et al., there was no observed association between fall history and EDS, but sleepiness was associated with slower walking speed and poor balance confidence (Tyagi et al., 2017). In another study, no difference was found in terms of falls (at least one fall in the past year) among older males without EDS, whereas females with EDS had a higher frequency of falls (Hayley et al., 2015). The present study found that the number of falls was affected by EDS rather than the history of falling, and the same result was observed in males and females. EDS can increase the frequency of falls through several mechanisms. First, to achieve healthy mobilization and balance coordination, there must be integration of the visual, vestibular, and proprioceptive senses, which requires a high level of attention (Ma et al., 2009; Robillard et al., 2011). Indeed, EDS can negatively affect attention and increase falls. Second, the functioning of the motor and limbic areas required for postural control are also affected by sleep disorders (Ma et al., 2009; Tyagi et al., 2017). Third, it is possible that the observed relationship between EDS and sarcopenia in our study may partially contribute to the increase in the incidence of falls. One previous study found that sleeping 8 hours or more per day was associated with lower fat-free mass and higher fat mass, which supports the present conclusion (Tan et al., 2019). EDS may increase levels of physical inactivity and sedentary behavior during wake time, which may also increase the risk of developing sarcopenia. </w:t>
      </w:r>
      <w:bookmarkStart w:id="13" w:name="_Hlk68617067"/>
      <w:r w:rsidRPr="00A96689">
        <w:rPr>
          <w:rFonts w:eastAsia="Times New Roman" w:cs="Times New Roman"/>
        </w:rPr>
        <w:t xml:space="preserve">Moreover, people with falls or sarcopenia may avoid being mobilized and spend more time in bed and sleep more. However, longitudinal studies are needed to clarify the accuracy of all these possible mechanisms. </w:t>
      </w:r>
    </w:p>
    <w:bookmarkEnd w:id="13"/>
    <w:p w14:paraId="3902E635" w14:textId="590FEE09" w:rsidR="001112EF" w:rsidRPr="00A96689" w:rsidRDefault="001112EF" w:rsidP="001112EF">
      <w:pPr>
        <w:jc w:val="both"/>
        <w:rPr>
          <w:rFonts w:eastAsia="Times New Roman" w:cs="Times New Roman"/>
        </w:rPr>
      </w:pPr>
      <w:r w:rsidRPr="00A96689">
        <w:rPr>
          <w:rFonts w:eastAsia="Times New Roman" w:cs="Times New Roman"/>
        </w:rPr>
        <w:t xml:space="preserve">To the best of the authors’ knowledge there is only one study investigating the relationship between handgrip strength and EDS. This study included 19,434 adults and found that EDS accompanied by snoring or apnea was associated with the lowest handgrip strength (Cao et al., 2019). However, in the present study, no relationship was found between EDS and </w:t>
      </w:r>
      <w:r w:rsidR="00AC781E" w:rsidRPr="00A96689">
        <w:rPr>
          <w:rFonts w:eastAsia="Times New Roman" w:cs="Times New Roman"/>
          <w:lang w:val="en-GB"/>
        </w:rPr>
        <w:t>dynapenia</w:t>
      </w:r>
      <w:r w:rsidRPr="00A96689">
        <w:rPr>
          <w:rFonts w:eastAsia="Times New Roman" w:cs="Times New Roman"/>
        </w:rPr>
        <w:t xml:space="preserve">. The possible reason for the different results of these two studies may be that Cao et al. investigated EDS associated with obstructive sleep apnea (OSA) and therefore OSA itself, rather than EDS, may cause </w:t>
      </w:r>
      <w:r w:rsidR="006D2E21" w:rsidRPr="00A96689">
        <w:rPr>
          <w:rFonts w:eastAsia="Times New Roman" w:cs="Times New Roman"/>
          <w:lang w:val="en-GB"/>
        </w:rPr>
        <w:t>dynapenia</w:t>
      </w:r>
      <w:r w:rsidR="006D2E21" w:rsidRPr="00A96689">
        <w:rPr>
          <w:rFonts w:eastAsia="Times New Roman" w:cs="Times New Roman"/>
        </w:rPr>
        <w:t xml:space="preserve"> </w:t>
      </w:r>
      <w:r w:rsidRPr="00A96689">
        <w:rPr>
          <w:rFonts w:eastAsia="Times New Roman" w:cs="Times New Roman"/>
        </w:rPr>
        <w:t>by affecting metabolic and hormonal pathways (Cao et al., 2019).</w:t>
      </w:r>
    </w:p>
    <w:p w14:paraId="6FE20906" w14:textId="221A3EED" w:rsidR="008C43AC" w:rsidRPr="00A96689" w:rsidRDefault="00A81554">
      <w:pPr>
        <w:jc w:val="both"/>
        <w:rPr>
          <w:rFonts w:eastAsia="Times New Roman" w:cs="Times New Roman"/>
        </w:rPr>
      </w:pPr>
      <w:r w:rsidRPr="00A96689">
        <w:rPr>
          <w:rFonts w:eastAsia="Times New Roman" w:cs="Times New Roman"/>
        </w:rPr>
        <w:lastRenderedPageBreak/>
        <w:t xml:space="preserve">The few studies examining the relationship between EDS and frailty have conflicting results. Three studies examined the association between frailty and EDS as assessed by ESS. </w:t>
      </w:r>
      <w:r w:rsidR="00F91AE9" w:rsidRPr="00A96689">
        <w:rPr>
          <w:rFonts w:eastAsia="Times New Roman" w:cs="Times New Roman"/>
        </w:rPr>
        <w:t xml:space="preserve">Two studies </w:t>
      </w:r>
      <w:r w:rsidR="0036395D" w:rsidRPr="00A96689">
        <w:rPr>
          <w:rFonts w:eastAsia="Times New Roman" w:cs="Times New Roman"/>
        </w:rPr>
        <w:t>only recruited older male</w:t>
      </w:r>
      <w:r w:rsidR="00F91AE9" w:rsidRPr="00A96689">
        <w:rPr>
          <w:rFonts w:eastAsia="Times New Roman" w:cs="Times New Roman"/>
        </w:rPr>
        <w:t>s and</w:t>
      </w:r>
      <w:r w:rsidRPr="00A96689">
        <w:rPr>
          <w:rFonts w:eastAsia="Times New Roman" w:cs="Times New Roman"/>
        </w:rPr>
        <w:t xml:space="preserve"> did not identify any association between</w:t>
      </w:r>
      <w:r w:rsidR="00D000E5" w:rsidRPr="00A96689">
        <w:rPr>
          <w:rFonts w:eastAsia="Times New Roman" w:cs="Times New Roman"/>
        </w:rPr>
        <w:t xml:space="preserve"> </w:t>
      </w:r>
      <w:r w:rsidR="00BE75C7" w:rsidRPr="00A96689">
        <w:rPr>
          <w:rFonts w:eastAsia="Times New Roman" w:cs="Times New Roman"/>
        </w:rPr>
        <w:t>EDS</w:t>
      </w:r>
      <w:r w:rsidRPr="00A96689">
        <w:rPr>
          <w:rFonts w:eastAsia="Times New Roman" w:cs="Times New Roman"/>
        </w:rPr>
        <w:t xml:space="preserve"> and higher presence of frailty using cross‐sectional or longitudinal data, whereas another study which included almost 70% older </w:t>
      </w:r>
      <w:r w:rsidR="0036395D" w:rsidRPr="00A96689">
        <w:rPr>
          <w:rFonts w:eastAsia="Times New Roman" w:cs="Times New Roman"/>
        </w:rPr>
        <w:t>female</w:t>
      </w:r>
      <w:r w:rsidR="00F91AE9" w:rsidRPr="00A96689">
        <w:rPr>
          <w:rFonts w:eastAsia="Times New Roman" w:cs="Times New Roman"/>
        </w:rPr>
        <w:t>s</w:t>
      </w:r>
      <w:r w:rsidR="0036395D" w:rsidRPr="00A96689">
        <w:rPr>
          <w:rFonts w:eastAsia="Times New Roman" w:cs="Times New Roman"/>
        </w:rPr>
        <w:t xml:space="preserve"> </w:t>
      </w:r>
      <w:r w:rsidRPr="00A96689">
        <w:rPr>
          <w:rFonts w:eastAsia="Times New Roman" w:cs="Times New Roman"/>
        </w:rPr>
        <w:t xml:space="preserve">reported </w:t>
      </w:r>
      <w:r w:rsidR="00BE75C7" w:rsidRPr="00A96689">
        <w:rPr>
          <w:rFonts w:eastAsia="Times New Roman" w:cs="Times New Roman"/>
        </w:rPr>
        <w:t>&gt;</w:t>
      </w:r>
      <w:r w:rsidRPr="00A96689">
        <w:rPr>
          <w:rFonts w:eastAsia="Times New Roman" w:cs="Times New Roman"/>
        </w:rPr>
        <w:t xml:space="preserve">3.5‐fold increased risk of frailty among those who experienced </w:t>
      </w:r>
      <w:r w:rsidR="00BE75C7" w:rsidRPr="00A96689">
        <w:rPr>
          <w:rFonts w:eastAsia="Times New Roman" w:cs="Times New Roman"/>
        </w:rPr>
        <w:t xml:space="preserve">EDS </w:t>
      </w:r>
      <w:r w:rsidRPr="00A96689">
        <w:rPr>
          <w:rFonts w:eastAsia="Times New Roman" w:cs="Times New Roman"/>
        </w:rPr>
        <w:t xml:space="preserve">after adjusting </w:t>
      </w:r>
      <w:r w:rsidR="00BE75C7" w:rsidRPr="00A96689">
        <w:rPr>
          <w:rFonts w:eastAsia="Times New Roman" w:cs="Times New Roman"/>
        </w:rPr>
        <w:t>for</w:t>
      </w:r>
      <w:r w:rsidR="00D000E5" w:rsidRPr="00A96689">
        <w:rPr>
          <w:rFonts w:eastAsia="Times New Roman" w:cs="Times New Roman"/>
        </w:rPr>
        <w:t xml:space="preserve"> </w:t>
      </w:r>
      <w:r w:rsidR="00BE75C7" w:rsidRPr="00A96689">
        <w:rPr>
          <w:rFonts w:eastAsia="Times New Roman" w:cs="Times New Roman"/>
        </w:rPr>
        <w:t xml:space="preserve">several </w:t>
      </w:r>
      <w:r w:rsidRPr="00A96689">
        <w:rPr>
          <w:rFonts w:eastAsia="Times New Roman" w:cs="Times New Roman"/>
        </w:rPr>
        <w:t>demographic</w:t>
      </w:r>
      <w:r w:rsidR="00BE75C7" w:rsidRPr="00A96689">
        <w:rPr>
          <w:rFonts w:eastAsia="Times New Roman" w:cs="Times New Roman"/>
        </w:rPr>
        <w:t xml:space="preserve"> variables</w:t>
      </w:r>
      <w:r w:rsidRPr="00A96689">
        <w:rPr>
          <w:rFonts w:eastAsia="Times New Roman" w:cs="Times New Roman"/>
        </w:rPr>
        <w:t xml:space="preserve"> and clinical characteristics (Ensrud et a</w:t>
      </w:r>
      <w:r w:rsidR="00D000E5" w:rsidRPr="00A96689">
        <w:rPr>
          <w:rFonts w:eastAsia="Times New Roman" w:cs="Times New Roman"/>
        </w:rPr>
        <w:t xml:space="preserve">l.,2009; Ensrud et al.,2012; </w:t>
      </w:r>
      <w:r w:rsidRPr="00A96689">
        <w:rPr>
          <w:rFonts w:eastAsia="Times New Roman" w:cs="Times New Roman"/>
        </w:rPr>
        <w:t>Fragoso</w:t>
      </w:r>
      <w:r w:rsidR="005E2510" w:rsidRPr="00A96689">
        <w:rPr>
          <w:rFonts w:eastAsia="Times New Roman" w:cs="Times New Roman"/>
        </w:rPr>
        <w:t xml:space="preserve"> et al., </w:t>
      </w:r>
      <w:r w:rsidRPr="00A96689">
        <w:rPr>
          <w:rFonts w:eastAsia="Times New Roman" w:cs="Times New Roman"/>
        </w:rPr>
        <w:t xml:space="preserve">2009). </w:t>
      </w:r>
      <w:bookmarkStart w:id="14" w:name="_Hlk68651933"/>
      <w:r w:rsidR="00DB68A1" w:rsidRPr="00A96689">
        <w:rPr>
          <w:rFonts w:eastAsia="Times New Roman" w:cs="Times New Roman"/>
          <w:lang w:val="en-GB"/>
        </w:rPr>
        <w:t>P</w:t>
      </w:r>
      <w:r w:rsidR="005F47FB" w:rsidRPr="00A96689">
        <w:rPr>
          <w:rFonts w:eastAsia="Times New Roman" w:cs="Times New Roman"/>
          <w:lang w:val="en-GB"/>
        </w:rPr>
        <w:t>revious studies showed that the effect of EDS on falls and frailty were different in males and females</w:t>
      </w:r>
      <w:r w:rsidR="00DB68A1" w:rsidRPr="00A96689">
        <w:rPr>
          <w:rFonts w:eastAsia="Times New Roman" w:cs="Times New Roman"/>
          <w:lang w:val="en-GB"/>
        </w:rPr>
        <w:t>.</w:t>
      </w:r>
      <w:r w:rsidR="005F47FB" w:rsidRPr="00A96689">
        <w:rPr>
          <w:rFonts w:eastAsia="Times New Roman" w:cs="Times New Roman"/>
          <w:lang w:val="en-GB"/>
        </w:rPr>
        <w:t xml:space="preserve"> </w:t>
      </w:r>
      <w:r w:rsidR="00DB68A1" w:rsidRPr="00A96689">
        <w:rPr>
          <w:rFonts w:eastAsia="Times New Roman" w:cs="Times New Roman"/>
          <w:lang w:val="en-GB"/>
        </w:rPr>
        <w:t xml:space="preserve">Therefore, the present study investigated </w:t>
      </w:r>
      <w:r w:rsidR="005F47FB" w:rsidRPr="00A96689">
        <w:rPr>
          <w:rFonts w:eastAsia="Times New Roman" w:cs="Times New Roman"/>
          <w:lang w:val="en-GB"/>
        </w:rPr>
        <w:t xml:space="preserve">sex specific association </w:t>
      </w:r>
      <w:r w:rsidR="00DB68A1" w:rsidRPr="00A96689">
        <w:rPr>
          <w:rFonts w:eastAsia="Times New Roman" w:cs="Times New Roman"/>
          <w:lang w:val="en-GB"/>
        </w:rPr>
        <w:t xml:space="preserve">between </w:t>
      </w:r>
      <w:r w:rsidR="005F47FB" w:rsidRPr="00A96689">
        <w:rPr>
          <w:rFonts w:eastAsia="Times New Roman" w:cs="Times New Roman"/>
          <w:lang w:val="en-GB"/>
        </w:rPr>
        <w:t xml:space="preserve">EDS </w:t>
      </w:r>
      <w:r w:rsidR="00DB68A1" w:rsidRPr="00A96689">
        <w:rPr>
          <w:rFonts w:eastAsia="Times New Roman" w:cs="Times New Roman"/>
          <w:lang w:val="en-GB"/>
        </w:rPr>
        <w:t xml:space="preserve">and </w:t>
      </w:r>
      <w:r w:rsidR="005F47FB" w:rsidRPr="00A96689">
        <w:rPr>
          <w:rFonts w:eastAsia="Times New Roman" w:cs="Times New Roman"/>
          <w:lang w:val="en-GB"/>
        </w:rPr>
        <w:t>each outcome</w:t>
      </w:r>
      <w:r w:rsidR="00DB68A1" w:rsidRPr="00A96689">
        <w:rPr>
          <w:rFonts w:eastAsia="Times New Roman" w:cs="Times New Roman"/>
          <w:lang w:val="en-GB"/>
        </w:rPr>
        <w:t>. However,</w:t>
      </w:r>
      <w:r w:rsidR="005F47FB" w:rsidRPr="00A96689">
        <w:rPr>
          <w:rFonts w:eastAsia="Times New Roman" w:cs="Times New Roman"/>
          <w:lang w:val="en-GB"/>
        </w:rPr>
        <w:t xml:space="preserve"> </w:t>
      </w:r>
      <w:r w:rsidRPr="00A96689">
        <w:rPr>
          <w:rFonts w:eastAsia="Times New Roman" w:cs="Times New Roman"/>
        </w:rPr>
        <w:t xml:space="preserve">no </w:t>
      </w:r>
      <w:r w:rsidR="005F47FB" w:rsidRPr="00A96689">
        <w:rPr>
          <w:rFonts w:eastAsia="Times New Roman" w:cs="Times New Roman"/>
        </w:rPr>
        <w:t>differences</w:t>
      </w:r>
      <w:r w:rsidRPr="00A96689">
        <w:rPr>
          <w:rFonts w:eastAsia="Times New Roman" w:cs="Times New Roman"/>
        </w:rPr>
        <w:t xml:space="preserve"> w</w:t>
      </w:r>
      <w:r w:rsidR="005F47FB" w:rsidRPr="00A96689">
        <w:rPr>
          <w:rFonts w:eastAsia="Times New Roman" w:cs="Times New Roman"/>
        </w:rPr>
        <w:t>ere</w:t>
      </w:r>
      <w:r w:rsidRPr="00A96689">
        <w:rPr>
          <w:rFonts w:eastAsia="Times New Roman" w:cs="Times New Roman"/>
        </w:rPr>
        <w:t xml:space="preserve"> found in either females or males. </w:t>
      </w:r>
    </w:p>
    <w:bookmarkEnd w:id="14"/>
    <w:p w14:paraId="12A9BDD5" w14:textId="3669973D" w:rsidR="008C43AC" w:rsidRPr="00A96689" w:rsidRDefault="00BE3A1F">
      <w:pPr>
        <w:jc w:val="both"/>
        <w:rPr>
          <w:rFonts w:eastAsia="Times New Roman" w:cs="Times New Roman"/>
        </w:rPr>
      </w:pPr>
      <w:r w:rsidRPr="00A96689">
        <w:rPr>
          <w:rFonts w:eastAsia="Times New Roman" w:cs="Times New Roman"/>
        </w:rPr>
        <w:t>Findings from the present study must be observed in light of the studies limitations</w:t>
      </w:r>
      <w:r w:rsidR="00A81554" w:rsidRPr="00A96689">
        <w:rPr>
          <w:rFonts w:eastAsia="Times New Roman" w:cs="Times New Roman"/>
        </w:rPr>
        <w:t xml:space="preserve">. </w:t>
      </w:r>
      <w:r w:rsidR="00761A5F" w:rsidRPr="00A96689">
        <w:rPr>
          <w:rFonts w:eastAsia="Times New Roman" w:cs="Times New Roman"/>
          <w:lang w:val="en-GB"/>
        </w:rPr>
        <w:t>First, the present study was cross-sectional in design, and the direction of the association is not known. That is, it is not known whether EDS leads to falls and sarcopenia or whether falls and sarcopenia lead to increase the development of EDS. It is possible that the relationship is bidirectional.</w:t>
      </w:r>
      <w:r w:rsidR="002F0591" w:rsidRPr="00A96689">
        <w:rPr>
          <w:rFonts w:eastAsia="Times New Roman" w:cs="Times New Roman"/>
          <w:lang w:val="en-GB"/>
        </w:rPr>
        <w:t xml:space="preserve"> </w:t>
      </w:r>
      <w:r w:rsidR="00A81554" w:rsidRPr="00A96689">
        <w:rPr>
          <w:rFonts w:eastAsia="Times New Roman" w:cs="Times New Roman"/>
        </w:rPr>
        <w:t>Second, only the ESS was used for EDS; hence, future studies should consider using objective measures of sleep to diagnose daytime sleepiness, such as actigraphy</w:t>
      </w:r>
      <w:r w:rsidR="005E3B18" w:rsidRPr="00A96689">
        <w:rPr>
          <w:rFonts w:eastAsia="Times New Roman" w:cs="Times New Roman"/>
        </w:rPr>
        <w:t xml:space="preserve">. </w:t>
      </w:r>
      <w:r w:rsidR="00A81554" w:rsidRPr="00A96689">
        <w:rPr>
          <w:rFonts w:eastAsia="Times New Roman" w:cs="Times New Roman"/>
        </w:rPr>
        <w:t xml:space="preserve">On the other hand, several factors (e.g., healthy mobilization, balance, coordination, postural control), which would be important for falls, were not detailed. Last, another limitation may be that lower limb strength was not evaluated, since a recent study showed that handgrip strength and standard strength measures of the lower limbs and functional tests presented a negligible/low correlation (Rodacki et al., 2020). The strengths of our study are as follows: not only falls, but also evaluations for frailty, muscle strength, and sarcopenia related to falling could be made simultaneously. </w:t>
      </w:r>
    </w:p>
    <w:p w14:paraId="14E45C8A" w14:textId="77777777" w:rsidR="008C43AC" w:rsidRPr="00A96689" w:rsidRDefault="00A81554">
      <w:pPr>
        <w:numPr>
          <w:ilvl w:val="0"/>
          <w:numId w:val="1"/>
        </w:numPr>
        <w:pBdr>
          <w:top w:val="nil"/>
          <w:left w:val="nil"/>
          <w:bottom w:val="nil"/>
          <w:right w:val="nil"/>
          <w:between w:val="nil"/>
        </w:pBdr>
        <w:jc w:val="both"/>
        <w:rPr>
          <w:rFonts w:eastAsia="Times New Roman" w:cs="Times New Roman"/>
          <w:b/>
          <w:color w:val="000000"/>
        </w:rPr>
      </w:pPr>
      <w:r w:rsidRPr="00A96689">
        <w:rPr>
          <w:rFonts w:eastAsia="Times New Roman" w:cs="Times New Roman"/>
          <w:b/>
          <w:color w:val="000000"/>
        </w:rPr>
        <w:t xml:space="preserve">CONCLUSION </w:t>
      </w:r>
    </w:p>
    <w:p w14:paraId="42ED7027" w14:textId="5BB60E3B" w:rsidR="00033E04" w:rsidRPr="00A96689" w:rsidRDefault="00A81554" w:rsidP="00033E04">
      <w:pPr>
        <w:jc w:val="both"/>
        <w:rPr>
          <w:rFonts w:eastAsia="Times New Roman"/>
        </w:rPr>
      </w:pPr>
      <w:r w:rsidRPr="00A96689">
        <w:rPr>
          <w:rFonts w:eastAsia="Times New Roman" w:cs="Times New Roman"/>
        </w:rPr>
        <w:t>EDS is associated with higher number of falls and higher presence of sarcopenia for both older females and males, independent of a number of associated factors. In order to prevent falls and sarcopenia and related complications, daytime sleepiness should be routinely questioned during geriatric evaluation and patients should be recommended</w:t>
      </w:r>
      <w:r w:rsidR="00680F01" w:rsidRPr="00A96689">
        <w:rPr>
          <w:rFonts w:eastAsia="Times New Roman" w:cs="Times New Roman"/>
        </w:rPr>
        <w:t xml:space="preserve"> </w:t>
      </w:r>
      <w:r w:rsidRPr="00A96689">
        <w:rPr>
          <w:rFonts w:eastAsia="Times New Roman" w:cs="Times New Roman"/>
        </w:rPr>
        <w:t>lifestyle</w:t>
      </w:r>
      <w:r w:rsidR="00BE3A1F" w:rsidRPr="00A96689">
        <w:rPr>
          <w:rFonts w:eastAsia="Times New Roman" w:cs="Times New Roman"/>
        </w:rPr>
        <w:t xml:space="preserve"> advice</w:t>
      </w:r>
      <w:r w:rsidRPr="00A96689">
        <w:rPr>
          <w:rFonts w:eastAsia="Times New Roman" w:cs="Times New Roman"/>
        </w:rPr>
        <w:t xml:space="preserve"> that will </w:t>
      </w:r>
      <w:r w:rsidR="00BE3A1F" w:rsidRPr="00A96689">
        <w:rPr>
          <w:rFonts w:eastAsia="Times New Roman" w:cs="Times New Roman"/>
        </w:rPr>
        <w:t>aid in the reduction of</w:t>
      </w:r>
      <w:r w:rsidRPr="00A96689">
        <w:rPr>
          <w:rFonts w:eastAsia="Times New Roman" w:cs="Times New Roman"/>
        </w:rPr>
        <w:t xml:space="preserve"> daytime sleepiness. </w:t>
      </w:r>
      <w:bookmarkStart w:id="15" w:name="_Hlk67835383"/>
      <w:r w:rsidRPr="00A96689">
        <w:rPr>
          <w:rFonts w:eastAsia="Times New Roman" w:cs="Times New Roman"/>
        </w:rPr>
        <w:t xml:space="preserve">However, </w:t>
      </w:r>
      <w:r w:rsidRPr="00A96689">
        <w:rPr>
          <w:rFonts w:eastAsia="Times New Roman" w:cs="Times New Roman"/>
        </w:rPr>
        <w:lastRenderedPageBreak/>
        <w:t xml:space="preserve">further </w:t>
      </w:r>
      <w:r w:rsidR="00B03CB5" w:rsidRPr="00A96689">
        <w:rPr>
          <w:rFonts w:eastAsia="Times New Roman" w:cs="Times New Roman"/>
        </w:rPr>
        <w:t xml:space="preserve">longitudinal studies and </w:t>
      </w:r>
      <w:r w:rsidR="00B03CB5" w:rsidRPr="00A96689">
        <w:rPr>
          <w:rFonts w:eastAsia="Times New Roman" w:cs="Times New Roman"/>
          <w:lang w:val="en-GB"/>
        </w:rPr>
        <w:t xml:space="preserve">intervention trials </w:t>
      </w:r>
      <w:r w:rsidRPr="00A96689">
        <w:rPr>
          <w:rFonts w:eastAsia="Times New Roman" w:cs="Times New Roman"/>
        </w:rPr>
        <w:t>are needed to elucidate the complex pathophysiology of daytime sleepiness and falls/sarcopenia in older adults.</w:t>
      </w:r>
      <w:r w:rsidR="00033E04" w:rsidRPr="00A96689">
        <w:rPr>
          <w:rFonts w:eastAsia="Times New Roman" w:cs="Times New Roman"/>
        </w:rPr>
        <w:t xml:space="preserve"> The effectiveness of interventions</w:t>
      </w:r>
      <w:r w:rsidR="003C3D89" w:rsidRPr="00A96689">
        <w:rPr>
          <w:rFonts w:eastAsia="Times New Roman" w:cs="Times New Roman"/>
        </w:rPr>
        <w:t xml:space="preserve">, such as </w:t>
      </w:r>
      <w:r w:rsidR="003C3D89" w:rsidRPr="00A96689">
        <w:rPr>
          <w:rFonts w:eastAsia="Times New Roman" w:cs="Times New Roman"/>
          <w:lang w:val="en-GB"/>
        </w:rPr>
        <w:t>exercise regularly during daytime hours, using wake promoting agents</w:t>
      </w:r>
      <w:r w:rsidR="00033E04" w:rsidRPr="00A96689">
        <w:rPr>
          <w:rFonts w:eastAsia="Times New Roman" w:cs="Times New Roman"/>
        </w:rPr>
        <w:t xml:space="preserve"> for EDS </w:t>
      </w:r>
      <w:r w:rsidR="00793DC1" w:rsidRPr="00A96689">
        <w:rPr>
          <w:rFonts w:eastAsia="Times New Roman" w:cs="Times New Roman"/>
        </w:rPr>
        <w:t xml:space="preserve">on falls and falls related conditions </w:t>
      </w:r>
      <w:r w:rsidR="00033E04" w:rsidRPr="00A96689">
        <w:rPr>
          <w:rFonts w:eastAsia="Times New Roman" w:cs="Times New Roman"/>
        </w:rPr>
        <w:t>should be investigated.</w:t>
      </w:r>
      <w:r w:rsidR="00033E04" w:rsidRPr="00A96689">
        <w:rPr>
          <w:rFonts w:eastAsia="Times New Roman"/>
        </w:rPr>
        <w:t xml:space="preserve"> </w:t>
      </w:r>
    </w:p>
    <w:p w14:paraId="17BECA8A" w14:textId="29F45246" w:rsidR="008C43AC" w:rsidRPr="00A96689" w:rsidRDefault="008C43AC">
      <w:pPr>
        <w:jc w:val="both"/>
        <w:rPr>
          <w:rFonts w:eastAsia="Times New Roman" w:cs="Times New Roman"/>
        </w:rPr>
      </w:pPr>
    </w:p>
    <w:bookmarkEnd w:id="15"/>
    <w:p w14:paraId="0D6CD0A6" w14:textId="77777777" w:rsidR="008C43AC" w:rsidRPr="00A96689" w:rsidRDefault="00A81554">
      <w:pPr>
        <w:jc w:val="both"/>
        <w:rPr>
          <w:rFonts w:eastAsia="Times New Roman" w:cs="Times New Roman"/>
          <w:b/>
        </w:rPr>
      </w:pPr>
      <w:r w:rsidRPr="00A96689">
        <w:rPr>
          <w:rFonts w:eastAsia="Times New Roman" w:cs="Times New Roman"/>
          <w:b/>
        </w:rPr>
        <w:t>Conflict-Of-Interest Statement</w:t>
      </w:r>
    </w:p>
    <w:p w14:paraId="228D32D8" w14:textId="77777777" w:rsidR="008C43AC" w:rsidRPr="00A96689" w:rsidRDefault="00A81554">
      <w:pPr>
        <w:jc w:val="both"/>
        <w:rPr>
          <w:rFonts w:eastAsia="Times New Roman" w:cs="Times New Roman"/>
        </w:rPr>
      </w:pPr>
      <w:r w:rsidRPr="00A96689">
        <w:rPr>
          <w:rFonts w:eastAsia="Times New Roman" w:cs="Times New Roman"/>
        </w:rPr>
        <w:t>No conflicts of interest for all authors.</w:t>
      </w:r>
    </w:p>
    <w:p w14:paraId="1DE44756" w14:textId="77777777" w:rsidR="008C43AC" w:rsidRPr="00A96689" w:rsidRDefault="00A81554">
      <w:pPr>
        <w:jc w:val="both"/>
        <w:rPr>
          <w:rFonts w:eastAsia="Times New Roman" w:cs="Times New Roman"/>
        </w:rPr>
      </w:pPr>
      <w:r w:rsidRPr="00A96689">
        <w:rPr>
          <w:rFonts w:eastAsia="Times New Roman" w:cs="Times New Roman"/>
        </w:rPr>
        <w:t>There is no funding.</w:t>
      </w:r>
    </w:p>
    <w:p w14:paraId="599170ED" w14:textId="77777777" w:rsidR="008C43AC" w:rsidRPr="00A96689" w:rsidRDefault="00A81554">
      <w:pPr>
        <w:numPr>
          <w:ilvl w:val="0"/>
          <w:numId w:val="1"/>
        </w:numPr>
        <w:pBdr>
          <w:top w:val="nil"/>
          <w:left w:val="nil"/>
          <w:bottom w:val="nil"/>
          <w:right w:val="nil"/>
          <w:between w:val="nil"/>
        </w:pBdr>
        <w:jc w:val="both"/>
        <w:rPr>
          <w:rFonts w:eastAsia="Times New Roman" w:cs="Times New Roman"/>
          <w:b/>
          <w:color w:val="000000"/>
        </w:rPr>
      </w:pPr>
      <w:r w:rsidRPr="00A96689">
        <w:rPr>
          <w:rFonts w:eastAsia="Times New Roman" w:cs="Times New Roman"/>
          <w:b/>
          <w:color w:val="000000"/>
        </w:rPr>
        <w:t>REFERENCES</w:t>
      </w:r>
    </w:p>
    <w:p w14:paraId="3BA62743" w14:textId="77777777" w:rsidR="008C43AC" w:rsidRPr="00A96689" w:rsidRDefault="00A81554">
      <w:pPr>
        <w:widowControl w:val="0"/>
        <w:ind w:left="480" w:hanging="480"/>
        <w:rPr>
          <w:rFonts w:eastAsia="Times New Roman" w:cs="Times New Roman"/>
        </w:rPr>
      </w:pPr>
      <w:r w:rsidRPr="00A96689">
        <w:rPr>
          <w:rFonts w:eastAsia="Times New Roman" w:cs="Times New Roman"/>
        </w:rPr>
        <w:t>Al-Sharman, A., &amp;</w:t>
      </w:r>
      <w:r w:rsidR="00B04041" w:rsidRPr="00A96689">
        <w:rPr>
          <w:rFonts w:eastAsia="Times New Roman" w:cs="Times New Roman"/>
        </w:rPr>
        <w:t xml:space="preserve"> </w:t>
      </w:r>
      <w:r w:rsidRPr="00A96689">
        <w:rPr>
          <w:rFonts w:eastAsia="Times New Roman" w:cs="Times New Roman"/>
        </w:rPr>
        <w:t xml:space="preserve">Siengsukon, C. F. (2014). Performance on a functional motor task is enhanced by sleep in middle-aged and older  adults. </w:t>
      </w:r>
      <w:r w:rsidRPr="00A96689">
        <w:rPr>
          <w:rFonts w:eastAsia="Times New Roman" w:cs="Times New Roman"/>
          <w:i/>
        </w:rPr>
        <w:t>Journal of Neurologic Physical Therapy : JNPT</w:t>
      </w:r>
      <w:r w:rsidRPr="00A96689">
        <w:rPr>
          <w:rFonts w:eastAsia="Times New Roman" w:cs="Times New Roman"/>
        </w:rPr>
        <w:t xml:space="preserve">, </w:t>
      </w:r>
      <w:r w:rsidRPr="00A96689">
        <w:rPr>
          <w:rFonts w:eastAsia="Times New Roman" w:cs="Times New Roman"/>
          <w:i/>
        </w:rPr>
        <w:t>38</w:t>
      </w:r>
      <w:r w:rsidRPr="00A96689">
        <w:rPr>
          <w:rFonts w:eastAsia="Times New Roman" w:cs="Times New Roman"/>
        </w:rPr>
        <w:t>(3), 161–169. https://doi.org/10.1097/NPT.0000000000000048</w:t>
      </w:r>
    </w:p>
    <w:p w14:paraId="703D1625" w14:textId="63257BF2" w:rsidR="008C43AC" w:rsidRPr="00A96689" w:rsidRDefault="00A81554">
      <w:pPr>
        <w:widowControl w:val="0"/>
        <w:ind w:left="480" w:hanging="480"/>
        <w:rPr>
          <w:rFonts w:eastAsia="Times New Roman" w:cs="Times New Roman"/>
        </w:rPr>
      </w:pPr>
      <w:r w:rsidRPr="00A96689">
        <w:rPr>
          <w:rFonts w:eastAsia="Times New Roman" w:cs="Times New Roman"/>
        </w:rPr>
        <w:t>Arik, F., Soysal, P., Capar, E., Kalan, U., Smith, L., Trott, M., &amp;</w:t>
      </w:r>
      <w:r w:rsidR="002A2BE9" w:rsidRPr="00A96689">
        <w:rPr>
          <w:rFonts w:eastAsia="Times New Roman" w:cs="Times New Roman"/>
        </w:rPr>
        <w:t xml:space="preserve"> </w:t>
      </w:r>
      <w:r w:rsidRPr="00A96689">
        <w:rPr>
          <w:rFonts w:eastAsia="Times New Roman" w:cs="Times New Roman"/>
        </w:rPr>
        <w:t xml:space="preserve">Isik, A. T. (2020). The association between fear of falling and orthostatic hypotension in older adults. </w:t>
      </w:r>
      <w:r w:rsidRPr="00A96689">
        <w:rPr>
          <w:rFonts w:eastAsia="Times New Roman" w:cs="Times New Roman"/>
          <w:i/>
        </w:rPr>
        <w:t>Aging Clinical and Experimental Research</w:t>
      </w:r>
      <w:r w:rsidRPr="00A96689">
        <w:rPr>
          <w:rFonts w:eastAsia="Times New Roman" w:cs="Times New Roman"/>
        </w:rPr>
        <w:t>. https://doi.org/10.1007/s40520-020-01584-2</w:t>
      </w:r>
    </w:p>
    <w:p w14:paraId="72877D5A" w14:textId="77777777" w:rsidR="008C43AC" w:rsidRPr="00A96689" w:rsidRDefault="00A81554">
      <w:pPr>
        <w:widowControl w:val="0"/>
        <w:ind w:left="480" w:hanging="480"/>
        <w:rPr>
          <w:rFonts w:eastAsia="Times New Roman" w:cs="Times New Roman"/>
        </w:rPr>
      </w:pPr>
      <w:r w:rsidRPr="00A96689">
        <w:rPr>
          <w:rFonts w:eastAsia="Times New Roman" w:cs="Times New Roman"/>
        </w:rPr>
        <w:t>Ates</w:t>
      </w:r>
      <w:r w:rsidR="00A04AC5" w:rsidRPr="00A96689">
        <w:rPr>
          <w:rFonts w:eastAsia="Times New Roman" w:cs="Times New Roman"/>
        </w:rPr>
        <w:t xml:space="preserve"> Bulut</w:t>
      </w:r>
      <w:r w:rsidRPr="00A96689">
        <w:rPr>
          <w:rFonts w:eastAsia="Times New Roman" w:cs="Times New Roman"/>
        </w:rPr>
        <w:t>, E., Soysal, P., &amp;</w:t>
      </w:r>
      <w:r w:rsidR="00515915" w:rsidRPr="00A96689">
        <w:rPr>
          <w:rFonts w:eastAsia="Times New Roman" w:cs="Times New Roman"/>
        </w:rPr>
        <w:t xml:space="preserve"> </w:t>
      </w:r>
      <w:r w:rsidRPr="00A96689">
        <w:rPr>
          <w:rFonts w:eastAsia="Times New Roman" w:cs="Times New Roman"/>
        </w:rPr>
        <w:t xml:space="preserve">Isik, A. T. (2018). Frequency and coincidence of geriatric syndromes according to age groups: single-center experience in Turkey between 2013 and 2017. </w:t>
      </w:r>
      <w:r w:rsidRPr="00A96689">
        <w:rPr>
          <w:rFonts w:eastAsia="Times New Roman" w:cs="Times New Roman"/>
          <w:i/>
        </w:rPr>
        <w:t>Clinical Interventions in Aging</w:t>
      </w:r>
      <w:r w:rsidRPr="00A96689">
        <w:rPr>
          <w:rFonts w:eastAsia="Times New Roman" w:cs="Times New Roman"/>
        </w:rPr>
        <w:t xml:space="preserve">, </w:t>
      </w:r>
      <w:r w:rsidRPr="00A96689">
        <w:rPr>
          <w:rFonts w:eastAsia="Times New Roman" w:cs="Times New Roman"/>
          <w:i/>
        </w:rPr>
        <w:t>13</w:t>
      </w:r>
      <w:r w:rsidRPr="00A96689">
        <w:rPr>
          <w:rFonts w:eastAsia="Times New Roman" w:cs="Times New Roman"/>
        </w:rPr>
        <w:t>, 1899–1905. https://doi.org/10.2147/CIA.S180281</w:t>
      </w:r>
    </w:p>
    <w:p w14:paraId="52E0E5E6" w14:textId="77777777" w:rsidR="008C43AC" w:rsidRPr="00A96689" w:rsidRDefault="00A81554" w:rsidP="0093159B">
      <w:pPr>
        <w:widowControl w:val="0"/>
        <w:ind w:left="480" w:hanging="480"/>
        <w:rPr>
          <w:rFonts w:eastAsia="Times New Roman" w:cs="Times New Roman"/>
        </w:rPr>
      </w:pPr>
      <w:r w:rsidRPr="00A96689">
        <w:rPr>
          <w:rFonts w:eastAsia="Times New Roman" w:cs="Times New Roman"/>
        </w:rPr>
        <w:t xml:space="preserve">Bloch, F., Blandin, M., Ranerison, R., Claessens, Y. E., Rigaud, A. S., &amp;Kemoun, G. (2014). Anxiety after a fall in elderly subjects and subsequent risk of developing post  traumatic stress disorder at two months. A pilot study. </w:t>
      </w:r>
      <w:r w:rsidRPr="00A96689">
        <w:rPr>
          <w:rFonts w:eastAsia="Times New Roman" w:cs="Times New Roman"/>
          <w:i/>
        </w:rPr>
        <w:t>The Journal of Nutrition, Health &amp; Aging</w:t>
      </w:r>
      <w:r w:rsidRPr="00A96689">
        <w:rPr>
          <w:rFonts w:eastAsia="Times New Roman" w:cs="Times New Roman"/>
        </w:rPr>
        <w:t xml:space="preserve">, </w:t>
      </w:r>
      <w:r w:rsidRPr="00A96689">
        <w:rPr>
          <w:rFonts w:eastAsia="Times New Roman" w:cs="Times New Roman"/>
          <w:i/>
        </w:rPr>
        <w:t>18</w:t>
      </w:r>
      <w:r w:rsidRPr="00A96689">
        <w:rPr>
          <w:rFonts w:eastAsia="Times New Roman" w:cs="Times New Roman"/>
        </w:rPr>
        <w:t xml:space="preserve">(3), 303–306. </w:t>
      </w:r>
      <w:r w:rsidR="001C335E" w:rsidRPr="00A96689">
        <w:rPr>
          <w:rFonts w:eastAsia="Times New Roman" w:cs="Times New Roman"/>
        </w:rPr>
        <w:t>https://doi.org/10.1007/s12603-013-0415-y</w:t>
      </w:r>
    </w:p>
    <w:p w14:paraId="18E07A4E" w14:textId="77777777" w:rsidR="00F970B8" w:rsidRPr="00A96689" w:rsidRDefault="001C335E" w:rsidP="00DB6816">
      <w:r w:rsidRPr="00A96689">
        <w:lastRenderedPageBreak/>
        <w:t>Borges, VS., Lima-Costa</w:t>
      </w:r>
      <w:r w:rsidR="001B00AD" w:rsidRPr="00A96689">
        <w:t>,</w:t>
      </w:r>
      <w:r w:rsidRPr="00A96689">
        <w:t xml:space="preserve"> MFF</w:t>
      </w:r>
      <w:r w:rsidR="001B00AD" w:rsidRPr="00A96689">
        <w:t>.</w:t>
      </w:r>
      <w:r w:rsidRPr="00A96689">
        <w:t xml:space="preserve"> &amp; Andrade</w:t>
      </w:r>
      <w:r w:rsidR="001B00AD" w:rsidRPr="00A96689">
        <w:t>,</w:t>
      </w:r>
      <w:r w:rsidR="00F970B8" w:rsidRPr="00A96689">
        <w:t xml:space="preserve"> FB. (</w:t>
      </w:r>
      <w:r w:rsidRPr="00A96689">
        <w:t>2020</w:t>
      </w:r>
      <w:r w:rsidR="00F970B8" w:rsidRPr="00A96689">
        <w:t xml:space="preserve">). A nationwide study on prevalence and factors associated with dynapenia in older adults: ELSI-Brazil. </w:t>
      </w:r>
      <w:r w:rsidR="00F970B8" w:rsidRPr="00A96689">
        <w:rPr>
          <w:i/>
        </w:rPr>
        <w:t xml:space="preserve">Cad Saude Publica, </w:t>
      </w:r>
      <w:r w:rsidR="00F970B8" w:rsidRPr="00A96689">
        <w:t>30;36(4):e00107319.</w:t>
      </w:r>
    </w:p>
    <w:p w14:paraId="76C0BC54" w14:textId="77777777" w:rsidR="001C335E" w:rsidRPr="00A96689" w:rsidRDefault="00F970B8" w:rsidP="00DB6816">
      <w:r w:rsidRPr="00A96689">
        <w:t> https://doi: 10.1590/0102-311X00107319.</w:t>
      </w:r>
    </w:p>
    <w:p w14:paraId="5B05D2FB" w14:textId="77777777" w:rsidR="00F970B8" w:rsidRPr="00A96689" w:rsidRDefault="00F970B8" w:rsidP="00F970B8">
      <w:pPr>
        <w:rPr>
          <w:rFonts w:eastAsia="Times New Roman" w:cs="Times New Roman"/>
        </w:rPr>
      </w:pPr>
    </w:p>
    <w:p w14:paraId="097BD9C1" w14:textId="00C18FA7" w:rsidR="008C43AC" w:rsidRPr="00A96689" w:rsidRDefault="00A81554">
      <w:pPr>
        <w:widowControl w:val="0"/>
        <w:ind w:left="480" w:hanging="480"/>
        <w:rPr>
          <w:rFonts w:eastAsia="Times New Roman" w:cs="Times New Roman"/>
        </w:rPr>
      </w:pPr>
      <w:r w:rsidRPr="00A96689">
        <w:rPr>
          <w:rFonts w:eastAsia="Times New Roman" w:cs="Times New Roman"/>
        </w:rPr>
        <w:t xml:space="preserve">Cao, X., Gu, Y., Fu, J., Vu, T. Q. C., Zhang, Q., Liu, L. et al (2019). Excessive daytime sleepiness with snoring or witnessed apnea is associated with  handgrip strength: a population-based study. </w:t>
      </w:r>
      <w:r w:rsidRPr="00A96689">
        <w:rPr>
          <w:rFonts w:eastAsia="Times New Roman" w:cs="Times New Roman"/>
          <w:i/>
        </w:rPr>
        <w:t>QJM : Monthly Journal of the Association of Physicians</w:t>
      </w:r>
      <w:r w:rsidRPr="00A96689">
        <w:rPr>
          <w:rFonts w:eastAsia="Times New Roman" w:cs="Times New Roman"/>
        </w:rPr>
        <w:t xml:space="preserve">, </w:t>
      </w:r>
      <w:r w:rsidRPr="00A96689">
        <w:rPr>
          <w:rFonts w:eastAsia="Times New Roman" w:cs="Times New Roman"/>
          <w:i/>
        </w:rPr>
        <w:t>112</w:t>
      </w:r>
      <w:r w:rsidRPr="00A96689">
        <w:rPr>
          <w:rFonts w:eastAsia="Times New Roman" w:cs="Times New Roman"/>
        </w:rPr>
        <w:t xml:space="preserve">(11), 847–853. </w:t>
      </w:r>
      <w:hyperlink r:id="rId9" w:history="1">
        <w:r w:rsidR="009B4CB9" w:rsidRPr="00A96689">
          <w:rPr>
            <w:rStyle w:val="Hyperlink"/>
            <w:rFonts w:eastAsia="Times New Roman" w:cs="Times New Roman"/>
          </w:rPr>
          <w:t>https://doi.org/10.1093/qjmed/hcz178</w:t>
        </w:r>
      </w:hyperlink>
    </w:p>
    <w:p w14:paraId="2D50EF26" w14:textId="45139E29" w:rsidR="009B4CB9" w:rsidRPr="00A96689" w:rsidRDefault="009B4CB9" w:rsidP="009B4CB9">
      <w:pPr>
        <w:widowControl w:val="0"/>
        <w:tabs>
          <w:tab w:val="num" w:pos="720"/>
        </w:tabs>
        <w:ind w:left="480" w:hanging="480"/>
        <w:rPr>
          <w:rFonts w:eastAsia="Times New Roman" w:cs="Times New Roman"/>
          <w:b/>
          <w:bCs/>
          <w:lang w:val="en-GB"/>
        </w:rPr>
      </w:pPr>
      <w:r w:rsidRPr="00A96689">
        <w:rPr>
          <w:rFonts w:eastAsia="Times New Roman" w:cs="Times New Roman"/>
        </w:rPr>
        <w:t xml:space="preserve">Chien MY, Wang LY, Chen HC. (2015) </w:t>
      </w:r>
      <w:r w:rsidRPr="00A96689">
        <w:rPr>
          <w:rFonts w:eastAsia="Times New Roman" w:cs="Times New Roman"/>
          <w:lang w:val="en-GB"/>
        </w:rPr>
        <w:t xml:space="preserve">The Relationship of Sleep Duration with Obesity and Sarcopenia in Community-Dwelling Older Adults. </w:t>
      </w:r>
      <w:r w:rsidRPr="00A96689">
        <w:rPr>
          <w:rFonts w:eastAsia="Times New Roman" w:cs="Times New Roman"/>
          <w:i/>
          <w:iCs/>
          <w:lang w:val="en-GB"/>
        </w:rPr>
        <w:t>Gerontology</w:t>
      </w:r>
      <w:r w:rsidRPr="00A96689">
        <w:rPr>
          <w:rFonts w:eastAsia="Times New Roman" w:cs="Times New Roman"/>
          <w:lang w:val="en-GB"/>
        </w:rPr>
        <w:t>. 61(5):399-406. doi: 10.1159/000371847.</w:t>
      </w:r>
    </w:p>
    <w:p w14:paraId="6F5D6A2C" w14:textId="77777777" w:rsidR="008C43AC" w:rsidRPr="00A96689" w:rsidRDefault="00A81554">
      <w:pPr>
        <w:widowControl w:val="0"/>
        <w:ind w:left="480" w:hanging="480"/>
        <w:rPr>
          <w:rFonts w:eastAsia="Times New Roman" w:cs="Times New Roman"/>
        </w:rPr>
      </w:pPr>
      <w:r w:rsidRPr="00A96689">
        <w:rPr>
          <w:rFonts w:eastAsia="Times New Roman" w:cs="Times New Roman"/>
        </w:rPr>
        <w:t>Diniz, D. L. de O., Barreto, P. R., Bruin, P. F. C. de, &amp; Bruin, V. M. S. de. (2016). Wake-up stroke: Clinical characteristics, se</w:t>
      </w:r>
      <w:r w:rsidR="0019359B" w:rsidRPr="00A96689">
        <w:rPr>
          <w:rFonts w:eastAsia="Times New Roman" w:cs="Times New Roman"/>
        </w:rPr>
        <w:t xml:space="preserve">dentary lifestyle, and daytime </w:t>
      </w:r>
      <w:r w:rsidRPr="00A96689">
        <w:rPr>
          <w:rFonts w:eastAsia="Times New Roman" w:cs="Times New Roman"/>
        </w:rPr>
        <w:t xml:space="preserve">sleepiness. </w:t>
      </w:r>
      <w:r w:rsidRPr="00A96689">
        <w:rPr>
          <w:rFonts w:eastAsia="Times New Roman" w:cs="Times New Roman"/>
          <w:i/>
        </w:rPr>
        <w:t>Revista Da Associacao</w:t>
      </w:r>
      <w:r w:rsidR="0019359B" w:rsidRPr="00A96689">
        <w:rPr>
          <w:rFonts w:eastAsia="Times New Roman" w:cs="Times New Roman"/>
          <w:i/>
        </w:rPr>
        <w:t xml:space="preserve"> </w:t>
      </w:r>
      <w:r w:rsidRPr="00A96689">
        <w:rPr>
          <w:rFonts w:eastAsia="Times New Roman" w:cs="Times New Roman"/>
          <w:i/>
        </w:rPr>
        <w:t>Medica</w:t>
      </w:r>
      <w:r w:rsidR="0019359B" w:rsidRPr="00A96689">
        <w:rPr>
          <w:rFonts w:eastAsia="Times New Roman" w:cs="Times New Roman"/>
          <w:i/>
        </w:rPr>
        <w:t xml:space="preserve"> </w:t>
      </w:r>
      <w:r w:rsidRPr="00A96689">
        <w:rPr>
          <w:rFonts w:eastAsia="Times New Roman" w:cs="Times New Roman"/>
          <w:i/>
        </w:rPr>
        <w:t>Brasileira (1992)</w:t>
      </w:r>
      <w:r w:rsidRPr="00A96689">
        <w:rPr>
          <w:rFonts w:eastAsia="Times New Roman" w:cs="Times New Roman"/>
        </w:rPr>
        <w:t xml:space="preserve">, </w:t>
      </w:r>
      <w:r w:rsidRPr="00A96689">
        <w:rPr>
          <w:rFonts w:eastAsia="Times New Roman" w:cs="Times New Roman"/>
          <w:i/>
        </w:rPr>
        <w:t>62</w:t>
      </w:r>
      <w:r w:rsidRPr="00A96689">
        <w:rPr>
          <w:rFonts w:eastAsia="Times New Roman" w:cs="Times New Roman"/>
        </w:rPr>
        <w:t>(7), 628–634. https://doi.org/10.1590/1806-9282.62.07.628</w:t>
      </w:r>
    </w:p>
    <w:p w14:paraId="6DBF0880" w14:textId="77777777" w:rsidR="008C43AC" w:rsidRPr="00A96689" w:rsidRDefault="00A81554">
      <w:pPr>
        <w:widowControl w:val="0"/>
        <w:ind w:left="480" w:hanging="480"/>
        <w:rPr>
          <w:rFonts w:eastAsia="Times New Roman" w:cs="Times New Roman"/>
        </w:rPr>
      </w:pPr>
      <w:r w:rsidRPr="00A96689">
        <w:rPr>
          <w:rFonts w:eastAsia="Times New Roman" w:cs="Times New Roman"/>
        </w:rPr>
        <w:t>Dokuzlar, O., Koc</w:t>
      </w:r>
      <w:r w:rsidR="00982FDA" w:rsidRPr="00A96689">
        <w:rPr>
          <w:rFonts w:eastAsia="Times New Roman" w:cs="Times New Roman"/>
        </w:rPr>
        <w:t xml:space="preserve"> </w:t>
      </w:r>
      <w:r w:rsidRPr="00A96689">
        <w:rPr>
          <w:rFonts w:eastAsia="Times New Roman" w:cs="Times New Roman"/>
        </w:rPr>
        <w:t xml:space="preserve">Okudur, S., Soysal, P., Kocyigit, S. E., Yavuz, I., Smith, L. et al (2020a). Factors that Increase Risk of Falling in Older Men according to Four Different Clinical Methods. </w:t>
      </w:r>
      <w:r w:rsidRPr="00A96689">
        <w:rPr>
          <w:rFonts w:eastAsia="Times New Roman" w:cs="Times New Roman"/>
          <w:i/>
        </w:rPr>
        <w:t>Experimental Aging Research</w:t>
      </w:r>
      <w:r w:rsidRPr="00A96689">
        <w:rPr>
          <w:rFonts w:eastAsia="Times New Roman" w:cs="Times New Roman"/>
        </w:rPr>
        <w:t xml:space="preserve">, </w:t>
      </w:r>
      <w:r w:rsidRPr="00A96689">
        <w:rPr>
          <w:rFonts w:eastAsia="Times New Roman" w:cs="Times New Roman"/>
          <w:i/>
        </w:rPr>
        <w:t>46</w:t>
      </w:r>
      <w:r w:rsidRPr="00A96689">
        <w:rPr>
          <w:rFonts w:eastAsia="Times New Roman" w:cs="Times New Roman"/>
        </w:rPr>
        <w:t>(1). https://doi.org/10.1080/0361073X.2019.1669284</w:t>
      </w:r>
    </w:p>
    <w:p w14:paraId="54B613B4" w14:textId="77777777" w:rsidR="008C43AC" w:rsidRPr="00A96689" w:rsidRDefault="00A81554">
      <w:pPr>
        <w:widowControl w:val="0"/>
        <w:ind w:left="480" w:hanging="480"/>
        <w:rPr>
          <w:rFonts w:eastAsia="Times New Roman" w:cs="Times New Roman"/>
        </w:rPr>
      </w:pPr>
      <w:r w:rsidRPr="00A96689">
        <w:rPr>
          <w:rFonts w:eastAsia="Times New Roman" w:cs="Times New Roman"/>
        </w:rPr>
        <w:t>Dokuzlar, Ozge, Koc</w:t>
      </w:r>
      <w:r w:rsidR="00982FDA" w:rsidRPr="00A96689">
        <w:rPr>
          <w:rFonts w:eastAsia="Times New Roman" w:cs="Times New Roman"/>
        </w:rPr>
        <w:t xml:space="preserve"> </w:t>
      </w:r>
      <w:r w:rsidRPr="00A96689">
        <w:rPr>
          <w:rFonts w:eastAsia="Times New Roman" w:cs="Times New Roman"/>
        </w:rPr>
        <w:t>Okudur, S., Smith, L., Soysal, P., Yavuz, I., Aydin, A. E., &amp;Isik, A. T. (2020b). Assessment of factors that increase risk of falling in</w:t>
      </w:r>
      <w:r w:rsidR="00982FDA" w:rsidRPr="00A96689">
        <w:rPr>
          <w:rFonts w:eastAsia="Times New Roman" w:cs="Times New Roman"/>
        </w:rPr>
        <w:t xml:space="preserve"> older women by four different </w:t>
      </w:r>
      <w:r w:rsidRPr="00A96689">
        <w:rPr>
          <w:rFonts w:eastAsia="Times New Roman" w:cs="Times New Roman"/>
        </w:rPr>
        <w:t xml:space="preserve">clinical methods. </w:t>
      </w:r>
      <w:r w:rsidRPr="00A96689">
        <w:rPr>
          <w:rFonts w:eastAsia="Times New Roman" w:cs="Times New Roman"/>
          <w:i/>
        </w:rPr>
        <w:t>Aging Clinical and Experimental Research</w:t>
      </w:r>
      <w:r w:rsidRPr="00A96689">
        <w:rPr>
          <w:rFonts w:eastAsia="Times New Roman" w:cs="Times New Roman"/>
        </w:rPr>
        <w:t xml:space="preserve">, </w:t>
      </w:r>
      <w:r w:rsidRPr="00A96689">
        <w:rPr>
          <w:rFonts w:eastAsia="Times New Roman" w:cs="Times New Roman"/>
          <w:i/>
        </w:rPr>
        <w:t>32</w:t>
      </w:r>
      <w:r w:rsidRPr="00A96689">
        <w:rPr>
          <w:rFonts w:eastAsia="Times New Roman" w:cs="Times New Roman"/>
        </w:rPr>
        <w:t>(3), 483–490. https://doi.org/10.1007/s40520-019-01220-8</w:t>
      </w:r>
    </w:p>
    <w:p w14:paraId="681ECE4F" w14:textId="77777777" w:rsidR="008C43AC" w:rsidRPr="00A96689" w:rsidRDefault="00A81554">
      <w:pPr>
        <w:widowControl w:val="0"/>
        <w:ind w:left="480" w:hanging="480"/>
        <w:rPr>
          <w:rFonts w:eastAsia="Times New Roman" w:cs="Times New Roman"/>
        </w:rPr>
      </w:pPr>
      <w:r w:rsidRPr="00A96689">
        <w:rPr>
          <w:rFonts w:eastAsia="Times New Roman" w:cs="Times New Roman"/>
        </w:rPr>
        <w:t xml:space="preserve">Durmaz, B., Soysal, P., Ellidokuz, H., &amp;Isik, A. T. (2018). Validity and reliability of geriatric depression scale-15 (short form) in Turkish  older adults. </w:t>
      </w:r>
      <w:r w:rsidRPr="00A96689">
        <w:rPr>
          <w:rFonts w:eastAsia="Times New Roman" w:cs="Times New Roman"/>
          <w:i/>
        </w:rPr>
        <w:t>Northern Clinics of Istanbul</w:t>
      </w:r>
      <w:r w:rsidRPr="00A96689">
        <w:rPr>
          <w:rFonts w:eastAsia="Times New Roman" w:cs="Times New Roman"/>
        </w:rPr>
        <w:t xml:space="preserve">, </w:t>
      </w:r>
      <w:r w:rsidRPr="00A96689">
        <w:rPr>
          <w:rFonts w:eastAsia="Times New Roman" w:cs="Times New Roman"/>
          <w:i/>
        </w:rPr>
        <w:t>5</w:t>
      </w:r>
      <w:r w:rsidRPr="00A96689">
        <w:rPr>
          <w:rFonts w:eastAsia="Times New Roman" w:cs="Times New Roman"/>
        </w:rPr>
        <w:t>(3), 216–220. https://doi.org/10.14744/nci.2017.85047</w:t>
      </w:r>
    </w:p>
    <w:p w14:paraId="00DD9873" w14:textId="77777777" w:rsidR="008C43AC" w:rsidRPr="00A96689" w:rsidRDefault="00A81554">
      <w:pPr>
        <w:widowControl w:val="0"/>
        <w:ind w:left="480" w:hanging="480"/>
        <w:rPr>
          <w:rFonts w:eastAsia="Times New Roman" w:cs="Times New Roman"/>
        </w:rPr>
      </w:pPr>
      <w:r w:rsidRPr="00A96689">
        <w:rPr>
          <w:rFonts w:eastAsia="Times New Roman" w:cs="Times New Roman"/>
        </w:rPr>
        <w:lastRenderedPageBreak/>
        <w:t xml:space="preserve">Dutoglu, E., Soysal, P., Smith, L., Arik, F., Kalan, U., Kazancioglu, R. T., &amp;Isik, A. T. (2019). Nocturia and its clinical implications in older women. </w:t>
      </w:r>
      <w:r w:rsidRPr="00A96689">
        <w:rPr>
          <w:rFonts w:eastAsia="Times New Roman" w:cs="Times New Roman"/>
          <w:i/>
        </w:rPr>
        <w:t>Archives of Gerontology and Geriatrics</w:t>
      </w:r>
      <w:r w:rsidRPr="00A96689">
        <w:rPr>
          <w:rFonts w:eastAsia="Times New Roman" w:cs="Times New Roman"/>
        </w:rPr>
        <w:t xml:space="preserve">, </w:t>
      </w:r>
      <w:r w:rsidRPr="00A96689">
        <w:rPr>
          <w:rFonts w:eastAsia="Times New Roman" w:cs="Times New Roman"/>
          <w:i/>
        </w:rPr>
        <w:t>85</w:t>
      </w:r>
      <w:r w:rsidRPr="00A96689">
        <w:rPr>
          <w:rFonts w:eastAsia="Times New Roman" w:cs="Times New Roman"/>
        </w:rPr>
        <w:t>, 103917. https://doi.org/10.1016/j.archger.2019.103917</w:t>
      </w:r>
    </w:p>
    <w:p w14:paraId="502E2EE5" w14:textId="77777777" w:rsidR="008C43AC" w:rsidRPr="00A96689" w:rsidRDefault="00A81554">
      <w:pPr>
        <w:widowControl w:val="0"/>
        <w:ind w:left="480" w:hanging="480"/>
        <w:rPr>
          <w:rFonts w:eastAsia="Times New Roman" w:cs="Times New Roman"/>
        </w:rPr>
      </w:pPr>
      <w:r w:rsidRPr="00A96689">
        <w:rPr>
          <w:rFonts w:eastAsia="Times New Roman" w:cs="Times New Roman"/>
        </w:rPr>
        <w:t>Endeshaw, Y. W., Unruh, M. L., Kutner, M., Newman, A. B., &amp;</w:t>
      </w:r>
      <w:r w:rsidR="000F3F02" w:rsidRPr="00A96689">
        <w:rPr>
          <w:rFonts w:eastAsia="Times New Roman" w:cs="Times New Roman"/>
        </w:rPr>
        <w:t xml:space="preserve"> </w:t>
      </w:r>
      <w:r w:rsidRPr="00A96689">
        <w:rPr>
          <w:rFonts w:eastAsia="Times New Roman" w:cs="Times New Roman"/>
        </w:rPr>
        <w:t xml:space="preserve">Bliwise, D. L. (2009). Sleep-disordered breathing and frailty in the Cardiovascular Health Study Cohort. </w:t>
      </w:r>
      <w:r w:rsidRPr="00A96689">
        <w:rPr>
          <w:rFonts w:eastAsia="Times New Roman" w:cs="Times New Roman"/>
          <w:i/>
        </w:rPr>
        <w:t>American Journal of Epidemiology</w:t>
      </w:r>
      <w:r w:rsidRPr="00A96689">
        <w:rPr>
          <w:rFonts w:eastAsia="Times New Roman" w:cs="Times New Roman"/>
        </w:rPr>
        <w:t xml:space="preserve">, </w:t>
      </w:r>
      <w:r w:rsidRPr="00A96689">
        <w:rPr>
          <w:rFonts w:eastAsia="Times New Roman" w:cs="Times New Roman"/>
          <w:i/>
        </w:rPr>
        <w:t>170</w:t>
      </w:r>
      <w:r w:rsidRPr="00A96689">
        <w:rPr>
          <w:rFonts w:eastAsia="Times New Roman" w:cs="Times New Roman"/>
        </w:rPr>
        <w:t>(2), 193–202. https://doi.org/10.1093/aje/kwp108</w:t>
      </w:r>
    </w:p>
    <w:p w14:paraId="16C9ED19" w14:textId="77777777" w:rsidR="008C43AC" w:rsidRPr="00A96689" w:rsidRDefault="00A81554">
      <w:pPr>
        <w:widowControl w:val="0"/>
        <w:ind w:left="480" w:hanging="480"/>
        <w:rPr>
          <w:rFonts w:eastAsia="Times New Roman" w:cs="Times New Roman"/>
        </w:rPr>
      </w:pPr>
      <w:r w:rsidRPr="00A96689">
        <w:rPr>
          <w:rFonts w:eastAsia="Times New Roman" w:cs="Times New Roman"/>
        </w:rPr>
        <w:t xml:space="preserve">Ensrud, K. E., Blackwell, T. L., Redline, S., Ancoli-Israel, S., Paudel, M. L., Cawthon, P. M. et al (2009). Sleep disturbances and frailty status in older community-dwelling men. </w:t>
      </w:r>
      <w:r w:rsidRPr="00A96689">
        <w:rPr>
          <w:rFonts w:eastAsia="Times New Roman" w:cs="Times New Roman"/>
          <w:i/>
        </w:rPr>
        <w:t>Journal of the American Geriatrics Society</w:t>
      </w:r>
      <w:r w:rsidRPr="00A96689">
        <w:rPr>
          <w:rFonts w:eastAsia="Times New Roman" w:cs="Times New Roman"/>
        </w:rPr>
        <w:t xml:space="preserve">, </w:t>
      </w:r>
      <w:r w:rsidRPr="00A96689">
        <w:rPr>
          <w:rFonts w:eastAsia="Times New Roman" w:cs="Times New Roman"/>
          <w:i/>
        </w:rPr>
        <w:t>57</w:t>
      </w:r>
      <w:r w:rsidRPr="00A96689">
        <w:rPr>
          <w:rFonts w:eastAsia="Times New Roman" w:cs="Times New Roman"/>
        </w:rPr>
        <w:t>(11), 2085–2093. https://doi.org/10.1111/j.1532-5415.2009.02490.x</w:t>
      </w:r>
    </w:p>
    <w:p w14:paraId="5B999838" w14:textId="77777777" w:rsidR="008C43AC" w:rsidRPr="00A96689" w:rsidRDefault="00A81554">
      <w:pPr>
        <w:widowControl w:val="0"/>
        <w:ind w:left="480" w:hanging="480"/>
        <w:rPr>
          <w:rFonts w:eastAsia="Times New Roman" w:cs="Times New Roman"/>
        </w:rPr>
      </w:pPr>
      <w:r w:rsidRPr="00A96689">
        <w:rPr>
          <w:rFonts w:eastAsia="Times New Roman" w:cs="Times New Roman"/>
        </w:rPr>
        <w:t xml:space="preserve">Gooneratne, N. S., Weaver, T. E., Cater, J. R., Pack, F. M., Arner, H. M., Greenberg, A. S., &amp; Pack, A. I. (2003). Functional outcomes of excessive daytime sleepiness in older adults. </w:t>
      </w:r>
      <w:r w:rsidRPr="00A96689">
        <w:rPr>
          <w:rFonts w:eastAsia="Times New Roman" w:cs="Times New Roman"/>
          <w:i/>
        </w:rPr>
        <w:t>Journal of the American Geriatrics Society</w:t>
      </w:r>
      <w:r w:rsidRPr="00A96689">
        <w:rPr>
          <w:rFonts w:eastAsia="Times New Roman" w:cs="Times New Roman"/>
        </w:rPr>
        <w:t xml:space="preserve">, </w:t>
      </w:r>
      <w:r w:rsidRPr="00A96689">
        <w:rPr>
          <w:rFonts w:eastAsia="Times New Roman" w:cs="Times New Roman"/>
          <w:i/>
        </w:rPr>
        <w:t>51</w:t>
      </w:r>
      <w:r w:rsidRPr="00A96689">
        <w:rPr>
          <w:rFonts w:eastAsia="Times New Roman" w:cs="Times New Roman"/>
        </w:rPr>
        <w:t>(5), 642–649. https://doi.org/10.1034/j.1600-0579.2003.00208.x</w:t>
      </w:r>
    </w:p>
    <w:p w14:paraId="2E7188C4" w14:textId="77777777" w:rsidR="008C43AC" w:rsidRPr="00A96689" w:rsidRDefault="00A81554">
      <w:pPr>
        <w:widowControl w:val="0"/>
        <w:ind w:left="480" w:hanging="480"/>
        <w:rPr>
          <w:rFonts w:eastAsia="Times New Roman" w:cs="Times New Roman"/>
        </w:rPr>
      </w:pPr>
      <w:r w:rsidRPr="00A96689">
        <w:rPr>
          <w:rFonts w:eastAsia="Times New Roman" w:cs="Times New Roman"/>
        </w:rPr>
        <w:t>Hausdorff, J. M., Rios, D. A., &amp;</w:t>
      </w:r>
      <w:r w:rsidR="008A4323" w:rsidRPr="00A96689">
        <w:rPr>
          <w:rFonts w:eastAsia="Times New Roman" w:cs="Times New Roman"/>
        </w:rPr>
        <w:t xml:space="preserve"> </w:t>
      </w:r>
      <w:r w:rsidRPr="00A96689">
        <w:rPr>
          <w:rFonts w:eastAsia="Times New Roman" w:cs="Times New Roman"/>
        </w:rPr>
        <w:t xml:space="preserve">Edelberg, H. K. (2001). Gait variability and fall risk in community-living older adults: a 1-year  prospective study. </w:t>
      </w:r>
      <w:r w:rsidRPr="00A96689">
        <w:rPr>
          <w:rFonts w:eastAsia="Times New Roman" w:cs="Times New Roman"/>
          <w:i/>
        </w:rPr>
        <w:t>Archives of Physical Medicine and Rehabilitation</w:t>
      </w:r>
      <w:r w:rsidRPr="00A96689">
        <w:rPr>
          <w:rFonts w:eastAsia="Times New Roman" w:cs="Times New Roman"/>
        </w:rPr>
        <w:t xml:space="preserve">, </w:t>
      </w:r>
      <w:r w:rsidRPr="00A96689">
        <w:rPr>
          <w:rFonts w:eastAsia="Times New Roman" w:cs="Times New Roman"/>
          <w:i/>
        </w:rPr>
        <w:t>82</w:t>
      </w:r>
      <w:r w:rsidRPr="00A96689">
        <w:rPr>
          <w:rFonts w:eastAsia="Times New Roman" w:cs="Times New Roman"/>
        </w:rPr>
        <w:t>(8), 1050–1056. https://doi.org/10.1053/apmr.2001.24893</w:t>
      </w:r>
    </w:p>
    <w:p w14:paraId="54989AAC" w14:textId="77777777" w:rsidR="008C43AC" w:rsidRPr="00A96689" w:rsidRDefault="00A81554">
      <w:pPr>
        <w:widowControl w:val="0"/>
        <w:ind w:left="480" w:hanging="480"/>
        <w:rPr>
          <w:rFonts w:eastAsia="Times New Roman" w:cs="Times New Roman"/>
        </w:rPr>
      </w:pPr>
      <w:r w:rsidRPr="00A96689">
        <w:rPr>
          <w:rFonts w:eastAsia="Times New Roman" w:cs="Times New Roman"/>
        </w:rPr>
        <w:t xml:space="preserve">Hayley, A. C., Williams, L. J., Kennedy, G. A., Berk, M., Brennan, S. L., &amp; Pasco, J. A. (2014). Prevalence of excessive daytime sleepiness in a </w:t>
      </w:r>
      <w:r w:rsidR="00EF145A" w:rsidRPr="00A96689">
        <w:rPr>
          <w:rFonts w:eastAsia="Times New Roman" w:cs="Times New Roman"/>
        </w:rPr>
        <w:t xml:space="preserve">sample of the Australian adult </w:t>
      </w:r>
      <w:r w:rsidRPr="00A96689">
        <w:rPr>
          <w:rFonts w:eastAsia="Times New Roman" w:cs="Times New Roman"/>
        </w:rPr>
        <w:t xml:space="preserve">population. </w:t>
      </w:r>
      <w:r w:rsidRPr="00A96689">
        <w:rPr>
          <w:rFonts w:eastAsia="Times New Roman" w:cs="Times New Roman"/>
          <w:i/>
        </w:rPr>
        <w:t>Sleep Medicine</w:t>
      </w:r>
      <w:r w:rsidRPr="00A96689">
        <w:rPr>
          <w:rFonts w:eastAsia="Times New Roman" w:cs="Times New Roman"/>
        </w:rPr>
        <w:t xml:space="preserve">, </w:t>
      </w:r>
      <w:r w:rsidRPr="00A96689">
        <w:rPr>
          <w:rFonts w:eastAsia="Times New Roman" w:cs="Times New Roman"/>
          <w:i/>
        </w:rPr>
        <w:t>15</w:t>
      </w:r>
      <w:r w:rsidRPr="00A96689">
        <w:rPr>
          <w:rFonts w:eastAsia="Times New Roman" w:cs="Times New Roman"/>
        </w:rPr>
        <w:t>(3), 348–354. https://doi.org/10.1016/j.sleep.2013.11.783</w:t>
      </w:r>
    </w:p>
    <w:p w14:paraId="7D729FA8" w14:textId="77777777" w:rsidR="008C43AC" w:rsidRPr="00A96689" w:rsidRDefault="00A81554">
      <w:pPr>
        <w:widowControl w:val="0"/>
        <w:ind w:left="480" w:hanging="480"/>
        <w:rPr>
          <w:rFonts w:eastAsia="Times New Roman" w:cs="Times New Roman"/>
        </w:rPr>
      </w:pPr>
      <w:r w:rsidRPr="00A96689">
        <w:rPr>
          <w:rFonts w:eastAsia="Times New Roman" w:cs="Times New Roman"/>
        </w:rPr>
        <w:t xml:space="preserve">Hayley, A. C., Williams, L. J., Kennedy, G. A., Holloway, K. L., Berk, M., Brennan-Olsen, S. L., &amp; Pasco, J. A. (2015). Excessive daytime sleepiness and falls among older </w:t>
      </w:r>
      <w:r w:rsidR="00EF145A" w:rsidRPr="00A96689">
        <w:rPr>
          <w:rFonts w:eastAsia="Times New Roman" w:cs="Times New Roman"/>
        </w:rPr>
        <w:t xml:space="preserve">men and women: cross-sectional </w:t>
      </w:r>
      <w:r w:rsidRPr="00A96689">
        <w:rPr>
          <w:rFonts w:eastAsia="Times New Roman" w:cs="Times New Roman"/>
        </w:rPr>
        <w:t xml:space="preserve">examination of a population-based sample. </w:t>
      </w:r>
      <w:r w:rsidRPr="00A96689">
        <w:rPr>
          <w:rFonts w:eastAsia="Times New Roman" w:cs="Times New Roman"/>
          <w:i/>
        </w:rPr>
        <w:t>BMC Geriatrics</w:t>
      </w:r>
      <w:r w:rsidRPr="00A96689">
        <w:rPr>
          <w:rFonts w:eastAsia="Times New Roman" w:cs="Times New Roman"/>
        </w:rPr>
        <w:t xml:space="preserve">, </w:t>
      </w:r>
      <w:r w:rsidRPr="00A96689">
        <w:rPr>
          <w:rFonts w:eastAsia="Times New Roman" w:cs="Times New Roman"/>
          <w:i/>
        </w:rPr>
        <w:t>15</w:t>
      </w:r>
      <w:r w:rsidRPr="00A96689">
        <w:rPr>
          <w:rFonts w:eastAsia="Times New Roman" w:cs="Times New Roman"/>
        </w:rPr>
        <w:t>, 74. https://doi.org/10.1186/s12877-015-0068-2</w:t>
      </w:r>
    </w:p>
    <w:p w14:paraId="3163F4CE" w14:textId="77777777" w:rsidR="008C43AC" w:rsidRPr="00A96689" w:rsidRDefault="00A81554">
      <w:pPr>
        <w:widowControl w:val="0"/>
        <w:ind w:left="480" w:hanging="480"/>
        <w:rPr>
          <w:rFonts w:eastAsia="Times New Roman" w:cs="Times New Roman"/>
        </w:rPr>
      </w:pPr>
      <w:r w:rsidRPr="00A96689">
        <w:rPr>
          <w:rFonts w:eastAsia="Times New Roman" w:cs="Times New Roman"/>
        </w:rPr>
        <w:t xml:space="preserve">Hays, J. C., Blazer, D. G., &amp; Foley, D. J. (1996). Risk of napping: excessive daytime sleepiness and </w:t>
      </w:r>
      <w:r w:rsidRPr="00A96689">
        <w:rPr>
          <w:rFonts w:eastAsia="Times New Roman" w:cs="Times New Roman"/>
        </w:rPr>
        <w:lastRenderedPageBreak/>
        <w:t>m</w:t>
      </w:r>
      <w:r w:rsidR="00EF145A" w:rsidRPr="00A96689">
        <w:rPr>
          <w:rFonts w:eastAsia="Times New Roman" w:cs="Times New Roman"/>
        </w:rPr>
        <w:t xml:space="preserve">ortality in an older community </w:t>
      </w:r>
      <w:r w:rsidRPr="00A96689">
        <w:rPr>
          <w:rFonts w:eastAsia="Times New Roman" w:cs="Times New Roman"/>
        </w:rPr>
        <w:t xml:space="preserve">population. </w:t>
      </w:r>
      <w:r w:rsidRPr="00A96689">
        <w:rPr>
          <w:rFonts w:eastAsia="Times New Roman" w:cs="Times New Roman"/>
          <w:i/>
        </w:rPr>
        <w:t>Journal of the American Geriatrics Society</w:t>
      </w:r>
      <w:r w:rsidRPr="00A96689">
        <w:rPr>
          <w:rFonts w:eastAsia="Times New Roman" w:cs="Times New Roman"/>
        </w:rPr>
        <w:t xml:space="preserve">, </w:t>
      </w:r>
      <w:r w:rsidRPr="00A96689">
        <w:rPr>
          <w:rFonts w:eastAsia="Times New Roman" w:cs="Times New Roman"/>
          <w:i/>
        </w:rPr>
        <w:t>44</w:t>
      </w:r>
      <w:r w:rsidRPr="00A96689">
        <w:rPr>
          <w:rFonts w:eastAsia="Times New Roman" w:cs="Times New Roman"/>
        </w:rPr>
        <w:t>(6), 693–698. https://doi.org/10.1111/j.1532-5415.1996.tb01834.x</w:t>
      </w:r>
    </w:p>
    <w:p w14:paraId="62B35794" w14:textId="77777777" w:rsidR="008C43AC" w:rsidRPr="00A96689" w:rsidRDefault="00A81554">
      <w:pPr>
        <w:widowControl w:val="0"/>
        <w:ind w:left="480" w:hanging="480"/>
        <w:rPr>
          <w:rFonts w:eastAsia="Times New Roman" w:cs="Times New Roman"/>
        </w:rPr>
      </w:pPr>
      <w:r w:rsidRPr="00A96689">
        <w:rPr>
          <w:rFonts w:eastAsia="Times New Roman" w:cs="Times New Roman"/>
        </w:rPr>
        <w:t xml:space="preserve">Hublin, C., Kaprio, J., Partinen, M., Heikkilä, K., &amp;Koskenvuo, M. (1996). Daytime sleepiness in an adult, Finnish population. </w:t>
      </w:r>
      <w:r w:rsidRPr="00A96689">
        <w:rPr>
          <w:rFonts w:eastAsia="Times New Roman" w:cs="Times New Roman"/>
          <w:i/>
        </w:rPr>
        <w:t>Journal of Internal Medicine</w:t>
      </w:r>
      <w:r w:rsidRPr="00A96689">
        <w:rPr>
          <w:rFonts w:eastAsia="Times New Roman" w:cs="Times New Roman"/>
        </w:rPr>
        <w:t xml:space="preserve">, </w:t>
      </w:r>
      <w:r w:rsidRPr="00A96689">
        <w:rPr>
          <w:rFonts w:eastAsia="Times New Roman" w:cs="Times New Roman"/>
          <w:i/>
        </w:rPr>
        <w:t>239</w:t>
      </w:r>
      <w:r w:rsidRPr="00A96689">
        <w:rPr>
          <w:rFonts w:eastAsia="Times New Roman" w:cs="Times New Roman"/>
        </w:rPr>
        <w:t>(5), 417–423. https://doi.org/10.1046/j.1365-2796.1996.475826000.x</w:t>
      </w:r>
    </w:p>
    <w:p w14:paraId="1533B351" w14:textId="77777777" w:rsidR="008C43AC" w:rsidRPr="00A96689" w:rsidRDefault="00A81554">
      <w:pPr>
        <w:widowControl w:val="0"/>
        <w:ind w:left="480" w:hanging="480"/>
        <w:rPr>
          <w:rFonts w:eastAsia="Times New Roman" w:cs="Times New Roman"/>
        </w:rPr>
      </w:pPr>
      <w:r w:rsidRPr="00A96689">
        <w:rPr>
          <w:rFonts w:eastAsia="Times New Roman" w:cs="Times New Roman"/>
        </w:rPr>
        <w:t xml:space="preserve">Izci, B., Ardic, S., Firat, H., Sahin, A., Altinors, M., &amp;Karacan, I. (2008). Reliability and validity studies of the Turkish version of the Epworth Sleepiness  Scale. </w:t>
      </w:r>
      <w:r w:rsidRPr="00A96689">
        <w:rPr>
          <w:rFonts w:eastAsia="Times New Roman" w:cs="Times New Roman"/>
          <w:i/>
        </w:rPr>
        <w:t>Sleep &amp; Breathing = Schlaf&amp;Atmung</w:t>
      </w:r>
      <w:r w:rsidRPr="00A96689">
        <w:rPr>
          <w:rFonts w:eastAsia="Times New Roman" w:cs="Times New Roman"/>
        </w:rPr>
        <w:t xml:space="preserve">, </w:t>
      </w:r>
      <w:r w:rsidRPr="00A96689">
        <w:rPr>
          <w:rFonts w:eastAsia="Times New Roman" w:cs="Times New Roman"/>
          <w:i/>
        </w:rPr>
        <w:t>12</w:t>
      </w:r>
      <w:r w:rsidRPr="00A96689">
        <w:rPr>
          <w:rFonts w:eastAsia="Times New Roman" w:cs="Times New Roman"/>
        </w:rPr>
        <w:t>(2), 161–168. https://doi.org/10.1007/s11325-007-0145-7</w:t>
      </w:r>
    </w:p>
    <w:p w14:paraId="7B72E923" w14:textId="77777777" w:rsidR="008C43AC" w:rsidRPr="00A96689" w:rsidRDefault="00A81554">
      <w:pPr>
        <w:widowControl w:val="0"/>
        <w:ind w:left="480" w:hanging="480"/>
        <w:rPr>
          <w:rFonts w:eastAsia="Times New Roman" w:cs="Times New Roman"/>
        </w:rPr>
      </w:pPr>
      <w:r w:rsidRPr="00A96689">
        <w:rPr>
          <w:rFonts w:eastAsia="Times New Roman" w:cs="Times New Roman"/>
        </w:rPr>
        <w:t xml:space="preserve">Johns, M. W. (2000). Sensitivity and specificity of the multiple sleep latency test (MSLT), the  maintenance of wakefulness test and the epworth sleepiness scale: failure of the MSLT as a gold standard. </w:t>
      </w:r>
      <w:r w:rsidRPr="00A96689">
        <w:rPr>
          <w:rFonts w:eastAsia="Times New Roman" w:cs="Times New Roman"/>
          <w:i/>
        </w:rPr>
        <w:t>Journal of Sleep Research</w:t>
      </w:r>
      <w:r w:rsidRPr="00A96689">
        <w:rPr>
          <w:rFonts w:eastAsia="Times New Roman" w:cs="Times New Roman"/>
        </w:rPr>
        <w:t xml:space="preserve">, </w:t>
      </w:r>
      <w:r w:rsidRPr="00A96689">
        <w:rPr>
          <w:rFonts w:eastAsia="Times New Roman" w:cs="Times New Roman"/>
          <w:i/>
        </w:rPr>
        <w:t>9</w:t>
      </w:r>
      <w:r w:rsidRPr="00A96689">
        <w:rPr>
          <w:rFonts w:eastAsia="Times New Roman" w:cs="Times New Roman"/>
        </w:rPr>
        <w:t>(1), 5–11. https://doi.org/10.1046/j.1365-2869.2000.00177.x</w:t>
      </w:r>
    </w:p>
    <w:p w14:paraId="0266E532" w14:textId="77777777" w:rsidR="008C43AC" w:rsidRPr="00A96689" w:rsidRDefault="00A81554">
      <w:pPr>
        <w:widowControl w:val="0"/>
        <w:ind w:left="480" w:hanging="480"/>
        <w:rPr>
          <w:rFonts w:eastAsia="Times New Roman" w:cs="Times New Roman"/>
        </w:rPr>
      </w:pPr>
      <w:r w:rsidRPr="00A96689">
        <w:rPr>
          <w:rFonts w:eastAsia="Times New Roman" w:cs="Times New Roman"/>
        </w:rPr>
        <w:t xml:space="preserve">Kannus, P, Parkkari, J., Koskinen, S., Niemi, S., Palvanen, M., Järvinen, M., &amp;Vuori, I. (1999). Fall-induced injuries and deaths among older adults. </w:t>
      </w:r>
      <w:r w:rsidRPr="00A96689">
        <w:rPr>
          <w:rFonts w:eastAsia="Times New Roman" w:cs="Times New Roman"/>
          <w:i/>
        </w:rPr>
        <w:t>JAMA</w:t>
      </w:r>
      <w:r w:rsidRPr="00A96689">
        <w:rPr>
          <w:rFonts w:eastAsia="Times New Roman" w:cs="Times New Roman"/>
        </w:rPr>
        <w:t xml:space="preserve">, </w:t>
      </w:r>
      <w:r w:rsidRPr="00A96689">
        <w:rPr>
          <w:rFonts w:eastAsia="Times New Roman" w:cs="Times New Roman"/>
          <w:i/>
        </w:rPr>
        <w:t>281</w:t>
      </w:r>
      <w:r w:rsidRPr="00A96689">
        <w:rPr>
          <w:rFonts w:eastAsia="Times New Roman" w:cs="Times New Roman"/>
        </w:rPr>
        <w:t>(20), 1895–1899. https://doi.org/10.1001/jama.281.20.1895</w:t>
      </w:r>
    </w:p>
    <w:p w14:paraId="40735DD8" w14:textId="77777777" w:rsidR="008C43AC" w:rsidRPr="00A96689" w:rsidRDefault="00A81554">
      <w:pPr>
        <w:widowControl w:val="0"/>
        <w:ind w:left="480" w:hanging="480"/>
        <w:rPr>
          <w:rFonts w:eastAsia="Times New Roman" w:cs="Times New Roman"/>
        </w:rPr>
      </w:pPr>
      <w:r w:rsidRPr="00A96689">
        <w:rPr>
          <w:rFonts w:eastAsia="Times New Roman" w:cs="Times New Roman"/>
        </w:rPr>
        <w:t xml:space="preserve">Kannus, Pekka, Sievänen, H., Palvanen, M., Järvinen, T., &amp;Parkkari, J. (2005). Prevention of falls and consequent injuries in elderly people. </w:t>
      </w:r>
      <w:r w:rsidRPr="00A96689">
        <w:rPr>
          <w:rFonts w:eastAsia="Times New Roman" w:cs="Times New Roman"/>
          <w:i/>
        </w:rPr>
        <w:t>Lancet (London, England)</w:t>
      </w:r>
      <w:r w:rsidRPr="00A96689">
        <w:rPr>
          <w:rFonts w:eastAsia="Times New Roman" w:cs="Times New Roman"/>
        </w:rPr>
        <w:t xml:space="preserve">, </w:t>
      </w:r>
      <w:r w:rsidRPr="00A96689">
        <w:rPr>
          <w:rFonts w:eastAsia="Times New Roman" w:cs="Times New Roman"/>
          <w:i/>
        </w:rPr>
        <w:t>366</w:t>
      </w:r>
      <w:r w:rsidRPr="00A96689">
        <w:rPr>
          <w:rFonts w:eastAsia="Times New Roman" w:cs="Times New Roman"/>
        </w:rPr>
        <w:t>(9500), 1885–1893. https://doi.org/10.1016/S0140-6736(05)67604-0</w:t>
      </w:r>
    </w:p>
    <w:p w14:paraId="24E40788" w14:textId="45F2D5D5" w:rsidR="008C43AC" w:rsidRPr="00A96689" w:rsidRDefault="00A81554">
      <w:pPr>
        <w:widowControl w:val="0"/>
        <w:ind w:left="480" w:hanging="480"/>
        <w:rPr>
          <w:rFonts w:eastAsia="Times New Roman" w:cs="Times New Roman"/>
        </w:rPr>
      </w:pPr>
      <w:r w:rsidRPr="00A96689">
        <w:rPr>
          <w:rFonts w:eastAsia="Times New Roman" w:cs="Times New Roman"/>
        </w:rPr>
        <w:t>Kasanuki, K., Ferman, T. J., Murray, M. E., Heckman, M. G., Pedraza, O., Hanna Al-Shaikh, F. S. et al (2018). Daytime sleepiness in dementia with Lewy bodi</w:t>
      </w:r>
      <w:r w:rsidR="00EF145A" w:rsidRPr="00A96689">
        <w:rPr>
          <w:rFonts w:eastAsia="Times New Roman" w:cs="Times New Roman"/>
        </w:rPr>
        <w:t xml:space="preserve">es is associated with neuronal </w:t>
      </w:r>
      <w:r w:rsidRPr="00A96689">
        <w:rPr>
          <w:rFonts w:eastAsia="Times New Roman" w:cs="Times New Roman"/>
        </w:rPr>
        <w:t xml:space="preserve">depletion of the nucleus basalis of Meynert. </w:t>
      </w:r>
      <w:r w:rsidRPr="00A96689">
        <w:rPr>
          <w:rFonts w:eastAsia="Times New Roman" w:cs="Times New Roman"/>
          <w:i/>
        </w:rPr>
        <w:t>Parkinsonism &amp; Related Disorders</w:t>
      </w:r>
      <w:r w:rsidRPr="00A96689">
        <w:rPr>
          <w:rFonts w:eastAsia="Times New Roman" w:cs="Times New Roman"/>
        </w:rPr>
        <w:t xml:space="preserve">, </w:t>
      </w:r>
      <w:r w:rsidRPr="00A96689">
        <w:rPr>
          <w:rFonts w:eastAsia="Times New Roman" w:cs="Times New Roman"/>
          <w:i/>
        </w:rPr>
        <w:t>50</w:t>
      </w:r>
      <w:r w:rsidRPr="00A96689">
        <w:rPr>
          <w:rFonts w:eastAsia="Times New Roman" w:cs="Times New Roman"/>
        </w:rPr>
        <w:t xml:space="preserve">, 99–103. </w:t>
      </w:r>
      <w:hyperlink r:id="rId10" w:history="1">
        <w:r w:rsidR="005E2C5A" w:rsidRPr="00A96689">
          <w:rPr>
            <w:rStyle w:val="Hyperlink"/>
            <w:rFonts w:eastAsia="Times New Roman" w:cs="Times New Roman"/>
          </w:rPr>
          <w:t>https://doi.org/10.1016/j.parkreldis.2018.02.003</w:t>
        </w:r>
      </w:hyperlink>
    </w:p>
    <w:p w14:paraId="328C8E60" w14:textId="3E407B4C" w:rsidR="005E2C5A" w:rsidRPr="00A96689" w:rsidRDefault="005E2C5A" w:rsidP="005E2C5A">
      <w:pPr>
        <w:widowControl w:val="0"/>
        <w:tabs>
          <w:tab w:val="num" w:pos="720"/>
        </w:tabs>
        <w:ind w:left="480" w:hanging="480"/>
        <w:rPr>
          <w:rFonts w:eastAsia="Times New Roman" w:cs="Times New Roman"/>
          <w:lang w:val="en-GB"/>
        </w:rPr>
      </w:pPr>
      <w:r w:rsidRPr="00A96689">
        <w:rPr>
          <w:rFonts w:eastAsia="Times New Roman" w:cs="Times New Roman"/>
        </w:rPr>
        <w:t>Kocyigit SE, </w:t>
      </w:r>
      <w:r w:rsidRPr="00A96689">
        <w:rPr>
          <w:rFonts w:eastAsia="Times New Roman" w:cs="Times New Roman"/>
          <w:b/>
          <w:bCs/>
        </w:rPr>
        <w:t>Soysal P</w:t>
      </w:r>
      <w:r w:rsidRPr="00A96689">
        <w:rPr>
          <w:rFonts w:eastAsia="Times New Roman" w:cs="Times New Roman"/>
        </w:rPr>
        <w:t xml:space="preserve">, Bulut EA, Aydin AE, Dokuzlar O, Isik AT. (2019). </w:t>
      </w:r>
      <w:r w:rsidRPr="00A96689">
        <w:rPr>
          <w:rFonts w:eastAsia="Times New Roman" w:cs="Times New Roman"/>
          <w:lang w:val="en-GB"/>
        </w:rPr>
        <w:t xml:space="preserve">What is the relationship between frailty and orthostatic hypotension in older adults? </w:t>
      </w:r>
      <w:r w:rsidRPr="00A96689">
        <w:rPr>
          <w:rFonts w:eastAsia="Times New Roman" w:cs="Times New Roman"/>
          <w:i/>
          <w:iCs/>
          <w:lang w:val="en-GB"/>
        </w:rPr>
        <w:t>J Geriatr Cardiol.</w:t>
      </w:r>
      <w:r w:rsidRPr="00A96689">
        <w:rPr>
          <w:rFonts w:eastAsia="Times New Roman" w:cs="Times New Roman"/>
          <w:lang w:val="en-GB"/>
        </w:rPr>
        <w:t xml:space="preserve">16(3):272-279. doi: </w:t>
      </w:r>
      <w:r w:rsidRPr="00A96689">
        <w:rPr>
          <w:rFonts w:eastAsia="Times New Roman" w:cs="Times New Roman"/>
          <w:lang w:val="en-GB"/>
        </w:rPr>
        <w:lastRenderedPageBreak/>
        <w:t>10.11909/j.issn.1671-5411.2019.03.005.</w:t>
      </w:r>
    </w:p>
    <w:p w14:paraId="5B01B1A3" w14:textId="77777777" w:rsidR="008C43AC" w:rsidRPr="00A96689" w:rsidRDefault="00A81554">
      <w:pPr>
        <w:widowControl w:val="0"/>
        <w:ind w:left="480" w:hanging="480"/>
        <w:rPr>
          <w:rFonts w:eastAsia="Times New Roman" w:cs="Times New Roman"/>
        </w:rPr>
      </w:pPr>
      <w:r w:rsidRPr="00A96689">
        <w:rPr>
          <w:rFonts w:eastAsia="Times New Roman" w:cs="Times New Roman"/>
        </w:rPr>
        <w:t>Lima, C. A., Soares, W. J. de S., Bilton, T. L., Dias, R. C., Ferrioll, E., &amp;Perracini, M. R. (2015). Correlates of excessive daytime sleepiness in commu</w:t>
      </w:r>
      <w:r w:rsidR="00EF145A" w:rsidRPr="00A96689">
        <w:rPr>
          <w:rFonts w:eastAsia="Times New Roman" w:cs="Times New Roman"/>
        </w:rPr>
        <w:t xml:space="preserve">nity-dwelling older adults: an </w:t>
      </w:r>
      <w:r w:rsidRPr="00A96689">
        <w:rPr>
          <w:rFonts w:eastAsia="Times New Roman" w:cs="Times New Roman"/>
        </w:rPr>
        <w:t xml:space="preserve">exploratory study. </w:t>
      </w:r>
      <w:r w:rsidRPr="00A96689">
        <w:rPr>
          <w:rFonts w:eastAsia="Times New Roman" w:cs="Times New Roman"/>
          <w:i/>
        </w:rPr>
        <w:t>RevistaBrasileira de Epidemiologia = Brazilian Journal of Epidemiology</w:t>
      </w:r>
      <w:r w:rsidRPr="00A96689">
        <w:rPr>
          <w:rFonts w:eastAsia="Times New Roman" w:cs="Times New Roman"/>
        </w:rPr>
        <w:t xml:space="preserve">, </w:t>
      </w:r>
      <w:r w:rsidRPr="00A96689">
        <w:rPr>
          <w:rFonts w:eastAsia="Times New Roman" w:cs="Times New Roman"/>
          <w:i/>
        </w:rPr>
        <w:t>18</w:t>
      </w:r>
      <w:r w:rsidRPr="00A96689">
        <w:rPr>
          <w:rFonts w:eastAsia="Times New Roman" w:cs="Times New Roman"/>
        </w:rPr>
        <w:t>(3), 607–617. https://doi.org/10.1590/1980-5497201500030007</w:t>
      </w:r>
    </w:p>
    <w:p w14:paraId="6B08B41F" w14:textId="77777777" w:rsidR="008C43AC" w:rsidRPr="00A96689" w:rsidRDefault="00A81554">
      <w:pPr>
        <w:widowControl w:val="0"/>
        <w:ind w:left="480" w:hanging="480"/>
        <w:rPr>
          <w:rFonts w:eastAsia="Times New Roman" w:cs="Times New Roman"/>
        </w:rPr>
      </w:pPr>
      <w:r w:rsidRPr="00A96689">
        <w:rPr>
          <w:rFonts w:eastAsia="Times New Roman" w:cs="Times New Roman"/>
        </w:rPr>
        <w:t xml:space="preserve">Ma, J., Yao, Y.-J., Ma, R.-M., Li, J.-Q., Wang, T., Li, X.-J. et al (2009). Effects of sleep deprivation on human postural </w:t>
      </w:r>
      <w:r w:rsidR="00EF145A" w:rsidRPr="00A96689">
        <w:rPr>
          <w:rFonts w:eastAsia="Times New Roman" w:cs="Times New Roman"/>
        </w:rPr>
        <w:t xml:space="preserve">control, subjective fatigue </w:t>
      </w:r>
      <w:r w:rsidRPr="00A96689">
        <w:rPr>
          <w:rFonts w:eastAsia="Times New Roman" w:cs="Times New Roman"/>
        </w:rPr>
        <w:t xml:space="preserve">assessment and psychomotor performance. </w:t>
      </w:r>
      <w:r w:rsidRPr="00A96689">
        <w:rPr>
          <w:rFonts w:eastAsia="Times New Roman" w:cs="Times New Roman"/>
          <w:i/>
        </w:rPr>
        <w:t>The Journal of International Medical Research</w:t>
      </w:r>
      <w:r w:rsidRPr="00A96689">
        <w:rPr>
          <w:rFonts w:eastAsia="Times New Roman" w:cs="Times New Roman"/>
        </w:rPr>
        <w:t xml:space="preserve">, </w:t>
      </w:r>
      <w:r w:rsidRPr="00A96689">
        <w:rPr>
          <w:rFonts w:eastAsia="Times New Roman" w:cs="Times New Roman"/>
          <w:i/>
        </w:rPr>
        <w:t>37</w:t>
      </w:r>
      <w:r w:rsidRPr="00A96689">
        <w:rPr>
          <w:rFonts w:eastAsia="Times New Roman" w:cs="Times New Roman"/>
        </w:rPr>
        <w:t>(5), 1311–1320. https://doi.org/10.1177/147323000903700506</w:t>
      </w:r>
    </w:p>
    <w:p w14:paraId="47F2F768" w14:textId="6463F40A" w:rsidR="008C43AC" w:rsidRPr="00A96689" w:rsidRDefault="00A81554">
      <w:pPr>
        <w:widowControl w:val="0"/>
        <w:ind w:left="480" w:hanging="480"/>
        <w:rPr>
          <w:rFonts w:eastAsia="Times New Roman" w:cs="Times New Roman"/>
        </w:rPr>
      </w:pPr>
      <w:r w:rsidRPr="00A96689">
        <w:rPr>
          <w:rFonts w:eastAsia="Times New Roman" w:cs="Times New Roman"/>
        </w:rPr>
        <w:t xml:space="preserve">Malmstrom, T. K., Miller, D. K., Simonsick, E. M., Ferrucci, L., &amp; Morley, J. E. (2016). SARC-F: a symptom score to predict persons with sarcopenia at risk for poor  functional outcomes. </w:t>
      </w:r>
      <w:r w:rsidRPr="00A96689">
        <w:rPr>
          <w:rFonts w:eastAsia="Times New Roman" w:cs="Times New Roman"/>
          <w:i/>
        </w:rPr>
        <w:t>Journal of Cachexia, Sarcopenia and Muscle</w:t>
      </w:r>
      <w:r w:rsidRPr="00A96689">
        <w:rPr>
          <w:rFonts w:eastAsia="Times New Roman" w:cs="Times New Roman"/>
        </w:rPr>
        <w:t xml:space="preserve">, </w:t>
      </w:r>
      <w:r w:rsidRPr="00A96689">
        <w:rPr>
          <w:rFonts w:eastAsia="Times New Roman" w:cs="Times New Roman"/>
          <w:i/>
        </w:rPr>
        <w:t>7</w:t>
      </w:r>
      <w:r w:rsidRPr="00A96689">
        <w:rPr>
          <w:rFonts w:eastAsia="Times New Roman" w:cs="Times New Roman"/>
        </w:rPr>
        <w:t xml:space="preserve">(1), 28–36. </w:t>
      </w:r>
      <w:hyperlink r:id="rId11" w:history="1">
        <w:r w:rsidR="00EF6244" w:rsidRPr="00A96689">
          <w:rPr>
            <w:rStyle w:val="Hyperlink"/>
            <w:rFonts w:eastAsia="Times New Roman" w:cs="Times New Roman"/>
          </w:rPr>
          <w:t>https://doi.org/10.1002/jcsm.12048</w:t>
        </w:r>
      </w:hyperlink>
    </w:p>
    <w:p w14:paraId="7911B033" w14:textId="1C218DDA" w:rsidR="00EF6244" w:rsidRPr="00A96689" w:rsidRDefault="00EF6244">
      <w:pPr>
        <w:widowControl w:val="0"/>
        <w:ind w:left="480" w:hanging="480"/>
        <w:rPr>
          <w:rFonts w:eastAsia="Times New Roman" w:cs="Times New Roman"/>
        </w:rPr>
      </w:pPr>
      <w:r w:rsidRPr="00A96689">
        <w:rPr>
          <w:rFonts w:eastAsia="Times New Roman" w:cs="Times New Roman"/>
        </w:rPr>
        <w:t>Mong JA, Cusmano DM. (2016)</w:t>
      </w:r>
      <w:r w:rsidRPr="00A96689">
        <w:rPr>
          <w:rFonts w:eastAsia="Times New Roman" w:cs="Times New Roman"/>
          <w:iCs/>
        </w:rPr>
        <w:t xml:space="preserve">. </w:t>
      </w:r>
      <w:hyperlink r:id="rId12" w:history="1">
        <w:r w:rsidRPr="00A96689">
          <w:rPr>
            <w:iCs/>
          </w:rPr>
          <w:t>Sex differences in sleep: impact of biological sex and sex steroids.</w:t>
        </w:r>
      </w:hyperlink>
      <w:r w:rsidRPr="00A96689">
        <w:rPr>
          <w:rFonts w:eastAsia="Times New Roman" w:cs="Times New Roman"/>
          <w:iCs/>
        </w:rPr>
        <w:t xml:space="preserve"> </w:t>
      </w:r>
      <w:r w:rsidRPr="00A96689">
        <w:rPr>
          <w:rFonts w:eastAsia="Times New Roman" w:cs="Times New Roman"/>
          <w:i/>
        </w:rPr>
        <w:t>Philos Trans R Soc Lond B Biol Sci.</w:t>
      </w:r>
      <w:r w:rsidRPr="00A96689">
        <w:rPr>
          <w:rFonts w:eastAsia="Times New Roman" w:cs="Times New Roman"/>
          <w:iCs/>
        </w:rPr>
        <w:t xml:space="preserve"> 19;371(1688):20150110. doi: 10.1098/rstb.2015.0110.</w:t>
      </w:r>
    </w:p>
    <w:p w14:paraId="4F0A2B38" w14:textId="77777777" w:rsidR="008C43AC" w:rsidRPr="00A96689" w:rsidRDefault="00A81554">
      <w:pPr>
        <w:widowControl w:val="0"/>
        <w:ind w:left="480" w:hanging="480"/>
        <w:rPr>
          <w:rFonts w:eastAsia="Times New Roman" w:cs="Times New Roman"/>
        </w:rPr>
      </w:pPr>
      <w:r w:rsidRPr="00A96689">
        <w:rPr>
          <w:rFonts w:eastAsia="Times New Roman" w:cs="Times New Roman"/>
        </w:rPr>
        <w:t xml:space="preserve">Ohayon, M. M., &amp;Vecchierini, M.-F. (2002). Daytime sleepiness and cognitive impairment in the elderly population. </w:t>
      </w:r>
      <w:r w:rsidRPr="00A96689">
        <w:rPr>
          <w:rFonts w:eastAsia="Times New Roman" w:cs="Times New Roman"/>
          <w:i/>
        </w:rPr>
        <w:t>Archives of Internal Medicine</w:t>
      </w:r>
      <w:r w:rsidRPr="00A96689">
        <w:rPr>
          <w:rFonts w:eastAsia="Times New Roman" w:cs="Times New Roman"/>
        </w:rPr>
        <w:t xml:space="preserve">, </w:t>
      </w:r>
      <w:r w:rsidRPr="00A96689">
        <w:rPr>
          <w:rFonts w:eastAsia="Times New Roman" w:cs="Times New Roman"/>
          <w:i/>
        </w:rPr>
        <w:t>162</w:t>
      </w:r>
      <w:r w:rsidRPr="00A96689">
        <w:rPr>
          <w:rFonts w:eastAsia="Times New Roman" w:cs="Times New Roman"/>
        </w:rPr>
        <w:t>(2), 201–208. https://doi.org/10.1001/archinte.162.2.201</w:t>
      </w:r>
    </w:p>
    <w:p w14:paraId="5428E666" w14:textId="77777777" w:rsidR="008C43AC" w:rsidRPr="00A96689" w:rsidRDefault="00A81554">
      <w:pPr>
        <w:widowControl w:val="0"/>
        <w:ind w:left="480" w:hanging="480"/>
        <w:rPr>
          <w:rFonts w:eastAsia="Times New Roman" w:cs="Times New Roman"/>
        </w:rPr>
      </w:pPr>
      <w:r w:rsidRPr="00A96689">
        <w:rPr>
          <w:rFonts w:eastAsia="Times New Roman" w:cs="Times New Roman"/>
        </w:rPr>
        <w:t xml:space="preserve">Robillard, R., Prince, F., Filipini, D., &amp; Carrier, J. (2011). Aging worsens the effects of sleep deprivation on postural control. </w:t>
      </w:r>
      <w:r w:rsidRPr="00A96689">
        <w:rPr>
          <w:rFonts w:eastAsia="Times New Roman" w:cs="Times New Roman"/>
          <w:i/>
        </w:rPr>
        <w:t>PloS One</w:t>
      </w:r>
      <w:r w:rsidRPr="00A96689">
        <w:rPr>
          <w:rFonts w:eastAsia="Times New Roman" w:cs="Times New Roman"/>
        </w:rPr>
        <w:t xml:space="preserve">, </w:t>
      </w:r>
      <w:r w:rsidRPr="00A96689">
        <w:rPr>
          <w:rFonts w:eastAsia="Times New Roman" w:cs="Times New Roman"/>
          <w:i/>
        </w:rPr>
        <w:t>6</w:t>
      </w:r>
      <w:r w:rsidRPr="00A96689">
        <w:rPr>
          <w:rFonts w:eastAsia="Times New Roman" w:cs="Times New Roman"/>
        </w:rPr>
        <w:t>(12), e28731. https://doi.org/10.1371/journal.pone.0028731</w:t>
      </w:r>
    </w:p>
    <w:p w14:paraId="401BB5D7" w14:textId="77777777" w:rsidR="008C43AC" w:rsidRPr="00A96689" w:rsidRDefault="00A81554">
      <w:pPr>
        <w:widowControl w:val="0"/>
        <w:ind w:left="480" w:hanging="480"/>
        <w:rPr>
          <w:rFonts w:eastAsia="Times New Roman" w:cs="Times New Roman"/>
        </w:rPr>
      </w:pPr>
      <w:r w:rsidRPr="00A96689">
        <w:rPr>
          <w:rFonts w:eastAsia="Times New Roman" w:cs="Times New Roman"/>
        </w:rPr>
        <w:t xml:space="preserve">Rodacki, A. L. F., Boneti Moreira, N., Pitta, A., Wolf, R., MeloFilho, J., Rodacki, C. de L. N., &amp; Pereira, G. (2020). Is Handgrip Strength a Useful Measure to Evaluate Lower Limb Strength and Functional  Performance in Older Women? </w:t>
      </w:r>
      <w:r w:rsidRPr="00A96689">
        <w:rPr>
          <w:rFonts w:eastAsia="Times New Roman" w:cs="Times New Roman"/>
          <w:i/>
        </w:rPr>
        <w:t>Clinical Interventions in Aging</w:t>
      </w:r>
      <w:r w:rsidRPr="00A96689">
        <w:rPr>
          <w:rFonts w:eastAsia="Times New Roman" w:cs="Times New Roman"/>
        </w:rPr>
        <w:t xml:space="preserve">, </w:t>
      </w:r>
      <w:r w:rsidRPr="00A96689">
        <w:rPr>
          <w:rFonts w:eastAsia="Times New Roman" w:cs="Times New Roman"/>
          <w:i/>
        </w:rPr>
        <w:t>15</w:t>
      </w:r>
      <w:r w:rsidRPr="00A96689">
        <w:rPr>
          <w:rFonts w:eastAsia="Times New Roman" w:cs="Times New Roman"/>
        </w:rPr>
        <w:t>, 1045–1056. https://doi.org/10.2147/CIA.S253262</w:t>
      </w:r>
    </w:p>
    <w:p w14:paraId="021BCA55" w14:textId="5E872F46" w:rsidR="008C43AC" w:rsidRPr="00A96689" w:rsidRDefault="00A81554">
      <w:pPr>
        <w:widowControl w:val="0"/>
        <w:ind w:left="480" w:hanging="480"/>
        <w:rPr>
          <w:rFonts w:eastAsia="Times New Roman" w:cs="Times New Roman"/>
        </w:rPr>
      </w:pPr>
      <w:r w:rsidRPr="00A96689">
        <w:rPr>
          <w:rFonts w:eastAsia="Times New Roman" w:cs="Times New Roman"/>
        </w:rPr>
        <w:t xml:space="preserve">Shumway-Cook, A., Brauer, S., &amp;Woollacott, M. (2000). Predicting the probability for falls in </w:t>
      </w:r>
      <w:r w:rsidRPr="00A96689">
        <w:rPr>
          <w:rFonts w:eastAsia="Times New Roman" w:cs="Times New Roman"/>
          <w:b/>
          <w:bCs/>
        </w:rPr>
        <w:lastRenderedPageBreak/>
        <w:t>community-d</w:t>
      </w:r>
      <w:r w:rsidR="00EF145A" w:rsidRPr="00A96689">
        <w:rPr>
          <w:rFonts w:eastAsia="Times New Roman" w:cs="Times New Roman"/>
          <w:b/>
          <w:bCs/>
        </w:rPr>
        <w:t>wel</w:t>
      </w:r>
      <w:r w:rsidR="00EF145A" w:rsidRPr="00A96689">
        <w:rPr>
          <w:rFonts w:eastAsia="Times New Roman" w:cs="Times New Roman"/>
        </w:rPr>
        <w:t xml:space="preserve">ling older adults using the </w:t>
      </w:r>
      <w:r w:rsidRPr="00A96689">
        <w:rPr>
          <w:rFonts w:eastAsia="Times New Roman" w:cs="Times New Roman"/>
        </w:rPr>
        <w:t xml:space="preserve">Timed Up &amp; Go Test. </w:t>
      </w:r>
      <w:r w:rsidRPr="00A96689">
        <w:rPr>
          <w:rFonts w:eastAsia="Times New Roman" w:cs="Times New Roman"/>
          <w:i/>
        </w:rPr>
        <w:t>Physical Therapy</w:t>
      </w:r>
      <w:r w:rsidRPr="00A96689">
        <w:rPr>
          <w:rFonts w:eastAsia="Times New Roman" w:cs="Times New Roman"/>
        </w:rPr>
        <w:t xml:space="preserve">, </w:t>
      </w:r>
      <w:r w:rsidRPr="00A96689">
        <w:rPr>
          <w:rFonts w:eastAsia="Times New Roman" w:cs="Times New Roman"/>
          <w:i/>
        </w:rPr>
        <w:t>80</w:t>
      </w:r>
      <w:r w:rsidRPr="00A96689">
        <w:rPr>
          <w:rFonts w:eastAsia="Times New Roman" w:cs="Times New Roman"/>
        </w:rPr>
        <w:t>(9), 896–903.</w:t>
      </w:r>
    </w:p>
    <w:p w14:paraId="2FD81037" w14:textId="7BF991A7" w:rsidR="00D27B14" w:rsidRPr="00A96689" w:rsidRDefault="00D27B14" w:rsidP="00D27B14">
      <w:pPr>
        <w:widowControl w:val="0"/>
        <w:tabs>
          <w:tab w:val="num" w:pos="720"/>
        </w:tabs>
        <w:ind w:left="480" w:hanging="480"/>
        <w:rPr>
          <w:rFonts w:eastAsia="Times New Roman" w:cs="Times New Roman"/>
          <w:lang w:val="en-GB"/>
        </w:rPr>
      </w:pPr>
      <w:r w:rsidRPr="00A96689">
        <w:rPr>
          <w:rFonts w:eastAsia="Times New Roman" w:cs="Times New Roman"/>
        </w:rPr>
        <w:t xml:space="preserve">Smith L, Tully M, Jacob L, Blackburn N, Adlakha D, Caserotti P et al. (2020). </w:t>
      </w:r>
      <w:r w:rsidRPr="00A96689">
        <w:rPr>
          <w:rFonts w:eastAsia="Times New Roman" w:cs="Times New Roman"/>
          <w:lang w:val="en-GB"/>
        </w:rPr>
        <w:t xml:space="preserve">The Association Between Sedentary Behavior and Sarcopenia Among Adults Aged ≥65 Years in Low- and Middle-Income Countries. </w:t>
      </w:r>
      <w:r w:rsidRPr="00A96689">
        <w:rPr>
          <w:rFonts w:eastAsia="Times New Roman" w:cs="Times New Roman"/>
          <w:i/>
          <w:iCs/>
          <w:lang w:val="en-GB"/>
        </w:rPr>
        <w:t>Int J Environ Res Public Health.</w:t>
      </w:r>
      <w:r w:rsidRPr="00A96689">
        <w:rPr>
          <w:rFonts w:eastAsia="Times New Roman" w:cs="Times New Roman"/>
          <w:lang w:val="en-GB"/>
        </w:rPr>
        <w:t xml:space="preserve"> 5;17(5):1708. doi: 10.3390/ijerph17051708</w:t>
      </w:r>
    </w:p>
    <w:p w14:paraId="3055B405" w14:textId="21B2516F" w:rsidR="00452E1B" w:rsidRPr="00A96689" w:rsidRDefault="00452E1B" w:rsidP="00D27B14">
      <w:pPr>
        <w:widowControl w:val="0"/>
        <w:tabs>
          <w:tab w:val="num" w:pos="720"/>
        </w:tabs>
        <w:ind w:left="480" w:hanging="480"/>
        <w:rPr>
          <w:rFonts w:eastAsia="Times New Roman" w:cs="Times New Roman"/>
          <w:lang w:val="en-GB"/>
        </w:rPr>
      </w:pPr>
      <w:r w:rsidRPr="00A96689">
        <w:rPr>
          <w:rFonts w:eastAsia="Times New Roman" w:cs="Times New Roman"/>
        </w:rPr>
        <w:t xml:space="preserve">Spindler M, Gooneratne NS, Siderowf A, Duda JE, Cantor C, Dahodwala N. (2013). </w:t>
      </w:r>
      <w:hyperlink r:id="rId13" w:history="1">
        <w:r w:rsidRPr="00A96689">
          <w:rPr>
            <w:lang w:val="en-GB"/>
          </w:rPr>
          <w:t>Daytime sleepiness is associated with falls in Parkinson's disease.</w:t>
        </w:r>
      </w:hyperlink>
      <w:r w:rsidRPr="00A96689">
        <w:rPr>
          <w:rFonts w:eastAsia="Times New Roman" w:cs="Times New Roman"/>
          <w:lang w:val="en-GB"/>
        </w:rPr>
        <w:t xml:space="preserve"> </w:t>
      </w:r>
      <w:r w:rsidRPr="00A96689">
        <w:rPr>
          <w:rFonts w:eastAsia="Times New Roman" w:cs="Times New Roman"/>
          <w:i/>
          <w:iCs/>
        </w:rPr>
        <w:t>J Parkinsons Dis.</w:t>
      </w:r>
      <w:r w:rsidRPr="00A96689">
        <w:rPr>
          <w:rFonts w:eastAsia="Times New Roman" w:cs="Times New Roman"/>
        </w:rPr>
        <w:t xml:space="preserve"> 1;3(3):387-91. doi: 10.3233/JPD-130184</w:t>
      </w:r>
    </w:p>
    <w:p w14:paraId="79B96739" w14:textId="78DBE712" w:rsidR="005E2C5A" w:rsidRPr="00A96689" w:rsidRDefault="005E2C5A" w:rsidP="005E2C5A">
      <w:pPr>
        <w:widowControl w:val="0"/>
        <w:tabs>
          <w:tab w:val="num" w:pos="720"/>
        </w:tabs>
        <w:ind w:left="480" w:hanging="480"/>
        <w:rPr>
          <w:rFonts w:eastAsia="Times New Roman" w:cs="Times New Roman"/>
          <w:b/>
          <w:bCs/>
          <w:lang w:val="en-GB"/>
        </w:rPr>
      </w:pPr>
      <w:r w:rsidRPr="00A96689">
        <w:rPr>
          <w:rFonts w:eastAsia="Times New Roman" w:cs="Times New Roman"/>
        </w:rPr>
        <w:t xml:space="preserve">Soysal P, Stubbs B, Lucato P, Luchini C, Solmi M, Peluso R et al. (2016). </w:t>
      </w:r>
      <w:r w:rsidRPr="00A96689">
        <w:rPr>
          <w:rFonts w:eastAsia="Times New Roman" w:cs="Times New Roman"/>
          <w:lang w:val="en-GB"/>
        </w:rPr>
        <w:t xml:space="preserve">Inflammation and frailty in the elderly: A systematic review and meta-analysis. </w:t>
      </w:r>
      <w:r w:rsidRPr="00A96689">
        <w:rPr>
          <w:rFonts w:eastAsia="Times New Roman" w:cs="Times New Roman"/>
          <w:i/>
          <w:iCs/>
          <w:lang w:val="en-GB"/>
        </w:rPr>
        <w:t>Ageing Res Rev.</w:t>
      </w:r>
      <w:r w:rsidRPr="00A96689">
        <w:rPr>
          <w:rFonts w:eastAsia="Times New Roman" w:cs="Times New Roman"/>
          <w:lang w:val="en-GB"/>
        </w:rPr>
        <w:t> 31:1-8. doi: 10.1016/j.arr.2016.08.006</w:t>
      </w:r>
    </w:p>
    <w:p w14:paraId="6653157F" w14:textId="31155E9B" w:rsidR="005E2C5A" w:rsidRPr="00A96689" w:rsidRDefault="005E2C5A" w:rsidP="00D27B14">
      <w:pPr>
        <w:widowControl w:val="0"/>
        <w:tabs>
          <w:tab w:val="num" w:pos="720"/>
        </w:tabs>
        <w:ind w:left="480" w:hanging="480"/>
        <w:rPr>
          <w:rFonts w:eastAsia="Times New Roman" w:cs="Times New Roman"/>
          <w:lang w:val="en-GB"/>
        </w:rPr>
      </w:pPr>
      <w:r w:rsidRPr="00A96689">
        <w:rPr>
          <w:rFonts w:eastAsia="Times New Roman" w:cs="Times New Roman"/>
        </w:rPr>
        <w:t xml:space="preserve">Soysal P, Veronese N, Thompson T, Kahl KG, Fernandes BS, Prina AM et al. (2017). </w:t>
      </w:r>
      <w:r w:rsidRPr="00A96689">
        <w:rPr>
          <w:rFonts w:eastAsia="Times New Roman" w:cs="Times New Roman"/>
          <w:lang w:val="en-GB"/>
        </w:rPr>
        <w:t xml:space="preserve">Relationship between depression and frailty in older adults: A systematic review and meta-analysis. </w:t>
      </w:r>
      <w:r w:rsidRPr="00A96689">
        <w:rPr>
          <w:rFonts w:eastAsia="Times New Roman" w:cs="Times New Roman"/>
          <w:i/>
          <w:iCs/>
          <w:lang w:val="en-GB"/>
        </w:rPr>
        <w:t>Ageing Res Rev</w:t>
      </w:r>
      <w:r w:rsidRPr="00A96689">
        <w:rPr>
          <w:rFonts w:eastAsia="Times New Roman" w:cs="Times New Roman"/>
          <w:lang w:val="en-GB"/>
        </w:rPr>
        <w:t>. 36:78-87. doi: 10.1016/j.arr.2017.03.005.</w:t>
      </w:r>
    </w:p>
    <w:p w14:paraId="2A57696A" w14:textId="17EB3121" w:rsidR="00C87673" w:rsidRPr="00A96689" w:rsidRDefault="00C87673">
      <w:pPr>
        <w:widowControl w:val="0"/>
        <w:ind w:left="480" w:hanging="480"/>
        <w:rPr>
          <w:rFonts w:eastAsia="Times New Roman" w:cs="Times New Roman"/>
        </w:rPr>
      </w:pPr>
      <w:r w:rsidRPr="00A96689">
        <w:rPr>
          <w:rFonts w:eastAsia="Times New Roman" w:cs="Times New Roman"/>
        </w:rPr>
        <w:t xml:space="preserve">Soysal P, Hurst C, Demurtas J, Firth J, Howden R, Yang L et al. (2020) </w:t>
      </w:r>
      <w:r w:rsidRPr="00A96689">
        <w:rPr>
          <w:rFonts w:eastAsia="Times New Roman" w:cs="Times New Roman"/>
          <w:lang w:val="en-GB"/>
        </w:rPr>
        <w:t xml:space="preserve">Handgrip strength and health outcomes: Umbrella review of systematic reviews with meta-analyses of observational studies. </w:t>
      </w:r>
      <w:r w:rsidRPr="00A96689">
        <w:rPr>
          <w:rFonts w:eastAsia="Times New Roman" w:cs="Times New Roman"/>
          <w:i/>
          <w:iCs/>
          <w:lang w:val="en-GB"/>
        </w:rPr>
        <w:t>J Sport Health Sci.</w:t>
      </w:r>
      <w:r w:rsidRPr="00A96689">
        <w:rPr>
          <w:rFonts w:eastAsia="Times New Roman" w:cs="Times New Roman"/>
          <w:lang w:val="en-GB"/>
        </w:rPr>
        <w:t xml:space="preserve"> 19;S2095-2546(20)30075-2. doi: 10.1016/j.jshs.2020.06.009</w:t>
      </w:r>
    </w:p>
    <w:p w14:paraId="7F2DCE74" w14:textId="77777777" w:rsidR="008C43AC" w:rsidRPr="00A96689" w:rsidRDefault="00A81554">
      <w:pPr>
        <w:widowControl w:val="0"/>
        <w:ind w:left="480" w:hanging="480"/>
        <w:rPr>
          <w:rFonts w:eastAsia="Times New Roman" w:cs="Times New Roman"/>
        </w:rPr>
      </w:pPr>
      <w:r w:rsidRPr="00A96689">
        <w:rPr>
          <w:rFonts w:eastAsia="Times New Roman" w:cs="Times New Roman"/>
        </w:rPr>
        <w:t xml:space="preserve">St George, R. J., Delbaere, K., Williams, P., &amp; Lord, S. R. (2009). Sleep quality and falls in older people living in self- and assisted-care villages. </w:t>
      </w:r>
      <w:r w:rsidRPr="00A96689">
        <w:rPr>
          <w:rFonts w:eastAsia="Times New Roman" w:cs="Times New Roman"/>
          <w:i/>
        </w:rPr>
        <w:t>Gerontology</w:t>
      </w:r>
      <w:r w:rsidRPr="00A96689">
        <w:rPr>
          <w:rFonts w:eastAsia="Times New Roman" w:cs="Times New Roman"/>
        </w:rPr>
        <w:t xml:space="preserve">, </w:t>
      </w:r>
      <w:r w:rsidRPr="00A96689">
        <w:rPr>
          <w:rFonts w:eastAsia="Times New Roman" w:cs="Times New Roman"/>
          <w:i/>
        </w:rPr>
        <w:t>55</w:t>
      </w:r>
      <w:r w:rsidRPr="00A96689">
        <w:rPr>
          <w:rFonts w:eastAsia="Times New Roman" w:cs="Times New Roman"/>
        </w:rPr>
        <w:t>(2), 162–168. https://doi.org/10.1159/000146786</w:t>
      </w:r>
    </w:p>
    <w:p w14:paraId="1B564576" w14:textId="77777777" w:rsidR="008C43AC" w:rsidRPr="00A96689" w:rsidRDefault="00A81554">
      <w:pPr>
        <w:widowControl w:val="0"/>
        <w:ind w:left="480" w:hanging="480"/>
        <w:rPr>
          <w:rFonts w:eastAsia="Times New Roman" w:cs="Times New Roman"/>
        </w:rPr>
      </w:pPr>
      <w:r w:rsidRPr="00A96689">
        <w:rPr>
          <w:rFonts w:eastAsia="Times New Roman" w:cs="Times New Roman"/>
        </w:rPr>
        <w:t>Stevens, D., Jackson, B., Carberry, J., McLoughlin, J., Barr, C., Mukherjee, S. et al. (2020). The Impact of Obstructive Sleep Apnea on Balance, Gai</w:t>
      </w:r>
      <w:r w:rsidR="00EF145A" w:rsidRPr="00A96689">
        <w:rPr>
          <w:rFonts w:eastAsia="Times New Roman" w:cs="Times New Roman"/>
        </w:rPr>
        <w:t xml:space="preserve">t, and Falls Risk: A Narrative </w:t>
      </w:r>
      <w:r w:rsidRPr="00A96689">
        <w:rPr>
          <w:rFonts w:eastAsia="Times New Roman" w:cs="Times New Roman"/>
        </w:rPr>
        <w:t xml:space="preserve">Review of the Literature. </w:t>
      </w:r>
      <w:r w:rsidRPr="00A96689">
        <w:rPr>
          <w:rFonts w:eastAsia="Times New Roman" w:cs="Times New Roman"/>
          <w:i/>
        </w:rPr>
        <w:t>The Journals of Gerontology. Series A, Biological Sciences and Medical Sciences</w:t>
      </w:r>
      <w:r w:rsidRPr="00A96689">
        <w:rPr>
          <w:rFonts w:eastAsia="Times New Roman" w:cs="Times New Roman"/>
        </w:rPr>
        <w:t xml:space="preserve">, </w:t>
      </w:r>
      <w:r w:rsidRPr="00A96689">
        <w:rPr>
          <w:rFonts w:eastAsia="Times New Roman" w:cs="Times New Roman"/>
          <w:i/>
        </w:rPr>
        <w:t>75</w:t>
      </w:r>
      <w:r w:rsidRPr="00A96689">
        <w:rPr>
          <w:rFonts w:eastAsia="Times New Roman" w:cs="Times New Roman"/>
        </w:rPr>
        <w:t xml:space="preserve">(12), 2450–2460. </w:t>
      </w:r>
      <w:r w:rsidRPr="00A96689">
        <w:rPr>
          <w:rFonts w:eastAsia="Times New Roman" w:cs="Times New Roman"/>
        </w:rPr>
        <w:lastRenderedPageBreak/>
        <w:t>https://doi.org/10.1093/gerona/glaa014</w:t>
      </w:r>
    </w:p>
    <w:p w14:paraId="57B37A16" w14:textId="77777777" w:rsidR="008C43AC" w:rsidRPr="00A96689" w:rsidRDefault="00A81554">
      <w:pPr>
        <w:widowControl w:val="0"/>
        <w:ind w:left="480" w:hanging="480"/>
        <w:rPr>
          <w:rFonts w:eastAsia="Times New Roman" w:cs="Times New Roman"/>
        </w:rPr>
      </w:pPr>
      <w:r w:rsidRPr="00A96689">
        <w:rPr>
          <w:rFonts w:eastAsia="Times New Roman" w:cs="Times New Roman"/>
        </w:rPr>
        <w:t>Stone, K. L., Blackwell, T. L., Ancoli-Israel, S., Cauley, J. A., Redline, S., Marshall, L. M., &amp;</w:t>
      </w:r>
      <w:r w:rsidR="00EF145A" w:rsidRPr="00A96689">
        <w:rPr>
          <w:rFonts w:eastAsia="Times New Roman" w:cs="Times New Roman"/>
        </w:rPr>
        <w:t xml:space="preserve"> </w:t>
      </w:r>
      <w:r w:rsidRPr="00A96689">
        <w:rPr>
          <w:rFonts w:eastAsia="Times New Roman" w:cs="Times New Roman"/>
        </w:rPr>
        <w:t>Ensrud, K. E. (2014). Sleep disturbances and risk of falls in older commun</w:t>
      </w:r>
      <w:r w:rsidR="00EF145A" w:rsidRPr="00A96689">
        <w:rPr>
          <w:rFonts w:eastAsia="Times New Roman" w:cs="Times New Roman"/>
        </w:rPr>
        <w:t xml:space="preserve">ity-dwelling men: the outcomes </w:t>
      </w:r>
      <w:r w:rsidRPr="00A96689">
        <w:rPr>
          <w:rFonts w:eastAsia="Times New Roman" w:cs="Times New Roman"/>
        </w:rPr>
        <w:t xml:space="preserve">of Sleep Disorders in Older Men (MrOS Sleep) Study. </w:t>
      </w:r>
      <w:r w:rsidRPr="00A96689">
        <w:rPr>
          <w:rFonts w:eastAsia="Times New Roman" w:cs="Times New Roman"/>
          <w:i/>
        </w:rPr>
        <w:t>Journal of the American Geriatrics Society</w:t>
      </w:r>
      <w:r w:rsidRPr="00A96689">
        <w:rPr>
          <w:rFonts w:eastAsia="Times New Roman" w:cs="Times New Roman"/>
        </w:rPr>
        <w:t xml:space="preserve">, </w:t>
      </w:r>
      <w:r w:rsidRPr="00A96689">
        <w:rPr>
          <w:rFonts w:eastAsia="Times New Roman" w:cs="Times New Roman"/>
          <w:i/>
        </w:rPr>
        <w:t>62</w:t>
      </w:r>
      <w:r w:rsidRPr="00A96689">
        <w:rPr>
          <w:rFonts w:eastAsia="Times New Roman" w:cs="Times New Roman"/>
        </w:rPr>
        <w:t>(2), 299–305. https://doi.org/10.1111/jgs.12649</w:t>
      </w:r>
    </w:p>
    <w:p w14:paraId="1B5F7D01" w14:textId="43134621" w:rsidR="008C43AC" w:rsidRPr="00A96689" w:rsidRDefault="00A81554">
      <w:pPr>
        <w:widowControl w:val="0"/>
        <w:ind w:left="480" w:hanging="480"/>
        <w:rPr>
          <w:rFonts w:eastAsia="Times New Roman" w:cs="Times New Roman"/>
        </w:rPr>
      </w:pPr>
      <w:r w:rsidRPr="00A96689">
        <w:rPr>
          <w:rFonts w:eastAsia="Times New Roman" w:cs="Times New Roman"/>
        </w:rPr>
        <w:t xml:space="preserve">Tan, X., Titova, O. E., Lindberg, E., Elmståhl, S., Lind, L., Schiöth, H. B., &amp; Benedict, C. (2019). Association Between Self-Reported Sleep Duration and Body Composition in Middle-Aged  and Older Adults. </w:t>
      </w:r>
      <w:r w:rsidRPr="00A96689">
        <w:rPr>
          <w:rFonts w:eastAsia="Times New Roman" w:cs="Times New Roman"/>
          <w:i/>
        </w:rPr>
        <w:t>Journal of Clinical Sleep Medicine : JCSM : Official Publication of the American  Academy of Sleep Medicine</w:t>
      </w:r>
      <w:r w:rsidRPr="00A96689">
        <w:rPr>
          <w:rFonts w:eastAsia="Times New Roman" w:cs="Times New Roman"/>
        </w:rPr>
        <w:t xml:space="preserve">, </w:t>
      </w:r>
      <w:r w:rsidRPr="00A96689">
        <w:rPr>
          <w:rFonts w:eastAsia="Times New Roman" w:cs="Times New Roman"/>
          <w:i/>
        </w:rPr>
        <w:t>15</w:t>
      </w:r>
      <w:r w:rsidRPr="00A96689">
        <w:rPr>
          <w:rFonts w:eastAsia="Times New Roman" w:cs="Times New Roman"/>
        </w:rPr>
        <w:t xml:space="preserve">(3), 431–435. </w:t>
      </w:r>
      <w:hyperlink r:id="rId14" w:history="1">
        <w:r w:rsidR="00C87673" w:rsidRPr="00A96689">
          <w:rPr>
            <w:rStyle w:val="Hyperlink"/>
            <w:rFonts w:eastAsia="Times New Roman" w:cs="Times New Roman"/>
          </w:rPr>
          <w:t>https://doi.org/10.5664/jcsm.7668</w:t>
        </w:r>
      </w:hyperlink>
    </w:p>
    <w:p w14:paraId="60E9324F" w14:textId="2EABD62D" w:rsidR="00C87673" w:rsidRPr="00A96689" w:rsidRDefault="00C87673">
      <w:pPr>
        <w:widowControl w:val="0"/>
        <w:ind w:left="480" w:hanging="480"/>
        <w:rPr>
          <w:rFonts w:eastAsia="Times New Roman" w:cs="Times New Roman"/>
        </w:rPr>
      </w:pPr>
      <w:r w:rsidRPr="00A96689">
        <w:rPr>
          <w:rFonts w:eastAsia="Times New Roman" w:cs="Times New Roman"/>
        </w:rPr>
        <w:t>Tarantino U, Baldi J, Celi M, Rao C, Liuni FM, Iundusi R, et al. Osteoporosis and sarcopenia: the connections. Aging clinical and experimental research. 2013;25 Suppl 1:S93-5.</w:t>
      </w:r>
    </w:p>
    <w:p w14:paraId="394B4F21" w14:textId="7C8AAFE9" w:rsidR="008C43AC" w:rsidRPr="00A96689" w:rsidRDefault="00A81554">
      <w:pPr>
        <w:widowControl w:val="0"/>
        <w:ind w:left="480" w:hanging="480"/>
        <w:rPr>
          <w:rFonts w:eastAsia="Times New Roman" w:cs="Times New Roman"/>
        </w:rPr>
      </w:pPr>
      <w:r w:rsidRPr="00A96689">
        <w:rPr>
          <w:rFonts w:eastAsia="Times New Roman" w:cs="Times New Roman"/>
        </w:rPr>
        <w:t xml:space="preserve">Tyagi, S., Perera, S., &amp; Brach, J. S. (2017). Balance and Mobility in Community-Dwelling Older Adults: Effect of Daytime  Sleepiness. </w:t>
      </w:r>
      <w:r w:rsidRPr="00A96689">
        <w:rPr>
          <w:rFonts w:eastAsia="Times New Roman" w:cs="Times New Roman"/>
          <w:i/>
        </w:rPr>
        <w:t>Journal of the American Geriatrics Society</w:t>
      </w:r>
      <w:r w:rsidRPr="00A96689">
        <w:rPr>
          <w:rFonts w:eastAsia="Times New Roman" w:cs="Times New Roman"/>
        </w:rPr>
        <w:t xml:space="preserve">, </w:t>
      </w:r>
      <w:r w:rsidRPr="00A96689">
        <w:rPr>
          <w:rFonts w:eastAsia="Times New Roman" w:cs="Times New Roman"/>
          <w:i/>
        </w:rPr>
        <w:t>65</w:t>
      </w:r>
      <w:r w:rsidRPr="00A96689">
        <w:rPr>
          <w:rFonts w:eastAsia="Times New Roman" w:cs="Times New Roman"/>
        </w:rPr>
        <w:t xml:space="preserve">(5), 1019–1025. </w:t>
      </w:r>
      <w:hyperlink r:id="rId15" w:history="1">
        <w:r w:rsidR="00673FA6" w:rsidRPr="00A96689">
          <w:rPr>
            <w:rStyle w:val="Hyperlink"/>
            <w:rFonts w:eastAsia="Times New Roman" w:cs="Times New Roman"/>
          </w:rPr>
          <w:t>https://doi.org/10.1111/jgs.14735</w:t>
        </w:r>
      </w:hyperlink>
    </w:p>
    <w:p w14:paraId="755B03B9" w14:textId="7E9C5482" w:rsidR="00673FA6" w:rsidRPr="00A96689" w:rsidRDefault="00673FA6">
      <w:pPr>
        <w:widowControl w:val="0"/>
        <w:ind w:left="480" w:hanging="480"/>
        <w:rPr>
          <w:rFonts w:eastAsia="Times New Roman" w:cs="Times New Roman"/>
        </w:rPr>
      </w:pPr>
      <w:r w:rsidRPr="00A96689">
        <w:rPr>
          <w:rFonts w:eastAsia="Times New Roman" w:cs="Times New Roman"/>
        </w:rPr>
        <w:t>van Kerrebroeck P, Rezapour M, Cortesse A, Thuroff J, Riis A, Norgaard JP. Desmopressin in the treatment of nocturia: a double-blind, placebo-controlled study. Eur Urol. 2007;52(1):221-9.</w:t>
      </w:r>
    </w:p>
    <w:p w14:paraId="19276E92" w14:textId="64D30FEF" w:rsidR="008C43AC" w:rsidRDefault="00A81554">
      <w:pPr>
        <w:widowControl w:val="0"/>
        <w:ind w:left="480" w:hanging="480"/>
        <w:rPr>
          <w:rFonts w:eastAsia="Times New Roman" w:cs="Times New Roman"/>
        </w:rPr>
      </w:pPr>
      <w:r w:rsidRPr="00A96689">
        <w:rPr>
          <w:rFonts w:eastAsia="Times New Roman" w:cs="Times New Roman"/>
        </w:rPr>
        <w:t>Vaz</w:t>
      </w:r>
      <w:r w:rsidR="00D000E5" w:rsidRPr="00A96689">
        <w:rPr>
          <w:rFonts w:eastAsia="Times New Roman" w:cs="Times New Roman"/>
        </w:rPr>
        <w:t xml:space="preserve"> </w:t>
      </w:r>
      <w:r w:rsidRPr="00A96689">
        <w:rPr>
          <w:rFonts w:eastAsia="Times New Roman" w:cs="Times New Roman"/>
        </w:rPr>
        <w:t xml:space="preserve">Fragoso, C. A., Gahbauer, E. A., Van Ness, P. H., &amp; Gill, T. M. Sleep-wake disturbances and frailty in community-living older persons. </w:t>
      </w:r>
      <w:r w:rsidRPr="00A96689">
        <w:rPr>
          <w:rFonts w:eastAsia="Times New Roman" w:cs="Times New Roman"/>
          <w:i/>
        </w:rPr>
        <w:t>Journal of the American Geriatrics Society</w:t>
      </w:r>
      <w:r w:rsidRPr="00A96689">
        <w:rPr>
          <w:rFonts w:eastAsia="Times New Roman" w:cs="Times New Roman"/>
        </w:rPr>
        <w:t xml:space="preserve">, </w:t>
      </w:r>
      <w:r w:rsidR="00673FA6" w:rsidRPr="00A96689">
        <w:rPr>
          <w:rFonts w:eastAsia="Times New Roman" w:cs="Times New Roman"/>
        </w:rPr>
        <w:t>2009;</w:t>
      </w:r>
      <w:r w:rsidRPr="00A96689">
        <w:rPr>
          <w:rFonts w:eastAsia="Times New Roman" w:cs="Times New Roman"/>
          <w:i/>
        </w:rPr>
        <w:t>57</w:t>
      </w:r>
      <w:r w:rsidRPr="00A96689">
        <w:rPr>
          <w:rFonts w:eastAsia="Times New Roman" w:cs="Times New Roman"/>
        </w:rPr>
        <w:t>(11), 2094–2100. https://doi.org/10.1111/j.1532-5415.2009.02522.x</w:t>
      </w:r>
    </w:p>
    <w:p w14:paraId="18C998C1" w14:textId="77777777" w:rsidR="008C43AC" w:rsidRDefault="008C43AC">
      <w:pPr>
        <w:widowControl w:val="0"/>
        <w:ind w:left="480" w:hanging="480"/>
        <w:rPr>
          <w:rFonts w:eastAsia="Times New Roman" w:cs="Times New Roman"/>
          <w:b/>
        </w:rPr>
      </w:pPr>
    </w:p>
    <w:p w14:paraId="08F5E30F" w14:textId="77777777" w:rsidR="008C43AC" w:rsidRDefault="008C43AC">
      <w:pPr>
        <w:jc w:val="both"/>
        <w:rPr>
          <w:rFonts w:eastAsia="Times New Roman" w:cs="Times New Roman"/>
        </w:rPr>
      </w:pPr>
    </w:p>
    <w:p w14:paraId="5C1459BD" w14:textId="77777777" w:rsidR="008C43AC" w:rsidRDefault="008C43AC">
      <w:pPr>
        <w:jc w:val="both"/>
        <w:rPr>
          <w:rFonts w:eastAsia="Times New Roman" w:cs="Times New Roman"/>
        </w:rPr>
      </w:pPr>
    </w:p>
    <w:sectPr w:rsidR="008C43AC" w:rsidSect="00DE4760">
      <w:pgSz w:w="12240" w:h="15840"/>
      <w:pgMar w:top="1417" w:right="1417" w:bottom="1417" w:left="1417"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782E17"/>
    <w:multiLevelType w:val="multilevel"/>
    <w:tmpl w:val="AF18966A"/>
    <w:lvl w:ilvl="0">
      <w:start w:val="1"/>
      <w:numFmt w:val="bullet"/>
      <w:lvlText w:val=""/>
      <w:lvlJc w:val="left"/>
      <w:pPr>
        <w:tabs>
          <w:tab w:val="num" w:pos="643"/>
        </w:tabs>
        <w:ind w:left="643" w:hanging="360"/>
      </w:pPr>
      <w:rPr>
        <w:rFonts w:ascii="Symbol" w:hAnsi="Symbol" w:hint="default"/>
        <w:sz w:val="20"/>
      </w:rPr>
    </w:lvl>
    <w:lvl w:ilvl="1" w:tentative="1">
      <w:start w:val="1"/>
      <w:numFmt w:val="bullet"/>
      <w:lvlText w:val="o"/>
      <w:lvlJc w:val="left"/>
      <w:pPr>
        <w:tabs>
          <w:tab w:val="num" w:pos="1363"/>
        </w:tabs>
        <w:ind w:left="1363" w:hanging="360"/>
      </w:pPr>
      <w:rPr>
        <w:rFonts w:ascii="Courier New" w:hAnsi="Courier New" w:hint="default"/>
        <w:sz w:val="20"/>
      </w:rPr>
    </w:lvl>
    <w:lvl w:ilvl="2" w:tentative="1">
      <w:start w:val="1"/>
      <w:numFmt w:val="bullet"/>
      <w:lvlText w:val=""/>
      <w:lvlJc w:val="left"/>
      <w:pPr>
        <w:tabs>
          <w:tab w:val="num" w:pos="2083"/>
        </w:tabs>
        <w:ind w:left="2083" w:hanging="360"/>
      </w:pPr>
      <w:rPr>
        <w:rFonts w:ascii="Wingdings" w:hAnsi="Wingdings" w:hint="default"/>
        <w:sz w:val="20"/>
      </w:rPr>
    </w:lvl>
    <w:lvl w:ilvl="3" w:tentative="1">
      <w:start w:val="1"/>
      <w:numFmt w:val="bullet"/>
      <w:lvlText w:val=""/>
      <w:lvlJc w:val="left"/>
      <w:pPr>
        <w:tabs>
          <w:tab w:val="num" w:pos="2803"/>
        </w:tabs>
        <w:ind w:left="2803" w:hanging="360"/>
      </w:pPr>
      <w:rPr>
        <w:rFonts w:ascii="Wingdings" w:hAnsi="Wingdings" w:hint="default"/>
        <w:sz w:val="20"/>
      </w:rPr>
    </w:lvl>
    <w:lvl w:ilvl="4" w:tentative="1">
      <w:start w:val="1"/>
      <w:numFmt w:val="bullet"/>
      <w:lvlText w:val=""/>
      <w:lvlJc w:val="left"/>
      <w:pPr>
        <w:tabs>
          <w:tab w:val="num" w:pos="3523"/>
        </w:tabs>
        <w:ind w:left="3523" w:hanging="360"/>
      </w:pPr>
      <w:rPr>
        <w:rFonts w:ascii="Wingdings" w:hAnsi="Wingdings" w:hint="default"/>
        <w:sz w:val="20"/>
      </w:rPr>
    </w:lvl>
    <w:lvl w:ilvl="5" w:tentative="1">
      <w:start w:val="1"/>
      <w:numFmt w:val="bullet"/>
      <w:lvlText w:val=""/>
      <w:lvlJc w:val="left"/>
      <w:pPr>
        <w:tabs>
          <w:tab w:val="num" w:pos="4243"/>
        </w:tabs>
        <w:ind w:left="4243" w:hanging="360"/>
      </w:pPr>
      <w:rPr>
        <w:rFonts w:ascii="Wingdings" w:hAnsi="Wingdings" w:hint="default"/>
        <w:sz w:val="20"/>
      </w:rPr>
    </w:lvl>
    <w:lvl w:ilvl="6" w:tentative="1">
      <w:start w:val="1"/>
      <w:numFmt w:val="bullet"/>
      <w:lvlText w:val=""/>
      <w:lvlJc w:val="left"/>
      <w:pPr>
        <w:tabs>
          <w:tab w:val="num" w:pos="4963"/>
        </w:tabs>
        <w:ind w:left="4963" w:hanging="360"/>
      </w:pPr>
      <w:rPr>
        <w:rFonts w:ascii="Wingdings" w:hAnsi="Wingdings" w:hint="default"/>
        <w:sz w:val="20"/>
      </w:rPr>
    </w:lvl>
    <w:lvl w:ilvl="7" w:tentative="1">
      <w:start w:val="1"/>
      <w:numFmt w:val="bullet"/>
      <w:lvlText w:val=""/>
      <w:lvlJc w:val="left"/>
      <w:pPr>
        <w:tabs>
          <w:tab w:val="num" w:pos="5683"/>
        </w:tabs>
        <w:ind w:left="5683" w:hanging="360"/>
      </w:pPr>
      <w:rPr>
        <w:rFonts w:ascii="Wingdings" w:hAnsi="Wingdings" w:hint="default"/>
        <w:sz w:val="20"/>
      </w:rPr>
    </w:lvl>
    <w:lvl w:ilvl="8" w:tentative="1">
      <w:start w:val="1"/>
      <w:numFmt w:val="bullet"/>
      <w:lvlText w:val=""/>
      <w:lvlJc w:val="left"/>
      <w:pPr>
        <w:tabs>
          <w:tab w:val="num" w:pos="6403"/>
        </w:tabs>
        <w:ind w:left="6403" w:hanging="360"/>
      </w:pPr>
      <w:rPr>
        <w:rFonts w:ascii="Wingdings" w:hAnsi="Wingdings" w:hint="default"/>
        <w:sz w:val="20"/>
      </w:rPr>
    </w:lvl>
  </w:abstractNum>
  <w:abstractNum w:abstractNumId="1" w15:restartNumberingAfterBreak="0">
    <w:nsid w:val="0A690F3B"/>
    <w:multiLevelType w:val="multilevel"/>
    <w:tmpl w:val="14324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EF0533"/>
    <w:multiLevelType w:val="multilevel"/>
    <w:tmpl w:val="2BA01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1B12C7"/>
    <w:multiLevelType w:val="multilevel"/>
    <w:tmpl w:val="2066488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6E5890"/>
    <w:multiLevelType w:val="multilevel"/>
    <w:tmpl w:val="9B463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3E7B07"/>
    <w:multiLevelType w:val="multilevel"/>
    <w:tmpl w:val="2756618A"/>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64CF3256"/>
    <w:multiLevelType w:val="multilevel"/>
    <w:tmpl w:val="81703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7834CDC"/>
    <w:multiLevelType w:val="multilevel"/>
    <w:tmpl w:val="BB8C9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575BC6"/>
    <w:multiLevelType w:val="multilevel"/>
    <w:tmpl w:val="0F269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8"/>
  </w:num>
  <w:num w:numId="4">
    <w:abstractNumId w:val="2"/>
  </w:num>
  <w:num w:numId="5">
    <w:abstractNumId w:val="1"/>
  </w:num>
  <w:num w:numId="6">
    <w:abstractNumId w:val="0"/>
  </w:num>
  <w:num w:numId="7">
    <w:abstractNumId w:val="4"/>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Q0NjQxt7A0MTY0NDJT0lEKTi0uzszPAykwqgUAL5CMRCwAAAA="/>
  </w:docVars>
  <w:rsids>
    <w:rsidRoot w:val="008C43AC"/>
    <w:rsid w:val="000019B2"/>
    <w:rsid w:val="00012E9B"/>
    <w:rsid w:val="00014301"/>
    <w:rsid w:val="00022343"/>
    <w:rsid w:val="00026C96"/>
    <w:rsid w:val="00033E04"/>
    <w:rsid w:val="00042279"/>
    <w:rsid w:val="00072D47"/>
    <w:rsid w:val="00081B7A"/>
    <w:rsid w:val="00083F44"/>
    <w:rsid w:val="0008720D"/>
    <w:rsid w:val="000902BA"/>
    <w:rsid w:val="0009142A"/>
    <w:rsid w:val="000A2089"/>
    <w:rsid w:val="000A2E20"/>
    <w:rsid w:val="000B0930"/>
    <w:rsid w:val="000B4124"/>
    <w:rsid w:val="000C5486"/>
    <w:rsid w:val="000D40CA"/>
    <w:rsid w:val="000E2349"/>
    <w:rsid w:val="000F3F02"/>
    <w:rsid w:val="000F43E2"/>
    <w:rsid w:val="00102034"/>
    <w:rsid w:val="00105E18"/>
    <w:rsid w:val="001065B6"/>
    <w:rsid w:val="001112EF"/>
    <w:rsid w:val="001176C7"/>
    <w:rsid w:val="00131FFA"/>
    <w:rsid w:val="001460AB"/>
    <w:rsid w:val="001700EE"/>
    <w:rsid w:val="00171853"/>
    <w:rsid w:val="00182850"/>
    <w:rsid w:val="0019094B"/>
    <w:rsid w:val="001911D5"/>
    <w:rsid w:val="00191406"/>
    <w:rsid w:val="0019359B"/>
    <w:rsid w:val="00195416"/>
    <w:rsid w:val="001A3DA3"/>
    <w:rsid w:val="001A4B55"/>
    <w:rsid w:val="001B00AD"/>
    <w:rsid w:val="001C335E"/>
    <w:rsid w:val="001C59AD"/>
    <w:rsid w:val="001D6177"/>
    <w:rsid w:val="001D6781"/>
    <w:rsid w:val="001E3A5F"/>
    <w:rsid w:val="001F7F99"/>
    <w:rsid w:val="00215122"/>
    <w:rsid w:val="00220B18"/>
    <w:rsid w:val="00250079"/>
    <w:rsid w:val="002518F9"/>
    <w:rsid w:val="0025257E"/>
    <w:rsid w:val="002541B2"/>
    <w:rsid w:val="0025716B"/>
    <w:rsid w:val="002614C8"/>
    <w:rsid w:val="00262796"/>
    <w:rsid w:val="0026413A"/>
    <w:rsid w:val="00271478"/>
    <w:rsid w:val="0027603B"/>
    <w:rsid w:val="00284F25"/>
    <w:rsid w:val="00287452"/>
    <w:rsid w:val="002914DE"/>
    <w:rsid w:val="00291C63"/>
    <w:rsid w:val="002A1373"/>
    <w:rsid w:val="002A2BE9"/>
    <w:rsid w:val="002B06C2"/>
    <w:rsid w:val="002B6DFC"/>
    <w:rsid w:val="002D661F"/>
    <w:rsid w:val="002F0591"/>
    <w:rsid w:val="003020C6"/>
    <w:rsid w:val="003048A6"/>
    <w:rsid w:val="00312480"/>
    <w:rsid w:val="003173A3"/>
    <w:rsid w:val="0034358F"/>
    <w:rsid w:val="00350DBB"/>
    <w:rsid w:val="00352450"/>
    <w:rsid w:val="003544A5"/>
    <w:rsid w:val="00361913"/>
    <w:rsid w:val="003636A2"/>
    <w:rsid w:val="0036395D"/>
    <w:rsid w:val="00365F99"/>
    <w:rsid w:val="003677DF"/>
    <w:rsid w:val="00372969"/>
    <w:rsid w:val="00385110"/>
    <w:rsid w:val="003A5BAD"/>
    <w:rsid w:val="003A65B2"/>
    <w:rsid w:val="003C111F"/>
    <w:rsid w:val="003C3D89"/>
    <w:rsid w:val="003C776C"/>
    <w:rsid w:val="003E01D7"/>
    <w:rsid w:val="003E3E70"/>
    <w:rsid w:val="003E3FF7"/>
    <w:rsid w:val="00421CB8"/>
    <w:rsid w:val="00431868"/>
    <w:rsid w:val="0043745D"/>
    <w:rsid w:val="00447370"/>
    <w:rsid w:val="00450867"/>
    <w:rsid w:val="00452E1B"/>
    <w:rsid w:val="00454B1B"/>
    <w:rsid w:val="004551CC"/>
    <w:rsid w:val="00476319"/>
    <w:rsid w:val="00487BE7"/>
    <w:rsid w:val="004956E8"/>
    <w:rsid w:val="004A2DF7"/>
    <w:rsid w:val="004A4496"/>
    <w:rsid w:val="004B0BC6"/>
    <w:rsid w:val="004B2F2F"/>
    <w:rsid w:val="004B396D"/>
    <w:rsid w:val="004B56FC"/>
    <w:rsid w:val="004C3DFC"/>
    <w:rsid w:val="004C4FFC"/>
    <w:rsid w:val="004D119F"/>
    <w:rsid w:val="004D79C0"/>
    <w:rsid w:val="004D7EA6"/>
    <w:rsid w:val="004E2D66"/>
    <w:rsid w:val="004F6FFD"/>
    <w:rsid w:val="004F73E2"/>
    <w:rsid w:val="005112FD"/>
    <w:rsid w:val="00515915"/>
    <w:rsid w:val="00541F9E"/>
    <w:rsid w:val="0054257D"/>
    <w:rsid w:val="00542948"/>
    <w:rsid w:val="005459ED"/>
    <w:rsid w:val="0055104F"/>
    <w:rsid w:val="00552389"/>
    <w:rsid w:val="00555DD9"/>
    <w:rsid w:val="0056576C"/>
    <w:rsid w:val="0056720A"/>
    <w:rsid w:val="005814D1"/>
    <w:rsid w:val="0058242B"/>
    <w:rsid w:val="005865FC"/>
    <w:rsid w:val="00590C5A"/>
    <w:rsid w:val="005960D0"/>
    <w:rsid w:val="005A63F5"/>
    <w:rsid w:val="005A6706"/>
    <w:rsid w:val="005B11A0"/>
    <w:rsid w:val="005B14E6"/>
    <w:rsid w:val="005B16A4"/>
    <w:rsid w:val="005B216C"/>
    <w:rsid w:val="005B4D5F"/>
    <w:rsid w:val="005B50B2"/>
    <w:rsid w:val="005B6605"/>
    <w:rsid w:val="005C0A3C"/>
    <w:rsid w:val="005D6596"/>
    <w:rsid w:val="005E2510"/>
    <w:rsid w:val="005E2C5A"/>
    <w:rsid w:val="005E3B18"/>
    <w:rsid w:val="005F1E9C"/>
    <w:rsid w:val="005F47FB"/>
    <w:rsid w:val="005F7EDD"/>
    <w:rsid w:val="006143B8"/>
    <w:rsid w:val="0063368C"/>
    <w:rsid w:val="00635A02"/>
    <w:rsid w:val="00641044"/>
    <w:rsid w:val="00652C3E"/>
    <w:rsid w:val="006707D1"/>
    <w:rsid w:val="00670AC2"/>
    <w:rsid w:val="00673FA6"/>
    <w:rsid w:val="00680F01"/>
    <w:rsid w:val="0069161D"/>
    <w:rsid w:val="006A07BF"/>
    <w:rsid w:val="006A166A"/>
    <w:rsid w:val="006B2934"/>
    <w:rsid w:val="006D2E21"/>
    <w:rsid w:val="006D4049"/>
    <w:rsid w:val="006D4777"/>
    <w:rsid w:val="006D6A92"/>
    <w:rsid w:val="00701E5E"/>
    <w:rsid w:val="007053D3"/>
    <w:rsid w:val="0071526E"/>
    <w:rsid w:val="007168B4"/>
    <w:rsid w:val="00717116"/>
    <w:rsid w:val="007234FA"/>
    <w:rsid w:val="00736910"/>
    <w:rsid w:val="00743759"/>
    <w:rsid w:val="007516B5"/>
    <w:rsid w:val="00761558"/>
    <w:rsid w:val="00761A5F"/>
    <w:rsid w:val="00762566"/>
    <w:rsid w:val="00775B43"/>
    <w:rsid w:val="00776E8F"/>
    <w:rsid w:val="00781B7E"/>
    <w:rsid w:val="007860CD"/>
    <w:rsid w:val="00786A5A"/>
    <w:rsid w:val="00793194"/>
    <w:rsid w:val="00793DC1"/>
    <w:rsid w:val="007A04C0"/>
    <w:rsid w:val="007B5366"/>
    <w:rsid w:val="007D134F"/>
    <w:rsid w:val="007D5E8E"/>
    <w:rsid w:val="007D6E55"/>
    <w:rsid w:val="007E0672"/>
    <w:rsid w:val="007E7EB5"/>
    <w:rsid w:val="008002F3"/>
    <w:rsid w:val="0080146E"/>
    <w:rsid w:val="00802860"/>
    <w:rsid w:val="008040E9"/>
    <w:rsid w:val="008043DC"/>
    <w:rsid w:val="008106C2"/>
    <w:rsid w:val="008119C9"/>
    <w:rsid w:val="00821A3B"/>
    <w:rsid w:val="008322C8"/>
    <w:rsid w:val="008363BF"/>
    <w:rsid w:val="00837570"/>
    <w:rsid w:val="008455F1"/>
    <w:rsid w:val="008606EA"/>
    <w:rsid w:val="008724B4"/>
    <w:rsid w:val="008752D5"/>
    <w:rsid w:val="008844FF"/>
    <w:rsid w:val="008905BD"/>
    <w:rsid w:val="008A2CF2"/>
    <w:rsid w:val="008A4323"/>
    <w:rsid w:val="008B1410"/>
    <w:rsid w:val="008B64EB"/>
    <w:rsid w:val="008C43AC"/>
    <w:rsid w:val="008C501B"/>
    <w:rsid w:val="008D3E3A"/>
    <w:rsid w:val="008F1C3C"/>
    <w:rsid w:val="00906575"/>
    <w:rsid w:val="00921850"/>
    <w:rsid w:val="0092722E"/>
    <w:rsid w:val="0093159B"/>
    <w:rsid w:val="00942888"/>
    <w:rsid w:val="00947460"/>
    <w:rsid w:val="00950677"/>
    <w:rsid w:val="009611EC"/>
    <w:rsid w:val="00962257"/>
    <w:rsid w:val="00982FDA"/>
    <w:rsid w:val="009957C1"/>
    <w:rsid w:val="009B19D9"/>
    <w:rsid w:val="009B1D58"/>
    <w:rsid w:val="009B4496"/>
    <w:rsid w:val="009B4B9B"/>
    <w:rsid w:val="009B4CB9"/>
    <w:rsid w:val="009B7DD6"/>
    <w:rsid w:val="009C46B8"/>
    <w:rsid w:val="009C7067"/>
    <w:rsid w:val="009D1F5E"/>
    <w:rsid w:val="009D3810"/>
    <w:rsid w:val="009D3D50"/>
    <w:rsid w:val="009D55D8"/>
    <w:rsid w:val="009E36FE"/>
    <w:rsid w:val="009E3A37"/>
    <w:rsid w:val="009F4D6A"/>
    <w:rsid w:val="00A0065D"/>
    <w:rsid w:val="00A0310E"/>
    <w:rsid w:val="00A04AC5"/>
    <w:rsid w:val="00A07850"/>
    <w:rsid w:val="00A25620"/>
    <w:rsid w:val="00A379B4"/>
    <w:rsid w:val="00A4203F"/>
    <w:rsid w:val="00A420FC"/>
    <w:rsid w:val="00A43293"/>
    <w:rsid w:val="00A51AC7"/>
    <w:rsid w:val="00A566E1"/>
    <w:rsid w:val="00A64B41"/>
    <w:rsid w:val="00A75435"/>
    <w:rsid w:val="00A77D65"/>
    <w:rsid w:val="00A81554"/>
    <w:rsid w:val="00A8190A"/>
    <w:rsid w:val="00A84827"/>
    <w:rsid w:val="00A96689"/>
    <w:rsid w:val="00AA36AF"/>
    <w:rsid w:val="00AA5074"/>
    <w:rsid w:val="00AA6289"/>
    <w:rsid w:val="00AB0B1A"/>
    <w:rsid w:val="00AB4987"/>
    <w:rsid w:val="00AC3FEF"/>
    <w:rsid w:val="00AC541C"/>
    <w:rsid w:val="00AC781E"/>
    <w:rsid w:val="00AE110E"/>
    <w:rsid w:val="00AE18E1"/>
    <w:rsid w:val="00AE5C60"/>
    <w:rsid w:val="00AE6D5A"/>
    <w:rsid w:val="00AF2440"/>
    <w:rsid w:val="00AF59A0"/>
    <w:rsid w:val="00AF5EE6"/>
    <w:rsid w:val="00AF6263"/>
    <w:rsid w:val="00AF69BD"/>
    <w:rsid w:val="00B00E2B"/>
    <w:rsid w:val="00B03CB5"/>
    <w:rsid w:val="00B04041"/>
    <w:rsid w:val="00B048F6"/>
    <w:rsid w:val="00B14904"/>
    <w:rsid w:val="00B23AED"/>
    <w:rsid w:val="00B31BA9"/>
    <w:rsid w:val="00B36BE8"/>
    <w:rsid w:val="00B37324"/>
    <w:rsid w:val="00B376C5"/>
    <w:rsid w:val="00B470C2"/>
    <w:rsid w:val="00B55369"/>
    <w:rsid w:val="00B56D07"/>
    <w:rsid w:val="00B57680"/>
    <w:rsid w:val="00B5795E"/>
    <w:rsid w:val="00B65204"/>
    <w:rsid w:val="00B761EE"/>
    <w:rsid w:val="00B76EED"/>
    <w:rsid w:val="00B82535"/>
    <w:rsid w:val="00B83ADC"/>
    <w:rsid w:val="00B841E5"/>
    <w:rsid w:val="00B8615F"/>
    <w:rsid w:val="00B87E17"/>
    <w:rsid w:val="00BA545D"/>
    <w:rsid w:val="00BD5200"/>
    <w:rsid w:val="00BE08F5"/>
    <w:rsid w:val="00BE3A1F"/>
    <w:rsid w:val="00BE75C7"/>
    <w:rsid w:val="00C038EF"/>
    <w:rsid w:val="00C12684"/>
    <w:rsid w:val="00C31DB6"/>
    <w:rsid w:val="00C472BF"/>
    <w:rsid w:val="00C5793F"/>
    <w:rsid w:val="00C61235"/>
    <w:rsid w:val="00C669DF"/>
    <w:rsid w:val="00C73BB4"/>
    <w:rsid w:val="00C80ABF"/>
    <w:rsid w:val="00C829E5"/>
    <w:rsid w:val="00C87673"/>
    <w:rsid w:val="00C95558"/>
    <w:rsid w:val="00CA246B"/>
    <w:rsid w:val="00CB0EBD"/>
    <w:rsid w:val="00CB4915"/>
    <w:rsid w:val="00CC0D3D"/>
    <w:rsid w:val="00CC4AE7"/>
    <w:rsid w:val="00CC6110"/>
    <w:rsid w:val="00CE076C"/>
    <w:rsid w:val="00CE313F"/>
    <w:rsid w:val="00CE6B50"/>
    <w:rsid w:val="00CE71BA"/>
    <w:rsid w:val="00CF1D93"/>
    <w:rsid w:val="00CF2917"/>
    <w:rsid w:val="00CF4DB5"/>
    <w:rsid w:val="00CF6608"/>
    <w:rsid w:val="00D000E5"/>
    <w:rsid w:val="00D00AFE"/>
    <w:rsid w:val="00D0735D"/>
    <w:rsid w:val="00D14471"/>
    <w:rsid w:val="00D26BA1"/>
    <w:rsid w:val="00D27B14"/>
    <w:rsid w:val="00D309C1"/>
    <w:rsid w:val="00D420F5"/>
    <w:rsid w:val="00D52436"/>
    <w:rsid w:val="00D537DF"/>
    <w:rsid w:val="00D714BA"/>
    <w:rsid w:val="00D73659"/>
    <w:rsid w:val="00D75BE6"/>
    <w:rsid w:val="00D76C67"/>
    <w:rsid w:val="00D87170"/>
    <w:rsid w:val="00D924C4"/>
    <w:rsid w:val="00D92556"/>
    <w:rsid w:val="00DA1329"/>
    <w:rsid w:val="00DA7947"/>
    <w:rsid w:val="00DB6816"/>
    <w:rsid w:val="00DB68A1"/>
    <w:rsid w:val="00DC2F0C"/>
    <w:rsid w:val="00DC4F52"/>
    <w:rsid w:val="00DD2DE8"/>
    <w:rsid w:val="00DD5A1A"/>
    <w:rsid w:val="00DE4760"/>
    <w:rsid w:val="00E01A55"/>
    <w:rsid w:val="00E1074E"/>
    <w:rsid w:val="00E10EEA"/>
    <w:rsid w:val="00E21B51"/>
    <w:rsid w:val="00E24E11"/>
    <w:rsid w:val="00E264B4"/>
    <w:rsid w:val="00E41688"/>
    <w:rsid w:val="00E42D55"/>
    <w:rsid w:val="00E44022"/>
    <w:rsid w:val="00E50855"/>
    <w:rsid w:val="00E51B80"/>
    <w:rsid w:val="00E52CE2"/>
    <w:rsid w:val="00E53AD1"/>
    <w:rsid w:val="00E54B31"/>
    <w:rsid w:val="00E610E2"/>
    <w:rsid w:val="00E64179"/>
    <w:rsid w:val="00E65B88"/>
    <w:rsid w:val="00E71063"/>
    <w:rsid w:val="00E742CA"/>
    <w:rsid w:val="00E82E8B"/>
    <w:rsid w:val="00E934F0"/>
    <w:rsid w:val="00E93D00"/>
    <w:rsid w:val="00E96F4D"/>
    <w:rsid w:val="00EA21A0"/>
    <w:rsid w:val="00EA325D"/>
    <w:rsid w:val="00EB1DBC"/>
    <w:rsid w:val="00EC2481"/>
    <w:rsid w:val="00EC4E93"/>
    <w:rsid w:val="00EC6250"/>
    <w:rsid w:val="00ED06FE"/>
    <w:rsid w:val="00ED296F"/>
    <w:rsid w:val="00EE62AC"/>
    <w:rsid w:val="00EE74D6"/>
    <w:rsid w:val="00EE7DF7"/>
    <w:rsid w:val="00EF095D"/>
    <w:rsid w:val="00EF145A"/>
    <w:rsid w:val="00EF2959"/>
    <w:rsid w:val="00EF29BB"/>
    <w:rsid w:val="00EF33F1"/>
    <w:rsid w:val="00EF4B91"/>
    <w:rsid w:val="00EF6244"/>
    <w:rsid w:val="00F009A4"/>
    <w:rsid w:val="00F01748"/>
    <w:rsid w:val="00F023A8"/>
    <w:rsid w:val="00F05CD5"/>
    <w:rsid w:val="00F158B7"/>
    <w:rsid w:val="00F16DA3"/>
    <w:rsid w:val="00F2570E"/>
    <w:rsid w:val="00F2709B"/>
    <w:rsid w:val="00F313FD"/>
    <w:rsid w:val="00F45196"/>
    <w:rsid w:val="00F4529B"/>
    <w:rsid w:val="00F5152F"/>
    <w:rsid w:val="00F65427"/>
    <w:rsid w:val="00F6647C"/>
    <w:rsid w:val="00F75D32"/>
    <w:rsid w:val="00F90B43"/>
    <w:rsid w:val="00F91AE9"/>
    <w:rsid w:val="00F955EC"/>
    <w:rsid w:val="00F970B8"/>
    <w:rsid w:val="00FB033C"/>
    <w:rsid w:val="00FB1AAD"/>
    <w:rsid w:val="00FB3F04"/>
    <w:rsid w:val="00FC17B8"/>
    <w:rsid w:val="00FC56CF"/>
    <w:rsid w:val="00FD1E00"/>
    <w:rsid w:val="00FE1B91"/>
    <w:rsid w:val="00FE5EA8"/>
    <w:rsid w:val="00FF2E0F"/>
    <w:rsid w:val="00FF64F3"/>
    <w:rsid w:val="00FF7463"/>
  </w:rsids>
  <m:mathPr>
    <m:mathFont m:val="Cambria Math"/>
    <m:brkBin m:val="before"/>
    <m:brkBinSub m:val="--"/>
    <m:smallFrac/>
    <m:dispDef/>
    <m:lMargin m:val="0"/>
    <m:rMargin m:val="0"/>
    <m:defJc m:val="centerGroup"/>
    <m:wrapIndent m:val="1440"/>
    <m:intLim m:val="subSup"/>
    <m:naryLim m:val="undOvr"/>
  </m:mathPr>
  <w:themeFontLang w:val="tr-T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0CF07"/>
  <w15:docId w15:val="{A2A188C3-3273-4982-A3B1-087290E18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F1E9C"/>
    <w:pPr>
      <w:spacing w:line="480" w:lineRule="auto"/>
    </w:pPr>
    <w:rPr>
      <w:rFonts w:ascii="Times New Roman" w:hAnsi="Times New Roman"/>
    </w:rPr>
  </w:style>
  <w:style w:type="paragraph" w:styleId="Heading1">
    <w:name w:val="heading 1"/>
    <w:basedOn w:val="Normal"/>
    <w:next w:val="Normal"/>
    <w:qFormat/>
    <w:rsid w:val="005F1E9C"/>
    <w:pPr>
      <w:keepNext/>
      <w:keepLines/>
      <w:spacing w:before="240" w:after="0"/>
      <w:outlineLvl w:val="0"/>
    </w:pPr>
    <w:rPr>
      <w:b/>
      <w:szCs w:val="32"/>
    </w:rPr>
  </w:style>
  <w:style w:type="paragraph" w:styleId="Heading2">
    <w:name w:val="heading 2"/>
    <w:basedOn w:val="Normal"/>
    <w:next w:val="Normal"/>
    <w:rsid w:val="00DE4760"/>
    <w:pPr>
      <w:keepNext/>
      <w:keepLines/>
      <w:spacing w:before="360" w:after="80"/>
      <w:outlineLvl w:val="1"/>
    </w:pPr>
    <w:rPr>
      <w:b/>
      <w:sz w:val="36"/>
      <w:szCs w:val="36"/>
    </w:rPr>
  </w:style>
  <w:style w:type="paragraph" w:styleId="Heading3">
    <w:name w:val="heading 3"/>
    <w:basedOn w:val="Normal"/>
    <w:next w:val="Normal"/>
    <w:rsid w:val="00DE4760"/>
    <w:pPr>
      <w:keepNext/>
      <w:keepLines/>
      <w:spacing w:before="280" w:after="80"/>
      <w:outlineLvl w:val="2"/>
    </w:pPr>
    <w:rPr>
      <w:b/>
      <w:sz w:val="28"/>
      <w:szCs w:val="28"/>
    </w:rPr>
  </w:style>
  <w:style w:type="paragraph" w:styleId="Heading4">
    <w:name w:val="heading 4"/>
    <w:basedOn w:val="Normal"/>
    <w:next w:val="Normal"/>
    <w:rsid w:val="00DE4760"/>
    <w:pPr>
      <w:keepNext/>
      <w:keepLines/>
      <w:spacing w:before="240" w:after="40"/>
      <w:outlineLvl w:val="3"/>
    </w:pPr>
    <w:rPr>
      <w:b/>
      <w:sz w:val="24"/>
      <w:szCs w:val="24"/>
    </w:rPr>
  </w:style>
  <w:style w:type="paragraph" w:styleId="Heading5">
    <w:name w:val="heading 5"/>
    <w:basedOn w:val="Normal"/>
    <w:next w:val="Normal"/>
    <w:rsid w:val="00DE4760"/>
    <w:pPr>
      <w:keepNext/>
      <w:keepLines/>
      <w:spacing w:before="220" w:after="40"/>
      <w:outlineLvl w:val="4"/>
    </w:pPr>
    <w:rPr>
      <w:b/>
    </w:rPr>
  </w:style>
  <w:style w:type="paragraph" w:styleId="Heading6">
    <w:name w:val="heading 6"/>
    <w:basedOn w:val="Normal"/>
    <w:next w:val="Normal"/>
    <w:rsid w:val="00DE476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rsid w:val="005F1E9C"/>
    <w:pPr>
      <w:keepNext/>
      <w:keepLines/>
      <w:spacing w:before="480" w:after="120"/>
    </w:pPr>
    <w:rPr>
      <w:b/>
      <w:szCs w:val="72"/>
    </w:rPr>
  </w:style>
  <w:style w:type="paragraph" w:styleId="Subtitle">
    <w:name w:val="Subtitle"/>
    <w:basedOn w:val="Normal"/>
    <w:next w:val="Normal"/>
    <w:rsid w:val="00DE4760"/>
    <w:pPr>
      <w:keepNext/>
      <w:keepLines/>
      <w:spacing w:before="360" w:after="80"/>
    </w:pPr>
    <w:rPr>
      <w:rFonts w:ascii="Georgia" w:eastAsia="Georgia" w:hAnsi="Georgia" w:cs="Georgia"/>
      <w:i/>
      <w:color w:val="666666"/>
      <w:sz w:val="48"/>
      <w:szCs w:val="48"/>
    </w:rPr>
  </w:style>
  <w:style w:type="table" w:customStyle="1" w:styleId="a">
    <w:basedOn w:val="TableNormal"/>
    <w:rsid w:val="00DE4760"/>
    <w:tblPr>
      <w:tblStyleRowBandSize w:val="1"/>
      <w:tblStyleColBandSize w:val="1"/>
      <w:tblCellMar>
        <w:left w:w="115" w:type="dxa"/>
        <w:right w:w="115" w:type="dxa"/>
      </w:tblCellMar>
    </w:tblPr>
  </w:style>
  <w:style w:type="table" w:customStyle="1" w:styleId="a0">
    <w:basedOn w:val="TableNormal"/>
    <w:rsid w:val="00DE4760"/>
    <w:tblPr>
      <w:tblStyleRowBandSize w:val="1"/>
      <w:tblStyleColBandSize w:val="1"/>
      <w:tblCellMar>
        <w:left w:w="115" w:type="dxa"/>
        <w:right w:w="115" w:type="dxa"/>
      </w:tblCellMar>
    </w:tblPr>
  </w:style>
  <w:style w:type="table" w:customStyle="1" w:styleId="a1">
    <w:basedOn w:val="TableNormal"/>
    <w:rsid w:val="00DE4760"/>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FB03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033C"/>
    <w:rPr>
      <w:rFonts w:ascii="Segoe UI" w:hAnsi="Segoe UI" w:cs="Segoe UI"/>
      <w:sz w:val="18"/>
      <w:szCs w:val="18"/>
    </w:rPr>
  </w:style>
  <w:style w:type="character" w:styleId="Hyperlink">
    <w:name w:val="Hyperlink"/>
    <w:basedOn w:val="DefaultParagraphFont"/>
    <w:uiPriority w:val="99"/>
    <w:unhideWhenUsed/>
    <w:rsid w:val="001C335E"/>
    <w:rPr>
      <w:color w:val="0000FF" w:themeColor="hyperlink"/>
      <w:u w:val="single"/>
    </w:rPr>
  </w:style>
  <w:style w:type="character" w:customStyle="1" w:styleId="period">
    <w:name w:val="period"/>
    <w:basedOn w:val="DefaultParagraphFont"/>
    <w:rsid w:val="00F970B8"/>
  </w:style>
  <w:style w:type="character" w:customStyle="1" w:styleId="cit">
    <w:name w:val="cit"/>
    <w:basedOn w:val="DefaultParagraphFont"/>
    <w:rsid w:val="00F970B8"/>
  </w:style>
  <w:style w:type="character" w:customStyle="1" w:styleId="citation-doi">
    <w:name w:val="citation-doi"/>
    <w:basedOn w:val="DefaultParagraphFont"/>
    <w:rsid w:val="00F970B8"/>
  </w:style>
  <w:style w:type="character" w:customStyle="1" w:styleId="zmlenmeyenBahsetme1">
    <w:name w:val="Çözümlenmeyen Bahsetme1"/>
    <w:basedOn w:val="DefaultParagraphFont"/>
    <w:uiPriority w:val="99"/>
    <w:semiHidden/>
    <w:unhideWhenUsed/>
    <w:rsid w:val="00673FA6"/>
    <w:rPr>
      <w:color w:val="605E5C"/>
      <w:shd w:val="clear" w:color="auto" w:fill="E1DFDD"/>
    </w:rPr>
  </w:style>
  <w:style w:type="paragraph" w:styleId="Revision">
    <w:name w:val="Revision"/>
    <w:hidden/>
    <w:uiPriority w:val="99"/>
    <w:semiHidden/>
    <w:rsid w:val="00447370"/>
    <w:pPr>
      <w:spacing w:after="0" w:line="240" w:lineRule="auto"/>
    </w:pPr>
  </w:style>
  <w:style w:type="paragraph" w:styleId="CommentText">
    <w:name w:val="annotation text"/>
    <w:basedOn w:val="Normal"/>
    <w:link w:val="CommentTextChar"/>
    <w:uiPriority w:val="99"/>
    <w:semiHidden/>
    <w:unhideWhenUsed/>
    <w:rsid w:val="00033E04"/>
    <w:pPr>
      <w:pBdr>
        <w:top w:val="nil"/>
        <w:left w:val="nil"/>
        <w:bottom w:val="nil"/>
        <w:right w:val="nil"/>
        <w:between w:val="nil"/>
        <w:bar w:val="nil"/>
      </w:pBdr>
      <w:spacing w:after="0" w:line="240" w:lineRule="auto"/>
    </w:pPr>
    <w:rPr>
      <w:rFonts w:eastAsia="Arial Unicode MS" w:cs="Times New Roman"/>
      <w:sz w:val="20"/>
      <w:szCs w:val="20"/>
      <w:bdr w:val="nil"/>
      <w:lang w:eastAsia="en-US"/>
    </w:rPr>
  </w:style>
  <w:style w:type="character" w:customStyle="1" w:styleId="CommentTextChar">
    <w:name w:val="Comment Text Char"/>
    <w:basedOn w:val="DefaultParagraphFont"/>
    <w:link w:val="CommentText"/>
    <w:uiPriority w:val="99"/>
    <w:semiHidden/>
    <w:rsid w:val="00033E04"/>
    <w:rPr>
      <w:rFonts w:ascii="Times New Roman" w:eastAsia="Arial Unicode MS" w:hAnsi="Times New Roman" w:cs="Times New Roman"/>
      <w:sz w:val="20"/>
      <w:szCs w:val="20"/>
      <w:bdr w:val="ni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44273">
      <w:bodyDiv w:val="1"/>
      <w:marLeft w:val="0"/>
      <w:marRight w:val="0"/>
      <w:marTop w:val="0"/>
      <w:marBottom w:val="0"/>
      <w:divBdr>
        <w:top w:val="none" w:sz="0" w:space="0" w:color="auto"/>
        <w:left w:val="none" w:sz="0" w:space="0" w:color="auto"/>
        <w:bottom w:val="none" w:sz="0" w:space="0" w:color="auto"/>
        <w:right w:val="none" w:sz="0" w:space="0" w:color="auto"/>
      </w:divBdr>
      <w:divsChild>
        <w:div w:id="872111564">
          <w:marLeft w:val="0"/>
          <w:marRight w:val="0"/>
          <w:marTop w:val="0"/>
          <w:marBottom w:val="0"/>
          <w:divBdr>
            <w:top w:val="none" w:sz="0" w:space="0" w:color="auto"/>
            <w:left w:val="none" w:sz="0" w:space="0" w:color="auto"/>
            <w:bottom w:val="none" w:sz="0" w:space="0" w:color="auto"/>
            <w:right w:val="none" w:sz="0" w:space="0" w:color="auto"/>
          </w:divBdr>
        </w:div>
      </w:divsChild>
    </w:div>
    <w:div w:id="8722126">
      <w:bodyDiv w:val="1"/>
      <w:marLeft w:val="0"/>
      <w:marRight w:val="0"/>
      <w:marTop w:val="0"/>
      <w:marBottom w:val="0"/>
      <w:divBdr>
        <w:top w:val="none" w:sz="0" w:space="0" w:color="auto"/>
        <w:left w:val="none" w:sz="0" w:space="0" w:color="auto"/>
        <w:bottom w:val="none" w:sz="0" w:space="0" w:color="auto"/>
        <w:right w:val="none" w:sz="0" w:space="0" w:color="auto"/>
      </w:divBdr>
      <w:divsChild>
        <w:div w:id="737678924">
          <w:marLeft w:val="0"/>
          <w:marRight w:val="0"/>
          <w:marTop w:val="0"/>
          <w:marBottom w:val="0"/>
          <w:divBdr>
            <w:top w:val="none" w:sz="0" w:space="0" w:color="auto"/>
            <w:left w:val="none" w:sz="0" w:space="0" w:color="auto"/>
            <w:bottom w:val="none" w:sz="0" w:space="0" w:color="auto"/>
            <w:right w:val="none" w:sz="0" w:space="0" w:color="auto"/>
          </w:divBdr>
          <w:divsChild>
            <w:div w:id="821428919">
              <w:marLeft w:val="0"/>
              <w:marRight w:val="0"/>
              <w:marTop w:val="0"/>
              <w:marBottom w:val="0"/>
              <w:divBdr>
                <w:top w:val="none" w:sz="0" w:space="0" w:color="auto"/>
                <w:left w:val="none" w:sz="0" w:space="0" w:color="auto"/>
                <w:bottom w:val="none" w:sz="0" w:space="0" w:color="auto"/>
                <w:right w:val="none" w:sz="0" w:space="0" w:color="auto"/>
              </w:divBdr>
              <w:divsChild>
                <w:div w:id="125477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18512">
      <w:bodyDiv w:val="1"/>
      <w:marLeft w:val="0"/>
      <w:marRight w:val="0"/>
      <w:marTop w:val="0"/>
      <w:marBottom w:val="0"/>
      <w:divBdr>
        <w:top w:val="none" w:sz="0" w:space="0" w:color="auto"/>
        <w:left w:val="none" w:sz="0" w:space="0" w:color="auto"/>
        <w:bottom w:val="none" w:sz="0" w:space="0" w:color="auto"/>
        <w:right w:val="none" w:sz="0" w:space="0" w:color="auto"/>
      </w:divBdr>
    </w:div>
    <w:div w:id="401106804">
      <w:bodyDiv w:val="1"/>
      <w:marLeft w:val="0"/>
      <w:marRight w:val="0"/>
      <w:marTop w:val="0"/>
      <w:marBottom w:val="0"/>
      <w:divBdr>
        <w:top w:val="none" w:sz="0" w:space="0" w:color="auto"/>
        <w:left w:val="none" w:sz="0" w:space="0" w:color="auto"/>
        <w:bottom w:val="none" w:sz="0" w:space="0" w:color="auto"/>
        <w:right w:val="none" w:sz="0" w:space="0" w:color="auto"/>
      </w:divBdr>
      <w:divsChild>
        <w:div w:id="759717341">
          <w:marLeft w:val="0"/>
          <w:marRight w:val="0"/>
          <w:marTop w:val="0"/>
          <w:marBottom w:val="0"/>
          <w:divBdr>
            <w:top w:val="none" w:sz="0" w:space="0" w:color="auto"/>
            <w:left w:val="none" w:sz="0" w:space="0" w:color="auto"/>
            <w:bottom w:val="none" w:sz="0" w:space="0" w:color="auto"/>
            <w:right w:val="none" w:sz="0" w:space="0" w:color="auto"/>
          </w:divBdr>
          <w:divsChild>
            <w:div w:id="1313370791">
              <w:marLeft w:val="0"/>
              <w:marRight w:val="0"/>
              <w:marTop w:val="0"/>
              <w:marBottom w:val="0"/>
              <w:divBdr>
                <w:top w:val="none" w:sz="0" w:space="0" w:color="auto"/>
                <w:left w:val="none" w:sz="0" w:space="0" w:color="auto"/>
                <w:bottom w:val="none" w:sz="0" w:space="0" w:color="auto"/>
                <w:right w:val="none" w:sz="0" w:space="0" w:color="auto"/>
              </w:divBdr>
              <w:divsChild>
                <w:div w:id="17928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606306">
      <w:bodyDiv w:val="1"/>
      <w:marLeft w:val="0"/>
      <w:marRight w:val="0"/>
      <w:marTop w:val="0"/>
      <w:marBottom w:val="0"/>
      <w:divBdr>
        <w:top w:val="none" w:sz="0" w:space="0" w:color="auto"/>
        <w:left w:val="none" w:sz="0" w:space="0" w:color="auto"/>
        <w:bottom w:val="none" w:sz="0" w:space="0" w:color="auto"/>
        <w:right w:val="none" w:sz="0" w:space="0" w:color="auto"/>
      </w:divBdr>
      <w:divsChild>
        <w:div w:id="1012728272">
          <w:marLeft w:val="0"/>
          <w:marRight w:val="0"/>
          <w:marTop w:val="0"/>
          <w:marBottom w:val="0"/>
          <w:divBdr>
            <w:top w:val="none" w:sz="0" w:space="0" w:color="auto"/>
            <w:left w:val="none" w:sz="0" w:space="0" w:color="auto"/>
            <w:bottom w:val="none" w:sz="0" w:space="0" w:color="auto"/>
            <w:right w:val="none" w:sz="0" w:space="0" w:color="auto"/>
          </w:divBdr>
          <w:divsChild>
            <w:div w:id="1736080264">
              <w:marLeft w:val="0"/>
              <w:marRight w:val="0"/>
              <w:marTop w:val="0"/>
              <w:marBottom w:val="0"/>
              <w:divBdr>
                <w:top w:val="none" w:sz="0" w:space="0" w:color="auto"/>
                <w:left w:val="none" w:sz="0" w:space="0" w:color="auto"/>
                <w:bottom w:val="none" w:sz="0" w:space="0" w:color="auto"/>
                <w:right w:val="none" w:sz="0" w:space="0" w:color="auto"/>
              </w:divBdr>
              <w:divsChild>
                <w:div w:id="63190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435315">
      <w:bodyDiv w:val="1"/>
      <w:marLeft w:val="0"/>
      <w:marRight w:val="0"/>
      <w:marTop w:val="0"/>
      <w:marBottom w:val="0"/>
      <w:divBdr>
        <w:top w:val="none" w:sz="0" w:space="0" w:color="auto"/>
        <w:left w:val="none" w:sz="0" w:space="0" w:color="auto"/>
        <w:bottom w:val="none" w:sz="0" w:space="0" w:color="auto"/>
        <w:right w:val="none" w:sz="0" w:space="0" w:color="auto"/>
      </w:divBdr>
      <w:divsChild>
        <w:div w:id="591474825">
          <w:marLeft w:val="0"/>
          <w:marRight w:val="0"/>
          <w:marTop w:val="0"/>
          <w:marBottom w:val="0"/>
          <w:divBdr>
            <w:top w:val="none" w:sz="0" w:space="0" w:color="auto"/>
            <w:left w:val="none" w:sz="0" w:space="0" w:color="auto"/>
            <w:bottom w:val="none" w:sz="0" w:space="0" w:color="auto"/>
            <w:right w:val="none" w:sz="0" w:space="0" w:color="auto"/>
          </w:divBdr>
          <w:divsChild>
            <w:div w:id="951475167">
              <w:marLeft w:val="0"/>
              <w:marRight w:val="0"/>
              <w:marTop w:val="0"/>
              <w:marBottom w:val="0"/>
              <w:divBdr>
                <w:top w:val="none" w:sz="0" w:space="0" w:color="auto"/>
                <w:left w:val="none" w:sz="0" w:space="0" w:color="auto"/>
                <w:bottom w:val="none" w:sz="0" w:space="0" w:color="auto"/>
                <w:right w:val="none" w:sz="0" w:space="0" w:color="auto"/>
              </w:divBdr>
              <w:divsChild>
                <w:div w:id="121315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758907">
      <w:bodyDiv w:val="1"/>
      <w:marLeft w:val="0"/>
      <w:marRight w:val="0"/>
      <w:marTop w:val="0"/>
      <w:marBottom w:val="0"/>
      <w:divBdr>
        <w:top w:val="none" w:sz="0" w:space="0" w:color="auto"/>
        <w:left w:val="none" w:sz="0" w:space="0" w:color="auto"/>
        <w:bottom w:val="none" w:sz="0" w:space="0" w:color="auto"/>
        <w:right w:val="none" w:sz="0" w:space="0" w:color="auto"/>
      </w:divBdr>
    </w:div>
    <w:div w:id="632323392">
      <w:bodyDiv w:val="1"/>
      <w:marLeft w:val="0"/>
      <w:marRight w:val="0"/>
      <w:marTop w:val="0"/>
      <w:marBottom w:val="0"/>
      <w:divBdr>
        <w:top w:val="none" w:sz="0" w:space="0" w:color="auto"/>
        <w:left w:val="none" w:sz="0" w:space="0" w:color="auto"/>
        <w:bottom w:val="none" w:sz="0" w:space="0" w:color="auto"/>
        <w:right w:val="none" w:sz="0" w:space="0" w:color="auto"/>
      </w:divBdr>
      <w:divsChild>
        <w:div w:id="190460956">
          <w:marLeft w:val="0"/>
          <w:marRight w:val="0"/>
          <w:marTop w:val="0"/>
          <w:marBottom w:val="0"/>
          <w:divBdr>
            <w:top w:val="none" w:sz="0" w:space="0" w:color="auto"/>
            <w:left w:val="none" w:sz="0" w:space="0" w:color="auto"/>
            <w:bottom w:val="none" w:sz="0" w:space="0" w:color="auto"/>
            <w:right w:val="none" w:sz="0" w:space="0" w:color="auto"/>
          </w:divBdr>
          <w:divsChild>
            <w:div w:id="1413628563">
              <w:marLeft w:val="0"/>
              <w:marRight w:val="0"/>
              <w:marTop w:val="0"/>
              <w:marBottom w:val="0"/>
              <w:divBdr>
                <w:top w:val="none" w:sz="0" w:space="0" w:color="auto"/>
                <w:left w:val="none" w:sz="0" w:space="0" w:color="auto"/>
                <w:bottom w:val="none" w:sz="0" w:space="0" w:color="auto"/>
                <w:right w:val="none" w:sz="0" w:space="0" w:color="auto"/>
              </w:divBdr>
              <w:divsChild>
                <w:div w:id="152169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767254">
      <w:bodyDiv w:val="1"/>
      <w:marLeft w:val="0"/>
      <w:marRight w:val="0"/>
      <w:marTop w:val="0"/>
      <w:marBottom w:val="0"/>
      <w:divBdr>
        <w:top w:val="none" w:sz="0" w:space="0" w:color="auto"/>
        <w:left w:val="none" w:sz="0" w:space="0" w:color="auto"/>
        <w:bottom w:val="none" w:sz="0" w:space="0" w:color="auto"/>
        <w:right w:val="none" w:sz="0" w:space="0" w:color="auto"/>
      </w:divBdr>
      <w:divsChild>
        <w:div w:id="1107388715">
          <w:marLeft w:val="0"/>
          <w:marRight w:val="0"/>
          <w:marTop w:val="0"/>
          <w:marBottom w:val="0"/>
          <w:divBdr>
            <w:top w:val="none" w:sz="0" w:space="0" w:color="auto"/>
            <w:left w:val="none" w:sz="0" w:space="0" w:color="auto"/>
            <w:bottom w:val="none" w:sz="0" w:space="0" w:color="auto"/>
            <w:right w:val="none" w:sz="0" w:space="0" w:color="auto"/>
          </w:divBdr>
          <w:divsChild>
            <w:div w:id="194722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21318">
      <w:bodyDiv w:val="1"/>
      <w:marLeft w:val="0"/>
      <w:marRight w:val="0"/>
      <w:marTop w:val="0"/>
      <w:marBottom w:val="0"/>
      <w:divBdr>
        <w:top w:val="none" w:sz="0" w:space="0" w:color="auto"/>
        <w:left w:val="none" w:sz="0" w:space="0" w:color="auto"/>
        <w:bottom w:val="none" w:sz="0" w:space="0" w:color="auto"/>
        <w:right w:val="none" w:sz="0" w:space="0" w:color="auto"/>
      </w:divBdr>
    </w:div>
    <w:div w:id="1156990182">
      <w:bodyDiv w:val="1"/>
      <w:marLeft w:val="0"/>
      <w:marRight w:val="0"/>
      <w:marTop w:val="0"/>
      <w:marBottom w:val="0"/>
      <w:divBdr>
        <w:top w:val="none" w:sz="0" w:space="0" w:color="auto"/>
        <w:left w:val="none" w:sz="0" w:space="0" w:color="auto"/>
        <w:bottom w:val="none" w:sz="0" w:space="0" w:color="auto"/>
        <w:right w:val="none" w:sz="0" w:space="0" w:color="auto"/>
      </w:divBdr>
    </w:div>
    <w:div w:id="1160928654">
      <w:bodyDiv w:val="1"/>
      <w:marLeft w:val="0"/>
      <w:marRight w:val="0"/>
      <w:marTop w:val="0"/>
      <w:marBottom w:val="0"/>
      <w:divBdr>
        <w:top w:val="none" w:sz="0" w:space="0" w:color="auto"/>
        <w:left w:val="none" w:sz="0" w:space="0" w:color="auto"/>
        <w:bottom w:val="none" w:sz="0" w:space="0" w:color="auto"/>
        <w:right w:val="none" w:sz="0" w:space="0" w:color="auto"/>
      </w:divBdr>
    </w:div>
    <w:div w:id="1193569783">
      <w:bodyDiv w:val="1"/>
      <w:marLeft w:val="0"/>
      <w:marRight w:val="0"/>
      <w:marTop w:val="0"/>
      <w:marBottom w:val="0"/>
      <w:divBdr>
        <w:top w:val="none" w:sz="0" w:space="0" w:color="auto"/>
        <w:left w:val="none" w:sz="0" w:space="0" w:color="auto"/>
        <w:bottom w:val="none" w:sz="0" w:space="0" w:color="auto"/>
        <w:right w:val="none" w:sz="0" w:space="0" w:color="auto"/>
      </w:divBdr>
    </w:div>
    <w:div w:id="1274677044">
      <w:bodyDiv w:val="1"/>
      <w:marLeft w:val="0"/>
      <w:marRight w:val="0"/>
      <w:marTop w:val="0"/>
      <w:marBottom w:val="0"/>
      <w:divBdr>
        <w:top w:val="none" w:sz="0" w:space="0" w:color="auto"/>
        <w:left w:val="none" w:sz="0" w:space="0" w:color="auto"/>
        <w:bottom w:val="none" w:sz="0" w:space="0" w:color="auto"/>
        <w:right w:val="none" w:sz="0" w:space="0" w:color="auto"/>
      </w:divBdr>
      <w:divsChild>
        <w:div w:id="995494471">
          <w:marLeft w:val="0"/>
          <w:marRight w:val="0"/>
          <w:marTop w:val="0"/>
          <w:marBottom w:val="0"/>
          <w:divBdr>
            <w:top w:val="none" w:sz="0" w:space="0" w:color="auto"/>
            <w:left w:val="none" w:sz="0" w:space="0" w:color="auto"/>
            <w:bottom w:val="none" w:sz="0" w:space="0" w:color="auto"/>
            <w:right w:val="none" w:sz="0" w:space="0" w:color="auto"/>
          </w:divBdr>
        </w:div>
      </w:divsChild>
    </w:div>
    <w:div w:id="1311404103">
      <w:bodyDiv w:val="1"/>
      <w:marLeft w:val="0"/>
      <w:marRight w:val="0"/>
      <w:marTop w:val="0"/>
      <w:marBottom w:val="0"/>
      <w:divBdr>
        <w:top w:val="none" w:sz="0" w:space="0" w:color="auto"/>
        <w:left w:val="none" w:sz="0" w:space="0" w:color="auto"/>
        <w:bottom w:val="none" w:sz="0" w:space="0" w:color="auto"/>
        <w:right w:val="none" w:sz="0" w:space="0" w:color="auto"/>
      </w:divBdr>
    </w:div>
    <w:div w:id="1491217452">
      <w:bodyDiv w:val="1"/>
      <w:marLeft w:val="0"/>
      <w:marRight w:val="0"/>
      <w:marTop w:val="0"/>
      <w:marBottom w:val="0"/>
      <w:divBdr>
        <w:top w:val="none" w:sz="0" w:space="0" w:color="auto"/>
        <w:left w:val="none" w:sz="0" w:space="0" w:color="auto"/>
        <w:bottom w:val="none" w:sz="0" w:space="0" w:color="auto"/>
        <w:right w:val="none" w:sz="0" w:space="0" w:color="auto"/>
      </w:divBdr>
    </w:div>
    <w:div w:id="1542477647">
      <w:bodyDiv w:val="1"/>
      <w:marLeft w:val="0"/>
      <w:marRight w:val="0"/>
      <w:marTop w:val="0"/>
      <w:marBottom w:val="0"/>
      <w:divBdr>
        <w:top w:val="none" w:sz="0" w:space="0" w:color="auto"/>
        <w:left w:val="none" w:sz="0" w:space="0" w:color="auto"/>
        <w:bottom w:val="none" w:sz="0" w:space="0" w:color="auto"/>
        <w:right w:val="none" w:sz="0" w:space="0" w:color="auto"/>
      </w:divBdr>
    </w:div>
    <w:div w:id="1623267346">
      <w:bodyDiv w:val="1"/>
      <w:marLeft w:val="0"/>
      <w:marRight w:val="0"/>
      <w:marTop w:val="0"/>
      <w:marBottom w:val="0"/>
      <w:divBdr>
        <w:top w:val="none" w:sz="0" w:space="0" w:color="auto"/>
        <w:left w:val="none" w:sz="0" w:space="0" w:color="auto"/>
        <w:bottom w:val="none" w:sz="0" w:space="0" w:color="auto"/>
        <w:right w:val="none" w:sz="0" w:space="0" w:color="auto"/>
      </w:divBdr>
    </w:div>
    <w:div w:id="1774861336">
      <w:bodyDiv w:val="1"/>
      <w:marLeft w:val="0"/>
      <w:marRight w:val="0"/>
      <w:marTop w:val="0"/>
      <w:marBottom w:val="0"/>
      <w:divBdr>
        <w:top w:val="none" w:sz="0" w:space="0" w:color="auto"/>
        <w:left w:val="none" w:sz="0" w:space="0" w:color="auto"/>
        <w:bottom w:val="none" w:sz="0" w:space="0" w:color="auto"/>
        <w:right w:val="none" w:sz="0" w:space="0" w:color="auto"/>
      </w:divBdr>
    </w:div>
    <w:div w:id="1782645659">
      <w:bodyDiv w:val="1"/>
      <w:marLeft w:val="0"/>
      <w:marRight w:val="0"/>
      <w:marTop w:val="0"/>
      <w:marBottom w:val="0"/>
      <w:divBdr>
        <w:top w:val="none" w:sz="0" w:space="0" w:color="auto"/>
        <w:left w:val="none" w:sz="0" w:space="0" w:color="auto"/>
        <w:bottom w:val="none" w:sz="0" w:space="0" w:color="auto"/>
        <w:right w:val="none" w:sz="0" w:space="0" w:color="auto"/>
      </w:divBdr>
    </w:div>
    <w:div w:id="1896165029">
      <w:bodyDiv w:val="1"/>
      <w:marLeft w:val="0"/>
      <w:marRight w:val="0"/>
      <w:marTop w:val="0"/>
      <w:marBottom w:val="0"/>
      <w:divBdr>
        <w:top w:val="none" w:sz="0" w:space="0" w:color="auto"/>
        <w:left w:val="none" w:sz="0" w:space="0" w:color="auto"/>
        <w:bottom w:val="none" w:sz="0" w:space="0" w:color="auto"/>
        <w:right w:val="none" w:sz="0" w:space="0" w:color="auto"/>
      </w:divBdr>
      <w:divsChild>
        <w:div w:id="769660385">
          <w:marLeft w:val="0"/>
          <w:marRight w:val="0"/>
          <w:marTop w:val="0"/>
          <w:marBottom w:val="0"/>
          <w:divBdr>
            <w:top w:val="none" w:sz="0" w:space="0" w:color="auto"/>
            <w:left w:val="none" w:sz="0" w:space="0" w:color="auto"/>
            <w:bottom w:val="none" w:sz="0" w:space="0" w:color="auto"/>
            <w:right w:val="none" w:sz="0" w:space="0" w:color="auto"/>
          </w:divBdr>
          <w:divsChild>
            <w:div w:id="174275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726800">
      <w:bodyDiv w:val="1"/>
      <w:marLeft w:val="0"/>
      <w:marRight w:val="0"/>
      <w:marTop w:val="0"/>
      <w:marBottom w:val="0"/>
      <w:divBdr>
        <w:top w:val="none" w:sz="0" w:space="0" w:color="auto"/>
        <w:left w:val="none" w:sz="0" w:space="0" w:color="auto"/>
        <w:bottom w:val="none" w:sz="0" w:space="0" w:color="auto"/>
        <w:right w:val="none" w:sz="0" w:space="0" w:color="auto"/>
      </w:divBdr>
      <w:divsChild>
        <w:div w:id="404694422">
          <w:marLeft w:val="0"/>
          <w:marRight w:val="0"/>
          <w:marTop w:val="0"/>
          <w:marBottom w:val="0"/>
          <w:divBdr>
            <w:top w:val="none" w:sz="0" w:space="0" w:color="auto"/>
            <w:left w:val="none" w:sz="0" w:space="0" w:color="auto"/>
            <w:bottom w:val="none" w:sz="0" w:space="0" w:color="auto"/>
            <w:right w:val="none" w:sz="0" w:space="0" w:color="auto"/>
          </w:divBdr>
          <w:divsChild>
            <w:div w:id="209463680">
              <w:marLeft w:val="0"/>
              <w:marRight w:val="0"/>
              <w:marTop w:val="0"/>
              <w:marBottom w:val="0"/>
              <w:divBdr>
                <w:top w:val="none" w:sz="0" w:space="0" w:color="auto"/>
                <w:left w:val="none" w:sz="0" w:space="0" w:color="auto"/>
                <w:bottom w:val="none" w:sz="0" w:space="0" w:color="auto"/>
                <w:right w:val="none" w:sz="0" w:space="0" w:color="auto"/>
              </w:divBdr>
              <w:divsChild>
                <w:div w:id="5231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webmd.com/drugs/2/drug-16962/modafinil+oral/details" TargetMode="External"/><Relationship Id="rId13" Type="http://schemas.openxmlformats.org/officeDocument/2006/relationships/hyperlink" Target="https://pubmed.ncbi.nlm.nih.gov/23948992/" TargetMode="External"/><Relationship Id="rId3" Type="http://schemas.openxmlformats.org/officeDocument/2006/relationships/styles" Target="styles.xml"/><Relationship Id="rId7" Type="http://schemas.openxmlformats.org/officeDocument/2006/relationships/hyperlink" Target="https://www.webmd.com/drugs/mono-94-METHYLPHENIDATE+-+ORAL.aspx?drugid=12114&amp;drugname=Methylphenidate+Oral" TargetMode="External"/><Relationship Id="rId12" Type="http://schemas.openxmlformats.org/officeDocument/2006/relationships/hyperlink" Target="https://pubmed.ncbi.nlm.nih.gov/2683383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psoysal@bezmialem.edu.tr" TargetMode="External"/><Relationship Id="rId11" Type="http://schemas.openxmlformats.org/officeDocument/2006/relationships/hyperlink" Target="https://doi.org/10.1002/jcsm.12048" TargetMode="External"/><Relationship Id="rId5" Type="http://schemas.openxmlformats.org/officeDocument/2006/relationships/webSettings" Target="webSettings.xml"/><Relationship Id="rId15" Type="http://schemas.openxmlformats.org/officeDocument/2006/relationships/hyperlink" Target="https://doi.org/10.1111/jgs.14735" TargetMode="External"/><Relationship Id="rId10" Type="http://schemas.openxmlformats.org/officeDocument/2006/relationships/hyperlink" Target="https://doi.org/10.1016/j.parkreldis.2018.02.003" TargetMode="External"/><Relationship Id="rId4" Type="http://schemas.openxmlformats.org/officeDocument/2006/relationships/settings" Target="settings.xml"/><Relationship Id="rId9" Type="http://schemas.openxmlformats.org/officeDocument/2006/relationships/hyperlink" Target="https://doi.org/10.1093/qjmed/hcz178" TargetMode="External"/><Relationship Id="rId14" Type="http://schemas.openxmlformats.org/officeDocument/2006/relationships/hyperlink" Target="https://doi.org/10.5664/jcsm.76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347A0-5B18-408D-8CDC-BE83AF96F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6242</Words>
  <Characters>35582</Characters>
  <Application>Microsoft Office Word</Application>
  <DocSecurity>0</DocSecurity>
  <Lines>296</Lines>
  <Paragraphs>83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Anglia Ruskin University</Company>
  <LinksUpToDate>false</LinksUpToDate>
  <CharactersWithSpaces>41741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Lee</dc:creator>
  <cp:lastModifiedBy>Blanshard, Lisa</cp:lastModifiedBy>
  <cp:revision>5</cp:revision>
  <dcterms:created xsi:type="dcterms:W3CDTF">2021-04-19T12:45:00Z</dcterms:created>
  <dcterms:modified xsi:type="dcterms:W3CDTF">2021-04-19T13:03:00Z</dcterms:modified>
</cp:coreProperties>
</file>