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38CCF8" w14:textId="77777777" w:rsidR="00782CF2" w:rsidRPr="00820F66" w:rsidRDefault="00782CF2" w:rsidP="00782CF2">
      <w:pPr>
        <w:rPr>
          <w:rFonts w:cs="Times New Roman"/>
          <w:b/>
          <w:bCs/>
          <w:sz w:val="32"/>
          <w:szCs w:val="32"/>
        </w:rPr>
      </w:pPr>
      <w:r w:rsidRPr="00820F66">
        <w:rPr>
          <w:rFonts w:cs="Times New Roman"/>
          <w:b/>
          <w:bCs/>
          <w:sz w:val="32"/>
          <w:szCs w:val="32"/>
        </w:rPr>
        <w:t xml:space="preserve">Shared Decision-Making: an autoethnography about service user perspectives in making choices about mental health care and treatment. </w:t>
      </w:r>
    </w:p>
    <w:p w14:paraId="749986FD" w14:textId="77777777" w:rsidR="00A448C9" w:rsidRPr="00DB097F" w:rsidRDefault="00A448C9" w:rsidP="00A448C9">
      <w:pPr>
        <w:rPr>
          <w:rFonts w:cs="Times New Roman"/>
          <w:szCs w:val="24"/>
        </w:rPr>
      </w:pPr>
      <w:r w:rsidRPr="008068CD">
        <w:rPr>
          <w:rFonts w:cs="Times New Roman"/>
          <w:szCs w:val="24"/>
        </w:rPr>
        <w:t>Dr. Joanna Fox 1*</w:t>
      </w:r>
    </w:p>
    <w:p w14:paraId="40DC9963" w14:textId="77777777" w:rsidR="00A448C9" w:rsidRPr="00DB097F" w:rsidRDefault="00A448C9" w:rsidP="00A448C9">
      <w:pPr>
        <w:rPr>
          <w:rFonts w:cs="Times New Roman"/>
          <w:szCs w:val="24"/>
        </w:rPr>
      </w:pPr>
      <w:r w:rsidRPr="00DB097F">
        <w:rPr>
          <w:rFonts w:cs="Times New Roman"/>
          <w:szCs w:val="24"/>
        </w:rPr>
        <w:t>School of Education and Social Care, Anglia Ruskin University, Cambridge, UK</w:t>
      </w:r>
    </w:p>
    <w:p w14:paraId="69F54002" w14:textId="6730084F" w:rsidR="00A448C9" w:rsidRPr="00DB097F" w:rsidRDefault="00A448C9" w:rsidP="00A448C9">
      <w:pPr>
        <w:rPr>
          <w:rFonts w:cs="Times New Roman"/>
          <w:szCs w:val="24"/>
        </w:rPr>
      </w:pPr>
    </w:p>
    <w:p w14:paraId="38BB9E29" w14:textId="53CB3D2F" w:rsidR="00A448C9" w:rsidRPr="00DB097F" w:rsidRDefault="00A448C9" w:rsidP="00A448C9">
      <w:pPr>
        <w:rPr>
          <w:rFonts w:cs="Times New Roman"/>
          <w:szCs w:val="24"/>
        </w:rPr>
      </w:pPr>
      <w:r w:rsidRPr="00DB097F">
        <w:rPr>
          <w:rFonts w:cs="Times New Roman"/>
          <w:szCs w:val="24"/>
        </w:rPr>
        <w:t>*Correspondence</w:t>
      </w:r>
    </w:p>
    <w:p w14:paraId="00A56CCA" w14:textId="77777777" w:rsidR="00A448C9" w:rsidRPr="00DB097F" w:rsidRDefault="00A448C9" w:rsidP="00A448C9">
      <w:pPr>
        <w:rPr>
          <w:rFonts w:cs="Times New Roman"/>
          <w:szCs w:val="24"/>
        </w:rPr>
      </w:pPr>
      <w:r w:rsidRPr="00DB097F">
        <w:rPr>
          <w:rFonts w:cs="Times New Roman"/>
          <w:szCs w:val="24"/>
        </w:rPr>
        <w:t>Corresponding author</w:t>
      </w:r>
    </w:p>
    <w:p w14:paraId="654B2F9D" w14:textId="77777777" w:rsidR="00A448C9" w:rsidRPr="00DB097F" w:rsidRDefault="00A448C9" w:rsidP="00A448C9">
      <w:pPr>
        <w:rPr>
          <w:rFonts w:cs="Times New Roman"/>
          <w:szCs w:val="24"/>
        </w:rPr>
      </w:pPr>
      <w:r w:rsidRPr="00DB097F">
        <w:rPr>
          <w:rFonts w:cs="Times New Roman"/>
          <w:szCs w:val="24"/>
        </w:rPr>
        <w:t>Joanna Fox</w:t>
      </w:r>
    </w:p>
    <w:p w14:paraId="106E76A7" w14:textId="519FEC52" w:rsidR="00A448C9" w:rsidRPr="008068CD" w:rsidRDefault="008068CD" w:rsidP="00A448C9">
      <w:pPr>
        <w:rPr>
          <w:rStyle w:val="Hyperlink"/>
          <w:rFonts w:cs="Times New Roman"/>
          <w:color w:val="auto"/>
          <w:szCs w:val="24"/>
        </w:rPr>
      </w:pPr>
      <w:hyperlink r:id="rId8" w:history="1">
        <w:r w:rsidR="00A448C9" w:rsidRPr="008068CD">
          <w:rPr>
            <w:rStyle w:val="Hyperlink"/>
            <w:rFonts w:cs="Times New Roman"/>
            <w:szCs w:val="24"/>
          </w:rPr>
          <w:t>Joanna.Fox@aru.ac.uk</w:t>
        </w:r>
      </w:hyperlink>
    </w:p>
    <w:p w14:paraId="7F39EC96" w14:textId="3E0B1B27" w:rsidR="00A448C9" w:rsidRPr="00DB097F" w:rsidRDefault="00A448C9" w:rsidP="00A448C9">
      <w:pPr>
        <w:rPr>
          <w:rStyle w:val="Hyperlink"/>
          <w:rFonts w:cs="Times New Roman"/>
          <w:color w:val="auto"/>
          <w:szCs w:val="24"/>
        </w:rPr>
      </w:pPr>
    </w:p>
    <w:p w14:paraId="2BE21C4A" w14:textId="4B5E271C" w:rsidR="00A448C9" w:rsidRPr="00DB097F" w:rsidRDefault="00A448C9" w:rsidP="00A448C9">
      <w:pPr>
        <w:rPr>
          <w:rFonts w:cs="Times New Roman"/>
          <w:szCs w:val="24"/>
        </w:rPr>
      </w:pPr>
      <w:r w:rsidRPr="00820F66">
        <w:rPr>
          <w:rFonts w:cs="Times New Roman"/>
          <w:b/>
          <w:bCs/>
          <w:szCs w:val="24"/>
        </w:rPr>
        <w:t>Key words</w:t>
      </w:r>
      <w:r w:rsidRPr="00DB097F">
        <w:rPr>
          <w:rFonts w:cs="Times New Roman"/>
          <w:szCs w:val="24"/>
        </w:rPr>
        <w:t xml:space="preserve">: Medication choices, Autoethnography, Service user perspective, Prescribers, Wellbeing.  </w:t>
      </w:r>
    </w:p>
    <w:p w14:paraId="30144A81" w14:textId="354AE580" w:rsidR="00A448C9" w:rsidRPr="00DB097F" w:rsidRDefault="00A448C9" w:rsidP="00A448C9">
      <w:pPr>
        <w:rPr>
          <w:rFonts w:cs="Times New Roman"/>
          <w:b/>
          <w:bCs/>
          <w:szCs w:val="24"/>
        </w:rPr>
      </w:pPr>
      <w:r w:rsidRPr="00DB097F">
        <w:rPr>
          <w:rFonts w:cs="Times New Roman"/>
          <w:b/>
          <w:bCs/>
          <w:szCs w:val="24"/>
        </w:rPr>
        <w:t>Abstract</w:t>
      </w:r>
    </w:p>
    <w:p w14:paraId="78CA90B9" w14:textId="69D00596" w:rsidR="00A448C9" w:rsidRPr="00DB097F" w:rsidRDefault="00A448C9" w:rsidP="00A448C9">
      <w:pPr>
        <w:rPr>
          <w:rFonts w:cs="Times New Roman"/>
          <w:szCs w:val="24"/>
        </w:rPr>
      </w:pPr>
      <w:r w:rsidRPr="00DB097F">
        <w:rPr>
          <w:rFonts w:cs="Times New Roman"/>
          <w:szCs w:val="24"/>
        </w:rPr>
        <w:t xml:space="preserve">Shared decision-making (SDM) between mental health medication prescribers and service users is a central pillar in the recovery approach, </w:t>
      </w:r>
      <w:r w:rsidR="005A4F4C" w:rsidRPr="00DB097F">
        <w:rPr>
          <w:rFonts w:cs="Times New Roman"/>
          <w:szCs w:val="24"/>
        </w:rPr>
        <w:t>because</w:t>
      </w:r>
      <w:r w:rsidRPr="00DB097F">
        <w:rPr>
          <w:rFonts w:cs="Times New Roman"/>
          <w:szCs w:val="24"/>
        </w:rPr>
        <w:t xml:space="preserve"> it supports people experiencing mental ill-health to explore their care and treatment options to promote their wellbeing and to enable clinicians to gain knowledge of the choices the service user prefers.  SDM is receiving increasing recognition both in the delivery of physical and mental health services; and as such, is of significance to current practice.  As an expert-by-experience with over 30 years of receiving mental health treatment, I have made many choices about taking medication and accessing other forms of support</w:t>
      </w:r>
      <w:proofErr w:type="gramStart"/>
      <w:r w:rsidR="009052DD" w:rsidRPr="00DB097F">
        <w:rPr>
          <w:rFonts w:cs="Times New Roman"/>
          <w:szCs w:val="24"/>
        </w:rPr>
        <w:t xml:space="preserve">. </w:t>
      </w:r>
      <w:r w:rsidRPr="00DB097F">
        <w:rPr>
          <w:rFonts w:cs="Times New Roman"/>
          <w:szCs w:val="24"/>
        </w:rPr>
        <w:t>.</w:t>
      </w:r>
      <w:proofErr w:type="gramEnd"/>
      <w:r w:rsidRPr="00DB097F">
        <w:rPr>
          <w:rFonts w:cs="Times New Roman"/>
          <w:szCs w:val="24"/>
        </w:rPr>
        <w:t xml:space="preserve">  The experiences of SDM have been variable over my career as a service user: both encounters when I have felt utterly disempowered and interactions when I have led decision-making process based on my expertise-by-experience.  In this article, I recount two experiences of exploring care and treatment options: firstly, a discharge planning meeting; and secondly, the choice to take medication over the long-term, despite the side effects.  The article will explore both opportunities and barriers to effective shared decision-making, as well as skills and processes to facilitate this approach.  The need to balance power between service users and professionals in this interaction is highlighted, including the need to respect expertise built on lived experience, alongside that of clinical expertise.  This narrative is framed within an autoethnographic approach which allows me to </w:t>
      </w:r>
      <w:proofErr w:type="spellStart"/>
      <w:r w:rsidRPr="00DB097F">
        <w:rPr>
          <w:rFonts w:cs="Times New Roman"/>
          <w:szCs w:val="24"/>
        </w:rPr>
        <w:t>contextualise</w:t>
      </w:r>
      <w:proofErr w:type="spellEnd"/>
      <w:r w:rsidRPr="00DB097F">
        <w:rPr>
          <w:rFonts w:cs="Times New Roman"/>
          <w:szCs w:val="24"/>
        </w:rPr>
        <w:t xml:space="preserve"> my personal experiences in the wider environment of mental health care and support.  </w:t>
      </w:r>
    </w:p>
    <w:p w14:paraId="3FBABD1A" w14:textId="77777777" w:rsidR="00997868" w:rsidRPr="00DB097F" w:rsidRDefault="00997868" w:rsidP="00A448C9">
      <w:pPr>
        <w:autoSpaceDE w:val="0"/>
        <w:autoSpaceDN w:val="0"/>
        <w:adjustRightInd w:val="0"/>
        <w:spacing w:after="0"/>
        <w:rPr>
          <w:rFonts w:cs="Times New Roman"/>
          <w:szCs w:val="24"/>
        </w:rPr>
      </w:pPr>
    </w:p>
    <w:p w14:paraId="2E248844" w14:textId="2205487E" w:rsidR="00A448C9" w:rsidRPr="00DB097F" w:rsidRDefault="00A448C9" w:rsidP="00A448C9">
      <w:pPr>
        <w:autoSpaceDE w:val="0"/>
        <w:autoSpaceDN w:val="0"/>
        <w:adjustRightInd w:val="0"/>
        <w:spacing w:after="0"/>
        <w:rPr>
          <w:rFonts w:cs="Times New Roman"/>
          <w:b/>
          <w:bCs/>
          <w:szCs w:val="24"/>
        </w:rPr>
      </w:pPr>
      <w:r w:rsidRPr="00DB097F">
        <w:rPr>
          <w:rFonts w:cs="Times New Roman"/>
          <w:b/>
          <w:bCs/>
          <w:szCs w:val="24"/>
        </w:rPr>
        <w:t xml:space="preserve">Introduction </w:t>
      </w:r>
    </w:p>
    <w:p w14:paraId="080D7BF1" w14:textId="7DAA6A63" w:rsidR="00A448C9" w:rsidRPr="00DB097F" w:rsidRDefault="00A448C9" w:rsidP="00A448C9">
      <w:pPr>
        <w:autoSpaceDE w:val="0"/>
        <w:autoSpaceDN w:val="0"/>
        <w:adjustRightInd w:val="0"/>
        <w:spacing w:after="0"/>
        <w:rPr>
          <w:rFonts w:cs="Times New Roman"/>
          <w:szCs w:val="24"/>
        </w:rPr>
      </w:pPr>
      <w:r w:rsidRPr="00DB097F">
        <w:rPr>
          <w:rFonts w:cs="Times New Roman"/>
          <w:szCs w:val="24"/>
        </w:rPr>
        <w:t xml:space="preserve">Recovery is an aspirational practice at the </w:t>
      </w:r>
      <w:proofErr w:type="spellStart"/>
      <w:r w:rsidRPr="00DB097F">
        <w:rPr>
          <w:rFonts w:cs="Times New Roman"/>
          <w:szCs w:val="24"/>
        </w:rPr>
        <w:t>centre</w:t>
      </w:r>
      <w:proofErr w:type="spellEnd"/>
      <w:r w:rsidRPr="00DB097F">
        <w:rPr>
          <w:rFonts w:cs="Times New Roman"/>
          <w:szCs w:val="24"/>
        </w:rPr>
        <w:t xml:space="preserve"> of mental health service delivery in the UK today (1,2) and underpins the implementation of services for people experiencing complex psychosis (3).</w:t>
      </w:r>
      <w:r w:rsidRPr="00DB097F">
        <w:rPr>
          <w:rFonts w:cs="Times New Roman"/>
          <w:color w:val="FF0000"/>
          <w:szCs w:val="24"/>
        </w:rPr>
        <w:t xml:space="preserve"> </w:t>
      </w:r>
      <w:r w:rsidRPr="00DB097F">
        <w:rPr>
          <w:rFonts w:cs="Times New Roman"/>
          <w:szCs w:val="24"/>
        </w:rPr>
        <w:t xml:space="preserve">Recovery is a process which supports a person with lived experience of mental ill-health to self-manage their condition putting them at the </w:t>
      </w:r>
      <w:proofErr w:type="spellStart"/>
      <w:r w:rsidRPr="00DB097F">
        <w:rPr>
          <w:rFonts w:cs="Times New Roman"/>
          <w:szCs w:val="24"/>
        </w:rPr>
        <w:t>centre</w:t>
      </w:r>
      <w:proofErr w:type="spellEnd"/>
      <w:r w:rsidRPr="00DB097F">
        <w:rPr>
          <w:rFonts w:cs="Times New Roman"/>
          <w:szCs w:val="24"/>
        </w:rPr>
        <w:t xml:space="preserve"> of decision-making about their lives (4). </w:t>
      </w:r>
      <w:r w:rsidRPr="00DB097F">
        <w:rPr>
          <w:rFonts w:eastAsia="Times New Roman" w:cs="Times New Roman"/>
          <w:szCs w:val="24"/>
          <w:lang w:eastAsia="en-GB"/>
        </w:rPr>
        <w:t xml:space="preserve">Using the </w:t>
      </w:r>
      <w:r w:rsidRPr="00DB097F">
        <w:rPr>
          <w:rFonts w:eastAsia="Times New Roman" w:cs="Times New Roman"/>
          <w:szCs w:val="24"/>
          <w:lang w:eastAsia="en-GB"/>
        </w:rPr>
        <w:lastRenderedPageBreak/>
        <w:t>acronym, CHIME, the essential elements of this approach are conveyed (5): r</w:t>
      </w:r>
      <w:r w:rsidRPr="00DB097F">
        <w:rPr>
          <w:rFonts w:cs="Times New Roman"/>
          <w:szCs w:val="24"/>
        </w:rPr>
        <w:t xml:space="preserve">ecovery is perceived as a unique journey which requires </w:t>
      </w:r>
      <w:r w:rsidR="00A05D2F" w:rsidRPr="00820F66">
        <w:rPr>
          <w:rFonts w:cs="Times New Roman"/>
          <w:szCs w:val="24"/>
        </w:rPr>
        <w:t>C</w:t>
      </w:r>
      <w:r w:rsidRPr="008068CD">
        <w:rPr>
          <w:rFonts w:cs="Times New Roman"/>
          <w:szCs w:val="24"/>
        </w:rPr>
        <w:t xml:space="preserve">onnectedness, </w:t>
      </w:r>
      <w:r w:rsidR="00A05D2F" w:rsidRPr="00820F66">
        <w:rPr>
          <w:rFonts w:cs="Times New Roman"/>
          <w:szCs w:val="24"/>
        </w:rPr>
        <w:t>H</w:t>
      </w:r>
      <w:r w:rsidRPr="00DB097F">
        <w:rPr>
          <w:rFonts w:cs="Times New Roman"/>
          <w:szCs w:val="24"/>
        </w:rPr>
        <w:t xml:space="preserve">ope and optimism about the future, the creation of </w:t>
      </w:r>
      <w:r w:rsidR="00A05D2F" w:rsidRPr="00820F66">
        <w:rPr>
          <w:rFonts w:cs="Times New Roman"/>
          <w:szCs w:val="24"/>
        </w:rPr>
        <w:t>I</w:t>
      </w:r>
      <w:r w:rsidRPr="00DB097F">
        <w:rPr>
          <w:rFonts w:cs="Times New Roman"/>
          <w:szCs w:val="24"/>
        </w:rPr>
        <w:t xml:space="preserve">dentity, </w:t>
      </w:r>
      <w:r w:rsidR="00A05D2F" w:rsidRPr="00820F66">
        <w:rPr>
          <w:rFonts w:cs="Times New Roman"/>
          <w:szCs w:val="24"/>
        </w:rPr>
        <w:t>M</w:t>
      </w:r>
      <w:r w:rsidRPr="00DB097F">
        <w:rPr>
          <w:rFonts w:cs="Times New Roman"/>
          <w:szCs w:val="24"/>
        </w:rPr>
        <w:t xml:space="preserve">eaning in life and the need for </w:t>
      </w:r>
      <w:r w:rsidR="00A05D2F" w:rsidRPr="00820F66">
        <w:rPr>
          <w:rFonts w:cs="Times New Roman"/>
          <w:szCs w:val="24"/>
        </w:rPr>
        <w:t>E</w:t>
      </w:r>
      <w:r w:rsidRPr="00DB097F">
        <w:rPr>
          <w:rFonts w:cs="Times New Roman"/>
          <w:szCs w:val="24"/>
        </w:rPr>
        <w:t>mpowerment</w:t>
      </w:r>
      <w:r w:rsidRPr="008068CD">
        <w:rPr>
          <w:rFonts w:cs="Times New Roman"/>
          <w:szCs w:val="24"/>
        </w:rPr>
        <w:t>.  Recovery promotes the development of agency and autonomy in the lives of service users (</w:t>
      </w:r>
      <w:r w:rsidRPr="00DB097F">
        <w:rPr>
          <w:rFonts w:cs="Times New Roman"/>
          <w:szCs w:val="24"/>
        </w:rPr>
        <w:t>4); thus</w:t>
      </w:r>
      <w:r w:rsidR="00AA6A3A" w:rsidRPr="00DB097F">
        <w:rPr>
          <w:rFonts w:cs="Times New Roman"/>
          <w:szCs w:val="24"/>
        </w:rPr>
        <w:t>,</w:t>
      </w:r>
      <w:r w:rsidRPr="00DB097F">
        <w:rPr>
          <w:rFonts w:cs="Times New Roman"/>
          <w:szCs w:val="24"/>
        </w:rPr>
        <w:t xml:space="preserve"> the process of shared decision-making (SDM) in choices about mental health interventions enables people who use services to co-produce recovery in partnership with the practitioner (6).  This article will explore my experiences of </w:t>
      </w:r>
      <w:r w:rsidR="00A64E7B" w:rsidRPr="00DB097F">
        <w:rPr>
          <w:rFonts w:cs="Times New Roman"/>
          <w:szCs w:val="24"/>
        </w:rPr>
        <w:t>decision-making process</w:t>
      </w:r>
      <w:r w:rsidR="00A05D2F" w:rsidRPr="00DB097F">
        <w:rPr>
          <w:rFonts w:cs="Times New Roman"/>
          <w:szCs w:val="24"/>
        </w:rPr>
        <w:t>es</w:t>
      </w:r>
      <w:r w:rsidR="00A64E7B" w:rsidRPr="00DB097F">
        <w:rPr>
          <w:rFonts w:cs="Times New Roman"/>
          <w:szCs w:val="24"/>
        </w:rPr>
        <w:t xml:space="preserve"> </w:t>
      </w:r>
      <w:r w:rsidRPr="00DB097F">
        <w:rPr>
          <w:rFonts w:cs="Times New Roman"/>
          <w:szCs w:val="24"/>
        </w:rPr>
        <w:t>in two professional encounters as a user of mental health services for over 30 years</w:t>
      </w:r>
      <w:r w:rsidR="00F26201" w:rsidRPr="00DB097F">
        <w:rPr>
          <w:rFonts w:cs="Times New Roman"/>
          <w:szCs w:val="24"/>
        </w:rPr>
        <w:t xml:space="preserve">, enabling me to illuminate </w:t>
      </w:r>
      <w:r w:rsidR="00194808" w:rsidRPr="00DB097F">
        <w:rPr>
          <w:rFonts w:cs="Times New Roman"/>
          <w:szCs w:val="24"/>
        </w:rPr>
        <w:t>this approach</w:t>
      </w:r>
      <w:r w:rsidR="00A8732B" w:rsidRPr="00DB097F">
        <w:rPr>
          <w:rFonts w:cs="Times New Roman"/>
          <w:szCs w:val="24"/>
        </w:rPr>
        <w:t xml:space="preserve"> from </w:t>
      </w:r>
      <w:r w:rsidR="00194808" w:rsidRPr="00DB097F">
        <w:rPr>
          <w:rFonts w:cs="Times New Roman"/>
          <w:szCs w:val="24"/>
        </w:rPr>
        <w:t>my</w:t>
      </w:r>
      <w:r w:rsidR="00A8732B" w:rsidRPr="00DB097F">
        <w:rPr>
          <w:rFonts w:cs="Times New Roman"/>
          <w:szCs w:val="24"/>
        </w:rPr>
        <w:t xml:space="preserve"> perspective</w:t>
      </w:r>
      <w:r w:rsidR="00194808" w:rsidRPr="00DB097F">
        <w:rPr>
          <w:rFonts w:cs="Times New Roman"/>
          <w:szCs w:val="24"/>
        </w:rPr>
        <w:t xml:space="preserve"> as </w:t>
      </w:r>
      <w:r w:rsidR="00EB6F2F" w:rsidRPr="00DB097F">
        <w:rPr>
          <w:rFonts w:cs="Times New Roman"/>
          <w:szCs w:val="24"/>
        </w:rPr>
        <w:t xml:space="preserve">both </w:t>
      </w:r>
      <w:r w:rsidR="00194808" w:rsidRPr="00DB097F">
        <w:rPr>
          <w:rFonts w:cs="Times New Roman"/>
          <w:szCs w:val="24"/>
        </w:rPr>
        <w:t>an expert-by-experience and a social work academic</w:t>
      </w:r>
      <w:r w:rsidRPr="00DB097F">
        <w:rPr>
          <w:rFonts w:cs="Times New Roman"/>
          <w:szCs w:val="24"/>
        </w:rPr>
        <w:t>.  This narrative is framed within an autoethnographic approach (7,8)</w:t>
      </w:r>
      <w:r w:rsidR="0051327E" w:rsidRPr="00DB097F">
        <w:rPr>
          <w:rFonts w:cs="Times New Roman"/>
          <w:szCs w:val="24"/>
        </w:rPr>
        <w:t>,</w:t>
      </w:r>
      <w:r w:rsidRPr="00DB097F">
        <w:rPr>
          <w:rFonts w:cs="Times New Roman"/>
          <w:szCs w:val="24"/>
        </w:rPr>
        <w:t xml:space="preserve"> which allows me to </w:t>
      </w:r>
      <w:proofErr w:type="spellStart"/>
      <w:r w:rsidRPr="00DB097F">
        <w:rPr>
          <w:rFonts w:cs="Times New Roman"/>
          <w:szCs w:val="24"/>
        </w:rPr>
        <w:t>contextualise</w:t>
      </w:r>
      <w:proofErr w:type="spellEnd"/>
      <w:r w:rsidRPr="00DB097F">
        <w:rPr>
          <w:rFonts w:cs="Times New Roman"/>
          <w:szCs w:val="24"/>
        </w:rPr>
        <w:t xml:space="preserve"> my personal experiences in the wider environment of mental health support</w:t>
      </w:r>
      <w:r w:rsidR="00CA2F88" w:rsidRPr="00DB097F">
        <w:rPr>
          <w:rFonts w:cs="Times New Roman"/>
          <w:szCs w:val="24"/>
        </w:rPr>
        <w:t xml:space="preserve">.  Moreover, it </w:t>
      </w:r>
      <w:r w:rsidR="00A05D2F" w:rsidRPr="00DB097F">
        <w:rPr>
          <w:rFonts w:cs="Times New Roman"/>
          <w:szCs w:val="24"/>
        </w:rPr>
        <w:t>provides me with</w:t>
      </w:r>
      <w:r w:rsidR="00CA2F88" w:rsidRPr="00DB097F">
        <w:rPr>
          <w:rFonts w:cs="Times New Roman"/>
          <w:szCs w:val="24"/>
        </w:rPr>
        <w:t xml:space="preserve"> the </w:t>
      </w:r>
      <w:r w:rsidR="00BE67D2" w:rsidRPr="00DB097F">
        <w:rPr>
          <w:rFonts w:cs="Times New Roman"/>
          <w:szCs w:val="24"/>
        </w:rPr>
        <w:t xml:space="preserve">opportunity </w:t>
      </w:r>
      <w:r w:rsidR="00262351" w:rsidRPr="00DB097F">
        <w:rPr>
          <w:rFonts w:cs="Times New Roman"/>
          <w:szCs w:val="24"/>
        </w:rPr>
        <w:t xml:space="preserve">to </w:t>
      </w:r>
      <w:r w:rsidR="00EB6F2F" w:rsidRPr="00DB097F">
        <w:rPr>
          <w:rFonts w:cs="Times New Roman"/>
          <w:szCs w:val="24"/>
        </w:rPr>
        <w:t xml:space="preserve">investigate </w:t>
      </w:r>
      <w:r w:rsidR="00262351" w:rsidRPr="00DB097F">
        <w:rPr>
          <w:rFonts w:cs="Times New Roman"/>
          <w:szCs w:val="24"/>
        </w:rPr>
        <w:t>what makes effective SDM</w:t>
      </w:r>
      <w:r w:rsidR="00CA5A66" w:rsidRPr="00DB097F">
        <w:rPr>
          <w:rFonts w:cs="Times New Roman"/>
          <w:szCs w:val="24"/>
        </w:rPr>
        <w:t xml:space="preserve"> </w:t>
      </w:r>
      <w:r w:rsidR="00194808" w:rsidRPr="00DB097F">
        <w:rPr>
          <w:rFonts w:cs="Times New Roman"/>
          <w:szCs w:val="24"/>
        </w:rPr>
        <w:t xml:space="preserve">in </w:t>
      </w:r>
      <w:r w:rsidR="00EB6F2F" w:rsidRPr="00DB097F">
        <w:rPr>
          <w:rFonts w:cs="Times New Roman"/>
          <w:szCs w:val="24"/>
        </w:rPr>
        <w:t xml:space="preserve">the process of </w:t>
      </w:r>
      <w:r w:rsidR="00194808" w:rsidRPr="00DB097F">
        <w:rPr>
          <w:rFonts w:cs="Times New Roman"/>
          <w:szCs w:val="24"/>
        </w:rPr>
        <w:t>clinical interventions</w:t>
      </w:r>
      <w:r w:rsidR="00BE67D2" w:rsidRPr="00DB097F">
        <w:rPr>
          <w:rFonts w:cs="Times New Roman"/>
          <w:szCs w:val="24"/>
        </w:rPr>
        <w:t xml:space="preserve"> from my </w:t>
      </w:r>
      <w:r w:rsidR="00CA2F88" w:rsidRPr="00DB097F">
        <w:rPr>
          <w:rFonts w:cs="Times New Roman"/>
          <w:szCs w:val="24"/>
        </w:rPr>
        <w:t xml:space="preserve">hybrid </w:t>
      </w:r>
      <w:r w:rsidR="00BE67D2" w:rsidRPr="00DB097F">
        <w:rPr>
          <w:rFonts w:cs="Times New Roman"/>
          <w:szCs w:val="24"/>
        </w:rPr>
        <w:t>standpoint</w:t>
      </w:r>
      <w:r w:rsidR="00CA2F88" w:rsidRPr="00DB097F">
        <w:rPr>
          <w:rFonts w:cs="Times New Roman"/>
          <w:szCs w:val="24"/>
        </w:rPr>
        <w:t xml:space="preserve"> as both a social care professional and a service user expert</w:t>
      </w:r>
      <w:r w:rsidR="00194808" w:rsidRPr="00DB097F">
        <w:rPr>
          <w:rFonts w:cs="Times New Roman"/>
          <w:szCs w:val="24"/>
        </w:rPr>
        <w:t>.</w:t>
      </w:r>
    </w:p>
    <w:p w14:paraId="06DABB1C" w14:textId="77777777" w:rsidR="00EB6F2F" w:rsidRPr="00DB097F" w:rsidRDefault="00EB6F2F" w:rsidP="00A448C9">
      <w:pPr>
        <w:autoSpaceDE w:val="0"/>
        <w:autoSpaceDN w:val="0"/>
        <w:adjustRightInd w:val="0"/>
        <w:spacing w:after="0"/>
        <w:rPr>
          <w:rFonts w:cs="Times New Roman"/>
          <w:szCs w:val="24"/>
        </w:rPr>
      </w:pPr>
    </w:p>
    <w:p w14:paraId="085876F7" w14:textId="0A503D8A" w:rsidR="00A448C9" w:rsidRPr="00DB097F" w:rsidRDefault="00A448C9" w:rsidP="00820F66">
      <w:pPr>
        <w:autoSpaceDE w:val="0"/>
        <w:autoSpaceDN w:val="0"/>
        <w:adjustRightInd w:val="0"/>
        <w:spacing w:before="0" w:after="0"/>
        <w:rPr>
          <w:rFonts w:cs="Times New Roman"/>
          <w:szCs w:val="24"/>
        </w:rPr>
      </w:pPr>
      <w:r w:rsidRPr="00DB097F">
        <w:rPr>
          <w:rFonts w:cs="Times New Roman"/>
          <w:szCs w:val="24"/>
        </w:rPr>
        <w:t>Shared decision-making (9) is defined as ‘a process in which decisions are made in a collaborative way, where trustworthy information is provided in accessible formats about a set of options, typically in situations where the concerns, personal circumstances, and contexts of patients and their families play a major role in decisions’.  SDM lies along a continuum of forms of decision-making in health and social care settings which range from paternalistic to informed choice approaches (10</w:t>
      </w:r>
      <w:r w:rsidR="00252CB4" w:rsidRPr="00DB097F">
        <w:rPr>
          <w:rFonts w:cs="Times New Roman"/>
          <w:szCs w:val="24"/>
        </w:rPr>
        <w:t>,11</w:t>
      </w:r>
      <w:r w:rsidRPr="00DB097F">
        <w:rPr>
          <w:rFonts w:cs="Times New Roman"/>
          <w:szCs w:val="24"/>
        </w:rPr>
        <w:t xml:space="preserve">).  The advantages of SDM include increased therapeutic alliance, enhanced shared knowledge and understanding of key intervention issues, saving time in review meetings, and an increased commitment to implementing decisions jointly taken (6).  Moreover, in a systematic review and meta-analysis of the evidence, </w:t>
      </w:r>
      <w:r w:rsidR="00EB4113" w:rsidRPr="00DB097F">
        <w:rPr>
          <w:rFonts w:cs="Times New Roman"/>
          <w:szCs w:val="24"/>
        </w:rPr>
        <w:t>c</w:t>
      </w:r>
      <w:r w:rsidRPr="00DB097F">
        <w:rPr>
          <w:rFonts w:cs="Times New Roman"/>
          <w:szCs w:val="24"/>
        </w:rPr>
        <w:t>ollaborative decision-making around psychiatric treatment (1</w:t>
      </w:r>
      <w:r w:rsidR="0031359B" w:rsidRPr="00DB097F">
        <w:rPr>
          <w:rFonts w:cs="Times New Roman"/>
          <w:szCs w:val="24"/>
        </w:rPr>
        <w:t>2</w:t>
      </w:r>
      <w:r w:rsidRPr="00DB097F">
        <w:rPr>
          <w:rFonts w:cs="Times New Roman"/>
          <w:szCs w:val="24"/>
        </w:rPr>
        <w:t xml:space="preserve">), in a process that considers patient preferences and values, is likely to help people receiving treatment for psychosis experience greater empowerment and reduced coercion in relation to their care. </w:t>
      </w:r>
      <w:r w:rsidR="00C17564" w:rsidRPr="00DB097F">
        <w:rPr>
          <w:rFonts w:cs="Times New Roman"/>
          <w:szCs w:val="24"/>
        </w:rPr>
        <w:t>Moreover, in a study of implementation of SDM in youth early intervention services</w:t>
      </w:r>
      <w:r w:rsidR="00E42E70" w:rsidRPr="00DB097F">
        <w:rPr>
          <w:rFonts w:cs="Times New Roman"/>
          <w:szCs w:val="24"/>
        </w:rPr>
        <w:t xml:space="preserve"> (13)</w:t>
      </w:r>
      <w:r w:rsidR="00C17564" w:rsidRPr="00DB097F">
        <w:rPr>
          <w:rFonts w:cs="Times New Roman"/>
          <w:szCs w:val="24"/>
        </w:rPr>
        <w:t xml:space="preserve">, </w:t>
      </w:r>
      <w:r w:rsidR="00FF2744" w:rsidRPr="00DB097F">
        <w:rPr>
          <w:rFonts w:cs="Times New Roman"/>
          <w:szCs w:val="24"/>
        </w:rPr>
        <w:t xml:space="preserve">family caregivers were involved in </w:t>
      </w:r>
      <w:r w:rsidR="001F5527" w:rsidRPr="00DB097F">
        <w:rPr>
          <w:rFonts w:cs="Times New Roman"/>
          <w:szCs w:val="24"/>
        </w:rPr>
        <w:t>decision-making and it was posited that</w:t>
      </w:r>
      <w:r w:rsidR="001F5527" w:rsidRPr="00820F66">
        <w:rPr>
          <w:rFonts w:cs="Times New Roman"/>
          <w:szCs w:val="24"/>
          <w:lang w:val="en-GB"/>
        </w:rPr>
        <w:t xml:space="preserve"> involvement should be negotiated on an individual basis; however, all caregivers should be supported with information about mental </w:t>
      </w:r>
      <w:r w:rsidR="00B26E33">
        <w:rPr>
          <w:rFonts w:cs="Times New Roman"/>
          <w:szCs w:val="24"/>
          <w:lang w:val="en-GB"/>
        </w:rPr>
        <w:t>ill-health</w:t>
      </w:r>
      <w:r w:rsidR="001F5527" w:rsidRPr="00820F66">
        <w:rPr>
          <w:rFonts w:cs="Times New Roman"/>
          <w:szCs w:val="24"/>
          <w:lang w:val="en-GB"/>
        </w:rPr>
        <w:t xml:space="preserve"> and treatment options.</w:t>
      </w:r>
    </w:p>
    <w:p w14:paraId="44D88DDD" w14:textId="77777777" w:rsidR="00A448C9" w:rsidRPr="00DB097F" w:rsidRDefault="00A448C9" w:rsidP="00A448C9">
      <w:pPr>
        <w:rPr>
          <w:rFonts w:cs="Times New Roman"/>
          <w:szCs w:val="24"/>
        </w:rPr>
      </w:pPr>
    </w:p>
    <w:p w14:paraId="42C7309A" w14:textId="08EA50DC" w:rsidR="00A448C9" w:rsidRPr="00DB097F" w:rsidRDefault="00A448C9" w:rsidP="00A448C9">
      <w:pPr>
        <w:rPr>
          <w:rFonts w:cs="Times New Roman"/>
          <w:szCs w:val="24"/>
        </w:rPr>
      </w:pPr>
      <w:r w:rsidRPr="00DB097F">
        <w:rPr>
          <w:rFonts w:cs="Times New Roman"/>
          <w:szCs w:val="24"/>
        </w:rPr>
        <w:t xml:space="preserve">Since 2012, </w:t>
      </w:r>
      <w:r w:rsidR="008360BD" w:rsidRPr="00DB097F">
        <w:rPr>
          <w:rFonts w:cs="Times New Roman"/>
          <w:szCs w:val="24"/>
        </w:rPr>
        <w:t>UK</w:t>
      </w:r>
      <w:r w:rsidRPr="00DB097F">
        <w:rPr>
          <w:rFonts w:cs="Times New Roman"/>
          <w:szCs w:val="24"/>
        </w:rPr>
        <w:t xml:space="preserve"> guidance has stipulated that processes of SDM should promote choice and the development of agency for people who use mental health services (1</w:t>
      </w:r>
      <w:r w:rsidR="00DF6BC5" w:rsidRPr="00DB097F">
        <w:rPr>
          <w:rFonts w:cs="Times New Roman"/>
          <w:szCs w:val="24"/>
        </w:rPr>
        <w:t>4</w:t>
      </w:r>
      <w:r w:rsidRPr="00DB097F">
        <w:rPr>
          <w:rFonts w:cs="Times New Roman"/>
          <w:szCs w:val="24"/>
        </w:rPr>
        <w:t xml:space="preserve">).  SDM is seen at the forefront of moves toward </w:t>
      </w:r>
      <w:proofErr w:type="spellStart"/>
      <w:r w:rsidRPr="00DB097F">
        <w:rPr>
          <w:rFonts w:cs="Times New Roman"/>
          <w:szCs w:val="24"/>
        </w:rPr>
        <w:t>personalised</w:t>
      </w:r>
      <w:proofErr w:type="spellEnd"/>
      <w:r w:rsidRPr="00DB097F">
        <w:rPr>
          <w:rFonts w:cs="Times New Roman"/>
          <w:szCs w:val="24"/>
        </w:rPr>
        <w:t xml:space="preserve"> care which ‘means people have choice and control over the way their care is planned and delivered, based on ‘what matters’ to them and their individual strengths and needs’ (1</w:t>
      </w:r>
      <w:r w:rsidR="00DF6BC5" w:rsidRPr="00DB097F">
        <w:rPr>
          <w:rFonts w:cs="Times New Roman"/>
          <w:szCs w:val="24"/>
        </w:rPr>
        <w:t>5</w:t>
      </w:r>
      <w:r w:rsidRPr="00DB097F">
        <w:rPr>
          <w:rFonts w:cs="Times New Roman"/>
          <w:szCs w:val="24"/>
        </w:rPr>
        <w:t xml:space="preserve">: 3).  Moreover, </w:t>
      </w:r>
      <w:proofErr w:type="spellStart"/>
      <w:r w:rsidRPr="00DB097F">
        <w:rPr>
          <w:rFonts w:cs="Times New Roman"/>
          <w:szCs w:val="24"/>
        </w:rPr>
        <w:t>personalised</w:t>
      </w:r>
      <w:proofErr w:type="spellEnd"/>
      <w:r w:rsidRPr="00DB097F">
        <w:rPr>
          <w:rFonts w:cs="Times New Roman"/>
          <w:szCs w:val="24"/>
        </w:rPr>
        <w:t xml:space="preserve"> care is at the </w:t>
      </w:r>
      <w:proofErr w:type="spellStart"/>
      <w:r w:rsidRPr="00DB097F">
        <w:rPr>
          <w:rFonts w:cs="Times New Roman"/>
          <w:szCs w:val="24"/>
        </w:rPr>
        <w:t>centre</w:t>
      </w:r>
      <w:proofErr w:type="spellEnd"/>
      <w:r w:rsidRPr="00DB097F">
        <w:rPr>
          <w:rFonts w:cs="Times New Roman"/>
          <w:szCs w:val="24"/>
        </w:rPr>
        <w:t xml:space="preserve"> of the development and delivery of health and social care in England and Wales (1</w:t>
      </w:r>
      <w:r w:rsidR="00DF6BC5" w:rsidRPr="00DB097F">
        <w:rPr>
          <w:rFonts w:cs="Times New Roman"/>
          <w:szCs w:val="24"/>
        </w:rPr>
        <w:t>5</w:t>
      </w:r>
      <w:r w:rsidRPr="00DB097F">
        <w:rPr>
          <w:rFonts w:cs="Times New Roman"/>
          <w:szCs w:val="24"/>
        </w:rPr>
        <w:t>); and</w:t>
      </w:r>
      <w:r w:rsidR="005D2D23" w:rsidRPr="00DB097F">
        <w:rPr>
          <w:rFonts w:cs="Times New Roman"/>
          <w:szCs w:val="24"/>
        </w:rPr>
        <w:t>,</w:t>
      </w:r>
      <w:r w:rsidRPr="00DB097F">
        <w:rPr>
          <w:rFonts w:cs="Times New Roman"/>
          <w:szCs w:val="24"/>
        </w:rPr>
        <w:t xml:space="preserve"> also</w:t>
      </w:r>
      <w:r w:rsidR="005D2D23" w:rsidRPr="00DB097F">
        <w:rPr>
          <w:rFonts w:cs="Times New Roman"/>
          <w:szCs w:val="24"/>
        </w:rPr>
        <w:t>,</w:t>
      </w:r>
      <w:r w:rsidRPr="00DB097F">
        <w:rPr>
          <w:rFonts w:cs="Times New Roman"/>
          <w:szCs w:val="24"/>
        </w:rPr>
        <w:t xml:space="preserve"> in mental health care (1,2).  </w:t>
      </w:r>
    </w:p>
    <w:p w14:paraId="6EA04B33" w14:textId="77777777" w:rsidR="00A448C9" w:rsidRPr="00DB097F" w:rsidRDefault="00A448C9" w:rsidP="00A448C9">
      <w:pPr>
        <w:autoSpaceDE w:val="0"/>
        <w:autoSpaceDN w:val="0"/>
        <w:adjustRightInd w:val="0"/>
        <w:spacing w:after="0"/>
        <w:rPr>
          <w:rFonts w:cs="Times New Roman"/>
          <w:szCs w:val="24"/>
        </w:rPr>
      </w:pPr>
    </w:p>
    <w:p w14:paraId="1671D9C4" w14:textId="6728A312" w:rsidR="00A448C9" w:rsidRPr="00DB097F" w:rsidRDefault="00A448C9" w:rsidP="00A448C9">
      <w:pPr>
        <w:autoSpaceDE w:val="0"/>
        <w:autoSpaceDN w:val="0"/>
        <w:adjustRightInd w:val="0"/>
        <w:spacing w:after="0"/>
        <w:rPr>
          <w:rFonts w:cs="Times New Roman"/>
          <w:szCs w:val="24"/>
        </w:rPr>
      </w:pPr>
      <w:r w:rsidRPr="00DB097F">
        <w:rPr>
          <w:rFonts w:cs="Times New Roman"/>
          <w:szCs w:val="24"/>
        </w:rPr>
        <w:t>Despite this stipulation, the implementation of SDM in the care of people who use mental health care (1</w:t>
      </w:r>
      <w:r w:rsidR="00DD596A" w:rsidRPr="00DB097F">
        <w:rPr>
          <w:rFonts w:cs="Times New Roman"/>
          <w:szCs w:val="24"/>
        </w:rPr>
        <w:t>5</w:t>
      </w:r>
      <w:r w:rsidRPr="00DB097F">
        <w:rPr>
          <w:rFonts w:cs="Times New Roman"/>
          <w:szCs w:val="24"/>
        </w:rPr>
        <w:t>) in mental health policy in England (1</w:t>
      </w:r>
      <w:r w:rsidR="00DF6BC5" w:rsidRPr="00DB097F">
        <w:rPr>
          <w:rFonts w:cs="Times New Roman"/>
          <w:szCs w:val="24"/>
        </w:rPr>
        <w:t>4</w:t>
      </w:r>
      <w:r w:rsidRPr="00DB097F">
        <w:rPr>
          <w:rFonts w:cs="Times New Roman"/>
          <w:szCs w:val="24"/>
        </w:rPr>
        <w:t>,1</w:t>
      </w:r>
      <w:r w:rsidR="00DF6BC5" w:rsidRPr="00DB097F">
        <w:rPr>
          <w:rFonts w:cs="Times New Roman"/>
          <w:szCs w:val="24"/>
        </w:rPr>
        <w:t>5</w:t>
      </w:r>
      <w:r w:rsidRPr="00DB097F">
        <w:rPr>
          <w:rFonts w:cs="Times New Roman"/>
          <w:szCs w:val="24"/>
        </w:rPr>
        <w:t>) is tempered with the need to manage risk and to ensure the safeguarding of vulnerable people.  Thus, the balance between care and control in the delivery of mental health services is located between the duty to protect life under the Human Rights Act, article 2, (1</w:t>
      </w:r>
      <w:r w:rsidR="00DF6BC5" w:rsidRPr="00DB097F">
        <w:rPr>
          <w:rFonts w:cs="Times New Roman"/>
          <w:szCs w:val="24"/>
        </w:rPr>
        <w:t>7</w:t>
      </w:r>
      <w:r w:rsidRPr="00DB097F">
        <w:rPr>
          <w:rFonts w:cs="Times New Roman"/>
          <w:szCs w:val="24"/>
        </w:rPr>
        <w:t>) and a duty to preserve and promote choice, dignity, and freedom (1</w:t>
      </w:r>
      <w:r w:rsidR="00DF6BC5" w:rsidRPr="00DB097F">
        <w:rPr>
          <w:rFonts w:cs="Times New Roman"/>
          <w:szCs w:val="24"/>
        </w:rPr>
        <w:t>6</w:t>
      </w:r>
      <w:r w:rsidRPr="00DB097F">
        <w:rPr>
          <w:rFonts w:cs="Times New Roman"/>
          <w:szCs w:val="24"/>
        </w:rPr>
        <w:t>).  These two poles of care provision exist at different ends of a continuum, given that professionals aim at balancing the need for care and control.   Thus, SDM is a framework which is controversial for many professionals (1</w:t>
      </w:r>
      <w:r w:rsidR="00DF6BC5" w:rsidRPr="00DB097F">
        <w:rPr>
          <w:rFonts w:cs="Times New Roman"/>
          <w:szCs w:val="24"/>
        </w:rPr>
        <w:t>8</w:t>
      </w:r>
      <w:r w:rsidRPr="00DB097F">
        <w:rPr>
          <w:rFonts w:cs="Times New Roman"/>
          <w:szCs w:val="24"/>
        </w:rPr>
        <w:t>) making its implementation challenging for both professionals and service users (1</w:t>
      </w:r>
      <w:r w:rsidR="00631ABE" w:rsidRPr="00DB097F">
        <w:rPr>
          <w:rFonts w:cs="Times New Roman"/>
          <w:szCs w:val="24"/>
        </w:rPr>
        <w:t>9</w:t>
      </w:r>
      <w:r w:rsidRPr="00DB097F">
        <w:rPr>
          <w:rFonts w:cs="Times New Roman"/>
          <w:szCs w:val="24"/>
        </w:rPr>
        <w:t>.</w:t>
      </w:r>
      <w:r w:rsidR="00620340" w:rsidRPr="00DB097F">
        <w:rPr>
          <w:rFonts w:cs="Times New Roman"/>
          <w:szCs w:val="24"/>
        </w:rPr>
        <w:t xml:space="preserve">  </w:t>
      </w:r>
      <w:r w:rsidR="00FD632B" w:rsidRPr="00DB097F">
        <w:rPr>
          <w:rFonts w:cs="Times New Roman"/>
          <w:szCs w:val="24"/>
        </w:rPr>
        <w:t>Addit</w:t>
      </w:r>
      <w:r w:rsidR="00251343" w:rsidRPr="00DB097F">
        <w:rPr>
          <w:rFonts w:cs="Times New Roman"/>
          <w:szCs w:val="24"/>
        </w:rPr>
        <w:t>i</w:t>
      </w:r>
      <w:r w:rsidR="00FD632B" w:rsidRPr="00DB097F">
        <w:rPr>
          <w:rFonts w:cs="Times New Roman"/>
          <w:szCs w:val="24"/>
        </w:rPr>
        <w:t>onally</w:t>
      </w:r>
      <w:r w:rsidR="00620340" w:rsidRPr="00DB097F">
        <w:rPr>
          <w:rFonts w:cs="Times New Roman"/>
          <w:szCs w:val="24"/>
        </w:rPr>
        <w:t xml:space="preserve">, its emphasis on </w:t>
      </w:r>
      <w:r w:rsidR="00FD632B" w:rsidRPr="00DB097F">
        <w:rPr>
          <w:rFonts w:cs="Times New Roman"/>
          <w:szCs w:val="24"/>
        </w:rPr>
        <w:t xml:space="preserve">the importance of </w:t>
      </w:r>
      <w:r w:rsidR="001D4298" w:rsidRPr="00DB097F">
        <w:rPr>
          <w:rFonts w:cs="Times New Roman"/>
          <w:szCs w:val="24"/>
        </w:rPr>
        <w:t xml:space="preserve">acknowledging the value of </w:t>
      </w:r>
      <w:r w:rsidR="00FD632B" w:rsidRPr="00DB097F">
        <w:rPr>
          <w:rFonts w:cs="Times New Roman"/>
          <w:szCs w:val="24"/>
        </w:rPr>
        <w:t xml:space="preserve">experiential </w:t>
      </w:r>
      <w:r w:rsidR="00FD632B" w:rsidRPr="00DB097F">
        <w:rPr>
          <w:rFonts w:cs="Times New Roman"/>
          <w:szCs w:val="24"/>
        </w:rPr>
        <w:lastRenderedPageBreak/>
        <w:t xml:space="preserve">knowledge </w:t>
      </w:r>
      <w:r w:rsidR="00EA06DB" w:rsidRPr="00DB097F">
        <w:rPr>
          <w:rFonts w:cs="Times New Roman"/>
          <w:szCs w:val="24"/>
        </w:rPr>
        <w:t xml:space="preserve">in the therapeutic alliance between </w:t>
      </w:r>
      <w:r w:rsidR="00FD632B" w:rsidRPr="00DB097F">
        <w:rPr>
          <w:rFonts w:cs="Times New Roman"/>
          <w:szCs w:val="24"/>
        </w:rPr>
        <w:t xml:space="preserve">the service user and the practitioner can also be </w:t>
      </w:r>
      <w:r w:rsidR="00B648EE" w:rsidRPr="00DB097F">
        <w:rPr>
          <w:rFonts w:cs="Times New Roman"/>
          <w:szCs w:val="24"/>
        </w:rPr>
        <w:t>demanding</w:t>
      </w:r>
      <w:r w:rsidR="00FD632B" w:rsidRPr="00DB097F">
        <w:rPr>
          <w:rFonts w:cs="Times New Roman"/>
          <w:szCs w:val="24"/>
        </w:rPr>
        <w:t xml:space="preserve"> </w:t>
      </w:r>
      <w:r w:rsidR="000B04C4" w:rsidRPr="00DB097F">
        <w:rPr>
          <w:rFonts w:cs="Times New Roman"/>
          <w:szCs w:val="24"/>
        </w:rPr>
        <w:t>because</w:t>
      </w:r>
      <w:r w:rsidR="00FD632B" w:rsidRPr="00DB097F">
        <w:rPr>
          <w:rFonts w:cs="Times New Roman"/>
          <w:szCs w:val="24"/>
        </w:rPr>
        <w:t xml:space="preserve"> it </w:t>
      </w:r>
      <w:r w:rsidR="00251343" w:rsidRPr="00DB097F">
        <w:rPr>
          <w:rFonts w:cs="Times New Roman"/>
          <w:szCs w:val="24"/>
        </w:rPr>
        <w:t>generates a new relationship between these two parties</w:t>
      </w:r>
      <w:r w:rsidR="00EA06DB" w:rsidRPr="00DB097F">
        <w:rPr>
          <w:rFonts w:cs="Times New Roman"/>
          <w:szCs w:val="24"/>
        </w:rPr>
        <w:t xml:space="preserve"> (6)</w:t>
      </w:r>
      <w:r w:rsidR="00C72981" w:rsidRPr="00820F66">
        <w:rPr>
          <w:rFonts w:cs="Times New Roman"/>
          <w:szCs w:val="24"/>
        </w:rPr>
        <w:t xml:space="preserve">.  It </w:t>
      </w:r>
      <w:r w:rsidR="004B665E" w:rsidRPr="008068CD">
        <w:rPr>
          <w:rFonts w:cs="Times New Roman"/>
          <w:szCs w:val="24"/>
        </w:rPr>
        <w:t>requir</w:t>
      </w:r>
      <w:r w:rsidR="00C72981" w:rsidRPr="00820F66">
        <w:rPr>
          <w:rFonts w:cs="Times New Roman"/>
          <w:szCs w:val="24"/>
        </w:rPr>
        <w:t>es</w:t>
      </w:r>
      <w:r w:rsidR="004B665E" w:rsidRPr="008068CD">
        <w:rPr>
          <w:rFonts w:cs="Times New Roman"/>
          <w:szCs w:val="24"/>
        </w:rPr>
        <w:t xml:space="preserve"> a shift in</w:t>
      </w:r>
      <w:r w:rsidR="008134DB" w:rsidRPr="008068CD">
        <w:rPr>
          <w:rFonts w:cs="Times New Roman"/>
          <w:szCs w:val="24"/>
        </w:rPr>
        <w:t xml:space="preserve"> </w:t>
      </w:r>
      <w:r w:rsidR="000F7DC8">
        <w:rPr>
          <w:rFonts w:cs="Times New Roman"/>
          <w:szCs w:val="24"/>
        </w:rPr>
        <w:t xml:space="preserve">the </w:t>
      </w:r>
      <w:proofErr w:type="spellStart"/>
      <w:r w:rsidR="00EE1D29" w:rsidRPr="00820F66">
        <w:rPr>
          <w:rFonts w:cs="Times New Roman"/>
          <w:szCs w:val="24"/>
        </w:rPr>
        <w:t>behaviour</w:t>
      </w:r>
      <w:proofErr w:type="spellEnd"/>
      <w:r w:rsidR="00D419CF" w:rsidRPr="008068CD">
        <w:rPr>
          <w:rFonts w:cs="Times New Roman"/>
          <w:szCs w:val="24"/>
        </w:rPr>
        <w:t xml:space="preserve"> </w:t>
      </w:r>
      <w:r w:rsidR="00FA1A2E" w:rsidRPr="00820F66">
        <w:rPr>
          <w:rFonts w:cs="Times New Roman"/>
          <w:szCs w:val="24"/>
        </w:rPr>
        <w:t xml:space="preserve">and attitudes </w:t>
      </w:r>
      <w:r w:rsidR="00C72981" w:rsidRPr="00820F66">
        <w:rPr>
          <w:rFonts w:cs="Times New Roman"/>
          <w:szCs w:val="24"/>
        </w:rPr>
        <w:t>of</w:t>
      </w:r>
      <w:r w:rsidR="00E0773C" w:rsidRPr="008068CD">
        <w:rPr>
          <w:rFonts w:cs="Times New Roman"/>
          <w:szCs w:val="24"/>
        </w:rPr>
        <w:t xml:space="preserve"> both participants</w:t>
      </w:r>
      <w:r w:rsidR="006B691B" w:rsidRPr="00820F66">
        <w:rPr>
          <w:rFonts w:cs="Times New Roman"/>
          <w:szCs w:val="24"/>
        </w:rPr>
        <w:t xml:space="preserve"> in</w:t>
      </w:r>
      <w:r w:rsidR="00C72981" w:rsidRPr="00820F66">
        <w:rPr>
          <w:rFonts w:cs="Times New Roman"/>
          <w:szCs w:val="24"/>
        </w:rPr>
        <w:t xml:space="preserve"> </w:t>
      </w:r>
      <w:proofErr w:type="spellStart"/>
      <w:r w:rsidR="006B691B" w:rsidRPr="00820F66">
        <w:rPr>
          <w:rFonts w:cs="Times New Roman"/>
          <w:szCs w:val="24"/>
        </w:rPr>
        <w:t>recogni</w:t>
      </w:r>
      <w:r w:rsidR="00136766" w:rsidRPr="00820F66">
        <w:rPr>
          <w:rFonts w:cs="Times New Roman"/>
          <w:szCs w:val="24"/>
        </w:rPr>
        <w:t>s</w:t>
      </w:r>
      <w:r w:rsidR="006B691B" w:rsidRPr="00820F66">
        <w:rPr>
          <w:rFonts w:cs="Times New Roman"/>
          <w:szCs w:val="24"/>
        </w:rPr>
        <w:t>ing</w:t>
      </w:r>
      <w:proofErr w:type="spellEnd"/>
      <w:r w:rsidR="006B691B" w:rsidRPr="00820F66">
        <w:rPr>
          <w:rFonts w:cs="Times New Roman"/>
          <w:szCs w:val="24"/>
        </w:rPr>
        <w:t xml:space="preserve"> each other’s </w:t>
      </w:r>
      <w:r w:rsidR="00C72981" w:rsidRPr="00820F66">
        <w:rPr>
          <w:rFonts w:cs="Times New Roman"/>
          <w:szCs w:val="24"/>
        </w:rPr>
        <w:t>expert</w:t>
      </w:r>
      <w:r w:rsidR="006B691B" w:rsidRPr="00820F66">
        <w:rPr>
          <w:rFonts w:cs="Times New Roman"/>
          <w:szCs w:val="24"/>
        </w:rPr>
        <w:t>ise</w:t>
      </w:r>
      <w:r w:rsidR="00C72981" w:rsidRPr="00820F66">
        <w:rPr>
          <w:rFonts w:cs="Times New Roman"/>
          <w:szCs w:val="24"/>
        </w:rPr>
        <w:t xml:space="preserve"> </w:t>
      </w:r>
      <w:r w:rsidR="005051CF" w:rsidRPr="00820F66">
        <w:rPr>
          <w:rFonts w:cs="Times New Roman"/>
          <w:szCs w:val="24"/>
        </w:rPr>
        <w:t>in this interaction</w:t>
      </w:r>
      <w:r w:rsidR="00B648EE" w:rsidRPr="008068CD">
        <w:rPr>
          <w:rFonts w:cs="Times New Roman"/>
          <w:szCs w:val="24"/>
        </w:rPr>
        <w:t>.</w:t>
      </w:r>
      <w:r w:rsidR="003C4050" w:rsidRPr="008068CD">
        <w:rPr>
          <w:rFonts w:cs="Times New Roman"/>
          <w:szCs w:val="24"/>
        </w:rPr>
        <w:t xml:space="preserve">  </w:t>
      </w:r>
      <w:r w:rsidR="005577FC" w:rsidRPr="00DB097F">
        <w:rPr>
          <w:rFonts w:cs="Times New Roman"/>
          <w:szCs w:val="24"/>
        </w:rPr>
        <w:t>Moreover, t</w:t>
      </w:r>
      <w:r w:rsidR="003C4050" w:rsidRPr="00DB097F">
        <w:rPr>
          <w:rFonts w:cs="Times New Roman"/>
          <w:szCs w:val="24"/>
        </w:rPr>
        <w:t>h</w:t>
      </w:r>
      <w:r w:rsidR="004A5736" w:rsidRPr="00DB097F">
        <w:rPr>
          <w:rFonts w:cs="Times New Roman"/>
          <w:szCs w:val="24"/>
        </w:rPr>
        <w:t xml:space="preserve">e value of </w:t>
      </w:r>
      <w:r w:rsidR="00CC0160" w:rsidRPr="00DB097F">
        <w:rPr>
          <w:rFonts w:cs="Times New Roman"/>
          <w:szCs w:val="24"/>
        </w:rPr>
        <w:t xml:space="preserve">expertise-by-experience </w:t>
      </w:r>
      <w:r w:rsidR="003C4050" w:rsidRPr="00DB097F">
        <w:rPr>
          <w:rFonts w:cs="Times New Roman"/>
          <w:szCs w:val="24"/>
        </w:rPr>
        <w:t xml:space="preserve">is </w:t>
      </w:r>
      <w:r w:rsidR="003504C2" w:rsidRPr="00DB097F">
        <w:rPr>
          <w:rFonts w:cs="Times New Roman"/>
          <w:szCs w:val="24"/>
        </w:rPr>
        <w:t xml:space="preserve">further </w:t>
      </w:r>
      <w:r w:rsidR="003C4050" w:rsidRPr="00DB097F">
        <w:rPr>
          <w:rFonts w:cs="Times New Roman"/>
          <w:szCs w:val="24"/>
        </w:rPr>
        <w:t xml:space="preserve">highlighted in an </w:t>
      </w:r>
      <w:r w:rsidR="00CC0160" w:rsidRPr="00DB097F">
        <w:rPr>
          <w:rFonts w:cs="Times New Roman"/>
          <w:szCs w:val="24"/>
        </w:rPr>
        <w:t>Australian study</w:t>
      </w:r>
      <w:r w:rsidR="00017499" w:rsidRPr="00DB097F">
        <w:rPr>
          <w:rFonts w:cs="Times New Roman"/>
          <w:szCs w:val="24"/>
        </w:rPr>
        <w:t>,</w:t>
      </w:r>
      <w:r w:rsidR="00CC0160" w:rsidRPr="00DB097F">
        <w:rPr>
          <w:rFonts w:cs="Times New Roman"/>
          <w:szCs w:val="24"/>
        </w:rPr>
        <w:t xml:space="preserve"> </w:t>
      </w:r>
      <w:r w:rsidR="001C215E" w:rsidRPr="00DB097F">
        <w:rPr>
          <w:rFonts w:cs="Times New Roman"/>
          <w:szCs w:val="24"/>
        </w:rPr>
        <w:t xml:space="preserve">which </w:t>
      </w:r>
      <w:r w:rsidR="00017499" w:rsidRPr="00DB097F">
        <w:rPr>
          <w:rFonts w:cs="Times New Roman"/>
          <w:szCs w:val="24"/>
        </w:rPr>
        <w:t>implement</w:t>
      </w:r>
      <w:r w:rsidR="0020578C" w:rsidRPr="00DB097F">
        <w:rPr>
          <w:rFonts w:cs="Times New Roman"/>
          <w:szCs w:val="24"/>
        </w:rPr>
        <w:t>ed</w:t>
      </w:r>
      <w:r w:rsidR="00017499" w:rsidRPr="00DB097F">
        <w:rPr>
          <w:rFonts w:cs="Times New Roman"/>
          <w:szCs w:val="24"/>
        </w:rPr>
        <w:t xml:space="preserve"> </w:t>
      </w:r>
      <w:r w:rsidR="00A760D9" w:rsidRPr="00DB097F">
        <w:rPr>
          <w:rFonts w:cs="Times New Roman"/>
          <w:szCs w:val="24"/>
        </w:rPr>
        <w:t xml:space="preserve">peer </w:t>
      </w:r>
      <w:r w:rsidR="00CC0160" w:rsidRPr="00820F66">
        <w:rPr>
          <w:rFonts w:cs="Times New Roman"/>
          <w:szCs w:val="24"/>
          <w:shd w:val="clear" w:color="auto" w:fill="FFFFFF"/>
        </w:rPr>
        <w:t xml:space="preserve">support (individuals with lived experience helping other consumers) </w:t>
      </w:r>
      <w:r w:rsidR="00A760D9" w:rsidRPr="008068CD">
        <w:rPr>
          <w:rFonts w:cs="Times New Roman"/>
          <w:szCs w:val="24"/>
          <w:shd w:val="clear" w:color="auto" w:fill="FFFFFF"/>
        </w:rPr>
        <w:t>in</w:t>
      </w:r>
      <w:r w:rsidR="00CC0160" w:rsidRPr="00820F66">
        <w:rPr>
          <w:rFonts w:cs="Times New Roman"/>
          <w:szCs w:val="24"/>
          <w:shd w:val="clear" w:color="auto" w:fill="FFFFFF"/>
        </w:rPr>
        <w:t xml:space="preserve"> shared decision</w:t>
      </w:r>
      <w:r w:rsidR="000D34F2" w:rsidRPr="008068CD">
        <w:rPr>
          <w:rFonts w:cs="Times New Roman"/>
          <w:szCs w:val="24"/>
          <w:shd w:val="clear" w:color="auto" w:fill="FFFFFF"/>
        </w:rPr>
        <w:t>-</w:t>
      </w:r>
      <w:r w:rsidR="00CC0160" w:rsidRPr="00820F66">
        <w:rPr>
          <w:rFonts w:cs="Times New Roman"/>
          <w:szCs w:val="24"/>
          <w:shd w:val="clear" w:color="auto" w:fill="FFFFFF"/>
        </w:rPr>
        <w:t>making</w:t>
      </w:r>
      <w:r w:rsidR="000D34F2" w:rsidRPr="008068CD">
        <w:rPr>
          <w:rFonts w:cs="Times New Roman"/>
          <w:szCs w:val="24"/>
          <w:shd w:val="clear" w:color="auto" w:fill="FFFFFF"/>
        </w:rPr>
        <w:t xml:space="preserve"> </w:t>
      </w:r>
      <w:r w:rsidR="00A760D9" w:rsidRPr="008068CD">
        <w:rPr>
          <w:rFonts w:cs="Times New Roman"/>
          <w:szCs w:val="24"/>
          <w:shd w:val="clear" w:color="auto" w:fill="FFFFFF"/>
        </w:rPr>
        <w:t>pr</w:t>
      </w:r>
      <w:r w:rsidR="00A760D9" w:rsidRPr="00DB097F">
        <w:rPr>
          <w:rFonts w:cs="Times New Roman"/>
          <w:szCs w:val="24"/>
          <w:shd w:val="clear" w:color="auto" w:fill="FFFFFF"/>
        </w:rPr>
        <w:t xml:space="preserve">ocesses </w:t>
      </w:r>
      <w:r w:rsidR="00CC0160" w:rsidRPr="00820F66">
        <w:rPr>
          <w:rFonts w:cs="Times New Roman"/>
          <w:szCs w:val="24"/>
          <w:shd w:val="clear" w:color="auto" w:fill="FFFFFF"/>
        </w:rPr>
        <w:t xml:space="preserve">in </w:t>
      </w:r>
      <w:r w:rsidR="001C215E" w:rsidRPr="00820F66">
        <w:rPr>
          <w:rFonts w:cs="Times New Roman"/>
          <w:szCs w:val="24"/>
          <w:shd w:val="clear" w:color="auto" w:fill="FFFFFF"/>
        </w:rPr>
        <w:t>youth early intervention</w:t>
      </w:r>
      <w:r w:rsidR="00CC0160" w:rsidRPr="00820F66">
        <w:rPr>
          <w:rFonts w:cs="Times New Roman"/>
          <w:szCs w:val="24"/>
          <w:shd w:val="clear" w:color="auto" w:fill="FFFFFF"/>
        </w:rPr>
        <w:t xml:space="preserve"> settings</w:t>
      </w:r>
      <w:r w:rsidR="003504C2" w:rsidRPr="008068CD">
        <w:rPr>
          <w:rFonts w:cs="Times New Roman"/>
          <w:szCs w:val="24"/>
          <w:shd w:val="clear" w:color="auto" w:fill="FFFFFF"/>
        </w:rPr>
        <w:t xml:space="preserve"> </w:t>
      </w:r>
      <w:r w:rsidR="00136766" w:rsidRPr="008068CD">
        <w:rPr>
          <w:rFonts w:cs="Times New Roman"/>
          <w:szCs w:val="24"/>
          <w:shd w:val="clear" w:color="auto" w:fill="FFFFFF"/>
        </w:rPr>
        <w:t>(</w:t>
      </w:r>
      <w:r w:rsidR="00631ABE" w:rsidRPr="008068CD">
        <w:rPr>
          <w:rFonts w:cs="Times New Roman"/>
          <w:szCs w:val="24"/>
          <w:shd w:val="clear" w:color="auto" w:fill="FFFFFF"/>
        </w:rPr>
        <w:t>2</w:t>
      </w:r>
      <w:r w:rsidR="00631ABE" w:rsidRPr="00DB097F">
        <w:rPr>
          <w:rFonts w:cs="Times New Roman"/>
          <w:szCs w:val="24"/>
          <w:shd w:val="clear" w:color="auto" w:fill="FFFFFF"/>
        </w:rPr>
        <w:t>0</w:t>
      </w:r>
      <w:r w:rsidR="00136766" w:rsidRPr="00DB097F">
        <w:rPr>
          <w:rFonts w:cs="Times New Roman"/>
          <w:szCs w:val="24"/>
          <w:shd w:val="clear" w:color="auto" w:fill="FFFFFF"/>
        </w:rPr>
        <w:t>)</w:t>
      </w:r>
      <w:r w:rsidR="00926625" w:rsidRPr="00DB097F">
        <w:rPr>
          <w:rFonts w:cs="Times New Roman"/>
          <w:szCs w:val="24"/>
          <w:shd w:val="clear" w:color="auto" w:fill="FFFFFF"/>
        </w:rPr>
        <w:t>; this study</w:t>
      </w:r>
      <w:r w:rsidR="00136766" w:rsidRPr="00DB097F">
        <w:rPr>
          <w:rFonts w:cs="Times New Roman"/>
          <w:szCs w:val="24"/>
          <w:shd w:val="clear" w:color="auto" w:fill="FFFFFF"/>
        </w:rPr>
        <w:t xml:space="preserve"> </w:t>
      </w:r>
      <w:proofErr w:type="spellStart"/>
      <w:r w:rsidR="00ED61FC" w:rsidRPr="00DB097F">
        <w:rPr>
          <w:rFonts w:cs="Times New Roman"/>
          <w:szCs w:val="24"/>
          <w:shd w:val="clear" w:color="auto" w:fill="FFFFFF"/>
        </w:rPr>
        <w:t>emphasises</w:t>
      </w:r>
      <w:proofErr w:type="spellEnd"/>
      <w:r w:rsidR="00ED61FC" w:rsidRPr="00DB097F">
        <w:rPr>
          <w:rFonts w:cs="Times New Roman"/>
          <w:szCs w:val="24"/>
          <w:shd w:val="clear" w:color="auto" w:fill="FFFFFF"/>
        </w:rPr>
        <w:t xml:space="preserve"> the </w:t>
      </w:r>
      <w:r w:rsidR="005577FC" w:rsidRPr="00DB097F">
        <w:rPr>
          <w:rFonts w:cs="Times New Roman"/>
          <w:szCs w:val="24"/>
          <w:shd w:val="clear" w:color="auto" w:fill="FFFFFF"/>
        </w:rPr>
        <w:t xml:space="preserve">place </w:t>
      </w:r>
      <w:r w:rsidR="00136766" w:rsidRPr="00DB097F">
        <w:rPr>
          <w:rFonts w:cs="Times New Roman"/>
          <w:szCs w:val="24"/>
          <w:shd w:val="clear" w:color="auto" w:fill="FFFFFF"/>
        </w:rPr>
        <w:t>of experiential knowledge in SDM.</w:t>
      </w:r>
    </w:p>
    <w:p w14:paraId="0E6CC722" w14:textId="77777777" w:rsidR="00D40099" w:rsidRPr="00DB097F" w:rsidRDefault="00D40099" w:rsidP="00A448C9">
      <w:pPr>
        <w:autoSpaceDE w:val="0"/>
        <w:autoSpaceDN w:val="0"/>
        <w:adjustRightInd w:val="0"/>
        <w:spacing w:after="0"/>
        <w:rPr>
          <w:rFonts w:cs="Times New Roman"/>
          <w:szCs w:val="24"/>
        </w:rPr>
      </w:pPr>
    </w:p>
    <w:p w14:paraId="28BBFFF5" w14:textId="4CA5F24A" w:rsidR="00A448C9" w:rsidRPr="00DB097F" w:rsidRDefault="00A448C9" w:rsidP="00A448C9">
      <w:pPr>
        <w:rPr>
          <w:rFonts w:cs="Times New Roman"/>
          <w:szCs w:val="24"/>
        </w:rPr>
      </w:pPr>
      <w:r w:rsidRPr="00DB097F">
        <w:rPr>
          <w:rFonts w:cs="Times New Roman"/>
          <w:szCs w:val="24"/>
        </w:rPr>
        <w:t xml:space="preserve">In the next section, I reflect on my experiences of </w:t>
      </w:r>
      <w:r w:rsidR="00AA6A3A" w:rsidRPr="00DB097F">
        <w:rPr>
          <w:rFonts w:cs="Times New Roman"/>
          <w:szCs w:val="24"/>
        </w:rPr>
        <w:t xml:space="preserve">decision-making in mental health </w:t>
      </w:r>
      <w:proofErr w:type="gramStart"/>
      <w:r w:rsidR="00AA6A3A" w:rsidRPr="00DB097F">
        <w:rPr>
          <w:rFonts w:cs="Times New Roman"/>
          <w:szCs w:val="24"/>
        </w:rPr>
        <w:t xml:space="preserve">management </w:t>
      </w:r>
      <w:r w:rsidRPr="00DB097F">
        <w:rPr>
          <w:rFonts w:cs="Times New Roman"/>
          <w:szCs w:val="24"/>
        </w:rPr>
        <w:t xml:space="preserve"> as</w:t>
      </w:r>
      <w:proofErr w:type="gramEnd"/>
      <w:r w:rsidRPr="00DB097F">
        <w:rPr>
          <w:rFonts w:cs="Times New Roman"/>
          <w:szCs w:val="24"/>
        </w:rPr>
        <w:t xml:space="preserve"> I recount two </w:t>
      </w:r>
      <w:r w:rsidR="00BC7333" w:rsidRPr="00DB097F">
        <w:rPr>
          <w:rFonts w:cs="Times New Roman"/>
          <w:szCs w:val="24"/>
        </w:rPr>
        <w:t>encounters</w:t>
      </w:r>
      <w:r w:rsidRPr="00DB097F">
        <w:rPr>
          <w:rFonts w:cs="Times New Roman"/>
          <w:szCs w:val="24"/>
        </w:rPr>
        <w:t xml:space="preserve"> of mental health intervention</w:t>
      </w:r>
      <w:r w:rsidR="00831573" w:rsidRPr="00DB097F">
        <w:rPr>
          <w:rFonts w:cs="Times New Roman"/>
          <w:szCs w:val="24"/>
        </w:rPr>
        <w:t xml:space="preserve"> framed within an </w:t>
      </w:r>
      <w:r w:rsidR="00692906" w:rsidRPr="00DB097F">
        <w:rPr>
          <w:rFonts w:cs="Times New Roman"/>
          <w:szCs w:val="24"/>
        </w:rPr>
        <w:t>autoethnograph</w:t>
      </w:r>
      <w:r w:rsidR="0044123F" w:rsidRPr="00DB097F">
        <w:rPr>
          <w:rFonts w:cs="Times New Roman"/>
          <w:szCs w:val="24"/>
        </w:rPr>
        <w:t>ic approach</w:t>
      </w:r>
      <w:r w:rsidR="000E68F1" w:rsidRPr="00DB097F">
        <w:rPr>
          <w:rFonts w:cs="Times New Roman"/>
          <w:szCs w:val="24"/>
        </w:rPr>
        <w:t xml:space="preserve">.  </w:t>
      </w:r>
      <w:r w:rsidR="005753A2" w:rsidRPr="00DB097F">
        <w:rPr>
          <w:rFonts w:cs="Times New Roman"/>
          <w:szCs w:val="24"/>
        </w:rPr>
        <w:t xml:space="preserve">These </w:t>
      </w:r>
      <w:r w:rsidR="008F1678" w:rsidRPr="00DB097F">
        <w:rPr>
          <w:rFonts w:cs="Times New Roman"/>
          <w:szCs w:val="24"/>
        </w:rPr>
        <w:t>interventions</w:t>
      </w:r>
      <w:r w:rsidR="005753A2" w:rsidRPr="00DB097F">
        <w:rPr>
          <w:rFonts w:cs="Times New Roman"/>
          <w:szCs w:val="24"/>
        </w:rPr>
        <w:t xml:space="preserve"> are </w:t>
      </w:r>
      <w:r w:rsidR="00116302" w:rsidRPr="00DB097F">
        <w:rPr>
          <w:rFonts w:cs="Times New Roman"/>
          <w:szCs w:val="24"/>
        </w:rPr>
        <w:t xml:space="preserve">discussed to enable an understanding of </w:t>
      </w:r>
      <w:r w:rsidR="008F1678" w:rsidRPr="00DB097F">
        <w:rPr>
          <w:rFonts w:cs="Times New Roman"/>
          <w:szCs w:val="24"/>
        </w:rPr>
        <w:t xml:space="preserve">the effectiveness of </w:t>
      </w:r>
      <w:r w:rsidR="00116302" w:rsidRPr="00DB097F">
        <w:rPr>
          <w:rFonts w:cs="Times New Roman"/>
          <w:szCs w:val="24"/>
        </w:rPr>
        <w:t xml:space="preserve">SDM from my standpoint, as </w:t>
      </w:r>
      <w:r w:rsidR="00587030" w:rsidRPr="00DB097F">
        <w:rPr>
          <w:rFonts w:cs="Times New Roman"/>
          <w:szCs w:val="24"/>
        </w:rPr>
        <w:t xml:space="preserve">both </w:t>
      </w:r>
      <w:r w:rsidR="00116302" w:rsidRPr="00DB097F">
        <w:rPr>
          <w:rFonts w:cs="Times New Roman"/>
          <w:szCs w:val="24"/>
        </w:rPr>
        <w:t xml:space="preserve">an expert-by-experience and </w:t>
      </w:r>
      <w:r w:rsidR="00110F39" w:rsidRPr="00DB097F">
        <w:rPr>
          <w:rFonts w:cs="Times New Roman"/>
          <w:szCs w:val="24"/>
        </w:rPr>
        <w:t xml:space="preserve">a </w:t>
      </w:r>
      <w:r w:rsidR="00116302" w:rsidRPr="00DB097F">
        <w:rPr>
          <w:rFonts w:cs="Times New Roman"/>
          <w:szCs w:val="24"/>
        </w:rPr>
        <w:t>social work academic</w:t>
      </w:r>
      <w:r w:rsidR="00552FFF" w:rsidRPr="00DB097F">
        <w:rPr>
          <w:rFonts w:cs="Times New Roman"/>
          <w:szCs w:val="24"/>
        </w:rPr>
        <w:t xml:space="preserve">. The reflections thus serve as a </w:t>
      </w:r>
      <w:r w:rsidR="00552FFF" w:rsidRPr="00820F66">
        <w:rPr>
          <w:rFonts w:cs="Times New Roman"/>
          <w:i/>
          <w:iCs/>
          <w:szCs w:val="24"/>
        </w:rPr>
        <w:t xml:space="preserve">springboard </w:t>
      </w:r>
      <w:r w:rsidR="00552FFF" w:rsidRPr="008068CD">
        <w:rPr>
          <w:rFonts w:cs="Times New Roman"/>
          <w:szCs w:val="24"/>
        </w:rPr>
        <w:t xml:space="preserve">to highlight the processes of SDM and to enable further </w:t>
      </w:r>
      <w:r w:rsidR="00552FFF" w:rsidRPr="00DB097F">
        <w:rPr>
          <w:rFonts w:cs="Times New Roman"/>
          <w:szCs w:val="24"/>
        </w:rPr>
        <w:t xml:space="preserve">exploration of the nature of decision-making in mental health </w:t>
      </w:r>
      <w:r w:rsidR="0035703B" w:rsidRPr="00DB097F">
        <w:rPr>
          <w:rFonts w:cs="Times New Roman"/>
          <w:szCs w:val="24"/>
        </w:rPr>
        <w:t>care</w:t>
      </w:r>
      <w:r w:rsidR="00552FFF" w:rsidRPr="00DB097F">
        <w:rPr>
          <w:rFonts w:cs="Times New Roman"/>
          <w:szCs w:val="24"/>
        </w:rPr>
        <w:t xml:space="preserve"> from the perspective of an expert-by-experience.</w:t>
      </w:r>
      <w:r w:rsidR="00A05D2F" w:rsidRPr="00DB097F">
        <w:rPr>
          <w:rFonts w:cs="Times New Roman"/>
          <w:szCs w:val="24"/>
        </w:rPr>
        <w:t xml:space="preserve">  </w:t>
      </w:r>
    </w:p>
    <w:p w14:paraId="4F5725FB" w14:textId="0FFEF889" w:rsidR="00A448C9" w:rsidRPr="00DB097F" w:rsidRDefault="00A448C9" w:rsidP="00A448C9">
      <w:pPr>
        <w:rPr>
          <w:rFonts w:cs="Times New Roman"/>
          <w:szCs w:val="24"/>
        </w:rPr>
      </w:pPr>
    </w:p>
    <w:p w14:paraId="4391466F" w14:textId="2E384624" w:rsidR="009B2877" w:rsidRPr="00DB097F" w:rsidRDefault="009B2877" w:rsidP="00A448C9">
      <w:pPr>
        <w:rPr>
          <w:rFonts w:cs="Times New Roman"/>
          <w:b/>
          <w:bCs/>
          <w:i/>
          <w:iCs/>
          <w:szCs w:val="24"/>
        </w:rPr>
      </w:pPr>
      <w:r w:rsidRPr="00DB097F">
        <w:rPr>
          <w:rFonts w:cs="Times New Roman"/>
          <w:b/>
          <w:bCs/>
          <w:i/>
          <w:iCs/>
          <w:szCs w:val="24"/>
        </w:rPr>
        <w:t>Autoethnography</w:t>
      </w:r>
      <w:r w:rsidR="00CF5514" w:rsidRPr="00DB097F">
        <w:rPr>
          <w:rFonts w:cs="Times New Roman"/>
          <w:b/>
          <w:bCs/>
          <w:i/>
          <w:iCs/>
          <w:szCs w:val="24"/>
        </w:rPr>
        <w:t xml:space="preserve">: </w:t>
      </w:r>
      <w:r w:rsidRPr="00DB097F">
        <w:rPr>
          <w:rFonts w:cs="Times New Roman"/>
          <w:b/>
          <w:bCs/>
          <w:i/>
          <w:iCs/>
          <w:szCs w:val="24"/>
        </w:rPr>
        <w:t>a process of reflection</w:t>
      </w:r>
      <w:r w:rsidR="00CF5514" w:rsidRPr="00DB097F">
        <w:rPr>
          <w:rFonts w:cs="Times New Roman"/>
          <w:b/>
          <w:bCs/>
          <w:i/>
          <w:iCs/>
          <w:szCs w:val="24"/>
        </w:rPr>
        <w:t xml:space="preserve"> to illuminate my response to SDM</w:t>
      </w:r>
    </w:p>
    <w:p w14:paraId="37D833B2" w14:textId="79DBAC1B" w:rsidR="00A448C9" w:rsidRPr="00DB097F" w:rsidRDefault="00A448C9" w:rsidP="00A448C9">
      <w:pPr>
        <w:autoSpaceDE w:val="0"/>
        <w:autoSpaceDN w:val="0"/>
        <w:adjustRightInd w:val="0"/>
        <w:spacing w:after="0"/>
        <w:rPr>
          <w:rFonts w:cs="Times New Roman"/>
          <w:szCs w:val="24"/>
        </w:rPr>
      </w:pPr>
      <w:r w:rsidRPr="00DB097F">
        <w:rPr>
          <w:rFonts w:cs="Times New Roman"/>
          <w:szCs w:val="24"/>
        </w:rPr>
        <w:t>Autoethnography has been used widely in health and social care research, education, and practice (</w:t>
      </w:r>
      <w:r w:rsidR="00BE6EF4" w:rsidRPr="00DB097F">
        <w:rPr>
          <w:rFonts w:cs="Times New Roman"/>
          <w:szCs w:val="24"/>
        </w:rPr>
        <w:t>20</w:t>
      </w:r>
      <w:r w:rsidRPr="00DB097F">
        <w:rPr>
          <w:rFonts w:cs="Times New Roman"/>
          <w:szCs w:val="24"/>
        </w:rPr>
        <w:t>,</w:t>
      </w:r>
      <w:r w:rsidR="00DD596A" w:rsidRPr="00DB097F">
        <w:rPr>
          <w:rFonts w:cs="Times New Roman"/>
          <w:szCs w:val="24"/>
        </w:rPr>
        <w:t>2</w:t>
      </w:r>
      <w:r w:rsidR="00BE6EF4" w:rsidRPr="00DB097F">
        <w:rPr>
          <w:rFonts w:cs="Times New Roman"/>
          <w:szCs w:val="24"/>
        </w:rPr>
        <w:t>2</w:t>
      </w:r>
      <w:r w:rsidRPr="00DB097F">
        <w:rPr>
          <w:rFonts w:cs="Times New Roman"/>
          <w:szCs w:val="24"/>
        </w:rPr>
        <w:t>).  Autoethnography is employed in this article to reflect on my experiences of SDM through a process of writing</w:t>
      </w:r>
      <w:r w:rsidR="009B2D13" w:rsidRPr="00DB097F">
        <w:rPr>
          <w:rFonts w:cs="Times New Roman"/>
          <w:szCs w:val="24"/>
        </w:rPr>
        <w:t>,</w:t>
      </w:r>
      <w:r w:rsidRPr="00DB097F">
        <w:rPr>
          <w:rFonts w:cs="Times New Roman"/>
          <w:szCs w:val="24"/>
        </w:rPr>
        <w:t xml:space="preserve"> and to </w:t>
      </w:r>
      <w:r w:rsidR="00131D41" w:rsidRPr="00DB097F">
        <w:rPr>
          <w:rFonts w:cs="Times New Roman"/>
          <w:szCs w:val="24"/>
        </w:rPr>
        <w:t xml:space="preserve">position </w:t>
      </w:r>
      <w:r w:rsidRPr="00DB097F">
        <w:rPr>
          <w:rFonts w:cs="Times New Roman"/>
          <w:szCs w:val="24"/>
        </w:rPr>
        <w:t xml:space="preserve">them in the wider </w:t>
      </w:r>
      <w:r w:rsidR="00CE7407" w:rsidRPr="00DB097F">
        <w:rPr>
          <w:rFonts w:cs="Times New Roman"/>
          <w:szCs w:val="24"/>
        </w:rPr>
        <w:t xml:space="preserve">social and </w:t>
      </w:r>
      <w:r w:rsidRPr="00DB097F">
        <w:rPr>
          <w:rFonts w:cs="Times New Roman"/>
          <w:szCs w:val="24"/>
        </w:rPr>
        <w:t xml:space="preserve">political environment (7).  Reflective practice has a long tradition in the helping professions as a method to develop both personal understanding of the lived experiences of service users and </w:t>
      </w:r>
      <w:proofErr w:type="spellStart"/>
      <w:r w:rsidRPr="00DB097F">
        <w:rPr>
          <w:rFonts w:cs="Times New Roman"/>
          <w:szCs w:val="24"/>
        </w:rPr>
        <w:t>carers</w:t>
      </w:r>
      <w:proofErr w:type="spellEnd"/>
      <w:r w:rsidRPr="00DB097F">
        <w:rPr>
          <w:rFonts w:cs="Times New Roman"/>
          <w:szCs w:val="24"/>
        </w:rPr>
        <w:t xml:space="preserve"> and of innovation in practice (2</w:t>
      </w:r>
      <w:r w:rsidR="00BE6EF4" w:rsidRPr="00DB097F">
        <w:rPr>
          <w:rFonts w:cs="Times New Roman"/>
          <w:szCs w:val="24"/>
        </w:rPr>
        <w:t>3</w:t>
      </w:r>
      <w:r w:rsidRPr="00DB097F">
        <w:rPr>
          <w:rFonts w:cs="Times New Roman"/>
          <w:szCs w:val="24"/>
        </w:rPr>
        <w:t xml:space="preserve">), therefore, autoethnography is appropriate to this </w:t>
      </w:r>
      <w:r w:rsidR="00EE4A9A" w:rsidRPr="00DB097F">
        <w:rPr>
          <w:rFonts w:cs="Times New Roman"/>
          <w:szCs w:val="24"/>
        </w:rPr>
        <w:t>article</w:t>
      </w:r>
      <w:r w:rsidRPr="00DB097F">
        <w:rPr>
          <w:rFonts w:cs="Times New Roman"/>
          <w:szCs w:val="24"/>
        </w:rPr>
        <w:t xml:space="preserve">. Autoethnographic writing </w:t>
      </w:r>
      <w:r w:rsidR="006532C3" w:rsidRPr="00DB097F">
        <w:rPr>
          <w:rFonts w:cs="Times New Roman"/>
          <w:szCs w:val="24"/>
        </w:rPr>
        <w:t xml:space="preserve">(7) </w:t>
      </w:r>
      <w:r w:rsidRPr="00DB097F">
        <w:rPr>
          <w:rFonts w:cs="Times New Roman"/>
          <w:szCs w:val="24"/>
        </w:rPr>
        <w:t xml:space="preserve">requires the researcher to pay careful attention to both the </w:t>
      </w:r>
      <w:r w:rsidRPr="00DB097F">
        <w:rPr>
          <w:rFonts w:cs="Times New Roman"/>
          <w:i/>
          <w:iCs/>
          <w:szCs w:val="24"/>
        </w:rPr>
        <w:t xml:space="preserve">epistemic </w:t>
      </w:r>
      <w:r w:rsidRPr="00DB097F">
        <w:rPr>
          <w:rFonts w:cs="Times New Roman"/>
          <w:szCs w:val="24"/>
        </w:rPr>
        <w:t xml:space="preserve">(claims to knowledge) and the </w:t>
      </w:r>
      <w:r w:rsidRPr="00DB097F">
        <w:rPr>
          <w:rFonts w:cs="Times New Roman"/>
          <w:i/>
          <w:iCs/>
          <w:szCs w:val="24"/>
        </w:rPr>
        <w:t xml:space="preserve">aesthetic </w:t>
      </w:r>
      <w:r w:rsidRPr="00DB097F">
        <w:rPr>
          <w:rFonts w:cs="Times New Roman"/>
          <w:szCs w:val="24"/>
        </w:rPr>
        <w:t>(practices of imaginative, creative, and artistic craft) characteristics of their texts as they seek to convey the meaning of their individual experiences and communicate their significance to the wider community of practice.</w:t>
      </w:r>
    </w:p>
    <w:p w14:paraId="7C44094E" w14:textId="77777777" w:rsidR="00A448C9" w:rsidRPr="00DB097F" w:rsidRDefault="00A448C9" w:rsidP="00A448C9">
      <w:pPr>
        <w:autoSpaceDE w:val="0"/>
        <w:autoSpaceDN w:val="0"/>
        <w:adjustRightInd w:val="0"/>
        <w:spacing w:after="0"/>
        <w:rPr>
          <w:rFonts w:cs="Times New Roman"/>
          <w:szCs w:val="24"/>
        </w:rPr>
      </w:pPr>
    </w:p>
    <w:p w14:paraId="5925E6C7" w14:textId="4C5E3A7D" w:rsidR="00A448C9" w:rsidRPr="00DB097F" w:rsidRDefault="00A448C9" w:rsidP="00820F66">
      <w:pPr>
        <w:rPr>
          <w:rFonts w:cs="Times New Roman"/>
          <w:szCs w:val="24"/>
        </w:rPr>
      </w:pPr>
      <w:r w:rsidRPr="00DB097F">
        <w:rPr>
          <w:rFonts w:cs="Times New Roman"/>
          <w:szCs w:val="24"/>
        </w:rPr>
        <w:t xml:space="preserve">Autoethnography strives for social justice (7) and promotes moral and ethical debate through the process of reflexivity (8).  My accounts were </w:t>
      </w:r>
      <w:proofErr w:type="spellStart"/>
      <w:r w:rsidRPr="00DB097F">
        <w:rPr>
          <w:rFonts w:cs="Times New Roman"/>
          <w:szCs w:val="24"/>
        </w:rPr>
        <w:t>analysed</w:t>
      </w:r>
      <w:proofErr w:type="spellEnd"/>
      <w:r w:rsidRPr="00DB097F">
        <w:rPr>
          <w:rFonts w:cs="Times New Roman"/>
          <w:szCs w:val="24"/>
        </w:rPr>
        <w:t xml:space="preserve"> by using thematic data analysis </w:t>
      </w:r>
      <w:r w:rsidR="00462B24" w:rsidRPr="00DB097F">
        <w:rPr>
          <w:rFonts w:cs="Times New Roman"/>
          <w:szCs w:val="24"/>
        </w:rPr>
        <w:t>(2</w:t>
      </w:r>
      <w:r w:rsidR="00BE6EF4" w:rsidRPr="00DB097F">
        <w:rPr>
          <w:rFonts w:cs="Times New Roman"/>
          <w:szCs w:val="24"/>
        </w:rPr>
        <w:t>4</w:t>
      </w:r>
      <w:r w:rsidR="00462B24" w:rsidRPr="00DB097F">
        <w:rPr>
          <w:rFonts w:cs="Times New Roman"/>
          <w:szCs w:val="24"/>
        </w:rPr>
        <w:t xml:space="preserve">) </w:t>
      </w:r>
      <w:r w:rsidRPr="00DB097F">
        <w:rPr>
          <w:rFonts w:cs="Times New Roman"/>
          <w:szCs w:val="24"/>
        </w:rPr>
        <w:t xml:space="preserve">and themes commensurate with the literature were identified and integrated into the discussion. </w:t>
      </w:r>
      <w:r w:rsidR="00462B24" w:rsidRPr="00DB097F">
        <w:rPr>
          <w:rFonts w:cs="Times New Roman"/>
          <w:szCs w:val="24"/>
        </w:rPr>
        <w:t xml:space="preserve"> T</w:t>
      </w:r>
      <w:r w:rsidRPr="00DB097F">
        <w:rPr>
          <w:rFonts w:cs="Times New Roman"/>
          <w:szCs w:val="24"/>
        </w:rPr>
        <w:t>hematic analysis involves a six-phase process</w:t>
      </w:r>
      <w:r w:rsidR="00462B24" w:rsidRPr="00DB097F">
        <w:rPr>
          <w:rFonts w:cs="Times New Roman"/>
          <w:szCs w:val="24"/>
        </w:rPr>
        <w:t xml:space="preserve"> (2</w:t>
      </w:r>
      <w:r w:rsidR="00BE6EF4" w:rsidRPr="00DB097F">
        <w:rPr>
          <w:rFonts w:cs="Times New Roman"/>
          <w:szCs w:val="24"/>
        </w:rPr>
        <w:t>4</w:t>
      </w:r>
      <w:r w:rsidR="00462B24" w:rsidRPr="00DB097F">
        <w:rPr>
          <w:rFonts w:cs="Times New Roman"/>
          <w:szCs w:val="24"/>
        </w:rPr>
        <w:t>)</w:t>
      </w:r>
      <w:r w:rsidRPr="00DB097F">
        <w:rPr>
          <w:rFonts w:cs="Times New Roman"/>
          <w:szCs w:val="24"/>
        </w:rPr>
        <w:t xml:space="preserve">; however, </w:t>
      </w:r>
      <w:r w:rsidR="00462B24" w:rsidRPr="00DB097F">
        <w:rPr>
          <w:rFonts w:cs="Times New Roman"/>
          <w:szCs w:val="24"/>
        </w:rPr>
        <w:t xml:space="preserve">it </w:t>
      </w:r>
      <w:r w:rsidRPr="00DB097F">
        <w:rPr>
          <w:rFonts w:cs="Times New Roman"/>
          <w:szCs w:val="24"/>
        </w:rPr>
        <w:t>is often flexible, encompassing an approach that can be both ‘inductive’ and ‘data-driven’</w:t>
      </w:r>
      <w:r w:rsidR="00AE18D2" w:rsidRPr="00DB097F">
        <w:rPr>
          <w:rFonts w:cs="Times New Roman"/>
          <w:szCs w:val="24"/>
        </w:rPr>
        <w:t xml:space="preserve">.  </w:t>
      </w:r>
      <w:r w:rsidR="002213BD" w:rsidRPr="00DB097F">
        <w:rPr>
          <w:rFonts w:cs="Times New Roman"/>
          <w:szCs w:val="24"/>
        </w:rPr>
        <w:t xml:space="preserve">Thus, initially, themes were identified inductively as I read and re-read the reflections that </w:t>
      </w:r>
      <w:r w:rsidR="002213BD" w:rsidRPr="00DB097F">
        <w:rPr>
          <w:rFonts w:cs="Times New Roman"/>
          <w:i/>
          <w:iCs/>
          <w:szCs w:val="24"/>
        </w:rPr>
        <w:t>described</w:t>
      </w:r>
      <w:r w:rsidR="002213BD" w:rsidRPr="00DB097F">
        <w:rPr>
          <w:rFonts w:cs="Times New Roman"/>
          <w:szCs w:val="24"/>
        </w:rPr>
        <w:t xml:space="preserve"> the experiences expressed in the accounts</w:t>
      </w:r>
      <w:r w:rsidR="00AE18D2" w:rsidRPr="00DB097F">
        <w:rPr>
          <w:rFonts w:cs="Times New Roman"/>
          <w:szCs w:val="24"/>
        </w:rPr>
        <w:t xml:space="preserve">; then themes were identified </w:t>
      </w:r>
      <w:r w:rsidR="0035703B" w:rsidRPr="00DB097F">
        <w:rPr>
          <w:rFonts w:cs="Times New Roman"/>
          <w:szCs w:val="24"/>
        </w:rPr>
        <w:t>which</w:t>
      </w:r>
      <w:r w:rsidR="00AE18D2" w:rsidRPr="00DB097F">
        <w:rPr>
          <w:rFonts w:cs="Times New Roman"/>
          <w:szCs w:val="24"/>
        </w:rPr>
        <w:t xml:space="preserve"> </w:t>
      </w:r>
      <w:r w:rsidR="002213BD" w:rsidRPr="00DB097F">
        <w:rPr>
          <w:rFonts w:cs="Times New Roman"/>
          <w:szCs w:val="24"/>
        </w:rPr>
        <w:t xml:space="preserve">were commensurate with the published literature.  </w:t>
      </w:r>
      <w:r w:rsidR="00720A4A" w:rsidRPr="00DB097F">
        <w:rPr>
          <w:rFonts w:cs="Times New Roman"/>
          <w:szCs w:val="24"/>
        </w:rPr>
        <w:t>Furthermore</w:t>
      </w:r>
      <w:r w:rsidR="00A05D2F" w:rsidRPr="00DB097F">
        <w:rPr>
          <w:rFonts w:cs="Times New Roman"/>
          <w:szCs w:val="24"/>
        </w:rPr>
        <w:t>,</w:t>
      </w:r>
      <w:r w:rsidR="00720A4A" w:rsidRPr="00DB097F">
        <w:rPr>
          <w:rFonts w:cs="Times New Roman"/>
          <w:szCs w:val="24"/>
        </w:rPr>
        <w:t xml:space="preserve"> </w:t>
      </w:r>
      <w:r w:rsidR="00FF3694" w:rsidRPr="00DB097F">
        <w:rPr>
          <w:rFonts w:eastAsia="Times New Roman" w:cs="Times New Roman"/>
          <w:color w:val="3E3D40"/>
          <w:szCs w:val="24"/>
          <w:lang w:eastAsia="en-GB"/>
        </w:rPr>
        <w:t>d</w:t>
      </w:r>
      <w:r w:rsidR="00966B4C" w:rsidRPr="00DB097F">
        <w:rPr>
          <w:rFonts w:eastAsia="Times New Roman" w:cs="Times New Roman"/>
          <w:color w:val="3E3D40"/>
          <w:szCs w:val="24"/>
          <w:lang w:eastAsia="en-GB"/>
        </w:rPr>
        <w:t>ifferent</w:t>
      </w:r>
      <w:r w:rsidR="00FB4A58" w:rsidRPr="00820F66">
        <w:rPr>
          <w:rFonts w:eastAsia="Times New Roman" w:cs="Times New Roman"/>
          <w:color w:val="3E3D40"/>
          <w:szCs w:val="24"/>
          <w:lang w:eastAsia="en-GB"/>
        </w:rPr>
        <w:t xml:space="preserve"> sources of evidence are used along</w:t>
      </w:r>
      <w:r w:rsidR="0035090C" w:rsidRPr="008068CD">
        <w:rPr>
          <w:rFonts w:eastAsia="Times New Roman" w:cs="Times New Roman"/>
          <w:color w:val="3E3D40"/>
          <w:szCs w:val="24"/>
          <w:lang w:eastAsia="en-GB"/>
        </w:rPr>
        <w:t>side</w:t>
      </w:r>
      <w:r w:rsidR="00FB4A58" w:rsidRPr="00820F66">
        <w:rPr>
          <w:rFonts w:eastAsia="Times New Roman" w:cs="Times New Roman"/>
          <w:color w:val="3E3D40"/>
          <w:szCs w:val="24"/>
          <w:lang w:eastAsia="en-GB"/>
        </w:rPr>
        <w:t xml:space="preserve"> my </w:t>
      </w:r>
      <w:r w:rsidR="00194BCD" w:rsidRPr="008068CD">
        <w:rPr>
          <w:rFonts w:eastAsia="Times New Roman" w:cs="Times New Roman"/>
          <w:color w:val="3E3D40"/>
          <w:szCs w:val="24"/>
          <w:lang w:eastAsia="en-GB"/>
        </w:rPr>
        <w:t>reports</w:t>
      </w:r>
      <w:r w:rsidR="00695A29" w:rsidRPr="008068CD">
        <w:rPr>
          <w:rFonts w:eastAsia="Times New Roman" w:cs="Times New Roman"/>
          <w:color w:val="3E3D40"/>
          <w:szCs w:val="24"/>
          <w:lang w:eastAsia="en-GB"/>
        </w:rPr>
        <w:t xml:space="preserve"> to</w:t>
      </w:r>
      <w:r w:rsidR="00FB4A58" w:rsidRPr="00820F66">
        <w:rPr>
          <w:rFonts w:eastAsia="Times New Roman" w:cs="Times New Roman"/>
          <w:color w:val="3E3D40"/>
          <w:szCs w:val="24"/>
          <w:lang w:eastAsia="en-GB"/>
        </w:rPr>
        <w:t xml:space="preserve"> explicitly link concepts from the literature to my narrat</w:t>
      </w:r>
      <w:r w:rsidR="0035703B" w:rsidRPr="008068CD">
        <w:rPr>
          <w:rFonts w:eastAsia="Times New Roman" w:cs="Times New Roman"/>
          <w:color w:val="3E3D40"/>
          <w:szCs w:val="24"/>
          <w:lang w:eastAsia="en-GB"/>
        </w:rPr>
        <w:t xml:space="preserve">ions.  </w:t>
      </w:r>
      <w:r w:rsidR="00356832" w:rsidRPr="008068CD">
        <w:rPr>
          <w:rFonts w:cs="Times New Roman"/>
          <w:szCs w:val="24"/>
        </w:rPr>
        <w:t>Thus, b</w:t>
      </w:r>
      <w:r w:rsidR="009C6C15" w:rsidRPr="00DB097F">
        <w:rPr>
          <w:rFonts w:cs="Times New Roman"/>
          <w:szCs w:val="24"/>
        </w:rPr>
        <w:t xml:space="preserve">oth the process of reflexivity </w:t>
      </w:r>
      <w:r w:rsidR="005E0D1A" w:rsidRPr="00DB097F">
        <w:rPr>
          <w:rFonts w:cs="Times New Roman"/>
          <w:szCs w:val="24"/>
        </w:rPr>
        <w:t>(2</w:t>
      </w:r>
      <w:r w:rsidR="00BE6EF4" w:rsidRPr="00DB097F">
        <w:rPr>
          <w:rFonts w:cs="Times New Roman"/>
          <w:szCs w:val="24"/>
        </w:rPr>
        <w:t>3</w:t>
      </w:r>
      <w:r w:rsidR="005E0D1A" w:rsidRPr="00DB097F">
        <w:rPr>
          <w:rFonts w:cs="Times New Roman"/>
          <w:szCs w:val="24"/>
        </w:rPr>
        <w:t xml:space="preserve">) </w:t>
      </w:r>
      <w:r w:rsidR="00BB454A" w:rsidRPr="00DB097F">
        <w:rPr>
          <w:rFonts w:cs="Times New Roman"/>
          <w:szCs w:val="24"/>
        </w:rPr>
        <w:t>as a service user and academic (2</w:t>
      </w:r>
      <w:r w:rsidR="009F2E1D" w:rsidRPr="00DB097F">
        <w:rPr>
          <w:rFonts w:cs="Times New Roman"/>
          <w:szCs w:val="24"/>
        </w:rPr>
        <w:t>5</w:t>
      </w:r>
      <w:r w:rsidR="00BB454A" w:rsidRPr="00DB097F">
        <w:rPr>
          <w:rFonts w:cs="Times New Roman"/>
          <w:szCs w:val="24"/>
        </w:rPr>
        <w:t xml:space="preserve">) </w:t>
      </w:r>
      <w:r w:rsidR="009C6C15" w:rsidRPr="00DB097F">
        <w:rPr>
          <w:rFonts w:cs="Times New Roman"/>
          <w:szCs w:val="24"/>
        </w:rPr>
        <w:t>and the</w:t>
      </w:r>
      <w:r w:rsidR="00FD162B" w:rsidRPr="00DB097F">
        <w:rPr>
          <w:rFonts w:cs="Times New Roman"/>
          <w:szCs w:val="24"/>
        </w:rPr>
        <w:t xml:space="preserve"> </w:t>
      </w:r>
      <w:r w:rsidR="00CB4149" w:rsidRPr="00DB097F">
        <w:rPr>
          <w:rFonts w:cs="Times New Roman"/>
          <w:szCs w:val="24"/>
        </w:rPr>
        <w:t>narratives</w:t>
      </w:r>
      <w:r w:rsidR="00FD162B" w:rsidRPr="00DB097F">
        <w:rPr>
          <w:rFonts w:cs="Times New Roman"/>
          <w:szCs w:val="24"/>
        </w:rPr>
        <w:t xml:space="preserve"> in the article facilitat</w:t>
      </w:r>
      <w:r w:rsidR="009C6C15" w:rsidRPr="00DB097F">
        <w:rPr>
          <w:rFonts w:cs="Times New Roman"/>
          <w:szCs w:val="24"/>
        </w:rPr>
        <w:t>ed</w:t>
      </w:r>
      <w:r w:rsidR="00FD162B" w:rsidRPr="00DB097F">
        <w:rPr>
          <w:rFonts w:cs="Times New Roman"/>
          <w:szCs w:val="24"/>
        </w:rPr>
        <w:t xml:space="preserve"> </w:t>
      </w:r>
      <w:r w:rsidR="00024063" w:rsidRPr="00DB097F">
        <w:rPr>
          <w:rFonts w:cs="Times New Roman"/>
          <w:szCs w:val="24"/>
        </w:rPr>
        <w:t>the connection of “the autobiographical and personal to the cultural, social, and political” (2</w:t>
      </w:r>
      <w:r w:rsidR="00BE6EF4" w:rsidRPr="00DB097F">
        <w:rPr>
          <w:rFonts w:cs="Times New Roman"/>
          <w:szCs w:val="24"/>
        </w:rPr>
        <w:t>6</w:t>
      </w:r>
      <w:r w:rsidR="00024063" w:rsidRPr="00DB097F">
        <w:rPr>
          <w:rFonts w:cs="Times New Roman"/>
          <w:szCs w:val="24"/>
        </w:rPr>
        <w:t xml:space="preserve">).   </w:t>
      </w:r>
    </w:p>
    <w:p w14:paraId="1E133A6F" w14:textId="77777777" w:rsidR="00A448C9" w:rsidRPr="00DB097F" w:rsidRDefault="00A448C9" w:rsidP="00A448C9">
      <w:pPr>
        <w:autoSpaceDE w:val="0"/>
        <w:autoSpaceDN w:val="0"/>
        <w:adjustRightInd w:val="0"/>
        <w:spacing w:after="0"/>
        <w:rPr>
          <w:rFonts w:cs="Times New Roman"/>
          <w:b/>
          <w:bCs/>
          <w:i/>
          <w:iCs/>
          <w:szCs w:val="24"/>
        </w:rPr>
      </w:pPr>
    </w:p>
    <w:p w14:paraId="7EE21ACE" w14:textId="7E349145" w:rsidR="000A619C" w:rsidRPr="00DB097F" w:rsidRDefault="004954EA" w:rsidP="00A448C9">
      <w:pPr>
        <w:autoSpaceDE w:val="0"/>
        <w:autoSpaceDN w:val="0"/>
        <w:adjustRightInd w:val="0"/>
        <w:spacing w:after="0"/>
        <w:rPr>
          <w:rFonts w:cs="Times New Roman"/>
          <w:szCs w:val="24"/>
        </w:rPr>
      </w:pPr>
      <w:r w:rsidRPr="00DB097F">
        <w:rPr>
          <w:rFonts w:cs="Times New Roman"/>
          <w:szCs w:val="24"/>
        </w:rPr>
        <w:t>E</w:t>
      </w:r>
      <w:r w:rsidR="00A448C9" w:rsidRPr="00DB097F">
        <w:rPr>
          <w:rFonts w:cs="Times New Roman"/>
          <w:szCs w:val="24"/>
        </w:rPr>
        <w:t xml:space="preserve">thical challenges may arise when </w:t>
      </w:r>
      <w:r w:rsidR="00116302" w:rsidRPr="00DB097F">
        <w:rPr>
          <w:rFonts w:cs="Times New Roman"/>
          <w:szCs w:val="24"/>
        </w:rPr>
        <w:t xml:space="preserve">using such </w:t>
      </w:r>
      <w:r w:rsidR="00A448C9" w:rsidRPr="00DB097F">
        <w:rPr>
          <w:rFonts w:cs="Times New Roman"/>
          <w:szCs w:val="24"/>
        </w:rPr>
        <w:t xml:space="preserve">a personally revealing research </w:t>
      </w:r>
      <w:r w:rsidR="00116302" w:rsidRPr="00DB097F">
        <w:rPr>
          <w:rFonts w:cs="Times New Roman"/>
          <w:szCs w:val="24"/>
        </w:rPr>
        <w:t xml:space="preserve">process </w:t>
      </w:r>
      <w:r w:rsidR="00A448C9" w:rsidRPr="00DB097F">
        <w:rPr>
          <w:rFonts w:cs="Times New Roman"/>
          <w:szCs w:val="24"/>
        </w:rPr>
        <w:t>as autoethnography</w:t>
      </w:r>
      <w:r w:rsidR="00B15D0D" w:rsidRPr="00DB097F">
        <w:rPr>
          <w:rFonts w:cs="Times New Roman"/>
          <w:szCs w:val="24"/>
        </w:rPr>
        <w:t xml:space="preserve"> and writing about </w:t>
      </w:r>
      <w:r w:rsidR="00D46297" w:rsidRPr="00DB097F">
        <w:rPr>
          <w:rFonts w:cs="Times New Roman"/>
          <w:szCs w:val="24"/>
        </w:rPr>
        <w:t>such intimate experiences</w:t>
      </w:r>
      <w:r w:rsidR="00A448C9" w:rsidRPr="00DB097F">
        <w:rPr>
          <w:rFonts w:cs="Times New Roman"/>
          <w:szCs w:val="24"/>
        </w:rPr>
        <w:t>. This situation is explored by Goldberg et al (2</w:t>
      </w:r>
      <w:r w:rsidR="009F2E1D" w:rsidRPr="00DB097F">
        <w:rPr>
          <w:rFonts w:cs="Times New Roman"/>
          <w:szCs w:val="24"/>
        </w:rPr>
        <w:t>7</w:t>
      </w:r>
      <w:r w:rsidR="00A448C9" w:rsidRPr="00DB097F">
        <w:rPr>
          <w:rFonts w:cs="Times New Roman"/>
          <w:szCs w:val="24"/>
        </w:rPr>
        <w:t>) who illuminate the experiences of a mental health practitioner who also became a hospital inpatient.  Goldberg et al (2</w:t>
      </w:r>
      <w:r w:rsidR="009F2E1D" w:rsidRPr="00DB097F">
        <w:rPr>
          <w:rFonts w:cs="Times New Roman"/>
          <w:szCs w:val="24"/>
        </w:rPr>
        <w:t>7</w:t>
      </w:r>
      <w:r w:rsidR="00A448C9" w:rsidRPr="00DB097F">
        <w:rPr>
          <w:rFonts w:cs="Times New Roman"/>
          <w:szCs w:val="24"/>
        </w:rPr>
        <w:t xml:space="preserve">) discuss the need to manage both personal and professional boundaries </w:t>
      </w:r>
      <w:r w:rsidR="00A448C9" w:rsidRPr="00DB097F">
        <w:rPr>
          <w:rFonts w:cs="Times New Roman"/>
          <w:szCs w:val="24"/>
        </w:rPr>
        <w:lastRenderedPageBreak/>
        <w:t>and to consider these needs carefully in relation to the working and professional environment; an issue highlighted in the context of social work (2</w:t>
      </w:r>
      <w:r w:rsidR="00454EC0" w:rsidRPr="00DB097F">
        <w:rPr>
          <w:rFonts w:cs="Times New Roman"/>
          <w:szCs w:val="24"/>
        </w:rPr>
        <w:t>8</w:t>
      </w:r>
      <w:r w:rsidR="00A448C9" w:rsidRPr="00DB097F">
        <w:rPr>
          <w:rFonts w:cs="Times New Roman"/>
          <w:szCs w:val="24"/>
        </w:rPr>
        <w:t xml:space="preserve">).  </w:t>
      </w:r>
    </w:p>
    <w:p w14:paraId="0EA5A08C" w14:textId="77777777" w:rsidR="000A619C" w:rsidRPr="00DB097F" w:rsidRDefault="000A619C" w:rsidP="00A448C9">
      <w:pPr>
        <w:autoSpaceDE w:val="0"/>
        <w:autoSpaceDN w:val="0"/>
        <w:adjustRightInd w:val="0"/>
        <w:spacing w:after="0"/>
        <w:rPr>
          <w:rFonts w:cs="Times New Roman"/>
          <w:szCs w:val="24"/>
        </w:rPr>
      </w:pPr>
    </w:p>
    <w:p w14:paraId="0A2DCFEF" w14:textId="2844F5C4" w:rsidR="00A448C9" w:rsidRPr="00DB097F" w:rsidRDefault="00E0718B" w:rsidP="00A448C9">
      <w:pPr>
        <w:autoSpaceDE w:val="0"/>
        <w:autoSpaceDN w:val="0"/>
        <w:adjustRightInd w:val="0"/>
        <w:spacing w:after="0"/>
        <w:rPr>
          <w:rFonts w:cs="Times New Roman"/>
          <w:szCs w:val="24"/>
        </w:rPr>
      </w:pPr>
      <w:r w:rsidRPr="00DB097F">
        <w:rPr>
          <w:rFonts w:cs="Times New Roman"/>
          <w:szCs w:val="24"/>
        </w:rPr>
        <w:t>A</w:t>
      </w:r>
      <w:r w:rsidR="000A619C" w:rsidRPr="00DB097F">
        <w:rPr>
          <w:rFonts w:cs="Times New Roman"/>
          <w:szCs w:val="24"/>
        </w:rPr>
        <w:t>s an expert-by-experience (</w:t>
      </w:r>
      <w:r w:rsidR="006532C3" w:rsidRPr="00DB097F">
        <w:rPr>
          <w:rFonts w:cs="Times New Roman"/>
          <w:szCs w:val="24"/>
        </w:rPr>
        <w:t>2</w:t>
      </w:r>
      <w:r w:rsidR="0054732B" w:rsidRPr="00DB097F">
        <w:rPr>
          <w:rFonts w:cs="Times New Roman"/>
          <w:szCs w:val="24"/>
        </w:rPr>
        <w:t>5</w:t>
      </w:r>
      <w:r w:rsidR="00765344" w:rsidRPr="00DB097F">
        <w:rPr>
          <w:rFonts w:cs="Times New Roman"/>
          <w:szCs w:val="24"/>
        </w:rPr>
        <w:t>)</w:t>
      </w:r>
      <w:r w:rsidR="000A619C" w:rsidRPr="00DB097F">
        <w:rPr>
          <w:rFonts w:cs="Times New Roman"/>
          <w:szCs w:val="24"/>
        </w:rPr>
        <w:t xml:space="preserve"> I </w:t>
      </w:r>
      <w:r w:rsidR="00A64E7B" w:rsidRPr="00DB097F">
        <w:rPr>
          <w:rFonts w:cs="Times New Roman"/>
          <w:szCs w:val="24"/>
        </w:rPr>
        <w:t xml:space="preserve">choose to </w:t>
      </w:r>
      <w:r w:rsidR="000A619C" w:rsidRPr="00DB097F">
        <w:rPr>
          <w:rFonts w:cs="Times New Roman"/>
          <w:szCs w:val="24"/>
        </w:rPr>
        <w:t xml:space="preserve">use </w:t>
      </w:r>
      <w:r w:rsidR="00BF48AC" w:rsidRPr="00DB097F">
        <w:rPr>
          <w:rFonts w:cs="Times New Roman"/>
          <w:szCs w:val="24"/>
        </w:rPr>
        <w:t xml:space="preserve">my </w:t>
      </w:r>
      <w:r w:rsidR="00A64E7B" w:rsidRPr="00DB097F">
        <w:rPr>
          <w:rFonts w:cs="Times New Roman"/>
          <w:szCs w:val="24"/>
        </w:rPr>
        <w:t xml:space="preserve">lived </w:t>
      </w:r>
      <w:r w:rsidR="000A619C" w:rsidRPr="00DB097F">
        <w:rPr>
          <w:rFonts w:cs="Times New Roman"/>
          <w:szCs w:val="24"/>
        </w:rPr>
        <w:t>experience</w:t>
      </w:r>
      <w:r w:rsidR="00A64E7B" w:rsidRPr="00DB097F">
        <w:rPr>
          <w:rFonts w:cs="Times New Roman"/>
          <w:szCs w:val="24"/>
        </w:rPr>
        <w:t>s</w:t>
      </w:r>
      <w:r w:rsidR="000A619C" w:rsidRPr="00DB097F">
        <w:rPr>
          <w:rFonts w:cs="Times New Roman"/>
          <w:szCs w:val="24"/>
        </w:rPr>
        <w:t xml:space="preserve"> </w:t>
      </w:r>
      <w:r w:rsidR="00AE18D2" w:rsidRPr="00DB097F">
        <w:rPr>
          <w:rFonts w:cs="Times New Roman"/>
          <w:szCs w:val="24"/>
        </w:rPr>
        <w:t xml:space="preserve">of mental distress </w:t>
      </w:r>
      <w:r w:rsidR="000A619C" w:rsidRPr="00DB097F">
        <w:rPr>
          <w:rFonts w:cs="Times New Roman"/>
          <w:szCs w:val="24"/>
        </w:rPr>
        <w:t>to effect positive change in mental health care</w:t>
      </w:r>
      <w:r w:rsidR="00BF48AC" w:rsidRPr="00DB097F">
        <w:rPr>
          <w:rFonts w:cs="Times New Roman"/>
          <w:szCs w:val="24"/>
        </w:rPr>
        <w:t xml:space="preserve"> (</w:t>
      </w:r>
      <w:r w:rsidR="006532C3" w:rsidRPr="00DB097F">
        <w:rPr>
          <w:rFonts w:cs="Times New Roman"/>
          <w:szCs w:val="24"/>
        </w:rPr>
        <w:t>2</w:t>
      </w:r>
      <w:r w:rsidR="00454EC0" w:rsidRPr="00DB097F">
        <w:rPr>
          <w:rFonts w:cs="Times New Roman"/>
          <w:szCs w:val="24"/>
        </w:rPr>
        <w:t>9</w:t>
      </w:r>
      <w:r w:rsidR="00BF48AC" w:rsidRPr="00DB097F">
        <w:rPr>
          <w:rFonts w:cs="Times New Roman"/>
          <w:szCs w:val="24"/>
        </w:rPr>
        <w:t>)</w:t>
      </w:r>
      <w:r w:rsidR="00AE18D2" w:rsidRPr="00DB097F">
        <w:rPr>
          <w:rFonts w:cs="Times New Roman"/>
          <w:szCs w:val="24"/>
        </w:rPr>
        <w:t>,</w:t>
      </w:r>
      <w:r w:rsidR="00CB4149" w:rsidRPr="00DB097F">
        <w:rPr>
          <w:rFonts w:cs="Times New Roman"/>
          <w:szCs w:val="24"/>
        </w:rPr>
        <w:t xml:space="preserve"> but</w:t>
      </w:r>
      <w:r w:rsidR="00AE18D2" w:rsidRPr="00DB097F">
        <w:rPr>
          <w:rFonts w:cs="Times New Roman"/>
          <w:szCs w:val="24"/>
        </w:rPr>
        <w:t xml:space="preserve">, </w:t>
      </w:r>
      <w:r w:rsidR="00015594" w:rsidRPr="00DB097F">
        <w:rPr>
          <w:rFonts w:cs="Times New Roman"/>
          <w:szCs w:val="24"/>
        </w:rPr>
        <w:t>of</w:t>
      </w:r>
      <w:r w:rsidR="00AE18D2" w:rsidRPr="00DB097F">
        <w:rPr>
          <w:rFonts w:cs="Times New Roman"/>
          <w:szCs w:val="24"/>
        </w:rPr>
        <w:t xml:space="preserve"> necessity, I</w:t>
      </w:r>
      <w:r w:rsidR="00CB4149" w:rsidRPr="00DB097F">
        <w:rPr>
          <w:rFonts w:cs="Times New Roman"/>
          <w:szCs w:val="24"/>
        </w:rPr>
        <w:t xml:space="preserve"> have learnt to separate personal emotions from the professional domain</w:t>
      </w:r>
      <w:r w:rsidR="000A619C" w:rsidRPr="00DB097F">
        <w:rPr>
          <w:rFonts w:cs="Times New Roman"/>
          <w:szCs w:val="24"/>
        </w:rPr>
        <w:t>.</w:t>
      </w:r>
      <w:r w:rsidR="00765344" w:rsidRPr="00DB097F">
        <w:rPr>
          <w:rFonts w:cs="Times New Roman"/>
          <w:szCs w:val="24"/>
        </w:rPr>
        <w:t xml:space="preserve"> I communicate my encounters with services </w:t>
      </w:r>
      <w:r w:rsidR="00E81AF3" w:rsidRPr="00DB097F">
        <w:rPr>
          <w:rFonts w:cs="Times New Roman"/>
          <w:szCs w:val="24"/>
        </w:rPr>
        <w:t>by</w:t>
      </w:r>
      <w:r w:rsidR="00765344" w:rsidRPr="00DB097F">
        <w:rPr>
          <w:rFonts w:cs="Times New Roman"/>
          <w:szCs w:val="24"/>
        </w:rPr>
        <w:t xml:space="preserve"> </w:t>
      </w:r>
      <w:r w:rsidR="00E81AF3" w:rsidRPr="00820F66">
        <w:rPr>
          <w:rFonts w:cs="Times New Roman"/>
          <w:i/>
          <w:iCs/>
          <w:szCs w:val="24"/>
        </w:rPr>
        <w:t>objectifying</w:t>
      </w:r>
      <w:r w:rsidR="00E81AF3" w:rsidRPr="008068CD">
        <w:rPr>
          <w:rFonts w:cs="Times New Roman"/>
          <w:szCs w:val="24"/>
        </w:rPr>
        <w:t xml:space="preserve"> the</w:t>
      </w:r>
      <w:r w:rsidR="00765344" w:rsidRPr="008068CD">
        <w:rPr>
          <w:rFonts w:cs="Times New Roman"/>
          <w:szCs w:val="24"/>
        </w:rPr>
        <w:t xml:space="preserve"> </w:t>
      </w:r>
      <w:r w:rsidR="00BF48AC" w:rsidRPr="00DB097F">
        <w:rPr>
          <w:rFonts w:cs="Times New Roman"/>
          <w:szCs w:val="24"/>
        </w:rPr>
        <w:t>substance</w:t>
      </w:r>
      <w:r w:rsidR="00765344" w:rsidRPr="00DB097F">
        <w:rPr>
          <w:rFonts w:cs="Times New Roman"/>
          <w:szCs w:val="24"/>
        </w:rPr>
        <w:t xml:space="preserve"> </w:t>
      </w:r>
      <w:r w:rsidR="00E81AF3" w:rsidRPr="00DB097F">
        <w:rPr>
          <w:rFonts w:cs="Times New Roman"/>
          <w:szCs w:val="24"/>
        </w:rPr>
        <w:t xml:space="preserve">of </w:t>
      </w:r>
      <w:r w:rsidR="00A64E7B" w:rsidRPr="00DB097F">
        <w:rPr>
          <w:rFonts w:cs="Times New Roman"/>
          <w:szCs w:val="24"/>
        </w:rPr>
        <w:t>these</w:t>
      </w:r>
      <w:r w:rsidR="00E81AF3" w:rsidRPr="00DB097F">
        <w:rPr>
          <w:rFonts w:cs="Times New Roman"/>
          <w:szCs w:val="24"/>
        </w:rPr>
        <w:t xml:space="preserve"> experiences</w:t>
      </w:r>
      <w:r w:rsidR="00A64E7B" w:rsidRPr="00DB097F">
        <w:rPr>
          <w:rFonts w:cs="Times New Roman"/>
          <w:szCs w:val="24"/>
        </w:rPr>
        <w:t xml:space="preserve"> </w:t>
      </w:r>
      <w:r w:rsidR="00BF48AC" w:rsidRPr="00DB097F">
        <w:rPr>
          <w:rFonts w:cs="Times New Roman"/>
          <w:szCs w:val="24"/>
        </w:rPr>
        <w:t xml:space="preserve">to explore </w:t>
      </w:r>
      <w:r w:rsidR="000A619C" w:rsidRPr="00DB097F">
        <w:rPr>
          <w:rFonts w:cs="Times New Roman"/>
          <w:szCs w:val="24"/>
        </w:rPr>
        <w:t xml:space="preserve">them </w:t>
      </w:r>
      <w:r w:rsidR="00A2712B" w:rsidRPr="00DB097F">
        <w:rPr>
          <w:rFonts w:cs="Times New Roman"/>
          <w:szCs w:val="24"/>
        </w:rPr>
        <w:t xml:space="preserve">as </w:t>
      </w:r>
      <w:r w:rsidR="00A2712B" w:rsidRPr="00820F66">
        <w:rPr>
          <w:rFonts w:cs="Times New Roman"/>
          <w:i/>
          <w:iCs/>
          <w:szCs w:val="24"/>
        </w:rPr>
        <w:t>empirical data</w:t>
      </w:r>
      <w:r w:rsidR="00A2712B" w:rsidRPr="008068CD">
        <w:rPr>
          <w:rFonts w:cs="Times New Roman"/>
          <w:szCs w:val="24"/>
        </w:rPr>
        <w:t xml:space="preserve">, rather than </w:t>
      </w:r>
      <w:r w:rsidR="000A619C" w:rsidRPr="00DB097F">
        <w:rPr>
          <w:rFonts w:cs="Times New Roman"/>
          <w:szCs w:val="24"/>
        </w:rPr>
        <w:t xml:space="preserve">as </w:t>
      </w:r>
      <w:r w:rsidR="00A3099F" w:rsidRPr="00DB097F">
        <w:rPr>
          <w:rFonts w:cs="Times New Roman"/>
          <w:szCs w:val="24"/>
        </w:rPr>
        <w:t>occurrences</w:t>
      </w:r>
      <w:r w:rsidR="002213BD" w:rsidRPr="00DB097F">
        <w:rPr>
          <w:rFonts w:cs="Times New Roman"/>
          <w:szCs w:val="24"/>
        </w:rPr>
        <w:t xml:space="preserve"> full of emotional content</w:t>
      </w:r>
      <w:r w:rsidR="000A619C" w:rsidRPr="00DB097F">
        <w:rPr>
          <w:rFonts w:cs="Times New Roman"/>
          <w:szCs w:val="24"/>
        </w:rPr>
        <w:t xml:space="preserve">.  This </w:t>
      </w:r>
      <w:r w:rsidRPr="00DB097F">
        <w:rPr>
          <w:rFonts w:cs="Times New Roman"/>
          <w:szCs w:val="24"/>
        </w:rPr>
        <w:t>division</w:t>
      </w:r>
      <w:r w:rsidR="000A619C" w:rsidRPr="00DB097F">
        <w:rPr>
          <w:rFonts w:cs="Times New Roman"/>
          <w:szCs w:val="24"/>
        </w:rPr>
        <w:t xml:space="preserve"> allows me to disconnect the personal from the professional and maintain </w:t>
      </w:r>
      <w:r w:rsidR="00BF48AC" w:rsidRPr="00DB097F">
        <w:rPr>
          <w:rFonts w:cs="Times New Roman"/>
          <w:szCs w:val="24"/>
        </w:rPr>
        <w:t>a divide</w:t>
      </w:r>
      <w:r w:rsidR="000A619C" w:rsidRPr="00DB097F">
        <w:rPr>
          <w:rFonts w:cs="Times New Roman"/>
          <w:szCs w:val="24"/>
        </w:rPr>
        <w:t xml:space="preserve"> between these two domains</w:t>
      </w:r>
      <w:r w:rsidR="00E81AF3" w:rsidRPr="00DB097F">
        <w:rPr>
          <w:rFonts w:cs="Times New Roman"/>
          <w:szCs w:val="24"/>
        </w:rPr>
        <w:t xml:space="preserve">.  </w:t>
      </w:r>
      <w:r w:rsidR="000A619C" w:rsidRPr="00DB097F">
        <w:rPr>
          <w:rFonts w:cs="Times New Roman"/>
          <w:szCs w:val="24"/>
        </w:rPr>
        <w:t>However</w:t>
      </w:r>
      <w:r w:rsidR="00D843AC" w:rsidRPr="00DB097F">
        <w:rPr>
          <w:rFonts w:cs="Times New Roman"/>
          <w:szCs w:val="24"/>
        </w:rPr>
        <w:t>,</w:t>
      </w:r>
      <w:r w:rsidR="00E81AF3" w:rsidRPr="00DB097F">
        <w:rPr>
          <w:rFonts w:cs="Times New Roman"/>
          <w:szCs w:val="24"/>
        </w:rPr>
        <w:t xml:space="preserve"> </w:t>
      </w:r>
      <w:r w:rsidR="00D547CC" w:rsidRPr="00DB097F">
        <w:rPr>
          <w:rFonts w:cs="Times New Roman"/>
          <w:szCs w:val="24"/>
        </w:rPr>
        <w:t>at times</w:t>
      </w:r>
      <w:r w:rsidR="00CB4149" w:rsidRPr="00DB097F">
        <w:rPr>
          <w:rFonts w:cs="Times New Roman"/>
          <w:szCs w:val="24"/>
        </w:rPr>
        <w:t>,</w:t>
      </w:r>
      <w:r w:rsidR="00D547CC" w:rsidRPr="00DB097F">
        <w:rPr>
          <w:rFonts w:cs="Times New Roman"/>
          <w:szCs w:val="24"/>
        </w:rPr>
        <w:t xml:space="preserve"> reliving my </w:t>
      </w:r>
      <w:r w:rsidR="00A018F9" w:rsidRPr="00DB097F">
        <w:rPr>
          <w:rFonts w:cs="Times New Roman"/>
          <w:szCs w:val="24"/>
        </w:rPr>
        <w:t>past experience</w:t>
      </w:r>
      <w:r w:rsidR="00CF7CF6" w:rsidRPr="00DB097F">
        <w:rPr>
          <w:rFonts w:cs="Times New Roman"/>
          <w:szCs w:val="24"/>
        </w:rPr>
        <w:t>s</w:t>
      </w:r>
      <w:r w:rsidR="00A018F9" w:rsidRPr="00DB097F">
        <w:rPr>
          <w:rFonts w:cs="Times New Roman"/>
          <w:szCs w:val="24"/>
        </w:rPr>
        <w:t xml:space="preserve"> </w:t>
      </w:r>
      <w:r w:rsidR="00CF7CF6" w:rsidRPr="00DB097F">
        <w:rPr>
          <w:rFonts w:cs="Times New Roman"/>
          <w:szCs w:val="24"/>
        </w:rPr>
        <w:t xml:space="preserve">may impact on my </w:t>
      </w:r>
      <w:r w:rsidR="00BF48AC" w:rsidRPr="00DB097F">
        <w:rPr>
          <w:rFonts w:cs="Times New Roman"/>
          <w:szCs w:val="24"/>
        </w:rPr>
        <w:t>sense of</w:t>
      </w:r>
      <w:r w:rsidR="00A018F9" w:rsidRPr="00DB097F">
        <w:rPr>
          <w:rFonts w:cs="Times New Roman"/>
          <w:szCs w:val="24"/>
        </w:rPr>
        <w:t xml:space="preserve"> mental </w:t>
      </w:r>
      <w:r w:rsidR="00CF7CF6" w:rsidRPr="00DB097F">
        <w:rPr>
          <w:rFonts w:cs="Times New Roman"/>
          <w:szCs w:val="24"/>
        </w:rPr>
        <w:t>wellbeing</w:t>
      </w:r>
      <w:r w:rsidR="00E81AF3" w:rsidRPr="00DB097F">
        <w:rPr>
          <w:rFonts w:cs="Times New Roman"/>
          <w:szCs w:val="24"/>
        </w:rPr>
        <w:t xml:space="preserve">, </w:t>
      </w:r>
      <w:r w:rsidR="00A018F9" w:rsidRPr="00DB097F">
        <w:rPr>
          <w:rFonts w:cs="Times New Roman"/>
          <w:szCs w:val="24"/>
        </w:rPr>
        <w:t xml:space="preserve">and </w:t>
      </w:r>
      <w:r w:rsidR="00BF48AC" w:rsidRPr="00DB097F">
        <w:rPr>
          <w:rFonts w:cs="Times New Roman"/>
          <w:szCs w:val="24"/>
        </w:rPr>
        <w:t>I find it</w:t>
      </w:r>
      <w:r w:rsidR="00D547CC" w:rsidRPr="00DB097F">
        <w:rPr>
          <w:rFonts w:cs="Times New Roman"/>
          <w:szCs w:val="24"/>
        </w:rPr>
        <w:t xml:space="preserve"> necessary </w:t>
      </w:r>
      <w:r w:rsidR="00A018F9" w:rsidRPr="00DB097F">
        <w:rPr>
          <w:rFonts w:cs="Times New Roman"/>
          <w:szCs w:val="24"/>
        </w:rPr>
        <w:t xml:space="preserve">to </w:t>
      </w:r>
      <w:r w:rsidR="00D843AC" w:rsidRPr="00DB097F">
        <w:rPr>
          <w:rFonts w:cs="Times New Roman"/>
          <w:szCs w:val="24"/>
        </w:rPr>
        <w:t>pause the process of writing</w:t>
      </w:r>
      <w:r w:rsidR="00BF48AC" w:rsidRPr="00DB097F">
        <w:rPr>
          <w:rFonts w:cs="Times New Roman"/>
          <w:szCs w:val="24"/>
        </w:rPr>
        <w:t xml:space="preserve"> to give myself a break</w:t>
      </w:r>
      <w:r w:rsidR="00052340" w:rsidRPr="00DB097F">
        <w:rPr>
          <w:rFonts w:cs="Times New Roman"/>
          <w:szCs w:val="24"/>
        </w:rPr>
        <w:t xml:space="preserve"> (2</w:t>
      </w:r>
      <w:r w:rsidR="0054732B" w:rsidRPr="00DB097F">
        <w:rPr>
          <w:rFonts w:cs="Times New Roman"/>
          <w:szCs w:val="24"/>
        </w:rPr>
        <w:t>2</w:t>
      </w:r>
      <w:r w:rsidR="00052340" w:rsidRPr="00DB097F">
        <w:rPr>
          <w:rFonts w:cs="Times New Roman"/>
          <w:szCs w:val="24"/>
        </w:rPr>
        <w:t>)</w:t>
      </w:r>
      <w:r w:rsidR="002213BD" w:rsidRPr="00DB097F">
        <w:rPr>
          <w:rFonts w:cs="Times New Roman"/>
          <w:szCs w:val="24"/>
        </w:rPr>
        <w:t xml:space="preserve">.  </w:t>
      </w:r>
      <w:r w:rsidR="00A2712B" w:rsidRPr="00DB097F">
        <w:rPr>
          <w:rFonts w:cs="Times New Roman"/>
          <w:szCs w:val="24"/>
        </w:rPr>
        <w:t xml:space="preserve"> </w:t>
      </w:r>
    </w:p>
    <w:p w14:paraId="1A8ECA1C" w14:textId="77777777" w:rsidR="00A448C9" w:rsidRPr="00DB097F" w:rsidRDefault="00A448C9" w:rsidP="00A448C9">
      <w:pPr>
        <w:rPr>
          <w:rFonts w:cs="Times New Roman"/>
          <w:szCs w:val="24"/>
        </w:rPr>
      </w:pPr>
    </w:p>
    <w:p w14:paraId="72EC61AF" w14:textId="77777777" w:rsidR="00A448C9" w:rsidRPr="00DB097F" w:rsidRDefault="00A448C9" w:rsidP="00A448C9">
      <w:pPr>
        <w:rPr>
          <w:rFonts w:cs="Times New Roman"/>
          <w:b/>
          <w:bCs/>
          <w:i/>
          <w:iCs/>
          <w:szCs w:val="24"/>
        </w:rPr>
      </w:pPr>
      <w:r w:rsidRPr="00DB097F">
        <w:rPr>
          <w:rFonts w:cs="Times New Roman"/>
          <w:b/>
          <w:bCs/>
          <w:i/>
          <w:iCs/>
          <w:szCs w:val="24"/>
        </w:rPr>
        <w:t>My experiences of SDM</w:t>
      </w:r>
    </w:p>
    <w:p w14:paraId="716C6008" w14:textId="41B5FA61" w:rsidR="00A448C9" w:rsidRPr="00DB097F" w:rsidRDefault="00A448C9" w:rsidP="00A448C9">
      <w:pPr>
        <w:rPr>
          <w:rFonts w:cs="Times New Roman"/>
          <w:szCs w:val="24"/>
        </w:rPr>
      </w:pPr>
      <w:r w:rsidRPr="00DB097F">
        <w:rPr>
          <w:rFonts w:cs="Times New Roman"/>
          <w:szCs w:val="24"/>
        </w:rPr>
        <w:t>In this section I recount two experiences of decision-making</w:t>
      </w:r>
      <w:r w:rsidR="00B81189" w:rsidRPr="00DB097F">
        <w:rPr>
          <w:rFonts w:cs="Times New Roman"/>
          <w:szCs w:val="24"/>
        </w:rPr>
        <w:t xml:space="preserve"> in clinical care</w:t>
      </w:r>
      <w:r w:rsidRPr="00DB097F">
        <w:rPr>
          <w:rFonts w:cs="Times New Roman"/>
          <w:szCs w:val="24"/>
        </w:rPr>
        <w:t xml:space="preserve">: one at the start of my mental health career and one more recent experience.  </w:t>
      </w:r>
      <w:r w:rsidR="00074CA4" w:rsidRPr="00DB097F">
        <w:rPr>
          <w:rFonts w:cs="Times New Roman"/>
          <w:szCs w:val="24"/>
        </w:rPr>
        <w:t xml:space="preserve">This illuminates an understanding of this topic from my perspective.  </w:t>
      </w:r>
      <w:r w:rsidRPr="00DB097F">
        <w:rPr>
          <w:rFonts w:cs="Times New Roman"/>
          <w:szCs w:val="24"/>
        </w:rPr>
        <w:t>I have taken mental health medication for over 30 years and reflect on how my own expertise and relationship with professionals has adapted and changed.  I describe, firstly, one memory of early involvement in decision-making following my first stay in hospital</w:t>
      </w:r>
      <w:r w:rsidR="00024063" w:rsidRPr="00DB097F">
        <w:rPr>
          <w:rFonts w:cs="Times New Roman"/>
          <w:szCs w:val="24"/>
        </w:rPr>
        <w:t>,</w:t>
      </w:r>
      <w:r w:rsidRPr="00DB097F">
        <w:rPr>
          <w:rFonts w:cs="Times New Roman"/>
          <w:szCs w:val="24"/>
        </w:rPr>
        <w:t xml:space="preserve"> and, secondly, a more recent experience of trying a different mental health medication.</w:t>
      </w:r>
    </w:p>
    <w:p w14:paraId="65AD1940" w14:textId="77777777" w:rsidR="00A448C9" w:rsidRPr="00DB097F" w:rsidRDefault="00A448C9" w:rsidP="00A448C9">
      <w:pPr>
        <w:rPr>
          <w:rFonts w:cs="Times New Roman"/>
          <w:szCs w:val="24"/>
        </w:rPr>
      </w:pPr>
    </w:p>
    <w:p w14:paraId="3CAEA050" w14:textId="7DA4977E" w:rsidR="00A448C9" w:rsidRPr="00DB097F" w:rsidRDefault="00A448C9" w:rsidP="00A448C9">
      <w:pPr>
        <w:rPr>
          <w:rFonts w:cs="Times New Roman"/>
          <w:szCs w:val="24"/>
        </w:rPr>
      </w:pPr>
      <w:r w:rsidRPr="00DB097F">
        <w:rPr>
          <w:rFonts w:cs="Times New Roman"/>
          <w:szCs w:val="24"/>
        </w:rPr>
        <w:t xml:space="preserve">The first situation occurred when I was attending a planning discharge meeting whilst emerging from my first episode of acute psychosis.  This was my first experience of being in hospital and of mental distress. On discussing when I would be discharged, I entered a room with more than 15 people and remember nothing more of that meeting than the number of faces staring back at me. This encounter remains in my memories after over 30 years of care, I remember there being no support, no explanation of the meeting, and no discussion of the outcome.  It is a single and clear memory, with little embellishment.   There was no understanding of the enormity of this experience or of the sense of fear and disempowerment I experienced; this encounter was very far from the ideal of involvement in decision-making and evidenced power being situated completely in the hands of professionals. It may have been helpful if the purpose of the meeting had been discussed in advance; if I had been informed of what to expect from the meeting; and if I could have been accompanied by an advocate or person I had got to know on the ward. </w:t>
      </w:r>
    </w:p>
    <w:p w14:paraId="124904C4" w14:textId="77777777" w:rsidR="00A448C9" w:rsidRPr="00DB097F" w:rsidRDefault="00A448C9" w:rsidP="00A448C9">
      <w:pPr>
        <w:rPr>
          <w:rFonts w:cs="Times New Roman"/>
          <w:szCs w:val="24"/>
        </w:rPr>
      </w:pPr>
    </w:p>
    <w:p w14:paraId="164895AB" w14:textId="4DDD4839" w:rsidR="00A448C9" w:rsidRPr="00DB097F" w:rsidRDefault="00A448C9" w:rsidP="00A448C9">
      <w:pPr>
        <w:rPr>
          <w:rFonts w:cs="Times New Roman"/>
          <w:szCs w:val="24"/>
        </w:rPr>
      </w:pPr>
      <w:r w:rsidRPr="00DB097F">
        <w:rPr>
          <w:rFonts w:cs="Times New Roman"/>
          <w:szCs w:val="24"/>
        </w:rPr>
        <w:t xml:space="preserve">My second account relates to an experience within the last 2 years. I went through a period of excessive weight gain.  I met with the psychiatrist who I have known for over 30 years.  He has now semi-retired from the NHS and I </w:t>
      </w:r>
      <w:r w:rsidR="00DB7EF9">
        <w:rPr>
          <w:rFonts w:cs="Times New Roman"/>
          <w:szCs w:val="24"/>
        </w:rPr>
        <w:t>chose</w:t>
      </w:r>
      <w:r w:rsidRPr="008068CD">
        <w:rPr>
          <w:rFonts w:cs="Times New Roman"/>
          <w:szCs w:val="24"/>
        </w:rPr>
        <w:t xml:space="preserve"> to see him privately; otherwise</w:t>
      </w:r>
      <w:r w:rsidR="00A64E7B" w:rsidRPr="008068CD">
        <w:rPr>
          <w:rFonts w:cs="Times New Roman"/>
          <w:szCs w:val="24"/>
        </w:rPr>
        <w:t>,</w:t>
      </w:r>
      <w:r w:rsidRPr="008068CD">
        <w:rPr>
          <w:rFonts w:cs="Times New Roman"/>
          <w:szCs w:val="24"/>
        </w:rPr>
        <w:t xml:space="preserve"> I would not be able to access mental health support in a timely way.  The medication I take increases my appetite and makes me crave foods; ot</w:t>
      </w:r>
      <w:r w:rsidRPr="00DB097F">
        <w:rPr>
          <w:rFonts w:cs="Times New Roman"/>
          <w:szCs w:val="24"/>
        </w:rPr>
        <w:t>her side effects include: an increased propensity to develop diabetes, global sedation, cloudy thought patterns, reduced libido.   I wanted to explore changing medication.  This drug supports me to manage anxiety by evening out the extremes of emotion, although</w:t>
      </w:r>
      <w:r w:rsidR="00DF072B" w:rsidRPr="00DB097F">
        <w:rPr>
          <w:rFonts w:cs="Times New Roman"/>
          <w:szCs w:val="24"/>
        </w:rPr>
        <w:t>, one disadvantage of this medication, is,</w:t>
      </w:r>
      <w:r w:rsidRPr="00DB097F">
        <w:rPr>
          <w:rFonts w:cs="Times New Roman"/>
          <w:szCs w:val="24"/>
        </w:rPr>
        <w:t xml:space="preserve"> I believe </w:t>
      </w:r>
      <w:r w:rsidR="00DF072B" w:rsidRPr="00DB097F">
        <w:rPr>
          <w:rFonts w:cs="Times New Roman"/>
          <w:szCs w:val="24"/>
        </w:rPr>
        <w:t xml:space="preserve">that </w:t>
      </w:r>
      <w:r w:rsidRPr="00DB097F">
        <w:rPr>
          <w:rFonts w:cs="Times New Roman"/>
          <w:szCs w:val="24"/>
        </w:rPr>
        <w:t xml:space="preserve">it has suppressed my natural emotional responses. </w:t>
      </w:r>
      <w:r w:rsidR="00DF072B" w:rsidRPr="00DB097F">
        <w:rPr>
          <w:rFonts w:cs="Times New Roman"/>
          <w:szCs w:val="24"/>
        </w:rPr>
        <w:t xml:space="preserve"> This is a side </w:t>
      </w:r>
      <w:r w:rsidR="00DF072B" w:rsidRPr="00DB097F">
        <w:rPr>
          <w:rFonts w:cs="Times New Roman"/>
          <w:szCs w:val="24"/>
        </w:rPr>
        <w:lastRenderedPageBreak/>
        <w:t>effect</w:t>
      </w:r>
      <w:r w:rsidR="00B07AFF" w:rsidRPr="00DB097F">
        <w:rPr>
          <w:rFonts w:cs="Times New Roman"/>
          <w:szCs w:val="24"/>
        </w:rPr>
        <w:t xml:space="preserve"> </w:t>
      </w:r>
      <w:r w:rsidR="00BF1F8B" w:rsidRPr="00DB097F">
        <w:rPr>
          <w:rFonts w:cs="Times New Roman"/>
          <w:szCs w:val="24"/>
        </w:rPr>
        <w:t>which</w:t>
      </w:r>
      <w:r w:rsidR="00DF072B" w:rsidRPr="00DB097F">
        <w:rPr>
          <w:rFonts w:cs="Times New Roman"/>
          <w:szCs w:val="24"/>
        </w:rPr>
        <w:t xml:space="preserve"> I accept as a p</w:t>
      </w:r>
      <w:r w:rsidR="00B07AFF" w:rsidRPr="00DB097F">
        <w:rPr>
          <w:rFonts w:cs="Times New Roman"/>
          <w:szCs w:val="24"/>
        </w:rPr>
        <w:t xml:space="preserve">ay-off for managing anxiety.  </w:t>
      </w:r>
      <w:r w:rsidRPr="00DB097F">
        <w:rPr>
          <w:rFonts w:cs="Times New Roman"/>
          <w:szCs w:val="24"/>
        </w:rPr>
        <w:t xml:space="preserve">The psychiatrist explored my concerns about weight gain and committed to investigate some alternative treatments.  </w:t>
      </w:r>
    </w:p>
    <w:p w14:paraId="79A27904" w14:textId="77777777" w:rsidR="00A448C9" w:rsidRPr="00DB097F" w:rsidRDefault="00A448C9" w:rsidP="00A448C9">
      <w:pPr>
        <w:rPr>
          <w:rFonts w:cs="Times New Roman"/>
          <w:szCs w:val="24"/>
        </w:rPr>
      </w:pPr>
    </w:p>
    <w:p w14:paraId="69097B9F" w14:textId="703D674F" w:rsidR="00A448C9" w:rsidRPr="00DB097F" w:rsidRDefault="00A448C9" w:rsidP="00A448C9">
      <w:pPr>
        <w:rPr>
          <w:rFonts w:cs="Times New Roman"/>
          <w:szCs w:val="24"/>
        </w:rPr>
      </w:pPr>
      <w:r w:rsidRPr="00DB097F">
        <w:rPr>
          <w:rFonts w:cs="Times New Roman"/>
          <w:szCs w:val="24"/>
        </w:rPr>
        <w:t>When we next met, the psychiatrist recommended some options</w:t>
      </w:r>
      <w:r w:rsidR="00E25451" w:rsidRPr="00DB097F">
        <w:rPr>
          <w:rFonts w:cs="Times New Roman"/>
          <w:szCs w:val="24"/>
        </w:rPr>
        <w:t>,</w:t>
      </w:r>
      <w:r w:rsidRPr="00DB097F">
        <w:rPr>
          <w:rFonts w:cs="Times New Roman"/>
          <w:szCs w:val="24"/>
        </w:rPr>
        <w:t xml:space="preserve"> and I chose to take a new medication.  I found it to be effective in reducing my appetite, but less effective at containing my anxiety and other feelings of paranoia.  I tried the change for two months and then, in consultation with my psychiatrist, returned to the medication that I know works best for me; albeit I immediately gained the weight I had lost. I had to decide between taking a medication that enabled me to manage my mental ill-health and </w:t>
      </w:r>
      <w:r w:rsidR="00BF1F8B" w:rsidRPr="00DB097F">
        <w:rPr>
          <w:rFonts w:cs="Times New Roman"/>
          <w:szCs w:val="24"/>
        </w:rPr>
        <w:t>increase</w:t>
      </w:r>
      <w:r w:rsidRPr="00DB097F">
        <w:rPr>
          <w:rFonts w:cs="Times New Roman"/>
          <w:szCs w:val="24"/>
        </w:rPr>
        <w:t xml:space="preserve"> weight, and to take a less effective medication that did not cause weight gain.  This was a decision driven by expediency as I needed to function effectively in both my personal and professional life.  </w:t>
      </w:r>
    </w:p>
    <w:p w14:paraId="1006B065" w14:textId="0C41158B" w:rsidR="001F21B7" w:rsidRPr="00DB097F" w:rsidRDefault="001F21B7" w:rsidP="00A448C9">
      <w:pPr>
        <w:rPr>
          <w:rFonts w:cs="Times New Roman"/>
          <w:szCs w:val="24"/>
        </w:rPr>
      </w:pPr>
    </w:p>
    <w:p w14:paraId="37E42287" w14:textId="7EB1389B" w:rsidR="001F21B7" w:rsidRPr="00DB097F" w:rsidRDefault="001F21B7" w:rsidP="00A448C9">
      <w:pPr>
        <w:rPr>
          <w:rFonts w:cs="Times New Roman"/>
          <w:szCs w:val="24"/>
        </w:rPr>
      </w:pPr>
      <w:r w:rsidRPr="00DB097F">
        <w:rPr>
          <w:rFonts w:cs="Times New Roman"/>
          <w:szCs w:val="24"/>
        </w:rPr>
        <w:t xml:space="preserve">These encounters highlight </w:t>
      </w:r>
      <w:r w:rsidR="000B4DFA" w:rsidRPr="00DB097F">
        <w:rPr>
          <w:rFonts w:cs="Times New Roman"/>
          <w:szCs w:val="24"/>
        </w:rPr>
        <w:t xml:space="preserve">two specific themes that are central to the practice of SDM in mental health care: </w:t>
      </w:r>
      <w:r w:rsidRPr="00DB097F">
        <w:rPr>
          <w:rFonts w:cs="Times New Roman"/>
          <w:szCs w:val="24"/>
        </w:rPr>
        <w:t xml:space="preserve">the impact that a service user’s </w:t>
      </w:r>
      <w:r w:rsidR="000B4DFA" w:rsidRPr="00DB097F">
        <w:rPr>
          <w:rFonts w:cs="Times New Roman"/>
          <w:szCs w:val="24"/>
        </w:rPr>
        <w:t xml:space="preserve">incapacity, lack of insight and acute distress can have when </w:t>
      </w:r>
      <w:r w:rsidRPr="00DB097F">
        <w:rPr>
          <w:rFonts w:cs="Times New Roman"/>
          <w:szCs w:val="24"/>
        </w:rPr>
        <w:t xml:space="preserve">negotiating clinical interventions in the context of SDM; </w:t>
      </w:r>
      <w:r w:rsidR="000B4DFA" w:rsidRPr="00DB097F">
        <w:rPr>
          <w:rFonts w:cs="Times New Roman"/>
          <w:szCs w:val="24"/>
        </w:rPr>
        <w:t xml:space="preserve">and the change in </w:t>
      </w:r>
      <w:r w:rsidRPr="00DB097F">
        <w:rPr>
          <w:rFonts w:cs="Times New Roman"/>
          <w:szCs w:val="24"/>
        </w:rPr>
        <w:t xml:space="preserve">decision-making processes when the service user becomes </w:t>
      </w:r>
      <w:r w:rsidR="00EF3807" w:rsidRPr="00DB097F">
        <w:rPr>
          <w:rFonts w:cs="Times New Roman"/>
          <w:szCs w:val="24"/>
        </w:rPr>
        <w:t xml:space="preserve">a self- acknowledged </w:t>
      </w:r>
      <w:r w:rsidRPr="00DB097F">
        <w:rPr>
          <w:rFonts w:cs="Times New Roman"/>
          <w:szCs w:val="24"/>
        </w:rPr>
        <w:t>expert-by-experience</w:t>
      </w:r>
      <w:r w:rsidR="00EF3807" w:rsidRPr="00DB097F">
        <w:rPr>
          <w:rFonts w:cs="Times New Roman"/>
          <w:szCs w:val="24"/>
        </w:rPr>
        <w:t xml:space="preserve">, as well as </w:t>
      </w:r>
      <w:r w:rsidR="00C84838" w:rsidRPr="00DB097F">
        <w:rPr>
          <w:rFonts w:cs="Times New Roman"/>
          <w:szCs w:val="24"/>
        </w:rPr>
        <w:t xml:space="preserve">being </w:t>
      </w:r>
      <w:proofErr w:type="spellStart"/>
      <w:r w:rsidR="00EF3807" w:rsidRPr="00DB097F">
        <w:rPr>
          <w:rFonts w:cs="Times New Roman"/>
          <w:szCs w:val="24"/>
        </w:rPr>
        <w:t>recogni</w:t>
      </w:r>
      <w:r w:rsidR="00C84838" w:rsidRPr="00DB097F">
        <w:rPr>
          <w:rFonts w:cs="Times New Roman"/>
          <w:szCs w:val="24"/>
        </w:rPr>
        <w:t>s</w:t>
      </w:r>
      <w:r w:rsidR="00EF3807" w:rsidRPr="00DB097F">
        <w:rPr>
          <w:rFonts w:cs="Times New Roman"/>
          <w:szCs w:val="24"/>
        </w:rPr>
        <w:t>ed</w:t>
      </w:r>
      <w:proofErr w:type="spellEnd"/>
      <w:r w:rsidR="00EF3807" w:rsidRPr="00DB097F">
        <w:rPr>
          <w:rFonts w:cs="Times New Roman"/>
          <w:szCs w:val="24"/>
        </w:rPr>
        <w:t xml:space="preserve"> as such by practitioners</w:t>
      </w:r>
      <w:r w:rsidRPr="00DB097F">
        <w:rPr>
          <w:rFonts w:cs="Times New Roman"/>
          <w:szCs w:val="24"/>
        </w:rPr>
        <w:t xml:space="preserve">.  </w:t>
      </w:r>
    </w:p>
    <w:p w14:paraId="2BD875A1" w14:textId="77777777" w:rsidR="00A448C9" w:rsidRPr="00DB097F" w:rsidRDefault="00A448C9" w:rsidP="00A448C9">
      <w:pPr>
        <w:rPr>
          <w:rFonts w:cs="Times New Roman"/>
          <w:b/>
          <w:bCs/>
          <w:szCs w:val="24"/>
        </w:rPr>
      </w:pPr>
    </w:p>
    <w:p w14:paraId="2A25666D" w14:textId="77777777" w:rsidR="00A448C9" w:rsidRPr="00DB097F" w:rsidRDefault="00A448C9" w:rsidP="00A448C9">
      <w:pPr>
        <w:rPr>
          <w:rFonts w:cs="Times New Roman"/>
          <w:b/>
          <w:bCs/>
          <w:szCs w:val="24"/>
        </w:rPr>
      </w:pPr>
      <w:r w:rsidRPr="00DB097F">
        <w:rPr>
          <w:rFonts w:cs="Times New Roman"/>
          <w:b/>
          <w:bCs/>
          <w:szCs w:val="24"/>
        </w:rPr>
        <w:t xml:space="preserve">Discussion </w:t>
      </w:r>
    </w:p>
    <w:p w14:paraId="640C8DEA" w14:textId="20520B6E" w:rsidR="00F46853" w:rsidRPr="008068CD" w:rsidRDefault="002A22DA" w:rsidP="00A448C9">
      <w:pPr>
        <w:autoSpaceDE w:val="0"/>
        <w:autoSpaceDN w:val="0"/>
        <w:adjustRightInd w:val="0"/>
        <w:spacing w:after="0"/>
        <w:rPr>
          <w:rFonts w:eastAsia="Times New Roman" w:cs="Times New Roman"/>
          <w:color w:val="3E3D40"/>
          <w:szCs w:val="24"/>
          <w:lang w:eastAsia="en-GB"/>
        </w:rPr>
      </w:pPr>
      <w:r w:rsidRPr="00820F66">
        <w:rPr>
          <w:rFonts w:eastAsia="Times New Roman" w:cs="Times New Roman"/>
          <w:color w:val="3E3D40"/>
          <w:szCs w:val="24"/>
          <w:lang w:eastAsia="en-GB"/>
        </w:rPr>
        <w:t xml:space="preserve">The first encounter occurred 30 years ago at an inpatient discharge planning meeting following my first episode of acute psychosis.  The second was a more recent encounter when I chose to see a psychiatrist as an outpatient to discuss my medication </w:t>
      </w:r>
      <w:r w:rsidR="005E0D1A" w:rsidRPr="008068CD">
        <w:rPr>
          <w:rFonts w:eastAsia="Times New Roman" w:cs="Times New Roman"/>
          <w:color w:val="3E3D40"/>
          <w:szCs w:val="24"/>
          <w:lang w:eastAsia="en-GB"/>
        </w:rPr>
        <w:t xml:space="preserve">and treatment </w:t>
      </w:r>
      <w:r w:rsidRPr="00820F66">
        <w:rPr>
          <w:rFonts w:eastAsia="Times New Roman" w:cs="Times New Roman"/>
          <w:color w:val="3E3D40"/>
          <w:szCs w:val="24"/>
          <w:lang w:eastAsia="en-GB"/>
        </w:rPr>
        <w:t>options</w:t>
      </w:r>
      <w:r w:rsidR="00EF3807" w:rsidRPr="008068CD">
        <w:rPr>
          <w:rFonts w:eastAsia="Times New Roman" w:cs="Times New Roman"/>
          <w:color w:val="3E3D40"/>
          <w:szCs w:val="24"/>
          <w:lang w:eastAsia="en-GB"/>
        </w:rPr>
        <w:t xml:space="preserve">, </w:t>
      </w:r>
      <w:r w:rsidR="00EF3807" w:rsidRPr="00820F66">
        <w:rPr>
          <w:rFonts w:eastAsia="Times New Roman" w:cs="Times New Roman"/>
          <w:color w:val="3E3D40"/>
          <w:szCs w:val="24"/>
          <w:lang w:eastAsia="en-GB"/>
        </w:rPr>
        <w:t>where</w:t>
      </w:r>
      <w:r w:rsidR="005E0D1A" w:rsidRPr="008068CD">
        <w:rPr>
          <w:rFonts w:eastAsia="Times New Roman" w:cs="Times New Roman"/>
          <w:color w:val="3E3D40"/>
          <w:szCs w:val="24"/>
          <w:lang w:eastAsia="en-GB"/>
        </w:rPr>
        <w:t xml:space="preserve"> </w:t>
      </w:r>
      <w:r w:rsidRPr="00820F66">
        <w:rPr>
          <w:rFonts w:eastAsia="Times New Roman" w:cs="Times New Roman"/>
          <w:color w:val="3E3D40"/>
          <w:szCs w:val="24"/>
          <w:lang w:eastAsia="en-GB"/>
        </w:rPr>
        <w:t>I subsequently felt this experience was an example of effective SDM. The first encounter occurred at the beginning of my mental health journey, long before there were any guidelines on SDM. I would not have considered myself an expert-by-experience at the time of the first encounter</w:t>
      </w:r>
      <w:r w:rsidR="00EB532B" w:rsidRPr="008068CD">
        <w:rPr>
          <w:rFonts w:eastAsia="Times New Roman" w:cs="Times New Roman"/>
          <w:color w:val="3E3D40"/>
          <w:szCs w:val="24"/>
          <w:lang w:eastAsia="en-GB"/>
        </w:rPr>
        <w:t>; I had no comprehension of what mental illness symptoms were and had not heard</w:t>
      </w:r>
      <w:r w:rsidR="00EB532B" w:rsidRPr="00DB097F">
        <w:rPr>
          <w:rFonts w:eastAsia="Times New Roman" w:cs="Times New Roman"/>
          <w:color w:val="3E3D40"/>
          <w:szCs w:val="24"/>
          <w:lang w:eastAsia="en-GB"/>
        </w:rPr>
        <w:t xml:space="preserve"> of the terminology of psychosis</w:t>
      </w:r>
      <w:r w:rsidR="00F46853" w:rsidRPr="00DB097F">
        <w:rPr>
          <w:rFonts w:eastAsia="Times New Roman" w:cs="Times New Roman"/>
          <w:color w:val="3E3D40"/>
          <w:szCs w:val="24"/>
          <w:lang w:eastAsia="en-GB"/>
        </w:rPr>
        <w:t xml:space="preserve">.  </w:t>
      </w:r>
      <w:r w:rsidR="00EB532B" w:rsidRPr="00DB097F">
        <w:rPr>
          <w:rFonts w:eastAsia="Times New Roman" w:cs="Times New Roman"/>
          <w:color w:val="3E3D40"/>
          <w:szCs w:val="24"/>
          <w:lang w:eastAsia="en-GB"/>
        </w:rPr>
        <w:t>I</w:t>
      </w:r>
      <w:r w:rsidRPr="00820F66">
        <w:rPr>
          <w:rFonts w:eastAsia="Times New Roman" w:cs="Times New Roman"/>
          <w:color w:val="3E3D40"/>
          <w:szCs w:val="24"/>
          <w:lang w:eastAsia="en-GB"/>
        </w:rPr>
        <w:t>n the second encounter, initiated by myself, I had decades of first-hand experience with mental health practice</w:t>
      </w:r>
      <w:r w:rsidR="00F46853" w:rsidRPr="008068CD">
        <w:rPr>
          <w:rFonts w:eastAsia="Times New Roman" w:cs="Times New Roman"/>
          <w:color w:val="3E3D40"/>
          <w:szCs w:val="24"/>
          <w:lang w:eastAsia="en-GB"/>
        </w:rPr>
        <w:t>,</w:t>
      </w:r>
      <w:r w:rsidRPr="00820F66">
        <w:rPr>
          <w:rFonts w:eastAsia="Times New Roman" w:cs="Times New Roman"/>
          <w:color w:val="3E3D40"/>
          <w:szCs w:val="24"/>
          <w:lang w:eastAsia="en-GB"/>
        </w:rPr>
        <w:t xml:space="preserve"> and was informed about the side effects of the various suitable medications for </w:t>
      </w:r>
      <w:r w:rsidR="00F46853" w:rsidRPr="008068CD">
        <w:rPr>
          <w:rFonts w:eastAsia="Times New Roman" w:cs="Times New Roman"/>
          <w:color w:val="3E3D40"/>
          <w:szCs w:val="24"/>
          <w:lang w:eastAsia="en-GB"/>
        </w:rPr>
        <w:t>my</w:t>
      </w:r>
      <w:r w:rsidRPr="00820F66">
        <w:rPr>
          <w:rFonts w:eastAsia="Times New Roman" w:cs="Times New Roman"/>
          <w:color w:val="3E3D40"/>
          <w:szCs w:val="24"/>
          <w:lang w:eastAsia="en-GB"/>
        </w:rPr>
        <w:t xml:space="preserve"> condition, </w:t>
      </w:r>
      <w:r w:rsidR="00EF3807" w:rsidRPr="00820F66">
        <w:rPr>
          <w:rFonts w:eastAsia="Times New Roman" w:cs="Times New Roman"/>
          <w:color w:val="3E3D40"/>
          <w:szCs w:val="24"/>
          <w:lang w:eastAsia="en-GB"/>
        </w:rPr>
        <w:t>hence</w:t>
      </w:r>
      <w:r w:rsidR="00EB532B" w:rsidRPr="008068CD">
        <w:rPr>
          <w:rFonts w:eastAsia="Times New Roman" w:cs="Times New Roman"/>
          <w:color w:val="3E3D40"/>
          <w:szCs w:val="24"/>
          <w:lang w:eastAsia="en-GB"/>
        </w:rPr>
        <w:t xml:space="preserve"> at that point, considered myself as </w:t>
      </w:r>
      <w:r w:rsidRPr="00820F66">
        <w:rPr>
          <w:rFonts w:eastAsia="Times New Roman" w:cs="Times New Roman"/>
          <w:color w:val="3E3D40"/>
          <w:szCs w:val="24"/>
          <w:lang w:eastAsia="en-GB"/>
        </w:rPr>
        <w:t xml:space="preserve">an expert-by-experience. In the first encounter, the psychiatrist </w:t>
      </w:r>
      <w:r w:rsidR="004A3474" w:rsidRPr="008068CD">
        <w:rPr>
          <w:rFonts w:eastAsia="Times New Roman" w:cs="Times New Roman"/>
          <w:color w:val="3E3D40"/>
          <w:szCs w:val="24"/>
          <w:lang w:eastAsia="en-GB"/>
        </w:rPr>
        <w:t>didn’t</w:t>
      </w:r>
      <w:r w:rsidR="00B6287E" w:rsidRPr="008068CD">
        <w:rPr>
          <w:rFonts w:eastAsia="Times New Roman" w:cs="Times New Roman"/>
          <w:color w:val="3E3D40"/>
          <w:szCs w:val="24"/>
          <w:lang w:eastAsia="en-GB"/>
        </w:rPr>
        <w:t xml:space="preserve"> kn</w:t>
      </w:r>
      <w:r w:rsidR="00E0718B" w:rsidRPr="008068CD">
        <w:rPr>
          <w:rFonts w:eastAsia="Times New Roman" w:cs="Times New Roman"/>
          <w:color w:val="3E3D40"/>
          <w:szCs w:val="24"/>
          <w:lang w:eastAsia="en-GB"/>
        </w:rPr>
        <w:t>o</w:t>
      </w:r>
      <w:r w:rsidR="00B6287E" w:rsidRPr="008068CD">
        <w:rPr>
          <w:rFonts w:eastAsia="Times New Roman" w:cs="Times New Roman"/>
          <w:color w:val="3E3D40"/>
          <w:szCs w:val="24"/>
          <w:lang w:eastAsia="en-GB"/>
        </w:rPr>
        <w:t>w</w:t>
      </w:r>
      <w:r w:rsidRPr="00820F66">
        <w:rPr>
          <w:rFonts w:eastAsia="Times New Roman" w:cs="Times New Roman"/>
          <w:color w:val="3E3D40"/>
          <w:szCs w:val="24"/>
          <w:lang w:eastAsia="en-GB"/>
        </w:rPr>
        <w:t xml:space="preserve"> me, nor was I able to understand my condition or to understand what was happening to me.  I remember little being discussed with me about psychosis or little information provided to me. This </w:t>
      </w:r>
      <w:r w:rsidR="00EB532B" w:rsidRPr="008068CD">
        <w:rPr>
          <w:rFonts w:eastAsia="Times New Roman" w:cs="Times New Roman"/>
          <w:color w:val="3E3D40"/>
          <w:szCs w:val="24"/>
          <w:lang w:eastAsia="en-GB"/>
        </w:rPr>
        <w:t xml:space="preserve">was </w:t>
      </w:r>
      <w:r w:rsidRPr="00820F66">
        <w:rPr>
          <w:rFonts w:eastAsia="Times New Roman" w:cs="Times New Roman"/>
          <w:color w:val="3E3D40"/>
          <w:szCs w:val="24"/>
          <w:lang w:eastAsia="en-GB"/>
        </w:rPr>
        <w:t xml:space="preserve">a barrier to SDM in its simplest format.  </w:t>
      </w:r>
    </w:p>
    <w:p w14:paraId="122CB8BB" w14:textId="77777777" w:rsidR="00F46853" w:rsidRPr="00DB097F" w:rsidRDefault="00F46853" w:rsidP="00A448C9">
      <w:pPr>
        <w:autoSpaceDE w:val="0"/>
        <w:autoSpaceDN w:val="0"/>
        <w:adjustRightInd w:val="0"/>
        <w:spacing w:after="0"/>
        <w:rPr>
          <w:rFonts w:eastAsia="Times New Roman" w:cs="Times New Roman"/>
          <w:color w:val="3E3D40"/>
          <w:szCs w:val="24"/>
          <w:lang w:eastAsia="en-GB"/>
        </w:rPr>
      </w:pPr>
    </w:p>
    <w:p w14:paraId="6F52DBD1" w14:textId="5176D010" w:rsidR="00A448C9" w:rsidRPr="00DB097F" w:rsidRDefault="00F46853" w:rsidP="00A448C9">
      <w:pPr>
        <w:autoSpaceDE w:val="0"/>
        <w:autoSpaceDN w:val="0"/>
        <w:adjustRightInd w:val="0"/>
        <w:spacing w:after="0"/>
        <w:rPr>
          <w:rFonts w:cs="Times New Roman"/>
          <w:szCs w:val="24"/>
        </w:rPr>
      </w:pPr>
      <w:r w:rsidRPr="00DB097F">
        <w:rPr>
          <w:rFonts w:cs="Times New Roman"/>
          <w:szCs w:val="24"/>
        </w:rPr>
        <w:t xml:space="preserve">These two accounts demonstrate how decisions are made in mental health care based on different kinds of expertise: the former presents an episode of an uninformed and under-involved patient, subjected to the power of the professionals, having decisions made for her; whilst the latter episode exemplifies an interaction of shared power as decisions are made based on both experiential and clinical wisdom.  This second example reflects a process </w:t>
      </w:r>
      <w:r w:rsidR="00BF1F8B" w:rsidRPr="00DB097F">
        <w:rPr>
          <w:rFonts w:cs="Times New Roman"/>
          <w:szCs w:val="24"/>
        </w:rPr>
        <w:t xml:space="preserve">of </w:t>
      </w:r>
      <w:r w:rsidRPr="00DB097F">
        <w:rPr>
          <w:rFonts w:cs="Times New Roman"/>
          <w:szCs w:val="24"/>
        </w:rPr>
        <w:t xml:space="preserve">SDM, because at its </w:t>
      </w:r>
      <w:r w:rsidRPr="00820F66">
        <w:rPr>
          <w:rFonts w:cs="Times New Roman"/>
          <w:szCs w:val="24"/>
        </w:rPr>
        <w:t>c</w:t>
      </w:r>
      <w:r w:rsidR="00EF3807" w:rsidRPr="00820F66">
        <w:rPr>
          <w:rFonts w:cs="Times New Roman"/>
          <w:szCs w:val="24"/>
        </w:rPr>
        <w:t>ore</w:t>
      </w:r>
      <w:r w:rsidRPr="008068CD">
        <w:rPr>
          <w:rFonts w:cs="Times New Roman"/>
          <w:szCs w:val="24"/>
        </w:rPr>
        <w:t xml:space="preserve"> is a shared agreement and shared enter</w:t>
      </w:r>
      <w:r w:rsidRPr="00DB097F">
        <w:rPr>
          <w:rFonts w:cs="Times New Roman"/>
          <w:szCs w:val="24"/>
        </w:rPr>
        <w:t>prise between the service user and the professional to share risk (6).  This requires the practitioner to give up some of their power and enter a more equal relationship with the service user and be open to the service user perspective (1</w:t>
      </w:r>
      <w:r w:rsidR="0054732B" w:rsidRPr="00DB097F">
        <w:rPr>
          <w:rFonts w:cs="Times New Roman"/>
          <w:szCs w:val="24"/>
        </w:rPr>
        <w:t>8</w:t>
      </w:r>
      <w:r w:rsidRPr="00DB097F">
        <w:rPr>
          <w:rFonts w:cs="Times New Roman"/>
          <w:szCs w:val="24"/>
        </w:rPr>
        <w:t xml:space="preserve">).  </w:t>
      </w:r>
      <w:r w:rsidR="002A22DA" w:rsidRPr="00DB097F">
        <w:rPr>
          <w:rFonts w:cs="Times New Roman"/>
          <w:szCs w:val="24"/>
        </w:rPr>
        <w:t>M</w:t>
      </w:r>
      <w:r w:rsidR="00A448C9" w:rsidRPr="00DB097F">
        <w:rPr>
          <w:rFonts w:cs="Times New Roman"/>
          <w:szCs w:val="24"/>
        </w:rPr>
        <w:t xml:space="preserve">y experiences of recent care have </w:t>
      </w:r>
      <w:r w:rsidR="00A448C9" w:rsidRPr="00DB097F">
        <w:rPr>
          <w:rFonts w:cs="Times New Roman"/>
          <w:szCs w:val="24"/>
        </w:rPr>
        <w:lastRenderedPageBreak/>
        <w:t>been underpinned by my expertise-by-experience and based on my own expert knowledge of my condition</w:t>
      </w:r>
      <w:r w:rsidR="00075BA8" w:rsidRPr="00DB097F">
        <w:rPr>
          <w:rFonts w:cs="Times New Roman"/>
          <w:szCs w:val="24"/>
        </w:rPr>
        <w:t>.</w:t>
      </w:r>
    </w:p>
    <w:p w14:paraId="58C7D211" w14:textId="77777777" w:rsidR="00A448C9" w:rsidRPr="00DB097F" w:rsidRDefault="00A448C9" w:rsidP="00A448C9">
      <w:pPr>
        <w:autoSpaceDE w:val="0"/>
        <w:autoSpaceDN w:val="0"/>
        <w:adjustRightInd w:val="0"/>
        <w:spacing w:after="0"/>
        <w:rPr>
          <w:rFonts w:cs="Times New Roman"/>
          <w:szCs w:val="24"/>
        </w:rPr>
      </w:pPr>
    </w:p>
    <w:p w14:paraId="04D2BACF" w14:textId="4CC41502" w:rsidR="00A448C9" w:rsidRPr="00DB097F" w:rsidRDefault="00A448C9" w:rsidP="00A448C9">
      <w:pPr>
        <w:rPr>
          <w:rFonts w:cs="Times New Roman"/>
          <w:szCs w:val="24"/>
        </w:rPr>
      </w:pPr>
      <w:r w:rsidRPr="00DB097F">
        <w:rPr>
          <w:rFonts w:cs="Times New Roman"/>
          <w:szCs w:val="24"/>
        </w:rPr>
        <w:t>To promote SDM, in my experience, effective communication is central to interactions between the service user and the professional (1</w:t>
      </w:r>
      <w:r w:rsidR="0054732B" w:rsidRPr="00DB097F">
        <w:rPr>
          <w:rFonts w:cs="Times New Roman"/>
          <w:szCs w:val="24"/>
        </w:rPr>
        <w:t>9</w:t>
      </w:r>
      <w:r w:rsidRPr="00DB097F">
        <w:rPr>
          <w:rFonts w:cs="Times New Roman"/>
          <w:szCs w:val="24"/>
        </w:rPr>
        <w:t xml:space="preserve">).  Three elements </w:t>
      </w:r>
      <w:r w:rsidR="00FD2AF8" w:rsidRPr="00DB097F">
        <w:rPr>
          <w:rFonts w:cs="Times New Roman"/>
          <w:szCs w:val="24"/>
        </w:rPr>
        <w:t>have been</w:t>
      </w:r>
      <w:r w:rsidRPr="00DB097F">
        <w:rPr>
          <w:rFonts w:cs="Times New Roman"/>
          <w:szCs w:val="24"/>
        </w:rPr>
        <w:t xml:space="preserve"> identified as key to effective SDM (</w:t>
      </w:r>
      <w:r w:rsidR="0054732B" w:rsidRPr="00DB097F">
        <w:rPr>
          <w:rFonts w:cs="Times New Roman"/>
          <w:szCs w:val="24"/>
        </w:rPr>
        <w:t>30</w:t>
      </w:r>
      <w:r w:rsidRPr="00DB097F">
        <w:rPr>
          <w:rFonts w:cs="Times New Roman"/>
          <w:szCs w:val="24"/>
        </w:rPr>
        <w:t>): knowing the client; awareness of the practitioner; and the therapeutic relationship.  The client need</w:t>
      </w:r>
      <w:r w:rsidR="00FD2AF8" w:rsidRPr="00DB097F">
        <w:rPr>
          <w:rFonts w:cs="Times New Roman"/>
          <w:szCs w:val="24"/>
        </w:rPr>
        <w:t>s</w:t>
      </w:r>
      <w:r w:rsidRPr="00DB097F">
        <w:rPr>
          <w:rFonts w:cs="Times New Roman"/>
          <w:szCs w:val="24"/>
        </w:rPr>
        <w:t xml:space="preserve"> to want to be involved in SDM and be trained how to engage in it, and the professional </w:t>
      </w:r>
      <w:r w:rsidR="008C3DB6" w:rsidRPr="00DB097F">
        <w:rPr>
          <w:rFonts w:cs="Times New Roman"/>
          <w:szCs w:val="24"/>
        </w:rPr>
        <w:t>should</w:t>
      </w:r>
      <w:r w:rsidRPr="00DB097F">
        <w:rPr>
          <w:rFonts w:cs="Times New Roman"/>
          <w:szCs w:val="24"/>
        </w:rPr>
        <w:t xml:space="preserve"> be aware of SDM techniques and </w:t>
      </w:r>
      <w:r w:rsidR="00FD2AF8" w:rsidRPr="00DB097F">
        <w:rPr>
          <w:rFonts w:cs="Times New Roman"/>
          <w:szCs w:val="24"/>
        </w:rPr>
        <w:t xml:space="preserve">should </w:t>
      </w:r>
      <w:r w:rsidRPr="00DB097F">
        <w:rPr>
          <w:rFonts w:cs="Times New Roman"/>
          <w:szCs w:val="24"/>
        </w:rPr>
        <w:t xml:space="preserve">place the therapeutic alliance with the patient at the </w:t>
      </w:r>
      <w:proofErr w:type="spellStart"/>
      <w:r w:rsidRPr="00DB097F">
        <w:rPr>
          <w:rFonts w:cs="Times New Roman"/>
          <w:szCs w:val="24"/>
        </w:rPr>
        <w:t>centre</w:t>
      </w:r>
      <w:proofErr w:type="spellEnd"/>
      <w:r w:rsidRPr="00DB097F">
        <w:rPr>
          <w:rFonts w:cs="Times New Roman"/>
          <w:szCs w:val="24"/>
        </w:rPr>
        <w:t xml:space="preserve"> of the interaction</w:t>
      </w:r>
      <w:r w:rsidR="006C2EFF" w:rsidRPr="008068CD">
        <w:rPr>
          <w:rFonts w:cs="Times New Roman"/>
          <w:szCs w:val="24"/>
        </w:rPr>
        <w:t xml:space="preserve">, offering clear information and actively listening to the client’s </w:t>
      </w:r>
      <w:r w:rsidR="00F7735B" w:rsidRPr="008068CD">
        <w:rPr>
          <w:rFonts w:cs="Times New Roman"/>
          <w:szCs w:val="24"/>
        </w:rPr>
        <w:t>viewpoints</w:t>
      </w:r>
      <w:r w:rsidRPr="008068CD">
        <w:rPr>
          <w:rFonts w:cs="Times New Roman"/>
          <w:szCs w:val="24"/>
        </w:rPr>
        <w:t xml:space="preserve">.  In support of this, </w:t>
      </w:r>
      <w:r w:rsidRPr="00DB097F">
        <w:rPr>
          <w:rFonts w:cs="Times New Roman"/>
          <w:szCs w:val="24"/>
        </w:rPr>
        <w:t xml:space="preserve">it </w:t>
      </w:r>
      <w:r w:rsidR="00FD2AF8" w:rsidRPr="00DB097F">
        <w:rPr>
          <w:rFonts w:cs="Times New Roman"/>
          <w:szCs w:val="24"/>
        </w:rPr>
        <w:t>has been</w:t>
      </w:r>
      <w:r w:rsidRPr="00DB097F">
        <w:rPr>
          <w:rFonts w:cs="Times New Roman"/>
          <w:szCs w:val="24"/>
        </w:rPr>
        <w:t xml:space="preserve"> found that establishing effective relationships based on a person-</w:t>
      </w:r>
      <w:proofErr w:type="spellStart"/>
      <w:r w:rsidRPr="00DB097F">
        <w:rPr>
          <w:rFonts w:cs="Times New Roman"/>
          <w:szCs w:val="24"/>
        </w:rPr>
        <w:t>centred</w:t>
      </w:r>
      <w:proofErr w:type="spellEnd"/>
      <w:r w:rsidRPr="00DB097F">
        <w:rPr>
          <w:rFonts w:cs="Times New Roman"/>
          <w:szCs w:val="24"/>
        </w:rPr>
        <w:t xml:space="preserve"> and user participation model </w:t>
      </w:r>
      <w:r w:rsidR="00FD2AF8" w:rsidRPr="00DB097F">
        <w:rPr>
          <w:rFonts w:cs="Times New Roman"/>
          <w:szCs w:val="24"/>
        </w:rPr>
        <w:t>are</w:t>
      </w:r>
      <w:r w:rsidRPr="00DB097F">
        <w:rPr>
          <w:rFonts w:cs="Times New Roman"/>
          <w:szCs w:val="24"/>
        </w:rPr>
        <w:t xml:space="preserve"> more important in decision-making than following an established pathway with little consultation (</w:t>
      </w:r>
      <w:r w:rsidR="00231C0E" w:rsidRPr="00DB097F">
        <w:rPr>
          <w:rFonts w:cs="Times New Roman"/>
          <w:szCs w:val="24"/>
        </w:rPr>
        <w:t>31</w:t>
      </w:r>
      <w:r w:rsidRPr="00DB097F">
        <w:rPr>
          <w:rFonts w:cs="Times New Roman"/>
          <w:szCs w:val="24"/>
        </w:rPr>
        <w:t>)</w:t>
      </w:r>
      <w:r w:rsidR="00E0718B" w:rsidRPr="00DB097F">
        <w:rPr>
          <w:rFonts w:cs="Times New Roman"/>
          <w:szCs w:val="24"/>
        </w:rPr>
        <w:t xml:space="preserve">.  </w:t>
      </w:r>
      <w:r w:rsidRPr="00DB097F">
        <w:rPr>
          <w:rFonts w:cs="Times New Roman"/>
          <w:szCs w:val="24"/>
        </w:rPr>
        <w:t xml:space="preserve">Additionally, the three-talk model of SDM (9) highlights the need for active listening between the parties leading to discussion of possible options for the service user to make when facing a decision.  </w:t>
      </w:r>
    </w:p>
    <w:p w14:paraId="23554881" w14:textId="77777777" w:rsidR="00A448C9" w:rsidRPr="00DB097F" w:rsidRDefault="00A448C9" w:rsidP="00A448C9">
      <w:pPr>
        <w:rPr>
          <w:rFonts w:cs="Times New Roman"/>
          <w:szCs w:val="24"/>
        </w:rPr>
      </w:pPr>
    </w:p>
    <w:p w14:paraId="77D22789" w14:textId="18086B95" w:rsidR="00B70C6F" w:rsidRPr="00DB097F" w:rsidRDefault="00A448C9" w:rsidP="00F9635E">
      <w:pPr>
        <w:rPr>
          <w:rFonts w:cs="Times New Roman"/>
          <w:szCs w:val="24"/>
        </w:rPr>
      </w:pPr>
      <w:r w:rsidRPr="00DB097F">
        <w:rPr>
          <w:rFonts w:cs="Times New Roman"/>
          <w:szCs w:val="24"/>
        </w:rPr>
        <w:t>From my accounts, these elements are essential to effective SDM.  Responding to my needs, clarifying information, and respecting my expertise are key to informed decision-making.  Although in the first episode of psychosis I was so overwhelmed by the distressing experiences, that I was less able to be involved in making shared</w:t>
      </w:r>
      <w:r w:rsidR="002A22DA" w:rsidRPr="00DB097F">
        <w:rPr>
          <w:rFonts w:cs="Times New Roman"/>
          <w:szCs w:val="24"/>
        </w:rPr>
        <w:t xml:space="preserve"> </w:t>
      </w:r>
      <w:r w:rsidRPr="00DB097F">
        <w:rPr>
          <w:rFonts w:cs="Times New Roman"/>
          <w:szCs w:val="24"/>
        </w:rPr>
        <w:t>choices about my care, but this does not mean that I was too unwell to have care processes explained to me</w:t>
      </w:r>
      <w:r w:rsidR="00EF3807" w:rsidRPr="00DB097F">
        <w:rPr>
          <w:rFonts w:cs="Times New Roman"/>
          <w:szCs w:val="24"/>
        </w:rPr>
        <w:t xml:space="preserve"> </w:t>
      </w:r>
      <w:r w:rsidR="00EF3807" w:rsidRPr="00820F66">
        <w:rPr>
          <w:rFonts w:cs="Times New Roman"/>
          <w:szCs w:val="24"/>
        </w:rPr>
        <w:t>and understood by me</w:t>
      </w:r>
      <w:r w:rsidR="00792002" w:rsidRPr="008068CD">
        <w:rPr>
          <w:rFonts w:cs="Times New Roman"/>
          <w:szCs w:val="24"/>
        </w:rPr>
        <w:t>.  Despite the experiences I had, t</w:t>
      </w:r>
      <w:r w:rsidR="00C32E45" w:rsidRPr="008068CD">
        <w:rPr>
          <w:rFonts w:cs="Times New Roman"/>
          <w:szCs w:val="24"/>
        </w:rPr>
        <w:t xml:space="preserve">here are </w:t>
      </w:r>
      <w:r w:rsidR="00792002" w:rsidRPr="008068CD">
        <w:rPr>
          <w:rFonts w:cs="Times New Roman"/>
          <w:szCs w:val="24"/>
        </w:rPr>
        <w:t xml:space="preserve">many </w:t>
      </w:r>
      <w:r w:rsidR="00C32E45" w:rsidRPr="008068CD">
        <w:rPr>
          <w:rFonts w:cs="Times New Roman"/>
          <w:szCs w:val="24"/>
        </w:rPr>
        <w:t xml:space="preserve">enablers and barriers </w:t>
      </w:r>
      <w:r w:rsidR="00792002" w:rsidRPr="00DB097F">
        <w:rPr>
          <w:rFonts w:cs="Times New Roman"/>
          <w:szCs w:val="24"/>
        </w:rPr>
        <w:t xml:space="preserve">which both promote and obstruct the </w:t>
      </w:r>
      <w:r w:rsidR="00C32E45" w:rsidRPr="00DB097F">
        <w:rPr>
          <w:rFonts w:cs="Times New Roman"/>
          <w:szCs w:val="24"/>
        </w:rPr>
        <w:t>implementation of SDM</w:t>
      </w:r>
      <w:r w:rsidR="00792002" w:rsidRPr="00DB097F">
        <w:rPr>
          <w:rFonts w:cs="Times New Roman"/>
          <w:szCs w:val="24"/>
        </w:rPr>
        <w:t xml:space="preserve">; these issues are further highlighted in the next part of the discussion.  </w:t>
      </w:r>
    </w:p>
    <w:p w14:paraId="7FF996E3" w14:textId="256285E1" w:rsidR="00B13007" w:rsidRPr="00DB097F" w:rsidRDefault="00B13007" w:rsidP="00F9635E">
      <w:pPr>
        <w:rPr>
          <w:rFonts w:cs="Times New Roman"/>
          <w:szCs w:val="24"/>
        </w:rPr>
      </w:pPr>
    </w:p>
    <w:p w14:paraId="62A46CC4" w14:textId="1613EEC6" w:rsidR="00B13007" w:rsidRPr="008068CD" w:rsidRDefault="00B13007" w:rsidP="00B13007">
      <w:pPr>
        <w:rPr>
          <w:rFonts w:eastAsia="Times New Roman" w:cs="Times New Roman"/>
          <w:color w:val="3E3D40"/>
          <w:szCs w:val="24"/>
          <w:lang w:eastAsia="en-GB"/>
        </w:rPr>
      </w:pPr>
      <w:r w:rsidRPr="00DB097F">
        <w:rPr>
          <w:rFonts w:cs="Times New Roman"/>
          <w:szCs w:val="24"/>
        </w:rPr>
        <w:t xml:space="preserve">Clinicians may be more likely to implement SDM in certain circumstances such as </w:t>
      </w:r>
      <w:r w:rsidRPr="00DB097F">
        <w:rPr>
          <w:rFonts w:eastAsia="Times New Roman" w:cs="Times New Roman"/>
          <w:color w:val="3E3D40"/>
          <w:szCs w:val="24"/>
          <w:lang w:eastAsia="en-GB"/>
        </w:rPr>
        <w:t>when encounters are initiated by the service user (2</w:t>
      </w:r>
      <w:r w:rsidR="00EB5EEA" w:rsidRPr="00DB097F">
        <w:rPr>
          <w:rFonts w:eastAsia="Times New Roman" w:cs="Times New Roman"/>
          <w:color w:val="3E3D40"/>
          <w:szCs w:val="24"/>
          <w:lang w:eastAsia="en-GB"/>
        </w:rPr>
        <w:t>9</w:t>
      </w:r>
      <w:r w:rsidRPr="00DB097F">
        <w:rPr>
          <w:rFonts w:eastAsia="Times New Roman" w:cs="Times New Roman"/>
          <w:color w:val="3E3D40"/>
          <w:szCs w:val="24"/>
          <w:lang w:eastAsia="en-GB"/>
        </w:rPr>
        <w:t>). Moreover, service users who participate positively in SDM and who do not dispute their diagnosis, do not reject relevant clinical facts about their diagnosis or treatment, and are not experiencing negative emotional symptoms may be more likely to be invited by clinicians to share in decision-making about their care (2</w:t>
      </w:r>
      <w:r w:rsidR="00231C0E" w:rsidRPr="00DB097F">
        <w:rPr>
          <w:rFonts w:eastAsia="Times New Roman" w:cs="Times New Roman"/>
          <w:color w:val="3E3D40"/>
          <w:szCs w:val="24"/>
          <w:lang w:eastAsia="en-GB"/>
        </w:rPr>
        <w:t>5</w:t>
      </w:r>
      <w:r w:rsidRPr="00DB097F">
        <w:rPr>
          <w:rFonts w:eastAsia="Times New Roman" w:cs="Times New Roman"/>
          <w:color w:val="3E3D40"/>
          <w:szCs w:val="24"/>
          <w:lang w:eastAsia="en-GB"/>
        </w:rPr>
        <w:t>,2</w:t>
      </w:r>
      <w:r w:rsidR="00231C0E" w:rsidRPr="00DB097F">
        <w:rPr>
          <w:rFonts w:eastAsia="Times New Roman" w:cs="Times New Roman"/>
          <w:color w:val="3E3D40"/>
          <w:szCs w:val="24"/>
          <w:lang w:eastAsia="en-GB"/>
        </w:rPr>
        <w:t>9</w:t>
      </w:r>
      <w:r w:rsidRPr="00DB097F">
        <w:rPr>
          <w:rFonts w:eastAsia="Times New Roman" w:cs="Times New Roman"/>
          <w:color w:val="3E3D40"/>
          <w:szCs w:val="24"/>
          <w:lang w:eastAsia="en-GB"/>
        </w:rPr>
        <w:t xml:space="preserve">). Additionally, when a service user has capacity, a clinician can facilitate current and future SDM by recording the service user’s preferences, values, and health experiences (e.g., </w:t>
      </w:r>
      <w:proofErr w:type="spellStart"/>
      <w:r w:rsidRPr="00DB097F">
        <w:rPr>
          <w:rFonts w:eastAsia="Times New Roman" w:cs="Times New Roman"/>
          <w:color w:val="3E3D40"/>
          <w:szCs w:val="24"/>
          <w:lang w:eastAsia="en-GB"/>
        </w:rPr>
        <w:t>hospitalisations</w:t>
      </w:r>
      <w:proofErr w:type="spellEnd"/>
      <w:r w:rsidRPr="00DB097F">
        <w:rPr>
          <w:rFonts w:eastAsia="Times New Roman" w:cs="Times New Roman"/>
          <w:color w:val="3E3D40"/>
          <w:szCs w:val="24"/>
          <w:lang w:eastAsia="en-GB"/>
        </w:rPr>
        <w:t xml:space="preserve"> and treatments) (6). By using SDM, professionals could help service users to clarify their preferred care plan for future care during acute episodes</w:t>
      </w:r>
      <w:r w:rsidRPr="008068CD">
        <w:rPr>
          <w:rFonts w:eastAsia="Times New Roman" w:cs="Times New Roman"/>
          <w:b/>
          <w:bCs/>
          <w:color w:val="3E3D40"/>
          <w:szCs w:val="24"/>
          <w:lang w:eastAsia="en-GB"/>
        </w:rPr>
        <w:t xml:space="preserve">. </w:t>
      </w:r>
      <w:r w:rsidR="006F12F9" w:rsidRPr="00820F66">
        <w:rPr>
          <w:rFonts w:eastAsia="Times New Roman" w:cs="Times New Roman"/>
          <w:color w:val="3E3D40"/>
          <w:szCs w:val="24"/>
          <w:lang w:eastAsia="en-GB"/>
        </w:rPr>
        <w:t xml:space="preserve">In parallel, professionals can learn from service users not only what their preferences are, but also the underlying reasons for these </w:t>
      </w:r>
      <w:proofErr w:type="gramStart"/>
      <w:r w:rsidR="006F12F9" w:rsidRPr="00820F66">
        <w:rPr>
          <w:rFonts w:eastAsia="Times New Roman" w:cs="Times New Roman"/>
          <w:color w:val="3E3D40"/>
          <w:szCs w:val="24"/>
          <w:lang w:eastAsia="en-GB"/>
        </w:rPr>
        <w:t>choices</w:t>
      </w:r>
      <w:r w:rsidR="001910AB" w:rsidRPr="008068CD">
        <w:rPr>
          <w:rFonts w:eastAsia="Times New Roman" w:cs="Times New Roman"/>
          <w:color w:val="3E3D40"/>
          <w:szCs w:val="24"/>
          <w:lang w:eastAsia="en-GB"/>
        </w:rPr>
        <w:t>;</w:t>
      </w:r>
      <w:proofErr w:type="gramEnd"/>
      <w:r w:rsidR="001910AB" w:rsidRPr="008068CD">
        <w:rPr>
          <w:rFonts w:eastAsia="Times New Roman" w:cs="Times New Roman"/>
          <w:color w:val="3E3D40"/>
          <w:szCs w:val="24"/>
          <w:lang w:eastAsia="en-GB"/>
        </w:rPr>
        <w:t xml:space="preserve"> learn</w:t>
      </w:r>
      <w:r w:rsidR="006D7126" w:rsidRPr="008068CD">
        <w:rPr>
          <w:rFonts w:eastAsia="Times New Roman" w:cs="Times New Roman"/>
          <w:color w:val="3E3D40"/>
          <w:szCs w:val="24"/>
          <w:lang w:eastAsia="en-GB"/>
        </w:rPr>
        <w:t>ing</w:t>
      </w:r>
      <w:r w:rsidR="001910AB" w:rsidRPr="008068CD">
        <w:rPr>
          <w:rFonts w:eastAsia="Times New Roman" w:cs="Times New Roman"/>
          <w:color w:val="3E3D40"/>
          <w:szCs w:val="24"/>
          <w:lang w:eastAsia="en-GB"/>
        </w:rPr>
        <w:t xml:space="preserve"> effectively from the</w:t>
      </w:r>
      <w:r w:rsidR="006D7126" w:rsidRPr="008068CD">
        <w:rPr>
          <w:rFonts w:eastAsia="Times New Roman" w:cs="Times New Roman"/>
          <w:color w:val="3E3D40"/>
          <w:szCs w:val="24"/>
          <w:lang w:eastAsia="en-GB"/>
        </w:rPr>
        <w:t>ir expressed options.</w:t>
      </w:r>
      <w:r w:rsidRPr="008068CD">
        <w:rPr>
          <w:rFonts w:eastAsia="Times New Roman" w:cs="Times New Roman"/>
          <w:color w:val="3E3D40"/>
          <w:szCs w:val="24"/>
          <w:lang w:eastAsia="en-GB"/>
        </w:rPr>
        <w:t xml:space="preserve"> </w:t>
      </w:r>
    </w:p>
    <w:p w14:paraId="5D0EA993" w14:textId="77777777" w:rsidR="00B70C6F" w:rsidRPr="008068CD" w:rsidRDefault="00B70C6F" w:rsidP="00F9635E">
      <w:pPr>
        <w:rPr>
          <w:rFonts w:cs="Times New Roman"/>
          <w:szCs w:val="24"/>
        </w:rPr>
      </w:pPr>
    </w:p>
    <w:p w14:paraId="1AC1D6C3" w14:textId="631BB3F8" w:rsidR="00792002" w:rsidRPr="00DB097F" w:rsidRDefault="00E0718B" w:rsidP="00F9635E">
      <w:pPr>
        <w:rPr>
          <w:rFonts w:eastAsia="Times New Roman" w:cs="Times New Roman"/>
          <w:color w:val="3E3D40"/>
          <w:szCs w:val="24"/>
          <w:lang w:eastAsia="en-GB"/>
        </w:rPr>
      </w:pPr>
      <w:r w:rsidRPr="008068CD">
        <w:rPr>
          <w:rFonts w:cs="Times New Roman"/>
          <w:szCs w:val="24"/>
        </w:rPr>
        <w:t>However, a service user’s perceived lack of insight into their mental health condition (10) and safe-guarding concerns about their situation may be a barrier to professionals’ willingness to implement SDM (1</w:t>
      </w:r>
      <w:r w:rsidR="007861B8" w:rsidRPr="008068CD">
        <w:rPr>
          <w:rFonts w:cs="Times New Roman"/>
          <w:szCs w:val="24"/>
        </w:rPr>
        <w:t>8</w:t>
      </w:r>
      <w:r w:rsidRPr="008068CD">
        <w:rPr>
          <w:rFonts w:cs="Times New Roman"/>
          <w:szCs w:val="24"/>
        </w:rPr>
        <w:t xml:space="preserve">) because </w:t>
      </w:r>
      <w:r w:rsidR="002134E1" w:rsidRPr="008068CD">
        <w:rPr>
          <w:rFonts w:cs="Times New Roman"/>
          <w:szCs w:val="24"/>
        </w:rPr>
        <w:t xml:space="preserve">risk management </w:t>
      </w:r>
      <w:r w:rsidRPr="008068CD">
        <w:rPr>
          <w:rFonts w:cs="Times New Roman"/>
          <w:szCs w:val="24"/>
        </w:rPr>
        <w:t>is</w:t>
      </w:r>
      <w:r w:rsidR="002134E1" w:rsidRPr="008068CD">
        <w:rPr>
          <w:rFonts w:cs="Times New Roman"/>
          <w:szCs w:val="24"/>
        </w:rPr>
        <w:t xml:space="preserve"> at the </w:t>
      </w:r>
      <w:proofErr w:type="spellStart"/>
      <w:r w:rsidR="002134E1" w:rsidRPr="008068CD">
        <w:rPr>
          <w:rFonts w:cs="Times New Roman"/>
          <w:szCs w:val="24"/>
        </w:rPr>
        <w:t>centre</w:t>
      </w:r>
      <w:proofErr w:type="spellEnd"/>
      <w:r w:rsidR="002134E1" w:rsidRPr="008068CD">
        <w:rPr>
          <w:rFonts w:cs="Times New Roman"/>
          <w:szCs w:val="24"/>
        </w:rPr>
        <w:t xml:space="preserve"> of</w:t>
      </w:r>
      <w:r w:rsidR="002134E1" w:rsidRPr="00DB097F">
        <w:rPr>
          <w:rFonts w:cs="Times New Roman"/>
          <w:szCs w:val="24"/>
        </w:rPr>
        <w:t xml:space="preserve"> mental health practice (1</w:t>
      </w:r>
      <w:r w:rsidR="007861B8" w:rsidRPr="00DB097F">
        <w:rPr>
          <w:rFonts w:cs="Times New Roman"/>
          <w:szCs w:val="24"/>
        </w:rPr>
        <w:t>6</w:t>
      </w:r>
      <w:r w:rsidR="002134E1" w:rsidRPr="00DB097F">
        <w:rPr>
          <w:rFonts w:cs="Times New Roman"/>
          <w:szCs w:val="24"/>
        </w:rPr>
        <w:t>)</w:t>
      </w:r>
      <w:r w:rsidR="00F80332" w:rsidRPr="00DB097F">
        <w:rPr>
          <w:rFonts w:cs="Times New Roman"/>
          <w:szCs w:val="24"/>
        </w:rPr>
        <w:t xml:space="preserve">.  </w:t>
      </w:r>
      <w:r w:rsidRPr="00DB097F">
        <w:rPr>
          <w:rFonts w:cs="Times New Roman"/>
          <w:szCs w:val="24"/>
        </w:rPr>
        <w:t xml:space="preserve">Moreover, challenges to implementing SDM have been identified when clients are in severe mental distress or lack insight (10), as experienced in my </w:t>
      </w:r>
      <w:r w:rsidR="004D23C8" w:rsidRPr="00DB097F">
        <w:rPr>
          <w:rFonts w:cs="Times New Roman"/>
          <w:szCs w:val="24"/>
        </w:rPr>
        <w:t xml:space="preserve">first </w:t>
      </w:r>
      <w:r w:rsidRPr="00DB097F">
        <w:rPr>
          <w:rFonts w:cs="Times New Roman"/>
          <w:szCs w:val="24"/>
        </w:rPr>
        <w:t>situation of acute distress</w:t>
      </w:r>
      <w:r w:rsidRPr="008068CD">
        <w:rPr>
          <w:rFonts w:cs="Times New Roman"/>
          <w:szCs w:val="24"/>
        </w:rPr>
        <w:t xml:space="preserve">.  </w:t>
      </w:r>
      <w:r w:rsidR="00B94B0D" w:rsidRPr="008068CD">
        <w:rPr>
          <w:rFonts w:cs="Times New Roman"/>
          <w:szCs w:val="24"/>
        </w:rPr>
        <w:t>Moreover, p</w:t>
      </w:r>
      <w:r w:rsidR="00F50F65" w:rsidRPr="008068CD">
        <w:rPr>
          <w:rFonts w:cs="Times New Roman"/>
          <w:szCs w:val="24"/>
        </w:rPr>
        <w:t xml:space="preserve">rofessionals sometimes believe that lack of capacity negates the process of SDM as a service user is </w:t>
      </w:r>
      <w:r w:rsidR="00B94B0D" w:rsidRPr="008068CD">
        <w:rPr>
          <w:rFonts w:cs="Times New Roman"/>
          <w:szCs w:val="24"/>
        </w:rPr>
        <w:t>perceived as</w:t>
      </w:r>
      <w:r w:rsidR="00F50F65" w:rsidRPr="008068CD">
        <w:rPr>
          <w:rFonts w:cs="Times New Roman"/>
          <w:szCs w:val="24"/>
        </w:rPr>
        <w:t xml:space="preserve"> unable to participate effectively in decision-making processes</w:t>
      </w:r>
      <w:r w:rsidR="00A4547A" w:rsidRPr="00DB097F">
        <w:rPr>
          <w:rFonts w:cs="Times New Roman"/>
          <w:szCs w:val="24"/>
        </w:rPr>
        <w:t xml:space="preserve"> (1</w:t>
      </w:r>
      <w:r w:rsidR="007861B8" w:rsidRPr="00DB097F">
        <w:rPr>
          <w:rFonts w:cs="Times New Roman"/>
          <w:szCs w:val="24"/>
        </w:rPr>
        <w:t>8</w:t>
      </w:r>
      <w:r w:rsidR="00A4547A" w:rsidRPr="00DB097F">
        <w:rPr>
          <w:rFonts w:cs="Times New Roman"/>
          <w:szCs w:val="24"/>
        </w:rPr>
        <w:t>)</w:t>
      </w:r>
      <w:r w:rsidR="00366DDB" w:rsidRPr="00DB097F">
        <w:rPr>
          <w:rFonts w:cs="Times New Roman"/>
          <w:szCs w:val="24"/>
        </w:rPr>
        <w:t>.  H</w:t>
      </w:r>
      <w:r w:rsidR="00F50F65" w:rsidRPr="00DB097F">
        <w:rPr>
          <w:rFonts w:cs="Times New Roman"/>
          <w:szCs w:val="24"/>
        </w:rPr>
        <w:t>owever, d</w:t>
      </w:r>
      <w:r w:rsidR="002134E1" w:rsidRPr="00DB097F">
        <w:rPr>
          <w:rFonts w:cs="Times New Roman"/>
          <w:szCs w:val="24"/>
        </w:rPr>
        <w:t>espite this, m</w:t>
      </w:r>
      <w:r w:rsidR="002134E1" w:rsidRPr="00DB097F">
        <w:rPr>
          <w:rFonts w:eastAsia="Times New Roman" w:cs="Times New Roman"/>
          <w:color w:val="3E3D40"/>
          <w:szCs w:val="24"/>
          <w:lang w:eastAsia="en-GB"/>
        </w:rPr>
        <w:t xml:space="preserve">any service users with psychiatric conditions retain capacity to make all or most decisions about their </w:t>
      </w:r>
      <w:r w:rsidR="004A3474" w:rsidRPr="00DB097F">
        <w:rPr>
          <w:rFonts w:eastAsia="Times New Roman" w:cs="Times New Roman"/>
          <w:color w:val="3E3D40"/>
          <w:szCs w:val="24"/>
          <w:lang w:eastAsia="en-GB"/>
        </w:rPr>
        <w:lastRenderedPageBreak/>
        <w:t xml:space="preserve">own </w:t>
      </w:r>
      <w:r w:rsidR="002134E1" w:rsidRPr="00DB097F">
        <w:rPr>
          <w:rFonts w:eastAsia="Times New Roman" w:cs="Times New Roman"/>
          <w:color w:val="3E3D40"/>
          <w:szCs w:val="24"/>
          <w:lang w:eastAsia="en-GB"/>
        </w:rPr>
        <w:t>care, even though their capacity can fluctuate.</w:t>
      </w:r>
      <w:r w:rsidR="00F9635E" w:rsidRPr="00DB097F">
        <w:rPr>
          <w:rFonts w:eastAsia="Times New Roman" w:cs="Times New Roman"/>
          <w:color w:val="3E3D40"/>
          <w:szCs w:val="24"/>
          <w:lang w:eastAsia="en-GB"/>
        </w:rPr>
        <w:t xml:space="preserve"> </w:t>
      </w:r>
      <w:r w:rsidR="002134E1" w:rsidRPr="00DB097F">
        <w:rPr>
          <w:rFonts w:eastAsia="Times New Roman" w:cs="Times New Roman"/>
          <w:color w:val="3E3D40"/>
          <w:szCs w:val="24"/>
          <w:lang w:eastAsia="en-GB"/>
        </w:rPr>
        <w:t>Furthermore, even when a service user lacks capacity, their perspective is still worthy of regard and should be considered (4).</w:t>
      </w:r>
      <w:r w:rsidR="00F9635E" w:rsidRPr="00DB097F">
        <w:rPr>
          <w:rFonts w:eastAsia="Times New Roman" w:cs="Times New Roman"/>
          <w:color w:val="3E3D40"/>
          <w:szCs w:val="24"/>
          <w:lang w:eastAsia="en-GB"/>
        </w:rPr>
        <w:t xml:space="preserve"> </w:t>
      </w:r>
    </w:p>
    <w:p w14:paraId="2CBAF26A" w14:textId="77777777" w:rsidR="00792002" w:rsidRPr="00DB097F" w:rsidRDefault="00792002" w:rsidP="00F9635E">
      <w:pPr>
        <w:rPr>
          <w:rFonts w:eastAsia="Times New Roman" w:cs="Times New Roman"/>
          <w:color w:val="3E3D40"/>
          <w:szCs w:val="24"/>
          <w:lang w:eastAsia="en-GB"/>
        </w:rPr>
      </w:pPr>
    </w:p>
    <w:p w14:paraId="2ED64C13" w14:textId="366B6E74" w:rsidR="00F50F65" w:rsidRPr="00DB097F" w:rsidRDefault="00F50F65" w:rsidP="00F9635E">
      <w:pPr>
        <w:rPr>
          <w:rFonts w:eastAsia="Times New Roman" w:cs="Times New Roman"/>
          <w:color w:val="3E3D40"/>
          <w:szCs w:val="24"/>
          <w:lang w:eastAsia="en-GB"/>
        </w:rPr>
      </w:pPr>
      <w:r w:rsidRPr="00DB097F">
        <w:rPr>
          <w:rFonts w:eastAsia="Times New Roman" w:cs="Times New Roman"/>
          <w:color w:val="3E3D40"/>
          <w:szCs w:val="24"/>
          <w:lang w:eastAsia="en-GB"/>
        </w:rPr>
        <w:t>Thus, despite the</w:t>
      </w:r>
      <w:r w:rsidR="000B4DFA" w:rsidRPr="00DB097F">
        <w:rPr>
          <w:rFonts w:eastAsia="Times New Roman" w:cs="Times New Roman"/>
          <w:color w:val="3E3D40"/>
          <w:szCs w:val="24"/>
          <w:lang w:eastAsia="en-GB"/>
        </w:rPr>
        <w:t>se</w:t>
      </w:r>
      <w:r w:rsidRPr="00DB097F">
        <w:rPr>
          <w:rFonts w:eastAsia="Times New Roman" w:cs="Times New Roman"/>
          <w:color w:val="3E3D40"/>
          <w:szCs w:val="24"/>
          <w:lang w:eastAsia="en-GB"/>
        </w:rPr>
        <w:t xml:space="preserve"> </w:t>
      </w:r>
      <w:r w:rsidRPr="00DB097F">
        <w:rPr>
          <w:rFonts w:cs="Times New Roman"/>
          <w:szCs w:val="24"/>
        </w:rPr>
        <w:t>barriers to the implementation of SDM</w:t>
      </w:r>
      <w:r w:rsidR="00792002" w:rsidRPr="00DB097F">
        <w:rPr>
          <w:rFonts w:cs="Times New Roman"/>
          <w:szCs w:val="24"/>
        </w:rPr>
        <w:t>,</w:t>
      </w:r>
      <w:r w:rsidR="00B94B0D" w:rsidRPr="00DB097F">
        <w:rPr>
          <w:rFonts w:cs="Times New Roman"/>
          <w:szCs w:val="24"/>
        </w:rPr>
        <w:t xml:space="preserve"> </w:t>
      </w:r>
      <w:r w:rsidRPr="00DB097F">
        <w:rPr>
          <w:rFonts w:eastAsia="Times New Roman" w:cs="Times New Roman"/>
          <w:color w:val="3E3D40"/>
          <w:szCs w:val="24"/>
          <w:lang w:eastAsia="en-GB"/>
        </w:rPr>
        <w:t xml:space="preserve">input from the service user about their care preferences might provide critical information about how a medication makes them feel or how difficult or easy it is to adhere to specific treatment demands.  </w:t>
      </w:r>
      <w:r w:rsidR="00B70C6F" w:rsidRPr="00DB097F">
        <w:rPr>
          <w:rFonts w:eastAsia="Times New Roman" w:cs="Times New Roman"/>
          <w:color w:val="3E3D40"/>
          <w:szCs w:val="24"/>
          <w:lang w:eastAsia="en-GB"/>
        </w:rPr>
        <w:t xml:space="preserve">This therefore suggests in the circumstances such as those described in my first encounter with mental health services, information </w:t>
      </w:r>
      <w:r w:rsidR="006F12F9" w:rsidRPr="00DB097F">
        <w:rPr>
          <w:rFonts w:eastAsia="Times New Roman" w:cs="Times New Roman"/>
          <w:color w:val="3E3D40"/>
          <w:szCs w:val="24"/>
          <w:lang w:eastAsia="en-GB"/>
        </w:rPr>
        <w:t xml:space="preserve">delivered at the right level and respect for my understanding </w:t>
      </w:r>
      <w:r w:rsidR="00B70C6F" w:rsidRPr="00DB097F">
        <w:rPr>
          <w:rFonts w:eastAsia="Times New Roman" w:cs="Times New Roman"/>
          <w:color w:val="3E3D40"/>
          <w:szCs w:val="24"/>
          <w:lang w:eastAsia="en-GB"/>
        </w:rPr>
        <w:t xml:space="preserve">could have been garnered about my preferences for future treatment and care to support my recovery (5).  </w:t>
      </w:r>
    </w:p>
    <w:p w14:paraId="50F84C23" w14:textId="77777777" w:rsidR="00F50F65" w:rsidRPr="00DB097F" w:rsidRDefault="00F50F65" w:rsidP="00F9635E">
      <w:pPr>
        <w:rPr>
          <w:rFonts w:eastAsia="Times New Roman" w:cs="Times New Roman"/>
          <w:color w:val="3E3D40"/>
          <w:szCs w:val="24"/>
          <w:lang w:eastAsia="en-GB"/>
        </w:rPr>
      </w:pPr>
    </w:p>
    <w:p w14:paraId="6A34D608" w14:textId="2B665F08" w:rsidR="00F4752E" w:rsidRPr="008068CD" w:rsidRDefault="00B13007" w:rsidP="00F9635E">
      <w:pPr>
        <w:rPr>
          <w:rFonts w:cs="Times New Roman"/>
          <w:szCs w:val="24"/>
        </w:rPr>
      </w:pPr>
      <w:r w:rsidRPr="00DB097F">
        <w:rPr>
          <w:rFonts w:eastAsia="Times New Roman" w:cs="Times New Roman"/>
          <w:color w:val="3E3D40"/>
          <w:szCs w:val="24"/>
          <w:lang w:eastAsia="en-GB"/>
        </w:rPr>
        <w:t xml:space="preserve">In </w:t>
      </w:r>
      <w:r w:rsidR="00B70C6F" w:rsidRPr="00DB097F">
        <w:rPr>
          <w:rFonts w:cs="Times New Roman"/>
          <w:szCs w:val="24"/>
        </w:rPr>
        <w:t xml:space="preserve">cases where service users </w:t>
      </w:r>
      <w:r w:rsidR="002C354F" w:rsidRPr="00DB097F">
        <w:rPr>
          <w:rFonts w:cs="Times New Roman"/>
          <w:szCs w:val="24"/>
        </w:rPr>
        <w:t xml:space="preserve">are perceived by professionals as </w:t>
      </w:r>
      <w:r w:rsidR="00B70C6F" w:rsidRPr="00DB097F">
        <w:rPr>
          <w:rFonts w:cs="Times New Roman"/>
          <w:szCs w:val="24"/>
        </w:rPr>
        <w:t>lack</w:t>
      </w:r>
      <w:r w:rsidR="002C354F" w:rsidRPr="00DB097F">
        <w:rPr>
          <w:rFonts w:cs="Times New Roman"/>
          <w:szCs w:val="24"/>
        </w:rPr>
        <w:t>ing</w:t>
      </w:r>
      <w:r w:rsidR="00B70C6F" w:rsidRPr="00DB097F">
        <w:rPr>
          <w:rFonts w:cs="Times New Roman"/>
          <w:szCs w:val="24"/>
        </w:rPr>
        <w:t xml:space="preserve"> insight, capacity, or are </w:t>
      </w:r>
      <w:r w:rsidR="00F15579" w:rsidRPr="00DB097F">
        <w:rPr>
          <w:rFonts w:cs="Times New Roman"/>
          <w:szCs w:val="24"/>
        </w:rPr>
        <w:t xml:space="preserve">assessed as </w:t>
      </w:r>
      <w:r w:rsidR="00B70C6F" w:rsidRPr="00DB097F">
        <w:rPr>
          <w:rFonts w:cs="Times New Roman"/>
          <w:szCs w:val="24"/>
        </w:rPr>
        <w:t xml:space="preserve">engaging in unsafe </w:t>
      </w:r>
      <w:proofErr w:type="spellStart"/>
      <w:r w:rsidR="00B70C6F" w:rsidRPr="00DB097F">
        <w:rPr>
          <w:rFonts w:cs="Times New Roman"/>
          <w:szCs w:val="24"/>
        </w:rPr>
        <w:t>behaviours</w:t>
      </w:r>
      <w:proofErr w:type="spellEnd"/>
      <w:r w:rsidR="00B70C6F" w:rsidRPr="00DB097F">
        <w:rPr>
          <w:rFonts w:cs="Times New Roman"/>
          <w:szCs w:val="24"/>
        </w:rPr>
        <w:t xml:space="preserve">, </w:t>
      </w:r>
      <w:r w:rsidR="00F50F65" w:rsidRPr="00DB097F">
        <w:rPr>
          <w:rFonts w:cs="Times New Roman"/>
          <w:szCs w:val="24"/>
        </w:rPr>
        <w:t xml:space="preserve">when the </w:t>
      </w:r>
      <w:r w:rsidR="00B70C6F" w:rsidRPr="00DB097F">
        <w:rPr>
          <w:rFonts w:cs="Times New Roman"/>
          <w:szCs w:val="24"/>
        </w:rPr>
        <w:t xml:space="preserve">professional believes that the </w:t>
      </w:r>
      <w:r w:rsidR="00F50F65" w:rsidRPr="00DB097F">
        <w:rPr>
          <w:rFonts w:cs="Times New Roman"/>
          <w:szCs w:val="24"/>
        </w:rPr>
        <w:t xml:space="preserve">‘correct’ safe-guarding decision is not agreed in a safety concern, then </w:t>
      </w:r>
      <w:r w:rsidR="00CE011E" w:rsidRPr="00DB097F">
        <w:rPr>
          <w:rFonts w:cs="Times New Roman"/>
          <w:szCs w:val="24"/>
        </w:rPr>
        <w:t>they</w:t>
      </w:r>
      <w:r w:rsidR="00F50F65" w:rsidRPr="00DB097F">
        <w:rPr>
          <w:rFonts w:cs="Times New Roman"/>
          <w:szCs w:val="24"/>
        </w:rPr>
        <w:t xml:space="preserve"> may believe they have </w:t>
      </w:r>
      <w:r w:rsidR="00A4547A" w:rsidRPr="00DB097F">
        <w:rPr>
          <w:rFonts w:cs="Times New Roman"/>
          <w:szCs w:val="24"/>
        </w:rPr>
        <w:t>little</w:t>
      </w:r>
      <w:r w:rsidR="00F50F65" w:rsidRPr="00DB097F">
        <w:rPr>
          <w:rFonts w:cs="Times New Roman"/>
          <w:szCs w:val="24"/>
        </w:rPr>
        <w:t xml:space="preserve"> option </w:t>
      </w:r>
      <w:r w:rsidR="00A4547A" w:rsidRPr="00DB097F">
        <w:rPr>
          <w:rFonts w:cs="Times New Roman"/>
          <w:szCs w:val="24"/>
        </w:rPr>
        <w:t xml:space="preserve">but to </w:t>
      </w:r>
      <w:r w:rsidR="00F50F65" w:rsidRPr="00DB097F">
        <w:rPr>
          <w:rFonts w:cs="Times New Roman"/>
          <w:szCs w:val="24"/>
        </w:rPr>
        <w:t xml:space="preserve">reject SDM and </w:t>
      </w:r>
      <w:r w:rsidR="00792002" w:rsidRPr="00DB097F">
        <w:rPr>
          <w:rFonts w:cs="Times New Roman"/>
          <w:szCs w:val="24"/>
        </w:rPr>
        <w:t xml:space="preserve">to </w:t>
      </w:r>
      <w:r w:rsidR="00F50F65" w:rsidRPr="00DB097F">
        <w:rPr>
          <w:rFonts w:cs="Times New Roman"/>
          <w:szCs w:val="24"/>
        </w:rPr>
        <w:t xml:space="preserve">revert to former paternalistic strategies (6); a real anti-thesis to the ideal of recovery (4). </w:t>
      </w:r>
      <w:r w:rsidR="00E0718B" w:rsidRPr="00DB097F">
        <w:rPr>
          <w:rFonts w:cs="Times New Roman"/>
          <w:szCs w:val="24"/>
        </w:rPr>
        <w:t xml:space="preserve">For example, </w:t>
      </w:r>
      <w:r w:rsidR="00E0718B" w:rsidRPr="00DB097F">
        <w:rPr>
          <w:rFonts w:eastAsia="Times New Roman" w:cs="Times New Roman"/>
          <w:color w:val="3E3D40"/>
          <w:szCs w:val="24"/>
          <w:lang w:eastAsia="en-GB"/>
        </w:rPr>
        <w:t>clinicians may fear that SDM may lead to non-adherence to medication (1</w:t>
      </w:r>
      <w:r w:rsidR="007861B8" w:rsidRPr="00DB097F">
        <w:rPr>
          <w:rFonts w:eastAsia="Times New Roman" w:cs="Times New Roman"/>
          <w:color w:val="3E3D40"/>
          <w:szCs w:val="24"/>
          <w:lang w:eastAsia="en-GB"/>
        </w:rPr>
        <w:t>6</w:t>
      </w:r>
      <w:r w:rsidR="00423364">
        <w:rPr>
          <w:rFonts w:eastAsia="Times New Roman" w:cs="Times New Roman"/>
          <w:color w:val="3E3D40"/>
          <w:szCs w:val="24"/>
          <w:lang w:eastAsia="en-GB"/>
        </w:rPr>
        <w:t>)</w:t>
      </w:r>
      <w:r w:rsidR="00E0718B" w:rsidRPr="008068CD">
        <w:rPr>
          <w:rFonts w:eastAsia="Times New Roman" w:cs="Times New Roman"/>
          <w:color w:val="3E3D40"/>
          <w:szCs w:val="24"/>
          <w:lang w:eastAsia="en-GB"/>
        </w:rPr>
        <w:t xml:space="preserve">. </w:t>
      </w:r>
      <w:r w:rsidR="00E0718B" w:rsidRPr="008068CD">
        <w:rPr>
          <w:rFonts w:cs="Times New Roman"/>
          <w:szCs w:val="24"/>
        </w:rPr>
        <w:t xml:space="preserve"> </w:t>
      </w:r>
      <w:r w:rsidR="00664220" w:rsidRPr="008068CD">
        <w:rPr>
          <w:rFonts w:cs="Times New Roman"/>
          <w:szCs w:val="24"/>
        </w:rPr>
        <w:t xml:space="preserve">In such circumstances, professionals may </w:t>
      </w:r>
      <w:r w:rsidR="00E82618" w:rsidRPr="008068CD">
        <w:rPr>
          <w:rFonts w:cs="Times New Roman"/>
          <w:szCs w:val="24"/>
        </w:rPr>
        <w:t xml:space="preserve">not </w:t>
      </w:r>
      <w:proofErr w:type="spellStart"/>
      <w:r w:rsidR="00E82618" w:rsidRPr="008068CD">
        <w:rPr>
          <w:rFonts w:cs="Times New Roman"/>
          <w:szCs w:val="24"/>
        </w:rPr>
        <w:t>prioritise</w:t>
      </w:r>
      <w:proofErr w:type="spellEnd"/>
      <w:r w:rsidR="00E82618" w:rsidRPr="008068CD">
        <w:rPr>
          <w:rFonts w:cs="Times New Roman"/>
          <w:szCs w:val="24"/>
        </w:rPr>
        <w:t xml:space="preserve"> and value the reasons why service users choose not to comply wi</w:t>
      </w:r>
      <w:r w:rsidR="00F85E30" w:rsidRPr="008068CD">
        <w:rPr>
          <w:rFonts w:cs="Times New Roman"/>
          <w:szCs w:val="24"/>
        </w:rPr>
        <w:t>th medication</w:t>
      </w:r>
      <w:r w:rsidR="00FF7BE4" w:rsidRPr="008068CD">
        <w:rPr>
          <w:rFonts w:cs="Times New Roman"/>
          <w:szCs w:val="24"/>
        </w:rPr>
        <w:t>s</w:t>
      </w:r>
      <w:r w:rsidR="00F85E30" w:rsidRPr="008068CD">
        <w:rPr>
          <w:rFonts w:cs="Times New Roman"/>
          <w:szCs w:val="24"/>
        </w:rPr>
        <w:t xml:space="preserve"> which </w:t>
      </w:r>
      <w:r w:rsidR="008B662F" w:rsidRPr="008068CD">
        <w:rPr>
          <w:rFonts w:cs="Times New Roman"/>
          <w:szCs w:val="24"/>
        </w:rPr>
        <w:t>may cause them</w:t>
      </w:r>
      <w:r w:rsidR="00F85E30" w:rsidRPr="00DB097F">
        <w:rPr>
          <w:rFonts w:cs="Times New Roman"/>
          <w:szCs w:val="24"/>
        </w:rPr>
        <w:t xml:space="preserve"> negative </w:t>
      </w:r>
      <w:r w:rsidR="00FF7BE4" w:rsidRPr="00DB097F">
        <w:rPr>
          <w:rFonts w:cs="Times New Roman"/>
          <w:szCs w:val="24"/>
        </w:rPr>
        <w:t xml:space="preserve">and intolerable </w:t>
      </w:r>
      <w:r w:rsidR="00F85E30" w:rsidRPr="00DB097F">
        <w:rPr>
          <w:rFonts w:cs="Times New Roman"/>
          <w:szCs w:val="24"/>
        </w:rPr>
        <w:t xml:space="preserve">adverse effects.  </w:t>
      </w:r>
      <w:r w:rsidR="00CE011E" w:rsidRPr="00DB097F">
        <w:rPr>
          <w:rFonts w:cs="Times New Roman"/>
          <w:szCs w:val="24"/>
        </w:rPr>
        <w:t>In such</w:t>
      </w:r>
      <w:r w:rsidR="008B662F" w:rsidRPr="00DB097F">
        <w:rPr>
          <w:rFonts w:cs="Times New Roman"/>
          <w:szCs w:val="24"/>
        </w:rPr>
        <w:t xml:space="preserve"> circumstances</w:t>
      </w:r>
      <w:r w:rsidR="00CE011E" w:rsidRPr="00DB097F">
        <w:rPr>
          <w:rFonts w:cs="Times New Roman"/>
          <w:szCs w:val="24"/>
        </w:rPr>
        <w:t>, p</w:t>
      </w:r>
      <w:r w:rsidR="00F50F65" w:rsidRPr="00DB097F">
        <w:rPr>
          <w:rFonts w:eastAsia="Times New Roman" w:cs="Times New Roman"/>
          <w:color w:val="3E3D40"/>
          <w:szCs w:val="24"/>
          <w:lang w:eastAsia="en-GB"/>
        </w:rPr>
        <w:t>rofessionals may feel that they are accountable for safety decisions</w:t>
      </w:r>
      <w:r w:rsidR="00A4547A" w:rsidRPr="00DB097F">
        <w:rPr>
          <w:rFonts w:eastAsia="Times New Roman" w:cs="Times New Roman"/>
          <w:color w:val="3E3D40"/>
          <w:szCs w:val="24"/>
          <w:lang w:eastAsia="en-GB"/>
        </w:rPr>
        <w:t>;</w:t>
      </w:r>
      <w:r w:rsidR="00F50F65" w:rsidRPr="00DB097F">
        <w:rPr>
          <w:rFonts w:eastAsia="Times New Roman" w:cs="Times New Roman"/>
          <w:color w:val="3E3D40"/>
          <w:szCs w:val="24"/>
          <w:lang w:eastAsia="en-GB"/>
        </w:rPr>
        <w:t xml:space="preserve"> thus, </w:t>
      </w:r>
      <w:r w:rsidR="00792002" w:rsidRPr="00DB097F">
        <w:rPr>
          <w:rFonts w:eastAsia="Times New Roman" w:cs="Times New Roman"/>
          <w:color w:val="3E3D40"/>
          <w:szCs w:val="24"/>
          <w:lang w:eastAsia="en-GB"/>
        </w:rPr>
        <w:t xml:space="preserve">this highlights that </w:t>
      </w:r>
      <w:r w:rsidR="00F50F65" w:rsidRPr="00DB097F">
        <w:rPr>
          <w:rFonts w:eastAsia="Times New Roman" w:cs="Times New Roman"/>
          <w:color w:val="3E3D40"/>
          <w:szCs w:val="24"/>
          <w:lang w:eastAsia="en-GB"/>
        </w:rPr>
        <w:t>p</w:t>
      </w:r>
      <w:r w:rsidR="00F50F65" w:rsidRPr="00DB097F">
        <w:rPr>
          <w:rFonts w:cs="Times New Roman"/>
          <w:szCs w:val="24"/>
        </w:rPr>
        <w:t>rofessional responsibilities about the medical and legal limitations of professional accountability need to be clarified (1</w:t>
      </w:r>
      <w:r w:rsidR="007861B8" w:rsidRPr="00DB097F">
        <w:rPr>
          <w:rFonts w:cs="Times New Roman"/>
          <w:szCs w:val="24"/>
        </w:rPr>
        <w:t>8</w:t>
      </w:r>
      <w:r w:rsidR="00F50F65" w:rsidRPr="00DB097F">
        <w:rPr>
          <w:rFonts w:cs="Times New Roman"/>
          <w:szCs w:val="24"/>
        </w:rPr>
        <w:t>)</w:t>
      </w:r>
      <w:r w:rsidR="00F85E30" w:rsidRPr="00DB097F">
        <w:rPr>
          <w:rFonts w:cs="Times New Roman"/>
          <w:szCs w:val="24"/>
        </w:rPr>
        <w:t xml:space="preserve"> and </w:t>
      </w:r>
      <w:proofErr w:type="spellStart"/>
      <w:r w:rsidR="00F85E30" w:rsidRPr="00DB097F">
        <w:rPr>
          <w:rFonts w:cs="Times New Roman"/>
          <w:szCs w:val="24"/>
        </w:rPr>
        <w:t>emphasises</w:t>
      </w:r>
      <w:proofErr w:type="spellEnd"/>
      <w:r w:rsidR="00F85E30" w:rsidRPr="00DB097F">
        <w:rPr>
          <w:rFonts w:cs="Times New Roman"/>
          <w:szCs w:val="24"/>
        </w:rPr>
        <w:t xml:space="preserve"> </w:t>
      </w:r>
      <w:r w:rsidR="00371B7E" w:rsidRPr="00DB097F">
        <w:rPr>
          <w:rFonts w:cs="Times New Roman"/>
          <w:szCs w:val="24"/>
        </w:rPr>
        <w:t xml:space="preserve">the need for value to be placed on </w:t>
      </w:r>
      <w:r w:rsidR="00F85E30" w:rsidRPr="00DB097F">
        <w:rPr>
          <w:rFonts w:cs="Times New Roman"/>
          <w:szCs w:val="24"/>
        </w:rPr>
        <w:t>listening to and respecting the opinions of the service user</w:t>
      </w:r>
      <w:r w:rsidR="002424D8">
        <w:rPr>
          <w:rFonts w:cs="Times New Roman"/>
          <w:szCs w:val="24"/>
        </w:rPr>
        <w:t>, as identified above</w:t>
      </w:r>
      <w:r w:rsidR="00F85E30" w:rsidRPr="008068CD">
        <w:rPr>
          <w:rFonts w:cs="Times New Roman"/>
          <w:szCs w:val="24"/>
        </w:rPr>
        <w:t xml:space="preserve">.  </w:t>
      </w:r>
      <w:r w:rsidR="00F50F65" w:rsidRPr="008068CD">
        <w:rPr>
          <w:rFonts w:cs="Times New Roman"/>
          <w:szCs w:val="24"/>
        </w:rPr>
        <w:t xml:space="preserve">  </w:t>
      </w:r>
    </w:p>
    <w:p w14:paraId="5075F443" w14:textId="77777777" w:rsidR="009B2877" w:rsidRPr="00DB097F" w:rsidRDefault="009B2877" w:rsidP="00A448C9">
      <w:pPr>
        <w:rPr>
          <w:rFonts w:cs="Times New Roman"/>
          <w:szCs w:val="24"/>
        </w:rPr>
      </w:pPr>
    </w:p>
    <w:p w14:paraId="392EB563" w14:textId="44B0A8EF" w:rsidR="00A448C9" w:rsidRPr="00DB097F" w:rsidRDefault="00A448C9" w:rsidP="00A448C9">
      <w:pPr>
        <w:rPr>
          <w:rFonts w:cs="Times New Roman"/>
          <w:szCs w:val="24"/>
        </w:rPr>
      </w:pPr>
      <w:r w:rsidRPr="00DB097F">
        <w:rPr>
          <w:rFonts w:cs="Times New Roman"/>
          <w:szCs w:val="24"/>
        </w:rPr>
        <w:t xml:space="preserve">This article has explored the process of SDM through the frame of </w:t>
      </w:r>
      <w:r w:rsidR="00471EDF" w:rsidRPr="00DB097F">
        <w:rPr>
          <w:rFonts w:cs="Times New Roman"/>
          <w:szCs w:val="24"/>
        </w:rPr>
        <w:t>my</w:t>
      </w:r>
      <w:r w:rsidRPr="00DB097F">
        <w:rPr>
          <w:rFonts w:cs="Times New Roman"/>
          <w:szCs w:val="24"/>
        </w:rPr>
        <w:t xml:space="preserve"> autoethnographic account of two experiences of intervention; the former episode in which decision-making was based on paternalistic processes and the latter interaction in which decisions were user-led.  This discussion has explored the implementation of SDM and discussed the importance of effective person-</w:t>
      </w:r>
      <w:proofErr w:type="spellStart"/>
      <w:r w:rsidRPr="00DB097F">
        <w:rPr>
          <w:rFonts w:cs="Times New Roman"/>
          <w:szCs w:val="24"/>
        </w:rPr>
        <w:t>centred</w:t>
      </w:r>
      <w:proofErr w:type="spellEnd"/>
      <w:r w:rsidRPr="00DB097F">
        <w:rPr>
          <w:rFonts w:cs="Times New Roman"/>
          <w:szCs w:val="24"/>
        </w:rPr>
        <w:t xml:space="preserve"> care in this interaction (</w:t>
      </w:r>
      <w:r w:rsidR="007861B8" w:rsidRPr="00DB097F">
        <w:rPr>
          <w:rFonts w:cs="Times New Roman"/>
          <w:szCs w:val="24"/>
        </w:rPr>
        <w:t>31</w:t>
      </w:r>
      <w:r w:rsidRPr="00DB097F">
        <w:rPr>
          <w:rFonts w:cs="Times New Roman"/>
          <w:szCs w:val="24"/>
        </w:rPr>
        <w:t>) alongside the importance of a therapeutic alliance (6); which are essential ingredients in the promotion of a recovery serviced promoting agency and empowerment (4).</w:t>
      </w:r>
    </w:p>
    <w:p w14:paraId="4FF15860" w14:textId="77777777" w:rsidR="00A448C9" w:rsidRPr="00DB097F" w:rsidRDefault="00A448C9" w:rsidP="00A448C9">
      <w:pPr>
        <w:rPr>
          <w:rFonts w:cs="Times New Roman"/>
          <w:szCs w:val="24"/>
        </w:rPr>
      </w:pPr>
    </w:p>
    <w:p w14:paraId="79FE0AAF" w14:textId="39DEBFD8" w:rsidR="00125509" w:rsidRPr="008068CD" w:rsidRDefault="0075179C" w:rsidP="00125509">
      <w:r w:rsidRPr="00DB097F">
        <w:rPr>
          <w:rFonts w:cs="Times New Roman"/>
          <w:szCs w:val="24"/>
        </w:rPr>
        <w:t xml:space="preserve">To support the </w:t>
      </w:r>
      <w:r w:rsidR="00A10F6D" w:rsidRPr="00DB097F">
        <w:rPr>
          <w:rFonts w:cs="Times New Roman"/>
          <w:szCs w:val="24"/>
        </w:rPr>
        <w:t xml:space="preserve">effective </w:t>
      </w:r>
      <w:r w:rsidRPr="00DB097F">
        <w:rPr>
          <w:rFonts w:cs="Times New Roman"/>
          <w:szCs w:val="24"/>
        </w:rPr>
        <w:t>implementation of SDM</w:t>
      </w:r>
      <w:r w:rsidR="00F15926" w:rsidRPr="00DB097F">
        <w:rPr>
          <w:rFonts w:cs="Times New Roman"/>
          <w:szCs w:val="24"/>
        </w:rPr>
        <w:t xml:space="preserve">, </w:t>
      </w:r>
      <w:r w:rsidR="00452AF4" w:rsidRPr="00820F66">
        <w:t>clinicians should adhere to the necessary conditions for SDM which are mutual respect and trust</w:t>
      </w:r>
      <w:r w:rsidR="005F5878" w:rsidRPr="00820F66">
        <w:t>, and should</w:t>
      </w:r>
      <w:r w:rsidR="00452AF4" w:rsidRPr="00820F66">
        <w:t xml:space="preserve"> provid</w:t>
      </w:r>
      <w:r w:rsidR="005F5878" w:rsidRPr="00820F66">
        <w:t>e</w:t>
      </w:r>
      <w:r w:rsidR="00452AF4" w:rsidRPr="00820F66">
        <w:t xml:space="preserve"> information in a language understood by service users.  </w:t>
      </w:r>
      <w:r w:rsidR="00452AF4" w:rsidRPr="00DB097F">
        <w:rPr>
          <w:rFonts w:cs="Times New Roman"/>
          <w:szCs w:val="24"/>
        </w:rPr>
        <w:t>T</w:t>
      </w:r>
      <w:r w:rsidR="00125509" w:rsidRPr="00820F66">
        <w:t xml:space="preserve">here </w:t>
      </w:r>
      <w:r w:rsidR="008D715B" w:rsidRPr="00820F66">
        <w:t xml:space="preserve">must be </w:t>
      </w:r>
      <w:r w:rsidR="00125509" w:rsidRPr="00820F66">
        <w:t>attitudinal change in the professional domain, as well in the perspective of some service users, about the</w:t>
      </w:r>
      <w:r w:rsidR="00E6457E" w:rsidRPr="00820F66">
        <w:t xml:space="preserve"> place</w:t>
      </w:r>
      <w:r w:rsidR="00125509" w:rsidRPr="00820F66">
        <w:t xml:space="preserve"> of experiential knowledge</w:t>
      </w:r>
      <w:r w:rsidR="003B0156" w:rsidRPr="00820F66">
        <w:t xml:space="preserve"> in building a therapeutic alliance</w:t>
      </w:r>
      <w:r w:rsidR="00125509" w:rsidRPr="00820F66">
        <w:t xml:space="preserve">.  </w:t>
      </w:r>
      <w:r w:rsidR="00452AF4" w:rsidRPr="00820F66">
        <w:t>P</w:t>
      </w:r>
      <w:r w:rsidR="00DE54BD" w:rsidRPr="00820F66">
        <w:t>ractitioners must</w:t>
      </w:r>
      <w:r w:rsidR="006E749D" w:rsidRPr="00820F66">
        <w:t>, for example,</w:t>
      </w:r>
      <w:r w:rsidR="00DE54BD" w:rsidRPr="00820F66">
        <w:t xml:space="preserve"> </w:t>
      </w:r>
      <w:r w:rsidR="00125509" w:rsidRPr="00820F66">
        <w:t xml:space="preserve">be </w:t>
      </w:r>
      <w:r w:rsidR="00377F4C" w:rsidRPr="00820F66">
        <w:t xml:space="preserve">prepared </w:t>
      </w:r>
      <w:r w:rsidR="00125509" w:rsidRPr="00820F66">
        <w:t xml:space="preserve">to listen to </w:t>
      </w:r>
      <w:r w:rsidR="00691D3D" w:rsidRPr="00820F66">
        <w:t xml:space="preserve">treatment </w:t>
      </w:r>
      <w:r w:rsidR="00125509" w:rsidRPr="00820F66">
        <w:t xml:space="preserve">options </w:t>
      </w:r>
      <w:r w:rsidR="00691D3D" w:rsidRPr="00820F66">
        <w:t>suggested by</w:t>
      </w:r>
      <w:r w:rsidR="00DE54BD" w:rsidRPr="00820F66">
        <w:t xml:space="preserve"> service users </w:t>
      </w:r>
      <w:r w:rsidR="00125509" w:rsidRPr="00820F66">
        <w:t xml:space="preserve">which </w:t>
      </w:r>
      <w:r w:rsidR="00DE54BD" w:rsidRPr="00820F66">
        <w:t xml:space="preserve">the professionals themselves </w:t>
      </w:r>
      <w:r w:rsidR="00125509" w:rsidRPr="00820F66">
        <w:t xml:space="preserve">have </w:t>
      </w:r>
      <w:r w:rsidR="006B691B" w:rsidRPr="00820F66">
        <w:t>not considered previously</w:t>
      </w:r>
      <w:r w:rsidR="00125509" w:rsidRPr="00820F66">
        <w:t xml:space="preserve">, </w:t>
      </w:r>
      <w:r w:rsidR="00DE54BD" w:rsidRPr="00820F66">
        <w:t xml:space="preserve">acknowledging the </w:t>
      </w:r>
      <w:r w:rsidR="00E6457E" w:rsidRPr="00820F66">
        <w:t xml:space="preserve">value of </w:t>
      </w:r>
      <w:r w:rsidR="00DE54BD" w:rsidRPr="00820F66">
        <w:t>experiential wisdom</w:t>
      </w:r>
      <w:r w:rsidR="00267B56" w:rsidRPr="00820F66">
        <w:t xml:space="preserve">, alongside their </w:t>
      </w:r>
      <w:r w:rsidR="0037306D" w:rsidRPr="00820F66">
        <w:t>own practice wisdom</w:t>
      </w:r>
      <w:r w:rsidR="00DE54BD" w:rsidRPr="00820F66">
        <w:t xml:space="preserve">.  </w:t>
      </w:r>
      <w:r w:rsidR="00512A2E">
        <w:t xml:space="preserve">The implementation of </w:t>
      </w:r>
      <w:r w:rsidR="00E24A3D">
        <w:t>SDM</w:t>
      </w:r>
      <w:r w:rsidR="00512A2E">
        <w:t xml:space="preserve"> thus has</w:t>
      </w:r>
      <w:r w:rsidR="00BE31E1" w:rsidRPr="008068CD">
        <w:t xml:space="preserve"> real implications for the place of </w:t>
      </w:r>
      <w:proofErr w:type="gramStart"/>
      <w:r w:rsidR="00BE31E1" w:rsidRPr="008068CD">
        <w:t>safe-guarding</w:t>
      </w:r>
      <w:proofErr w:type="gramEnd"/>
      <w:r w:rsidR="00BE31E1" w:rsidRPr="008068CD">
        <w:t xml:space="preserve"> </w:t>
      </w:r>
      <w:r w:rsidR="008036D5" w:rsidRPr="008068CD">
        <w:t>in mental health care and require</w:t>
      </w:r>
      <w:r w:rsidR="00881DD9">
        <w:t>s</w:t>
      </w:r>
      <w:r w:rsidR="008036D5" w:rsidRPr="008068CD">
        <w:t xml:space="preserve"> a shift in wider </w:t>
      </w:r>
      <w:r w:rsidR="00F5796F" w:rsidRPr="008068CD">
        <w:t>policy</w:t>
      </w:r>
      <w:r w:rsidR="00881DD9">
        <w:t xml:space="preserve"> </w:t>
      </w:r>
      <w:r w:rsidR="00F52787">
        <w:t xml:space="preserve">to a greater focus on the place of </w:t>
      </w:r>
      <w:r w:rsidR="00881DD9">
        <w:t>experiential wisdom</w:t>
      </w:r>
      <w:r w:rsidR="00BA6721">
        <w:t xml:space="preserve"> in decision-making in mental health interventions</w:t>
      </w:r>
      <w:r w:rsidR="00F5796F" w:rsidRPr="008068CD">
        <w:t>.</w:t>
      </w:r>
    </w:p>
    <w:p w14:paraId="78D84AAA" w14:textId="0ABDF075" w:rsidR="00A448C9" w:rsidRPr="00DB097F" w:rsidRDefault="00A448C9" w:rsidP="00A448C9">
      <w:pPr>
        <w:rPr>
          <w:rFonts w:cs="Times New Roman"/>
          <w:szCs w:val="24"/>
        </w:rPr>
      </w:pPr>
    </w:p>
    <w:p w14:paraId="1CB55C43" w14:textId="77777777" w:rsidR="00A448C9" w:rsidRPr="00DB097F" w:rsidRDefault="00A448C9" w:rsidP="00A448C9">
      <w:pPr>
        <w:rPr>
          <w:rFonts w:cs="Times New Roman"/>
          <w:szCs w:val="24"/>
        </w:rPr>
      </w:pPr>
    </w:p>
    <w:p w14:paraId="74A13D98" w14:textId="77777777" w:rsidR="00A448C9" w:rsidRPr="00DB097F" w:rsidRDefault="00A448C9" w:rsidP="00A448C9">
      <w:pPr>
        <w:rPr>
          <w:rFonts w:cs="Times New Roman"/>
          <w:b/>
          <w:bCs/>
          <w:szCs w:val="24"/>
        </w:rPr>
      </w:pPr>
      <w:r w:rsidRPr="00DB097F">
        <w:rPr>
          <w:rFonts w:cs="Times New Roman"/>
          <w:b/>
          <w:bCs/>
          <w:szCs w:val="24"/>
        </w:rPr>
        <w:t>References</w:t>
      </w:r>
    </w:p>
    <w:p w14:paraId="68C4E674" w14:textId="77777777" w:rsidR="00A448C9" w:rsidRPr="008068CD" w:rsidRDefault="00A448C9" w:rsidP="00A448C9">
      <w:pPr>
        <w:pStyle w:val="ListParagraph"/>
        <w:numPr>
          <w:ilvl w:val="0"/>
          <w:numId w:val="23"/>
        </w:numPr>
        <w:spacing w:before="0" w:after="160"/>
        <w:rPr>
          <w:rFonts w:eastAsia="Times New Roman"/>
          <w:color w:val="000000"/>
        </w:rPr>
      </w:pPr>
      <w:r w:rsidRPr="00DB097F">
        <w:rPr>
          <w:rFonts w:eastAsia="Times New Roman"/>
          <w:color w:val="000000"/>
        </w:rPr>
        <w:t xml:space="preserve">NHS England.  Five Year Forward View for Mental Health (2016) Available at:  </w:t>
      </w:r>
      <w:hyperlink r:id="rId9" w:history="1">
        <w:r w:rsidRPr="008068CD">
          <w:rPr>
            <w:rStyle w:val="Hyperlink"/>
            <w:rFonts w:eastAsia="Times New Roman"/>
          </w:rPr>
          <w:t>https://www.england.nhs.uk/wp-content/uploads/2016/02/Mental-Health-Taskforce-FYFV-final.pdf</w:t>
        </w:r>
      </w:hyperlink>
      <w:r w:rsidRPr="008068CD">
        <w:rPr>
          <w:rFonts w:eastAsia="Times New Roman"/>
          <w:color w:val="000000"/>
        </w:rPr>
        <w:t xml:space="preserve"> [Accessed 02.11.20]</w:t>
      </w:r>
    </w:p>
    <w:p w14:paraId="64C9E241" w14:textId="77777777" w:rsidR="00A448C9" w:rsidRPr="008068CD" w:rsidRDefault="00A448C9" w:rsidP="00A448C9">
      <w:pPr>
        <w:pStyle w:val="ListParagraph"/>
        <w:numPr>
          <w:ilvl w:val="0"/>
          <w:numId w:val="23"/>
        </w:numPr>
        <w:spacing w:before="0" w:after="160"/>
        <w:rPr>
          <w:rFonts w:eastAsia="Times New Roman"/>
          <w:color w:val="000000"/>
        </w:rPr>
      </w:pPr>
      <w:r w:rsidRPr="008068CD">
        <w:rPr>
          <w:rFonts w:eastAsia="Times New Roman"/>
          <w:color w:val="000000"/>
          <w:shd w:val="clear" w:color="auto" w:fill="FFFFFF"/>
        </w:rPr>
        <w:t>NHS England.  Five Year Forward View for Mental Health: One Year On (2017).</w:t>
      </w:r>
      <w:r w:rsidRPr="008068CD">
        <w:rPr>
          <w:rFonts w:eastAsia="Times New Roman"/>
          <w:color w:val="000000"/>
        </w:rPr>
        <w:t xml:space="preserve"> Available at:  </w:t>
      </w:r>
      <w:hyperlink r:id="rId10" w:history="1">
        <w:r w:rsidRPr="008068CD">
          <w:rPr>
            <w:rStyle w:val="Hyperlink"/>
            <w:rFonts w:eastAsia="Times New Roman"/>
          </w:rPr>
          <w:t>https://www.england.nhs.uk/wp-content/uploads/2017/03/fyfv-mh-one-year-on.pdf</w:t>
        </w:r>
      </w:hyperlink>
      <w:r w:rsidRPr="008068CD">
        <w:rPr>
          <w:rFonts w:eastAsia="Times New Roman"/>
          <w:color w:val="000000"/>
        </w:rPr>
        <w:t xml:space="preserve"> [Accessed 02.11.20]</w:t>
      </w:r>
    </w:p>
    <w:p w14:paraId="1CC57686" w14:textId="1BE39F3C" w:rsidR="00A448C9" w:rsidRPr="008068CD" w:rsidRDefault="00A448C9" w:rsidP="009A1468">
      <w:pPr>
        <w:pStyle w:val="ListParagraph"/>
        <w:numPr>
          <w:ilvl w:val="0"/>
          <w:numId w:val="23"/>
        </w:numPr>
        <w:spacing w:before="100" w:beforeAutospacing="1" w:after="100" w:afterAutospacing="1"/>
        <w:outlineLvl w:val="0"/>
      </w:pPr>
      <w:r w:rsidRPr="008068CD">
        <w:rPr>
          <w:rFonts w:eastAsia="Times New Roman"/>
          <w:color w:val="0E0E0E"/>
          <w:kern w:val="36"/>
          <w:lang w:eastAsia="en-GB"/>
        </w:rPr>
        <w:t xml:space="preserve">National Institute for Health and Clinical Excellence (NICE) Rehabilitation for adults with complex psychosis.  </w:t>
      </w:r>
      <w:r w:rsidRPr="008068CD">
        <w:rPr>
          <w:rFonts w:eastAsia="Times New Roman"/>
          <w:color w:val="0E0E0E"/>
          <w:lang w:eastAsia="en-GB"/>
        </w:rPr>
        <w:t xml:space="preserve">NICE guideline.  (2020). Available at: </w:t>
      </w:r>
      <w:hyperlink r:id="rId11" w:anchor="recovery-orientated-rehabilitation-services" w:history="1">
        <w:r w:rsidRPr="008068CD">
          <w:rPr>
            <w:rStyle w:val="Hyperlink"/>
          </w:rPr>
          <w:t>https://www.nice.org.uk/guidance/ng181/chapter/Recommendations#recovery-orientated-rehabilitation-services</w:t>
        </w:r>
      </w:hyperlink>
      <w:r w:rsidRPr="008068CD">
        <w:t xml:space="preserve"> [Accessed 02.11.20]</w:t>
      </w:r>
    </w:p>
    <w:p w14:paraId="5E60C733" w14:textId="77777777" w:rsidR="00A448C9" w:rsidRPr="008068CD" w:rsidRDefault="00A448C9" w:rsidP="00A448C9">
      <w:pPr>
        <w:pStyle w:val="ListParagraph"/>
        <w:numPr>
          <w:ilvl w:val="0"/>
          <w:numId w:val="23"/>
        </w:numPr>
        <w:autoSpaceDE w:val="0"/>
        <w:autoSpaceDN w:val="0"/>
        <w:adjustRightInd w:val="0"/>
        <w:spacing w:before="100" w:beforeAutospacing="1" w:after="0" w:afterAutospacing="1"/>
        <w:outlineLvl w:val="0"/>
      </w:pPr>
      <w:r w:rsidRPr="008068CD">
        <w:t xml:space="preserve">Farkas M. Promoting choice- a cornerstone of recovery promoting practice (Revised Reprint) </w:t>
      </w:r>
      <w:r w:rsidRPr="008068CD">
        <w:rPr>
          <w:i/>
          <w:iCs/>
        </w:rPr>
        <w:t>WAPR Bulletin</w:t>
      </w:r>
      <w:r w:rsidRPr="008068CD">
        <w:t xml:space="preserve"> (2018) 42: 6-9 </w:t>
      </w:r>
      <w:r w:rsidRPr="008068CD">
        <w:rPr>
          <w:rFonts w:eastAsia="Times New Roman"/>
          <w:color w:val="0E0E0E"/>
          <w:lang w:eastAsia="en-GB"/>
        </w:rPr>
        <w:t xml:space="preserve">Available at:  </w:t>
      </w:r>
      <w:hyperlink r:id="rId12" w:history="1">
        <w:r w:rsidRPr="008068CD">
          <w:rPr>
            <w:rStyle w:val="Hyperlink"/>
          </w:rPr>
          <w:t>http://www.wapr.org/wp-content/uploads/2019/01/wapr_e_bulletin_dec_2018.pdf</w:t>
        </w:r>
      </w:hyperlink>
      <w:r w:rsidRPr="008068CD">
        <w:t xml:space="preserve">  [Accessed 04.10.20]</w:t>
      </w:r>
    </w:p>
    <w:p w14:paraId="41C6C52C" w14:textId="77777777" w:rsidR="00A448C9" w:rsidRPr="008068CD" w:rsidRDefault="00A448C9" w:rsidP="00A448C9">
      <w:pPr>
        <w:pStyle w:val="ListParagraph"/>
        <w:numPr>
          <w:ilvl w:val="0"/>
          <w:numId w:val="23"/>
        </w:numPr>
        <w:spacing w:before="0" w:after="160"/>
      </w:pPr>
      <w:proofErr w:type="spellStart"/>
      <w:r w:rsidRPr="008068CD">
        <w:t>Leamy</w:t>
      </w:r>
      <w:proofErr w:type="spellEnd"/>
      <w:r w:rsidRPr="008068CD">
        <w:t xml:space="preserve"> M, Bird V, Le </w:t>
      </w:r>
      <w:proofErr w:type="spellStart"/>
      <w:r w:rsidRPr="008068CD">
        <w:t>Boutillier</w:t>
      </w:r>
      <w:proofErr w:type="spellEnd"/>
      <w:r w:rsidRPr="008068CD">
        <w:t xml:space="preserve"> C, Williams </w:t>
      </w:r>
      <w:proofErr w:type="gramStart"/>
      <w:r w:rsidRPr="008068CD">
        <w:t>J,  Slade</w:t>
      </w:r>
      <w:proofErr w:type="gramEnd"/>
      <w:r w:rsidRPr="008068CD">
        <w:t xml:space="preserve"> M.  Conceptual framework for personal recovery in mental health: systematic review and narrative synthesis. </w:t>
      </w:r>
      <w:r w:rsidRPr="008068CD">
        <w:rPr>
          <w:i/>
          <w:iCs/>
        </w:rPr>
        <w:t>British Journal of Psychiatry</w:t>
      </w:r>
      <w:r w:rsidRPr="008068CD">
        <w:t xml:space="preserve">. (2011) </w:t>
      </w:r>
      <w:r w:rsidRPr="008068CD">
        <w:rPr>
          <w:bCs/>
        </w:rPr>
        <w:t>199</w:t>
      </w:r>
      <w:r w:rsidRPr="008068CD">
        <w:t xml:space="preserve">, 6: 445-452. </w:t>
      </w:r>
    </w:p>
    <w:p w14:paraId="0186F411" w14:textId="77777777" w:rsidR="00A448C9" w:rsidRPr="008068CD" w:rsidRDefault="00A448C9" w:rsidP="00A448C9">
      <w:pPr>
        <w:pStyle w:val="ListParagraph"/>
        <w:numPr>
          <w:ilvl w:val="0"/>
          <w:numId w:val="23"/>
        </w:numPr>
        <w:autoSpaceDE w:val="0"/>
        <w:autoSpaceDN w:val="0"/>
        <w:adjustRightInd w:val="0"/>
        <w:spacing w:before="0" w:after="0"/>
        <w:rPr>
          <w:rStyle w:val="Hyperlink"/>
        </w:rPr>
      </w:pPr>
      <w:r w:rsidRPr="008068CD">
        <w:t xml:space="preserve">Ramon S, Brooks H, Rae S, O’Sullivan M. Key issues in the process of implementing shared decision making (DM) in mental health practice.  </w:t>
      </w:r>
      <w:r w:rsidRPr="00DB097F">
        <w:rPr>
          <w:i/>
          <w:iCs/>
        </w:rPr>
        <w:t>Mental Health Review Journal</w:t>
      </w:r>
      <w:r w:rsidRPr="00DB097F">
        <w:t>. (2017) 22(3):257-274, DOI:</w:t>
      </w:r>
      <w:r w:rsidRPr="00DB097F">
        <w:rPr>
          <w:b/>
          <w:bCs/>
        </w:rPr>
        <w:t xml:space="preserve"> </w:t>
      </w:r>
      <w:hyperlink r:id="rId13" w:history="1">
        <w:r w:rsidRPr="008068CD">
          <w:rPr>
            <w:rStyle w:val="Hyperlink"/>
          </w:rPr>
          <w:t>https://doi.org/10.1108/MHRJ-01-2017-0006</w:t>
        </w:r>
      </w:hyperlink>
    </w:p>
    <w:p w14:paraId="314DE3CD" w14:textId="77777777" w:rsidR="00A448C9" w:rsidRPr="008068CD" w:rsidRDefault="00A448C9" w:rsidP="00A448C9">
      <w:pPr>
        <w:pStyle w:val="ListParagraph"/>
        <w:numPr>
          <w:ilvl w:val="0"/>
          <w:numId w:val="23"/>
        </w:numPr>
        <w:spacing w:before="0" w:after="160"/>
        <w:rPr>
          <w:rFonts w:eastAsia="Calibri"/>
        </w:rPr>
      </w:pPr>
      <w:r w:rsidRPr="008068CD">
        <w:rPr>
          <w:rFonts w:eastAsia="Calibri"/>
        </w:rPr>
        <w:t xml:space="preserve">Adams T, Holman Jones S, Ellis C. </w:t>
      </w:r>
      <w:r w:rsidRPr="008068CD">
        <w:rPr>
          <w:rFonts w:eastAsia="Calibri"/>
          <w:i/>
          <w:iCs/>
        </w:rPr>
        <w:t>Autoethnography: Understanding Qualitative Research</w:t>
      </w:r>
      <w:r w:rsidRPr="008068CD">
        <w:rPr>
          <w:rFonts w:eastAsia="Calibri"/>
        </w:rPr>
        <w:t>. Oxford University Press, New York. (2015)</w:t>
      </w:r>
    </w:p>
    <w:p w14:paraId="14290F16" w14:textId="77777777" w:rsidR="00A448C9" w:rsidRPr="008068CD" w:rsidRDefault="00A448C9" w:rsidP="00A448C9">
      <w:pPr>
        <w:pStyle w:val="ListParagraph"/>
        <w:numPr>
          <w:ilvl w:val="0"/>
          <w:numId w:val="23"/>
        </w:numPr>
        <w:spacing w:before="0" w:after="160"/>
        <w:rPr>
          <w:rFonts w:eastAsia="Calibri"/>
        </w:rPr>
      </w:pPr>
      <w:r w:rsidRPr="008068CD">
        <w:rPr>
          <w:rFonts w:eastAsia="Calibri"/>
        </w:rPr>
        <w:t xml:space="preserve">Denzin N. </w:t>
      </w:r>
      <w:r w:rsidRPr="008068CD">
        <w:rPr>
          <w:rFonts w:eastAsia="Calibri"/>
          <w:i/>
          <w:iCs/>
        </w:rPr>
        <w:t>Interpretive Autoethnography</w:t>
      </w:r>
      <w:r w:rsidRPr="008068CD">
        <w:rPr>
          <w:rFonts w:eastAsia="Calibri"/>
        </w:rPr>
        <w:t>. Sage, Thousand Oaks.  (2017).</w:t>
      </w:r>
    </w:p>
    <w:p w14:paraId="06347548" w14:textId="77777777" w:rsidR="00A448C9" w:rsidRPr="00DB097F" w:rsidRDefault="00A448C9" w:rsidP="00A448C9">
      <w:pPr>
        <w:pStyle w:val="ListParagraph"/>
        <w:numPr>
          <w:ilvl w:val="0"/>
          <w:numId w:val="23"/>
        </w:numPr>
        <w:autoSpaceDE w:val="0"/>
        <w:autoSpaceDN w:val="0"/>
        <w:adjustRightInd w:val="0"/>
        <w:spacing w:before="0" w:after="0"/>
        <w:rPr>
          <w:rFonts w:eastAsia="Calibri"/>
        </w:rPr>
      </w:pPr>
      <w:r w:rsidRPr="008068CD">
        <w:rPr>
          <w:rFonts w:eastAsia="Calibri"/>
        </w:rPr>
        <w:t xml:space="preserve">Elwyn G, Durand M, Song J, </w:t>
      </w:r>
      <w:proofErr w:type="spellStart"/>
      <w:r w:rsidRPr="008068CD">
        <w:rPr>
          <w:rFonts w:eastAsia="Calibri"/>
        </w:rPr>
        <w:t>Aarts</w:t>
      </w:r>
      <w:proofErr w:type="spellEnd"/>
      <w:r w:rsidRPr="008068CD">
        <w:rPr>
          <w:rFonts w:eastAsia="Calibri"/>
        </w:rPr>
        <w:t xml:space="preserve"> J, Barr P, Berger Z, et al. A three-talk model for shared decision making: multistage consultation process.  </w:t>
      </w:r>
      <w:r w:rsidRPr="008068CD">
        <w:rPr>
          <w:rFonts w:eastAsia="Calibri"/>
          <w:i/>
          <w:iCs/>
        </w:rPr>
        <w:t>BMJ</w:t>
      </w:r>
      <w:r w:rsidRPr="00DB097F">
        <w:rPr>
          <w:rFonts w:eastAsia="Calibri"/>
        </w:rPr>
        <w:t xml:space="preserve"> (2017) </w:t>
      </w:r>
      <w:proofErr w:type="gramStart"/>
      <w:r w:rsidRPr="00DB097F">
        <w:rPr>
          <w:rFonts w:eastAsia="Calibri"/>
        </w:rPr>
        <w:t>359:j</w:t>
      </w:r>
      <w:proofErr w:type="gramEnd"/>
      <w:r w:rsidRPr="00DB097F">
        <w:rPr>
          <w:rFonts w:eastAsia="Calibri"/>
        </w:rPr>
        <w:t>4891</w:t>
      </w:r>
    </w:p>
    <w:p w14:paraId="2584026B" w14:textId="77777777" w:rsidR="00A448C9" w:rsidRPr="008068CD" w:rsidRDefault="008068CD" w:rsidP="00A448C9">
      <w:pPr>
        <w:ind w:firstLine="720"/>
        <w:rPr>
          <w:rStyle w:val="Hyperlink"/>
          <w:rFonts w:eastAsia="Calibri" w:cs="Times New Roman"/>
          <w:szCs w:val="24"/>
        </w:rPr>
      </w:pPr>
      <w:hyperlink r:id="rId14" w:history="1">
        <w:r w:rsidR="00A448C9" w:rsidRPr="008068CD">
          <w:rPr>
            <w:rStyle w:val="Hyperlink"/>
            <w:rFonts w:cs="Times New Roman"/>
            <w:color w:val="0000FF" w:themeColor="hyperlink"/>
            <w:szCs w:val="24"/>
          </w:rPr>
          <w:t>http://dx.doi.org/10.1136/bmj.j4891</w:t>
        </w:r>
      </w:hyperlink>
    </w:p>
    <w:p w14:paraId="545D87FE" w14:textId="77777777" w:rsidR="00A448C9" w:rsidRPr="008068CD" w:rsidRDefault="00A448C9" w:rsidP="00A448C9">
      <w:pPr>
        <w:pStyle w:val="ListParagraph"/>
        <w:numPr>
          <w:ilvl w:val="0"/>
          <w:numId w:val="23"/>
        </w:numPr>
        <w:autoSpaceDE w:val="0"/>
        <w:autoSpaceDN w:val="0"/>
        <w:adjustRightInd w:val="0"/>
        <w:spacing w:before="0" w:after="0"/>
        <w:rPr>
          <w:rFonts w:eastAsia="Calibri"/>
        </w:rPr>
      </w:pPr>
      <w:r w:rsidRPr="008068CD">
        <w:rPr>
          <w:rFonts w:eastAsia="Calibri"/>
        </w:rPr>
        <w:t>Coffey M, Hannigan B, Barlow S, Cartwright M, Cohen R, Faulkner A, et al.  Recovery-focused mental health care planning and co-ordination in acute inpatient mental health settings: a cross national comparative mixed methods study.</w:t>
      </w:r>
      <w:r w:rsidRPr="008068CD">
        <w:rPr>
          <w:rFonts w:eastAsia="Calibri"/>
          <w:i/>
          <w:iCs/>
        </w:rPr>
        <w:t xml:space="preserve">  BMC Psychiatry</w:t>
      </w:r>
      <w:r w:rsidRPr="008068CD">
        <w:rPr>
          <w:rFonts w:eastAsia="Calibri"/>
        </w:rPr>
        <w:t xml:space="preserve">. (2019) 19:115 </w:t>
      </w:r>
      <w:hyperlink r:id="rId15" w:history="1">
        <w:r w:rsidRPr="008068CD">
          <w:rPr>
            <w:rStyle w:val="Hyperlink"/>
          </w:rPr>
          <w:t>https://doi.org/10.1186/s12888-019-2094</w:t>
        </w:r>
      </w:hyperlink>
    </w:p>
    <w:p w14:paraId="6E0D9C30" w14:textId="3356EE19" w:rsidR="0071504A" w:rsidRPr="00820F66" w:rsidRDefault="00DD596A" w:rsidP="006532C3">
      <w:pPr>
        <w:pStyle w:val="ListParagraph"/>
        <w:numPr>
          <w:ilvl w:val="0"/>
          <w:numId w:val="23"/>
        </w:numPr>
        <w:autoSpaceDE w:val="0"/>
        <w:autoSpaceDN w:val="0"/>
        <w:adjustRightInd w:val="0"/>
        <w:spacing w:before="0" w:after="0"/>
        <w:rPr>
          <w:rFonts w:eastAsia="Calibri"/>
        </w:rPr>
      </w:pPr>
      <w:proofErr w:type="spellStart"/>
      <w:r w:rsidRPr="00820F66">
        <w:rPr>
          <w:rFonts w:eastAsia="Calibri"/>
        </w:rPr>
        <w:t>Kokanović</w:t>
      </w:r>
      <w:proofErr w:type="spellEnd"/>
      <w:r w:rsidRPr="00820F66">
        <w:rPr>
          <w:rFonts w:eastAsia="Calibri"/>
        </w:rPr>
        <w:t xml:space="preserve"> R, Brophy L, McSherry B, Flore J, Moeller-</w:t>
      </w:r>
      <w:proofErr w:type="spellStart"/>
      <w:r w:rsidRPr="00820F66">
        <w:rPr>
          <w:rFonts w:eastAsia="Calibri"/>
        </w:rPr>
        <w:t>Saxone</w:t>
      </w:r>
      <w:proofErr w:type="spellEnd"/>
      <w:r w:rsidRPr="00820F66">
        <w:rPr>
          <w:rFonts w:eastAsia="Calibri"/>
        </w:rPr>
        <w:t xml:space="preserve"> K, </w:t>
      </w:r>
      <w:proofErr w:type="spellStart"/>
      <w:r w:rsidRPr="00820F66">
        <w:rPr>
          <w:rFonts w:eastAsia="Calibri"/>
        </w:rPr>
        <w:t>Herrman</w:t>
      </w:r>
      <w:proofErr w:type="spellEnd"/>
      <w:r w:rsidRPr="00820F66">
        <w:rPr>
          <w:rFonts w:eastAsia="Calibri"/>
        </w:rPr>
        <w:t xml:space="preserve">, H. Supported decision-making from the perspectives of mental health service users, family members supporting them and mental health practitioners.  </w:t>
      </w:r>
      <w:r w:rsidRPr="00820F66">
        <w:rPr>
          <w:rFonts w:eastAsia="Calibri"/>
          <w:i/>
          <w:iCs/>
        </w:rPr>
        <w:t>Australian &amp; New Zealand Journal of Psychiatry (</w:t>
      </w:r>
      <w:r w:rsidRPr="00820F66">
        <w:rPr>
          <w:rFonts w:eastAsia="Calibri"/>
        </w:rPr>
        <w:t>2018) 52(9) 826–833. DOI: 10.1177/0004867418784177</w:t>
      </w:r>
    </w:p>
    <w:p w14:paraId="06ABF292" w14:textId="6C1484CC" w:rsidR="00DD596A" w:rsidRPr="00820F66" w:rsidRDefault="0031359B">
      <w:pPr>
        <w:pStyle w:val="ListParagraph"/>
        <w:numPr>
          <w:ilvl w:val="0"/>
          <w:numId w:val="23"/>
        </w:numPr>
        <w:autoSpaceDE w:val="0"/>
        <w:autoSpaceDN w:val="0"/>
        <w:adjustRightInd w:val="0"/>
        <w:spacing w:before="0" w:after="0"/>
        <w:rPr>
          <w:rFonts w:eastAsia="Calibri"/>
        </w:rPr>
      </w:pPr>
      <w:proofErr w:type="spellStart"/>
      <w:r w:rsidRPr="00DB097F">
        <w:rPr>
          <w:rFonts w:eastAsia="Calibri"/>
        </w:rPr>
        <w:t>Stovell</w:t>
      </w:r>
      <w:proofErr w:type="spellEnd"/>
      <w:r w:rsidRPr="00DB097F">
        <w:rPr>
          <w:rFonts w:eastAsia="Calibri"/>
        </w:rPr>
        <w:t xml:space="preserve"> D, Morrison A, Panayiotou P, Hutton P. Shared treatment decision-making and empowerment-related outcomes in psychosis: systematic review and meta-analysis. </w:t>
      </w:r>
      <w:r w:rsidRPr="00DB097F">
        <w:rPr>
          <w:rFonts w:eastAsia="Calibri"/>
          <w:i/>
          <w:iCs/>
        </w:rPr>
        <w:t xml:space="preserve">The British Journal of Psychiatry </w:t>
      </w:r>
      <w:r w:rsidRPr="00DB097F">
        <w:rPr>
          <w:rFonts w:eastAsia="Calibri"/>
        </w:rPr>
        <w:t xml:space="preserve">(2016) 209: 23–28. </w:t>
      </w:r>
      <w:proofErr w:type="spellStart"/>
      <w:r w:rsidRPr="00DB097F">
        <w:rPr>
          <w:rFonts w:eastAsia="Calibri"/>
          <w:u w:val="single"/>
        </w:rPr>
        <w:t>doi</w:t>
      </w:r>
      <w:proofErr w:type="spellEnd"/>
      <w:r w:rsidRPr="00DB097F">
        <w:rPr>
          <w:rFonts w:eastAsia="Calibri"/>
          <w:u w:val="single"/>
        </w:rPr>
        <w:t>: 10.1192/bjp.bp.114.158931</w:t>
      </w:r>
    </w:p>
    <w:p w14:paraId="72291980" w14:textId="77777777" w:rsidR="00B84118" w:rsidRPr="00DB097F" w:rsidRDefault="00B84118" w:rsidP="00B84118">
      <w:pPr>
        <w:pStyle w:val="ListParagraph"/>
        <w:numPr>
          <w:ilvl w:val="0"/>
          <w:numId w:val="23"/>
        </w:numPr>
      </w:pPr>
      <w:r w:rsidRPr="00DB097F">
        <w:t xml:space="preserve">Simmons, M., Hetrick, S, </w:t>
      </w:r>
      <w:proofErr w:type="spellStart"/>
      <w:r w:rsidRPr="00DB097F">
        <w:t>Jorm</w:t>
      </w:r>
      <w:proofErr w:type="spellEnd"/>
      <w:r w:rsidRPr="00DB097F">
        <w:t xml:space="preserve"> A.  Experiences of treatment decision making for young people diagnosed with depressive disorders: a qualitative study in primary care and specialist mental health settings. </w:t>
      </w:r>
      <w:r w:rsidRPr="00DB097F">
        <w:rPr>
          <w:i/>
          <w:iCs/>
        </w:rPr>
        <w:t>BMC Psychiatry</w:t>
      </w:r>
      <w:r w:rsidRPr="00DB097F">
        <w:t xml:space="preserve"> (</w:t>
      </w:r>
      <w:proofErr w:type="gramStart"/>
      <w:r w:rsidRPr="00DB097F">
        <w:t>201)11:194</w:t>
      </w:r>
      <w:proofErr w:type="gramEnd"/>
      <w:r w:rsidRPr="00DB097F">
        <w:t>-207</w:t>
      </w:r>
    </w:p>
    <w:p w14:paraId="0EC396F8" w14:textId="77777777" w:rsidR="00A448C9" w:rsidRPr="00DB097F" w:rsidRDefault="00A448C9" w:rsidP="00A448C9">
      <w:pPr>
        <w:pStyle w:val="ListParagraph"/>
        <w:numPr>
          <w:ilvl w:val="0"/>
          <w:numId w:val="23"/>
        </w:numPr>
        <w:autoSpaceDE w:val="0"/>
        <w:autoSpaceDN w:val="0"/>
        <w:adjustRightInd w:val="0"/>
        <w:spacing w:before="0" w:after="0"/>
        <w:rPr>
          <w:rFonts w:eastAsia="Calibri"/>
        </w:rPr>
      </w:pPr>
      <w:r w:rsidRPr="00DB097F">
        <w:rPr>
          <w:rFonts w:eastAsia="Calibri"/>
        </w:rPr>
        <w:t>National Institute for Health and Clinical Excellence. Service user experience in adult mental health: improving the experience of care for people using adult NHS mental health services. CG136</w:t>
      </w:r>
      <w:r w:rsidRPr="00DB097F">
        <w:rPr>
          <w:rFonts w:eastAsia="Calibri"/>
          <w:i/>
          <w:iCs/>
        </w:rPr>
        <w:t>.</w:t>
      </w:r>
      <w:r w:rsidRPr="00DB097F">
        <w:rPr>
          <w:rFonts w:eastAsia="Calibri"/>
        </w:rPr>
        <w:t xml:space="preserve"> London: National Institute. (2012).</w:t>
      </w:r>
    </w:p>
    <w:p w14:paraId="00836B29" w14:textId="77777777" w:rsidR="00A448C9" w:rsidRPr="00DB097F" w:rsidRDefault="00A448C9" w:rsidP="00A448C9">
      <w:pPr>
        <w:pStyle w:val="ListParagraph"/>
        <w:numPr>
          <w:ilvl w:val="0"/>
          <w:numId w:val="23"/>
        </w:numPr>
        <w:spacing w:before="0" w:after="160"/>
        <w:rPr>
          <w:rFonts w:eastAsia="Calibri"/>
        </w:rPr>
      </w:pPr>
      <w:r w:rsidRPr="00DB097F">
        <w:rPr>
          <w:rFonts w:eastAsia="Calibri"/>
        </w:rPr>
        <w:lastRenderedPageBreak/>
        <w:t xml:space="preserve">NHS England and NHS Improvement (2019) Shared Decision Making: Summary guide.  </w:t>
      </w:r>
      <w:r w:rsidRPr="00DB097F">
        <w:rPr>
          <w:rFonts w:eastAsia="Times New Roman"/>
          <w:color w:val="0E0E0E"/>
          <w:lang w:eastAsia="en-GB"/>
        </w:rPr>
        <w:t xml:space="preserve">Available at:  </w:t>
      </w:r>
      <w:proofErr w:type="gramStart"/>
      <w:r w:rsidRPr="00DB097F">
        <w:rPr>
          <w:rFonts w:eastAsia="Calibri"/>
        </w:rPr>
        <w:t>https://www.england.nhs.uk/publication/shared-decision-making-summary-guide/  [</w:t>
      </w:r>
      <w:proofErr w:type="gramEnd"/>
      <w:r w:rsidRPr="00DB097F">
        <w:rPr>
          <w:rFonts w:eastAsia="Calibri"/>
        </w:rPr>
        <w:t>Accessed 30.09.20]</w:t>
      </w:r>
    </w:p>
    <w:p w14:paraId="4CB2A6D0" w14:textId="77777777" w:rsidR="00A448C9" w:rsidRPr="008068CD" w:rsidRDefault="00A448C9" w:rsidP="00A448C9">
      <w:pPr>
        <w:pStyle w:val="ListParagraph"/>
        <w:numPr>
          <w:ilvl w:val="0"/>
          <w:numId w:val="23"/>
        </w:numPr>
        <w:spacing w:before="0" w:after="160"/>
        <w:rPr>
          <w:rFonts w:eastAsia="Calibri"/>
        </w:rPr>
      </w:pPr>
      <w:r w:rsidRPr="00DB097F">
        <w:rPr>
          <w:rFonts w:eastAsia="Calibri"/>
          <w:shd w:val="clear" w:color="auto" w:fill="FFFFFF"/>
        </w:rPr>
        <w:t xml:space="preserve">Morant N, </w:t>
      </w:r>
      <w:proofErr w:type="spellStart"/>
      <w:r w:rsidRPr="00DB097F">
        <w:rPr>
          <w:rFonts w:eastAsia="Calibri"/>
          <w:shd w:val="clear" w:color="auto" w:fill="FFFFFF"/>
        </w:rPr>
        <w:t>Kaminskiy</w:t>
      </w:r>
      <w:proofErr w:type="spellEnd"/>
      <w:r w:rsidRPr="00DB097F">
        <w:rPr>
          <w:rFonts w:eastAsia="Calibri"/>
          <w:shd w:val="clear" w:color="auto" w:fill="FFFFFF"/>
        </w:rPr>
        <w:t xml:space="preserve"> E, Ramon S.  Shared decision making for psychiatric medication management: beyond the micro‐social. </w:t>
      </w:r>
      <w:r w:rsidRPr="00DB097F">
        <w:rPr>
          <w:rFonts w:eastAsia="Calibri"/>
          <w:i/>
          <w:iCs/>
          <w:shd w:val="clear" w:color="auto" w:fill="FFFFFF"/>
        </w:rPr>
        <w:t>Health Expectations</w:t>
      </w:r>
      <w:r w:rsidRPr="00DB097F">
        <w:rPr>
          <w:rFonts w:eastAsia="Calibri"/>
          <w:shd w:val="clear" w:color="auto" w:fill="FFFFFF"/>
        </w:rPr>
        <w:t xml:space="preserve"> (2016) 19, 5: 1002 – 1014. </w:t>
      </w:r>
      <w:hyperlink r:id="rId16" w:history="1">
        <w:r w:rsidRPr="008068CD">
          <w:rPr>
            <w:rStyle w:val="Hyperlink"/>
          </w:rPr>
          <w:t>https://doi.org/10.1111/hex.12392</w:t>
        </w:r>
      </w:hyperlink>
    </w:p>
    <w:p w14:paraId="7CB645C3" w14:textId="77777777" w:rsidR="00A448C9" w:rsidRPr="008068CD" w:rsidRDefault="00A448C9" w:rsidP="00A448C9">
      <w:pPr>
        <w:pStyle w:val="ListParagraph"/>
        <w:numPr>
          <w:ilvl w:val="0"/>
          <w:numId w:val="23"/>
        </w:numPr>
        <w:spacing w:before="0" w:after="160"/>
        <w:rPr>
          <w:rFonts w:eastAsia="Calibri"/>
        </w:rPr>
      </w:pPr>
      <w:r w:rsidRPr="008068CD">
        <w:rPr>
          <w:rFonts w:eastAsia="Calibri"/>
        </w:rPr>
        <w:t>Human Rights Act. London: HMSO. (1998)</w:t>
      </w:r>
    </w:p>
    <w:p w14:paraId="779F4B17" w14:textId="77777777" w:rsidR="00A448C9" w:rsidRPr="008068CD" w:rsidRDefault="00A448C9" w:rsidP="00A448C9">
      <w:pPr>
        <w:pStyle w:val="ListParagraph"/>
        <w:numPr>
          <w:ilvl w:val="0"/>
          <w:numId w:val="23"/>
        </w:numPr>
        <w:autoSpaceDE w:val="0"/>
        <w:autoSpaceDN w:val="0"/>
        <w:adjustRightInd w:val="0"/>
        <w:spacing w:before="0" w:after="0"/>
        <w:rPr>
          <w:rStyle w:val="Hyperlink"/>
          <w:rFonts w:eastAsia="Calibri"/>
        </w:rPr>
      </w:pPr>
      <w:r w:rsidRPr="008068CD">
        <w:t>Stephenson L, Gergel T, Ruck Keene A, Rifkin L, Owen G. The PACT advance decision-making template: preparing for Mental Health Act reforms with co-production, focus groups and consultation.</w:t>
      </w:r>
      <w:r w:rsidRPr="008068CD">
        <w:rPr>
          <w:i/>
          <w:iCs/>
        </w:rPr>
        <w:t xml:space="preserve"> International Journal of Law and Psychiatry</w:t>
      </w:r>
      <w:r w:rsidRPr="008068CD">
        <w:t xml:space="preserve"> (2020). 71: 101563. </w:t>
      </w:r>
      <w:hyperlink r:id="rId17" w:tgtFrame="_blank" w:tooltip="Persistent link using digital object identifier" w:history="1">
        <w:r w:rsidRPr="008068CD">
          <w:rPr>
            <w:rStyle w:val="Hyperlink"/>
          </w:rPr>
          <w:t>https://doi.org/10.1016/j.ijlp.2020.101563</w:t>
        </w:r>
      </w:hyperlink>
    </w:p>
    <w:p w14:paraId="351097EF" w14:textId="28B86482" w:rsidR="00A448C9" w:rsidRPr="008068CD" w:rsidRDefault="00A448C9" w:rsidP="00A448C9">
      <w:pPr>
        <w:pStyle w:val="ListParagraph"/>
        <w:numPr>
          <w:ilvl w:val="0"/>
          <w:numId w:val="23"/>
        </w:numPr>
        <w:autoSpaceDE w:val="0"/>
        <w:autoSpaceDN w:val="0"/>
        <w:adjustRightInd w:val="0"/>
        <w:spacing w:before="0" w:after="0"/>
      </w:pPr>
      <w:r w:rsidRPr="008068CD">
        <w:t xml:space="preserve">Slade M. Implementing shared decision making in routine mental health care. </w:t>
      </w:r>
      <w:r w:rsidRPr="008068CD">
        <w:rPr>
          <w:i/>
          <w:iCs/>
        </w:rPr>
        <w:t>World Psychiatry.</w:t>
      </w:r>
      <w:r w:rsidRPr="008068CD">
        <w:t xml:space="preserve"> (2017</w:t>
      </w:r>
      <w:proofErr w:type="gramStart"/>
      <w:r w:rsidRPr="008068CD">
        <w:t>);16:146</w:t>
      </w:r>
      <w:proofErr w:type="gramEnd"/>
      <w:r w:rsidRPr="008068CD">
        <w:t>–153</w:t>
      </w:r>
    </w:p>
    <w:p w14:paraId="44F49B81" w14:textId="636C986F" w:rsidR="00D43744" w:rsidRPr="008068CD" w:rsidRDefault="00D43744" w:rsidP="00820F66">
      <w:pPr>
        <w:pStyle w:val="ListParagraph"/>
        <w:numPr>
          <w:ilvl w:val="0"/>
          <w:numId w:val="23"/>
        </w:numPr>
        <w:shd w:val="clear" w:color="auto" w:fill="FFFFFF"/>
        <w:spacing w:after="0"/>
      </w:pPr>
      <w:hyperlink r:id="rId18" w:history="1">
        <w:r w:rsidRPr="008068CD">
          <w:rPr>
            <w:rFonts w:eastAsia="Times New Roman"/>
            <w:lang w:eastAsia="en-GB" w:bidi="he-IL"/>
          </w:rPr>
          <w:t>Simmons</w:t>
        </w:r>
      </w:hyperlink>
      <w:r w:rsidRPr="008068CD">
        <w:rPr>
          <w:rFonts w:eastAsia="Times New Roman"/>
          <w:lang w:eastAsia="en-GB" w:bidi="he-IL"/>
        </w:rPr>
        <w:t xml:space="preserve"> , M., </w:t>
      </w:r>
      <w:hyperlink r:id="rId19" w:history="1">
        <w:r w:rsidRPr="008068CD">
          <w:rPr>
            <w:rFonts w:eastAsia="Times New Roman"/>
            <w:lang w:eastAsia="en-GB" w:bidi="he-IL"/>
          </w:rPr>
          <w:t>Coates</w:t>
        </w:r>
      </w:hyperlink>
      <w:r w:rsidRPr="008068CD">
        <w:rPr>
          <w:rFonts w:eastAsia="Times New Roman"/>
          <w:lang w:eastAsia="en-GB" w:bidi="he-IL"/>
        </w:rPr>
        <w:t xml:space="preserve">, D., </w:t>
      </w:r>
      <w:hyperlink r:id="rId20" w:history="1">
        <w:r w:rsidRPr="008068CD">
          <w:rPr>
            <w:rFonts w:eastAsia="Times New Roman"/>
            <w:lang w:eastAsia="en-GB" w:bidi="he-IL"/>
          </w:rPr>
          <w:t>Batchelor</w:t>
        </w:r>
      </w:hyperlink>
      <w:r w:rsidRPr="008068CD">
        <w:rPr>
          <w:rFonts w:eastAsia="Times New Roman"/>
          <w:lang w:eastAsia="en-GB" w:bidi="he-IL"/>
        </w:rPr>
        <w:t>, S.,  </w:t>
      </w:r>
      <w:hyperlink r:id="rId21" w:history="1">
        <w:r w:rsidRPr="008068CD">
          <w:rPr>
            <w:rFonts w:eastAsia="Times New Roman"/>
            <w:lang w:eastAsia="en-GB" w:bidi="he-IL"/>
          </w:rPr>
          <w:t>Dimopoulos‐Bick</w:t>
        </w:r>
      </w:hyperlink>
      <w:r w:rsidRPr="008068CD">
        <w:rPr>
          <w:rFonts w:eastAsia="Times New Roman"/>
          <w:lang w:eastAsia="en-GB" w:bidi="he-IL"/>
        </w:rPr>
        <w:t>, T.,  </w:t>
      </w:r>
      <w:hyperlink r:id="rId22" w:history="1">
        <w:r w:rsidRPr="008068CD">
          <w:rPr>
            <w:rFonts w:eastAsia="Times New Roman"/>
            <w:lang w:eastAsia="en-GB" w:bidi="he-IL"/>
          </w:rPr>
          <w:t>Howe</w:t>
        </w:r>
      </w:hyperlink>
      <w:r w:rsidRPr="008068CD">
        <w:rPr>
          <w:rFonts w:eastAsia="Times New Roman"/>
          <w:lang w:eastAsia="en-GB" w:bidi="he-IL"/>
        </w:rPr>
        <w:t xml:space="preserve">, D., </w:t>
      </w:r>
      <w:r w:rsidRPr="008068CD">
        <w:rPr>
          <w:rFonts w:eastAsia="Times New Roman"/>
          <w:kern w:val="3"/>
          <w:lang w:eastAsia="en-GB" w:bidi="he-IL"/>
        </w:rPr>
        <w:t xml:space="preserve">The CHOICE pilot project: Challenges of implementing a combined peer work and shared decision‐making </w:t>
      </w:r>
      <w:proofErr w:type="spellStart"/>
      <w:r w:rsidRPr="008068CD">
        <w:rPr>
          <w:rFonts w:eastAsia="Times New Roman"/>
          <w:kern w:val="3"/>
          <w:lang w:eastAsia="en-GB" w:bidi="he-IL"/>
        </w:rPr>
        <w:t>programme</w:t>
      </w:r>
      <w:proofErr w:type="spellEnd"/>
      <w:r w:rsidRPr="008068CD">
        <w:rPr>
          <w:rFonts w:eastAsia="Times New Roman"/>
          <w:kern w:val="3"/>
          <w:lang w:eastAsia="en-GB" w:bidi="he-IL"/>
        </w:rPr>
        <w:t xml:space="preserve"> in an early intervention service.  </w:t>
      </w:r>
      <w:r w:rsidRPr="008068CD">
        <w:rPr>
          <w:i/>
          <w:iCs/>
        </w:rPr>
        <w:t>Early Intervention in Psychiatry</w:t>
      </w:r>
      <w:r w:rsidRPr="008068CD">
        <w:t xml:space="preserve"> (2018) 12:964–</w:t>
      </w:r>
      <w:r w:rsidRPr="00DB097F">
        <w:t xml:space="preserve">971. </w:t>
      </w:r>
      <w:hyperlink r:id="rId23" w:history="1">
        <w:r w:rsidRPr="008068CD">
          <w:rPr>
            <w:rFonts w:eastAsia="Times New Roman"/>
            <w:lang w:eastAsia="en-GB" w:bidi="he-IL"/>
          </w:rPr>
          <w:t>https://doi.org/10.1111/eip.12527</w:t>
        </w:r>
      </w:hyperlink>
    </w:p>
    <w:p w14:paraId="58A178ED" w14:textId="77777777" w:rsidR="00A448C9" w:rsidRPr="008068CD" w:rsidRDefault="00A448C9" w:rsidP="00A448C9">
      <w:pPr>
        <w:pStyle w:val="ListParagraph"/>
        <w:numPr>
          <w:ilvl w:val="0"/>
          <w:numId w:val="23"/>
        </w:numPr>
        <w:shd w:val="clear" w:color="auto" w:fill="FFFFFF"/>
        <w:spacing w:before="0" w:after="160"/>
      </w:pPr>
      <w:r w:rsidRPr="008068CD">
        <w:rPr>
          <w:rFonts w:eastAsia="Times New Roman"/>
          <w:lang w:eastAsia="en-GB"/>
        </w:rPr>
        <w:t xml:space="preserve">Fox J. </w:t>
      </w:r>
      <w:proofErr w:type="spellStart"/>
      <w:r w:rsidRPr="008068CD">
        <w:rPr>
          <w:rFonts w:eastAsia="Times New Roman"/>
          <w:lang w:eastAsia="en-GB"/>
        </w:rPr>
        <w:t>Videmsek</w:t>
      </w:r>
      <w:proofErr w:type="spellEnd"/>
      <w:r w:rsidRPr="008068CD">
        <w:rPr>
          <w:rFonts w:eastAsia="Times New Roman"/>
          <w:lang w:eastAsia="en-GB"/>
        </w:rPr>
        <w:t xml:space="preserve"> P, </w:t>
      </w:r>
      <w:proofErr w:type="gramStart"/>
      <w:r w:rsidRPr="008068CD">
        <w:t>Looking</w:t>
      </w:r>
      <w:proofErr w:type="gramEnd"/>
      <w:r w:rsidRPr="008068CD">
        <w:t xml:space="preserve"> back, looking forward: using a </w:t>
      </w:r>
      <w:proofErr w:type="spellStart"/>
      <w:r w:rsidRPr="008068CD">
        <w:t>duoethnographic</w:t>
      </w:r>
      <w:proofErr w:type="spellEnd"/>
      <w:r w:rsidRPr="008068CD">
        <w:t xml:space="preserve"> study to explore the role of personal positioning in social work education in the UK and Slovenia.  </w:t>
      </w:r>
      <w:r w:rsidRPr="008068CD">
        <w:rPr>
          <w:i/>
          <w:iCs/>
        </w:rPr>
        <w:t>European Journal of Social Work</w:t>
      </w:r>
      <w:r w:rsidRPr="008068CD">
        <w:t>. (2019); DOI: </w:t>
      </w:r>
      <w:hyperlink r:id="rId24" w:history="1">
        <w:r w:rsidRPr="008068CD">
          <w:rPr>
            <w:rStyle w:val="Hyperlink"/>
            <w:bdr w:val="none" w:sz="0" w:space="0" w:color="auto" w:frame="1"/>
          </w:rPr>
          <w:t>10.1080/13691457.2019.1689927</w:t>
        </w:r>
      </w:hyperlink>
    </w:p>
    <w:p w14:paraId="45A8F26A" w14:textId="77777777" w:rsidR="00A448C9" w:rsidRPr="008068CD" w:rsidRDefault="00A448C9" w:rsidP="001F21B7">
      <w:pPr>
        <w:pStyle w:val="ListParagraph"/>
        <w:numPr>
          <w:ilvl w:val="0"/>
          <w:numId w:val="23"/>
        </w:numPr>
        <w:spacing w:before="0" w:after="160"/>
        <w:rPr>
          <w:rFonts w:eastAsia="Calibri"/>
        </w:rPr>
      </w:pPr>
      <w:r w:rsidRPr="008068CD">
        <w:rPr>
          <w:rFonts w:eastAsia="Calibri"/>
        </w:rPr>
        <w:t xml:space="preserve">Fox J, Gasper R. The choice to disclose (or not) mental health ill-health in UK higher education institutions: a </w:t>
      </w:r>
      <w:proofErr w:type="spellStart"/>
      <w:r w:rsidRPr="008068CD">
        <w:rPr>
          <w:rFonts w:eastAsia="Calibri"/>
        </w:rPr>
        <w:t>duoethnography</w:t>
      </w:r>
      <w:proofErr w:type="spellEnd"/>
      <w:r w:rsidRPr="008068CD">
        <w:rPr>
          <w:rFonts w:eastAsia="Calibri"/>
        </w:rPr>
        <w:t xml:space="preserve"> by two female academics. </w:t>
      </w:r>
      <w:r w:rsidRPr="008068CD">
        <w:rPr>
          <w:rFonts w:eastAsia="Calibri"/>
          <w:i/>
          <w:iCs/>
        </w:rPr>
        <w:t>Journal of Organizational Ethnography</w:t>
      </w:r>
      <w:r w:rsidRPr="008068CD">
        <w:rPr>
          <w:rFonts w:eastAsia="Calibri"/>
        </w:rPr>
        <w:t xml:space="preserve">.  (2020) </w:t>
      </w:r>
      <w:r w:rsidRPr="008068CD">
        <w:rPr>
          <w:rFonts w:eastAsia="Calibri"/>
          <w:shd w:val="clear" w:color="auto" w:fill="FFFFFF"/>
        </w:rPr>
        <w:t xml:space="preserve">9, 3: 295-309. </w:t>
      </w:r>
      <w:hyperlink r:id="rId25" w:tooltip="DOI: https://doi.org/10.1108/JOE-11-2019-0040" w:history="1">
        <w:r w:rsidRPr="008068CD">
          <w:rPr>
            <w:rStyle w:val="Hyperlink"/>
            <w:bdr w:val="single" w:sz="6" w:space="0" w:color="FFFFFF" w:frame="1"/>
          </w:rPr>
          <w:t>https://doi.org/10.1108/JOE-11-2019-0040</w:t>
        </w:r>
      </w:hyperlink>
    </w:p>
    <w:p w14:paraId="7D68AFEF" w14:textId="77777777" w:rsidR="00A448C9" w:rsidRPr="008068CD" w:rsidRDefault="00A448C9">
      <w:pPr>
        <w:pStyle w:val="ListParagraph"/>
        <w:numPr>
          <w:ilvl w:val="0"/>
          <w:numId w:val="23"/>
        </w:numPr>
        <w:autoSpaceDE w:val="0"/>
        <w:autoSpaceDN w:val="0"/>
        <w:adjustRightInd w:val="0"/>
        <w:spacing w:before="0" w:after="0"/>
        <w:rPr>
          <w:rFonts w:eastAsia="Calibri"/>
        </w:rPr>
      </w:pPr>
      <w:r w:rsidRPr="008068CD">
        <w:rPr>
          <w:rFonts w:eastAsia="Calibri"/>
        </w:rPr>
        <w:t>Fook J. (2014). Learning from and researching (my own) experience: A critical</w:t>
      </w:r>
    </w:p>
    <w:p w14:paraId="34326574" w14:textId="77777777" w:rsidR="00A448C9" w:rsidRPr="008068CD" w:rsidRDefault="00A448C9">
      <w:pPr>
        <w:autoSpaceDE w:val="0"/>
        <w:autoSpaceDN w:val="0"/>
        <w:adjustRightInd w:val="0"/>
        <w:spacing w:after="0"/>
        <w:ind w:left="720"/>
        <w:rPr>
          <w:rFonts w:cs="Times New Roman"/>
          <w:szCs w:val="24"/>
        </w:rPr>
      </w:pPr>
      <w:r w:rsidRPr="008068CD">
        <w:rPr>
          <w:rFonts w:cs="Times New Roman"/>
          <w:szCs w:val="24"/>
        </w:rPr>
        <w:t xml:space="preserve">reflection on the experience of social difference.  In </w:t>
      </w:r>
      <w:r w:rsidRPr="008068CD">
        <w:rPr>
          <w:rFonts w:cs="Times New Roman"/>
          <w:i/>
          <w:iCs/>
          <w:szCs w:val="24"/>
        </w:rPr>
        <w:t>Narrating Social Work through Autoethnography</w:t>
      </w:r>
      <w:r w:rsidRPr="008068CD">
        <w:rPr>
          <w:rFonts w:cs="Times New Roman"/>
          <w:szCs w:val="24"/>
        </w:rPr>
        <w:t xml:space="preserve"> editor, </w:t>
      </w:r>
      <w:proofErr w:type="spellStart"/>
      <w:r w:rsidRPr="008068CD">
        <w:rPr>
          <w:rFonts w:cs="Times New Roman"/>
          <w:szCs w:val="24"/>
        </w:rPr>
        <w:t>Witkin</w:t>
      </w:r>
      <w:proofErr w:type="spellEnd"/>
      <w:r w:rsidRPr="008068CD">
        <w:rPr>
          <w:rFonts w:cs="Times New Roman"/>
          <w:szCs w:val="24"/>
        </w:rPr>
        <w:t xml:space="preserve"> S. New York: Columbia University Press. (2014) p. 120-140</w:t>
      </w:r>
    </w:p>
    <w:p w14:paraId="36D478C2" w14:textId="77777777" w:rsidR="00024063" w:rsidRPr="00DB097F" w:rsidRDefault="00A448C9">
      <w:pPr>
        <w:pStyle w:val="ListParagraph"/>
        <w:numPr>
          <w:ilvl w:val="0"/>
          <w:numId w:val="23"/>
        </w:numPr>
        <w:autoSpaceDE w:val="0"/>
        <w:autoSpaceDN w:val="0"/>
        <w:adjustRightInd w:val="0"/>
        <w:spacing w:before="0" w:after="0"/>
      </w:pPr>
      <w:r w:rsidRPr="00DB097F">
        <w:t xml:space="preserve">Braun V, Clarke V. Using Thematic Analysis in Psychology. </w:t>
      </w:r>
      <w:r w:rsidRPr="00DB097F">
        <w:rPr>
          <w:i/>
          <w:iCs/>
        </w:rPr>
        <w:t xml:space="preserve">Qualitative Research in Psychology </w:t>
      </w:r>
      <w:r w:rsidRPr="00DB097F">
        <w:t>(2006) 3: 77–101</w:t>
      </w:r>
    </w:p>
    <w:p w14:paraId="0C6ACFE9" w14:textId="6A377B5F" w:rsidR="00A448C9" w:rsidRPr="00820F66" w:rsidRDefault="00024063" w:rsidP="00820F66">
      <w:pPr>
        <w:pStyle w:val="Default"/>
        <w:numPr>
          <w:ilvl w:val="0"/>
          <w:numId w:val="23"/>
        </w:numPr>
      </w:pPr>
      <w:r w:rsidRPr="00820F66">
        <w:rPr>
          <w:rFonts w:ascii="Times New Roman" w:hAnsi="Times New Roman" w:cs="Times New Roman"/>
          <w:color w:val="auto"/>
        </w:rPr>
        <w:t xml:space="preserve">Fox, J. The contribution of experiential wisdom to the development of the mental health professional discourse, </w:t>
      </w:r>
      <w:r w:rsidRPr="00820F66">
        <w:rPr>
          <w:rFonts w:ascii="Times New Roman" w:hAnsi="Times New Roman" w:cs="Times New Roman"/>
          <w:i/>
          <w:iCs/>
          <w:color w:val="auto"/>
        </w:rPr>
        <w:t xml:space="preserve">Schizophrenia Bulletin </w:t>
      </w:r>
      <w:r w:rsidRPr="00820F66">
        <w:rPr>
          <w:rFonts w:ascii="Times New Roman" w:hAnsi="Times New Roman" w:cs="Times New Roman"/>
          <w:color w:val="auto"/>
        </w:rPr>
        <w:t>(2017)</w:t>
      </w:r>
      <w:r w:rsidRPr="00820F66">
        <w:rPr>
          <w:rFonts w:ascii="Times New Roman" w:hAnsi="Times New Roman" w:cs="Times New Roman"/>
          <w:i/>
          <w:iCs/>
          <w:color w:val="auto"/>
        </w:rPr>
        <w:t xml:space="preserve"> </w:t>
      </w:r>
      <w:r w:rsidRPr="00820F66">
        <w:rPr>
          <w:rFonts w:ascii="Times New Roman" w:hAnsi="Times New Roman" w:cs="Times New Roman"/>
          <w:color w:val="auto"/>
        </w:rPr>
        <w:t xml:space="preserve">43,3:481-485 </w:t>
      </w:r>
    </w:p>
    <w:p w14:paraId="78B6DD08" w14:textId="2B8609B5" w:rsidR="00A448C9" w:rsidRPr="00DB097F" w:rsidRDefault="00A448C9" w:rsidP="00A448C9">
      <w:pPr>
        <w:pStyle w:val="ListParagraph"/>
        <w:numPr>
          <w:ilvl w:val="0"/>
          <w:numId w:val="23"/>
        </w:numPr>
        <w:autoSpaceDE w:val="0"/>
        <w:autoSpaceDN w:val="0"/>
        <w:adjustRightInd w:val="0"/>
        <w:spacing w:before="0" w:after="0"/>
        <w:rPr>
          <w:rFonts w:eastAsia="Calibri"/>
        </w:rPr>
      </w:pPr>
      <w:r w:rsidRPr="00DB097F">
        <w:rPr>
          <w:rFonts w:eastAsia="Calibri"/>
        </w:rPr>
        <w:t xml:space="preserve">Ellis C. </w:t>
      </w:r>
      <w:r w:rsidRPr="00DB097F">
        <w:rPr>
          <w:rFonts w:eastAsia="Calibri"/>
          <w:i/>
          <w:iCs/>
        </w:rPr>
        <w:t>The Ethnographic I: A Methodological Novel about Autoethnography</w:t>
      </w:r>
      <w:r w:rsidRPr="00DB097F">
        <w:rPr>
          <w:rFonts w:eastAsia="Calibri"/>
        </w:rPr>
        <w:t xml:space="preserve">.  Walnut Creek: </w:t>
      </w:r>
      <w:proofErr w:type="spellStart"/>
      <w:r w:rsidRPr="00DB097F">
        <w:rPr>
          <w:rFonts w:eastAsia="Calibri"/>
        </w:rPr>
        <w:t>AltaMira</w:t>
      </w:r>
      <w:proofErr w:type="spellEnd"/>
      <w:r w:rsidRPr="00DB097F">
        <w:rPr>
          <w:rFonts w:eastAsia="Calibri"/>
        </w:rPr>
        <w:t xml:space="preserve"> press. (2004)</w:t>
      </w:r>
    </w:p>
    <w:p w14:paraId="1A4A6F60" w14:textId="77777777" w:rsidR="00A448C9" w:rsidRPr="008068CD" w:rsidRDefault="00A448C9" w:rsidP="00A448C9">
      <w:pPr>
        <w:pStyle w:val="ListParagraph"/>
        <w:numPr>
          <w:ilvl w:val="0"/>
          <w:numId w:val="23"/>
        </w:numPr>
        <w:autoSpaceDE w:val="0"/>
        <w:autoSpaceDN w:val="0"/>
        <w:adjustRightInd w:val="0"/>
        <w:spacing w:before="0" w:after="0"/>
        <w:rPr>
          <w:rFonts w:eastAsia="Calibri"/>
        </w:rPr>
      </w:pPr>
      <w:r w:rsidRPr="00DB097F">
        <w:rPr>
          <w:rFonts w:eastAsia="Calibri"/>
        </w:rPr>
        <w:t xml:space="preserve">Goldberg M, Stanger </w:t>
      </w:r>
      <w:proofErr w:type="spellStart"/>
      <w:r w:rsidRPr="00DB097F">
        <w:rPr>
          <w:rFonts w:eastAsia="Calibri"/>
        </w:rPr>
        <w:t>Elran</w:t>
      </w:r>
      <w:proofErr w:type="spellEnd"/>
      <w:r w:rsidRPr="00DB097F">
        <w:rPr>
          <w:rFonts w:eastAsia="Calibri"/>
        </w:rPr>
        <w:t xml:space="preserve"> R, Mayer Y, Lurie I.  The treatment of a patient who is also a mental health practitioner: special considerations and recommendations. </w:t>
      </w:r>
      <w:r w:rsidRPr="00DB097F">
        <w:rPr>
          <w:rFonts w:eastAsia="Calibri"/>
          <w:i/>
          <w:iCs/>
        </w:rPr>
        <w:t>Academic Psychiatry</w:t>
      </w:r>
      <w:r w:rsidRPr="00DB097F">
        <w:rPr>
          <w:rFonts w:eastAsia="Calibri"/>
        </w:rPr>
        <w:t xml:space="preserve"> (2020) 44:624–628  </w:t>
      </w:r>
      <w:hyperlink r:id="rId26" w:history="1">
        <w:r w:rsidRPr="008068CD">
          <w:rPr>
            <w:rStyle w:val="Hyperlink"/>
          </w:rPr>
          <w:t>https://doi.org/10.1007/s40596-020-01280-3</w:t>
        </w:r>
      </w:hyperlink>
    </w:p>
    <w:p w14:paraId="349F65E8" w14:textId="4602043C" w:rsidR="00A448C9" w:rsidRPr="008068CD" w:rsidRDefault="00A448C9" w:rsidP="00A448C9">
      <w:pPr>
        <w:pStyle w:val="ListParagraph"/>
        <w:numPr>
          <w:ilvl w:val="0"/>
          <w:numId w:val="23"/>
        </w:numPr>
        <w:autoSpaceDE w:val="0"/>
        <w:autoSpaceDN w:val="0"/>
        <w:adjustRightInd w:val="0"/>
        <w:spacing w:before="0" w:after="0"/>
        <w:rPr>
          <w:rFonts w:eastAsia="Calibri"/>
        </w:rPr>
      </w:pPr>
      <w:r w:rsidRPr="008068CD">
        <w:rPr>
          <w:rFonts w:eastAsia="Calibri"/>
        </w:rPr>
        <w:t xml:space="preserve">Beckett C, Maynard A, Jordan P. </w:t>
      </w:r>
      <w:r w:rsidRPr="008068CD">
        <w:rPr>
          <w:rFonts w:eastAsia="Calibri"/>
          <w:i/>
          <w:iCs/>
        </w:rPr>
        <w:t>Values and Ethics in Social Work</w:t>
      </w:r>
      <w:r w:rsidRPr="008068CD">
        <w:rPr>
          <w:rFonts w:eastAsia="Calibri"/>
        </w:rPr>
        <w:t>.</w:t>
      </w:r>
      <w:r w:rsidRPr="008068CD">
        <w:rPr>
          <w:rFonts w:eastAsia="Calibri"/>
          <w:i/>
          <w:iCs/>
        </w:rPr>
        <w:t xml:space="preserve"> </w:t>
      </w:r>
      <w:r w:rsidRPr="008068CD">
        <w:rPr>
          <w:rFonts w:eastAsia="Calibri"/>
        </w:rPr>
        <w:t>London: Sage.  (2017)</w:t>
      </w:r>
    </w:p>
    <w:p w14:paraId="604A165F" w14:textId="13808F11" w:rsidR="006532C3" w:rsidRPr="00820F66" w:rsidRDefault="006532C3" w:rsidP="00820F66">
      <w:pPr>
        <w:pStyle w:val="Default"/>
        <w:numPr>
          <w:ilvl w:val="0"/>
          <w:numId w:val="23"/>
        </w:numPr>
        <w:shd w:val="clear" w:color="auto" w:fill="FFFFFF"/>
        <w:rPr>
          <w:b/>
        </w:rPr>
      </w:pPr>
      <w:r w:rsidRPr="00820F66">
        <w:rPr>
          <w:rFonts w:ascii="Times New Roman" w:hAnsi="Times New Roman" w:cs="Times New Roman"/>
          <w:color w:val="auto"/>
        </w:rPr>
        <w:t xml:space="preserve">Fox, J.  Best practice in maternity and mental health services? A service user's perspective. </w:t>
      </w:r>
      <w:r w:rsidRPr="00820F66">
        <w:rPr>
          <w:rFonts w:ascii="Times New Roman" w:hAnsi="Times New Roman" w:cs="Times New Roman"/>
          <w:i/>
          <w:iCs/>
          <w:color w:val="auto"/>
        </w:rPr>
        <w:t>Schizophrenia Bulletin</w:t>
      </w:r>
      <w:r w:rsidRPr="00820F66">
        <w:rPr>
          <w:rFonts w:ascii="Times New Roman" w:hAnsi="Times New Roman" w:cs="Times New Roman"/>
          <w:color w:val="auto"/>
        </w:rPr>
        <w:t xml:space="preserve">, </w:t>
      </w:r>
      <w:r w:rsidRPr="008068CD">
        <w:t>(</w:t>
      </w:r>
      <w:r w:rsidRPr="00820F66">
        <w:rPr>
          <w:rStyle w:val="cit"/>
          <w:rFonts w:ascii="Times New Roman" w:hAnsi="Times New Roman" w:cs="Times New Roman"/>
          <w:color w:val="auto"/>
        </w:rPr>
        <w:t>2012 Jun</w:t>
      </w:r>
      <w:r w:rsidRPr="008068CD">
        <w:rPr>
          <w:rStyle w:val="cit"/>
        </w:rPr>
        <w:t xml:space="preserve">) </w:t>
      </w:r>
      <w:r w:rsidRPr="00820F66">
        <w:rPr>
          <w:rStyle w:val="cit"/>
          <w:rFonts w:ascii="Times New Roman" w:hAnsi="Times New Roman" w:cs="Times New Roman"/>
          <w:color w:val="auto"/>
        </w:rPr>
        <w:t>38</w:t>
      </w:r>
      <w:r w:rsidRPr="008068CD">
        <w:rPr>
          <w:rStyle w:val="cit"/>
        </w:rPr>
        <w:t xml:space="preserve">, </w:t>
      </w:r>
      <w:r w:rsidRPr="00820F66">
        <w:rPr>
          <w:rStyle w:val="cit"/>
          <w:rFonts w:ascii="Times New Roman" w:hAnsi="Times New Roman" w:cs="Times New Roman"/>
          <w:color w:val="auto"/>
        </w:rPr>
        <w:t>4:651-6.</w:t>
      </w:r>
      <w:r w:rsidRPr="00820F66">
        <w:rPr>
          <w:rFonts w:ascii="Times New Roman" w:hAnsi="Times New Roman" w:cs="Times New Roman"/>
          <w:color w:val="auto"/>
        </w:rPr>
        <w:t> D</w:t>
      </w:r>
      <w:r w:rsidRPr="00820F66">
        <w:rPr>
          <w:rStyle w:val="id-label"/>
          <w:rFonts w:ascii="Times New Roman" w:hAnsi="Times New Roman" w:cs="Times New Roman"/>
          <w:color w:val="auto"/>
        </w:rPr>
        <w:t>OI: </w:t>
      </w:r>
      <w:hyperlink r:id="rId27" w:tgtFrame="_blank" w:history="1">
        <w:r w:rsidRPr="00820F66">
          <w:rPr>
            <w:rStyle w:val="Hyperlink"/>
            <w:rFonts w:ascii="Times New Roman" w:hAnsi="Times New Roman" w:cs="Times New Roman"/>
            <w:color w:val="auto"/>
          </w:rPr>
          <w:t>10.1093/</w:t>
        </w:r>
        <w:proofErr w:type="spellStart"/>
        <w:r w:rsidRPr="00820F66">
          <w:rPr>
            <w:rStyle w:val="Hyperlink"/>
            <w:rFonts w:ascii="Times New Roman" w:hAnsi="Times New Roman" w:cs="Times New Roman"/>
            <w:color w:val="auto"/>
          </w:rPr>
          <w:t>schbul</w:t>
        </w:r>
        <w:proofErr w:type="spellEnd"/>
        <w:r w:rsidRPr="00820F66">
          <w:rPr>
            <w:rStyle w:val="Hyperlink"/>
            <w:rFonts w:ascii="Times New Roman" w:hAnsi="Times New Roman" w:cs="Times New Roman"/>
            <w:color w:val="auto"/>
          </w:rPr>
          <w:t>/sbs035</w:t>
        </w:r>
      </w:hyperlink>
      <w:r w:rsidRPr="008068CD">
        <w:rPr>
          <w:rStyle w:val="identifier"/>
        </w:rPr>
        <w:t xml:space="preserve">  </w:t>
      </w:r>
    </w:p>
    <w:p w14:paraId="6344AF91" w14:textId="24B75B7E" w:rsidR="00A448C9" w:rsidRPr="00DB097F" w:rsidRDefault="00A448C9" w:rsidP="00A448C9">
      <w:pPr>
        <w:pStyle w:val="ListParagraph"/>
        <w:numPr>
          <w:ilvl w:val="0"/>
          <w:numId w:val="23"/>
        </w:numPr>
        <w:autoSpaceDE w:val="0"/>
        <w:autoSpaceDN w:val="0"/>
        <w:adjustRightInd w:val="0"/>
        <w:spacing w:before="0" w:after="0"/>
        <w:rPr>
          <w:rFonts w:eastAsia="Calibri"/>
        </w:rPr>
      </w:pPr>
      <w:r w:rsidRPr="008068CD">
        <w:rPr>
          <w:rFonts w:eastAsia="Calibri"/>
        </w:rPr>
        <w:t xml:space="preserve">Reed K, Jaxson L. Shared decision making: Exploring the experience of mental health practitioners. </w:t>
      </w:r>
      <w:r w:rsidRPr="008068CD">
        <w:rPr>
          <w:rFonts w:eastAsia="Calibri"/>
          <w:i/>
          <w:iCs/>
        </w:rPr>
        <w:t xml:space="preserve">New Zealand Journal of Occupational Therapy. </w:t>
      </w:r>
      <w:r w:rsidRPr="00DB097F">
        <w:rPr>
          <w:rFonts w:eastAsia="Calibri"/>
        </w:rPr>
        <w:t>(2019). 66(3), 5-10.</w:t>
      </w:r>
    </w:p>
    <w:p w14:paraId="5D103107" w14:textId="293DB748" w:rsidR="00A448C9" w:rsidRPr="008068CD" w:rsidRDefault="00A448C9" w:rsidP="00A448C9">
      <w:pPr>
        <w:pStyle w:val="ListParagraph"/>
        <w:numPr>
          <w:ilvl w:val="0"/>
          <w:numId w:val="23"/>
        </w:numPr>
        <w:spacing w:before="0" w:after="160"/>
        <w:rPr>
          <w:rStyle w:val="Hyperlink"/>
          <w:rFonts w:eastAsia="Calibri"/>
        </w:rPr>
      </w:pPr>
      <w:proofErr w:type="spellStart"/>
      <w:r w:rsidRPr="00DB097F">
        <w:t>Bjønness</w:t>
      </w:r>
      <w:proofErr w:type="spellEnd"/>
      <w:r w:rsidRPr="00DB097F">
        <w:t xml:space="preserve"> S, </w:t>
      </w:r>
      <w:proofErr w:type="spellStart"/>
      <w:r w:rsidRPr="00DB097F">
        <w:t>Viksveen</w:t>
      </w:r>
      <w:proofErr w:type="spellEnd"/>
      <w:r w:rsidRPr="00DB097F">
        <w:t xml:space="preserve"> P, Olav Johannessen J, Storm M.  User participation and shared decision‑making in adolescent mental healthcare: a qualitative study of healthcare professionals’ </w:t>
      </w:r>
      <w:proofErr w:type="gramStart"/>
      <w:r w:rsidRPr="00DB097F">
        <w:t xml:space="preserve">perspectives  </w:t>
      </w:r>
      <w:r w:rsidRPr="00DB097F">
        <w:rPr>
          <w:i/>
          <w:iCs/>
        </w:rPr>
        <w:t>Child</w:t>
      </w:r>
      <w:proofErr w:type="gramEnd"/>
      <w:r w:rsidRPr="00DB097F">
        <w:rPr>
          <w:i/>
          <w:iCs/>
        </w:rPr>
        <w:t xml:space="preserve"> </w:t>
      </w:r>
      <w:proofErr w:type="spellStart"/>
      <w:r w:rsidRPr="00DB097F">
        <w:rPr>
          <w:i/>
          <w:iCs/>
        </w:rPr>
        <w:t>Adolesc</w:t>
      </w:r>
      <w:proofErr w:type="spellEnd"/>
      <w:r w:rsidRPr="00DB097F">
        <w:rPr>
          <w:i/>
          <w:iCs/>
        </w:rPr>
        <w:t xml:space="preserve"> Psychiatry </w:t>
      </w:r>
      <w:proofErr w:type="spellStart"/>
      <w:r w:rsidRPr="00DB097F">
        <w:rPr>
          <w:i/>
          <w:iCs/>
        </w:rPr>
        <w:t>Ment</w:t>
      </w:r>
      <w:proofErr w:type="spellEnd"/>
      <w:r w:rsidRPr="00DB097F">
        <w:rPr>
          <w:i/>
          <w:iCs/>
        </w:rPr>
        <w:t xml:space="preserve"> Health</w:t>
      </w:r>
      <w:r w:rsidRPr="00DB097F">
        <w:t xml:space="preserve"> (2020) 14:2 </w:t>
      </w:r>
      <w:hyperlink r:id="rId28" w:history="1">
        <w:r w:rsidRPr="008068CD">
          <w:rPr>
            <w:rStyle w:val="Hyperlink"/>
          </w:rPr>
          <w:t>https://doi.org/10.1186/s13034-020-0310-3</w:t>
        </w:r>
      </w:hyperlink>
    </w:p>
    <w:p w14:paraId="5CE14005" w14:textId="53711E55" w:rsidR="00A02D9B" w:rsidRPr="00820F66" w:rsidRDefault="00A02D9B" w:rsidP="00820F66">
      <w:pPr>
        <w:autoSpaceDE w:val="0"/>
        <w:autoSpaceDN w:val="0"/>
        <w:adjustRightInd w:val="0"/>
        <w:spacing w:before="0" w:after="0"/>
        <w:rPr>
          <w:rStyle w:val="Hyperlink"/>
          <w:shd w:val="clear" w:color="auto" w:fill="FFFFFF"/>
        </w:rPr>
      </w:pPr>
    </w:p>
    <w:p w14:paraId="5BEE4B18" w14:textId="77777777" w:rsidR="00500BCE" w:rsidRPr="00DB097F" w:rsidRDefault="00500BCE" w:rsidP="00820F66">
      <w:pPr>
        <w:pStyle w:val="Default"/>
        <w:spacing w:line="480" w:lineRule="auto"/>
        <w:ind w:left="720"/>
        <w:rPr>
          <w:rFonts w:ascii="Times New Roman" w:hAnsi="Times New Roman" w:cs="Times New Roman"/>
        </w:rPr>
      </w:pPr>
    </w:p>
    <w:p w14:paraId="0BAC9A9D" w14:textId="77777777" w:rsidR="00E57C6D" w:rsidRPr="00DB097F" w:rsidRDefault="00B91752" w:rsidP="00B91752">
      <w:pPr>
        <w:pStyle w:val="Heading1"/>
      </w:pPr>
      <w:r w:rsidRPr="00820F66">
        <w:lastRenderedPageBreak/>
        <w:t>Conflict of Interest</w:t>
      </w:r>
    </w:p>
    <w:p w14:paraId="2EBC3735" w14:textId="78EE8864" w:rsidR="00B91752" w:rsidRPr="00DB097F" w:rsidRDefault="00B91752" w:rsidP="00E57C6D">
      <w:pPr>
        <w:pStyle w:val="Heading1"/>
        <w:numPr>
          <w:ilvl w:val="0"/>
          <w:numId w:val="0"/>
        </w:numPr>
        <w:rPr>
          <w:b w:val="0"/>
          <w:bCs/>
          <w:iCs/>
        </w:rPr>
      </w:pPr>
      <w:r w:rsidRPr="00DB097F">
        <w:rPr>
          <w:rFonts w:eastAsia="Times New Roman"/>
          <w:b w:val="0"/>
          <w:bCs/>
          <w:iCs/>
          <w:lang w:val="en-GB" w:eastAsia="en-GB"/>
        </w:rPr>
        <w:t>The author declare</w:t>
      </w:r>
      <w:r w:rsidR="00E57C6D" w:rsidRPr="00DB097F">
        <w:rPr>
          <w:rFonts w:eastAsia="Times New Roman"/>
          <w:b w:val="0"/>
          <w:bCs/>
          <w:iCs/>
          <w:lang w:val="en-GB" w:eastAsia="en-GB"/>
        </w:rPr>
        <w:t>s</w:t>
      </w:r>
      <w:r w:rsidRPr="00DB097F">
        <w:rPr>
          <w:rFonts w:eastAsia="Times New Roman"/>
          <w:b w:val="0"/>
          <w:bCs/>
          <w:iCs/>
          <w:lang w:val="en-GB" w:eastAsia="en-GB"/>
        </w:rPr>
        <w:t xml:space="preserve"> that the research was conducted in the absence of any commercial or financial relationships that could be construed as a potential conflict of interest.</w:t>
      </w:r>
    </w:p>
    <w:p w14:paraId="059EB0D1" w14:textId="77777777" w:rsidR="00B91752" w:rsidRPr="00DB097F" w:rsidRDefault="00B91752" w:rsidP="00B91752">
      <w:pPr>
        <w:pStyle w:val="Heading1"/>
      </w:pPr>
      <w:r w:rsidRPr="00DB097F">
        <w:t>Author Contributions</w:t>
      </w:r>
    </w:p>
    <w:p w14:paraId="33F1FD1F" w14:textId="2D5DDB6F" w:rsidR="00B91752" w:rsidRPr="00DB097F" w:rsidRDefault="00B91752" w:rsidP="00B91752">
      <w:r w:rsidRPr="00DB097F">
        <w:rPr>
          <w:lang w:val="en-GB"/>
        </w:rPr>
        <w:t xml:space="preserve">The </w:t>
      </w:r>
      <w:r w:rsidR="00E57C6D" w:rsidRPr="00DB097F">
        <w:rPr>
          <w:lang w:val="en-GB"/>
        </w:rPr>
        <w:t>a</w:t>
      </w:r>
      <w:r w:rsidRPr="00DB097F">
        <w:rPr>
          <w:lang w:val="en-GB"/>
        </w:rPr>
        <w:t>uthor</w:t>
      </w:r>
      <w:r w:rsidR="00E57C6D" w:rsidRPr="00DB097F">
        <w:rPr>
          <w:lang w:val="en-GB"/>
        </w:rPr>
        <w:t>,</w:t>
      </w:r>
      <w:r w:rsidRPr="00DB097F">
        <w:rPr>
          <w:lang w:val="en-GB"/>
        </w:rPr>
        <w:t xml:space="preserve"> </w:t>
      </w:r>
      <w:r w:rsidR="00E57C6D" w:rsidRPr="00DB097F">
        <w:rPr>
          <w:lang w:val="en-GB"/>
        </w:rPr>
        <w:t>Joanna Fox</w:t>
      </w:r>
      <w:r w:rsidR="000347AB" w:rsidRPr="00DB097F">
        <w:rPr>
          <w:lang w:val="en-GB"/>
        </w:rPr>
        <w:t>,</w:t>
      </w:r>
      <w:r w:rsidR="00E57C6D" w:rsidRPr="00DB097F">
        <w:rPr>
          <w:lang w:val="en-GB"/>
        </w:rPr>
        <w:t xml:space="preserve"> wrote and developed this article.  There are no other contributors.</w:t>
      </w:r>
    </w:p>
    <w:p w14:paraId="658854C4" w14:textId="10DE73F9" w:rsidR="00B91752" w:rsidRPr="00DB097F" w:rsidRDefault="00B91752" w:rsidP="00B91752">
      <w:pPr>
        <w:pStyle w:val="Heading1"/>
      </w:pPr>
      <w:r w:rsidRPr="00DB097F">
        <w:t>Funding</w:t>
      </w:r>
    </w:p>
    <w:p w14:paraId="4113C071" w14:textId="231BB3DD" w:rsidR="00997868" w:rsidRPr="00DB097F" w:rsidRDefault="00997868" w:rsidP="00997868">
      <w:r w:rsidRPr="00DB097F">
        <w:t>No funding was available to support the writing of this article.</w:t>
      </w:r>
    </w:p>
    <w:p w14:paraId="4D38C37F" w14:textId="77777777" w:rsidR="00B91752" w:rsidRPr="00DB097F" w:rsidRDefault="00B91752" w:rsidP="00B91752">
      <w:pPr>
        <w:pStyle w:val="Heading1"/>
      </w:pPr>
      <w:r w:rsidRPr="00DB097F">
        <w:t>Acknowledgments</w:t>
      </w:r>
    </w:p>
    <w:p w14:paraId="76B58553" w14:textId="04B80DDD" w:rsidR="00A448C9" w:rsidRPr="00662E80" w:rsidRDefault="00997868" w:rsidP="00A448C9">
      <w:pPr>
        <w:autoSpaceDE w:val="0"/>
        <w:autoSpaceDN w:val="0"/>
        <w:adjustRightInd w:val="0"/>
        <w:spacing w:after="0"/>
        <w:rPr>
          <w:rFonts w:cs="Times New Roman"/>
          <w:szCs w:val="24"/>
        </w:rPr>
      </w:pPr>
      <w:r w:rsidRPr="00DB097F">
        <w:rPr>
          <w:szCs w:val="24"/>
          <w:shd w:val="clear" w:color="auto" w:fill="FFFFFF"/>
        </w:rPr>
        <w:t xml:space="preserve">Thanks are given to Dr Martin Fox for reviewing </w:t>
      </w:r>
      <w:r w:rsidR="00A466CC" w:rsidRPr="00DB097F">
        <w:rPr>
          <w:szCs w:val="24"/>
          <w:shd w:val="clear" w:color="auto" w:fill="FFFFFF"/>
        </w:rPr>
        <w:t>the different iterations of the</w:t>
      </w:r>
      <w:r w:rsidRPr="00DB097F">
        <w:rPr>
          <w:szCs w:val="24"/>
          <w:shd w:val="clear" w:color="auto" w:fill="FFFFFF"/>
        </w:rPr>
        <w:t xml:space="preserve"> article.</w:t>
      </w:r>
    </w:p>
    <w:p w14:paraId="2CC8AB54" w14:textId="77777777" w:rsidR="00A448C9" w:rsidRPr="00662E80" w:rsidRDefault="00A448C9" w:rsidP="00A448C9">
      <w:pPr>
        <w:rPr>
          <w:rFonts w:cs="Times New Roman"/>
          <w:szCs w:val="24"/>
        </w:rPr>
      </w:pPr>
    </w:p>
    <w:p w14:paraId="0D224139" w14:textId="77777777" w:rsidR="00A448C9" w:rsidRPr="0088513A" w:rsidRDefault="00A448C9" w:rsidP="00A448C9">
      <w:pPr>
        <w:rPr>
          <w:rFonts w:cs="Times New Roman"/>
          <w:szCs w:val="24"/>
        </w:rPr>
      </w:pPr>
    </w:p>
    <w:sectPr w:rsidR="00A448C9" w:rsidRPr="0088513A" w:rsidSect="00D537FA">
      <w:headerReference w:type="even" r:id="rId29"/>
      <w:headerReference w:type="default" r:id="rId30"/>
      <w:footerReference w:type="even" r:id="rId31"/>
      <w:footerReference w:type="default" r:id="rId32"/>
      <w:headerReference w:type="first" r:id="rId33"/>
      <w:pgSz w:w="12240" w:h="15840"/>
      <w:pgMar w:top="1138" w:right="1181" w:bottom="1138" w:left="1282" w:header="283" w:footer="510" w:gutter="0"/>
      <w:lnNumType w:countBy="1" w:restart="continuou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655DEF" w14:textId="77777777" w:rsidR="00BA702C" w:rsidRDefault="00BA702C" w:rsidP="00117666">
      <w:pPr>
        <w:spacing w:after="0"/>
      </w:pPr>
      <w:r>
        <w:separator/>
      </w:r>
    </w:p>
  </w:endnote>
  <w:endnote w:type="continuationSeparator" w:id="0">
    <w:p w14:paraId="215C6CE0" w14:textId="77777777" w:rsidR="00BA702C" w:rsidRDefault="00BA702C" w:rsidP="0011766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venir LT Std 65 Medium">
    <w:altName w:val="Calibri"/>
    <w:charset w:val="00"/>
    <w:family w:val="auto"/>
    <w:pitch w:val="variable"/>
    <w:sig w:usb0="800000A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3D3D87" w14:textId="77777777" w:rsidR="000B4DFA" w:rsidRPr="00577C4C" w:rsidRDefault="000B4DFA">
    <w:pPr>
      <w:pStyle w:val="Footer"/>
      <w:rPr>
        <w:color w:val="C00000"/>
        <w:szCs w:val="24"/>
      </w:rPr>
    </w:pPr>
    <w:r w:rsidRPr="00577C4C">
      <w:rPr>
        <w:noProof/>
        <w:color w:val="C00000"/>
        <w:szCs w:val="24"/>
        <w:lang w:val="en-GB" w:eastAsia="en-GB"/>
      </w:rPr>
      <mc:AlternateContent>
        <mc:Choice Requires="wps">
          <w:drawing>
            <wp:anchor distT="0" distB="0" distL="114300" distR="114300" simplePos="0" relativeHeight="251683840" behindDoc="0" locked="0" layoutInCell="1" allowOverlap="1" wp14:anchorId="31D8D0F9" wp14:editId="65D5B02E">
              <wp:simplePos x="0" y="0"/>
              <wp:positionH relativeFrom="column">
                <wp:posOffset>-108280</wp:posOffset>
              </wp:positionH>
              <wp:positionV relativeFrom="paragraph">
                <wp:posOffset>-58420</wp:posOffset>
              </wp:positionV>
              <wp:extent cx="3672231" cy="1403985"/>
              <wp:effectExtent l="0" t="0" r="4445"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2231" cy="1403985"/>
                      </a:xfrm>
                      <a:prstGeom prst="rect">
                        <a:avLst/>
                      </a:prstGeom>
                      <a:solidFill>
                        <a:srgbClr val="FFFFFF"/>
                      </a:solidFill>
                      <a:ln w="9525">
                        <a:noFill/>
                        <a:miter lim="800000"/>
                        <a:headEnd/>
                        <a:tailEnd/>
                      </a:ln>
                    </wps:spPr>
                    <wps:txbx>
                      <w:txbxContent>
                        <w:p w14:paraId="462EE841" w14:textId="77777777" w:rsidR="000B4DFA" w:rsidRPr="00E9561B" w:rsidRDefault="000B4DFA">
                          <w:pPr>
                            <w:rPr>
                              <w:color w:val="C00000"/>
                            </w:rPr>
                          </w:pPr>
                          <w:r w:rsidRPr="00E9561B">
                            <w:rPr>
                              <w:color w:val="C00000"/>
                            </w:rPr>
                            <w:t>This is a provisional file, not the final typeset article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1D8D0F9" id="_x0000_t202" coordsize="21600,21600" o:spt="202" path="m,l,21600r21600,l21600,xe">
              <v:stroke joinstyle="miter"/>
              <v:path gradientshapeok="t" o:connecttype="rect"/>
            </v:shapetype>
            <v:shape id="Text Box 2" o:spid="_x0000_s1026" type="#_x0000_t202" style="position:absolute;margin-left:-8.55pt;margin-top:-4.6pt;width:289.15pt;height:110.55pt;z-index:2516838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" stroked="f">
              <v:textbox style="mso-fit-shape-to-text:t">
                <w:txbxContent>
                  <w:p w14:paraId="462EE841" w14:textId="77777777" w:rsidR="000B4DFA" w:rsidRPr="00E9561B" w:rsidRDefault="000B4DFA">
                    <w:pPr>
                      <w:rPr>
                        <w:color w:val="C00000"/>
                      </w:rPr>
                    </w:pPr>
                    <w:r w:rsidRPr="00E9561B">
                      <w:rPr>
                        <w:color w:val="C00000"/>
                      </w:rPr>
                      <w:t>This is a provisional file, not the final typeset article</w:t>
                    </w:r>
                  </w:p>
                </w:txbxContent>
              </v:textbox>
            </v:shape>
          </w:pict>
        </mc:Fallback>
      </mc:AlternateContent>
    </w:r>
    <w:r>
      <w:rPr>
        <w:noProof/>
        <w:lang w:val="en-GB" w:eastAsia="en-GB"/>
      </w:rPr>
      <mc:AlternateContent>
        <mc:Choice Requires="wps">
          <w:drawing>
            <wp:anchor distT="0" distB="0" distL="114300" distR="114300" simplePos="0" relativeHeight="251665408" behindDoc="0" locked="0" layoutInCell="1" allowOverlap="1" wp14:anchorId="51D4B8BD" wp14:editId="68C0174E">
              <wp:simplePos x="0" y="0"/>
              <wp:positionH relativeFrom="margin">
                <wp:align>right</wp:align>
              </wp:positionH>
              <wp:positionV relativeFrom="bottomMargin">
                <wp:align>top</wp:align>
              </wp:positionV>
              <wp:extent cx="1508760" cy="395605"/>
              <wp:effectExtent l="0" t="0" r="0" b="0"/>
              <wp:wrapNone/>
              <wp:docPr id="1" name="Text Box 1"/>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14:paraId="214951C5" w14:textId="77777777" w:rsidR="000B4DFA" w:rsidRPr="00577C4C" w:rsidRDefault="000B4DFA">
                          <w:pPr>
                            <w:pStyle w:val="Foote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Pr="0088513A">
                            <w:rPr>
                              <w:noProof/>
                              <w:color w:val="000000" w:themeColor="text1"/>
                              <w:sz w:val="22"/>
                              <w:szCs w:val="40"/>
                            </w:rPr>
                            <w:t>4</w:t>
                          </w:r>
                          <w:r w:rsidRPr="00577C4C">
                            <w:rPr>
                              <w:color w:val="000000" w:themeColor="text1"/>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51D4B8BD" id="Text Box 1" o:spid="_x0000_s1027" type="#_x0000_t202" style="position:absolute;margin-left:67.6pt;margin-top:0;width:118.8pt;height:31.15pt;z-index:251665408;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" filled="f" stroked="f" strokeweight=".5pt">
              <v:textbox style="mso-fit-shape-to-text:t">
                <w:txbxContent>
                  <w:p w14:paraId="214951C5" w14:textId="77777777" w:rsidR="000B4DFA" w:rsidRPr="00577C4C" w:rsidRDefault="000B4DFA">
                    <w:pPr>
                      <w:pStyle w:val="Foote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Pr="0088513A">
                      <w:rPr>
                        <w:noProof/>
                        <w:color w:val="000000" w:themeColor="text1"/>
                        <w:sz w:val="22"/>
                        <w:szCs w:val="40"/>
                      </w:rPr>
                      <w:t>4</w:t>
                    </w:r>
                    <w:r w:rsidRPr="00577C4C">
                      <w:rPr>
                        <w:color w:val="000000" w:themeColor="text1"/>
                        <w:szCs w:val="40"/>
                      </w:rPr>
                      <w:fldChar w:fldCharType="end"/>
                    </w:r>
                  </w:p>
                </w:txbxContent>
              </v:textbox>
              <w10:wrap anchorx="margin" anchory="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70BFF2" w14:textId="77777777" w:rsidR="000B4DFA" w:rsidRPr="00577C4C" w:rsidRDefault="000B4DFA">
    <w:pPr>
      <w:pStyle w:val="Footer"/>
      <w:rPr>
        <w:b/>
        <w:sz w:val="20"/>
        <w:szCs w:val="24"/>
      </w:rPr>
    </w:pPr>
    <w:r>
      <w:rPr>
        <w:noProof/>
        <w:lang w:val="en-GB" w:eastAsia="en-GB"/>
      </w:rPr>
      <mc:AlternateContent>
        <mc:Choice Requires="wps">
          <w:drawing>
            <wp:anchor distT="0" distB="0" distL="114300" distR="114300" simplePos="0" relativeHeight="251646976" behindDoc="0" locked="0" layoutInCell="1" allowOverlap="1" wp14:anchorId="2C4AF3B6" wp14:editId="527467EE">
              <wp:simplePos x="0" y="0"/>
              <wp:positionH relativeFrom="margin">
                <wp:align>right</wp:align>
              </wp:positionH>
              <wp:positionV relativeFrom="bottomMargin">
                <wp:align>top</wp:align>
              </wp:positionV>
              <wp:extent cx="1508760" cy="395605"/>
              <wp:effectExtent l="0" t="0" r="0" b="0"/>
              <wp:wrapNone/>
              <wp:docPr id="56" name="Text Box 56"/>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14:paraId="74D070C5" w14:textId="77777777" w:rsidR="000B4DFA" w:rsidRPr="00577C4C" w:rsidRDefault="000B4DFA">
                          <w:pPr>
                            <w:pStyle w:val="Foote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Pr="0088513A">
                            <w:rPr>
                              <w:noProof/>
                              <w:color w:val="000000" w:themeColor="text1"/>
                              <w:sz w:val="22"/>
                              <w:szCs w:val="40"/>
                            </w:rPr>
                            <w:t>3</w:t>
                          </w:r>
                          <w:r w:rsidRPr="00577C4C">
                            <w:rPr>
                              <w:color w:val="000000" w:themeColor="text1"/>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2C4AF3B6" id="_x0000_t202" coordsize="21600,21600" o:spt="202" path="m,l,21600r21600,l21600,xe">
              <v:stroke joinstyle="miter"/>
              <v:path gradientshapeok="t" o:connecttype="rect"/>
            </v:shapetype>
            <v:shape id="Text Box 56" o:spid="_x0000_s1028" type="#_x0000_t202" style="position:absolute;margin-left:67.6pt;margin-top:0;width:118.8pt;height:31.15pt;z-index:251646976;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" filled="f" stroked="f" strokeweight=".5pt">
              <v:textbox style="mso-fit-shape-to-text:t">
                <w:txbxContent>
                  <w:p w14:paraId="74D070C5" w14:textId="77777777" w:rsidR="000B4DFA" w:rsidRPr="00577C4C" w:rsidRDefault="000B4DFA">
                    <w:pPr>
                      <w:pStyle w:val="Foote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Pr="0088513A">
                      <w:rPr>
                        <w:noProof/>
                        <w:color w:val="000000" w:themeColor="text1"/>
                        <w:sz w:val="22"/>
                        <w:szCs w:val="40"/>
                      </w:rPr>
                      <w:t>3</w:t>
                    </w:r>
                    <w:r w:rsidRPr="00577C4C">
                      <w:rPr>
                        <w:color w:val="000000" w:themeColor="text1"/>
                        <w:szCs w:val="40"/>
                      </w:rPr>
                      <w:fldChar w:fldCharType="end"/>
                    </w: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A727CB" w14:textId="77777777" w:rsidR="00BA702C" w:rsidRDefault="00BA702C" w:rsidP="00117666">
      <w:pPr>
        <w:spacing w:after="0"/>
      </w:pPr>
      <w:r>
        <w:separator/>
      </w:r>
    </w:p>
  </w:footnote>
  <w:footnote w:type="continuationSeparator" w:id="0">
    <w:p w14:paraId="74483408" w14:textId="77777777" w:rsidR="00BA702C" w:rsidRDefault="00BA702C" w:rsidP="00117666">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613A34" w14:textId="4A9F546B" w:rsidR="000B4DFA" w:rsidRPr="007E3148" w:rsidRDefault="000B4DFA" w:rsidP="00A53000">
    <w:pPr>
      <w:pStyle w:val="Header"/>
    </w:pPr>
    <w:r w:rsidRPr="007E3148">
      <w:ptab w:relativeTo="margin" w:alignment="center" w:leader="none"/>
    </w:r>
    <w:r w:rsidRPr="00A05D2F">
      <w:rPr>
        <w:b w:val="0"/>
        <w:bCs/>
      </w:rPr>
      <w:ptab w:relativeTo="margin" w:alignment="right" w:leader="none"/>
    </w:r>
    <w:r w:rsidRPr="00A05D2F">
      <w:rPr>
        <w:b w:val="0"/>
        <w:bCs/>
      </w:rPr>
      <w:t xml:space="preserve">SDM: an autoethnography of a service user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D8A4BC" w14:textId="23F89747" w:rsidR="000B4DFA" w:rsidRPr="00A53000" w:rsidRDefault="000B4DFA" w:rsidP="00A53000">
    <w:pPr>
      <w:pStyle w:val="Header"/>
    </w:pPr>
    <w:r w:rsidRPr="007E3148">
      <w:ptab w:relativeTo="margin" w:alignment="center" w:leader="none"/>
    </w:r>
    <w:r w:rsidRPr="007E3148">
      <w:ptab w:relativeTo="margin" w:alignment="right" w:leader="none"/>
    </w:r>
    <w:r w:rsidRPr="007E3148">
      <w:ptab w:relativeTo="margin" w:alignment="center" w:leader="none"/>
    </w:r>
    <w:r w:rsidRPr="00A05D2F">
      <w:rPr>
        <w:b w:val="0"/>
        <w:bCs/>
      </w:rPr>
      <w:ptab w:relativeTo="margin" w:alignment="right" w:leader="none"/>
    </w:r>
    <w:r w:rsidRPr="00A05D2F">
      <w:rPr>
        <w:b w:val="0"/>
        <w:bCs/>
      </w:rPr>
      <w:t xml:space="preserve">SDM: an autoethnography of a service user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2F27F1" w14:textId="77777777" w:rsidR="000B4DFA" w:rsidRDefault="000B4DFA" w:rsidP="00A53000">
    <w:pPr>
      <w:pStyle w:val="Header"/>
    </w:pPr>
    <w:r w:rsidRPr="005A1D84">
      <w:rPr>
        <w:noProof/>
        <w:color w:val="A6A6A6" w:themeColor="background1" w:themeShade="A6"/>
        <w:lang w:val="en-GB" w:eastAsia="en-GB"/>
      </w:rPr>
      <w:drawing>
        <wp:inline distT="0" distB="0" distL="0" distR="0" wp14:anchorId="56C3F4FE" wp14:editId="369AA4D1">
          <wp:extent cx="1382534" cy="497091"/>
          <wp:effectExtent l="0" t="0" r="0" b="0"/>
          <wp:docPr id="6" name="Picture 6" descr="C:\Users\Elaine.Scott\Documents\LaTex\____TEST____Frontiers_LaTeX_Templates_V2.5\Frontiers LaTeX (Science, Health and Engineering) V2.5 - with Supplementary material (V1.2)\log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laine.Scott\Documents\LaTex\____TEST____Frontiers_LaTeX_Templates_V2.5\Frontiers LaTeX (Science, Health and Engineering) V2.5 - with Supplementary material (V1.2)\logo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4909" cy="551877"/>
                  </a:xfrm>
                  <a:prstGeom prst="rect">
                    <a:avLst/>
                  </a:prstGeom>
                  <a:noFill/>
                  <a:ln>
                    <a:noFill/>
                  </a:ln>
                </pic:spPr>
              </pic:pic>
            </a:graphicData>
          </a:graphic>
        </wp:inline>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1B7666"/>
    <w:multiLevelType w:val="multilevel"/>
    <w:tmpl w:val="44328928"/>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ascii="Times New Roman" w:hAnsi="Times New Roman" w:hint="default"/>
        <w:b/>
        <w:i w:val="0"/>
        <w:sz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EDF3AB7"/>
    <w:multiLevelType w:val="hybridMultilevel"/>
    <w:tmpl w:val="8E5CD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8A03CD"/>
    <w:multiLevelType w:val="multilevel"/>
    <w:tmpl w:val="ADB20CA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EC0601A"/>
    <w:multiLevelType w:val="multilevel"/>
    <w:tmpl w:val="C6A8CCEA"/>
    <w:styleLink w:val="Headings"/>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567"/>
        </w:tabs>
        <w:ind w:left="567" w:hanging="567"/>
      </w:pPr>
      <w:rPr>
        <w:rFonts w:hint="default"/>
      </w:rPr>
    </w:lvl>
    <w:lvl w:ilvl="3">
      <w:start w:val="1"/>
      <w:numFmt w:val="decimal"/>
      <w:pStyle w:val="Heading4"/>
      <w:lvlText w:val="%1.%2.%3.%4"/>
      <w:lvlJc w:val="left"/>
      <w:pPr>
        <w:tabs>
          <w:tab w:val="num" w:pos="567"/>
        </w:tabs>
        <w:ind w:left="567" w:hanging="567"/>
      </w:pPr>
      <w:rPr>
        <w:rFonts w:hint="default"/>
      </w:rPr>
    </w:lvl>
    <w:lvl w:ilvl="4">
      <w:start w:val="1"/>
      <w:numFmt w:val="decimal"/>
      <w:pStyle w:val="Heading5"/>
      <w:lvlText w:val="%1.%2.%3.%4.%5"/>
      <w:lvlJc w:val="left"/>
      <w:pPr>
        <w:tabs>
          <w:tab w:val="num" w:pos="567"/>
        </w:tabs>
        <w:ind w:left="567" w:hanging="567"/>
      </w:pPr>
      <w:rPr>
        <w:rFonts w:hint="default"/>
      </w:rPr>
    </w:lvl>
    <w:lvl w:ilvl="5">
      <w:start w:val="1"/>
      <w:numFmt w:val="lowerRoman"/>
      <w:lvlText w:val="%6."/>
      <w:lvlJc w:val="righ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right"/>
      <w:pPr>
        <w:tabs>
          <w:tab w:val="num" w:pos="567"/>
        </w:tabs>
        <w:ind w:left="567" w:hanging="567"/>
      </w:pPr>
      <w:rPr>
        <w:rFonts w:hint="default"/>
      </w:rPr>
    </w:lvl>
  </w:abstractNum>
  <w:abstractNum w:abstractNumId="4" w15:restartNumberingAfterBreak="0">
    <w:nsid w:val="225305B5"/>
    <w:multiLevelType w:val="hybridMultilevel"/>
    <w:tmpl w:val="4F8C24FA"/>
    <w:lvl w:ilvl="0" w:tplc="A9DCD718">
      <w:start w:val="1"/>
      <w:numFmt w:val="bullet"/>
      <w:pStyle w:val="ListParagraph"/>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2409283A"/>
    <w:multiLevelType w:val="multilevel"/>
    <w:tmpl w:val="CBAC0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A126FD2"/>
    <w:multiLevelType w:val="hybridMultilevel"/>
    <w:tmpl w:val="D72CB32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2B2D1ED7"/>
    <w:multiLevelType w:val="hybridMultilevel"/>
    <w:tmpl w:val="7B6E96EC"/>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02A7CAC"/>
    <w:multiLevelType w:val="multilevel"/>
    <w:tmpl w:val="C6A8CCEA"/>
    <w:numStyleLink w:val="Headings"/>
  </w:abstractNum>
  <w:abstractNum w:abstractNumId="9" w15:restartNumberingAfterBreak="0">
    <w:nsid w:val="36D30736"/>
    <w:multiLevelType w:val="hybridMultilevel"/>
    <w:tmpl w:val="BC1E7B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817787E"/>
    <w:multiLevelType w:val="multilevel"/>
    <w:tmpl w:val="ADB20CA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AE92CDE"/>
    <w:multiLevelType w:val="hybridMultilevel"/>
    <w:tmpl w:val="294E0C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C1539C0"/>
    <w:multiLevelType w:val="hybridMultilevel"/>
    <w:tmpl w:val="675E09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08E502C"/>
    <w:multiLevelType w:val="hybridMultilevel"/>
    <w:tmpl w:val="C2165F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4216449"/>
    <w:multiLevelType w:val="hybridMultilevel"/>
    <w:tmpl w:val="60E244E0"/>
    <w:lvl w:ilvl="0" w:tplc="BB925A66">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D8113DE"/>
    <w:multiLevelType w:val="multilevel"/>
    <w:tmpl w:val="ADB20CA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49F1D82"/>
    <w:multiLevelType w:val="hybridMultilevel"/>
    <w:tmpl w:val="734A77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2290D83"/>
    <w:multiLevelType w:val="hybridMultilevel"/>
    <w:tmpl w:val="D1E4BA92"/>
    <w:lvl w:ilvl="0" w:tplc="E9807BE6">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670F6A61"/>
    <w:multiLevelType w:val="multilevel"/>
    <w:tmpl w:val="9992F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83E6C4F"/>
    <w:multiLevelType w:val="hybridMultilevel"/>
    <w:tmpl w:val="E39A3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DBC6F29"/>
    <w:multiLevelType w:val="multilevel"/>
    <w:tmpl w:val="C6A8CCEA"/>
    <w:numStyleLink w:val="Headings"/>
  </w:abstractNum>
  <w:abstractNum w:abstractNumId="21" w15:restartNumberingAfterBreak="0">
    <w:nsid w:val="7F983756"/>
    <w:multiLevelType w:val="multilevel"/>
    <w:tmpl w:val="F300CEF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 w:numId="2">
    <w:abstractNumId w:val="16"/>
  </w:num>
  <w:num w:numId="3">
    <w:abstractNumId w:val="1"/>
  </w:num>
  <w:num w:numId="4">
    <w:abstractNumId w:val="19"/>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11"/>
  </w:num>
  <w:num w:numId="8">
    <w:abstractNumId w:val="9"/>
  </w:num>
  <w:num w:numId="9">
    <w:abstractNumId w:val="12"/>
  </w:num>
  <w:num w:numId="10">
    <w:abstractNumId w:val="10"/>
  </w:num>
  <w:num w:numId="11">
    <w:abstractNumId w:val="2"/>
  </w:num>
  <w:num w:numId="12">
    <w:abstractNumId w:val="21"/>
  </w:num>
  <w:num w:numId="13">
    <w:abstractNumId w:val="15"/>
  </w:num>
  <w:num w:numId="14">
    <w:abstractNumId w:val="4"/>
  </w:num>
  <w:num w:numId="15">
    <w:abstractNumId w:val="14"/>
  </w:num>
  <w:num w:numId="16">
    <w:abstractNumId w:val="17"/>
  </w:num>
  <w:num w:numId="17">
    <w:abstractNumId w:val="3"/>
    <w:lvlOverride w:ilvl="0">
      <w:lvl w:ilvl="0">
        <w:start w:val="1"/>
        <w:numFmt w:val="decimal"/>
        <w:pStyle w:val="Heading1"/>
        <w:lvlText w:val="%1"/>
        <w:lvlJc w:val="left"/>
        <w:pPr>
          <w:tabs>
            <w:tab w:val="num" w:pos="567"/>
          </w:tabs>
          <w:ind w:left="567" w:hanging="567"/>
        </w:pPr>
        <w:rPr>
          <w:rFonts w:hint="default"/>
        </w:rPr>
      </w:lvl>
    </w:lvlOverride>
    <w:lvlOverride w:ilvl="1">
      <w:lvl w:ilvl="1">
        <w:start w:val="1"/>
        <w:numFmt w:val="decimal"/>
        <w:pStyle w:val="Heading2"/>
        <w:lvlText w:val="%1.%2"/>
        <w:lvlJc w:val="left"/>
        <w:pPr>
          <w:tabs>
            <w:tab w:val="num" w:pos="567"/>
          </w:tabs>
          <w:ind w:left="567" w:hanging="567"/>
        </w:pPr>
        <w:rPr>
          <w:rFonts w:hint="default"/>
        </w:rPr>
      </w:lvl>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20"/>
  </w:num>
  <w:num w:numId="21">
    <w:abstractNumId w:val="3"/>
  </w:num>
  <w:num w:numId="22">
    <w:abstractNumId w:val="3"/>
    <w:lvlOverride w:ilvl="0">
      <w:startOverride w:val="1"/>
      <w:lvl w:ilvl="0">
        <w:start w:val="1"/>
        <w:numFmt w:val="decimal"/>
        <w:pStyle w:val="Heading1"/>
        <w:lvlText w:val="%1"/>
        <w:lvlJc w:val="left"/>
        <w:pPr>
          <w:tabs>
            <w:tab w:val="num" w:pos="567"/>
          </w:tabs>
          <w:ind w:left="567" w:hanging="567"/>
        </w:pPr>
      </w:lvl>
    </w:lvlOverride>
    <w:lvlOverride w:ilvl="1">
      <w:startOverride w:val="1"/>
      <w:lvl w:ilvl="1">
        <w:start w:val="1"/>
        <w:numFmt w:val="decimal"/>
        <w:pStyle w:val="Heading2"/>
        <w:lvlText w:val="%1.%2"/>
        <w:lvlJc w:val="left"/>
        <w:pPr>
          <w:tabs>
            <w:tab w:val="num" w:pos="567"/>
          </w:tabs>
          <w:ind w:left="567" w:hanging="567"/>
        </w:pPr>
      </w:lvl>
    </w:lvlOverride>
    <w:lvlOverride w:ilvl="2">
      <w:startOverride w:val="1"/>
      <w:lvl w:ilvl="2">
        <w:start w:val="1"/>
        <w:numFmt w:val="decimal"/>
        <w:pStyle w:val="Heading3"/>
        <w:lvlText w:val=""/>
        <w:lvlJc w:val="left"/>
      </w:lvl>
    </w:lvlOverride>
    <w:lvlOverride w:ilvl="3">
      <w:startOverride w:val="1"/>
      <w:lvl w:ilvl="3">
        <w:start w:val="1"/>
        <w:numFmt w:val="decimal"/>
        <w:pStyle w:val="Heading4"/>
        <w:lvlText w:val=""/>
        <w:lvlJc w:val="left"/>
      </w:lvl>
    </w:lvlOverride>
    <w:lvlOverride w:ilvl="4">
      <w:startOverride w:val="1"/>
      <w:lvl w:ilvl="4">
        <w:start w:val="1"/>
        <w:numFmt w:val="decimal"/>
        <w:pStyle w:val="Heading5"/>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3">
    <w:abstractNumId w:val="7"/>
  </w:num>
  <w:num w:numId="24">
    <w:abstractNumId w:val="6"/>
  </w:num>
  <w:num w:numId="25">
    <w:abstractNumId w:val="18"/>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trackRevisions/>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1821"/>
    <w:rsid w:val="00001CA1"/>
    <w:rsid w:val="00004498"/>
    <w:rsid w:val="00015594"/>
    <w:rsid w:val="00016183"/>
    <w:rsid w:val="00017499"/>
    <w:rsid w:val="00020324"/>
    <w:rsid w:val="00024063"/>
    <w:rsid w:val="00034304"/>
    <w:rsid w:val="000347AB"/>
    <w:rsid w:val="00035434"/>
    <w:rsid w:val="00045678"/>
    <w:rsid w:val="000458E4"/>
    <w:rsid w:val="00052340"/>
    <w:rsid w:val="00063D84"/>
    <w:rsid w:val="0006636D"/>
    <w:rsid w:val="0007102E"/>
    <w:rsid w:val="00074CA4"/>
    <w:rsid w:val="00075BA8"/>
    <w:rsid w:val="00076D81"/>
    <w:rsid w:val="00077D53"/>
    <w:rsid w:val="00081394"/>
    <w:rsid w:val="000A5A1B"/>
    <w:rsid w:val="000A619C"/>
    <w:rsid w:val="000A6201"/>
    <w:rsid w:val="000B04C4"/>
    <w:rsid w:val="000B34BD"/>
    <w:rsid w:val="000B4DFA"/>
    <w:rsid w:val="000B50EF"/>
    <w:rsid w:val="000C7E2A"/>
    <w:rsid w:val="000D34F2"/>
    <w:rsid w:val="000E68F1"/>
    <w:rsid w:val="000F17F9"/>
    <w:rsid w:val="000F4CFB"/>
    <w:rsid w:val="000F7DC8"/>
    <w:rsid w:val="00110F39"/>
    <w:rsid w:val="00116302"/>
    <w:rsid w:val="00117666"/>
    <w:rsid w:val="00120F7C"/>
    <w:rsid w:val="0012192C"/>
    <w:rsid w:val="001223A7"/>
    <w:rsid w:val="00125509"/>
    <w:rsid w:val="00131D41"/>
    <w:rsid w:val="00133175"/>
    <w:rsid w:val="00134256"/>
    <w:rsid w:val="00136766"/>
    <w:rsid w:val="00147395"/>
    <w:rsid w:val="001552C9"/>
    <w:rsid w:val="001579C1"/>
    <w:rsid w:val="00162665"/>
    <w:rsid w:val="001644EC"/>
    <w:rsid w:val="00177D84"/>
    <w:rsid w:val="00180C3D"/>
    <w:rsid w:val="00187132"/>
    <w:rsid w:val="001910AB"/>
    <w:rsid w:val="0019123C"/>
    <w:rsid w:val="001922AA"/>
    <w:rsid w:val="00194808"/>
    <w:rsid w:val="00194BCD"/>
    <w:rsid w:val="001964EF"/>
    <w:rsid w:val="00197C4B"/>
    <w:rsid w:val="00197F1B"/>
    <w:rsid w:val="001B1A2C"/>
    <w:rsid w:val="001B2BC9"/>
    <w:rsid w:val="001B375D"/>
    <w:rsid w:val="001C215E"/>
    <w:rsid w:val="001D0307"/>
    <w:rsid w:val="001D4298"/>
    <w:rsid w:val="001D5C23"/>
    <w:rsid w:val="001F013D"/>
    <w:rsid w:val="001F21B7"/>
    <w:rsid w:val="001F4C07"/>
    <w:rsid w:val="001F5527"/>
    <w:rsid w:val="0020578C"/>
    <w:rsid w:val="002134E1"/>
    <w:rsid w:val="00220AEA"/>
    <w:rsid w:val="002213BD"/>
    <w:rsid w:val="00226954"/>
    <w:rsid w:val="00227E81"/>
    <w:rsid w:val="00231C0E"/>
    <w:rsid w:val="002424D8"/>
    <w:rsid w:val="00250F98"/>
    <w:rsid w:val="00251343"/>
    <w:rsid w:val="00252CB4"/>
    <w:rsid w:val="00262351"/>
    <w:rsid w:val="002629A3"/>
    <w:rsid w:val="00265660"/>
    <w:rsid w:val="00267B56"/>
    <w:rsid w:val="00267D18"/>
    <w:rsid w:val="00281642"/>
    <w:rsid w:val="00281CBD"/>
    <w:rsid w:val="002868E2"/>
    <w:rsid w:val="002869C3"/>
    <w:rsid w:val="002936E4"/>
    <w:rsid w:val="00296B88"/>
    <w:rsid w:val="002A22DA"/>
    <w:rsid w:val="002A7F21"/>
    <w:rsid w:val="002B473D"/>
    <w:rsid w:val="002C354F"/>
    <w:rsid w:val="002C74CA"/>
    <w:rsid w:val="002F11DD"/>
    <w:rsid w:val="002F42EE"/>
    <w:rsid w:val="002F744D"/>
    <w:rsid w:val="00303DE6"/>
    <w:rsid w:val="00305DDE"/>
    <w:rsid w:val="00310124"/>
    <w:rsid w:val="00312941"/>
    <w:rsid w:val="0031359B"/>
    <w:rsid w:val="00326A1B"/>
    <w:rsid w:val="0034499E"/>
    <w:rsid w:val="003504C2"/>
    <w:rsid w:val="0035090C"/>
    <w:rsid w:val="003544FB"/>
    <w:rsid w:val="00356832"/>
    <w:rsid w:val="0035703B"/>
    <w:rsid w:val="00365D63"/>
    <w:rsid w:val="00366DDB"/>
    <w:rsid w:val="0036793B"/>
    <w:rsid w:val="00371B7E"/>
    <w:rsid w:val="00372682"/>
    <w:rsid w:val="0037306D"/>
    <w:rsid w:val="003766C6"/>
    <w:rsid w:val="00376CC5"/>
    <w:rsid w:val="00377F4C"/>
    <w:rsid w:val="0039693B"/>
    <w:rsid w:val="003B0156"/>
    <w:rsid w:val="003C4050"/>
    <w:rsid w:val="003D2F2D"/>
    <w:rsid w:val="003E762F"/>
    <w:rsid w:val="003F226E"/>
    <w:rsid w:val="003F3752"/>
    <w:rsid w:val="003F4F7C"/>
    <w:rsid w:val="00401590"/>
    <w:rsid w:val="00422C94"/>
    <w:rsid w:val="00423364"/>
    <w:rsid w:val="00431799"/>
    <w:rsid w:val="00434A5C"/>
    <w:rsid w:val="0043762A"/>
    <w:rsid w:val="0044123F"/>
    <w:rsid w:val="00452AF4"/>
    <w:rsid w:val="00454EC0"/>
    <w:rsid w:val="00462B24"/>
    <w:rsid w:val="00463E3D"/>
    <w:rsid w:val="004645AE"/>
    <w:rsid w:val="0046616D"/>
    <w:rsid w:val="00471EDF"/>
    <w:rsid w:val="00495423"/>
    <w:rsid w:val="004954EA"/>
    <w:rsid w:val="004955B6"/>
    <w:rsid w:val="004A0F1F"/>
    <w:rsid w:val="004A3474"/>
    <w:rsid w:val="004A5736"/>
    <w:rsid w:val="004B0E05"/>
    <w:rsid w:val="004B57E6"/>
    <w:rsid w:val="004B665E"/>
    <w:rsid w:val="004D1747"/>
    <w:rsid w:val="004D23C8"/>
    <w:rsid w:val="004D3E33"/>
    <w:rsid w:val="004E2A38"/>
    <w:rsid w:val="004E5819"/>
    <w:rsid w:val="00500BCE"/>
    <w:rsid w:val="005026BF"/>
    <w:rsid w:val="005051CF"/>
    <w:rsid w:val="00507CCB"/>
    <w:rsid w:val="00512A2E"/>
    <w:rsid w:val="0051327E"/>
    <w:rsid w:val="00520C87"/>
    <w:rsid w:val="005250F2"/>
    <w:rsid w:val="0052721D"/>
    <w:rsid w:val="00537680"/>
    <w:rsid w:val="0054732B"/>
    <w:rsid w:val="00551333"/>
    <w:rsid w:val="00552FFF"/>
    <w:rsid w:val="005577FC"/>
    <w:rsid w:val="005612ED"/>
    <w:rsid w:val="00567CE9"/>
    <w:rsid w:val="005753A2"/>
    <w:rsid w:val="00585B6C"/>
    <w:rsid w:val="00587030"/>
    <w:rsid w:val="005A1D84"/>
    <w:rsid w:val="005A4F4C"/>
    <w:rsid w:val="005A70EA"/>
    <w:rsid w:val="005B01D6"/>
    <w:rsid w:val="005C3963"/>
    <w:rsid w:val="005C57FB"/>
    <w:rsid w:val="005D1840"/>
    <w:rsid w:val="005D2D23"/>
    <w:rsid w:val="005D35E4"/>
    <w:rsid w:val="005D7910"/>
    <w:rsid w:val="005E0D1A"/>
    <w:rsid w:val="005F5878"/>
    <w:rsid w:val="00620340"/>
    <w:rsid w:val="0062154F"/>
    <w:rsid w:val="00624707"/>
    <w:rsid w:val="00631A8C"/>
    <w:rsid w:val="00631ABE"/>
    <w:rsid w:val="006511D8"/>
    <w:rsid w:val="00651CA2"/>
    <w:rsid w:val="006532C3"/>
    <w:rsid w:val="00653D60"/>
    <w:rsid w:val="00660D05"/>
    <w:rsid w:val="00664220"/>
    <w:rsid w:val="00667BB6"/>
    <w:rsid w:val="00671D9A"/>
    <w:rsid w:val="00673952"/>
    <w:rsid w:val="00681821"/>
    <w:rsid w:val="00686C9D"/>
    <w:rsid w:val="00691D3D"/>
    <w:rsid w:val="00692906"/>
    <w:rsid w:val="00695A29"/>
    <w:rsid w:val="006A1D7C"/>
    <w:rsid w:val="006B2D5B"/>
    <w:rsid w:val="006B691B"/>
    <w:rsid w:val="006B7D14"/>
    <w:rsid w:val="006C2EFF"/>
    <w:rsid w:val="006D5B93"/>
    <w:rsid w:val="006D7126"/>
    <w:rsid w:val="006E089F"/>
    <w:rsid w:val="006E226B"/>
    <w:rsid w:val="006E5DED"/>
    <w:rsid w:val="006E749D"/>
    <w:rsid w:val="006E7D77"/>
    <w:rsid w:val="006F12F9"/>
    <w:rsid w:val="006F5EBD"/>
    <w:rsid w:val="0071504A"/>
    <w:rsid w:val="00720A4A"/>
    <w:rsid w:val="00722D11"/>
    <w:rsid w:val="00725A7D"/>
    <w:rsid w:val="0073085C"/>
    <w:rsid w:val="00733784"/>
    <w:rsid w:val="00746505"/>
    <w:rsid w:val="0075179C"/>
    <w:rsid w:val="0076230E"/>
    <w:rsid w:val="00765344"/>
    <w:rsid w:val="00766730"/>
    <w:rsid w:val="00782CF2"/>
    <w:rsid w:val="007861B8"/>
    <w:rsid w:val="00790BB3"/>
    <w:rsid w:val="00792002"/>
    <w:rsid w:val="00792043"/>
    <w:rsid w:val="00797EDD"/>
    <w:rsid w:val="007B0322"/>
    <w:rsid w:val="007C0E3F"/>
    <w:rsid w:val="007C206C"/>
    <w:rsid w:val="007C5729"/>
    <w:rsid w:val="007E440C"/>
    <w:rsid w:val="007F0628"/>
    <w:rsid w:val="008036D5"/>
    <w:rsid w:val="008068CD"/>
    <w:rsid w:val="0081006C"/>
    <w:rsid w:val="008111E4"/>
    <w:rsid w:val="0081301C"/>
    <w:rsid w:val="008134DB"/>
    <w:rsid w:val="00815999"/>
    <w:rsid w:val="00817DD6"/>
    <w:rsid w:val="00820F66"/>
    <w:rsid w:val="00822A58"/>
    <w:rsid w:val="00831332"/>
    <w:rsid w:val="00831573"/>
    <w:rsid w:val="008360BD"/>
    <w:rsid w:val="00846BB1"/>
    <w:rsid w:val="008611FA"/>
    <w:rsid w:val="008629A9"/>
    <w:rsid w:val="00876646"/>
    <w:rsid w:val="0088087E"/>
    <w:rsid w:val="00881DD9"/>
    <w:rsid w:val="0088513A"/>
    <w:rsid w:val="008909AA"/>
    <w:rsid w:val="00893C19"/>
    <w:rsid w:val="008B662F"/>
    <w:rsid w:val="008C0FEF"/>
    <w:rsid w:val="008C3DB6"/>
    <w:rsid w:val="008C750E"/>
    <w:rsid w:val="008D6C8D"/>
    <w:rsid w:val="008D715B"/>
    <w:rsid w:val="008E1C67"/>
    <w:rsid w:val="008E2B54"/>
    <w:rsid w:val="008E4404"/>
    <w:rsid w:val="008E46C0"/>
    <w:rsid w:val="008E58C7"/>
    <w:rsid w:val="008F1678"/>
    <w:rsid w:val="008F5021"/>
    <w:rsid w:val="009052DD"/>
    <w:rsid w:val="00912FD1"/>
    <w:rsid w:val="0091416E"/>
    <w:rsid w:val="00923915"/>
    <w:rsid w:val="00926625"/>
    <w:rsid w:val="00943573"/>
    <w:rsid w:val="00946A75"/>
    <w:rsid w:val="00966B4C"/>
    <w:rsid w:val="00971B61"/>
    <w:rsid w:val="00980C31"/>
    <w:rsid w:val="009955FF"/>
    <w:rsid w:val="009959EA"/>
    <w:rsid w:val="00995A02"/>
    <w:rsid w:val="00997868"/>
    <w:rsid w:val="009A1468"/>
    <w:rsid w:val="009A2A52"/>
    <w:rsid w:val="009A4259"/>
    <w:rsid w:val="009B2877"/>
    <w:rsid w:val="009B2D13"/>
    <w:rsid w:val="009B38D9"/>
    <w:rsid w:val="009B64DF"/>
    <w:rsid w:val="009B6902"/>
    <w:rsid w:val="009C6C15"/>
    <w:rsid w:val="009D259D"/>
    <w:rsid w:val="009F137D"/>
    <w:rsid w:val="009F2E1D"/>
    <w:rsid w:val="00A018F9"/>
    <w:rsid w:val="00A02D9B"/>
    <w:rsid w:val="00A05D2F"/>
    <w:rsid w:val="00A10F6D"/>
    <w:rsid w:val="00A1177C"/>
    <w:rsid w:val="00A2712B"/>
    <w:rsid w:val="00A3099F"/>
    <w:rsid w:val="00A32A84"/>
    <w:rsid w:val="00A37077"/>
    <w:rsid w:val="00A448C9"/>
    <w:rsid w:val="00A4547A"/>
    <w:rsid w:val="00A466CC"/>
    <w:rsid w:val="00A50D9D"/>
    <w:rsid w:val="00A53000"/>
    <w:rsid w:val="00A545C6"/>
    <w:rsid w:val="00A64E7B"/>
    <w:rsid w:val="00A652D0"/>
    <w:rsid w:val="00A75F87"/>
    <w:rsid w:val="00A760D9"/>
    <w:rsid w:val="00A8732B"/>
    <w:rsid w:val="00A92D0A"/>
    <w:rsid w:val="00A95D8B"/>
    <w:rsid w:val="00AA6A3A"/>
    <w:rsid w:val="00AC0270"/>
    <w:rsid w:val="00AC3EA3"/>
    <w:rsid w:val="00AC792D"/>
    <w:rsid w:val="00AE18D2"/>
    <w:rsid w:val="00AE338B"/>
    <w:rsid w:val="00B03F3F"/>
    <w:rsid w:val="00B07AFF"/>
    <w:rsid w:val="00B109F7"/>
    <w:rsid w:val="00B13007"/>
    <w:rsid w:val="00B15D0D"/>
    <w:rsid w:val="00B23373"/>
    <w:rsid w:val="00B26E33"/>
    <w:rsid w:val="00B36525"/>
    <w:rsid w:val="00B6287E"/>
    <w:rsid w:val="00B648EE"/>
    <w:rsid w:val="00B657B8"/>
    <w:rsid w:val="00B70C6F"/>
    <w:rsid w:val="00B81189"/>
    <w:rsid w:val="00B83189"/>
    <w:rsid w:val="00B84118"/>
    <w:rsid w:val="00B84920"/>
    <w:rsid w:val="00B8556A"/>
    <w:rsid w:val="00B91752"/>
    <w:rsid w:val="00B9434B"/>
    <w:rsid w:val="00B94B0D"/>
    <w:rsid w:val="00BA4A73"/>
    <w:rsid w:val="00BA6721"/>
    <w:rsid w:val="00BA702C"/>
    <w:rsid w:val="00BA7399"/>
    <w:rsid w:val="00BB454A"/>
    <w:rsid w:val="00BC554E"/>
    <w:rsid w:val="00BC7333"/>
    <w:rsid w:val="00BE31E1"/>
    <w:rsid w:val="00BE67D2"/>
    <w:rsid w:val="00BE6EF4"/>
    <w:rsid w:val="00BF1F8B"/>
    <w:rsid w:val="00BF48AC"/>
    <w:rsid w:val="00C012A3"/>
    <w:rsid w:val="00C16F19"/>
    <w:rsid w:val="00C17564"/>
    <w:rsid w:val="00C32E45"/>
    <w:rsid w:val="00C50128"/>
    <w:rsid w:val="00C50B37"/>
    <w:rsid w:val="00C51C10"/>
    <w:rsid w:val="00C52A7B"/>
    <w:rsid w:val="00C5451E"/>
    <w:rsid w:val="00C57144"/>
    <w:rsid w:val="00C609A1"/>
    <w:rsid w:val="00C6324C"/>
    <w:rsid w:val="00C679AA"/>
    <w:rsid w:val="00C724CF"/>
    <w:rsid w:val="00C72933"/>
    <w:rsid w:val="00C72981"/>
    <w:rsid w:val="00C73738"/>
    <w:rsid w:val="00C75972"/>
    <w:rsid w:val="00C82792"/>
    <w:rsid w:val="00C84838"/>
    <w:rsid w:val="00C948FD"/>
    <w:rsid w:val="00CA2F88"/>
    <w:rsid w:val="00CA5A66"/>
    <w:rsid w:val="00CB3C3A"/>
    <w:rsid w:val="00CB4149"/>
    <w:rsid w:val="00CB43D5"/>
    <w:rsid w:val="00CB57A5"/>
    <w:rsid w:val="00CB6EF3"/>
    <w:rsid w:val="00CC0160"/>
    <w:rsid w:val="00CC76F9"/>
    <w:rsid w:val="00CD066B"/>
    <w:rsid w:val="00CD46E2"/>
    <w:rsid w:val="00CE011E"/>
    <w:rsid w:val="00CE28ED"/>
    <w:rsid w:val="00CE7407"/>
    <w:rsid w:val="00CF5514"/>
    <w:rsid w:val="00CF5CDB"/>
    <w:rsid w:val="00CF5FDE"/>
    <w:rsid w:val="00CF7CF6"/>
    <w:rsid w:val="00D00D0B"/>
    <w:rsid w:val="00D04B69"/>
    <w:rsid w:val="00D40099"/>
    <w:rsid w:val="00D419CF"/>
    <w:rsid w:val="00D43744"/>
    <w:rsid w:val="00D46297"/>
    <w:rsid w:val="00D51942"/>
    <w:rsid w:val="00D537FA"/>
    <w:rsid w:val="00D547CC"/>
    <w:rsid w:val="00D54D19"/>
    <w:rsid w:val="00D5547D"/>
    <w:rsid w:val="00D55D55"/>
    <w:rsid w:val="00D6179C"/>
    <w:rsid w:val="00D634B3"/>
    <w:rsid w:val="00D80D99"/>
    <w:rsid w:val="00D843AC"/>
    <w:rsid w:val="00D9503C"/>
    <w:rsid w:val="00DB097F"/>
    <w:rsid w:val="00DB2EAC"/>
    <w:rsid w:val="00DB7EF9"/>
    <w:rsid w:val="00DC1BD2"/>
    <w:rsid w:val="00DD4777"/>
    <w:rsid w:val="00DD4EE6"/>
    <w:rsid w:val="00DD596A"/>
    <w:rsid w:val="00DD73EF"/>
    <w:rsid w:val="00DD7E31"/>
    <w:rsid w:val="00DE23E8"/>
    <w:rsid w:val="00DE54BD"/>
    <w:rsid w:val="00DF072B"/>
    <w:rsid w:val="00DF49E0"/>
    <w:rsid w:val="00DF4EAE"/>
    <w:rsid w:val="00DF4FBA"/>
    <w:rsid w:val="00DF6BC5"/>
    <w:rsid w:val="00E00647"/>
    <w:rsid w:val="00E0128B"/>
    <w:rsid w:val="00E0718B"/>
    <w:rsid w:val="00E0773C"/>
    <w:rsid w:val="00E24A3D"/>
    <w:rsid w:val="00E25451"/>
    <w:rsid w:val="00E319FE"/>
    <w:rsid w:val="00E42E70"/>
    <w:rsid w:val="00E4353B"/>
    <w:rsid w:val="00E57C6D"/>
    <w:rsid w:val="00E621FC"/>
    <w:rsid w:val="00E6457E"/>
    <w:rsid w:val="00E64E17"/>
    <w:rsid w:val="00E81AF3"/>
    <w:rsid w:val="00E82618"/>
    <w:rsid w:val="00E83EFE"/>
    <w:rsid w:val="00EA06DB"/>
    <w:rsid w:val="00EA1F4F"/>
    <w:rsid w:val="00EA3D3C"/>
    <w:rsid w:val="00EB4113"/>
    <w:rsid w:val="00EB4244"/>
    <w:rsid w:val="00EB532B"/>
    <w:rsid w:val="00EB5EEA"/>
    <w:rsid w:val="00EB6F2F"/>
    <w:rsid w:val="00EC7CC3"/>
    <w:rsid w:val="00ED61FC"/>
    <w:rsid w:val="00EE1D29"/>
    <w:rsid w:val="00EE31D8"/>
    <w:rsid w:val="00EE4A9A"/>
    <w:rsid w:val="00EF3337"/>
    <w:rsid w:val="00EF3807"/>
    <w:rsid w:val="00EF5C73"/>
    <w:rsid w:val="00F15579"/>
    <w:rsid w:val="00F15926"/>
    <w:rsid w:val="00F2467F"/>
    <w:rsid w:val="00F26201"/>
    <w:rsid w:val="00F32198"/>
    <w:rsid w:val="00F358E9"/>
    <w:rsid w:val="00F46494"/>
    <w:rsid w:val="00F46853"/>
    <w:rsid w:val="00F4752E"/>
    <w:rsid w:val="00F50F65"/>
    <w:rsid w:val="00F52787"/>
    <w:rsid w:val="00F558AB"/>
    <w:rsid w:val="00F5796F"/>
    <w:rsid w:val="00F61794"/>
    <w:rsid w:val="00F61D89"/>
    <w:rsid w:val="00F7735B"/>
    <w:rsid w:val="00F80332"/>
    <w:rsid w:val="00F849C2"/>
    <w:rsid w:val="00F85E30"/>
    <w:rsid w:val="00F86ABB"/>
    <w:rsid w:val="00F9635E"/>
    <w:rsid w:val="00FA1A2E"/>
    <w:rsid w:val="00FA791A"/>
    <w:rsid w:val="00FB4688"/>
    <w:rsid w:val="00FB4A58"/>
    <w:rsid w:val="00FD162B"/>
    <w:rsid w:val="00FD2AF8"/>
    <w:rsid w:val="00FD632B"/>
    <w:rsid w:val="00FD7648"/>
    <w:rsid w:val="00FE2A6C"/>
    <w:rsid w:val="00FF2744"/>
    <w:rsid w:val="00FF3694"/>
    <w:rsid w:val="00FF6F34"/>
    <w:rsid w:val="00FF7BE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BA59A7"/>
  <w15:docId w15:val="{B98209AD-3451-4824-82E1-1DFAFFB13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ajorHAnsi" w:eastAsiaTheme="minorHAnsi" w:hAnsiTheme="maj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semiHidden="1" w:uiPriority="2" w:unhideWhenUsed="1"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0D99"/>
    <w:pPr>
      <w:spacing w:before="120" w:after="240" w:line="240" w:lineRule="auto"/>
    </w:pPr>
    <w:rPr>
      <w:rFonts w:ascii="Times New Roman" w:hAnsi="Times New Roman"/>
      <w:sz w:val="24"/>
    </w:rPr>
  </w:style>
  <w:style w:type="paragraph" w:styleId="Heading1">
    <w:name w:val="heading 1"/>
    <w:basedOn w:val="ListParagraph"/>
    <w:next w:val="Normal"/>
    <w:link w:val="Heading1Char"/>
    <w:uiPriority w:val="2"/>
    <w:qFormat/>
    <w:rsid w:val="00D80D99"/>
    <w:pPr>
      <w:numPr>
        <w:numId w:val="17"/>
      </w:numPr>
      <w:spacing w:before="240"/>
      <w:contextualSpacing w:val="0"/>
      <w:outlineLvl w:val="0"/>
    </w:pPr>
    <w:rPr>
      <w:b/>
    </w:rPr>
  </w:style>
  <w:style w:type="paragraph" w:styleId="Heading2">
    <w:name w:val="heading 2"/>
    <w:basedOn w:val="Heading1"/>
    <w:next w:val="Normal"/>
    <w:link w:val="Heading2Char"/>
    <w:uiPriority w:val="2"/>
    <w:qFormat/>
    <w:rsid w:val="00D80D99"/>
    <w:pPr>
      <w:numPr>
        <w:ilvl w:val="1"/>
      </w:numPr>
      <w:spacing w:after="200"/>
      <w:outlineLvl w:val="1"/>
    </w:pPr>
  </w:style>
  <w:style w:type="paragraph" w:styleId="Heading3">
    <w:name w:val="heading 3"/>
    <w:basedOn w:val="Normal"/>
    <w:next w:val="Normal"/>
    <w:link w:val="Heading3Char"/>
    <w:uiPriority w:val="2"/>
    <w:qFormat/>
    <w:rsid w:val="00D80D99"/>
    <w:pPr>
      <w:keepNext/>
      <w:keepLines/>
      <w:numPr>
        <w:ilvl w:val="2"/>
        <w:numId w:val="17"/>
      </w:numPr>
      <w:spacing w:before="40" w:after="120"/>
      <w:outlineLvl w:val="2"/>
    </w:pPr>
    <w:rPr>
      <w:rFonts w:eastAsiaTheme="majorEastAsia" w:cstheme="majorBidi"/>
      <w:b/>
      <w:szCs w:val="24"/>
    </w:rPr>
  </w:style>
  <w:style w:type="paragraph" w:styleId="Heading4">
    <w:name w:val="heading 4"/>
    <w:basedOn w:val="Heading3"/>
    <w:next w:val="Normal"/>
    <w:link w:val="Heading4Char"/>
    <w:uiPriority w:val="2"/>
    <w:qFormat/>
    <w:rsid w:val="00D80D99"/>
    <w:pPr>
      <w:numPr>
        <w:ilvl w:val="3"/>
      </w:numPr>
      <w:outlineLvl w:val="3"/>
    </w:pPr>
    <w:rPr>
      <w:iCs/>
    </w:rPr>
  </w:style>
  <w:style w:type="paragraph" w:styleId="Heading5">
    <w:name w:val="heading 5"/>
    <w:basedOn w:val="Heading4"/>
    <w:next w:val="Normal"/>
    <w:link w:val="Heading5Char"/>
    <w:uiPriority w:val="2"/>
    <w:qFormat/>
    <w:rsid w:val="00D80D99"/>
    <w:pPr>
      <w:numPr>
        <w:ilvl w:val="4"/>
      </w:num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2"/>
    <w:rsid w:val="00147395"/>
    <w:rPr>
      <w:rFonts w:ascii="Times New Roman" w:eastAsia="Cambria" w:hAnsi="Times New Roman" w:cs="Times New Roman"/>
      <w:b/>
      <w:sz w:val="24"/>
      <w:szCs w:val="24"/>
    </w:rPr>
  </w:style>
  <w:style w:type="character" w:customStyle="1" w:styleId="Heading2Char">
    <w:name w:val="Heading 2 Char"/>
    <w:basedOn w:val="DefaultParagraphFont"/>
    <w:link w:val="Heading2"/>
    <w:uiPriority w:val="2"/>
    <w:rsid w:val="00147395"/>
    <w:rPr>
      <w:rFonts w:ascii="Times New Roman" w:eastAsia="Cambria" w:hAnsi="Times New Roman" w:cs="Times New Roman"/>
      <w:b/>
      <w:sz w:val="24"/>
      <w:szCs w:val="24"/>
    </w:rPr>
  </w:style>
  <w:style w:type="character" w:styleId="Emphasis">
    <w:name w:val="Emphasis"/>
    <w:basedOn w:val="DefaultParagraphFont"/>
    <w:uiPriority w:val="20"/>
    <w:qFormat/>
    <w:rsid w:val="00C724CF"/>
    <w:rPr>
      <w:rFonts w:ascii="Times New Roman" w:hAnsi="Times New Roman"/>
      <w:i/>
      <w:iCs/>
    </w:rPr>
  </w:style>
  <w:style w:type="paragraph" w:styleId="ListParagraph">
    <w:name w:val="List Paragraph"/>
    <w:basedOn w:val="Normal"/>
    <w:uiPriority w:val="34"/>
    <w:qFormat/>
    <w:rsid w:val="00310124"/>
    <w:pPr>
      <w:numPr>
        <w:numId w:val="14"/>
      </w:numPr>
      <w:ind w:left="1434" w:hanging="357"/>
      <w:contextualSpacing/>
    </w:pPr>
    <w:rPr>
      <w:rFonts w:eastAsia="Cambria" w:cs="Times New Roman"/>
      <w:szCs w:val="24"/>
    </w:rPr>
  </w:style>
  <w:style w:type="character" w:styleId="Strong">
    <w:name w:val="Strong"/>
    <w:basedOn w:val="DefaultParagraphFont"/>
    <w:uiPriority w:val="22"/>
    <w:qFormat/>
    <w:rsid w:val="00C724CF"/>
    <w:rPr>
      <w:rFonts w:ascii="Times New Roman" w:hAnsi="Times New Roman"/>
      <w:b/>
      <w:bCs/>
    </w:rPr>
  </w:style>
  <w:style w:type="paragraph" w:styleId="NormalWeb">
    <w:name w:val="Normal (Web)"/>
    <w:basedOn w:val="Normal"/>
    <w:uiPriority w:val="99"/>
    <w:unhideWhenUsed/>
    <w:rsid w:val="00117666"/>
    <w:pPr>
      <w:spacing w:before="100" w:beforeAutospacing="1" w:after="100" w:afterAutospacing="1"/>
    </w:pPr>
    <w:rPr>
      <w:rFonts w:eastAsia="Times New Roman" w:cs="Times New Roman"/>
      <w:szCs w:val="24"/>
    </w:rPr>
  </w:style>
  <w:style w:type="paragraph" w:styleId="Header">
    <w:name w:val="header"/>
    <w:basedOn w:val="Normal"/>
    <w:link w:val="HeaderChar"/>
    <w:uiPriority w:val="99"/>
    <w:unhideWhenUsed/>
    <w:rsid w:val="00A53000"/>
    <w:pPr>
      <w:tabs>
        <w:tab w:val="center" w:pos="4844"/>
        <w:tab w:val="right" w:pos="9689"/>
      </w:tabs>
    </w:pPr>
    <w:rPr>
      <w:b/>
    </w:rPr>
  </w:style>
  <w:style w:type="character" w:customStyle="1" w:styleId="HeaderChar">
    <w:name w:val="Header Char"/>
    <w:basedOn w:val="DefaultParagraphFont"/>
    <w:link w:val="Header"/>
    <w:uiPriority w:val="99"/>
    <w:rsid w:val="00A53000"/>
    <w:rPr>
      <w:rFonts w:ascii="Times New Roman" w:hAnsi="Times New Roman"/>
      <w:b/>
      <w:sz w:val="24"/>
    </w:rPr>
  </w:style>
  <w:style w:type="paragraph" w:styleId="Footer">
    <w:name w:val="footer"/>
    <w:basedOn w:val="Normal"/>
    <w:link w:val="FooterChar"/>
    <w:uiPriority w:val="99"/>
    <w:unhideWhenUsed/>
    <w:rsid w:val="00117666"/>
    <w:pPr>
      <w:tabs>
        <w:tab w:val="center" w:pos="4844"/>
        <w:tab w:val="right" w:pos="9689"/>
      </w:tabs>
      <w:spacing w:after="0"/>
    </w:pPr>
  </w:style>
  <w:style w:type="character" w:customStyle="1" w:styleId="FooterChar">
    <w:name w:val="Footer Char"/>
    <w:basedOn w:val="DefaultParagraphFont"/>
    <w:link w:val="Footer"/>
    <w:uiPriority w:val="99"/>
    <w:rsid w:val="00117666"/>
  </w:style>
  <w:style w:type="table" w:styleId="TableGrid">
    <w:name w:val="Table Grid"/>
    <w:basedOn w:val="TableNormal"/>
    <w:uiPriority w:val="59"/>
    <w:rsid w:val="001176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117666"/>
    <w:pPr>
      <w:spacing w:after="0"/>
    </w:pPr>
    <w:rPr>
      <w:sz w:val="20"/>
      <w:szCs w:val="20"/>
    </w:rPr>
  </w:style>
  <w:style w:type="character" w:customStyle="1" w:styleId="FootnoteTextChar">
    <w:name w:val="Footnote Text Char"/>
    <w:basedOn w:val="DefaultParagraphFont"/>
    <w:link w:val="FootnoteText"/>
    <w:uiPriority w:val="99"/>
    <w:semiHidden/>
    <w:rsid w:val="00117666"/>
    <w:rPr>
      <w:sz w:val="20"/>
      <w:szCs w:val="20"/>
    </w:rPr>
  </w:style>
  <w:style w:type="character" w:styleId="FootnoteReference">
    <w:name w:val="footnote reference"/>
    <w:basedOn w:val="DefaultParagraphFont"/>
    <w:uiPriority w:val="99"/>
    <w:semiHidden/>
    <w:unhideWhenUsed/>
    <w:rsid w:val="00117666"/>
    <w:rPr>
      <w:vertAlign w:val="superscript"/>
    </w:rPr>
  </w:style>
  <w:style w:type="paragraph" w:styleId="Caption">
    <w:name w:val="caption"/>
    <w:basedOn w:val="Normal"/>
    <w:next w:val="NoSpacing"/>
    <w:uiPriority w:val="35"/>
    <w:unhideWhenUsed/>
    <w:qFormat/>
    <w:rsid w:val="00A53000"/>
    <w:pPr>
      <w:keepNext/>
    </w:pPr>
    <w:rPr>
      <w:rFonts w:cs="Times New Roman"/>
      <w:b/>
      <w:bCs/>
      <w:szCs w:val="24"/>
    </w:rPr>
  </w:style>
  <w:style w:type="paragraph" w:styleId="BalloonText">
    <w:name w:val="Balloon Text"/>
    <w:basedOn w:val="Normal"/>
    <w:link w:val="BalloonTextChar"/>
    <w:uiPriority w:val="99"/>
    <w:semiHidden/>
    <w:unhideWhenUsed/>
    <w:rsid w:val="00117666"/>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17666"/>
    <w:rPr>
      <w:rFonts w:ascii="Tahoma" w:hAnsi="Tahoma" w:cs="Tahoma"/>
      <w:sz w:val="16"/>
      <w:szCs w:val="16"/>
    </w:rPr>
  </w:style>
  <w:style w:type="character" w:styleId="LineNumber">
    <w:name w:val="line number"/>
    <w:basedOn w:val="DefaultParagraphFont"/>
    <w:uiPriority w:val="99"/>
    <w:semiHidden/>
    <w:unhideWhenUsed/>
    <w:rsid w:val="00117666"/>
  </w:style>
  <w:style w:type="paragraph" w:styleId="EndnoteText">
    <w:name w:val="endnote text"/>
    <w:basedOn w:val="Normal"/>
    <w:link w:val="EndnoteTextChar"/>
    <w:uiPriority w:val="99"/>
    <w:semiHidden/>
    <w:unhideWhenUsed/>
    <w:rsid w:val="00CD066B"/>
    <w:pPr>
      <w:spacing w:after="0"/>
    </w:pPr>
    <w:rPr>
      <w:sz w:val="20"/>
      <w:szCs w:val="20"/>
    </w:rPr>
  </w:style>
  <w:style w:type="character" w:customStyle="1" w:styleId="EndnoteTextChar">
    <w:name w:val="Endnote Text Char"/>
    <w:basedOn w:val="DefaultParagraphFont"/>
    <w:link w:val="EndnoteText"/>
    <w:uiPriority w:val="99"/>
    <w:semiHidden/>
    <w:rsid w:val="00CD066B"/>
    <w:rPr>
      <w:sz w:val="20"/>
      <w:szCs w:val="20"/>
    </w:rPr>
  </w:style>
  <w:style w:type="character" w:styleId="EndnoteReference">
    <w:name w:val="endnote reference"/>
    <w:basedOn w:val="DefaultParagraphFont"/>
    <w:uiPriority w:val="99"/>
    <w:semiHidden/>
    <w:unhideWhenUsed/>
    <w:rsid w:val="00CD066B"/>
    <w:rPr>
      <w:vertAlign w:val="superscript"/>
    </w:rPr>
  </w:style>
  <w:style w:type="character" w:styleId="CommentReference">
    <w:name w:val="annotation reference"/>
    <w:basedOn w:val="DefaultParagraphFont"/>
    <w:uiPriority w:val="99"/>
    <w:semiHidden/>
    <w:unhideWhenUsed/>
    <w:rsid w:val="00725A7D"/>
    <w:rPr>
      <w:sz w:val="16"/>
      <w:szCs w:val="16"/>
    </w:rPr>
  </w:style>
  <w:style w:type="paragraph" w:styleId="CommentText">
    <w:name w:val="annotation text"/>
    <w:basedOn w:val="Normal"/>
    <w:link w:val="CommentTextChar"/>
    <w:uiPriority w:val="99"/>
    <w:semiHidden/>
    <w:unhideWhenUsed/>
    <w:rsid w:val="00725A7D"/>
    <w:rPr>
      <w:sz w:val="20"/>
      <w:szCs w:val="20"/>
    </w:rPr>
  </w:style>
  <w:style w:type="character" w:customStyle="1" w:styleId="CommentTextChar">
    <w:name w:val="Comment Text Char"/>
    <w:basedOn w:val="DefaultParagraphFont"/>
    <w:link w:val="CommentText"/>
    <w:uiPriority w:val="99"/>
    <w:semiHidden/>
    <w:rsid w:val="00725A7D"/>
    <w:rPr>
      <w:sz w:val="20"/>
      <w:szCs w:val="20"/>
    </w:rPr>
  </w:style>
  <w:style w:type="paragraph" w:styleId="CommentSubject">
    <w:name w:val="annotation subject"/>
    <w:basedOn w:val="CommentText"/>
    <w:next w:val="CommentText"/>
    <w:link w:val="CommentSubjectChar"/>
    <w:uiPriority w:val="99"/>
    <w:semiHidden/>
    <w:unhideWhenUsed/>
    <w:rsid w:val="00725A7D"/>
    <w:rPr>
      <w:b/>
      <w:bCs/>
    </w:rPr>
  </w:style>
  <w:style w:type="character" w:customStyle="1" w:styleId="CommentSubjectChar">
    <w:name w:val="Comment Subject Char"/>
    <w:basedOn w:val="CommentTextChar"/>
    <w:link w:val="CommentSubject"/>
    <w:uiPriority w:val="99"/>
    <w:semiHidden/>
    <w:rsid w:val="00725A7D"/>
    <w:rPr>
      <w:b/>
      <w:bCs/>
      <w:sz w:val="20"/>
      <w:szCs w:val="20"/>
    </w:rPr>
  </w:style>
  <w:style w:type="character" w:styleId="Hyperlink">
    <w:name w:val="Hyperlink"/>
    <w:basedOn w:val="DefaultParagraphFont"/>
    <w:uiPriority w:val="99"/>
    <w:unhideWhenUsed/>
    <w:rsid w:val="005A1D84"/>
    <w:rPr>
      <w:color w:val="0000FF"/>
      <w:u w:val="single"/>
    </w:rPr>
  </w:style>
  <w:style w:type="character" w:styleId="FollowedHyperlink">
    <w:name w:val="FollowedHyperlink"/>
    <w:basedOn w:val="DefaultParagraphFont"/>
    <w:uiPriority w:val="99"/>
    <w:semiHidden/>
    <w:unhideWhenUsed/>
    <w:rsid w:val="006D5B93"/>
    <w:rPr>
      <w:color w:val="800080" w:themeColor="followedHyperlink"/>
      <w:u w:val="single"/>
    </w:rPr>
  </w:style>
  <w:style w:type="paragraph" w:styleId="Title">
    <w:name w:val="Title"/>
    <w:basedOn w:val="Normal"/>
    <w:next w:val="Normal"/>
    <w:link w:val="TitleChar"/>
    <w:qFormat/>
    <w:rsid w:val="00D80D99"/>
    <w:pPr>
      <w:suppressLineNumbers/>
      <w:spacing w:before="240" w:after="360"/>
      <w:jc w:val="center"/>
    </w:pPr>
    <w:rPr>
      <w:rFonts w:cs="Times New Roman"/>
      <w:b/>
      <w:sz w:val="32"/>
      <w:szCs w:val="32"/>
    </w:rPr>
  </w:style>
  <w:style w:type="character" w:customStyle="1" w:styleId="TitleChar">
    <w:name w:val="Title Char"/>
    <w:basedOn w:val="DefaultParagraphFont"/>
    <w:link w:val="Title"/>
    <w:rsid w:val="00D80D99"/>
    <w:rPr>
      <w:rFonts w:ascii="Times New Roman" w:hAnsi="Times New Roman" w:cs="Times New Roman"/>
      <w:b/>
      <w:sz w:val="32"/>
      <w:szCs w:val="32"/>
    </w:rPr>
  </w:style>
  <w:style w:type="paragraph" w:styleId="Subtitle">
    <w:name w:val="Subtitle"/>
    <w:basedOn w:val="Normal"/>
    <w:next w:val="Normal"/>
    <w:link w:val="SubtitleChar"/>
    <w:uiPriority w:val="99"/>
    <w:unhideWhenUsed/>
    <w:qFormat/>
    <w:rsid w:val="00AC0270"/>
    <w:pPr>
      <w:spacing w:before="240"/>
    </w:pPr>
    <w:rPr>
      <w:rFonts w:cs="Times New Roman"/>
      <w:b/>
      <w:szCs w:val="24"/>
    </w:rPr>
  </w:style>
  <w:style w:type="character" w:customStyle="1" w:styleId="SubtitleChar">
    <w:name w:val="Subtitle Char"/>
    <w:basedOn w:val="DefaultParagraphFont"/>
    <w:link w:val="Subtitle"/>
    <w:uiPriority w:val="99"/>
    <w:rsid w:val="00651CA2"/>
    <w:rPr>
      <w:rFonts w:ascii="Times New Roman" w:hAnsi="Times New Roman" w:cs="Times New Roman"/>
      <w:b/>
      <w:sz w:val="24"/>
      <w:szCs w:val="24"/>
    </w:rPr>
  </w:style>
  <w:style w:type="character" w:customStyle="1" w:styleId="Heading3Char">
    <w:name w:val="Heading 3 Char"/>
    <w:basedOn w:val="DefaultParagraphFont"/>
    <w:link w:val="Heading3"/>
    <w:uiPriority w:val="2"/>
    <w:rsid w:val="005D1840"/>
    <w:rPr>
      <w:rFonts w:ascii="Times New Roman" w:eastAsiaTheme="majorEastAsia" w:hAnsi="Times New Roman" w:cstheme="majorBidi"/>
      <w:b/>
      <w:sz w:val="24"/>
      <w:szCs w:val="24"/>
    </w:rPr>
  </w:style>
  <w:style w:type="paragraph" w:styleId="NoSpacing">
    <w:name w:val="No Spacing"/>
    <w:uiPriority w:val="99"/>
    <w:unhideWhenUsed/>
    <w:qFormat/>
    <w:rsid w:val="00A53000"/>
    <w:pPr>
      <w:spacing w:after="0" w:line="240" w:lineRule="auto"/>
    </w:pPr>
    <w:rPr>
      <w:rFonts w:ascii="Times New Roman" w:hAnsi="Times New Roman"/>
      <w:sz w:val="24"/>
    </w:rPr>
  </w:style>
  <w:style w:type="character" w:customStyle="1" w:styleId="Heading4Char">
    <w:name w:val="Heading 4 Char"/>
    <w:basedOn w:val="DefaultParagraphFont"/>
    <w:link w:val="Heading4"/>
    <w:uiPriority w:val="2"/>
    <w:rsid w:val="005D1840"/>
    <w:rPr>
      <w:rFonts w:ascii="Times New Roman" w:eastAsiaTheme="majorEastAsia" w:hAnsi="Times New Roman" w:cstheme="majorBidi"/>
      <w:b/>
      <w:iCs/>
      <w:sz w:val="24"/>
      <w:szCs w:val="24"/>
    </w:rPr>
  </w:style>
  <w:style w:type="character" w:customStyle="1" w:styleId="Heading5Char">
    <w:name w:val="Heading 5 Char"/>
    <w:basedOn w:val="DefaultParagraphFont"/>
    <w:link w:val="Heading5"/>
    <w:uiPriority w:val="2"/>
    <w:rsid w:val="005D1840"/>
    <w:rPr>
      <w:rFonts w:ascii="Times New Roman" w:eastAsiaTheme="majorEastAsia" w:hAnsi="Times New Roman" w:cstheme="majorBidi"/>
      <w:b/>
      <w:iCs/>
      <w:sz w:val="24"/>
      <w:szCs w:val="24"/>
    </w:rPr>
  </w:style>
  <w:style w:type="paragraph" w:customStyle="1" w:styleId="AuthorList">
    <w:name w:val="Author List"/>
    <w:aliases w:val="Keywords,Abstract"/>
    <w:basedOn w:val="Subtitle"/>
    <w:next w:val="Normal"/>
    <w:uiPriority w:val="1"/>
    <w:qFormat/>
    <w:rsid w:val="00651CA2"/>
  </w:style>
  <w:style w:type="character" w:styleId="SubtleEmphasis">
    <w:name w:val="Subtle Emphasis"/>
    <w:basedOn w:val="DefaultParagraphFont"/>
    <w:uiPriority w:val="19"/>
    <w:qFormat/>
    <w:rsid w:val="00C724CF"/>
    <w:rPr>
      <w:rFonts w:ascii="Times New Roman" w:hAnsi="Times New Roman"/>
      <w:i/>
      <w:iCs/>
      <w:color w:val="404040" w:themeColor="text1" w:themeTint="BF"/>
    </w:rPr>
  </w:style>
  <w:style w:type="character" w:styleId="IntenseEmphasis">
    <w:name w:val="Intense Emphasis"/>
    <w:basedOn w:val="DefaultParagraphFont"/>
    <w:uiPriority w:val="21"/>
    <w:unhideWhenUsed/>
    <w:rsid w:val="00C724CF"/>
    <w:rPr>
      <w:rFonts w:ascii="Times New Roman" w:hAnsi="Times New Roman"/>
      <w:i/>
      <w:iCs/>
      <w:color w:val="auto"/>
    </w:rPr>
  </w:style>
  <w:style w:type="paragraph" w:styleId="Quote">
    <w:name w:val="Quote"/>
    <w:basedOn w:val="Normal"/>
    <w:next w:val="Normal"/>
    <w:link w:val="QuoteChar"/>
    <w:uiPriority w:val="29"/>
    <w:qFormat/>
    <w:rsid w:val="00C724CF"/>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C724CF"/>
    <w:rPr>
      <w:rFonts w:ascii="Times New Roman" w:hAnsi="Times New Roman"/>
      <w:i/>
      <w:iCs/>
      <w:color w:val="404040" w:themeColor="text1" w:themeTint="BF"/>
      <w:sz w:val="24"/>
    </w:rPr>
  </w:style>
  <w:style w:type="character" w:styleId="IntenseReference">
    <w:name w:val="Intense Reference"/>
    <w:basedOn w:val="DefaultParagraphFont"/>
    <w:uiPriority w:val="32"/>
    <w:qFormat/>
    <w:rsid w:val="00C724CF"/>
    <w:rPr>
      <w:b/>
      <w:bCs/>
      <w:smallCaps/>
      <w:color w:val="auto"/>
      <w:spacing w:val="5"/>
    </w:rPr>
  </w:style>
  <w:style w:type="character" w:styleId="BookTitle">
    <w:name w:val="Book Title"/>
    <w:basedOn w:val="DefaultParagraphFont"/>
    <w:uiPriority w:val="33"/>
    <w:qFormat/>
    <w:rsid w:val="00C724CF"/>
    <w:rPr>
      <w:rFonts w:ascii="Times New Roman" w:hAnsi="Times New Roman"/>
      <w:b/>
      <w:bCs/>
      <w:i/>
      <w:iCs/>
      <w:spacing w:val="5"/>
    </w:rPr>
  </w:style>
  <w:style w:type="numbering" w:customStyle="1" w:styleId="Headings">
    <w:name w:val="Headings"/>
    <w:uiPriority w:val="99"/>
    <w:rsid w:val="00D80D99"/>
    <w:pPr>
      <w:numPr>
        <w:numId w:val="21"/>
      </w:numPr>
    </w:pPr>
  </w:style>
  <w:style w:type="paragraph" w:styleId="Revision">
    <w:name w:val="Revision"/>
    <w:hidden/>
    <w:uiPriority w:val="99"/>
    <w:semiHidden/>
    <w:rsid w:val="00A545C6"/>
    <w:pPr>
      <w:spacing w:after="0" w:line="240" w:lineRule="auto"/>
    </w:pPr>
    <w:rPr>
      <w:rFonts w:ascii="Times New Roman" w:hAnsi="Times New Roman"/>
      <w:sz w:val="24"/>
    </w:rPr>
  </w:style>
  <w:style w:type="paragraph" w:customStyle="1" w:styleId="Default">
    <w:name w:val="Default"/>
    <w:rsid w:val="00A02D9B"/>
    <w:pPr>
      <w:autoSpaceDE w:val="0"/>
      <w:autoSpaceDN w:val="0"/>
      <w:adjustRightInd w:val="0"/>
      <w:spacing w:after="0" w:line="240" w:lineRule="auto"/>
    </w:pPr>
    <w:rPr>
      <w:rFonts w:ascii="Avenir LT Std 65 Medium" w:hAnsi="Avenir LT Std 65 Medium" w:cs="Avenir LT Std 65 Medium"/>
      <w:color w:val="000000"/>
      <w:sz w:val="24"/>
      <w:szCs w:val="24"/>
      <w:lang w:val="en-GB"/>
    </w:rPr>
  </w:style>
  <w:style w:type="character" w:customStyle="1" w:styleId="period">
    <w:name w:val="period"/>
    <w:basedOn w:val="DefaultParagraphFont"/>
    <w:rsid w:val="00500BCE"/>
  </w:style>
  <w:style w:type="character" w:customStyle="1" w:styleId="cit">
    <w:name w:val="cit"/>
    <w:basedOn w:val="DefaultParagraphFont"/>
    <w:rsid w:val="00500BCE"/>
  </w:style>
  <w:style w:type="character" w:customStyle="1" w:styleId="citation-doi">
    <w:name w:val="citation-doi"/>
    <w:basedOn w:val="DefaultParagraphFont"/>
    <w:rsid w:val="00500BCE"/>
  </w:style>
  <w:style w:type="character" w:customStyle="1" w:styleId="secondary-date">
    <w:name w:val="secondary-date"/>
    <w:basedOn w:val="DefaultParagraphFont"/>
    <w:rsid w:val="00500BCE"/>
  </w:style>
  <w:style w:type="character" w:customStyle="1" w:styleId="authors-list-item">
    <w:name w:val="authors-list-item"/>
    <w:basedOn w:val="DefaultParagraphFont"/>
    <w:rsid w:val="00500BCE"/>
  </w:style>
  <w:style w:type="character" w:customStyle="1" w:styleId="author-sup-separator">
    <w:name w:val="author-sup-separator"/>
    <w:basedOn w:val="DefaultParagraphFont"/>
    <w:rsid w:val="00500BCE"/>
  </w:style>
  <w:style w:type="character" w:customStyle="1" w:styleId="identifier">
    <w:name w:val="identifier"/>
    <w:basedOn w:val="DefaultParagraphFont"/>
    <w:rsid w:val="00500BCE"/>
  </w:style>
  <w:style w:type="character" w:customStyle="1" w:styleId="id-label">
    <w:name w:val="id-label"/>
    <w:basedOn w:val="DefaultParagraphFont"/>
    <w:rsid w:val="00500B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952381">
      <w:bodyDiv w:val="1"/>
      <w:marLeft w:val="0"/>
      <w:marRight w:val="0"/>
      <w:marTop w:val="0"/>
      <w:marBottom w:val="0"/>
      <w:divBdr>
        <w:top w:val="none" w:sz="0" w:space="0" w:color="auto"/>
        <w:left w:val="none" w:sz="0" w:space="0" w:color="auto"/>
        <w:bottom w:val="none" w:sz="0" w:space="0" w:color="auto"/>
        <w:right w:val="none" w:sz="0" w:space="0" w:color="auto"/>
      </w:divBdr>
    </w:div>
    <w:div w:id="83501254">
      <w:bodyDiv w:val="1"/>
      <w:marLeft w:val="0"/>
      <w:marRight w:val="0"/>
      <w:marTop w:val="0"/>
      <w:marBottom w:val="0"/>
      <w:divBdr>
        <w:top w:val="none" w:sz="0" w:space="0" w:color="auto"/>
        <w:left w:val="none" w:sz="0" w:space="0" w:color="auto"/>
        <w:bottom w:val="none" w:sz="0" w:space="0" w:color="auto"/>
        <w:right w:val="none" w:sz="0" w:space="0" w:color="auto"/>
      </w:divBdr>
    </w:div>
    <w:div w:id="171993267">
      <w:bodyDiv w:val="1"/>
      <w:marLeft w:val="0"/>
      <w:marRight w:val="0"/>
      <w:marTop w:val="0"/>
      <w:marBottom w:val="0"/>
      <w:divBdr>
        <w:top w:val="none" w:sz="0" w:space="0" w:color="auto"/>
        <w:left w:val="none" w:sz="0" w:space="0" w:color="auto"/>
        <w:bottom w:val="none" w:sz="0" w:space="0" w:color="auto"/>
        <w:right w:val="none" w:sz="0" w:space="0" w:color="auto"/>
      </w:divBdr>
    </w:div>
    <w:div w:id="330254591">
      <w:bodyDiv w:val="1"/>
      <w:marLeft w:val="0"/>
      <w:marRight w:val="0"/>
      <w:marTop w:val="0"/>
      <w:marBottom w:val="0"/>
      <w:divBdr>
        <w:top w:val="none" w:sz="0" w:space="0" w:color="auto"/>
        <w:left w:val="none" w:sz="0" w:space="0" w:color="auto"/>
        <w:bottom w:val="none" w:sz="0" w:space="0" w:color="auto"/>
        <w:right w:val="none" w:sz="0" w:space="0" w:color="auto"/>
      </w:divBdr>
    </w:div>
    <w:div w:id="368335732">
      <w:bodyDiv w:val="1"/>
      <w:marLeft w:val="0"/>
      <w:marRight w:val="0"/>
      <w:marTop w:val="0"/>
      <w:marBottom w:val="0"/>
      <w:divBdr>
        <w:top w:val="none" w:sz="0" w:space="0" w:color="auto"/>
        <w:left w:val="none" w:sz="0" w:space="0" w:color="auto"/>
        <w:bottom w:val="none" w:sz="0" w:space="0" w:color="auto"/>
        <w:right w:val="none" w:sz="0" w:space="0" w:color="auto"/>
      </w:divBdr>
    </w:div>
    <w:div w:id="476724946">
      <w:bodyDiv w:val="1"/>
      <w:marLeft w:val="0"/>
      <w:marRight w:val="0"/>
      <w:marTop w:val="0"/>
      <w:marBottom w:val="0"/>
      <w:divBdr>
        <w:top w:val="none" w:sz="0" w:space="0" w:color="auto"/>
        <w:left w:val="none" w:sz="0" w:space="0" w:color="auto"/>
        <w:bottom w:val="none" w:sz="0" w:space="0" w:color="auto"/>
        <w:right w:val="none" w:sz="0" w:space="0" w:color="auto"/>
      </w:divBdr>
    </w:div>
    <w:div w:id="566258189">
      <w:bodyDiv w:val="1"/>
      <w:marLeft w:val="0"/>
      <w:marRight w:val="0"/>
      <w:marTop w:val="0"/>
      <w:marBottom w:val="0"/>
      <w:divBdr>
        <w:top w:val="none" w:sz="0" w:space="0" w:color="auto"/>
        <w:left w:val="none" w:sz="0" w:space="0" w:color="auto"/>
        <w:bottom w:val="none" w:sz="0" w:space="0" w:color="auto"/>
        <w:right w:val="none" w:sz="0" w:space="0" w:color="auto"/>
      </w:divBdr>
    </w:div>
    <w:div w:id="625626042">
      <w:bodyDiv w:val="1"/>
      <w:marLeft w:val="0"/>
      <w:marRight w:val="0"/>
      <w:marTop w:val="0"/>
      <w:marBottom w:val="0"/>
      <w:divBdr>
        <w:top w:val="none" w:sz="0" w:space="0" w:color="auto"/>
        <w:left w:val="none" w:sz="0" w:space="0" w:color="auto"/>
        <w:bottom w:val="none" w:sz="0" w:space="0" w:color="auto"/>
        <w:right w:val="none" w:sz="0" w:space="0" w:color="auto"/>
      </w:divBdr>
    </w:div>
    <w:div w:id="935138230">
      <w:bodyDiv w:val="1"/>
      <w:marLeft w:val="0"/>
      <w:marRight w:val="0"/>
      <w:marTop w:val="0"/>
      <w:marBottom w:val="0"/>
      <w:divBdr>
        <w:top w:val="none" w:sz="0" w:space="0" w:color="auto"/>
        <w:left w:val="none" w:sz="0" w:space="0" w:color="auto"/>
        <w:bottom w:val="none" w:sz="0" w:space="0" w:color="auto"/>
        <w:right w:val="none" w:sz="0" w:space="0" w:color="auto"/>
      </w:divBdr>
    </w:div>
    <w:div w:id="1002313091">
      <w:bodyDiv w:val="1"/>
      <w:marLeft w:val="0"/>
      <w:marRight w:val="0"/>
      <w:marTop w:val="0"/>
      <w:marBottom w:val="0"/>
      <w:divBdr>
        <w:top w:val="none" w:sz="0" w:space="0" w:color="auto"/>
        <w:left w:val="none" w:sz="0" w:space="0" w:color="auto"/>
        <w:bottom w:val="none" w:sz="0" w:space="0" w:color="auto"/>
        <w:right w:val="none" w:sz="0" w:space="0" w:color="auto"/>
      </w:divBdr>
    </w:div>
    <w:div w:id="1369795050">
      <w:bodyDiv w:val="1"/>
      <w:marLeft w:val="0"/>
      <w:marRight w:val="0"/>
      <w:marTop w:val="0"/>
      <w:marBottom w:val="0"/>
      <w:divBdr>
        <w:top w:val="none" w:sz="0" w:space="0" w:color="auto"/>
        <w:left w:val="none" w:sz="0" w:space="0" w:color="auto"/>
        <w:bottom w:val="none" w:sz="0" w:space="0" w:color="auto"/>
        <w:right w:val="none" w:sz="0" w:space="0" w:color="auto"/>
      </w:divBdr>
      <w:divsChild>
        <w:div w:id="1688285575">
          <w:marLeft w:val="0"/>
          <w:marRight w:val="0"/>
          <w:marTop w:val="0"/>
          <w:marBottom w:val="0"/>
          <w:divBdr>
            <w:top w:val="none" w:sz="0" w:space="0" w:color="auto"/>
            <w:left w:val="none" w:sz="0" w:space="0" w:color="auto"/>
            <w:bottom w:val="none" w:sz="0" w:space="0" w:color="auto"/>
            <w:right w:val="none" w:sz="0" w:space="0" w:color="auto"/>
          </w:divBdr>
          <w:divsChild>
            <w:div w:id="441874993">
              <w:marLeft w:val="0"/>
              <w:marRight w:val="0"/>
              <w:marTop w:val="0"/>
              <w:marBottom w:val="0"/>
              <w:divBdr>
                <w:top w:val="none" w:sz="0" w:space="0" w:color="auto"/>
                <w:left w:val="none" w:sz="0" w:space="0" w:color="auto"/>
                <w:bottom w:val="none" w:sz="0" w:space="0" w:color="auto"/>
                <w:right w:val="none" w:sz="0" w:space="0" w:color="auto"/>
              </w:divBdr>
              <w:divsChild>
                <w:div w:id="1224103639">
                  <w:marLeft w:val="0"/>
                  <w:marRight w:val="0"/>
                  <w:marTop w:val="0"/>
                  <w:marBottom w:val="0"/>
                  <w:divBdr>
                    <w:top w:val="none" w:sz="0" w:space="0" w:color="auto"/>
                    <w:left w:val="none" w:sz="0" w:space="0" w:color="auto"/>
                    <w:bottom w:val="none" w:sz="0" w:space="0" w:color="auto"/>
                    <w:right w:val="none" w:sz="0" w:space="0" w:color="auto"/>
                  </w:divBdr>
                  <w:divsChild>
                    <w:div w:id="207600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020527">
          <w:marLeft w:val="0"/>
          <w:marRight w:val="0"/>
          <w:marTop w:val="0"/>
          <w:marBottom w:val="0"/>
          <w:divBdr>
            <w:top w:val="none" w:sz="0" w:space="0" w:color="auto"/>
            <w:left w:val="none" w:sz="0" w:space="0" w:color="auto"/>
            <w:bottom w:val="none" w:sz="0" w:space="0" w:color="auto"/>
            <w:right w:val="none" w:sz="0" w:space="0" w:color="auto"/>
          </w:divBdr>
          <w:divsChild>
            <w:div w:id="475729389">
              <w:marLeft w:val="0"/>
              <w:marRight w:val="0"/>
              <w:marTop w:val="0"/>
              <w:marBottom w:val="0"/>
              <w:divBdr>
                <w:top w:val="none" w:sz="0" w:space="0" w:color="auto"/>
                <w:left w:val="none" w:sz="0" w:space="0" w:color="auto"/>
                <w:bottom w:val="none" w:sz="0" w:space="0" w:color="auto"/>
                <w:right w:val="none" w:sz="0" w:space="0" w:color="auto"/>
              </w:divBdr>
              <w:divsChild>
                <w:div w:id="339160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169782">
          <w:marLeft w:val="0"/>
          <w:marRight w:val="0"/>
          <w:marTop w:val="0"/>
          <w:marBottom w:val="0"/>
          <w:divBdr>
            <w:top w:val="none" w:sz="0" w:space="0" w:color="auto"/>
            <w:left w:val="none" w:sz="0" w:space="0" w:color="auto"/>
            <w:bottom w:val="none" w:sz="0" w:space="0" w:color="auto"/>
            <w:right w:val="none" w:sz="0" w:space="0" w:color="auto"/>
          </w:divBdr>
        </w:div>
      </w:divsChild>
    </w:div>
    <w:div w:id="1885100303">
      <w:bodyDiv w:val="1"/>
      <w:marLeft w:val="0"/>
      <w:marRight w:val="0"/>
      <w:marTop w:val="0"/>
      <w:marBottom w:val="0"/>
      <w:divBdr>
        <w:top w:val="none" w:sz="0" w:space="0" w:color="auto"/>
        <w:left w:val="none" w:sz="0" w:space="0" w:color="auto"/>
        <w:bottom w:val="none" w:sz="0" w:space="0" w:color="auto"/>
        <w:right w:val="none" w:sz="0" w:space="0" w:color="auto"/>
      </w:divBdr>
    </w:div>
    <w:div w:id="2108455780">
      <w:bodyDiv w:val="1"/>
      <w:marLeft w:val="0"/>
      <w:marRight w:val="0"/>
      <w:marTop w:val="0"/>
      <w:marBottom w:val="0"/>
      <w:divBdr>
        <w:top w:val="none" w:sz="0" w:space="0" w:color="auto"/>
        <w:left w:val="none" w:sz="0" w:space="0" w:color="auto"/>
        <w:bottom w:val="none" w:sz="0" w:space="0" w:color="auto"/>
        <w:right w:val="none" w:sz="0" w:space="0" w:color="auto"/>
      </w:divBdr>
    </w:div>
    <w:div w:id="2111316724">
      <w:bodyDiv w:val="1"/>
      <w:marLeft w:val="0"/>
      <w:marRight w:val="0"/>
      <w:marTop w:val="0"/>
      <w:marBottom w:val="0"/>
      <w:divBdr>
        <w:top w:val="none" w:sz="0" w:space="0" w:color="auto"/>
        <w:left w:val="none" w:sz="0" w:space="0" w:color="auto"/>
        <w:bottom w:val="none" w:sz="0" w:space="0" w:color="auto"/>
        <w:right w:val="none" w:sz="0" w:space="0" w:color="auto"/>
      </w:divBdr>
    </w:div>
    <w:div w:id="2130515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1108/MHRJ-01-2017-0006" TargetMode="External"/><Relationship Id="rId18" Type="http://schemas.openxmlformats.org/officeDocument/2006/relationships/hyperlink" Target="https://onlinelibrary.wiley.com/action/doSearch?ContribAuthorStored=Simmons%2C+Magenta+B" TargetMode="External"/><Relationship Id="rId26" Type="http://schemas.openxmlformats.org/officeDocument/2006/relationships/hyperlink" Target="https://doi.org/10.1007/s40596-020-01280-3" TargetMode="External"/><Relationship Id="rId3" Type="http://schemas.openxmlformats.org/officeDocument/2006/relationships/styles" Target="styles.xml"/><Relationship Id="rId21" Type="http://schemas.openxmlformats.org/officeDocument/2006/relationships/hyperlink" Target="https://onlinelibrary.wiley.com/action/doSearch?ContribAuthorStored=Dimopoulos-Bick%2C+Tara"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wapr.org/wp-content/uploads/2019/01/wapr_e_bulletin_dec_2018.pdf" TargetMode="External"/><Relationship Id="rId17" Type="http://schemas.openxmlformats.org/officeDocument/2006/relationships/hyperlink" Target="https://doi.org/10.1016/j.ijlp.2020.101563" TargetMode="External"/><Relationship Id="rId25" Type="http://schemas.openxmlformats.org/officeDocument/2006/relationships/hyperlink" Target="https://doi.org/10.1108/JOE-11-2019-0040" TargetMode="External"/><Relationship Id="rId33"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doi.org/10.1111/hex.12392" TargetMode="External"/><Relationship Id="rId20" Type="http://schemas.openxmlformats.org/officeDocument/2006/relationships/hyperlink" Target="https://onlinelibrary.wiley.com/action/doSearch?ContribAuthorStored=Batchelor%2C+Samantha"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ice.org.uk/guidance/ng181/chapter/Recommendations" TargetMode="External"/><Relationship Id="rId24" Type="http://schemas.openxmlformats.org/officeDocument/2006/relationships/hyperlink" Target="https://www.researchgate.net/deref/http%3A%2F%2Fdx.doi.org%2F10.1080%2F13691457.2019.1689927?_sg%5B0%5D=RF8S_Qd2M0Oe0NrF6zszBRrS_F4xd9jHy5Px7HeTbqnH0-mI8hmKeN4W20aCHgCziMEKldpIy_xqlTprS8yrEvAwvg.iI1FHe0vwCsmGaeOFp8skNxH2dGoP7_uSrc4iJiKAZ6PWoqLMk5FhBrHbVF6R2I7ab_X8dgziPpX32B3ZgHECg" TargetMode="External"/><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doi.org/10.1186/s12888-019-2094" TargetMode="External"/><Relationship Id="rId23" Type="http://schemas.openxmlformats.org/officeDocument/2006/relationships/hyperlink" Target="https://doi.org/10.1111/eip.12527" TargetMode="External"/><Relationship Id="rId28" Type="http://schemas.openxmlformats.org/officeDocument/2006/relationships/hyperlink" Target="https://doi.org/10.1186/s13034-020-0310-3" TargetMode="External"/><Relationship Id="rId10" Type="http://schemas.openxmlformats.org/officeDocument/2006/relationships/hyperlink" Target="https://www.england.nhs.uk/wp-content/uploads/2017/03/fyfv-mh-one-year-on.pdf" TargetMode="External"/><Relationship Id="rId19" Type="http://schemas.openxmlformats.org/officeDocument/2006/relationships/hyperlink" Target="https://onlinelibrary.wiley.com/action/doSearch?ContribAuthorStored=Coates%2C+Dominiek"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england.nhs.uk/wp-content/uploads/2016/02/Mental-Health-Taskforce-FYFV-final.pdf" TargetMode="External"/><Relationship Id="rId14" Type="http://schemas.openxmlformats.org/officeDocument/2006/relationships/hyperlink" Target="http://dx.doi.org/10.1136/bmj.j4891" TargetMode="External"/><Relationship Id="rId22" Type="http://schemas.openxmlformats.org/officeDocument/2006/relationships/hyperlink" Target="https://onlinelibrary.wiley.com/action/doSearch?ContribAuthorStored=Howe%2C+Deborah" TargetMode="External"/><Relationship Id="rId27" Type="http://schemas.openxmlformats.org/officeDocument/2006/relationships/hyperlink" Target="https://doi.org/10.1093/schbul/sbs035" TargetMode="External"/><Relationship Id="rId30" Type="http://schemas.openxmlformats.org/officeDocument/2006/relationships/header" Target="header2.xml"/><Relationship Id="rId35" Type="http://schemas.openxmlformats.org/officeDocument/2006/relationships/theme" Target="theme/theme1.xml"/><Relationship Id="rId8" Type="http://schemas.openxmlformats.org/officeDocument/2006/relationships/hyperlink" Target="mailto:Joanna.Fox@aru.ac.uk"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shua.stocco\Documents\Templates\Frontiers_Word_Templates\Frontiers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D04B0106-B3A0-4836-A4A1-7A61789C77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Frontiers_template</Template>
  <TotalTime>2</TotalTime>
  <Pages>10</Pages>
  <Words>4883</Words>
  <Characters>27839</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Fox, Joanna</dc:creator>
  <cp:keywords/>
  <dc:description/>
  <cp:lastModifiedBy>Fox, Joanna</cp:lastModifiedBy>
  <cp:revision>3</cp:revision>
  <cp:lastPrinted>2013-10-03T12:51:00Z</cp:lastPrinted>
  <dcterms:created xsi:type="dcterms:W3CDTF">2021-02-17T16:57:00Z</dcterms:created>
  <dcterms:modified xsi:type="dcterms:W3CDTF">2021-02-17T16:58:00Z</dcterms:modified>
</cp:coreProperties>
</file>