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15EB9" w14:textId="77777777" w:rsidR="00DC07CD" w:rsidRPr="00910D76" w:rsidRDefault="00DC07CD" w:rsidP="008275D7">
      <w:pPr>
        <w:spacing w:after="0" w:line="480" w:lineRule="auto"/>
        <w:jc w:val="both"/>
        <w:rPr>
          <w:rFonts w:cstheme="minorHAnsi"/>
          <w:b/>
        </w:rPr>
      </w:pPr>
      <w:bookmarkStart w:id="0" w:name="_Hlk2078269"/>
    </w:p>
    <w:p w14:paraId="3B785EE0" w14:textId="77777777" w:rsidR="00DC07CD" w:rsidRPr="00910D76" w:rsidRDefault="00DC07CD" w:rsidP="008275D7">
      <w:pPr>
        <w:spacing w:after="0" w:line="480" w:lineRule="auto"/>
        <w:jc w:val="both"/>
        <w:rPr>
          <w:rFonts w:cstheme="minorHAnsi"/>
          <w:b/>
        </w:rPr>
      </w:pPr>
    </w:p>
    <w:p w14:paraId="0C4F041A" w14:textId="77777777" w:rsidR="00DC07CD" w:rsidRPr="00910D76" w:rsidRDefault="00DC07CD" w:rsidP="008275D7">
      <w:pPr>
        <w:spacing w:after="0" w:line="480" w:lineRule="auto"/>
        <w:jc w:val="both"/>
        <w:rPr>
          <w:rFonts w:cstheme="minorHAnsi"/>
          <w:b/>
        </w:rPr>
      </w:pPr>
    </w:p>
    <w:p w14:paraId="5118B1FA" w14:textId="2749E15D" w:rsidR="008D22B6" w:rsidRPr="001C56A4" w:rsidRDefault="004A79F5" w:rsidP="001C56A4">
      <w:pPr>
        <w:spacing w:after="0" w:line="480" w:lineRule="auto"/>
        <w:jc w:val="center"/>
        <w:rPr>
          <w:rFonts w:cstheme="minorHAnsi"/>
          <w:b/>
          <w:sz w:val="28"/>
          <w:szCs w:val="28"/>
        </w:rPr>
      </w:pPr>
      <w:r w:rsidRPr="001C56A4">
        <w:rPr>
          <w:rFonts w:cstheme="minorHAnsi"/>
          <w:b/>
          <w:sz w:val="28"/>
          <w:szCs w:val="28"/>
        </w:rPr>
        <w:t>Investigating the op</w:t>
      </w:r>
      <w:r w:rsidR="005C4980" w:rsidRPr="001C56A4">
        <w:rPr>
          <w:rFonts w:cstheme="minorHAnsi"/>
          <w:b/>
          <w:sz w:val="28"/>
          <w:szCs w:val="28"/>
        </w:rPr>
        <w:t xml:space="preserve">posing effect of two different green tea </w:t>
      </w:r>
      <w:r w:rsidRPr="001C56A4">
        <w:rPr>
          <w:rFonts w:cstheme="minorHAnsi"/>
          <w:b/>
          <w:sz w:val="28"/>
          <w:szCs w:val="28"/>
        </w:rPr>
        <w:t>supplements</w:t>
      </w:r>
      <w:r w:rsidR="005C4980" w:rsidRPr="001C56A4">
        <w:rPr>
          <w:rFonts w:cstheme="minorHAnsi"/>
          <w:b/>
          <w:sz w:val="28"/>
          <w:szCs w:val="28"/>
        </w:rPr>
        <w:t xml:space="preserve"> on oxidative stress, mitochondrial </w:t>
      </w:r>
      <w:proofErr w:type="gramStart"/>
      <w:r w:rsidR="005C4980" w:rsidRPr="001C56A4">
        <w:rPr>
          <w:rFonts w:cstheme="minorHAnsi"/>
          <w:b/>
          <w:sz w:val="28"/>
          <w:szCs w:val="28"/>
        </w:rPr>
        <w:t>function</w:t>
      </w:r>
      <w:proofErr w:type="gramEnd"/>
      <w:r w:rsidR="005C4980" w:rsidRPr="001C56A4">
        <w:rPr>
          <w:rFonts w:cstheme="minorHAnsi"/>
          <w:b/>
          <w:sz w:val="28"/>
          <w:szCs w:val="28"/>
        </w:rPr>
        <w:t xml:space="preserve"> and cell </w:t>
      </w:r>
      <w:bookmarkEnd w:id="0"/>
      <w:r w:rsidR="005C4980" w:rsidRPr="001C56A4">
        <w:rPr>
          <w:rFonts w:cstheme="minorHAnsi"/>
          <w:b/>
          <w:sz w:val="28"/>
          <w:szCs w:val="28"/>
        </w:rPr>
        <w:t>viability in HepG2 cells</w:t>
      </w:r>
    </w:p>
    <w:p w14:paraId="6D3D0CF5" w14:textId="77777777" w:rsidR="008D22B6" w:rsidRPr="001C56A4" w:rsidRDefault="008D22B6" w:rsidP="008275D7">
      <w:pPr>
        <w:spacing w:after="0" w:line="480" w:lineRule="auto"/>
        <w:jc w:val="both"/>
        <w:rPr>
          <w:rFonts w:cstheme="minorHAnsi"/>
          <w:b/>
          <w:sz w:val="28"/>
          <w:szCs w:val="28"/>
        </w:rPr>
      </w:pPr>
    </w:p>
    <w:p w14:paraId="5A26FF93" w14:textId="632F580E" w:rsidR="008D22B6" w:rsidRPr="00910D76" w:rsidRDefault="008D22B6" w:rsidP="001C56A4">
      <w:pPr>
        <w:spacing w:after="0" w:line="480" w:lineRule="auto"/>
        <w:jc w:val="center"/>
        <w:rPr>
          <w:rFonts w:cstheme="minorHAnsi"/>
          <w:b/>
          <w:vertAlign w:val="superscript"/>
        </w:rPr>
      </w:pPr>
      <w:r w:rsidRPr="00910D76">
        <w:rPr>
          <w:rFonts w:cstheme="minorHAnsi"/>
          <w:b/>
        </w:rPr>
        <w:t>Aparna Shil</w:t>
      </w:r>
      <w:proofErr w:type="gramStart"/>
      <w:r w:rsidRPr="00910D76">
        <w:rPr>
          <w:rFonts w:cstheme="minorHAnsi"/>
          <w:b/>
          <w:vertAlign w:val="superscript"/>
        </w:rPr>
        <w:t>1</w:t>
      </w:r>
      <w:r w:rsidRPr="00910D76">
        <w:rPr>
          <w:rFonts w:cstheme="minorHAnsi"/>
          <w:b/>
        </w:rPr>
        <w:t xml:space="preserve"> ,</w:t>
      </w:r>
      <w:proofErr w:type="gramEnd"/>
      <w:r w:rsidRPr="00910D76">
        <w:rPr>
          <w:rFonts w:cstheme="minorHAnsi"/>
          <w:b/>
        </w:rPr>
        <w:t xml:space="preserve"> </w:t>
      </w:r>
      <w:r w:rsidR="00800849" w:rsidRPr="00910D76">
        <w:rPr>
          <w:rFonts w:cstheme="minorHAnsi"/>
          <w:b/>
        </w:rPr>
        <w:t>Chris Davies</w:t>
      </w:r>
      <w:r w:rsidR="00800849" w:rsidRPr="00910D76">
        <w:rPr>
          <w:rFonts w:cstheme="minorHAnsi"/>
          <w:b/>
          <w:vertAlign w:val="superscript"/>
        </w:rPr>
        <w:t>1</w:t>
      </w:r>
      <w:r w:rsidR="00800849" w:rsidRPr="00910D76">
        <w:rPr>
          <w:rFonts w:cstheme="minorHAnsi"/>
          <w:b/>
        </w:rPr>
        <w:t>, Lata Gautam</w:t>
      </w:r>
      <w:r w:rsidR="00800849" w:rsidRPr="00910D76">
        <w:rPr>
          <w:rFonts w:cstheme="minorHAnsi"/>
          <w:b/>
          <w:vertAlign w:val="superscript"/>
        </w:rPr>
        <w:t>1</w:t>
      </w:r>
      <w:r w:rsidR="00800849" w:rsidRPr="00910D76">
        <w:rPr>
          <w:rFonts w:cstheme="minorHAnsi"/>
          <w:b/>
        </w:rPr>
        <w:t>, Justin Roberts</w:t>
      </w:r>
      <w:r w:rsidR="00800849" w:rsidRPr="00910D76">
        <w:rPr>
          <w:rFonts w:eastAsia="Times New Roman" w:cstheme="minorHAnsi"/>
          <w:vertAlign w:val="superscript"/>
          <w:lang w:val="en" w:eastAsia="en-GB"/>
        </w:rPr>
        <w:t>2</w:t>
      </w:r>
      <w:r w:rsidR="00800849" w:rsidRPr="00910D76">
        <w:rPr>
          <w:rFonts w:cstheme="minorHAnsi"/>
          <w:b/>
        </w:rPr>
        <w:t xml:space="preserve">, </w:t>
      </w:r>
      <w:r w:rsidRPr="00910D76">
        <w:rPr>
          <w:rFonts w:cstheme="minorHAnsi"/>
          <w:b/>
        </w:rPr>
        <w:t>Havovi Chichger</w:t>
      </w:r>
      <w:r w:rsidRPr="00910D76">
        <w:rPr>
          <w:rFonts w:cstheme="minorHAnsi"/>
          <w:b/>
          <w:vertAlign w:val="superscript"/>
        </w:rPr>
        <w:t>1</w:t>
      </w:r>
    </w:p>
    <w:p w14:paraId="7ECD5866" w14:textId="77777777" w:rsidR="008D22B6" w:rsidRPr="00910D76" w:rsidRDefault="008D22B6" w:rsidP="008275D7">
      <w:pPr>
        <w:spacing w:after="0" w:line="480" w:lineRule="auto"/>
        <w:jc w:val="both"/>
        <w:rPr>
          <w:rFonts w:cstheme="minorHAnsi"/>
          <w:vertAlign w:val="superscript"/>
          <w:lang w:val="en" w:eastAsia="en-GB"/>
        </w:rPr>
      </w:pPr>
    </w:p>
    <w:p w14:paraId="5144104A" w14:textId="7C1EA5EE" w:rsidR="000F73A2" w:rsidRPr="00910D76" w:rsidRDefault="008D22B6" w:rsidP="001C56A4">
      <w:pPr>
        <w:spacing w:after="0" w:line="480" w:lineRule="auto"/>
        <w:jc w:val="center"/>
        <w:rPr>
          <w:rFonts w:cstheme="minorHAnsi"/>
          <w:lang w:val="en" w:eastAsia="en-GB"/>
        </w:rPr>
      </w:pPr>
      <w:r w:rsidRPr="00910D76">
        <w:rPr>
          <w:rFonts w:cstheme="minorHAnsi"/>
          <w:vertAlign w:val="superscript"/>
          <w:lang w:val="en" w:eastAsia="en-GB"/>
        </w:rPr>
        <w:t>1</w:t>
      </w:r>
      <w:r w:rsidRPr="00910D76">
        <w:rPr>
          <w:rFonts w:eastAsia="Times New Roman" w:cstheme="minorHAnsi"/>
          <w:lang w:val="en" w:eastAsia="en-GB"/>
        </w:rPr>
        <w:t>School</w:t>
      </w:r>
      <w:r w:rsidRPr="00910D76">
        <w:rPr>
          <w:rFonts w:cstheme="minorHAnsi"/>
          <w:lang w:val="en" w:eastAsia="en-GB"/>
        </w:rPr>
        <w:t xml:space="preserve"> of Life Sciences, Faculty of Science and Engineering, Anglia Ruskin University, Cambridge, </w:t>
      </w:r>
      <w:r w:rsidRPr="00910D76">
        <w:rPr>
          <w:rFonts w:eastAsia="Times New Roman" w:cstheme="minorHAnsi"/>
          <w:vertAlign w:val="superscript"/>
          <w:lang w:val="en" w:eastAsia="en-GB"/>
        </w:rPr>
        <w:t>2</w:t>
      </w:r>
      <w:r w:rsidRPr="00910D76">
        <w:rPr>
          <w:rFonts w:eastAsia="Times New Roman" w:cstheme="minorHAnsi"/>
          <w:lang w:val="en" w:eastAsia="en-GB"/>
        </w:rPr>
        <w:t>School</w:t>
      </w:r>
      <w:r w:rsidRPr="00910D76">
        <w:rPr>
          <w:rFonts w:cstheme="minorHAnsi"/>
          <w:lang w:val="en" w:eastAsia="en-GB"/>
        </w:rPr>
        <w:t xml:space="preserve"> of Psychology and Sport Science, Faculty of Science and Engineering, Anglia Ruskin University, Cambridge</w:t>
      </w:r>
      <w:r w:rsidR="000F73A2" w:rsidRPr="00910D76">
        <w:rPr>
          <w:rFonts w:cstheme="minorHAnsi"/>
          <w:lang w:val="en" w:eastAsia="en-GB"/>
        </w:rPr>
        <w:t>.</w:t>
      </w:r>
    </w:p>
    <w:p w14:paraId="3ED0881B" w14:textId="77777777" w:rsidR="000F73A2" w:rsidRPr="00910D76" w:rsidRDefault="000F73A2" w:rsidP="008275D7">
      <w:pPr>
        <w:spacing w:after="0" w:line="480" w:lineRule="auto"/>
        <w:jc w:val="both"/>
        <w:rPr>
          <w:rFonts w:eastAsia="Times New Roman" w:cstheme="minorHAnsi"/>
          <w:lang w:val="en" w:eastAsia="en-GB"/>
        </w:rPr>
      </w:pPr>
    </w:p>
    <w:p w14:paraId="7F9EBCDA" w14:textId="21F8A951" w:rsidR="008D22B6" w:rsidRPr="00910D76" w:rsidRDefault="008D22B6" w:rsidP="008275D7">
      <w:pPr>
        <w:shd w:val="clear" w:color="auto" w:fill="FFFFFF"/>
        <w:spacing w:after="0" w:line="480" w:lineRule="auto"/>
        <w:jc w:val="both"/>
        <w:rPr>
          <w:rFonts w:eastAsia="Times New Roman" w:cstheme="minorHAnsi"/>
          <w:lang w:val="en" w:eastAsia="en-GB"/>
        </w:rPr>
      </w:pPr>
      <w:r w:rsidRPr="00910D76">
        <w:rPr>
          <w:rFonts w:eastAsia="Times New Roman" w:cstheme="minorHAnsi"/>
          <w:b/>
          <w:lang w:val="en" w:eastAsia="en-GB"/>
        </w:rPr>
        <w:t xml:space="preserve">Running title: </w:t>
      </w:r>
      <w:r w:rsidRPr="00910D76">
        <w:rPr>
          <w:rFonts w:eastAsia="Times New Roman" w:cstheme="minorHAnsi"/>
          <w:lang w:val="en" w:eastAsia="en-GB"/>
        </w:rPr>
        <w:t>Green tea extract in liver cells</w:t>
      </w:r>
    </w:p>
    <w:p w14:paraId="07BFE147" w14:textId="3F8BE63B" w:rsidR="008D22B6" w:rsidRPr="00910D76" w:rsidRDefault="008D22B6" w:rsidP="008275D7">
      <w:pPr>
        <w:shd w:val="clear" w:color="auto" w:fill="FFFFFF"/>
        <w:spacing w:after="0" w:line="480" w:lineRule="auto"/>
        <w:jc w:val="both"/>
        <w:rPr>
          <w:rFonts w:eastAsia="Times New Roman" w:cstheme="minorHAnsi"/>
          <w:b/>
          <w:highlight w:val="yellow"/>
          <w:lang w:val="en" w:eastAsia="en-GB"/>
        </w:rPr>
      </w:pPr>
      <w:r w:rsidRPr="00910D76">
        <w:rPr>
          <w:rFonts w:eastAsia="Times New Roman" w:cstheme="minorHAnsi"/>
          <w:b/>
          <w:lang w:val="en" w:eastAsia="en-GB"/>
        </w:rPr>
        <w:t>Word count (main manuscript text</w:t>
      </w:r>
      <w:r w:rsidR="00DC0064">
        <w:rPr>
          <w:rFonts w:eastAsia="Times New Roman" w:cstheme="minorHAnsi"/>
          <w:b/>
          <w:lang w:val="en" w:eastAsia="en-GB"/>
        </w:rPr>
        <w:t xml:space="preserve"> – Introduction, Methods, Results, Discussion</w:t>
      </w:r>
      <w:r w:rsidRPr="00910D76">
        <w:rPr>
          <w:rFonts w:eastAsia="Times New Roman" w:cstheme="minorHAnsi"/>
          <w:b/>
          <w:lang w:val="en" w:eastAsia="en-GB"/>
        </w:rPr>
        <w:t xml:space="preserve">): </w:t>
      </w:r>
      <w:r w:rsidR="003935FD" w:rsidRPr="00910D76">
        <w:rPr>
          <w:rFonts w:eastAsia="Times New Roman" w:cstheme="minorHAnsi"/>
          <w:bCs/>
          <w:lang w:val="en" w:eastAsia="en-GB"/>
        </w:rPr>
        <w:t>6</w:t>
      </w:r>
      <w:r w:rsidR="003935FD">
        <w:rPr>
          <w:rFonts w:eastAsia="Times New Roman" w:cstheme="minorHAnsi"/>
          <w:bCs/>
          <w:lang w:val="en" w:eastAsia="en-GB"/>
        </w:rPr>
        <w:t>444</w:t>
      </w:r>
    </w:p>
    <w:p w14:paraId="6AE1348D" w14:textId="750C4AA9" w:rsidR="00180302" w:rsidRPr="00910D76" w:rsidRDefault="008D22B6" w:rsidP="008275D7">
      <w:pPr>
        <w:shd w:val="clear" w:color="auto" w:fill="FFFFFF"/>
        <w:spacing w:after="0" w:line="480" w:lineRule="auto"/>
        <w:jc w:val="both"/>
        <w:rPr>
          <w:rFonts w:eastAsia="Times New Roman" w:cstheme="minorHAnsi"/>
          <w:highlight w:val="yellow"/>
          <w:lang w:val="en" w:eastAsia="en-GB"/>
        </w:rPr>
      </w:pPr>
      <w:r w:rsidRPr="00910D76">
        <w:rPr>
          <w:rFonts w:eastAsia="Times New Roman" w:cstheme="minorHAnsi"/>
          <w:b/>
          <w:lang w:val="en" w:eastAsia="en-GB"/>
        </w:rPr>
        <w:t xml:space="preserve">Total number of manuscript pages: </w:t>
      </w:r>
      <w:r w:rsidR="00DC0064">
        <w:rPr>
          <w:rFonts w:eastAsia="Times New Roman" w:cstheme="minorHAnsi"/>
          <w:lang w:val="en" w:eastAsia="en-GB"/>
        </w:rPr>
        <w:t>2</w:t>
      </w:r>
      <w:r w:rsidR="003935FD">
        <w:rPr>
          <w:rFonts w:eastAsia="Times New Roman" w:cstheme="minorHAnsi"/>
          <w:lang w:val="en" w:eastAsia="en-GB"/>
        </w:rPr>
        <w:t>3</w:t>
      </w:r>
      <w:r w:rsidR="00C876C7" w:rsidRPr="00910D76">
        <w:rPr>
          <w:rFonts w:eastAsia="Times New Roman" w:cstheme="minorHAnsi"/>
          <w:lang w:val="en" w:eastAsia="en-GB"/>
        </w:rPr>
        <w:t xml:space="preserve"> (</w:t>
      </w:r>
      <w:r w:rsidR="000245F4">
        <w:rPr>
          <w:rFonts w:eastAsia="Times New Roman" w:cstheme="minorHAnsi"/>
          <w:lang w:val="en" w:eastAsia="en-GB"/>
        </w:rPr>
        <w:t xml:space="preserve">not </w:t>
      </w:r>
      <w:r w:rsidR="00C876C7" w:rsidRPr="00910D76">
        <w:rPr>
          <w:rFonts w:eastAsia="Times New Roman" w:cstheme="minorHAnsi"/>
          <w:lang w:val="en" w:eastAsia="en-GB"/>
        </w:rPr>
        <w:t xml:space="preserve">including references, tables, </w:t>
      </w:r>
      <w:r w:rsidR="000245F4">
        <w:rPr>
          <w:rFonts w:eastAsia="Times New Roman" w:cstheme="minorHAnsi"/>
          <w:lang w:val="en" w:eastAsia="en-GB"/>
        </w:rPr>
        <w:t>figures</w:t>
      </w:r>
      <w:r w:rsidR="00C876C7" w:rsidRPr="00910D76">
        <w:rPr>
          <w:rFonts w:eastAsia="Times New Roman" w:cstheme="minorHAnsi"/>
          <w:lang w:val="en" w:eastAsia="en-GB"/>
        </w:rPr>
        <w:t>)</w:t>
      </w:r>
    </w:p>
    <w:p w14:paraId="435B4517" w14:textId="33914021" w:rsidR="008D22B6" w:rsidRPr="00910D76" w:rsidRDefault="008D22B6" w:rsidP="008275D7">
      <w:pPr>
        <w:spacing w:after="0" w:line="480" w:lineRule="auto"/>
        <w:jc w:val="both"/>
        <w:rPr>
          <w:rFonts w:eastAsia="Times New Roman" w:cstheme="minorHAnsi"/>
          <w:lang w:val="en" w:eastAsia="en-GB"/>
        </w:rPr>
      </w:pPr>
      <w:r w:rsidRPr="00910D76">
        <w:rPr>
          <w:rFonts w:eastAsia="Times New Roman" w:cstheme="minorHAnsi"/>
          <w:b/>
          <w:lang w:val="en" w:eastAsia="en-GB"/>
        </w:rPr>
        <w:t>Number of tables:</w:t>
      </w:r>
      <w:r w:rsidRPr="00910D76">
        <w:rPr>
          <w:rFonts w:eastAsia="Times New Roman" w:cstheme="minorHAnsi"/>
          <w:lang w:val="en" w:eastAsia="en-GB"/>
        </w:rPr>
        <w:t xml:space="preserve"> </w:t>
      </w:r>
      <w:r w:rsidR="007F3EE5" w:rsidRPr="00910D76">
        <w:rPr>
          <w:rFonts w:eastAsia="Times New Roman" w:cstheme="minorHAnsi"/>
          <w:lang w:val="en" w:eastAsia="en-GB"/>
        </w:rPr>
        <w:t>4</w:t>
      </w:r>
    </w:p>
    <w:p w14:paraId="1F765388" w14:textId="023B8756" w:rsidR="008D22B6" w:rsidRPr="00910D76" w:rsidRDefault="008D22B6" w:rsidP="008275D7">
      <w:pPr>
        <w:shd w:val="clear" w:color="auto" w:fill="FFFFFF"/>
        <w:spacing w:after="0" w:line="480" w:lineRule="auto"/>
        <w:jc w:val="both"/>
        <w:rPr>
          <w:rFonts w:eastAsia="Times New Roman" w:cstheme="minorHAnsi"/>
          <w:b/>
          <w:color w:val="FF0000"/>
          <w:lang w:val="en" w:eastAsia="en-GB"/>
        </w:rPr>
      </w:pPr>
      <w:r w:rsidRPr="00910D76">
        <w:rPr>
          <w:rFonts w:eastAsia="Times New Roman" w:cstheme="minorHAnsi"/>
          <w:b/>
          <w:lang w:val="en" w:eastAsia="en-GB"/>
        </w:rPr>
        <w:t>Number of figures:</w:t>
      </w:r>
      <w:r w:rsidRPr="00910D76">
        <w:rPr>
          <w:rFonts w:eastAsia="Times New Roman" w:cstheme="minorHAnsi"/>
          <w:lang w:val="en" w:eastAsia="en-GB"/>
        </w:rPr>
        <w:t xml:space="preserve"> </w:t>
      </w:r>
      <w:r w:rsidR="00DC07CD" w:rsidRPr="00910D76">
        <w:rPr>
          <w:rFonts w:eastAsia="Times New Roman" w:cstheme="minorHAnsi"/>
          <w:lang w:val="en" w:eastAsia="en-GB"/>
        </w:rPr>
        <w:t>6</w:t>
      </w:r>
      <w:r w:rsidRPr="00910D76">
        <w:rPr>
          <w:rFonts w:eastAsia="Times New Roman" w:cstheme="minorHAnsi"/>
          <w:b/>
          <w:color w:val="FF0000"/>
          <w:lang w:val="en" w:eastAsia="en-GB"/>
        </w:rPr>
        <w:t xml:space="preserve"> </w:t>
      </w:r>
    </w:p>
    <w:p w14:paraId="7ECE5ED7" w14:textId="77777777" w:rsidR="00BA5D72" w:rsidRPr="00910D76" w:rsidRDefault="00BA5D72" w:rsidP="008275D7">
      <w:pPr>
        <w:shd w:val="clear" w:color="auto" w:fill="FFFFFF"/>
        <w:spacing w:after="0" w:line="480" w:lineRule="auto"/>
        <w:jc w:val="both"/>
        <w:rPr>
          <w:rFonts w:eastAsia="Times New Roman" w:cstheme="minorHAnsi"/>
          <w:b/>
          <w:lang w:val="en" w:eastAsia="en-GB"/>
        </w:rPr>
      </w:pPr>
    </w:p>
    <w:p w14:paraId="07A8FBEC" w14:textId="77777777" w:rsidR="008D22B6" w:rsidRPr="00910D76" w:rsidRDefault="008D22B6" w:rsidP="008275D7">
      <w:pPr>
        <w:shd w:val="clear" w:color="auto" w:fill="FFFFFF"/>
        <w:spacing w:after="0" w:line="480" w:lineRule="auto"/>
        <w:jc w:val="both"/>
        <w:rPr>
          <w:rFonts w:eastAsia="Times New Roman" w:cstheme="minorHAnsi"/>
          <w:b/>
          <w:lang w:val="en" w:eastAsia="en-GB"/>
        </w:rPr>
      </w:pPr>
      <w:r w:rsidRPr="00910D76">
        <w:rPr>
          <w:rFonts w:eastAsia="Times New Roman" w:cstheme="minorHAnsi"/>
          <w:b/>
          <w:lang w:val="en" w:eastAsia="en-GB"/>
        </w:rPr>
        <w:t>Corresponding author:</w:t>
      </w:r>
    </w:p>
    <w:p w14:paraId="78D53D82" w14:textId="77777777" w:rsidR="008D22B6" w:rsidRPr="00910D76" w:rsidRDefault="008D22B6" w:rsidP="008275D7">
      <w:pPr>
        <w:autoSpaceDE w:val="0"/>
        <w:autoSpaceDN w:val="0"/>
        <w:adjustRightInd w:val="0"/>
        <w:spacing w:after="0" w:line="480" w:lineRule="auto"/>
        <w:jc w:val="both"/>
        <w:rPr>
          <w:rFonts w:cstheme="minorHAnsi"/>
        </w:rPr>
      </w:pPr>
      <w:r w:rsidRPr="00910D76">
        <w:rPr>
          <w:rFonts w:cstheme="minorHAnsi"/>
        </w:rPr>
        <w:t>Havovi Chichger, Ph.D.</w:t>
      </w:r>
    </w:p>
    <w:p w14:paraId="27A5ADF2" w14:textId="77777777" w:rsidR="008D22B6" w:rsidRPr="00910D76" w:rsidRDefault="008D22B6" w:rsidP="008275D7">
      <w:pPr>
        <w:autoSpaceDE w:val="0"/>
        <w:autoSpaceDN w:val="0"/>
        <w:adjustRightInd w:val="0"/>
        <w:spacing w:after="0" w:line="480" w:lineRule="auto"/>
        <w:jc w:val="both"/>
        <w:rPr>
          <w:rFonts w:cstheme="minorHAnsi"/>
        </w:rPr>
      </w:pPr>
      <w:r w:rsidRPr="00910D76">
        <w:rPr>
          <w:rFonts w:cstheme="minorHAnsi"/>
        </w:rPr>
        <w:t xml:space="preserve">Biomedical Research Group, </w:t>
      </w:r>
    </w:p>
    <w:p w14:paraId="1A0EF15C" w14:textId="77777777" w:rsidR="008D22B6" w:rsidRPr="00910D76" w:rsidRDefault="008D22B6" w:rsidP="008275D7">
      <w:pPr>
        <w:autoSpaceDE w:val="0"/>
        <w:autoSpaceDN w:val="0"/>
        <w:adjustRightInd w:val="0"/>
        <w:spacing w:after="0" w:line="480" w:lineRule="auto"/>
        <w:jc w:val="both"/>
        <w:rPr>
          <w:rFonts w:cstheme="minorHAnsi"/>
        </w:rPr>
      </w:pPr>
      <w:r w:rsidRPr="00910D76">
        <w:rPr>
          <w:rFonts w:cstheme="minorHAnsi"/>
          <w:lang w:val="en" w:eastAsia="en-GB"/>
        </w:rPr>
        <w:t xml:space="preserve">School of Life Sciences, </w:t>
      </w:r>
      <w:r w:rsidRPr="00910D76">
        <w:rPr>
          <w:rFonts w:cstheme="minorHAnsi"/>
        </w:rPr>
        <w:t xml:space="preserve">East Road, </w:t>
      </w:r>
    </w:p>
    <w:p w14:paraId="4A4E2519" w14:textId="77777777" w:rsidR="008D22B6" w:rsidRPr="00910D76" w:rsidRDefault="008D22B6" w:rsidP="008275D7">
      <w:pPr>
        <w:autoSpaceDE w:val="0"/>
        <w:autoSpaceDN w:val="0"/>
        <w:adjustRightInd w:val="0"/>
        <w:spacing w:after="0" w:line="480" w:lineRule="auto"/>
        <w:jc w:val="both"/>
        <w:rPr>
          <w:rFonts w:cstheme="minorHAnsi"/>
          <w:lang w:val="it-IT"/>
        </w:rPr>
      </w:pPr>
      <w:r w:rsidRPr="00910D76">
        <w:rPr>
          <w:rFonts w:cstheme="minorHAnsi"/>
          <w:lang w:val="it-IT"/>
        </w:rPr>
        <w:t>Cambridge, CB1 1PT, UK</w:t>
      </w:r>
    </w:p>
    <w:p w14:paraId="32F1FF48" w14:textId="70ED495A" w:rsidR="008D22B6" w:rsidRPr="00910D76" w:rsidRDefault="008D22B6" w:rsidP="008275D7">
      <w:pPr>
        <w:autoSpaceDE w:val="0"/>
        <w:autoSpaceDN w:val="0"/>
        <w:adjustRightInd w:val="0"/>
        <w:spacing w:after="0" w:line="480" w:lineRule="auto"/>
        <w:jc w:val="both"/>
        <w:rPr>
          <w:rFonts w:cstheme="minorHAnsi"/>
          <w:lang w:val="it-IT"/>
        </w:rPr>
      </w:pPr>
      <w:r w:rsidRPr="00910D76">
        <w:rPr>
          <w:rFonts w:cstheme="minorHAnsi"/>
          <w:lang w:val="it-IT"/>
        </w:rPr>
        <w:t xml:space="preserve">E-mail: </w:t>
      </w:r>
      <w:hyperlink r:id="rId8" w:history="1">
        <w:r w:rsidR="00800849" w:rsidRPr="00910D76">
          <w:rPr>
            <w:rStyle w:val="Hyperlink"/>
            <w:rFonts w:cstheme="minorHAnsi"/>
            <w:lang w:val="it-IT"/>
          </w:rPr>
          <w:t>Havovi.Chichger@aru.ac.uk</w:t>
        </w:r>
      </w:hyperlink>
    </w:p>
    <w:p w14:paraId="46DDC5EE" w14:textId="5786B14B" w:rsidR="003F63D4" w:rsidRPr="00910D76" w:rsidRDefault="00180302" w:rsidP="001C56A4">
      <w:pPr>
        <w:autoSpaceDE w:val="0"/>
        <w:autoSpaceDN w:val="0"/>
        <w:adjustRightInd w:val="0"/>
        <w:spacing w:after="0" w:line="480" w:lineRule="auto"/>
        <w:jc w:val="both"/>
        <w:rPr>
          <w:rFonts w:cstheme="minorHAnsi"/>
          <w:b/>
          <w:u w:val="single"/>
        </w:rPr>
      </w:pPr>
      <w:r w:rsidRPr="00910D76">
        <w:rPr>
          <w:rFonts w:cstheme="minorHAnsi"/>
        </w:rPr>
        <w:t>Phone: +44 01223698161</w:t>
      </w:r>
      <w:r w:rsidR="003F63D4" w:rsidRPr="00910D76">
        <w:rPr>
          <w:rFonts w:cstheme="minorHAnsi"/>
          <w:b/>
          <w:u w:val="single"/>
        </w:rPr>
        <w:br w:type="page"/>
      </w:r>
    </w:p>
    <w:p w14:paraId="2F51FAB6" w14:textId="30AE1B3C" w:rsidR="00201990" w:rsidRPr="00910D76" w:rsidRDefault="00201990" w:rsidP="000E1907">
      <w:pPr>
        <w:pStyle w:val="Heading1"/>
        <w:rPr>
          <w:b w:val="0"/>
        </w:rPr>
      </w:pPr>
      <w:r w:rsidRPr="00910D76">
        <w:lastRenderedPageBreak/>
        <w:t>Abstract</w:t>
      </w:r>
      <w:r w:rsidR="00EB4846" w:rsidRPr="00910D76">
        <w:t xml:space="preserve"> </w:t>
      </w:r>
    </w:p>
    <w:p w14:paraId="375B8B6A" w14:textId="552B1993" w:rsidR="00CC7FFA" w:rsidRPr="00910D76" w:rsidRDefault="00CC7FFA" w:rsidP="008275D7">
      <w:pPr>
        <w:pStyle w:val="MDPI17abstract"/>
        <w:spacing w:line="480" w:lineRule="auto"/>
        <w:ind w:left="0"/>
        <w:rPr>
          <w:rFonts w:asciiTheme="minorHAnsi" w:hAnsiTheme="minorHAnsi" w:cstheme="minorHAnsi"/>
          <w:sz w:val="22"/>
        </w:rPr>
      </w:pPr>
      <w:r w:rsidRPr="00910D76">
        <w:rPr>
          <w:rFonts w:asciiTheme="minorHAnsi" w:hAnsiTheme="minorHAnsi" w:cstheme="minorHAnsi"/>
          <w:sz w:val="22"/>
        </w:rPr>
        <w:t>Green tea extract (GTE) improves exercise outcomes and reduces obesity. However, case studies indicate contradictory physiology regarding liver function and toxicity. We studied the effect of two different decaffeinated GTE (</w:t>
      </w:r>
      <w:proofErr w:type="spellStart"/>
      <w:r w:rsidRPr="00910D76">
        <w:rPr>
          <w:rFonts w:asciiTheme="minorHAnsi" w:hAnsiTheme="minorHAnsi" w:cstheme="minorHAnsi"/>
          <w:sz w:val="22"/>
        </w:rPr>
        <w:t>dGTE</w:t>
      </w:r>
      <w:proofErr w:type="spellEnd"/>
      <w:r w:rsidRPr="00910D76">
        <w:rPr>
          <w:rFonts w:asciiTheme="minorHAnsi" w:hAnsiTheme="minorHAnsi" w:cstheme="minorHAnsi"/>
          <w:sz w:val="22"/>
        </w:rPr>
        <w:t>) products, from a non-commercial (dGTE1) and commercial (dGTE2) supplier, on hepatocyte function using the human cell model, HepG2. dGTE1 was protective against hydrogen peroxide (H</w:t>
      </w:r>
      <w:r w:rsidRPr="00910D76">
        <w:rPr>
          <w:rFonts w:asciiTheme="minorHAnsi" w:hAnsiTheme="minorHAnsi" w:cstheme="minorHAnsi"/>
          <w:sz w:val="22"/>
          <w:vertAlign w:val="subscript"/>
        </w:rPr>
        <w:t>2</w:t>
      </w:r>
      <w:r w:rsidRPr="00910D76">
        <w:rPr>
          <w:rFonts w:asciiTheme="minorHAnsi" w:hAnsiTheme="minorHAnsi" w:cstheme="minorHAnsi"/>
          <w:sz w:val="22"/>
        </w:rPr>
        <w:t>O</w:t>
      </w:r>
      <w:r w:rsidRPr="00910D76">
        <w:rPr>
          <w:rFonts w:asciiTheme="minorHAnsi" w:hAnsiTheme="minorHAnsi" w:cstheme="minorHAnsi"/>
          <w:sz w:val="22"/>
          <w:vertAlign w:val="subscript"/>
        </w:rPr>
        <w:t>2</w:t>
      </w:r>
      <w:r w:rsidRPr="00910D76">
        <w:rPr>
          <w:rFonts w:asciiTheme="minorHAnsi" w:hAnsiTheme="minorHAnsi" w:cstheme="minorHAnsi"/>
          <w:sz w:val="22"/>
        </w:rPr>
        <w:t xml:space="preserve">)-induced apoptosis and cell death by attenuating oxidative stress pathways.  Conversely, dGTE2 increased cellular and mitochondrial oxidative stress and apoptosis.  </w:t>
      </w:r>
      <w:r w:rsidR="0020264D">
        <w:rPr>
          <w:rFonts w:asciiTheme="minorHAnsi" w:hAnsiTheme="minorHAnsi" w:cstheme="minorHAnsi"/>
          <w:sz w:val="22"/>
        </w:rPr>
        <w:t>A</w:t>
      </w:r>
      <w:r w:rsidRPr="00910D76">
        <w:rPr>
          <w:rFonts w:asciiTheme="minorHAnsi" w:hAnsiTheme="minorHAnsi" w:cstheme="minorHAnsi"/>
          <w:sz w:val="22"/>
        </w:rPr>
        <w:t xml:space="preserve"> bioavailability study </w:t>
      </w:r>
      <w:r w:rsidR="0020264D">
        <w:rPr>
          <w:rFonts w:asciiTheme="minorHAnsi" w:hAnsiTheme="minorHAnsi" w:cstheme="minorHAnsi"/>
          <w:sz w:val="22"/>
        </w:rPr>
        <w:t>with</w:t>
      </w:r>
      <w:r w:rsidRPr="00910D76">
        <w:rPr>
          <w:rFonts w:asciiTheme="minorHAnsi" w:hAnsiTheme="minorHAnsi" w:cstheme="minorHAnsi"/>
          <w:sz w:val="22"/>
        </w:rPr>
        <w:t xml:space="preserve"> </w:t>
      </w:r>
      <w:proofErr w:type="spellStart"/>
      <w:r w:rsidRPr="00910D76">
        <w:rPr>
          <w:rFonts w:asciiTheme="minorHAnsi" w:hAnsiTheme="minorHAnsi" w:cstheme="minorHAnsi"/>
          <w:sz w:val="22"/>
        </w:rPr>
        <w:t>dGTE</w:t>
      </w:r>
      <w:proofErr w:type="spellEnd"/>
      <w:r w:rsidR="0020264D">
        <w:rPr>
          <w:rFonts w:asciiTheme="minorHAnsi" w:hAnsiTheme="minorHAnsi" w:cstheme="minorHAnsi"/>
          <w:sz w:val="22"/>
        </w:rPr>
        <w:t xml:space="preserve"> showed </w:t>
      </w:r>
      <w:r w:rsidRPr="00910D76">
        <w:rPr>
          <w:rFonts w:asciiTheme="minorHAnsi" w:hAnsiTheme="minorHAnsi" w:cstheme="minorHAnsi"/>
          <w:sz w:val="22"/>
        </w:rPr>
        <w:t>the major catechin in GTE, EGCG, reached 0.263 µg·</w:t>
      </w:r>
      <w:proofErr w:type="gramStart"/>
      <w:r w:rsidRPr="00910D76">
        <w:rPr>
          <w:rFonts w:asciiTheme="minorHAnsi" w:hAnsiTheme="minorHAnsi" w:cstheme="minorHAnsi"/>
          <w:sz w:val="22"/>
        </w:rPr>
        <w:t>ml</w:t>
      </w:r>
      <w:r w:rsidRPr="00910D76">
        <w:rPr>
          <w:rFonts w:asciiTheme="minorHAnsi" w:hAnsiTheme="minorHAnsi" w:cstheme="minorHAnsi"/>
          <w:sz w:val="22"/>
          <w:vertAlign w:val="superscript"/>
        </w:rPr>
        <w:t>-1</w:t>
      </w:r>
      <w:proofErr w:type="gramEnd"/>
      <w:r w:rsidRPr="00910D76">
        <w:rPr>
          <w:rFonts w:asciiTheme="minorHAnsi" w:hAnsiTheme="minorHAnsi" w:cstheme="minorHAnsi"/>
          <w:sz w:val="22"/>
        </w:rPr>
        <w:t xml:space="preserve">.  </w:t>
      </w:r>
      <w:r w:rsidRPr="00910D76">
        <w:rPr>
          <w:rFonts w:asciiTheme="minorHAnsi" w:hAnsiTheme="minorHAnsi" w:cstheme="minorHAnsi"/>
          <w:i/>
          <w:iCs/>
          <w:sz w:val="22"/>
        </w:rPr>
        <w:t>In vitro</w:t>
      </w:r>
      <w:r w:rsidRPr="00910D76">
        <w:rPr>
          <w:rFonts w:asciiTheme="minorHAnsi" w:hAnsiTheme="minorHAnsi" w:cstheme="minorHAnsi"/>
          <w:sz w:val="22"/>
        </w:rPr>
        <w:t xml:space="preserve">, at this concentration, EGCG </w:t>
      </w:r>
      <w:r w:rsidR="0020264D">
        <w:rPr>
          <w:rFonts w:asciiTheme="minorHAnsi" w:hAnsiTheme="minorHAnsi" w:cstheme="minorHAnsi"/>
          <w:sz w:val="22"/>
        </w:rPr>
        <w:t>mimicked the protective effect of dGTE1</w:t>
      </w:r>
      <w:r w:rsidRPr="00910D76">
        <w:rPr>
          <w:rFonts w:asciiTheme="minorHAnsi" w:hAnsiTheme="minorHAnsi" w:cstheme="minorHAnsi"/>
          <w:sz w:val="22"/>
        </w:rPr>
        <w:t xml:space="preserve">.  </w:t>
      </w:r>
      <w:r w:rsidR="00201250">
        <w:rPr>
          <w:rFonts w:asciiTheme="minorHAnsi" w:hAnsiTheme="minorHAnsi" w:cstheme="minorHAnsi"/>
          <w:sz w:val="22"/>
        </w:rPr>
        <w:t>GC/MS analysis</w:t>
      </w:r>
      <w:r w:rsidRPr="00910D76">
        <w:rPr>
          <w:rFonts w:asciiTheme="minorHAnsi" w:hAnsiTheme="minorHAnsi" w:cstheme="minorHAnsi"/>
          <w:sz w:val="22"/>
        </w:rPr>
        <w:t xml:space="preserve"> identified steric acid and higher levels of palmitic acid in dGTE2 versus dGTE1 supplements.  We demonstrate the </w:t>
      </w:r>
      <w:r w:rsidR="00935323">
        <w:rPr>
          <w:rFonts w:asciiTheme="minorHAnsi" w:hAnsiTheme="minorHAnsi" w:cstheme="minorHAnsi"/>
          <w:sz w:val="22"/>
        </w:rPr>
        <w:t xml:space="preserve">significant biological </w:t>
      </w:r>
      <w:r w:rsidRPr="00910D76">
        <w:rPr>
          <w:rFonts w:asciiTheme="minorHAnsi" w:hAnsiTheme="minorHAnsi" w:cstheme="minorHAnsi"/>
          <w:sz w:val="22"/>
        </w:rPr>
        <w:t xml:space="preserve">differences between </w:t>
      </w:r>
      <w:r w:rsidR="00935323">
        <w:rPr>
          <w:rFonts w:asciiTheme="minorHAnsi" w:hAnsiTheme="minorHAnsi" w:cstheme="minorHAnsi"/>
          <w:sz w:val="22"/>
        </w:rPr>
        <w:t xml:space="preserve">two GTE supplements which may </w:t>
      </w:r>
      <w:r w:rsidRPr="00910D76">
        <w:rPr>
          <w:rFonts w:asciiTheme="minorHAnsi" w:hAnsiTheme="minorHAnsi" w:cstheme="minorHAnsi"/>
          <w:sz w:val="22"/>
        </w:rPr>
        <w:t>have potential implications for manufacturers and consumers to be aware of the biological effects of supplementation.</w:t>
      </w:r>
    </w:p>
    <w:p w14:paraId="41F6FD4A" w14:textId="77777777" w:rsidR="00951017" w:rsidRDefault="00951017" w:rsidP="008275D7">
      <w:pPr>
        <w:spacing w:after="0" w:line="480" w:lineRule="auto"/>
        <w:jc w:val="both"/>
        <w:rPr>
          <w:rFonts w:cstheme="minorHAnsi"/>
          <w:b/>
          <w:u w:val="single"/>
        </w:rPr>
      </w:pPr>
    </w:p>
    <w:p w14:paraId="3B5FC890" w14:textId="77777777" w:rsidR="00951017" w:rsidRPr="00910D76" w:rsidRDefault="00951017" w:rsidP="008275D7">
      <w:pPr>
        <w:shd w:val="clear" w:color="auto" w:fill="FFFFFF"/>
        <w:spacing w:after="0" w:line="480" w:lineRule="auto"/>
        <w:jc w:val="both"/>
        <w:rPr>
          <w:rFonts w:eastAsia="Times New Roman" w:cstheme="minorHAnsi"/>
          <w:lang w:val="en" w:eastAsia="en-GB"/>
        </w:rPr>
      </w:pPr>
      <w:r w:rsidRPr="00910D76">
        <w:rPr>
          <w:rFonts w:eastAsia="Times New Roman" w:cstheme="minorHAnsi"/>
          <w:b/>
          <w:lang w:val="en" w:eastAsia="en-GB"/>
        </w:rPr>
        <w:t xml:space="preserve">Keywords: </w:t>
      </w:r>
      <w:r w:rsidRPr="00910D76">
        <w:rPr>
          <w:rFonts w:eastAsia="Times New Roman" w:cstheme="minorHAnsi"/>
          <w:lang w:val="en" w:eastAsia="en-GB"/>
        </w:rPr>
        <w:t>basic science research, cell biology, hepatic cells, green tea extract, oxidative stress</w:t>
      </w:r>
    </w:p>
    <w:p w14:paraId="39D10F79" w14:textId="54184409" w:rsidR="00017BB1" w:rsidRPr="00910D76" w:rsidRDefault="00EB222F" w:rsidP="008275D7">
      <w:pPr>
        <w:spacing w:after="0" w:line="480" w:lineRule="auto"/>
        <w:jc w:val="both"/>
        <w:rPr>
          <w:rFonts w:cstheme="minorHAnsi"/>
          <w:b/>
          <w:u w:val="single"/>
        </w:rPr>
      </w:pPr>
      <w:r w:rsidRPr="00910D76">
        <w:rPr>
          <w:rFonts w:cstheme="minorHAnsi"/>
          <w:b/>
          <w:u w:val="single"/>
        </w:rPr>
        <w:br w:type="page"/>
      </w:r>
    </w:p>
    <w:p w14:paraId="1E03B010" w14:textId="4F2FC120" w:rsidR="00201990" w:rsidRPr="00D72730" w:rsidRDefault="00201990" w:rsidP="000E1907">
      <w:pPr>
        <w:pStyle w:val="Heading1"/>
      </w:pPr>
      <w:r w:rsidRPr="00D72730">
        <w:lastRenderedPageBreak/>
        <w:t>Introduction</w:t>
      </w:r>
    </w:p>
    <w:p w14:paraId="79FFDFE3" w14:textId="3368FDF8" w:rsidR="00D8113D" w:rsidRPr="00D72730" w:rsidRDefault="00D8113D" w:rsidP="008275D7">
      <w:pPr>
        <w:spacing w:after="0" w:line="480" w:lineRule="auto"/>
        <w:ind w:firstLine="720"/>
        <w:jc w:val="both"/>
        <w:rPr>
          <w:rFonts w:cstheme="minorHAnsi"/>
        </w:rPr>
      </w:pPr>
      <w:r w:rsidRPr="00D72730">
        <w:rPr>
          <w:rFonts w:cstheme="minorHAnsi"/>
        </w:rPr>
        <w:t xml:space="preserve">Green tea is an unfermented, </w:t>
      </w:r>
      <w:proofErr w:type="gramStart"/>
      <w:r w:rsidRPr="00D72730">
        <w:rPr>
          <w:rFonts w:cstheme="minorHAnsi"/>
        </w:rPr>
        <w:t>commonly-consumed</w:t>
      </w:r>
      <w:proofErr w:type="gramEnd"/>
      <w:r w:rsidRPr="00D72730">
        <w:rPr>
          <w:rFonts w:cstheme="minorHAnsi"/>
        </w:rPr>
        <w:t xml:space="preserve"> beverage which has been extensively studied as a natural remedy with potential medicinal and physiological health benefits.  Indeed, green tea extract (GTE), is listed in more than 100 over-the-counter herbal preparations, largely due to the range of polyphenols present in the extract </w:t>
      </w:r>
      <w:r w:rsidRPr="00D72730">
        <w:rPr>
          <w:rFonts w:cstheme="minorHAnsi"/>
        </w:rPr>
        <w:fldChar w:fldCharType="begin"/>
      </w:r>
      <w:r w:rsidR="0018431A">
        <w:rPr>
          <w:rFonts w:cstheme="minorHAnsi"/>
        </w:rPr>
        <w:instrText>ADDIN RW.CITE{{doc:5e1dd606e4b0c88acc28b3cc [NoInformation] 2012}}</w:instrText>
      </w:r>
      <w:r w:rsidRPr="00D72730">
        <w:rPr>
          <w:rFonts w:cstheme="minorHAnsi"/>
        </w:rPr>
        <w:fldChar w:fldCharType="separate"/>
      </w:r>
      <w:r w:rsidR="009D6D5E" w:rsidRPr="009D6D5E">
        <w:rPr>
          <w:rFonts w:ascii="Calibri" w:hAnsi="Calibri" w:cs="Calibri"/>
          <w:bCs/>
        </w:rPr>
        <w:t>[1]</w:t>
      </w:r>
      <w:r w:rsidRPr="00D72730">
        <w:rPr>
          <w:rFonts w:cstheme="minorHAnsi"/>
        </w:rPr>
        <w:fldChar w:fldCharType="end"/>
      </w:r>
      <w:r w:rsidRPr="00D72730">
        <w:rPr>
          <w:rFonts w:cstheme="minorHAnsi"/>
        </w:rPr>
        <w:t xml:space="preserve">. </w:t>
      </w:r>
      <w:proofErr w:type="gramStart"/>
      <w:r w:rsidRPr="00D72730">
        <w:rPr>
          <w:rFonts w:cstheme="minorHAnsi"/>
        </w:rPr>
        <w:t>In particular, GTE</w:t>
      </w:r>
      <w:proofErr w:type="gramEnd"/>
      <w:r w:rsidRPr="00D72730">
        <w:rPr>
          <w:rFonts w:cstheme="minorHAnsi"/>
        </w:rPr>
        <w:t xml:space="preserve"> is rich in polyphenol compounds or catechins, with four main catechins identified in GTE: </w:t>
      </w:r>
      <w:r w:rsidRPr="00D72730">
        <w:rPr>
          <w:rFonts w:cstheme="minorHAnsi"/>
          <w:shd w:val="clear" w:color="auto" w:fill="FFFFFF"/>
        </w:rPr>
        <w:t xml:space="preserve">(-)-epigallocatechin-3-gallate (EGCG), (-)-epicatechin-3-gallate, (-)-epigallocatechin (EGC), and (-)-epicatechin). EGCG is the most abundant and </w:t>
      </w:r>
      <w:proofErr w:type="gramStart"/>
      <w:r w:rsidRPr="00D72730">
        <w:rPr>
          <w:rFonts w:cstheme="minorHAnsi"/>
          <w:shd w:val="clear" w:color="auto" w:fill="FFFFFF"/>
        </w:rPr>
        <w:t>pharmacologically-active</w:t>
      </w:r>
      <w:proofErr w:type="gramEnd"/>
      <w:r w:rsidRPr="00D72730">
        <w:rPr>
          <w:rFonts w:cstheme="minorHAnsi"/>
          <w:shd w:val="clear" w:color="auto" w:fill="FFFFFF"/>
        </w:rPr>
        <w:t xml:space="preserve"> </w:t>
      </w:r>
      <w:r w:rsidRPr="00D72730">
        <w:rPr>
          <w:rFonts w:cstheme="minorHAnsi"/>
          <w:iCs/>
          <w:shd w:val="clear" w:color="auto" w:fill="FFFFFF"/>
        </w:rPr>
        <w:t>of the catechins present in GTE</w:t>
      </w:r>
      <w:r w:rsidRPr="00D72730">
        <w:rPr>
          <w:rFonts w:cstheme="minorHAnsi"/>
          <w:shd w:val="clear" w:color="auto" w:fill="FFFFFF"/>
        </w:rPr>
        <w:t xml:space="preserve"> </w:t>
      </w:r>
      <w:r w:rsidRPr="00D72730">
        <w:rPr>
          <w:rFonts w:cstheme="minorHAnsi"/>
          <w:shd w:val="clear" w:color="auto" w:fill="FFFFFF"/>
        </w:rPr>
        <w:fldChar w:fldCharType="begin"/>
      </w:r>
      <w:r w:rsidR="0018431A">
        <w:rPr>
          <w:rFonts w:cstheme="minorHAnsi"/>
          <w:shd w:val="clear" w:color="auto" w:fill="FFFFFF"/>
        </w:rPr>
        <w:instrText>ADDIN RW.CITE{{doc:5e1dce32e4b00881b480be6c Henning,SM 2003}}</w:instrText>
      </w:r>
      <w:r w:rsidRPr="00D72730">
        <w:rPr>
          <w:rFonts w:cstheme="minorHAnsi"/>
          <w:shd w:val="clear" w:color="auto" w:fill="FFFFFF"/>
        </w:rPr>
        <w:fldChar w:fldCharType="separate"/>
      </w:r>
      <w:r w:rsidR="009D6D5E" w:rsidRPr="009D6D5E">
        <w:rPr>
          <w:rFonts w:ascii="Calibri" w:hAnsi="Calibri" w:cs="Calibri"/>
          <w:bCs/>
          <w:shd w:val="clear" w:color="auto" w:fill="FFFFFF"/>
        </w:rPr>
        <w:t>[2]</w:t>
      </w:r>
      <w:r w:rsidRPr="00D72730">
        <w:rPr>
          <w:rFonts w:cstheme="minorHAnsi"/>
          <w:shd w:val="clear" w:color="auto" w:fill="FFFFFF"/>
        </w:rPr>
        <w:fldChar w:fldCharType="end"/>
      </w:r>
      <w:r w:rsidRPr="00D72730">
        <w:rPr>
          <w:rFonts w:cstheme="minorHAnsi"/>
          <w:color w:val="C00000"/>
          <w:shd w:val="clear" w:color="auto" w:fill="FFFFFF"/>
        </w:rPr>
        <w:t xml:space="preserve">. </w:t>
      </w:r>
      <w:r w:rsidRPr="00D72730">
        <w:rPr>
          <w:rFonts w:cstheme="minorHAnsi"/>
        </w:rPr>
        <w:t xml:space="preserve">Although caffeine is present in GTE, research has demonstrated that the benefits of GTE supplementation are not specific to the caffeine content with many studies using the decaffeinated form of the extract </w:t>
      </w:r>
      <w:r w:rsidRPr="00D72730">
        <w:rPr>
          <w:rFonts w:cstheme="minorHAnsi"/>
        </w:rPr>
        <w:fldChar w:fldCharType="begin"/>
      </w:r>
      <w:r w:rsidR="0018431A">
        <w:rPr>
          <w:rFonts w:cstheme="minorHAnsi"/>
        </w:rPr>
        <w:instrText>ADDIN RW.CITE{{doc:5e1dcf80e4b09f501235cca9 Dulloo,AG 1996; doc:5e1dd070e4b0d3663303280c Roberts,JD 2015}}</w:instrText>
      </w:r>
      <w:r w:rsidRPr="00D72730">
        <w:rPr>
          <w:rFonts w:cstheme="minorHAnsi"/>
        </w:rPr>
        <w:fldChar w:fldCharType="separate"/>
      </w:r>
      <w:r w:rsidR="009D6D5E" w:rsidRPr="009D6D5E">
        <w:rPr>
          <w:rFonts w:ascii="Calibri" w:hAnsi="Calibri" w:cs="Calibri"/>
          <w:bCs/>
        </w:rPr>
        <w:t>[3,4]</w:t>
      </w:r>
      <w:r w:rsidRPr="00D72730">
        <w:rPr>
          <w:rFonts w:cstheme="minorHAnsi"/>
        </w:rPr>
        <w:fldChar w:fldCharType="end"/>
      </w:r>
      <w:r w:rsidRPr="00D72730">
        <w:rPr>
          <w:rFonts w:cstheme="minorHAnsi"/>
        </w:rPr>
        <w:t xml:space="preserve">.  </w:t>
      </w:r>
    </w:p>
    <w:p w14:paraId="683CF0AA" w14:textId="5431C85D" w:rsidR="00D8113D" w:rsidRPr="00D72730" w:rsidRDefault="00D8113D" w:rsidP="008275D7">
      <w:pPr>
        <w:spacing w:after="0" w:line="480" w:lineRule="auto"/>
        <w:ind w:firstLine="720"/>
        <w:jc w:val="both"/>
        <w:rPr>
          <w:rFonts w:cstheme="minorHAnsi"/>
        </w:rPr>
      </w:pPr>
      <w:r w:rsidRPr="00D72730">
        <w:rPr>
          <w:rFonts w:cstheme="minorHAnsi"/>
        </w:rPr>
        <w:t xml:space="preserve">In recent years, green tea extract has been extensively studied due to its role in reducing obesity.  In a range of </w:t>
      </w:r>
      <w:r w:rsidRPr="00D72730">
        <w:rPr>
          <w:rFonts w:cstheme="minorHAnsi"/>
          <w:i/>
          <w:iCs/>
        </w:rPr>
        <w:t xml:space="preserve">in vivo </w:t>
      </w:r>
      <w:r w:rsidRPr="00D72730">
        <w:rPr>
          <w:rFonts w:cstheme="minorHAnsi"/>
        </w:rPr>
        <w:t xml:space="preserve">models employing high-fat dietary strategies, GTE supplementation has been established to affect adipocytes by inhibiting adipogenesis and lipogenesis and activating fat browning to reduce obesity and hypertriglyceridemia </w:t>
      </w:r>
      <w:r w:rsidRPr="00D72730">
        <w:rPr>
          <w:rFonts w:cstheme="minorHAnsi"/>
        </w:rPr>
        <w:fldChar w:fldCharType="begin"/>
      </w:r>
      <w:r w:rsidR="0018431A">
        <w:rPr>
          <w:rFonts w:cstheme="minorHAnsi"/>
        </w:rPr>
        <w:instrText>ADDIN RW.CITE{{doc:5e1dcfcce4b01952bdc27026 Cho,D 2019; doc:5e1dcfe7e4b0d366330327e5 Neyrinck,AM 2017; doc:5e1dd005e4b01952bdc2703d Pan,MH 2017}}</w:instrText>
      </w:r>
      <w:r w:rsidRPr="00D72730">
        <w:rPr>
          <w:rFonts w:cstheme="minorHAnsi"/>
        </w:rPr>
        <w:fldChar w:fldCharType="separate"/>
      </w:r>
      <w:r w:rsidR="009D6D5E" w:rsidRPr="009D6D5E">
        <w:rPr>
          <w:rFonts w:ascii="Calibri" w:hAnsi="Calibri" w:cs="Calibri"/>
          <w:bCs/>
        </w:rPr>
        <w:t>[5-7]</w:t>
      </w:r>
      <w:r w:rsidRPr="00D72730">
        <w:rPr>
          <w:rFonts w:cstheme="minorHAnsi"/>
        </w:rPr>
        <w:fldChar w:fldCharType="end"/>
      </w:r>
      <w:r w:rsidRPr="00D72730">
        <w:rPr>
          <w:rFonts w:cstheme="minorHAnsi"/>
        </w:rPr>
        <w:t xml:space="preserve">.  Interestingly, this has been linked with improved insulin sensitivity and increased GLUT4 expression in adipocytes associated with an increase in activity of the ubiquitous signalling molecule, AMP-activated protein kinase (AMPK) </w:t>
      </w:r>
      <w:r w:rsidRPr="00D72730">
        <w:rPr>
          <w:rFonts w:cstheme="minorHAnsi"/>
        </w:rPr>
        <w:fldChar w:fldCharType="begin"/>
      </w:r>
      <w:r w:rsidR="0018431A">
        <w:rPr>
          <w:rFonts w:cstheme="minorHAnsi"/>
        </w:rPr>
        <w:instrText>ADDIN RW.CITE{{doc:5e1dd029e4b09f501235ccba Rocha,A 2016}}</w:instrText>
      </w:r>
      <w:r w:rsidRPr="00D72730">
        <w:rPr>
          <w:rFonts w:cstheme="minorHAnsi"/>
        </w:rPr>
        <w:fldChar w:fldCharType="separate"/>
      </w:r>
      <w:r w:rsidR="009D6D5E" w:rsidRPr="009D6D5E">
        <w:rPr>
          <w:rFonts w:ascii="Calibri" w:hAnsi="Calibri" w:cs="Calibri"/>
          <w:bCs/>
        </w:rPr>
        <w:t>[8]</w:t>
      </w:r>
      <w:r w:rsidRPr="00D72730">
        <w:rPr>
          <w:rFonts w:cstheme="minorHAnsi"/>
        </w:rPr>
        <w:fldChar w:fldCharType="end"/>
      </w:r>
      <w:r w:rsidRPr="00D72730">
        <w:rPr>
          <w:rFonts w:cstheme="minorHAnsi"/>
        </w:rPr>
        <w:t xml:space="preserve">.  Following GTE supplementation, mice fed a high-fat diet coupled with voluntary exercise demonstrate significantly reduced body weight, total visceral </w:t>
      </w:r>
      <w:proofErr w:type="gramStart"/>
      <w:r w:rsidRPr="00D72730">
        <w:rPr>
          <w:rFonts w:cstheme="minorHAnsi"/>
        </w:rPr>
        <w:t>fat</w:t>
      </w:r>
      <w:proofErr w:type="gramEnd"/>
      <w:r w:rsidRPr="00D72730">
        <w:rPr>
          <w:rFonts w:cstheme="minorHAnsi"/>
        </w:rPr>
        <w:t xml:space="preserve"> and plasma insulin, linked to increased expression of PPAR-γ coactivator 1α and various members of the mitochondrial electron chain </w:t>
      </w:r>
      <w:r w:rsidRPr="00D72730">
        <w:rPr>
          <w:rFonts w:cstheme="minorHAnsi"/>
        </w:rPr>
        <w:fldChar w:fldCharType="begin"/>
      </w:r>
      <w:r w:rsidR="0018431A">
        <w:rPr>
          <w:rFonts w:cstheme="minorHAnsi"/>
        </w:rPr>
        <w:instrText>ADDIN RW.CITE{{doc:5e1dd040e4b0463d1542173f Sae-Tan,S 2014}}</w:instrText>
      </w:r>
      <w:r w:rsidRPr="00D72730">
        <w:rPr>
          <w:rFonts w:cstheme="minorHAnsi"/>
        </w:rPr>
        <w:fldChar w:fldCharType="separate"/>
      </w:r>
      <w:r w:rsidR="009D6D5E" w:rsidRPr="009D6D5E">
        <w:rPr>
          <w:rFonts w:ascii="Calibri" w:hAnsi="Calibri" w:cs="Calibri"/>
          <w:bCs/>
        </w:rPr>
        <w:t>[9]</w:t>
      </w:r>
      <w:r w:rsidRPr="00D72730">
        <w:rPr>
          <w:rFonts w:cstheme="minorHAnsi"/>
        </w:rPr>
        <w:fldChar w:fldCharType="end"/>
      </w:r>
      <w:r w:rsidRPr="00D72730">
        <w:rPr>
          <w:rFonts w:cstheme="minorHAnsi"/>
        </w:rPr>
        <w:t xml:space="preserve">. In human studies, GTE consumption has been demonstrated to increase fat oxidation in response to intermittent sprinting exercise and moderate-intensity exercise, and to improve exercise performance </w:t>
      </w:r>
      <w:r w:rsidRPr="00D72730">
        <w:rPr>
          <w:rFonts w:cstheme="minorHAnsi"/>
        </w:rPr>
        <w:fldChar w:fldCharType="begin"/>
      </w:r>
      <w:r w:rsidR="0018431A">
        <w:rPr>
          <w:rFonts w:cstheme="minorHAnsi"/>
        </w:rPr>
        <w:instrText>ADDIN RW.CITE{{doc:5e1dd139e4b0f5d5c7bc219f Venables,MC 2008; doc:5e1dd070e4b0d3663303280c Roberts,JD 2015; doc:5e1dd05ae4b0d36633032805 Gahreman,D 2015}}</w:instrText>
      </w:r>
      <w:r w:rsidRPr="00D72730">
        <w:rPr>
          <w:rFonts w:cstheme="minorHAnsi"/>
        </w:rPr>
        <w:fldChar w:fldCharType="separate"/>
      </w:r>
      <w:r w:rsidR="009D6D5E" w:rsidRPr="009D6D5E">
        <w:rPr>
          <w:rFonts w:ascii="Calibri" w:hAnsi="Calibri" w:cs="Calibri"/>
          <w:bCs/>
        </w:rPr>
        <w:t>[4,10,11]</w:t>
      </w:r>
      <w:r w:rsidRPr="00D72730">
        <w:rPr>
          <w:rFonts w:cstheme="minorHAnsi"/>
        </w:rPr>
        <w:fldChar w:fldCharType="end"/>
      </w:r>
      <w:r w:rsidRPr="00D72730">
        <w:rPr>
          <w:rFonts w:cstheme="minorHAnsi"/>
        </w:rPr>
        <w:t xml:space="preserve">.  </w:t>
      </w:r>
      <w:proofErr w:type="gramStart"/>
      <w:r w:rsidRPr="00D72730">
        <w:rPr>
          <w:rFonts w:cstheme="minorHAnsi"/>
        </w:rPr>
        <w:t>Thus</w:t>
      </w:r>
      <w:proofErr w:type="gramEnd"/>
      <w:r w:rsidRPr="00D72730">
        <w:rPr>
          <w:rFonts w:cstheme="minorHAnsi"/>
        </w:rPr>
        <w:t xml:space="preserve"> GTE supplementation </w:t>
      </w:r>
      <w:r w:rsidR="00A02A44">
        <w:rPr>
          <w:rFonts w:cstheme="minorHAnsi"/>
        </w:rPr>
        <w:t xml:space="preserve">has been studied extensively </w:t>
      </w:r>
      <w:r w:rsidR="00283547">
        <w:rPr>
          <w:rFonts w:cstheme="minorHAnsi"/>
        </w:rPr>
        <w:t xml:space="preserve">with respect to </w:t>
      </w:r>
      <w:r w:rsidRPr="00D72730">
        <w:rPr>
          <w:rFonts w:cstheme="minorHAnsi"/>
        </w:rPr>
        <w:t>improve</w:t>
      </w:r>
      <w:r w:rsidR="00283547">
        <w:rPr>
          <w:rFonts w:cstheme="minorHAnsi"/>
        </w:rPr>
        <w:t>d</w:t>
      </w:r>
      <w:r w:rsidRPr="00D72730">
        <w:rPr>
          <w:rFonts w:cstheme="minorHAnsi"/>
        </w:rPr>
        <w:t xml:space="preserve"> exercise capacity, enhance</w:t>
      </w:r>
      <w:r w:rsidR="00283547">
        <w:rPr>
          <w:rFonts w:cstheme="minorHAnsi"/>
        </w:rPr>
        <w:t>d</w:t>
      </w:r>
      <w:r w:rsidRPr="00D72730">
        <w:rPr>
          <w:rFonts w:cstheme="minorHAnsi"/>
        </w:rPr>
        <w:t xml:space="preserve"> metabolic flexibility and reduce</w:t>
      </w:r>
      <w:r w:rsidR="00283547">
        <w:rPr>
          <w:rFonts w:cstheme="minorHAnsi"/>
        </w:rPr>
        <w:t>d</w:t>
      </w:r>
      <w:r w:rsidRPr="00D72730">
        <w:rPr>
          <w:rFonts w:cstheme="minorHAnsi"/>
        </w:rPr>
        <w:t xml:space="preserve"> obesity.</w:t>
      </w:r>
      <w:r w:rsidR="003272F8">
        <w:rPr>
          <w:rFonts w:cstheme="minorHAnsi"/>
        </w:rPr>
        <w:t xml:space="preserve"> </w:t>
      </w:r>
    </w:p>
    <w:p w14:paraId="04E9900A" w14:textId="14E0869B" w:rsidR="00D8113D" w:rsidRPr="00D72730" w:rsidRDefault="00D8113D" w:rsidP="008275D7">
      <w:pPr>
        <w:spacing w:after="0" w:line="480" w:lineRule="auto"/>
        <w:ind w:firstLine="720"/>
        <w:jc w:val="both"/>
        <w:rPr>
          <w:rFonts w:eastAsia="Times New Roman" w:cstheme="minorHAnsi"/>
          <w:lang w:eastAsia="en-GB"/>
        </w:rPr>
      </w:pPr>
      <w:r w:rsidRPr="00D72730">
        <w:rPr>
          <w:rFonts w:cstheme="minorHAnsi"/>
        </w:rPr>
        <w:t xml:space="preserve">From this protective effect on obesity and hypertriglyceridemia, it is likely that GTE supplementation will reduce hepatic steatosis in settings of obesity. However, there is controversy in the literature regarding the impact of GTE on the liver. There are several studies which indicate the </w:t>
      </w:r>
      <w:r w:rsidRPr="00D72730">
        <w:rPr>
          <w:rFonts w:cstheme="minorHAnsi"/>
        </w:rPr>
        <w:lastRenderedPageBreak/>
        <w:t xml:space="preserve">benefit of GTE with regards to health and disease.  GTE supplementation in mice fed a high-fat diet caused a significant reduction in body weight, hepatic fat accumulation, hypertriglyceridemia along with improved insulin resistance </w:t>
      </w:r>
      <w:r w:rsidRPr="00D72730">
        <w:rPr>
          <w:rFonts w:cstheme="minorHAnsi"/>
        </w:rPr>
        <w:fldChar w:fldCharType="begin"/>
      </w:r>
      <w:r w:rsidR="0018431A">
        <w:rPr>
          <w:rFonts w:cstheme="minorHAnsi"/>
        </w:rPr>
        <w:instrText>ADDIN RW.CITE{{doc:5e1dd19de4b09f501235ccd2 Bae,UJ 2018}}</w:instrText>
      </w:r>
      <w:r w:rsidRPr="00D72730">
        <w:rPr>
          <w:rFonts w:cstheme="minorHAnsi"/>
        </w:rPr>
        <w:fldChar w:fldCharType="separate"/>
      </w:r>
      <w:r w:rsidR="009D6D5E" w:rsidRPr="009D6D5E">
        <w:rPr>
          <w:rFonts w:ascii="Calibri" w:hAnsi="Calibri" w:cs="Calibri"/>
          <w:bCs/>
        </w:rPr>
        <w:t>[12]</w:t>
      </w:r>
      <w:r w:rsidRPr="00D72730">
        <w:rPr>
          <w:rFonts w:cstheme="minorHAnsi"/>
        </w:rPr>
        <w:fldChar w:fldCharType="end"/>
      </w:r>
      <w:r w:rsidRPr="00D72730">
        <w:rPr>
          <w:rFonts w:cstheme="minorHAnsi"/>
        </w:rPr>
        <w:t xml:space="preserve">. There are also studies which demonstrate that GTE protects against liver injury induced by a range of environmental factors including bacterial endotoxin, lead, alcohol, acetaminophen and D-galactosamine </w:t>
      </w:r>
      <w:r w:rsidRPr="00D72730">
        <w:rPr>
          <w:rFonts w:cstheme="minorHAnsi"/>
        </w:rPr>
        <w:fldChar w:fldCharType="begin"/>
      </w:r>
      <w:r w:rsidR="0018431A">
        <w:rPr>
          <w:rFonts w:cstheme="minorHAnsi"/>
        </w:rPr>
        <w:instrText>ADDIN RW.CITE{{doc:5e1dd1b4e4b0d3663303283b He,P 2001; doc:5e1dd227e4b0f5d5c7bc21d6 Kager,N 2010; doc:5e1dd1d0e4b0903a828b9636 Lu,Y 2013; doc:5e1dd205e4b09f501235ccdf Mehana,EE 2012; doc:5e1dd1f2e4b0c88acc28b0f6 Park,JH 2012}}</w:instrText>
      </w:r>
      <w:r w:rsidRPr="00D72730">
        <w:rPr>
          <w:rFonts w:cstheme="minorHAnsi"/>
        </w:rPr>
        <w:fldChar w:fldCharType="separate"/>
      </w:r>
      <w:r w:rsidR="009D6D5E" w:rsidRPr="009D6D5E">
        <w:rPr>
          <w:rFonts w:ascii="Calibri" w:hAnsi="Calibri" w:cs="Calibri"/>
          <w:bCs/>
        </w:rPr>
        <w:t>[13-17]</w:t>
      </w:r>
      <w:r w:rsidRPr="00D72730">
        <w:rPr>
          <w:rFonts w:cstheme="minorHAnsi"/>
        </w:rPr>
        <w:fldChar w:fldCharType="end"/>
      </w:r>
      <w:r w:rsidRPr="00D72730">
        <w:rPr>
          <w:rFonts w:cstheme="minorHAnsi"/>
        </w:rPr>
        <w:t xml:space="preserve">. This hepatoprotective role was noted alongside reduced levels of alanine aminotransferase (ALT) and has been implicated as a result of an anti-inflammatory function of GTE, with reduced TNF-alpha levels and NF-Kappa B signalling observed in various models of liver injury </w:t>
      </w:r>
      <w:r w:rsidRPr="00D72730">
        <w:rPr>
          <w:rFonts w:cstheme="minorHAnsi"/>
        </w:rPr>
        <w:fldChar w:fldCharType="begin"/>
      </w:r>
      <w:r w:rsidR="0018431A">
        <w:rPr>
          <w:rFonts w:cstheme="minorHAnsi"/>
        </w:rPr>
        <w:instrText>ADDIN RW.CITE{{doc:5e1dd1b4e4b0d3663303283b He,P 2001; doc:5e1dd3e8e4b04094d98578d2 Lin,BR 2009}}</w:instrText>
      </w:r>
      <w:r w:rsidRPr="00D72730">
        <w:rPr>
          <w:rFonts w:cstheme="minorHAnsi"/>
        </w:rPr>
        <w:fldChar w:fldCharType="separate"/>
      </w:r>
      <w:r w:rsidR="009D6D5E" w:rsidRPr="009D6D5E">
        <w:rPr>
          <w:rFonts w:ascii="Calibri" w:hAnsi="Calibri" w:cs="Calibri"/>
          <w:bCs/>
        </w:rPr>
        <w:t>[13,18]</w:t>
      </w:r>
      <w:r w:rsidRPr="00D72730">
        <w:rPr>
          <w:rFonts w:cstheme="minorHAnsi"/>
        </w:rPr>
        <w:fldChar w:fldCharType="end"/>
      </w:r>
      <w:r w:rsidRPr="00D72730">
        <w:rPr>
          <w:rFonts w:cstheme="minorHAnsi"/>
        </w:rPr>
        <w:t xml:space="preserve">. The antioxidant role of the polyphenol has also been investigated, with reduced oxidative stress, ROS accumulation and DNA damage occurring in hepatocytes following GTE supplementation </w:t>
      </w:r>
      <w:r w:rsidRPr="00D72730">
        <w:rPr>
          <w:rFonts w:cstheme="minorHAnsi"/>
        </w:rPr>
        <w:fldChar w:fldCharType="begin"/>
      </w:r>
      <w:r w:rsidR="0018431A">
        <w:rPr>
          <w:rFonts w:cstheme="minorHAnsi"/>
        </w:rPr>
        <w:instrText>ADDIN RW.CITE{{doc:5e1dd227e4b0f5d5c7bc21d6 Kager,N 2010; doc:5e1dd3e8e4b04094d98578d2 Lin,BR 2009}}</w:instrText>
      </w:r>
      <w:r w:rsidRPr="00D72730">
        <w:rPr>
          <w:rFonts w:cstheme="minorHAnsi"/>
        </w:rPr>
        <w:fldChar w:fldCharType="separate"/>
      </w:r>
      <w:r w:rsidR="009D6D5E" w:rsidRPr="009D6D5E">
        <w:rPr>
          <w:rFonts w:ascii="Calibri" w:hAnsi="Calibri" w:cs="Calibri"/>
          <w:bCs/>
        </w:rPr>
        <w:t>[14,18]</w:t>
      </w:r>
      <w:r w:rsidRPr="00D72730">
        <w:rPr>
          <w:rFonts w:cstheme="minorHAnsi"/>
        </w:rPr>
        <w:fldChar w:fldCharType="end"/>
      </w:r>
      <w:r w:rsidRPr="00D72730">
        <w:rPr>
          <w:rFonts w:cstheme="minorHAnsi"/>
        </w:rPr>
        <w:t xml:space="preserve">.  Conversely, there are studies which indicate GTE-induced hepatotoxicity in animals. </w:t>
      </w:r>
      <w:proofErr w:type="spellStart"/>
      <w:r w:rsidRPr="00D72730">
        <w:rPr>
          <w:rFonts w:cstheme="minorHAnsi"/>
        </w:rPr>
        <w:t>Emoto</w:t>
      </w:r>
      <w:proofErr w:type="spellEnd"/>
      <w:r w:rsidRPr="00D72730">
        <w:rPr>
          <w:rFonts w:cstheme="minorHAnsi"/>
        </w:rPr>
        <w:t xml:space="preserve"> </w:t>
      </w:r>
      <w:r w:rsidRPr="00D72730">
        <w:rPr>
          <w:rFonts w:cstheme="minorHAnsi"/>
          <w:i/>
          <w:iCs/>
        </w:rPr>
        <w:t>et al</w:t>
      </w:r>
      <w:r w:rsidRPr="00D72730">
        <w:rPr>
          <w:rFonts w:cstheme="minorHAnsi"/>
        </w:rPr>
        <w:t xml:space="preserve"> demonstrate that GTE administration caused increased mortality in rats associated with hepatocellular hypertrophy, necrosis, and inflammation </w:t>
      </w:r>
      <w:r w:rsidRPr="00D72730">
        <w:rPr>
          <w:rFonts w:cstheme="minorHAnsi"/>
        </w:rPr>
        <w:fldChar w:fldCharType="begin"/>
      </w:r>
      <w:r w:rsidR="0018431A">
        <w:rPr>
          <w:rFonts w:cstheme="minorHAnsi"/>
        </w:rPr>
        <w:instrText>ADDIN RW.CITE{{doc:5e1dd19de4b09f501235ccd2 Bae,UJ 2018}}</w:instrText>
      </w:r>
      <w:r w:rsidRPr="00D72730">
        <w:rPr>
          <w:rFonts w:cstheme="minorHAnsi"/>
        </w:rPr>
        <w:fldChar w:fldCharType="separate"/>
      </w:r>
      <w:r w:rsidR="009D6D5E" w:rsidRPr="009D6D5E">
        <w:rPr>
          <w:rFonts w:ascii="Calibri" w:hAnsi="Calibri" w:cs="Calibri"/>
          <w:bCs/>
        </w:rPr>
        <w:t>[12]</w:t>
      </w:r>
      <w:r w:rsidRPr="00D72730">
        <w:rPr>
          <w:rFonts w:cstheme="minorHAnsi"/>
        </w:rPr>
        <w:fldChar w:fldCharType="end"/>
      </w:r>
      <w:r w:rsidRPr="00D72730">
        <w:rPr>
          <w:rFonts w:cstheme="minorHAnsi"/>
        </w:rPr>
        <w:t xml:space="preserve">. Furthermore, individual case studies in humans are suggestive of potential hepatotoxicity with an increase in plasma levels of alanine aminotransferase (ALT), aspartate aminotransferase (AST) and total bilirubin, as well as specific impact such as hepatic fibrosis and inflammation </w:t>
      </w:r>
      <w:r w:rsidRPr="00D72730">
        <w:rPr>
          <w:rFonts w:cstheme="minorHAnsi"/>
        </w:rPr>
        <w:fldChar w:fldCharType="begin"/>
      </w:r>
      <w:r w:rsidR="0018431A">
        <w:rPr>
          <w:rFonts w:cstheme="minorHAnsi"/>
        </w:rPr>
        <w:instrText>ADDIN RW.CITE{{doc:5e1dd606e4b0c88acc28b3cc [NoInformation] 2012; doc:5e1dd588e4b0b306181e087a Mazzanti,G 2009; doc:5e1dd56ce4b0463d154217ca Molinari,M 2006; doc:5e1dd5dce4b0903a828b985e Patel,SS 2013}}</w:instrText>
      </w:r>
      <w:r w:rsidRPr="00D72730">
        <w:rPr>
          <w:rFonts w:cstheme="minorHAnsi"/>
        </w:rPr>
        <w:fldChar w:fldCharType="separate"/>
      </w:r>
      <w:r w:rsidR="009D6D5E" w:rsidRPr="009D6D5E">
        <w:rPr>
          <w:rFonts w:ascii="Calibri" w:hAnsi="Calibri" w:cs="Calibri"/>
          <w:bCs/>
        </w:rPr>
        <w:t>[1,19-21]</w:t>
      </w:r>
      <w:r w:rsidRPr="00D72730">
        <w:rPr>
          <w:rFonts w:cstheme="minorHAnsi"/>
        </w:rPr>
        <w:fldChar w:fldCharType="end"/>
      </w:r>
      <w:r w:rsidRPr="00D72730">
        <w:rPr>
          <w:rFonts w:cstheme="minorHAnsi"/>
        </w:rPr>
        <w:t xml:space="preserve">. </w:t>
      </w:r>
      <w:r w:rsidR="00D541D3">
        <w:rPr>
          <w:rFonts w:cstheme="minorHAnsi"/>
        </w:rPr>
        <w:t xml:space="preserve">More recently, </w:t>
      </w:r>
      <w:r w:rsidR="00D541D3" w:rsidRPr="00E145C2">
        <w:rPr>
          <w:rFonts w:cstheme="minorHAnsi"/>
        </w:rPr>
        <w:t xml:space="preserve">the </w:t>
      </w:r>
      <w:r w:rsidR="00D541D3" w:rsidRPr="00E145C2">
        <w:t>United State Pharmacopeia review</w:t>
      </w:r>
      <w:r w:rsidR="00D541D3">
        <w:t xml:space="preserve">ed hepatotoxicity of </w:t>
      </w:r>
      <w:r w:rsidR="009305EF">
        <w:t>GTE</w:t>
      </w:r>
      <w:r w:rsidR="00D541D3">
        <w:t xml:space="preserve"> and </w:t>
      </w:r>
      <w:r w:rsidR="002A3215">
        <w:t xml:space="preserve">noted </w:t>
      </w:r>
      <w:r w:rsidR="00FE3BB4">
        <w:t xml:space="preserve">that clinical studies and case reports </w:t>
      </w:r>
      <w:r w:rsidR="006E68AF">
        <w:t xml:space="preserve">suggest a link between the supplement and declining liver function </w:t>
      </w:r>
      <w:r w:rsidR="00F34ADD">
        <w:fldChar w:fldCharType="begin"/>
      </w:r>
      <w:r w:rsidR="00F34ADD">
        <w:instrText>ADDIN RW.CITE{{doc:601daffa8f08293aa27ed700 Oketch-Rabah,HA 2020}}</w:instrText>
      </w:r>
      <w:r w:rsidR="00F34ADD">
        <w:fldChar w:fldCharType="separate"/>
      </w:r>
      <w:r w:rsidR="00F34ADD" w:rsidRPr="00F34ADD">
        <w:rPr>
          <w:rFonts w:ascii="Calibri" w:hAnsi="Calibri" w:cs="Calibri"/>
          <w:bCs/>
          <w:lang w:val="en-US"/>
        </w:rPr>
        <w:t>[22]</w:t>
      </w:r>
      <w:r w:rsidR="00F34ADD">
        <w:fldChar w:fldCharType="end"/>
      </w:r>
      <w:r w:rsidR="00EB333E">
        <w:rPr>
          <w:rFonts w:cstheme="minorHAnsi"/>
        </w:rPr>
        <w:t>.</w:t>
      </w:r>
      <w:r w:rsidR="00750537">
        <w:rPr>
          <w:rFonts w:cstheme="minorHAnsi"/>
        </w:rPr>
        <w:t xml:space="preserve"> </w:t>
      </w:r>
      <w:r w:rsidRPr="00D72730">
        <w:rPr>
          <w:rFonts w:cstheme="minorHAnsi"/>
        </w:rPr>
        <w:t xml:space="preserve">There are, however, several confounding factors in these </w:t>
      </w:r>
      <w:r w:rsidRPr="00D72730">
        <w:rPr>
          <w:rFonts w:cstheme="minorHAnsi"/>
          <w:i/>
          <w:iCs/>
        </w:rPr>
        <w:t xml:space="preserve">in vivo </w:t>
      </w:r>
      <w:r w:rsidRPr="00D72730">
        <w:rPr>
          <w:rFonts w:cstheme="minorHAnsi"/>
        </w:rPr>
        <w:t>and human studies, such as a non-physiological mode of administration (for example, intraperitoneal injection), an elderly population (for example, 60-80 years), predisposing hepatic conditions, longevity and dose of GTE consumption (</w:t>
      </w:r>
      <w:proofErr w:type="gramStart"/>
      <w:r w:rsidRPr="00D72730">
        <w:rPr>
          <w:rFonts w:cstheme="minorHAnsi"/>
        </w:rPr>
        <w:t>e.g.</w:t>
      </w:r>
      <w:proofErr w:type="gramEnd"/>
      <w:r w:rsidRPr="00D72730">
        <w:rPr>
          <w:rFonts w:cstheme="minorHAnsi"/>
        </w:rPr>
        <w:t xml:space="preserve"> &gt;800 mg·d</w:t>
      </w:r>
      <w:r w:rsidRPr="00D72730">
        <w:rPr>
          <w:rFonts w:cstheme="minorHAnsi"/>
          <w:vertAlign w:val="superscript"/>
        </w:rPr>
        <w:t>-1</w:t>
      </w:r>
      <w:r w:rsidRPr="00D72730">
        <w:rPr>
          <w:rFonts w:cstheme="minorHAnsi"/>
        </w:rPr>
        <w:t xml:space="preserve">) and composition of GTE supplementation (for example, caffeinated, sweetened).  </w:t>
      </w:r>
      <w:r w:rsidR="002E1F36">
        <w:rPr>
          <w:rFonts w:cstheme="minorHAnsi"/>
        </w:rPr>
        <w:t xml:space="preserve">Whilst these factors do not diminish the </w:t>
      </w:r>
      <w:r w:rsidR="00BE23AF">
        <w:rPr>
          <w:rFonts w:cstheme="minorHAnsi"/>
        </w:rPr>
        <w:t>potential hepatotoxic effects of GTE supplementation, they indicate the need to further study and understand the molecular mechanisms linking GTE and hepatocyte function.</w:t>
      </w:r>
    </w:p>
    <w:p w14:paraId="0F4780CA" w14:textId="70B5624C" w:rsidR="00D8113D" w:rsidRPr="00D72730" w:rsidRDefault="00D8113D" w:rsidP="008275D7">
      <w:pPr>
        <w:shd w:val="clear" w:color="auto" w:fill="FFFFFF"/>
        <w:spacing w:after="0" w:line="480" w:lineRule="auto"/>
        <w:ind w:firstLine="720"/>
        <w:jc w:val="both"/>
        <w:rPr>
          <w:rFonts w:cstheme="minorHAnsi"/>
        </w:rPr>
      </w:pPr>
      <w:r w:rsidRPr="00D72730">
        <w:rPr>
          <w:rFonts w:cstheme="minorHAnsi"/>
        </w:rPr>
        <w:t xml:space="preserve">There are few </w:t>
      </w:r>
      <w:r w:rsidRPr="00D72730">
        <w:rPr>
          <w:rFonts w:cstheme="minorHAnsi"/>
          <w:i/>
          <w:iCs/>
        </w:rPr>
        <w:t xml:space="preserve">in vitro </w:t>
      </w:r>
      <w:r w:rsidRPr="00D72730">
        <w:rPr>
          <w:rFonts w:cstheme="minorHAnsi"/>
        </w:rPr>
        <w:t xml:space="preserve">hepatocyte studies to understand whether the supplement is cytoprotective or cytotoxic. </w:t>
      </w:r>
      <w:proofErr w:type="spellStart"/>
      <w:r w:rsidRPr="00D72730">
        <w:rPr>
          <w:rFonts w:cstheme="minorHAnsi"/>
        </w:rPr>
        <w:t>Seo</w:t>
      </w:r>
      <w:proofErr w:type="spellEnd"/>
      <w:r w:rsidRPr="00D72730">
        <w:rPr>
          <w:rFonts w:cstheme="minorHAnsi"/>
        </w:rPr>
        <w:t xml:space="preserve"> </w:t>
      </w:r>
      <w:r w:rsidRPr="00D72730">
        <w:rPr>
          <w:rFonts w:cstheme="minorHAnsi"/>
          <w:i/>
          <w:iCs/>
        </w:rPr>
        <w:t xml:space="preserve">et al </w:t>
      </w:r>
      <w:r w:rsidRPr="00D72730">
        <w:rPr>
          <w:rFonts w:cstheme="minorHAnsi"/>
        </w:rPr>
        <w:t xml:space="preserve">demonstrate a significant role for GTE in reducing hepatocyte </w:t>
      </w:r>
      <w:r w:rsidRPr="00D72730">
        <w:rPr>
          <w:rFonts w:cstheme="minorHAnsi"/>
        </w:rPr>
        <w:lastRenderedPageBreak/>
        <w:t>migration</w:t>
      </w:r>
      <w:r w:rsidRPr="00D72730">
        <w:rPr>
          <w:rFonts w:cstheme="minorHAnsi"/>
          <w:color w:val="C00000"/>
        </w:rPr>
        <w:t>,</w:t>
      </w:r>
      <w:r w:rsidRPr="00D72730">
        <w:rPr>
          <w:rFonts w:cstheme="minorHAnsi"/>
        </w:rPr>
        <w:t xml:space="preserve"> but no impact on cytotoxicity </w:t>
      </w:r>
      <w:r w:rsidRPr="00D72730">
        <w:rPr>
          <w:rFonts w:cstheme="minorHAnsi"/>
        </w:rPr>
        <w:fldChar w:fldCharType="begin"/>
      </w:r>
      <w:r w:rsidR="0018431A">
        <w:rPr>
          <w:rFonts w:cstheme="minorHAnsi"/>
        </w:rPr>
        <w:instrText>ADDIN RW.CITE{{doc:5e1dd62ce4b0b3a53ef00646 Seo,EJ 2016}}</w:instrText>
      </w:r>
      <w:r w:rsidRPr="00D72730">
        <w:rPr>
          <w:rFonts w:cstheme="minorHAnsi"/>
        </w:rPr>
        <w:fldChar w:fldCharType="separate"/>
      </w:r>
      <w:r w:rsidR="00763715" w:rsidRPr="00763715">
        <w:rPr>
          <w:rFonts w:ascii="Calibri" w:hAnsi="Calibri" w:cs="Calibri"/>
          <w:bCs/>
        </w:rPr>
        <w:t>[23]</w:t>
      </w:r>
      <w:r w:rsidRPr="00D72730">
        <w:rPr>
          <w:rFonts w:cstheme="minorHAnsi"/>
        </w:rPr>
        <w:fldChar w:fldCharType="end"/>
      </w:r>
      <w:r w:rsidRPr="00D72730">
        <w:rPr>
          <w:rFonts w:cstheme="minorHAnsi"/>
        </w:rPr>
        <w:t xml:space="preserve">. </w:t>
      </w:r>
      <w:proofErr w:type="gramStart"/>
      <w:r w:rsidRPr="00D72730">
        <w:rPr>
          <w:rFonts w:cstheme="minorHAnsi"/>
        </w:rPr>
        <w:t>The majority of</w:t>
      </w:r>
      <w:proofErr w:type="gramEnd"/>
      <w:r w:rsidRPr="00D72730">
        <w:rPr>
          <w:rFonts w:cstheme="minorHAnsi"/>
        </w:rPr>
        <w:t xml:space="preserve"> </w:t>
      </w:r>
      <w:r w:rsidRPr="00D72730">
        <w:rPr>
          <w:rFonts w:cstheme="minorHAnsi"/>
          <w:i/>
          <w:iCs/>
        </w:rPr>
        <w:t xml:space="preserve">in vitro </w:t>
      </w:r>
      <w:r w:rsidRPr="00D72730">
        <w:rPr>
          <w:rFonts w:cstheme="minorHAnsi"/>
        </w:rPr>
        <w:t>studies are performed with a major component of GTE, EGCG.  Several studies</w:t>
      </w:r>
      <w:r w:rsidRPr="00D72730">
        <w:rPr>
          <w:rFonts w:cstheme="minorHAnsi"/>
          <w:i/>
          <w:iCs/>
        </w:rPr>
        <w:t xml:space="preserve"> </w:t>
      </w:r>
      <w:r w:rsidRPr="00D72730">
        <w:rPr>
          <w:rFonts w:cstheme="minorHAnsi"/>
        </w:rPr>
        <w:t xml:space="preserve">demonstrate that EGCG reduces hepatocyte viability due to reduced proliferation and increased apoptosis but with no impact on mitochondrial function </w:t>
      </w:r>
      <w:r w:rsidRPr="00D72730">
        <w:rPr>
          <w:rFonts w:cstheme="minorHAnsi"/>
        </w:rPr>
        <w:fldChar w:fldCharType="begin"/>
      </w:r>
      <w:r w:rsidR="0018431A">
        <w:rPr>
          <w:rFonts w:cstheme="minorHAnsi"/>
        </w:rPr>
        <w:instrText>ADDIN RW.CITE{{doc:5e1dd6a0e4b0463d15421bdf Mezera,V 2016; doc:5e1dd680e4b00881b480c5a9 Sabry,D 2019; doc:5e1dd667e4b0b3a53ef00653 Schmidt,M 2005}}</w:instrText>
      </w:r>
      <w:r w:rsidRPr="00D72730">
        <w:rPr>
          <w:rFonts w:cstheme="minorHAnsi"/>
        </w:rPr>
        <w:fldChar w:fldCharType="separate"/>
      </w:r>
      <w:r w:rsidR="00763715" w:rsidRPr="00763715">
        <w:rPr>
          <w:rFonts w:ascii="Calibri" w:hAnsi="Calibri" w:cs="Calibri"/>
          <w:bCs/>
        </w:rPr>
        <w:t>[24-26]</w:t>
      </w:r>
      <w:r w:rsidRPr="00D72730">
        <w:rPr>
          <w:rFonts w:cstheme="minorHAnsi"/>
        </w:rPr>
        <w:fldChar w:fldCharType="end"/>
      </w:r>
      <w:r w:rsidRPr="00D72730">
        <w:rPr>
          <w:rFonts w:cstheme="minorHAnsi"/>
        </w:rPr>
        <w:t xml:space="preserve">. Other studies indicate that EGCG promotes autophagy and cell survival and protects against cellular and mitochondrial oxidative stress induced by glucosamine </w:t>
      </w:r>
      <w:r w:rsidRPr="00D72730">
        <w:rPr>
          <w:rFonts w:cstheme="minorHAnsi"/>
        </w:rPr>
        <w:fldChar w:fldCharType="begin"/>
      </w:r>
      <w:r w:rsidR="0018431A">
        <w:rPr>
          <w:rFonts w:cstheme="minorHAnsi"/>
        </w:rPr>
        <w:instrText>ADDIN RW.CITE{{doc:5e1f3b77e4b0d16f0f633ff7 Mi,Y 2017; doc:5e1dd6fee4b0f5d5c7bc228b Zhao,L 2017}}</w:instrText>
      </w:r>
      <w:r w:rsidRPr="00D72730">
        <w:rPr>
          <w:rFonts w:cstheme="minorHAnsi"/>
        </w:rPr>
        <w:fldChar w:fldCharType="separate"/>
      </w:r>
      <w:r w:rsidR="00763715" w:rsidRPr="00763715">
        <w:rPr>
          <w:rFonts w:ascii="Calibri" w:hAnsi="Calibri" w:cs="Calibri"/>
          <w:bCs/>
        </w:rPr>
        <w:t>[27,28]</w:t>
      </w:r>
      <w:r w:rsidRPr="00D72730">
        <w:rPr>
          <w:rFonts w:cstheme="minorHAnsi"/>
        </w:rPr>
        <w:fldChar w:fldCharType="end"/>
      </w:r>
      <w:r w:rsidRPr="00D72730">
        <w:rPr>
          <w:rFonts w:cstheme="minorHAnsi"/>
        </w:rPr>
        <w:t xml:space="preserve">. There is therefore conflicting data surrounding </w:t>
      </w:r>
      <w:r w:rsidRPr="00D72730">
        <w:rPr>
          <w:rFonts w:cstheme="minorHAnsi"/>
          <w:i/>
          <w:iCs/>
        </w:rPr>
        <w:t xml:space="preserve">in vitro </w:t>
      </w:r>
      <w:r w:rsidRPr="00D72730">
        <w:rPr>
          <w:rFonts w:cstheme="minorHAnsi"/>
        </w:rPr>
        <w:t xml:space="preserve">studies with both GTE and EGCG, however it is worth noting that these studies use a range of EGCG concentrations which are much higher than physiologically-relevant </w:t>
      </w:r>
      <w:r w:rsidRPr="00D72730">
        <w:rPr>
          <w:rFonts w:cstheme="minorHAnsi"/>
        </w:rPr>
        <w:fldChar w:fldCharType="begin"/>
      </w:r>
      <w:r w:rsidR="0018431A">
        <w:rPr>
          <w:rFonts w:cstheme="minorHAnsi"/>
        </w:rPr>
        <w:instrText>ADDIN RW.CITE{{doc:5e1f40a5e4b05ad79c6a98b5 Liu,AB 2018; doc:5e1f1256e4b0c37d10396ba8 Krupkova,O 2016}}</w:instrText>
      </w:r>
      <w:r w:rsidRPr="00D72730">
        <w:rPr>
          <w:rFonts w:cstheme="minorHAnsi"/>
        </w:rPr>
        <w:fldChar w:fldCharType="separate"/>
      </w:r>
      <w:r w:rsidR="00763715" w:rsidRPr="00763715">
        <w:rPr>
          <w:rFonts w:ascii="Calibri" w:hAnsi="Calibri" w:cs="Calibri"/>
          <w:bCs/>
        </w:rPr>
        <w:t>[29,30]</w:t>
      </w:r>
      <w:r w:rsidRPr="00D72730">
        <w:rPr>
          <w:rFonts w:cstheme="minorHAnsi"/>
        </w:rPr>
        <w:fldChar w:fldCharType="end"/>
      </w:r>
      <w:r w:rsidRPr="00D72730">
        <w:rPr>
          <w:rFonts w:cstheme="minorHAnsi"/>
          <w:color w:val="575757"/>
          <w:shd w:val="clear" w:color="auto" w:fill="FFFFFF"/>
        </w:rPr>
        <w:t xml:space="preserve">. </w:t>
      </w:r>
      <w:proofErr w:type="gramStart"/>
      <w:r w:rsidRPr="00D72730">
        <w:rPr>
          <w:rFonts w:cstheme="minorHAnsi"/>
        </w:rPr>
        <w:t>Therefore</w:t>
      </w:r>
      <w:proofErr w:type="gramEnd"/>
      <w:r w:rsidRPr="00D72730">
        <w:rPr>
          <w:rFonts w:cstheme="minorHAnsi"/>
        </w:rPr>
        <w:t xml:space="preserve"> there is controversy in these </w:t>
      </w:r>
      <w:r w:rsidRPr="00D72730">
        <w:rPr>
          <w:rFonts w:cstheme="minorHAnsi"/>
          <w:i/>
          <w:iCs/>
        </w:rPr>
        <w:t xml:space="preserve">in vitro </w:t>
      </w:r>
      <w:r w:rsidRPr="00D72730">
        <w:rPr>
          <w:rFonts w:cstheme="minorHAnsi"/>
        </w:rPr>
        <w:t xml:space="preserve">studies too, with few studies addressing the discrepancy between these studies and dissecting the mechanism of GTE action on hepatocytes. </w:t>
      </w:r>
    </w:p>
    <w:p w14:paraId="45247EDA" w14:textId="77777777" w:rsidR="00D8113D" w:rsidRPr="00D72730" w:rsidRDefault="00D8113D" w:rsidP="008275D7">
      <w:pPr>
        <w:spacing w:after="0" w:line="480" w:lineRule="auto"/>
        <w:ind w:firstLine="720"/>
        <w:jc w:val="both"/>
        <w:rPr>
          <w:rFonts w:cstheme="minorHAnsi"/>
        </w:rPr>
      </w:pPr>
      <w:r w:rsidRPr="00D72730">
        <w:rPr>
          <w:rFonts w:cstheme="minorHAnsi"/>
        </w:rPr>
        <w:t>In the present study, we evaluate the biological effect of two different decaffeinated GTE (</w:t>
      </w:r>
      <w:proofErr w:type="spellStart"/>
      <w:r w:rsidRPr="00D72730">
        <w:rPr>
          <w:rFonts w:cstheme="minorHAnsi"/>
        </w:rPr>
        <w:t>dGTE</w:t>
      </w:r>
      <w:proofErr w:type="spellEnd"/>
      <w:r w:rsidRPr="00D72730">
        <w:rPr>
          <w:rFonts w:cstheme="minorHAnsi"/>
        </w:rPr>
        <w:t xml:space="preserve">) products, with similar levels of EGCG, on a human hepatocyte </w:t>
      </w:r>
      <w:r w:rsidRPr="00D72730">
        <w:rPr>
          <w:rFonts w:cstheme="minorHAnsi"/>
          <w:i/>
        </w:rPr>
        <w:t xml:space="preserve">in vitro </w:t>
      </w:r>
      <w:r w:rsidRPr="00D72730">
        <w:rPr>
          <w:rFonts w:cstheme="minorHAnsi"/>
        </w:rPr>
        <w:t xml:space="preserve">model.  We utilised a </w:t>
      </w:r>
      <w:proofErr w:type="spellStart"/>
      <w:r w:rsidRPr="00D72730">
        <w:rPr>
          <w:rFonts w:cstheme="minorHAnsi"/>
        </w:rPr>
        <w:t>dGTE</w:t>
      </w:r>
      <w:proofErr w:type="spellEnd"/>
      <w:r w:rsidRPr="00D72730">
        <w:rPr>
          <w:rFonts w:cstheme="minorHAnsi"/>
        </w:rPr>
        <w:t xml:space="preserve"> compound directly from source, </w:t>
      </w:r>
      <w:proofErr w:type="gramStart"/>
      <w:r w:rsidRPr="00D72730">
        <w:rPr>
          <w:rFonts w:cstheme="minorHAnsi"/>
        </w:rPr>
        <w:t>i.e.</w:t>
      </w:r>
      <w:proofErr w:type="gramEnd"/>
      <w:r w:rsidRPr="00D72730">
        <w:rPr>
          <w:rFonts w:cstheme="minorHAnsi"/>
        </w:rPr>
        <w:t xml:space="preserve"> non-commercial (dGTE1) and a </w:t>
      </w:r>
      <w:proofErr w:type="spellStart"/>
      <w:r w:rsidRPr="00D72730">
        <w:rPr>
          <w:rFonts w:cstheme="minorHAnsi"/>
        </w:rPr>
        <w:t>dGTE</w:t>
      </w:r>
      <w:proofErr w:type="spellEnd"/>
      <w:r w:rsidRPr="00D72730">
        <w:rPr>
          <w:rFonts w:cstheme="minorHAnsi"/>
        </w:rPr>
        <w:t xml:space="preserve"> which is commercially-available (dGTE2). We demonstrate that the two </w:t>
      </w:r>
      <w:proofErr w:type="spellStart"/>
      <w:r w:rsidRPr="00D72730">
        <w:rPr>
          <w:rFonts w:cstheme="minorHAnsi"/>
        </w:rPr>
        <w:t>dGTEs</w:t>
      </w:r>
      <w:proofErr w:type="spellEnd"/>
      <w:r w:rsidRPr="00D72730">
        <w:rPr>
          <w:rFonts w:cstheme="minorHAnsi"/>
        </w:rPr>
        <w:t xml:space="preserve"> display opposing effects on HepG2 cell viability with dGTE2 increasing cell death through apoptosis whilst dGTE1 protects against hydrogen-peroxide induced cell death. These opposing effects are also seen in markers of oxidative stress and mitochondrial dysfunction and were linked to differing chemical compositions of the two </w:t>
      </w:r>
      <w:proofErr w:type="spellStart"/>
      <w:r w:rsidRPr="00D72730">
        <w:rPr>
          <w:rFonts w:cstheme="minorHAnsi"/>
        </w:rPr>
        <w:t>dGTE</w:t>
      </w:r>
      <w:proofErr w:type="spellEnd"/>
      <w:r w:rsidRPr="00D72730">
        <w:rPr>
          <w:rFonts w:cstheme="minorHAnsi"/>
        </w:rPr>
        <w:t xml:space="preserve"> studied. The studies presented here demonstrate the biological and chemical differences in two different compounds which are supposedly the same supplement. This raises questions for manufacturers and consumers, as well as researchers in the field, regarding how one type of supplement can have opposing effects.</w:t>
      </w:r>
    </w:p>
    <w:p w14:paraId="5EF64003" w14:textId="2802922D" w:rsidR="00AD7C90" w:rsidRPr="00D72730" w:rsidRDefault="00AD7C90" w:rsidP="008275D7">
      <w:pPr>
        <w:spacing w:after="0" w:line="480" w:lineRule="auto"/>
        <w:jc w:val="both"/>
        <w:rPr>
          <w:rFonts w:cstheme="minorHAnsi"/>
        </w:rPr>
      </w:pPr>
    </w:p>
    <w:p w14:paraId="492172B6" w14:textId="233A9E90" w:rsidR="00515939" w:rsidRPr="00D72730" w:rsidRDefault="003F548B" w:rsidP="008275D7">
      <w:pPr>
        <w:spacing w:after="0" w:line="480" w:lineRule="auto"/>
        <w:jc w:val="both"/>
        <w:rPr>
          <w:rFonts w:cstheme="minorHAnsi"/>
          <w:b/>
          <w:u w:val="single"/>
        </w:rPr>
      </w:pPr>
      <w:r w:rsidRPr="00D72730">
        <w:rPr>
          <w:rFonts w:cstheme="minorHAnsi"/>
          <w:b/>
          <w:u w:val="single"/>
        </w:rPr>
        <w:br w:type="page"/>
      </w:r>
    </w:p>
    <w:p w14:paraId="798C76FC" w14:textId="5A4C5F4B" w:rsidR="00F9116B" w:rsidRPr="00D72730" w:rsidRDefault="00EB222F" w:rsidP="000E1907">
      <w:pPr>
        <w:pStyle w:val="Heading1"/>
      </w:pPr>
      <w:r w:rsidRPr="00D72730">
        <w:lastRenderedPageBreak/>
        <w:t>Materials and m</w:t>
      </w:r>
      <w:r w:rsidR="00201990" w:rsidRPr="00D72730">
        <w:t>ethods</w:t>
      </w:r>
    </w:p>
    <w:p w14:paraId="7EEC7F46" w14:textId="77777777" w:rsidR="003F63D4" w:rsidRPr="00D72730" w:rsidRDefault="003F63D4" w:rsidP="008275D7">
      <w:pPr>
        <w:spacing w:after="0" w:line="480" w:lineRule="auto"/>
        <w:jc w:val="both"/>
        <w:rPr>
          <w:rFonts w:cstheme="minorHAnsi"/>
          <w:b/>
          <w:i/>
        </w:rPr>
      </w:pPr>
    </w:p>
    <w:p w14:paraId="7B4B90C5" w14:textId="77777777" w:rsidR="00DF0AC9" w:rsidRPr="00D72730" w:rsidRDefault="00DF0AC9" w:rsidP="008275D7">
      <w:pPr>
        <w:spacing w:after="0" w:line="480" w:lineRule="auto"/>
        <w:jc w:val="both"/>
        <w:rPr>
          <w:rFonts w:cstheme="minorHAnsi"/>
          <w:b/>
          <w:i/>
        </w:rPr>
      </w:pPr>
      <w:r w:rsidRPr="00D72730">
        <w:rPr>
          <w:rFonts w:cstheme="minorHAnsi"/>
          <w:b/>
          <w:i/>
        </w:rPr>
        <w:t>Cell lines and reagents</w:t>
      </w:r>
    </w:p>
    <w:p w14:paraId="1CFDC19E" w14:textId="27C6416E" w:rsidR="00DF0AC9" w:rsidRPr="00D72730" w:rsidRDefault="00DF0AC9" w:rsidP="008275D7">
      <w:pPr>
        <w:spacing w:after="0" w:line="480" w:lineRule="auto"/>
        <w:ind w:firstLine="720"/>
        <w:jc w:val="both"/>
        <w:rPr>
          <w:rFonts w:cstheme="minorHAnsi"/>
        </w:rPr>
      </w:pPr>
      <w:r w:rsidRPr="00D72730">
        <w:rPr>
          <w:rFonts w:cstheme="minorHAnsi"/>
        </w:rPr>
        <w:t xml:space="preserve">Human hepatocellular carcinoma cells (HepG2) were purchased from Sigma-Aldrich (Dorset, UK), cultured in Dulbecco’s Minimum Essential Media containing 10% </w:t>
      </w:r>
      <w:proofErr w:type="spellStart"/>
      <w:r w:rsidRPr="00D72730">
        <w:rPr>
          <w:rFonts w:cstheme="minorHAnsi"/>
        </w:rPr>
        <w:t>fetal</w:t>
      </w:r>
      <w:proofErr w:type="spellEnd"/>
      <w:r w:rsidRPr="00D72730">
        <w:rPr>
          <w:rFonts w:cstheme="minorHAnsi"/>
        </w:rPr>
        <w:t xml:space="preserve"> bovine serum, 1% glutamine and 1% penicillin/streptomycin and used between passage 35-50.  DCFDA, glutathione (ab65322), catalase (ab83464) and superoxide dismutase (ab65354) activity assay kits were purchased from Abcam (Cambridge, UK). JC-1 and </w:t>
      </w:r>
      <w:proofErr w:type="spellStart"/>
      <w:r w:rsidRPr="00D72730">
        <w:rPr>
          <w:rFonts w:cstheme="minorHAnsi"/>
        </w:rPr>
        <w:t>MitoSox</w:t>
      </w:r>
      <w:r w:rsidRPr="00D72730">
        <w:rPr>
          <w:rFonts w:cstheme="minorHAnsi"/>
          <w:vertAlign w:val="superscript"/>
        </w:rPr>
        <w:t>TM</w:t>
      </w:r>
      <w:proofErr w:type="spellEnd"/>
      <w:r w:rsidRPr="00D72730">
        <w:rPr>
          <w:rFonts w:cstheme="minorHAnsi"/>
        </w:rPr>
        <w:t xml:space="preserve"> dye was purchased from </w:t>
      </w:r>
      <w:proofErr w:type="spellStart"/>
      <w:r w:rsidRPr="00D72730">
        <w:rPr>
          <w:rFonts w:cstheme="minorHAnsi"/>
        </w:rPr>
        <w:t>ThermoFisher</w:t>
      </w:r>
      <w:proofErr w:type="spellEnd"/>
      <w:r w:rsidRPr="00D72730">
        <w:rPr>
          <w:rFonts w:cstheme="minorHAnsi"/>
        </w:rPr>
        <w:t xml:space="preserve"> Scientific (Hemel Hempstead, UK). Actin antibodies were purchased from Santa Cruz Biotechnology (Santa Cruz, CA).  Annexin V kit was purchased from BD Pharmingen (Wokingham, UK) and the GSH </w:t>
      </w:r>
      <w:proofErr w:type="spellStart"/>
      <w:r w:rsidRPr="00D72730">
        <w:rPr>
          <w:rFonts w:cstheme="minorHAnsi"/>
        </w:rPr>
        <w:t>Bioxytech</w:t>
      </w:r>
      <w:proofErr w:type="spellEnd"/>
      <w:r w:rsidRPr="00D72730">
        <w:rPr>
          <w:rFonts w:cstheme="minorHAnsi"/>
        </w:rPr>
        <w:t xml:space="preserve"> kit, phosphorylated (Thr172) and unphosphorylated AMPK antibodies were obtained from Merck Millipore (Hertfordshire, UK).  The AMPK activity assay kit was purchased from MBL International (Buckingham, UK).  Green tea extract 1 (dGTE1) was sourced from a food ingredient manufacturer whilst dGTE2 was sourced directly from a supplement company as previously described </w:t>
      </w:r>
      <w:r w:rsidRPr="00D72730">
        <w:rPr>
          <w:rFonts w:cstheme="minorHAnsi"/>
        </w:rPr>
        <w:fldChar w:fldCharType="begin"/>
      </w:r>
      <w:r w:rsidR="0018431A">
        <w:rPr>
          <w:rFonts w:cstheme="minorHAnsi"/>
        </w:rPr>
        <w:instrText>ADDIN RW.CITE{{doc:5e1dd070e4b0d3663303280c Roberts,JD 2015}}</w:instrText>
      </w:r>
      <w:r w:rsidRPr="00D72730">
        <w:rPr>
          <w:rFonts w:cstheme="minorHAnsi"/>
        </w:rPr>
        <w:fldChar w:fldCharType="separate"/>
      </w:r>
      <w:r w:rsidR="009D6D5E" w:rsidRPr="009D6D5E">
        <w:rPr>
          <w:rFonts w:ascii="Calibri" w:hAnsi="Calibri" w:cs="Calibri"/>
          <w:bCs/>
        </w:rPr>
        <w:t>[4]</w:t>
      </w:r>
      <w:r w:rsidRPr="00D72730">
        <w:rPr>
          <w:rFonts w:cstheme="minorHAnsi"/>
        </w:rPr>
        <w:fldChar w:fldCharType="end"/>
      </w:r>
      <w:r w:rsidRPr="00D72730">
        <w:rPr>
          <w:rFonts w:cstheme="minorHAnsi"/>
        </w:rPr>
        <w:t xml:space="preserve">.  For confidentiality, brand names have not been included.  All other reagents were purchased from Sigma Aldrich (Dorset, UK). </w:t>
      </w:r>
    </w:p>
    <w:p w14:paraId="4DF97B2D" w14:textId="77777777" w:rsidR="00DF0AC9" w:rsidRPr="00D72730" w:rsidRDefault="00DF0AC9" w:rsidP="008275D7">
      <w:pPr>
        <w:spacing w:after="0" w:line="480" w:lineRule="auto"/>
        <w:jc w:val="both"/>
        <w:rPr>
          <w:rFonts w:cstheme="minorHAnsi"/>
          <w:b/>
          <w:i/>
        </w:rPr>
      </w:pPr>
    </w:p>
    <w:p w14:paraId="76F750B3" w14:textId="7DFA0975" w:rsidR="00DF0AC9" w:rsidRPr="00D72730" w:rsidRDefault="00DF0AC9" w:rsidP="008275D7">
      <w:pPr>
        <w:spacing w:after="0" w:line="480" w:lineRule="auto"/>
        <w:jc w:val="both"/>
        <w:rPr>
          <w:rFonts w:cstheme="minorHAnsi"/>
          <w:b/>
          <w:i/>
        </w:rPr>
      </w:pPr>
      <w:r w:rsidRPr="00D72730">
        <w:rPr>
          <w:rFonts w:cstheme="minorHAnsi"/>
          <w:b/>
          <w:i/>
        </w:rPr>
        <w:t>Preparation of the HepG2 cell treatments</w:t>
      </w:r>
    </w:p>
    <w:p w14:paraId="08DFDDB0" w14:textId="77777777" w:rsidR="00DF0AC9" w:rsidRPr="00D72730" w:rsidRDefault="00DF0AC9" w:rsidP="008275D7">
      <w:pPr>
        <w:spacing w:after="0" w:line="480" w:lineRule="auto"/>
        <w:jc w:val="both"/>
        <w:rPr>
          <w:rFonts w:cstheme="minorHAnsi"/>
        </w:rPr>
      </w:pPr>
      <w:r w:rsidRPr="00D72730">
        <w:rPr>
          <w:rFonts w:cstheme="minorHAnsi"/>
        </w:rPr>
        <w:tab/>
        <w:t xml:space="preserve">Two types of decaffeinated green tea extract were studied: dGTE1 was provided as an anhydrous capsulated powder standardised to 70% for EGCG such that each capsule provided a total of </w:t>
      </w:r>
      <w:bookmarkStart w:id="1" w:name="_Hlk61890635"/>
      <w:r w:rsidRPr="00D72730">
        <w:rPr>
          <w:rFonts w:cstheme="minorHAnsi"/>
        </w:rPr>
        <w:t xml:space="preserve">571 mg </w:t>
      </w:r>
      <w:proofErr w:type="spellStart"/>
      <w:r w:rsidRPr="00D72730">
        <w:rPr>
          <w:rFonts w:cstheme="minorHAnsi"/>
        </w:rPr>
        <w:t>dGTE</w:t>
      </w:r>
      <w:proofErr w:type="spellEnd"/>
      <w:r w:rsidRPr="00D72730">
        <w:rPr>
          <w:rFonts w:cstheme="minorHAnsi"/>
        </w:rPr>
        <w:t>, of which 400 mg was EGCG</w:t>
      </w:r>
      <w:bookmarkEnd w:id="1"/>
      <w:r w:rsidRPr="00D72730">
        <w:rPr>
          <w:rFonts w:cstheme="minorHAnsi"/>
        </w:rPr>
        <w:t xml:space="preserve">. dGTE2 was also provided as an anhydrous capsulated powder standardised to 98% polyphenols such that each capsule provided a total of 725 mg of GTE, of which 326.25 mg was EGCG. In addition, (-)-Epigallocatechin gallate (EGCG) was used for experiments studying ROS, viability, apoptosis, </w:t>
      </w:r>
      <w:proofErr w:type="gramStart"/>
      <w:r w:rsidRPr="00D72730">
        <w:rPr>
          <w:rFonts w:cstheme="minorHAnsi"/>
        </w:rPr>
        <w:t>AMPK</w:t>
      </w:r>
      <w:proofErr w:type="gramEnd"/>
      <w:r w:rsidRPr="00D72730">
        <w:rPr>
          <w:rFonts w:cstheme="minorHAnsi"/>
        </w:rPr>
        <w:t xml:space="preserve"> and mitochondrial function.  dGTE1, dGTE2 and EGCG were prepared as a 1 mg/ml stock in distilled water, warmed to 37 </w:t>
      </w:r>
      <w:proofErr w:type="spellStart"/>
      <w:r w:rsidRPr="00D72730">
        <w:rPr>
          <w:rFonts w:cstheme="minorHAnsi"/>
          <w:vertAlign w:val="superscript"/>
        </w:rPr>
        <w:t>o</w:t>
      </w:r>
      <w:r w:rsidRPr="00D72730">
        <w:rPr>
          <w:rFonts w:cstheme="minorHAnsi"/>
        </w:rPr>
        <w:t>C</w:t>
      </w:r>
      <w:proofErr w:type="spellEnd"/>
      <w:r w:rsidRPr="00D72730">
        <w:rPr>
          <w:rFonts w:cstheme="minorHAnsi"/>
        </w:rPr>
        <w:t xml:space="preserve"> to aid solubilisation, and </w:t>
      </w:r>
      <w:proofErr w:type="gramStart"/>
      <w:r w:rsidRPr="00D72730">
        <w:rPr>
          <w:rFonts w:cstheme="minorHAnsi"/>
        </w:rPr>
        <w:t>sterile-filtered</w:t>
      </w:r>
      <w:proofErr w:type="gramEnd"/>
      <w:r w:rsidRPr="00D72730">
        <w:rPr>
          <w:rFonts w:cstheme="minorHAnsi"/>
        </w:rPr>
        <w:t xml:space="preserve"> prior to use in cell culture.  </w:t>
      </w:r>
    </w:p>
    <w:p w14:paraId="0F4869C1" w14:textId="0FACB99E" w:rsidR="00DF0AC9" w:rsidRPr="00D72730" w:rsidRDefault="00DF0AC9" w:rsidP="008275D7">
      <w:pPr>
        <w:spacing w:after="0" w:line="480" w:lineRule="auto"/>
        <w:jc w:val="both"/>
        <w:rPr>
          <w:rFonts w:cstheme="minorHAnsi"/>
        </w:rPr>
      </w:pPr>
      <w:r w:rsidRPr="00D72730">
        <w:rPr>
          <w:rFonts w:cstheme="minorHAnsi"/>
        </w:rPr>
        <w:lastRenderedPageBreak/>
        <w:tab/>
        <w:t xml:space="preserve">Cells were exposed to dGTE1 or dGTE2 in the presence and absence of hydrogen peroxide (0.8 mM).  Additional experiments were performed with a range of compounds, added at the time of GTE exposure, to assess mechanism. These compounds were: a) the pan-caspase inhibitor, Z-VAD-FMK (10 mM); b) the mitochondrial specific antioxidant </w:t>
      </w:r>
      <w:proofErr w:type="spellStart"/>
      <w:r w:rsidRPr="00D72730">
        <w:rPr>
          <w:rFonts w:cstheme="minorHAnsi"/>
        </w:rPr>
        <w:t>MitoTEMPO</w:t>
      </w:r>
      <w:proofErr w:type="spellEnd"/>
      <w:r w:rsidRPr="00D72730">
        <w:rPr>
          <w:rFonts w:cstheme="minorHAnsi"/>
        </w:rPr>
        <w:t xml:space="preserve"> (5 µM) </w:t>
      </w:r>
      <w:r w:rsidRPr="00D72730">
        <w:rPr>
          <w:rFonts w:cstheme="minorHAnsi"/>
        </w:rPr>
        <w:fldChar w:fldCharType="begin"/>
      </w:r>
      <w:r w:rsidR="0018431A">
        <w:rPr>
          <w:rFonts w:cstheme="minorHAnsi"/>
        </w:rPr>
        <w:instrText>ADDIN RW.CITE{{doc:5e1f12f6e4b0299a031a43cc Figarola,JL 2015}}</w:instrText>
      </w:r>
      <w:r w:rsidRPr="00D72730">
        <w:rPr>
          <w:rFonts w:cstheme="minorHAnsi"/>
        </w:rPr>
        <w:fldChar w:fldCharType="separate"/>
      </w:r>
      <w:r w:rsidR="00763715" w:rsidRPr="00763715">
        <w:rPr>
          <w:rFonts w:ascii="Calibri" w:hAnsi="Calibri" w:cs="Calibri"/>
          <w:bCs/>
        </w:rPr>
        <w:t>[31]</w:t>
      </w:r>
      <w:r w:rsidRPr="00D72730">
        <w:rPr>
          <w:rFonts w:cstheme="minorHAnsi"/>
        </w:rPr>
        <w:fldChar w:fldCharType="end"/>
      </w:r>
      <w:r w:rsidRPr="00D72730">
        <w:rPr>
          <w:rFonts w:cstheme="minorHAnsi"/>
        </w:rPr>
        <w:t xml:space="preserve">; c) Compound C  (7.5 µM) </w:t>
      </w:r>
      <w:proofErr w:type="spellStart"/>
      <w:r w:rsidRPr="00D72730">
        <w:rPr>
          <w:rFonts w:cstheme="minorHAnsi"/>
        </w:rPr>
        <w:t>pretreatment</w:t>
      </w:r>
      <w:proofErr w:type="spellEnd"/>
      <w:r w:rsidRPr="00D72730">
        <w:rPr>
          <w:rFonts w:cstheme="minorHAnsi"/>
        </w:rPr>
        <w:t xml:space="preserve"> for 30 min </w:t>
      </w:r>
      <w:r w:rsidRPr="00D72730">
        <w:rPr>
          <w:rFonts w:eastAsia="Times New Roman" w:cstheme="minorHAnsi"/>
          <w:lang w:eastAsia="en-GB"/>
        </w:rPr>
        <w:t xml:space="preserve"> prior to </w:t>
      </w:r>
      <w:proofErr w:type="spellStart"/>
      <w:r w:rsidRPr="00D72730">
        <w:rPr>
          <w:rFonts w:eastAsia="Times New Roman" w:cstheme="minorHAnsi"/>
          <w:lang w:eastAsia="en-GB"/>
        </w:rPr>
        <w:t>dGTE</w:t>
      </w:r>
      <w:proofErr w:type="spellEnd"/>
      <w:r w:rsidRPr="00D72730">
        <w:rPr>
          <w:rFonts w:eastAsia="Times New Roman" w:cstheme="minorHAnsi"/>
          <w:lang w:eastAsia="en-GB"/>
        </w:rPr>
        <w:t xml:space="preserve"> addition </w:t>
      </w:r>
      <w:r w:rsidRPr="00D72730">
        <w:rPr>
          <w:rFonts w:eastAsia="Times New Roman" w:cstheme="minorHAnsi"/>
          <w:lang w:eastAsia="en-GB"/>
        </w:rPr>
        <w:fldChar w:fldCharType="begin"/>
      </w:r>
      <w:r w:rsidR="0018431A">
        <w:rPr>
          <w:rFonts w:eastAsia="Times New Roman" w:cstheme="minorHAnsi"/>
          <w:lang w:eastAsia="en-GB"/>
        </w:rPr>
        <w:instrText>ADDIN RW.CITE{{doc:5e1f1336e4b0d16f0f6332c0 Jeong,A 2017}}</w:instrText>
      </w:r>
      <w:r w:rsidRPr="00D72730">
        <w:rPr>
          <w:rFonts w:eastAsia="Times New Roman" w:cstheme="minorHAnsi"/>
          <w:lang w:eastAsia="en-GB"/>
        </w:rPr>
        <w:fldChar w:fldCharType="separate"/>
      </w:r>
      <w:r w:rsidR="00763715" w:rsidRPr="00763715">
        <w:rPr>
          <w:rFonts w:ascii="Calibri" w:eastAsia="Times New Roman" w:hAnsi="Calibri" w:cs="Calibri"/>
          <w:bCs/>
          <w:lang w:eastAsia="en-GB"/>
        </w:rPr>
        <w:t>[32]</w:t>
      </w:r>
      <w:r w:rsidRPr="00D72730">
        <w:rPr>
          <w:rFonts w:eastAsia="Times New Roman" w:cstheme="minorHAnsi"/>
          <w:lang w:eastAsia="en-GB"/>
        </w:rPr>
        <w:fldChar w:fldCharType="end"/>
      </w:r>
      <w:r w:rsidRPr="00D72730">
        <w:rPr>
          <w:rFonts w:cstheme="minorHAnsi"/>
        </w:rPr>
        <w:t xml:space="preserve">; d) the antioxidant N-acetyl-cysteine (NAC) (10 mM).  Unless otherwise stated, exposure was at the time of </w:t>
      </w:r>
      <w:proofErr w:type="spellStart"/>
      <w:r w:rsidRPr="00D72730">
        <w:rPr>
          <w:rFonts w:cstheme="minorHAnsi"/>
        </w:rPr>
        <w:t>dGTE</w:t>
      </w:r>
      <w:proofErr w:type="spellEnd"/>
      <w:r w:rsidRPr="00D72730">
        <w:rPr>
          <w:rFonts w:cstheme="minorHAnsi"/>
        </w:rPr>
        <w:t xml:space="preserve"> addition and for 24 h. A DMSO vehicle control was used for all compounds.  In addition, HepG2 cells were cultured in serum-free (SF) media (0% BSA) for 24 h as a positive control for AMPK activity studies. </w:t>
      </w:r>
    </w:p>
    <w:p w14:paraId="680DC928" w14:textId="77777777" w:rsidR="00DF0AC9" w:rsidRPr="00D72730" w:rsidRDefault="00DF0AC9" w:rsidP="008275D7">
      <w:pPr>
        <w:spacing w:after="0" w:line="480" w:lineRule="auto"/>
        <w:jc w:val="both"/>
        <w:rPr>
          <w:rFonts w:cstheme="minorHAnsi"/>
        </w:rPr>
      </w:pPr>
    </w:p>
    <w:p w14:paraId="73EAFEA3" w14:textId="123D2F46" w:rsidR="00DF0AC9" w:rsidRPr="00D72730" w:rsidRDefault="00DF0AC9" w:rsidP="008275D7">
      <w:pPr>
        <w:spacing w:after="0" w:line="480" w:lineRule="auto"/>
        <w:jc w:val="both"/>
        <w:rPr>
          <w:rFonts w:cstheme="minorHAnsi"/>
          <w:b/>
          <w:i/>
        </w:rPr>
      </w:pPr>
      <w:r w:rsidRPr="00D72730">
        <w:rPr>
          <w:rFonts w:cstheme="minorHAnsi"/>
          <w:b/>
          <w:i/>
        </w:rPr>
        <w:t>Annexin V assay</w:t>
      </w:r>
    </w:p>
    <w:p w14:paraId="19379DC4" w14:textId="77777777" w:rsidR="00DF0AC9" w:rsidRPr="00D72730" w:rsidRDefault="00DF0AC9" w:rsidP="008275D7">
      <w:pPr>
        <w:spacing w:after="0" w:line="480" w:lineRule="auto"/>
        <w:jc w:val="both"/>
        <w:rPr>
          <w:rFonts w:cstheme="minorHAnsi"/>
        </w:rPr>
      </w:pPr>
      <w:r w:rsidRPr="00D72730">
        <w:rPr>
          <w:rFonts w:cstheme="minorHAnsi"/>
        </w:rPr>
        <w:tab/>
        <w:t xml:space="preserve">HepG2 cells were grown to 60% confluence in T-25 flasks prior to treatments for 6 h.  Adhered and floating cells were collected and incubated with binding buffer, annexin V and propidium iodide for 15 mins in the dark.  Cells were then analysed with </w:t>
      </w:r>
      <w:proofErr w:type="spellStart"/>
      <w:r w:rsidRPr="00D72730">
        <w:rPr>
          <w:rFonts w:cstheme="minorHAnsi"/>
        </w:rPr>
        <w:t>Accuri</w:t>
      </w:r>
      <w:proofErr w:type="spellEnd"/>
      <w:r w:rsidRPr="00D72730">
        <w:rPr>
          <w:rFonts w:cstheme="minorHAnsi"/>
        </w:rPr>
        <w:t xml:space="preserve"> C6 Flow cytometer (BD Biosciences) and the percentage of positive cells for annexin V was calculated with </w:t>
      </w:r>
      <w:proofErr w:type="spellStart"/>
      <w:r w:rsidRPr="00D72730">
        <w:rPr>
          <w:rFonts w:cstheme="minorHAnsi"/>
        </w:rPr>
        <w:t>FlowJo</w:t>
      </w:r>
      <w:proofErr w:type="spellEnd"/>
      <w:r w:rsidRPr="00D72730">
        <w:rPr>
          <w:rFonts w:cstheme="minorHAnsi"/>
        </w:rPr>
        <w:t xml:space="preserve"> (V10.2, Oregon, USA) to give % apoptosis.  </w:t>
      </w:r>
    </w:p>
    <w:p w14:paraId="05AC2712" w14:textId="77777777" w:rsidR="00DF0AC9" w:rsidRPr="00D72730" w:rsidRDefault="00DF0AC9" w:rsidP="008275D7">
      <w:pPr>
        <w:spacing w:after="0" w:line="480" w:lineRule="auto"/>
        <w:jc w:val="both"/>
        <w:rPr>
          <w:rFonts w:cstheme="minorHAnsi"/>
        </w:rPr>
      </w:pPr>
    </w:p>
    <w:p w14:paraId="3863A03A" w14:textId="383FE116" w:rsidR="00DF0AC9" w:rsidRPr="00D72730" w:rsidRDefault="00DF0AC9" w:rsidP="008275D7">
      <w:pPr>
        <w:spacing w:after="0" w:line="480" w:lineRule="auto"/>
        <w:jc w:val="both"/>
        <w:rPr>
          <w:rFonts w:cstheme="minorHAnsi"/>
          <w:b/>
          <w:i/>
        </w:rPr>
      </w:pPr>
      <w:r w:rsidRPr="00D72730">
        <w:rPr>
          <w:rFonts w:cstheme="minorHAnsi"/>
          <w:b/>
          <w:i/>
        </w:rPr>
        <w:t>Cell viability studies</w:t>
      </w:r>
    </w:p>
    <w:p w14:paraId="61069DDF" w14:textId="77777777" w:rsidR="00DF0AC9" w:rsidRPr="00D72730" w:rsidRDefault="00DF0AC9" w:rsidP="008275D7">
      <w:pPr>
        <w:spacing w:after="0" w:line="480" w:lineRule="auto"/>
        <w:ind w:firstLine="720"/>
        <w:jc w:val="both"/>
        <w:rPr>
          <w:rFonts w:cstheme="minorHAnsi"/>
        </w:rPr>
      </w:pPr>
      <w:r w:rsidRPr="00D72730">
        <w:rPr>
          <w:rFonts w:cstheme="minorHAnsi"/>
        </w:rPr>
        <w:t>HepG2 cell viability was assessed using the Cell Counting Kit-8 (CCK-8).  Cells were exposed to GTEs (range of concentrations), or compound treatments, for 24 h, followed by incubation with CCK-8 reagent for 2 h at 37</w:t>
      </w:r>
      <w:r w:rsidRPr="00D72730">
        <w:rPr>
          <w:rFonts w:cstheme="minorHAnsi"/>
          <w:vertAlign w:val="superscript"/>
        </w:rPr>
        <w:t>o</w:t>
      </w:r>
      <w:r w:rsidRPr="00D72730">
        <w:rPr>
          <w:rFonts w:cstheme="minorHAnsi"/>
        </w:rPr>
        <w:t xml:space="preserve">C.  Absorbance was then assessed at 450 nm using a microplate reader (Tecan Sunrise) and viability was calculated as % normalised to vehicle.  </w:t>
      </w:r>
    </w:p>
    <w:p w14:paraId="55E354D1" w14:textId="77777777" w:rsidR="00DF0AC9" w:rsidRPr="00D72730" w:rsidRDefault="00DF0AC9" w:rsidP="008275D7">
      <w:pPr>
        <w:spacing w:after="0" w:line="480" w:lineRule="auto"/>
        <w:jc w:val="both"/>
        <w:rPr>
          <w:rFonts w:cstheme="minorHAnsi"/>
        </w:rPr>
      </w:pPr>
    </w:p>
    <w:p w14:paraId="0D39C9D8" w14:textId="6DC259E3" w:rsidR="00DF0AC9" w:rsidRPr="00D72730" w:rsidRDefault="00DF0AC9" w:rsidP="008275D7">
      <w:pPr>
        <w:spacing w:after="0" w:line="480" w:lineRule="auto"/>
        <w:jc w:val="both"/>
        <w:rPr>
          <w:rFonts w:cstheme="minorHAnsi"/>
          <w:b/>
          <w:i/>
        </w:rPr>
      </w:pPr>
      <w:r w:rsidRPr="00D72730">
        <w:rPr>
          <w:rFonts w:cstheme="minorHAnsi"/>
          <w:b/>
          <w:i/>
        </w:rPr>
        <w:t>Western blot</w:t>
      </w:r>
    </w:p>
    <w:p w14:paraId="7D0116DE" w14:textId="77777777" w:rsidR="00DF0AC9" w:rsidRPr="00D72730" w:rsidRDefault="00DF0AC9" w:rsidP="008275D7">
      <w:pPr>
        <w:autoSpaceDE w:val="0"/>
        <w:autoSpaceDN w:val="0"/>
        <w:adjustRightInd w:val="0"/>
        <w:spacing w:after="0" w:line="480" w:lineRule="auto"/>
        <w:ind w:firstLine="720"/>
        <w:jc w:val="both"/>
        <w:rPr>
          <w:rFonts w:cstheme="minorHAnsi"/>
          <w:b/>
          <w:i/>
        </w:rPr>
      </w:pPr>
      <w:r w:rsidRPr="00D72730">
        <w:rPr>
          <w:rFonts w:cstheme="minorHAnsi"/>
        </w:rPr>
        <w:t xml:space="preserve">HepG2 cells were exposed to </w:t>
      </w:r>
      <w:proofErr w:type="spellStart"/>
      <w:r w:rsidRPr="00D72730">
        <w:rPr>
          <w:rFonts w:cstheme="minorHAnsi"/>
        </w:rPr>
        <w:t>dGTEs</w:t>
      </w:r>
      <w:proofErr w:type="spellEnd"/>
      <w:r w:rsidRPr="00D72730">
        <w:rPr>
          <w:rFonts w:cstheme="minorHAnsi"/>
        </w:rPr>
        <w:t xml:space="preserve"> (concentrations ranging from 0.001 to 1000 µg.</w:t>
      </w:r>
      <w:proofErr w:type="gramStart"/>
      <w:r w:rsidRPr="00D72730">
        <w:rPr>
          <w:rFonts w:cstheme="minorHAnsi"/>
        </w:rPr>
        <w:t>ml</w:t>
      </w:r>
      <w:r w:rsidRPr="00D72730">
        <w:rPr>
          <w:rFonts w:cstheme="minorHAnsi"/>
          <w:vertAlign w:val="superscript"/>
        </w:rPr>
        <w:t>-1</w:t>
      </w:r>
      <w:proofErr w:type="gramEnd"/>
      <w:r w:rsidRPr="00D72730">
        <w:rPr>
          <w:rFonts w:cstheme="minorHAnsi"/>
        </w:rPr>
        <w:t xml:space="preserve">), or compound treatments, for 24 h. Cells were then lysed with RIPA buffer, resuspended in </w:t>
      </w:r>
      <w:proofErr w:type="spellStart"/>
      <w:r w:rsidRPr="00D72730">
        <w:rPr>
          <w:rFonts w:cstheme="minorHAnsi"/>
        </w:rPr>
        <w:t>Laemmli</w:t>
      </w:r>
      <w:proofErr w:type="spellEnd"/>
      <w:r w:rsidRPr="00D72730">
        <w:rPr>
          <w:rFonts w:cstheme="minorHAnsi"/>
        </w:rPr>
        <w:t xml:space="preserve"> buffer and subjected to immunoblot analysis.  Immunoblot analyses were performed on 10% SDS-PAGEs </w:t>
      </w:r>
      <w:r w:rsidRPr="00D72730">
        <w:rPr>
          <w:rFonts w:cstheme="minorHAnsi"/>
        </w:rPr>
        <w:lastRenderedPageBreak/>
        <w:t>using a primary antibody specific to phosphorylated AMPK (Thr</w:t>
      </w:r>
      <w:r w:rsidRPr="00D72730">
        <w:rPr>
          <w:rFonts w:cstheme="minorHAnsi"/>
          <w:vertAlign w:val="superscript"/>
        </w:rPr>
        <w:t>172</w:t>
      </w:r>
      <w:r w:rsidRPr="00D72730">
        <w:rPr>
          <w:rFonts w:cstheme="minorHAnsi"/>
        </w:rPr>
        <w:t>) or LKB1 (Ser</w:t>
      </w:r>
      <w:r w:rsidRPr="00D72730">
        <w:rPr>
          <w:rFonts w:cstheme="minorHAnsi"/>
          <w:vertAlign w:val="superscript"/>
        </w:rPr>
        <w:t>428</w:t>
      </w:r>
      <w:r w:rsidRPr="00D72730">
        <w:rPr>
          <w:rFonts w:cstheme="minorHAnsi"/>
        </w:rPr>
        <w:t xml:space="preserve">), or caspase 3. Blots were stripped and </w:t>
      </w:r>
      <w:proofErr w:type="spellStart"/>
      <w:r w:rsidRPr="00D72730">
        <w:rPr>
          <w:rFonts w:cstheme="minorHAnsi"/>
        </w:rPr>
        <w:t>reprobed</w:t>
      </w:r>
      <w:proofErr w:type="spellEnd"/>
      <w:r w:rsidRPr="00D72730">
        <w:rPr>
          <w:rFonts w:cstheme="minorHAnsi"/>
        </w:rPr>
        <w:t xml:space="preserve"> for AMPK, LKB1 and β-actin.  All antibodies were used at a dilution of 1:1000 and secondary antibody dilutions of 1:5000.</w:t>
      </w:r>
    </w:p>
    <w:p w14:paraId="2DD733B7" w14:textId="77777777" w:rsidR="00DF0AC9" w:rsidRPr="00D72730" w:rsidRDefault="00DF0AC9" w:rsidP="008275D7">
      <w:pPr>
        <w:spacing w:after="0" w:line="480" w:lineRule="auto"/>
        <w:jc w:val="both"/>
        <w:rPr>
          <w:rFonts w:cstheme="minorHAnsi"/>
          <w:b/>
          <w:i/>
        </w:rPr>
      </w:pPr>
    </w:p>
    <w:p w14:paraId="33E7D111" w14:textId="554AB982" w:rsidR="00DF0AC9" w:rsidRPr="00D72730" w:rsidRDefault="00DF0AC9" w:rsidP="008275D7">
      <w:pPr>
        <w:spacing w:after="0" w:line="480" w:lineRule="auto"/>
        <w:jc w:val="both"/>
        <w:rPr>
          <w:rFonts w:cstheme="minorHAnsi"/>
          <w:b/>
          <w:i/>
        </w:rPr>
      </w:pPr>
      <w:r w:rsidRPr="00D72730">
        <w:rPr>
          <w:rFonts w:cstheme="minorHAnsi"/>
          <w:b/>
          <w:i/>
        </w:rPr>
        <w:t>Cellular and mitochondrial ROS assay</w:t>
      </w:r>
    </w:p>
    <w:p w14:paraId="5F4C4DFE" w14:textId="77777777" w:rsidR="00DF0AC9" w:rsidRPr="00D72730" w:rsidRDefault="00DF0AC9" w:rsidP="008275D7">
      <w:pPr>
        <w:spacing w:after="0" w:line="480" w:lineRule="auto"/>
        <w:jc w:val="both"/>
        <w:rPr>
          <w:rFonts w:cstheme="minorHAnsi"/>
        </w:rPr>
      </w:pPr>
      <w:r w:rsidRPr="00D72730">
        <w:rPr>
          <w:rFonts w:cstheme="minorHAnsi"/>
        </w:rPr>
        <w:tab/>
        <w:t xml:space="preserve">Cellular ROS was assessed using the fluorogenic dye </w:t>
      </w:r>
      <w:r w:rsidRPr="00D72730">
        <w:rPr>
          <w:rFonts w:cstheme="minorHAnsi"/>
          <w:shd w:val="clear" w:color="auto" w:fill="FFFFFF"/>
        </w:rPr>
        <w:t>2',7'–</w:t>
      </w:r>
      <w:proofErr w:type="spellStart"/>
      <w:r w:rsidRPr="00D72730">
        <w:rPr>
          <w:rFonts w:cstheme="minorHAnsi"/>
          <w:shd w:val="clear" w:color="auto" w:fill="FFFFFF"/>
        </w:rPr>
        <w:t>dichlorofluorescin</w:t>
      </w:r>
      <w:proofErr w:type="spellEnd"/>
      <w:r w:rsidRPr="00D72730">
        <w:rPr>
          <w:rFonts w:cstheme="minorHAnsi"/>
          <w:shd w:val="clear" w:color="auto" w:fill="FFFFFF"/>
        </w:rPr>
        <w:t xml:space="preserve"> diacetate (</w:t>
      </w:r>
      <w:r w:rsidRPr="00D72730">
        <w:rPr>
          <w:rFonts w:cstheme="minorHAnsi"/>
        </w:rPr>
        <w:t>DCFDA).  HepG2 cells were plated on black-walled 96-well plate for 24 h followed by exposure to DCFDA (10 µM) for 30 min at 37</w:t>
      </w:r>
      <w:r w:rsidRPr="00D72730">
        <w:rPr>
          <w:rFonts w:cstheme="minorHAnsi"/>
          <w:vertAlign w:val="superscript"/>
        </w:rPr>
        <w:t>o</w:t>
      </w:r>
      <w:r w:rsidRPr="00D72730">
        <w:rPr>
          <w:rFonts w:cstheme="minorHAnsi"/>
        </w:rPr>
        <w:t xml:space="preserve">C in the dark. DCFDA was then rinsed off the cells with PBS and replaced with </w:t>
      </w:r>
      <w:proofErr w:type="spellStart"/>
      <w:r w:rsidRPr="00D72730">
        <w:rPr>
          <w:rFonts w:cstheme="minorHAnsi"/>
        </w:rPr>
        <w:t>dGTEs</w:t>
      </w:r>
      <w:proofErr w:type="spellEnd"/>
      <w:r w:rsidRPr="00D72730">
        <w:rPr>
          <w:rFonts w:cstheme="minorHAnsi"/>
        </w:rPr>
        <w:t xml:space="preserve"> (range of concentrations), or compound treatments, for 2 h.  DCFDA fluorescence was measured at 488 nm using a fluorescent plate reader (Victor, Perkin Elmer).  </w:t>
      </w:r>
    </w:p>
    <w:p w14:paraId="0D58FACB" w14:textId="3747CA84" w:rsidR="00DF0AC9" w:rsidRPr="00D72730" w:rsidRDefault="00DF0AC9" w:rsidP="008275D7">
      <w:pPr>
        <w:spacing w:after="0" w:line="480" w:lineRule="auto"/>
        <w:jc w:val="both"/>
        <w:rPr>
          <w:rFonts w:cstheme="minorHAnsi"/>
        </w:rPr>
      </w:pPr>
      <w:r w:rsidRPr="00D72730">
        <w:rPr>
          <w:rFonts w:cstheme="minorHAnsi"/>
        </w:rPr>
        <w:tab/>
        <w:t xml:space="preserve">Mitochondrial ROS was assessed using the fluorogenic dye, </w:t>
      </w:r>
      <w:proofErr w:type="spellStart"/>
      <w:r w:rsidRPr="00D72730">
        <w:rPr>
          <w:rFonts w:cstheme="minorHAnsi"/>
          <w:shd w:val="clear" w:color="auto" w:fill="FFFFFF"/>
        </w:rPr>
        <w:t>MitoSox</w:t>
      </w:r>
      <w:r w:rsidRPr="00D72730">
        <w:rPr>
          <w:rFonts w:cstheme="minorHAnsi"/>
          <w:bdr w:val="none" w:sz="0" w:space="0" w:color="auto" w:frame="1"/>
          <w:shd w:val="clear" w:color="auto" w:fill="FFFFFF"/>
          <w:vertAlign w:val="superscript"/>
        </w:rPr>
        <w:t>TM</w:t>
      </w:r>
      <w:proofErr w:type="spellEnd"/>
      <w:r w:rsidRPr="00D72730">
        <w:rPr>
          <w:rFonts w:cstheme="minorHAnsi"/>
          <w:shd w:val="clear" w:color="auto" w:fill="FFFFFF"/>
        </w:rPr>
        <w:t xml:space="preserve">.  </w:t>
      </w:r>
      <w:r w:rsidRPr="00D72730">
        <w:rPr>
          <w:rFonts w:cstheme="minorHAnsi"/>
        </w:rPr>
        <w:t xml:space="preserve">HepG2 cells were plated on black-walled 96-well plate for 24 h followed by treatment with dGTE1 and dGTE2 or compound treatments for a further 24 h.  Cells were then washed with PBS and incubated with </w:t>
      </w:r>
      <w:proofErr w:type="spellStart"/>
      <w:r w:rsidRPr="00D72730">
        <w:rPr>
          <w:rFonts w:cstheme="minorHAnsi"/>
          <w:shd w:val="clear" w:color="auto" w:fill="FFFFFF"/>
        </w:rPr>
        <w:t>MitoSox</w:t>
      </w:r>
      <w:r w:rsidRPr="00D72730">
        <w:rPr>
          <w:rFonts w:cstheme="minorHAnsi"/>
          <w:bdr w:val="none" w:sz="0" w:space="0" w:color="auto" w:frame="1"/>
          <w:shd w:val="clear" w:color="auto" w:fill="FFFFFF"/>
          <w:vertAlign w:val="superscript"/>
        </w:rPr>
        <w:t>TM</w:t>
      </w:r>
      <w:proofErr w:type="spellEnd"/>
      <w:r w:rsidRPr="00D72730">
        <w:rPr>
          <w:rFonts w:cstheme="minorHAnsi"/>
          <w:shd w:val="clear" w:color="auto" w:fill="FFFFFF"/>
        </w:rPr>
        <w:t xml:space="preserve"> (5 </w:t>
      </w:r>
      <w:proofErr w:type="spellStart"/>
      <w:r w:rsidRPr="00D72730">
        <w:rPr>
          <w:rFonts w:cstheme="minorHAnsi"/>
          <w:shd w:val="clear" w:color="auto" w:fill="FFFFFF"/>
        </w:rPr>
        <w:t>μ</w:t>
      </w:r>
      <w:r w:rsidRPr="00D72730">
        <w:rPr>
          <w:rStyle w:val="sc"/>
          <w:rFonts w:cstheme="minorHAnsi"/>
          <w:caps/>
          <w:bdr w:val="none" w:sz="0" w:space="0" w:color="auto" w:frame="1"/>
          <w:shd w:val="clear" w:color="auto" w:fill="FFFFFF"/>
        </w:rPr>
        <w:t>M</w:t>
      </w:r>
      <w:proofErr w:type="spellEnd"/>
      <w:r w:rsidRPr="00D72730">
        <w:rPr>
          <w:rFonts w:cstheme="minorHAnsi"/>
          <w:shd w:val="clear" w:color="auto" w:fill="FFFFFF"/>
        </w:rPr>
        <w:t>) for 15 min at 37</w:t>
      </w:r>
      <w:r w:rsidRPr="00D72730">
        <w:rPr>
          <w:rFonts w:cstheme="minorHAnsi"/>
          <w:vertAlign w:val="superscript"/>
        </w:rPr>
        <w:t>o</w:t>
      </w:r>
      <w:r w:rsidRPr="00D72730">
        <w:rPr>
          <w:rFonts w:cstheme="minorHAnsi"/>
          <w:shd w:val="clear" w:color="auto" w:fill="FFFFFF"/>
        </w:rPr>
        <w:t>C. The fluorescence intensity was measured at 590 nm</w:t>
      </w:r>
      <w:r w:rsidRPr="00D72730">
        <w:rPr>
          <w:rFonts w:cstheme="minorHAnsi"/>
        </w:rPr>
        <w:t xml:space="preserve"> using a fluorescent plate reader (Victor, Perkin Elmer) </w:t>
      </w:r>
      <w:r w:rsidRPr="00D72730">
        <w:rPr>
          <w:rFonts w:cstheme="minorHAnsi"/>
        </w:rPr>
        <w:fldChar w:fldCharType="begin"/>
      </w:r>
      <w:r w:rsidR="0018431A">
        <w:rPr>
          <w:rFonts w:cstheme="minorHAnsi"/>
        </w:rPr>
        <w:instrText>ADDIN RW.CITE{{doc:5e1f12f6e4b0299a031a43cc Figarola,JL 2015}}</w:instrText>
      </w:r>
      <w:r w:rsidRPr="00D72730">
        <w:rPr>
          <w:rFonts w:cstheme="minorHAnsi"/>
        </w:rPr>
        <w:fldChar w:fldCharType="separate"/>
      </w:r>
      <w:r w:rsidR="00763715" w:rsidRPr="00763715">
        <w:rPr>
          <w:rFonts w:ascii="Calibri" w:hAnsi="Calibri" w:cs="Calibri"/>
          <w:bCs/>
        </w:rPr>
        <w:t>[31]</w:t>
      </w:r>
      <w:r w:rsidRPr="00D72730">
        <w:rPr>
          <w:rFonts w:cstheme="minorHAnsi"/>
        </w:rPr>
        <w:fldChar w:fldCharType="end"/>
      </w:r>
      <w:r w:rsidRPr="00D72730">
        <w:rPr>
          <w:rFonts w:cstheme="minorHAnsi"/>
        </w:rPr>
        <w:t xml:space="preserve">. </w:t>
      </w:r>
    </w:p>
    <w:p w14:paraId="2999F857" w14:textId="77777777" w:rsidR="00DF0AC9" w:rsidRPr="00D72730" w:rsidRDefault="00DF0AC9" w:rsidP="008275D7">
      <w:pPr>
        <w:spacing w:after="0" w:line="480" w:lineRule="auto"/>
        <w:jc w:val="both"/>
        <w:rPr>
          <w:rFonts w:cstheme="minorHAnsi"/>
        </w:rPr>
      </w:pPr>
    </w:p>
    <w:p w14:paraId="12D8FD19" w14:textId="0918285A" w:rsidR="00DF0AC9" w:rsidRPr="00D72730" w:rsidRDefault="00DF0AC9" w:rsidP="008275D7">
      <w:pPr>
        <w:spacing w:after="0" w:line="480" w:lineRule="auto"/>
        <w:jc w:val="both"/>
        <w:rPr>
          <w:rFonts w:cstheme="minorHAnsi"/>
          <w:b/>
          <w:i/>
          <w:color w:val="202020"/>
          <w:shd w:val="clear" w:color="auto" w:fill="FFFFFF"/>
        </w:rPr>
      </w:pPr>
      <w:r w:rsidRPr="00D72730">
        <w:rPr>
          <w:rFonts w:cstheme="minorHAnsi"/>
          <w:b/>
          <w:i/>
          <w:color w:val="202020"/>
          <w:shd w:val="clear" w:color="auto" w:fill="FFFFFF"/>
        </w:rPr>
        <w:t xml:space="preserve">Determination of </w:t>
      </w:r>
      <w:r w:rsidRPr="00D72730">
        <w:rPr>
          <w:rFonts w:cstheme="minorHAnsi"/>
          <w:b/>
          <w:bCs/>
          <w:i/>
          <w:iCs/>
          <w:color w:val="202020"/>
          <w:shd w:val="clear" w:color="auto" w:fill="FFFFFF"/>
        </w:rPr>
        <w:t>glutathione, catalase and superoxide dismutase activity</w:t>
      </w:r>
      <w:r w:rsidRPr="00D72730">
        <w:rPr>
          <w:rFonts w:cstheme="minorHAnsi"/>
          <w:b/>
          <w:i/>
          <w:color w:val="202020"/>
          <w:shd w:val="clear" w:color="auto" w:fill="FFFFFF"/>
        </w:rPr>
        <w:t>, mitochondria membrane potential and AMPK activity levels</w:t>
      </w:r>
    </w:p>
    <w:p w14:paraId="2972533E" w14:textId="77777777" w:rsidR="00DF0AC9" w:rsidRPr="00D72730" w:rsidRDefault="00DF0AC9" w:rsidP="008275D7">
      <w:pPr>
        <w:spacing w:after="0" w:line="480" w:lineRule="auto"/>
        <w:jc w:val="both"/>
        <w:rPr>
          <w:rFonts w:cstheme="minorHAnsi"/>
          <w:color w:val="202020"/>
          <w:shd w:val="clear" w:color="auto" w:fill="FFFFFF"/>
        </w:rPr>
      </w:pPr>
      <w:r w:rsidRPr="00D72730">
        <w:rPr>
          <w:rFonts w:cstheme="minorHAnsi"/>
          <w:color w:val="202020"/>
          <w:shd w:val="clear" w:color="auto" w:fill="FFFFFF"/>
        </w:rPr>
        <w:tab/>
        <w:t xml:space="preserve">Cellular glutathione (GSH), catalase (CAT) and superoxide dismutase (SOD) activity, mitochondria membrane potential and AMPK activity levels were quantified using </w:t>
      </w:r>
      <w:proofErr w:type="gramStart"/>
      <w:r w:rsidRPr="00D72730">
        <w:rPr>
          <w:rFonts w:cstheme="minorHAnsi"/>
          <w:color w:val="202020"/>
          <w:shd w:val="clear" w:color="auto" w:fill="FFFFFF"/>
        </w:rPr>
        <w:t>commercially-available</w:t>
      </w:r>
      <w:proofErr w:type="gramEnd"/>
      <w:r w:rsidRPr="00D72730">
        <w:rPr>
          <w:rFonts w:cstheme="minorHAnsi"/>
          <w:color w:val="202020"/>
          <w:shd w:val="clear" w:color="auto" w:fill="FFFFFF"/>
        </w:rPr>
        <w:t xml:space="preserve"> kits.  For all kits, HepG2 cells were plated in a 96-well plate and exposed to </w:t>
      </w:r>
      <w:proofErr w:type="spellStart"/>
      <w:r w:rsidRPr="00D72730">
        <w:rPr>
          <w:rFonts w:cstheme="minorHAnsi"/>
          <w:color w:val="202020"/>
          <w:shd w:val="clear" w:color="auto" w:fill="FFFFFF"/>
        </w:rPr>
        <w:t>d</w:t>
      </w:r>
      <w:r w:rsidRPr="00D72730">
        <w:rPr>
          <w:rFonts w:cstheme="minorHAnsi"/>
        </w:rPr>
        <w:t>GTEs</w:t>
      </w:r>
      <w:proofErr w:type="spellEnd"/>
      <w:r w:rsidRPr="00D72730">
        <w:rPr>
          <w:rFonts w:cstheme="minorHAnsi"/>
        </w:rPr>
        <w:t xml:space="preserve"> (concentrations ranging from 0.001 to 1000 µg.ml</w:t>
      </w:r>
      <w:r w:rsidRPr="00D72730">
        <w:rPr>
          <w:rFonts w:cstheme="minorHAnsi"/>
          <w:vertAlign w:val="superscript"/>
        </w:rPr>
        <w:t>-1</w:t>
      </w:r>
      <w:r w:rsidRPr="00D72730">
        <w:rPr>
          <w:rFonts w:cstheme="minorHAnsi"/>
        </w:rPr>
        <w:t>), or compound treatments, for 24 h.</w:t>
      </w:r>
      <w:r w:rsidRPr="00D72730">
        <w:rPr>
          <w:rFonts w:cstheme="minorHAnsi"/>
          <w:color w:val="202020"/>
          <w:shd w:val="clear" w:color="auto" w:fill="FFFFFF"/>
        </w:rPr>
        <w:t xml:space="preserve"> The assays were performed as per the manufacturer’s protocol and absorbance was measured at 450nm (SOD and AMPK activity) and 570nm (CAT) using a microplate reader (Victor, Perkin Elmer).  For the GSH activity kit, levels of the </w:t>
      </w:r>
      <w:proofErr w:type="spellStart"/>
      <w:r w:rsidRPr="00D72730">
        <w:rPr>
          <w:rFonts w:cstheme="minorHAnsi"/>
          <w:color w:val="202020"/>
          <w:shd w:val="clear" w:color="auto" w:fill="FFFFFF"/>
        </w:rPr>
        <w:t>monochlorobimane</w:t>
      </w:r>
      <w:proofErr w:type="spellEnd"/>
      <w:r w:rsidRPr="00D72730">
        <w:rPr>
          <w:rFonts w:cstheme="minorHAnsi"/>
          <w:color w:val="202020"/>
          <w:shd w:val="clear" w:color="auto" w:fill="FFFFFF"/>
        </w:rPr>
        <w:t xml:space="preserve"> dye bound to reduced or oxidised glutathione are quantified by fluorescence measured at an excitation and emission of 380/461nm using a fluorescent </w:t>
      </w:r>
      <w:r w:rsidRPr="00D72730">
        <w:rPr>
          <w:rFonts w:cstheme="minorHAnsi"/>
          <w:color w:val="202020"/>
          <w:shd w:val="clear" w:color="auto" w:fill="FFFFFF"/>
        </w:rPr>
        <w:lastRenderedPageBreak/>
        <w:t xml:space="preserve">plate reader (Victor, Perkin Elmer).   For the JC-1 mitochondrial membrane potential assay, JC-1 fluorescence was measured at an excitation and emission of 520nm and 590nm </w:t>
      </w:r>
      <w:bookmarkStart w:id="2" w:name="OLE_LINK2"/>
      <w:r w:rsidRPr="00D72730">
        <w:rPr>
          <w:rFonts w:cstheme="minorHAnsi"/>
          <w:color w:val="202020"/>
          <w:shd w:val="clear" w:color="auto" w:fill="FFFFFF"/>
        </w:rPr>
        <w:t>using a fluorescent plate reader (Victor, Perkin Elmer)</w:t>
      </w:r>
      <w:bookmarkEnd w:id="2"/>
      <w:r w:rsidRPr="00D72730">
        <w:rPr>
          <w:rFonts w:cstheme="minorHAnsi"/>
          <w:color w:val="202020"/>
          <w:shd w:val="clear" w:color="auto" w:fill="FFFFFF"/>
        </w:rPr>
        <w:t>.</w:t>
      </w:r>
      <w:r w:rsidRPr="00D72730">
        <w:rPr>
          <w:rFonts w:cstheme="minorHAnsi"/>
        </w:rPr>
        <w:t xml:space="preserve"> The change of mitochondrial membrane potential was measured as the ratio between aggregate (</w:t>
      </w:r>
      <w:r w:rsidRPr="00D72730">
        <w:rPr>
          <w:rFonts w:cstheme="minorHAnsi"/>
          <w:color w:val="202020"/>
          <w:shd w:val="clear" w:color="auto" w:fill="FFFFFF"/>
        </w:rPr>
        <w:t>520nm</w:t>
      </w:r>
      <w:r w:rsidRPr="00D72730">
        <w:rPr>
          <w:rFonts w:cstheme="minorHAnsi"/>
        </w:rPr>
        <w:t>) and monomeric forms (</w:t>
      </w:r>
      <w:r w:rsidRPr="00D72730">
        <w:rPr>
          <w:rFonts w:cstheme="minorHAnsi"/>
          <w:color w:val="202020"/>
          <w:shd w:val="clear" w:color="auto" w:fill="FFFFFF"/>
        </w:rPr>
        <w:t>590nm</w:t>
      </w:r>
      <w:r w:rsidRPr="00D72730">
        <w:rPr>
          <w:rFonts w:cstheme="minorHAnsi"/>
        </w:rPr>
        <w:t>) of JC-1. Increased ratios are indicative of mitochondrial membrane depolarisation (</w:t>
      </w:r>
      <w:proofErr w:type="spellStart"/>
      <w:r w:rsidRPr="00D72730">
        <w:rPr>
          <w:rFonts w:cstheme="minorHAnsi"/>
        </w:rPr>
        <w:t>ΔΨm</w:t>
      </w:r>
      <w:proofErr w:type="spellEnd"/>
      <w:r w:rsidRPr="00D72730">
        <w:rPr>
          <w:rFonts w:cstheme="minorHAnsi"/>
        </w:rPr>
        <w:t>).</w:t>
      </w:r>
    </w:p>
    <w:p w14:paraId="21F03CFA" w14:textId="77777777" w:rsidR="00DF0AC9" w:rsidRPr="00D72730" w:rsidRDefault="00DF0AC9" w:rsidP="008275D7">
      <w:pPr>
        <w:spacing w:after="0" w:line="480" w:lineRule="auto"/>
        <w:jc w:val="both"/>
        <w:rPr>
          <w:rFonts w:cstheme="minorHAnsi"/>
          <w:b/>
          <w:i/>
          <w:color w:val="202020"/>
          <w:shd w:val="clear" w:color="auto" w:fill="FFFFFF"/>
        </w:rPr>
      </w:pPr>
    </w:p>
    <w:p w14:paraId="1860194A" w14:textId="6B0B7669" w:rsidR="00DF0AC9" w:rsidRPr="00D72730" w:rsidRDefault="00DF0AC9" w:rsidP="008275D7">
      <w:pPr>
        <w:spacing w:after="0" w:line="480" w:lineRule="auto"/>
        <w:jc w:val="both"/>
        <w:rPr>
          <w:rFonts w:cstheme="minorHAnsi"/>
          <w:b/>
          <w:i/>
          <w:color w:val="202020"/>
          <w:shd w:val="clear" w:color="auto" w:fill="FFFFFF"/>
        </w:rPr>
      </w:pPr>
      <w:r w:rsidRPr="00D72730">
        <w:rPr>
          <w:rFonts w:cstheme="minorHAnsi"/>
          <w:b/>
          <w:i/>
          <w:color w:val="202020"/>
          <w:shd w:val="clear" w:color="auto" w:fill="FFFFFF"/>
        </w:rPr>
        <w:t xml:space="preserve">Caspase 3 activity assay </w:t>
      </w:r>
    </w:p>
    <w:p w14:paraId="39B6F6E3" w14:textId="77777777" w:rsidR="00DF0AC9" w:rsidRPr="00D72730" w:rsidRDefault="00DF0AC9" w:rsidP="008275D7">
      <w:pPr>
        <w:spacing w:after="0" w:line="480" w:lineRule="auto"/>
        <w:ind w:firstLine="720"/>
        <w:jc w:val="both"/>
        <w:rPr>
          <w:rFonts w:cstheme="minorHAnsi"/>
        </w:rPr>
      </w:pPr>
      <w:r w:rsidRPr="00D72730">
        <w:rPr>
          <w:rFonts w:cstheme="minorHAnsi"/>
        </w:rPr>
        <w:t>Caspase 3 activity was assessed in the presence and absence of dGTE1 and dGTE2. Cells were harvested into caspase-3 lysis buffer (10mM HEPES pH 7.5, 40mM β-glycerophosphate, 50mM NaCl, 2mM MgCl2, 5mM EGTA, and pH adjusted to 7.5) at 4</w:t>
      </w:r>
      <w:r w:rsidRPr="00D72730">
        <w:rPr>
          <w:rFonts w:cstheme="minorHAnsi"/>
          <w:vertAlign w:val="superscript"/>
        </w:rPr>
        <w:t>o</w:t>
      </w:r>
      <w:r w:rsidRPr="00D72730">
        <w:rPr>
          <w:rFonts w:cstheme="minorHAnsi"/>
        </w:rPr>
        <w:t>C. Collected cells were lysed using a series of three freeze-thaw cycles prior to centrifugation at 15,000g for 10 minutes at 4°C. 75µg protein was then incubated with the reaction buffer (40mM HEPES pH 7.5, 20% glycerol, and 4mM DTT, 50µM Ac-DEVD-AMC) at 37°C for 1 hour. Cleavage of Ac-DEVD-AMC was measured as pmol·mg</w:t>
      </w:r>
      <w:r w:rsidRPr="00D72730">
        <w:rPr>
          <w:rFonts w:cstheme="minorHAnsi"/>
          <w:vertAlign w:val="superscript"/>
        </w:rPr>
        <w:t>-1</w:t>
      </w:r>
      <w:r w:rsidRPr="00D72730">
        <w:rPr>
          <w:rFonts w:cstheme="minorHAnsi"/>
        </w:rPr>
        <w:t>·min</w:t>
      </w:r>
      <w:r w:rsidRPr="00D72730">
        <w:rPr>
          <w:rFonts w:cstheme="minorHAnsi"/>
          <w:vertAlign w:val="superscript"/>
        </w:rPr>
        <w:t>-1</w:t>
      </w:r>
      <w:r w:rsidRPr="00D72730">
        <w:rPr>
          <w:rFonts w:cstheme="minorHAnsi"/>
        </w:rPr>
        <w:t xml:space="preserve"> using the N-Acetyl-Asp-Glu-Val-Asp-7-amido-4-methylcoumarin fluorogenic assay. </w:t>
      </w:r>
    </w:p>
    <w:p w14:paraId="3B2A357C" w14:textId="77777777" w:rsidR="00DF0AC9" w:rsidRPr="00D72730" w:rsidRDefault="00DF0AC9" w:rsidP="008275D7">
      <w:pPr>
        <w:spacing w:after="0" w:line="480" w:lineRule="auto"/>
        <w:jc w:val="both"/>
        <w:rPr>
          <w:rFonts w:cstheme="minorHAnsi"/>
          <w:b/>
          <w:i/>
        </w:rPr>
      </w:pPr>
    </w:p>
    <w:p w14:paraId="5D52B9C6" w14:textId="6EB161D1" w:rsidR="00DF0AC9" w:rsidRPr="00D72730" w:rsidRDefault="00DF0AC9" w:rsidP="008275D7">
      <w:pPr>
        <w:spacing w:after="0" w:line="480" w:lineRule="auto"/>
        <w:jc w:val="both"/>
        <w:rPr>
          <w:rFonts w:cstheme="minorHAnsi"/>
          <w:b/>
          <w:i/>
        </w:rPr>
      </w:pPr>
      <w:r w:rsidRPr="00D72730">
        <w:rPr>
          <w:rFonts w:cstheme="minorHAnsi"/>
          <w:b/>
          <w:i/>
        </w:rPr>
        <w:t>Bioavailability study</w:t>
      </w:r>
    </w:p>
    <w:p w14:paraId="49ADD811" w14:textId="77777777" w:rsidR="00DF0AC9" w:rsidRPr="00D72730" w:rsidRDefault="00DF0AC9" w:rsidP="008275D7">
      <w:pPr>
        <w:spacing w:after="0" w:line="480" w:lineRule="auto"/>
        <w:jc w:val="both"/>
        <w:rPr>
          <w:rFonts w:cstheme="minorHAnsi"/>
        </w:rPr>
      </w:pPr>
      <w:r w:rsidRPr="00D72730">
        <w:rPr>
          <w:rFonts w:cstheme="minorHAnsi"/>
        </w:rPr>
        <w:tab/>
        <w:t xml:space="preserve">To investigate the bioavailability of </w:t>
      </w:r>
      <w:proofErr w:type="spellStart"/>
      <w:r w:rsidRPr="00D72730">
        <w:rPr>
          <w:rFonts w:cstheme="minorHAnsi"/>
        </w:rPr>
        <w:t>dGTE</w:t>
      </w:r>
      <w:proofErr w:type="spellEnd"/>
      <w:r w:rsidRPr="00D72730">
        <w:rPr>
          <w:rFonts w:cstheme="minorHAnsi"/>
        </w:rPr>
        <w:t>, a prior pilot study was carried out with healthy volunteers.  Following approval from the University of Hertfordshire, Life and Medical Sciences Ethics Committee (No. LS5/1/11P), 13 volunteers were recruited from personal contacts. All participants were required to be regularly engaged in physical exercise (&gt; 2 times per week), 18-25 years, in good general health (confirmed via a health screen questionnaire), with no known cardiovascular or metabolic abnormalities.  Participants were required to have no known sensitivity to tea products, and not be consuming any nutritional supplements or medications which could conflict with the study parameters (</w:t>
      </w:r>
      <w:proofErr w:type="gramStart"/>
      <w:r w:rsidRPr="00D72730">
        <w:rPr>
          <w:rFonts w:cstheme="minorHAnsi"/>
        </w:rPr>
        <w:t>e.g.</w:t>
      </w:r>
      <w:proofErr w:type="gramEnd"/>
      <w:r w:rsidRPr="00D72730">
        <w:rPr>
          <w:rFonts w:cstheme="minorHAnsi"/>
        </w:rPr>
        <w:t xml:space="preserve"> caffeine, green tea extracts).  All participants were required to provide written, informed consent prior to study inclusion. </w:t>
      </w:r>
    </w:p>
    <w:p w14:paraId="2D46D6AC" w14:textId="67BC7ED6" w:rsidR="00DF0AC9" w:rsidRPr="00D72730" w:rsidRDefault="00DF0AC9" w:rsidP="008275D7">
      <w:pPr>
        <w:spacing w:after="0" w:line="480" w:lineRule="auto"/>
        <w:jc w:val="both"/>
        <w:rPr>
          <w:rFonts w:cstheme="minorHAnsi"/>
        </w:rPr>
      </w:pPr>
      <w:r w:rsidRPr="00D72730">
        <w:rPr>
          <w:rFonts w:cstheme="minorHAnsi"/>
        </w:rPr>
        <w:lastRenderedPageBreak/>
        <w:tab/>
        <w:t>Eleven participants (9 male, 2 female) took part in the study (M ± SD: age: 21 ± 1 years; height: 1.77 ± 0.09 cm; body mass: 75.07 ± 7.52 kg; body mass index (BMI): 23.9 ± 2.2 kg·m</w:t>
      </w:r>
      <w:r w:rsidRPr="00D72730">
        <w:rPr>
          <w:rFonts w:cstheme="minorHAnsi"/>
          <w:vertAlign w:val="superscript"/>
        </w:rPr>
        <w:t>2</w:t>
      </w:r>
      <w:r w:rsidRPr="00D72730">
        <w:rPr>
          <w:rFonts w:cstheme="minorHAnsi"/>
        </w:rPr>
        <w:t>) and were instructed to refrain from consuming caffeinated and polyphenol-rich products (</w:t>
      </w:r>
      <w:proofErr w:type="gramStart"/>
      <w:r w:rsidRPr="00D72730">
        <w:rPr>
          <w:rFonts w:cstheme="minorHAnsi"/>
        </w:rPr>
        <w:t>e.g.</w:t>
      </w:r>
      <w:proofErr w:type="gramEnd"/>
      <w:r w:rsidRPr="00D72730">
        <w:rPr>
          <w:rFonts w:cstheme="minorHAnsi"/>
        </w:rPr>
        <w:t xml:space="preserve"> tea, coffee, chocolate, green vegetables, onions, fruit) for at least 24 h prior to each test visit.  All </w:t>
      </w:r>
      <w:proofErr w:type="gramStart"/>
      <w:r w:rsidRPr="00D72730">
        <w:rPr>
          <w:rFonts w:cstheme="minorHAnsi"/>
        </w:rPr>
        <w:t>testing</w:t>
      </w:r>
      <w:proofErr w:type="gramEnd"/>
      <w:r w:rsidRPr="00D72730">
        <w:rPr>
          <w:rFonts w:cstheme="minorHAnsi"/>
        </w:rPr>
        <w:t xml:space="preserve"> took place at the University of Hertfordshire, Human Physiology Laboratory. For each visit, following a standardised overnight fast (~12 h), participants were required to rest in a seated position for a venous whole blood sample collected into 4 ml K3EDTA Vacutainers (Greiner Bio-One GmbH, </w:t>
      </w:r>
      <w:proofErr w:type="spellStart"/>
      <w:r w:rsidRPr="00D72730">
        <w:rPr>
          <w:rFonts w:cstheme="minorHAnsi"/>
        </w:rPr>
        <w:t>Kremsmunster</w:t>
      </w:r>
      <w:proofErr w:type="spellEnd"/>
      <w:r w:rsidRPr="00D72730">
        <w:rPr>
          <w:rFonts w:cstheme="minorHAnsi"/>
        </w:rPr>
        <w:t>, Austria) by a qualified phlebotomist. Samples were centrifuged for 10 mins at 2000 rpm, with plasma immediately frozen at −80°C for later analysis. EGCG content of plasma was analysed using liquid chromatography, tandem mass spectrometry (LC/MS/MS) by ABS Laboratories Ltd (</w:t>
      </w:r>
      <w:proofErr w:type="spellStart"/>
      <w:r w:rsidRPr="00D72730">
        <w:rPr>
          <w:rFonts w:cstheme="minorHAnsi"/>
        </w:rPr>
        <w:t>BioPark</w:t>
      </w:r>
      <w:proofErr w:type="spellEnd"/>
      <w:r w:rsidRPr="00D72730">
        <w:rPr>
          <w:rFonts w:cstheme="minorHAnsi"/>
        </w:rPr>
        <w:t xml:space="preserve">, Welwyn Garden City) as previously described </w:t>
      </w:r>
      <w:r w:rsidRPr="00D72730">
        <w:rPr>
          <w:rFonts w:cstheme="minorHAnsi"/>
        </w:rPr>
        <w:fldChar w:fldCharType="begin"/>
      </w:r>
      <w:r w:rsidR="0018431A">
        <w:rPr>
          <w:rFonts w:cstheme="minorHAnsi"/>
        </w:rPr>
        <w:instrText>ADDIN RW.CITE{{doc:600810238f08bff6d22e6b83 Mata-BilbaoMde,L 2007}}</w:instrText>
      </w:r>
      <w:r w:rsidRPr="00D72730">
        <w:rPr>
          <w:rFonts w:cstheme="minorHAnsi"/>
        </w:rPr>
        <w:fldChar w:fldCharType="separate"/>
      </w:r>
      <w:r w:rsidR="00763715" w:rsidRPr="00763715">
        <w:rPr>
          <w:rFonts w:ascii="Calibri" w:hAnsi="Calibri" w:cs="Calibri"/>
          <w:bCs/>
        </w:rPr>
        <w:t>[33]</w:t>
      </w:r>
      <w:r w:rsidRPr="00D72730">
        <w:rPr>
          <w:rFonts w:cstheme="minorHAnsi"/>
        </w:rPr>
        <w:fldChar w:fldCharType="end"/>
      </w:r>
      <w:r w:rsidRPr="00D72730">
        <w:rPr>
          <w:rFonts w:cstheme="minorHAnsi"/>
        </w:rPr>
        <w:t xml:space="preserve">. </w:t>
      </w:r>
    </w:p>
    <w:p w14:paraId="11A65DCD" w14:textId="77777777" w:rsidR="00DF0AC9" w:rsidRPr="00D72730" w:rsidRDefault="00DF0AC9" w:rsidP="008275D7">
      <w:pPr>
        <w:spacing w:after="0" w:line="480" w:lineRule="auto"/>
        <w:ind w:firstLine="720"/>
        <w:jc w:val="both"/>
        <w:rPr>
          <w:rFonts w:cstheme="minorHAnsi"/>
        </w:rPr>
      </w:pPr>
      <w:r w:rsidRPr="00D72730">
        <w:rPr>
          <w:rFonts w:cstheme="minorHAnsi"/>
        </w:rPr>
        <w:t>Following the initial blood sample, participants were fed a low polyphenol meal with 400 ml water, along with consumption of 571 mg capsulated dGTE1 or a lipid-coated control supplement. Further blood samples were collected at 2, 4 and 6 hours post consumption. Trials were undertaken in a randomised, blinded manner.</w:t>
      </w:r>
    </w:p>
    <w:p w14:paraId="366948BB" w14:textId="77777777" w:rsidR="00DF0AC9" w:rsidRPr="00D72730" w:rsidRDefault="00DF0AC9" w:rsidP="008275D7">
      <w:pPr>
        <w:spacing w:after="0" w:line="480" w:lineRule="auto"/>
        <w:jc w:val="both"/>
        <w:rPr>
          <w:rFonts w:cstheme="minorHAnsi"/>
        </w:rPr>
      </w:pPr>
    </w:p>
    <w:p w14:paraId="0017FDD0" w14:textId="301D62B0" w:rsidR="00DF0AC9" w:rsidRPr="00D72730" w:rsidRDefault="00DF0AC9" w:rsidP="008275D7">
      <w:pPr>
        <w:spacing w:after="0" w:line="480" w:lineRule="auto"/>
        <w:jc w:val="both"/>
        <w:rPr>
          <w:rFonts w:cstheme="minorHAnsi"/>
          <w:b/>
          <w:i/>
        </w:rPr>
      </w:pPr>
      <w:r w:rsidRPr="00D72730">
        <w:rPr>
          <w:rFonts w:cstheme="minorHAnsi"/>
          <w:b/>
          <w:i/>
        </w:rPr>
        <w:t xml:space="preserve">GC-MS analysis of </w:t>
      </w:r>
      <w:proofErr w:type="spellStart"/>
      <w:r w:rsidRPr="00D72730">
        <w:rPr>
          <w:rFonts w:cstheme="minorHAnsi"/>
          <w:b/>
          <w:i/>
        </w:rPr>
        <w:t>dGTE</w:t>
      </w:r>
      <w:proofErr w:type="spellEnd"/>
    </w:p>
    <w:p w14:paraId="3D4A097C" w14:textId="77777777" w:rsidR="00DD031C" w:rsidRPr="00D72730" w:rsidRDefault="00DF0AC9" w:rsidP="008275D7">
      <w:pPr>
        <w:spacing w:after="0" w:line="480" w:lineRule="auto"/>
        <w:jc w:val="both"/>
        <w:rPr>
          <w:rFonts w:cstheme="minorHAnsi"/>
          <w:bCs/>
          <w:iCs/>
        </w:rPr>
      </w:pPr>
      <w:r w:rsidRPr="00D72730">
        <w:rPr>
          <w:rFonts w:cstheme="minorHAnsi"/>
          <w:bCs/>
          <w:iCs/>
        </w:rPr>
        <w:tab/>
        <w:t xml:space="preserve">dGTE1 and dGTE2 samples were prepared to 100mg/ml concentration in methanol (100%) by vortex for 1 min. Undissolved content was separated by centrifugation at 14,000 rpm for 10 mins and 100 µl of the clear solvent layer was added to 1 ml of methanol in a fresh tube followed by repeat centrifugation. A 50 µl aliquot of the clear solvent layer was transferred to a glass vial, the solvent was </w:t>
      </w:r>
      <w:proofErr w:type="gramStart"/>
      <w:r w:rsidRPr="00D72730">
        <w:rPr>
          <w:rFonts w:cstheme="minorHAnsi"/>
          <w:bCs/>
          <w:iCs/>
        </w:rPr>
        <w:t>evaporated</w:t>
      </w:r>
      <w:proofErr w:type="gramEnd"/>
      <w:r w:rsidRPr="00D72730">
        <w:rPr>
          <w:rFonts w:cstheme="minorHAnsi"/>
          <w:bCs/>
          <w:iCs/>
        </w:rPr>
        <w:t xml:space="preserve"> and content reconstituted in 50 µl of the internal marker, </w:t>
      </w:r>
      <w:proofErr w:type="spellStart"/>
      <w:r w:rsidRPr="00D72730">
        <w:rPr>
          <w:rFonts w:cstheme="minorHAnsi"/>
          <w:bCs/>
          <w:iCs/>
        </w:rPr>
        <w:t>leucomalachite</w:t>
      </w:r>
      <w:proofErr w:type="spellEnd"/>
      <w:r w:rsidRPr="00D72730">
        <w:rPr>
          <w:rFonts w:cstheme="minorHAnsi"/>
          <w:bCs/>
          <w:iCs/>
        </w:rPr>
        <w:t xml:space="preserve"> green (LMG, 50 µg/ml). This sample was analysed using GC-MS using the Shimadzu QP2010 with the parameters in table 1.  Experiments were performed in triplicate, with sample preparation being repeated 2 times and 2 separate analyses performed, to ensure accuracy of readings.  Identification of compounds was </w:t>
      </w:r>
      <w:r w:rsidRPr="00D72730">
        <w:rPr>
          <w:rFonts w:cstheme="minorHAnsi"/>
          <w:bCs/>
          <w:iCs/>
        </w:rPr>
        <w:lastRenderedPageBreak/>
        <w:t>based on probability-matching of mass spectra using a computer library (NIST 2011, www.nist.gov, USA): results are to be intended as qualitative.</w:t>
      </w:r>
    </w:p>
    <w:p w14:paraId="1FFB8E65" w14:textId="77777777" w:rsidR="00DD031C" w:rsidRPr="00D72730" w:rsidRDefault="00DD031C" w:rsidP="008275D7">
      <w:pPr>
        <w:spacing w:after="0" w:line="480" w:lineRule="auto"/>
        <w:jc w:val="both"/>
        <w:rPr>
          <w:rFonts w:cstheme="minorHAnsi"/>
          <w:bCs/>
          <w:iCs/>
        </w:rPr>
      </w:pPr>
    </w:p>
    <w:p w14:paraId="1CED2F82" w14:textId="7AAC672B" w:rsidR="00DF0AC9" w:rsidRPr="00D72730" w:rsidRDefault="00DF0AC9" w:rsidP="008275D7">
      <w:pPr>
        <w:spacing w:after="0" w:line="480" w:lineRule="auto"/>
        <w:jc w:val="both"/>
        <w:rPr>
          <w:rFonts w:cstheme="minorHAnsi"/>
          <w:b/>
          <w:i/>
        </w:rPr>
      </w:pPr>
      <w:r w:rsidRPr="00D72730">
        <w:rPr>
          <w:rFonts w:cstheme="minorHAnsi"/>
          <w:b/>
          <w:i/>
        </w:rPr>
        <w:t>Statistical analysis</w:t>
      </w:r>
    </w:p>
    <w:p w14:paraId="52443F9B" w14:textId="3C54AA43" w:rsidR="00DF0AC9" w:rsidRPr="00D72730" w:rsidRDefault="00DF0AC9" w:rsidP="008275D7">
      <w:pPr>
        <w:spacing w:after="0" w:line="480" w:lineRule="auto"/>
        <w:ind w:firstLine="510"/>
        <w:jc w:val="both"/>
        <w:rPr>
          <w:rFonts w:cstheme="minorHAnsi"/>
        </w:rPr>
      </w:pPr>
      <w:r w:rsidRPr="00D72730">
        <w:rPr>
          <w:rFonts w:cstheme="minorHAnsi"/>
        </w:rPr>
        <w:t>The experimental number is presented in the legend for each experiment. For two groups, the variance in data sets was analysed using the Mann-Whitney test followed by the T-test.  For three or more groups, variance was assessed by using Bartlett’s test with data sets not reaching significance studied by Kruskal-Wallis test followed by Dunn’s test. For all other data sets, differences among the means were tested for significance in all experiments by ANOVA with Tukey’s range significance difference test or Bonferroni assessment (bioavailability study). Significance was reached when p &lt; 0.05. Values are presented as mean ± standard error mean (S.E.M.).</w:t>
      </w:r>
    </w:p>
    <w:p w14:paraId="3CC953F2" w14:textId="77777777" w:rsidR="00910D76" w:rsidRPr="00D72730" w:rsidRDefault="00910D76" w:rsidP="008275D7">
      <w:pPr>
        <w:spacing w:after="0" w:line="480" w:lineRule="auto"/>
        <w:jc w:val="both"/>
        <w:rPr>
          <w:rFonts w:cstheme="minorHAnsi"/>
        </w:rPr>
      </w:pPr>
    </w:p>
    <w:p w14:paraId="1714B132" w14:textId="11716940" w:rsidR="00910D76" w:rsidRPr="00443BA3" w:rsidRDefault="00910D76" w:rsidP="000E1907">
      <w:pPr>
        <w:pStyle w:val="Heading1"/>
      </w:pPr>
      <w:r w:rsidRPr="00443BA3">
        <w:t>Results</w:t>
      </w:r>
    </w:p>
    <w:p w14:paraId="5ED0E1C2" w14:textId="77777777" w:rsidR="00910D76" w:rsidRPr="00D72730" w:rsidRDefault="00910D76" w:rsidP="008275D7">
      <w:pPr>
        <w:spacing w:after="0" w:line="480" w:lineRule="auto"/>
        <w:ind w:firstLine="510"/>
        <w:jc w:val="both"/>
        <w:rPr>
          <w:rFonts w:cstheme="minorHAnsi"/>
        </w:rPr>
      </w:pPr>
    </w:p>
    <w:p w14:paraId="049FFDDF" w14:textId="77777777" w:rsidR="00910D76" w:rsidRPr="00D72730" w:rsidRDefault="00910D76" w:rsidP="008275D7">
      <w:pPr>
        <w:spacing w:after="0" w:line="480" w:lineRule="auto"/>
        <w:jc w:val="both"/>
        <w:rPr>
          <w:rFonts w:cstheme="minorHAnsi"/>
          <w:b/>
          <w:bCs/>
          <w:i/>
          <w:iCs/>
        </w:rPr>
      </w:pPr>
      <w:r w:rsidRPr="00D72730">
        <w:rPr>
          <w:rFonts w:cstheme="minorHAnsi"/>
          <w:b/>
          <w:bCs/>
          <w:i/>
          <w:iCs/>
        </w:rPr>
        <w:t>dGTE1 and dGTE2 display differential effects on hepatocyte viability and apoptosis</w:t>
      </w:r>
    </w:p>
    <w:p w14:paraId="08DB0B9D" w14:textId="77777777" w:rsidR="00910D76" w:rsidRPr="00D72730" w:rsidRDefault="00910D76" w:rsidP="008275D7">
      <w:pPr>
        <w:spacing w:after="0" w:line="480" w:lineRule="auto"/>
        <w:ind w:firstLine="720"/>
        <w:jc w:val="both"/>
        <w:rPr>
          <w:rFonts w:cstheme="minorHAnsi"/>
        </w:rPr>
      </w:pPr>
      <w:r w:rsidRPr="00D72730">
        <w:rPr>
          <w:rFonts w:cstheme="minorHAnsi"/>
        </w:rPr>
        <w:t xml:space="preserve">There are a wide range of concentrations which green tea extract are consumed by the </w:t>
      </w:r>
      <w:proofErr w:type="gramStart"/>
      <w:r w:rsidRPr="00D72730">
        <w:rPr>
          <w:rFonts w:cstheme="minorHAnsi"/>
        </w:rPr>
        <w:t>general public</w:t>
      </w:r>
      <w:proofErr w:type="gramEnd"/>
      <w:r w:rsidRPr="00D72730">
        <w:rPr>
          <w:rFonts w:cstheme="minorHAnsi"/>
        </w:rPr>
        <w:t xml:space="preserve">, depending on the concentration available in the supplements provided. Our </w:t>
      </w:r>
      <w:r w:rsidRPr="00D72730">
        <w:rPr>
          <w:rFonts w:cstheme="minorHAnsi"/>
          <w:i/>
        </w:rPr>
        <w:t xml:space="preserve">in vitro </w:t>
      </w:r>
      <w:r w:rsidRPr="00D72730">
        <w:rPr>
          <w:rFonts w:cstheme="minorHAnsi"/>
        </w:rPr>
        <w:t xml:space="preserve">experiments were therefore to assess the effect of two </w:t>
      </w:r>
      <w:proofErr w:type="spellStart"/>
      <w:r w:rsidRPr="00D72730">
        <w:rPr>
          <w:rFonts w:cstheme="minorHAnsi"/>
        </w:rPr>
        <w:t>dGTE</w:t>
      </w:r>
      <w:proofErr w:type="spellEnd"/>
      <w:r w:rsidRPr="00D72730">
        <w:rPr>
          <w:rFonts w:cstheme="minorHAnsi"/>
        </w:rPr>
        <w:t xml:space="preserve"> compounds, dGTE1 (non-commercial) and dGTE2 (commercial), on liver cell function. To do this, we first measured HepG2 cell viability at a range of doses from sub-physiological (0.1 ng·ml</w:t>
      </w:r>
      <w:r w:rsidRPr="00D72730">
        <w:rPr>
          <w:rFonts w:cstheme="minorHAnsi"/>
          <w:vertAlign w:val="superscript"/>
        </w:rPr>
        <w:t>-1</w:t>
      </w:r>
      <w:r w:rsidRPr="00D72730">
        <w:rPr>
          <w:rFonts w:cstheme="minorHAnsi"/>
        </w:rPr>
        <w:t>) to bioavailable (0.1 to 1 µg·ml</w:t>
      </w:r>
      <w:r w:rsidRPr="00D72730">
        <w:rPr>
          <w:rFonts w:cstheme="minorHAnsi"/>
          <w:vertAlign w:val="superscript"/>
        </w:rPr>
        <w:t>-1</w:t>
      </w:r>
      <w:r w:rsidRPr="00D72730">
        <w:rPr>
          <w:rFonts w:cstheme="minorHAnsi"/>
        </w:rPr>
        <w:t>) to supra-physiological (1 mg·ml</w:t>
      </w:r>
      <w:r w:rsidRPr="00D72730">
        <w:rPr>
          <w:rFonts w:cstheme="minorHAnsi"/>
          <w:vertAlign w:val="superscript"/>
        </w:rPr>
        <w:t>-1</w:t>
      </w:r>
      <w:r w:rsidRPr="00D72730">
        <w:rPr>
          <w:rFonts w:cstheme="minorHAnsi"/>
        </w:rPr>
        <w:t xml:space="preserve">) for both short (24 h) and long (48 h) time periods.  </w:t>
      </w:r>
    </w:p>
    <w:p w14:paraId="4B900F95" w14:textId="44A3240F" w:rsidR="00910D76" w:rsidRPr="00D72730" w:rsidRDefault="00910D76" w:rsidP="008275D7">
      <w:pPr>
        <w:spacing w:after="0" w:line="480" w:lineRule="auto"/>
        <w:ind w:firstLine="720"/>
        <w:jc w:val="both"/>
        <w:rPr>
          <w:rFonts w:cstheme="minorHAnsi"/>
        </w:rPr>
      </w:pPr>
      <w:r w:rsidRPr="00D72730">
        <w:rPr>
          <w:rFonts w:cstheme="minorHAnsi"/>
        </w:rPr>
        <w:t>dGTE1 was identified to be cytotoxic at concentrations exceeding 10 µg·ml</w:t>
      </w:r>
      <w:r w:rsidRPr="00D72730">
        <w:rPr>
          <w:rFonts w:cstheme="minorHAnsi"/>
          <w:vertAlign w:val="superscript"/>
        </w:rPr>
        <w:t>-1</w:t>
      </w:r>
      <w:r w:rsidRPr="00D72730">
        <w:rPr>
          <w:rFonts w:cstheme="minorHAnsi"/>
        </w:rPr>
        <w:t>, with EC</w:t>
      </w:r>
      <w:r w:rsidRPr="00D72730">
        <w:rPr>
          <w:rFonts w:cstheme="minorHAnsi"/>
          <w:vertAlign w:val="subscript"/>
        </w:rPr>
        <w:t>50</w:t>
      </w:r>
      <w:r w:rsidRPr="00D72730">
        <w:rPr>
          <w:rFonts w:cstheme="minorHAnsi"/>
        </w:rPr>
        <w:t xml:space="preserve"> value of 6729.8 ng·ml</w:t>
      </w:r>
      <w:r w:rsidRPr="00D72730">
        <w:rPr>
          <w:rFonts w:cstheme="minorHAnsi"/>
          <w:vertAlign w:val="superscript"/>
        </w:rPr>
        <w:t>-1</w:t>
      </w:r>
      <w:r w:rsidRPr="00D72730">
        <w:rPr>
          <w:rFonts w:cstheme="minorHAnsi"/>
        </w:rPr>
        <w:t xml:space="preserve"> for 24 h exposure studies (Figure 1a(</w:t>
      </w:r>
      <w:proofErr w:type="spellStart"/>
      <w:r w:rsidRPr="00D72730">
        <w:rPr>
          <w:rFonts w:cstheme="minorHAnsi"/>
        </w:rPr>
        <w:t>i</w:t>
      </w:r>
      <w:proofErr w:type="spellEnd"/>
      <w:r w:rsidRPr="00D72730">
        <w:rPr>
          <w:rFonts w:cstheme="minorHAnsi"/>
        </w:rPr>
        <w:t>)).  In contrast, dGTE2 was identified to be cytotoxic at concentrations exceeding 1 ng·ml</w:t>
      </w:r>
      <w:r w:rsidRPr="00D72730">
        <w:rPr>
          <w:rFonts w:cstheme="minorHAnsi"/>
          <w:vertAlign w:val="superscript"/>
        </w:rPr>
        <w:t>-1</w:t>
      </w:r>
      <w:r w:rsidRPr="00D72730">
        <w:rPr>
          <w:rFonts w:cstheme="minorHAnsi"/>
        </w:rPr>
        <w:t xml:space="preserve"> with an EC</w:t>
      </w:r>
      <w:r w:rsidRPr="00D72730">
        <w:rPr>
          <w:rFonts w:cstheme="minorHAnsi"/>
          <w:vertAlign w:val="subscript"/>
        </w:rPr>
        <w:t>50</w:t>
      </w:r>
      <w:r w:rsidRPr="00D72730">
        <w:rPr>
          <w:rFonts w:cstheme="minorHAnsi"/>
        </w:rPr>
        <w:t xml:space="preserve"> value of 8.2035 ng·ml</w:t>
      </w:r>
      <w:r w:rsidRPr="00D72730">
        <w:rPr>
          <w:rFonts w:cstheme="minorHAnsi"/>
          <w:vertAlign w:val="superscript"/>
        </w:rPr>
        <w:t>-1</w:t>
      </w:r>
      <w:r w:rsidRPr="00D72730">
        <w:rPr>
          <w:rFonts w:cstheme="minorHAnsi"/>
        </w:rPr>
        <w:t xml:space="preserve"> (Figure 1a(ii)).  We next sought to establish the cytotoxic effect of each </w:t>
      </w:r>
      <w:proofErr w:type="spellStart"/>
      <w:r w:rsidRPr="00D72730">
        <w:rPr>
          <w:rFonts w:cstheme="minorHAnsi"/>
        </w:rPr>
        <w:t>dGTE</w:t>
      </w:r>
      <w:proofErr w:type="spellEnd"/>
      <w:r w:rsidRPr="00D72730">
        <w:rPr>
          <w:rFonts w:cstheme="minorHAnsi"/>
        </w:rPr>
        <w:t xml:space="preserve"> in settings of HepG2 cellular stress, using hydrogen peroxide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xml:space="preserve">) as a model of cell injury. As previously demonstrated </w:t>
      </w:r>
      <w:r w:rsidRPr="00D72730">
        <w:rPr>
          <w:rFonts w:cstheme="minorHAnsi"/>
        </w:rPr>
        <w:fldChar w:fldCharType="begin"/>
      </w:r>
      <w:r w:rsidR="0018431A">
        <w:rPr>
          <w:rFonts w:cstheme="minorHAnsi"/>
        </w:rPr>
        <w:instrText>ADDIN RW.CITE{{doc:5e1f1387e4b00d56a3fb7b72 Siddiqui,MA 2018}}</w:instrText>
      </w:r>
      <w:r w:rsidRPr="00D72730">
        <w:rPr>
          <w:rFonts w:cstheme="minorHAnsi"/>
        </w:rPr>
        <w:fldChar w:fldCharType="separate"/>
      </w:r>
      <w:r w:rsidR="00763715" w:rsidRPr="00763715">
        <w:rPr>
          <w:rFonts w:ascii="Calibri" w:hAnsi="Calibri" w:cs="Calibri"/>
          <w:bCs/>
        </w:rPr>
        <w:t>[34]</w:t>
      </w:r>
      <w:r w:rsidRPr="00D72730">
        <w:rPr>
          <w:rFonts w:cstheme="minorHAnsi"/>
        </w:rPr>
        <w:fldChar w:fldCharType="end"/>
      </w:r>
      <w:r w:rsidRPr="00D72730">
        <w:rPr>
          <w:rFonts w:cstheme="minorHAnsi"/>
        </w:rPr>
        <w:t>,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xml:space="preserve"> exposure </w:t>
      </w:r>
      <w:r w:rsidRPr="00D72730">
        <w:rPr>
          <w:rFonts w:cstheme="minorHAnsi"/>
        </w:rPr>
        <w:lastRenderedPageBreak/>
        <w:t>for 24 h significantly decreased cell viability (Figure 1b).  When exposed to HepG2 cells concomitant with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dGTE1 exposure, from 0.001 to 100 µg·ml</w:t>
      </w:r>
      <w:r w:rsidRPr="00D72730">
        <w:rPr>
          <w:rFonts w:cstheme="minorHAnsi"/>
          <w:vertAlign w:val="superscript"/>
        </w:rPr>
        <w:t>-1</w:t>
      </w:r>
      <w:r w:rsidRPr="00D72730">
        <w:rPr>
          <w:rFonts w:cstheme="minorHAnsi"/>
        </w:rPr>
        <w:t>, was protective against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-induced cell death (Figure 1b (</w:t>
      </w:r>
      <w:proofErr w:type="spellStart"/>
      <w:r w:rsidRPr="00D72730">
        <w:rPr>
          <w:rFonts w:cstheme="minorHAnsi"/>
        </w:rPr>
        <w:t>i</w:t>
      </w:r>
      <w:proofErr w:type="spellEnd"/>
      <w:r w:rsidRPr="00D72730">
        <w:rPr>
          <w:rFonts w:cstheme="minorHAnsi"/>
        </w:rPr>
        <w:t>)) whilst dGTE2 exposure worsened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-induced cell death at concentrations from 0.01 to 1000 µg·ml</w:t>
      </w:r>
      <w:r w:rsidRPr="00D72730">
        <w:rPr>
          <w:rFonts w:cstheme="minorHAnsi"/>
          <w:vertAlign w:val="superscript"/>
        </w:rPr>
        <w:t>-1</w:t>
      </w:r>
      <w:r w:rsidRPr="00D72730">
        <w:rPr>
          <w:rFonts w:cstheme="minorHAnsi"/>
        </w:rPr>
        <w:t xml:space="preserve"> (Figure 1b (ii)).  Given these findings, further studies were performed using a concentration of 1 µg·ml</w:t>
      </w:r>
      <w:r w:rsidRPr="00D72730">
        <w:rPr>
          <w:rFonts w:cstheme="minorHAnsi"/>
          <w:vertAlign w:val="superscript"/>
        </w:rPr>
        <w:t>-1</w:t>
      </w:r>
      <w:r w:rsidRPr="00D72730">
        <w:rPr>
          <w:rFonts w:cstheme="minorHAnsi"/>
        </w:rPr>
        <w:t xml:space="preserve"> exposed to HepG2 to establish the mechanism through which dGTE1 and dGTE2 affect hepatocyte viability. </w:t>
      </w:r>
    </w:p>
    <w:p w14:paraId="70B29BF2" w14:textId="77777777" w:rsidR="00910D76" w:rsidRPr="00D72730" w:rsidRDefault="00910D76" w:rsidP="008275D7">
      <w:pPr>
        <w:spacing w:after="0" w:line="480" w:lineRule="auto"/>
        <w:ind w:firstLine="720"/>
        <w:jc w:val="both"/>
        <w:rPr>
          <w:rFonts w:cstheme="minorHAnsi"/>
        </w:rPr>
      </w:pPr>
      <w:r w:rsidRPr="00D72730">
        <w:rPr>
          <w:rFonts w:cstheme="minorHAnsi"/>
        </w:rPr>
        <w:t>To assess whether the decrease in HepG2 cell viability was linked to apoptosis, we assessed activity of the pro-apoptotic regulator, caspase 3.  Following exposure to dGTE2, but not dGTE1, a significant increase in caspase 3 cleavage (Figure 1c (</w:t>
      </w:r>
      <w:proofErr w:type="spellStart"/>
      <w:r w:rsidRPr="00D72730">
        <w:rPr>
          <w:rFonts w:cstheme="minorHAnsi"/>
        </w:rPr>
        <w:t>i</w:t>
      </w:r>
      <w:proofErr w:type="spellEnd"/>
      <w:r w:rsidRPr="00D72730">
        <w:rPr>
          <w:rFonts w:cstheme="minorHAnsi"/>
        </w:rPr>
        <w:t>)) and activity (Figure 1c (ii)) was observed which are indicative of apoptotic signals.  Programmed cell death, through apoptosis, was then assessed using Annexin V to determine the % apoptotic cells in the population.  Following exposure to H</w:t>
      </w:r>
      <w:r w:rsidRPr="00D72730">
        <w:rPr>
          <w:rFonts w:cstheme="minorHAnsi"/>
          <w:vertAlign w:val="subscript"/>
        </w:rPr>
        <w:t>2</w:t>
      </w:r>
      <w:r w:rsidRPr="00D72730">
        <w:rPr>
          <w:rFonts w:cstheme="minorHAnsi"/>
        </w:rPr>
        <w:t>O</w:t>
      </w:r>
      <w:r w:rsidRPr="00D72730">
        <w:rPr>
          <w:rFonts w:cstheme="minorHAnsi"/>
          <w:vertAlign w:val="subscript"/>
        </w:rPr>
        <w:t xml:space="preserve">2 </w:t>
      </w:r>
      <w:r w:rsidRPr="00D72730">
        <w:rPr>
          <w:rFonts w:cstheme="minorHAnsi"/>
        </w:rPr>
        <w:t>there was a significant increase in apoptosis which was attenuated by co-treatment with dGTE1, but not dGTE2 (Figure 1d). Furthermore, dGTE2, in the absence of H</w:t>
      </w:r>
      <w:r w:rsidRPr="00D72730">
        <w:rPr>
          <w:rFonts w:cstheme="minorHAnsi"/>
          <w:vertAlign w:val="subscript"/>
        </w:rPr>
        <w:t>2</w:t>
      </w:r>
      <w:r w:rsidRPr="00D72730">
        <w:rPr>
          <w:rFonts w:cstheme="minorHAnsi"/>
        </w:rPr>
        <w:t>O</w:t>
      </w:r>
      <w:r w:rsidRPr="00D72730">
        <w:rPr>
          <w:rFonts w:cstheme="minorHAnsi"/>
          <w:vertAlign w:val="subscript"/>
        </w:rPr>
        <w:t xml:space="preserve">2 </w:t>
      </w:r>
      <w:r w:rsidRPr="00D72730">
        <w:rPr>
          <w:rFonts w:cstheme="minorHAnsi"/>
        </w:rPr>
        <w:t xml:space="preserve">caused a significant increase in apoptosis which was attenuated by the pan-caspase inhibitor Z-VAD-FMK (Figure 1d and e), as was the decreased cell viability (Figure 1f).  In contrast, dGTE1 exposure had no effect on % apoptosis in HepG2 cells and both apoptosis and viability were unaffected by Z-VAD-FMK (Figure 1d-f). Taken together these studies demonstrate that, at physiologically relevant concentrations, dGTE1 exhibits cytoprotective effects on HepG2 cells, whilst dGTE2 exhibit cytotoxic effects.  </w:t>
      </w:r>
    </w:p>
    <w:p w14:paraId="0F15846F" w14:textId="77777777" w:rsidR="00910D76" w:rsidRPr="00D72730" w:rsidRDefault="00910D76" w:rsidP="008275D7">
      <w:pPr>
        <w:spacing w:after="0" w:line="480" w:lineRule="auto"/>
        <w:jc w:val="both"/>
        <w:rPr>
          <w:rFonts w:cstheme="minorHAnsi"/>
        </w:rPr>
      </w:pPr>
    </w:p>
    <w:p w14:paraId="478650FE" w14:textId="207BAA17" w:rsidR="00910D76" w:rsidRPr="00D72730" w:rsidRDefault="00910D76" w:rsidP="008275D7">
      <w:pPr>
        <w:spacing w:after="0" w:line="480" w:lineRule="auto"/>
        <w:jc w:val="both"/>
        <w:rPr>
          <w:rFonts w:cstheme="minorHAnsi"/>
          <w:b/>
          <w:bCs/>
          <w:i/>
          <w:iCs/>
        </w:rPr>
      </w:pPr>
      <w:r w:rsidRPr="00D72730">
        <w:rPr>
          <w:rFonts w:cstheme="minorHAnsi"/>
          <w:b/>
          <w:bCs/>
          <w:i/>
          <w:iCs/>
        </w:rPr>
        <w:t>dGTE1 attenuates hydrogen peroxide-induced ROS status whilst dGTE2 exacerbates oxidative stress to cause cytotoxicity</w:t>
      </w:r>
    </w:p>
    <w:p w14:paraId="06DE02BC" w14:textId="728B9347" w:rsidR="00910D76" w:rsidRPr="00D72730" w:rsidRDefault="00910D76" w:rsidP="008275D7">
      <w:pPr>
        <w:spacing w:after="0" w:line="480" w:lineRule="auto"/>
        <w:ind w:firstLine="720"/>
        <w:jc w:val="both"/>
        <w:rPr>
          <w:rFonts w:cstheme="minorHAnsi"/>
        </w:rPr>
      </w:pPr>
      <w:r w:rsidRPr="00D72730">
        <w:rPr>
          <w:rFonts w:cstheme="minorHAnsi"/>
        </w:rPr>
        <w:t xml:space="preserve">We next sought to establish the mechanisms through which the two </w:t>
      </w:r>
      <w:proofErr w:type="spellStart"/>
      <w:r w:rsidRPr="00D72730">
        <w:rPr>
          <w:rFonts w:cstheme="minorHAnsi"/>
        </w:rPr>
        <w:t>dGTEs</w:t>
      </w:r>
      <w:proofErr w:type="spellEnd"/>
      <w:r w:rsidRPr="00D72730">
        <w:rPr>
          <w:rFonts w:cstheme="minorHAnsi"/>
        </w:rPr>
        <w:t xml:space="preserve"> exhibit these differing effects on HepG2 cells.  As oxidative stress in hepatic epithelial cells has been closely linked to the efficacy of cytotoxic compounds and </w:t>
      </w:r>
      <w:proofErr w:type="spellStart"/>
      <w:r w:rsidRPr="00D72730">
        <w:rPr>
          <w:rFonts w:cstheme="minorHAnsi"/>
        </w:rPr>
        <w:t>dGTE</w:t>
      </w:r>
      <w:proofErr w:type="spellEnd"/>
      <w:r w:rsidRPr="00D72730">
        <w:rPr>
          <w:rFonts w:cstheme="minorHAnsi"/>
        </w:rPr>
        <w:t xml:space="preserve"> is associated with modulation of oxidative stress </w:t>
      </w:r>
      <w:r w:rsidRPr="00D72730">
        <w:rPr>
          <w:rFonts w:cstheme="minorHAnsi"/>
        </w:rPr>
        <w:fldChar w:fldCharType="begin"/>
      </w:r>
      <w:r w:rsidR="0018431A">
        <w:rPr>
          <w:rFonts w:cstheme="minorHAnsi"/>
        </w:rPr>
        <w:instrText>ADDIN RW.CITE{{doc:5e1f144de4b0a41a10f999c4 Jayashree,GV 2017; doc:5e1f13c9e4b0ba7fd51b399b Moon,SC 2018; doc:5e1f1426e4b0b689d5c9dc4f Rodenak-Kladniew,B 2018}}</w:instrText>
      </w:r>
      <w:r w:rsidRPr="00D72730">
        <w:rPr>
          <w:rFonts w:cstheme="minorHAnsi"/>
        </w:rPr>
        <w:fldChar w:fldCharType="separate"/>
      </w:r>
      <w:r w:rsidR="00763715" w:rsidRPr="00763715">
        <w:rPr>
          <w:rFonts w:ascii="Calibri" w:hAnsi="Calibri" w:cs="Calibri"/>
          <w:bCs/>
        </w:rPr>
        <w:t>[35-37]</w:t>
      </w:r>
      <w:r w:rsidRPr="00D72730">
        <w:rPr>
          <w:rFonts w:cstheme="minorHAnsi"/>
        </w:rPr>
        <w:fldChar w:fldCharType="end"/>
      </w:r>
      <w:r w:rsidRPr="00D72730">
        <w:rPr>
          <w:rFonts w:cstheme="minorHAnsi"/>
        </w:rPr>
        <w:t xml:space="preserve">, we studied the impact of the two </w:t>
      </w:r>
      <w:proofErr w:type="spellStart"/>
      <w:r w:rsidRPr="00D72730">
        <w:rPr>
          <w:rFonts w:cstheme="minorHAnsi"/>
        </w:rPr>
        <w:t>dGTEs</w:t>
      </w:r>
      <w:proofErr w:type="spellEnd"/>
      <w:r w:rsidRPr="00D72730">
        <w:rPr>
          <w:rFonts w:cstheme="minorHAnsi"/>
        </w:rPr>
        <w:t xml:space="preserve"> on ROS accumulation.  At increasing concentrations of dGTE1 and dGTE2, there was a dose-dependent increase in the production of intracellular ROS (Figure </w:t>
      </w:r>
      <w:r w:rsidRPr="00D72730">
        <w:rPr>
          <w:rFonts w:cstheme="minorHAnsi"/>
        </w:rPr>
        <w:lastRenderedPageBreak/>
        <w:t xml:space="preserve">2a). At the highest </w:t>
      </w:r>
      <w:proofErr w:type="spellStart"/>
      <w:r w:rsidRPr="00D72730">
        <w:rPr>
          <w:rFonts w:cstheme="minorHAnsi"/>
        </w:rPr>
        <w:t>dGTE</w:t>
      </w:r>
      <w:proofErr w:type="spellEnd"/>
      <w:r w:rsidRPr="00D72730">
        <w:rPr>
          <w:rFonts w:cstheme="minorHAnsi"/>
        </w:rPr>
        <w:t xml:space="preserve"> concentration (100 µg·</w:t>
      </w:r>
      <w:proofErr w:type="gramStart"/>
      <w:r w:rsidRPr="00D72730">
        <w:rPr>
          <w:rFonts w:cstheme="minorHAnsi"/>
        </w:rPr>
        <w:t>ml</w:t>
      </w:r>
      <w:r w:rsidRPr="00D72730">
        <w:rPr>
          <w:rFonts w:cstheme="minorHAnsi"/>
          <w:vertAlign w:val="superscript"/>
        </w:rPr>
        <w:t>-1</w:t>
      </w:r>
      <w:proofErr w:type="gramEnd"/>
      <w:r w:rsidRPr="00D72730">
        <w:rPr>
          <w:rFonts w:cstheme="minorHAnsi"/>
        </w:rPr>
        <w:t xml:space="preserve">) both extracts resulted in a significant increase in ROS accumulation however whilst there was a dramatic increase in ROS following exposure to dGTE2 (M ± SE: 230.02 ± 35.07 %) there was only a moderate increase in ROS upon dGTE1 treatment (M ± SE: 54.29 ± 5.93 %) (Figure 2a).  Interestingly, at physiological concentrations of </w:t>
      </w:r>
      <w:proofErr w:type="spellStart"/>
      <w:r w:rsidRPr="00D72730">
        <w:rPr>
          <w:rFonts w:cstheme="minorHAnsi"/>
        </w:rPr>
        <w:t>dGTE</w:t>
      </w:r>
      <w:proofErr w:type="spellEnd"/>
      <w:r w:rsidRPr="00D72730">
        <w:rPr>
          <w:rFonts w:cstheme="minorHAnsi"/>
        </w:rPr>
        <w:t xml:space="preserve"> (0.1 to 1 µg·ml</w:t>
      </w:r>
      <w:r w:rsidRPr="00D72730">
        <w:rPr>
          <w:rFonts w:cstheme="minorHAnsi"/>
          <w:vertAlign w:val="superscript"/>
        </w:rPr>
        <w:t>-1</w:t>
      </w:r>
      <w:r w:rsidRPr="00D72730">
        <w:rPr>
          <w:rFonts w:cstheme="minorHAnsi"/>
        </w:rPr>
        <w:t xml:space="preserve">), dGTE1 had no significant impact on oxidative stress whilst dGTE2 exerted a 2-fold increase in ROS accumulation (Figure 2a).  Endogenous antioxidant enzymes, glutathione (GSH), catalase (CAT) and superoxide dismutase (SOD) are primarily responsible for clearing excess ROS and preventing oxidative stress </w:t>
      </w:r>
      <w:r w:rsidRPr="00D72730">
        <w:rPr>
          <w:rFonts w:cstheme="minorHAnsi"/>
        </w:rPr>
        <w:fldChar w:fldCharType="begin"/>
      </w:r>
      <w:r w:rsidR="0018431A">
        <w:rPr>
          <w:rFonts w:cstheme="minorHAnsi"/>
        </w:rPr>
        <w:instrText>ADDIN RW.CITE{{doc:5e1f42e2e4b00d56a3fb8e1c Balasubramaniyan,V 2007}}</w:instrText>
      </w:r>
      <w:r w:rsidRPr="00D72730">
        <w:rPr>
          <w:rFonts w:cstheme="minorHAnsi"/>
        </w:rPr>
        <w:fldChar w:fldCharType="separate"/>
      </w:r>
      <w:r w:rsidR="00763715" w:rsidRPr="00763715">
        <w:rPr>
          <w:rFonts w:ascii="Calibri" w:hAnsi="Calibri" w:cs="Calibri"/>
          <w:bCs/>
        </w:rPr>
        <w:t>[38]</w:t>
      </w:r>
      <w:r w:rsidRPr="00D72730">
        <w:rPr>
          <w:rFonts w:cstheme="minorHAnsi"/>
        </w:rPr>
        <w:fldChar w:fldCharType="end"/>
      </w:r>
      <w:r w:rsidRPr="00D72730">
        <w:rPr>
          <w:rFonts w:cstheme="minorHAnsi"/>
        </w:rPr>
        <w:t xml:space="preserve">.  </w:t>
      </w:r>
    </w:p>
    <w:p w14:paraId="0F8FEAD0" w14:textId="77777777" w:rsidR="00910D76" w:rsidRPr="00D72730" w:rsidRDefault="00910D76" w:rsidP="008275D7">
      <w:pPr>
        <w:spacing w:after="0" w:line="480" w:lineRule="auto"/>
        <w:ind w:firstLine="720"/>
        <w:jc w:val="both"/>
        <w:rPr>
          <w:rFonts w:cstheme="minorHAnsi"/>
        </w:rPr>
      </w:pPr>
      <w:r w:rsidRPr="00D72730">
        <w:rPr>
          <w:rFonts w:cstheme="minorHAnsi"/>
        </w:rPr>
        <w:t xml:space="preserve">To further study the effect of </w:t>
      </w:r>
      <w:proofErr w:type="spellStart"/>
      <w:r w:rsidRPr="00D72730">
        <w:rPr>
          <w:rFonts w:cstheme="minorHAnsi"/>
        </w:rPr>
        <w:t>dGTE</w:t>
      </w:r>
      <w:proofErr w:type="spellEnd"/>
      <w:r w:rsidRPr="00D72730">
        <w:rPr>
          <w:rFonts w:cstheme="minorHAnsi"/>
        </w:rPr>
        <w:t xml:space="preserve"> on oxidative stress, HepG2 cells were exposed to the oxidising agent,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which significantly increases ROS production (Figure 2b) and significantly decreases GSH, CAT and SOD activity (Figures 2c-e).  In dGTE1-treated cells,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-induced ROS accumulation was blocked (Figure 2b), whilst GSH, CAT and SOD activity were elevated (Figure 2c-e).  In contrast,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-induced ROS accumulation was exacerbated by dGTE2 treatment (Figure 2b) alongside reduction in GSH, CAT and SOD activity (Figures 2c-e).  To establish the link between ROS production and cytoprotective or cytotoxic effects of dGTE1 and dGTE2 respectively, the exogenous redox modulator and antioxidant, N-</w:t>
      </w:r>
      <w:proofErr w:type="gramStart"/>
      <w:r w:rsidRPr="00D72730">
        <w:rPr>
          <w:rFonts w:cstheme="minorHAnsi"/>
        </w:rPr>
        <w:t>acetyl-cysteine</w:t>
      </w:r>
      <w:proofErr w:type="gramEnd"/>
      <w:r w:rsidRPr="00D72730">
        <w:rPr>
          <w:rFonts w:cstheme="minorHAnsi"/>
        </w:rPr>
        <w:t xml:space="preserve"> (NAC) was utilised.  NAC had no impact on dGTE1-treated cells but significantly regulated oxidative status of HepG2 cells by blocking dGTE2-induced oxidative stress as measured by GSH (% increase: 107.77 ± 24.49), CAT (% increase: 34.49 ± 16.05) and SOD activity (% increase: 49.17 ± 10.01), and ROS accumulation (% decrease: 46.61 ± 1.91) (Table 2).  Interestingly, dGTE2-mediated reduction in viability (Figure 2f) through enhanced apoptosis (Figure 2g) was significantly attenuated by exposure with NAC. These data demonstrate that, at physiological concentrations, the two </w:t>
      </w:r>
      <w:proofErr w:type="spellStart"/>
      <w:r w:rsidRPr="00D72730">
        <w:rPr>
          <w:rFonts w:cstheme="minorHAnsi"/>
        </w:rPr>
        <w:t>dGTEs</w:t>
      </w:r>
      <w:proofErr w:type="spellEnd"/>
      <w:r w:rsidRPr="00D72730">
        <w:rPr>
          <w:rFonts w:cstheme="minorHAnsi"/>
        </w:rPr>
        <w:t xml:space="preserve"> exert opposing effects on intracellular ROS. These studies indicate that dGTE2 exerts a cytotoxic effect on HepG2 cells through elevated oxidative stress in HepG2 cells, whilst dGTE1 offers protective effects to reduce oxidative stress. </w:t>
      </w:r>
    </w:p>
    <w:p w14:paraId="1F2FDC18" w14:textId="77777777" w:rsidR="00910D76" w:rsidRPr="00D72730" w:rsidRDefault="00910D76" w:rsidP="008275D7">
      <w:pPr>
        <w:spacing w:after="0" w:line="480" w:lineRule="auto"/>
        <w:jc w:val="both"/>
        <w:rPr>
          <w:rFonts w:cstheme="minorHAnsi"/>
          <w:b/>
        </w:rPr>
      </w:pPr>
    </w:p>
    <w:p w14:paraId="3B65ADD0" w14:textId="77322797" w:rsidR="00910D76" w:rsidRPr="00D72730" w:rsidRDefault="00910D76" w:rsidP="008275D7">
      <w:pPr>
        <w:spacing w:after="0" w:line="480" w:lineRule="auto"/>
        <w:jc w:val="both"/>
        <w:rPr>
          <w:rFonts w:cstheme="minorHAnsi"/>
          <w:b/>
          <w:bCs/>
          <w:i/>
          <w:iCs/>
        </w:rPr>
      </w:pPr>
      <w:r w:rsidRPr="00D72730">
        <w:rPr>
          <w:rFonts w:cstheme="minorHAnsi"/>
          <w:b/>
          <w:bCs/>
          <w:i/>
          <w:iCs/>
        </w:rPr>
        <w:lastRenderedPageBreak/>
        <w:t>dGTE1 and dGTE2 differentially affect mitochondrial membrane potential and oxidative stress to regulate HepG2 cell viability</w:t>
      </w:r>
    </w:p>
    <w:p w14:paraId="46C9CE71" w14:textId="4928DA63" w:rsidR="00910D76" w:rsidRPr="00D72730" w:rsidRDefault="00910D76" w:rsidP="008275D7">
      <w:pPr>
        <w:spacing w:after="0" w:line="480" w:lineRule="auto"/>
        <w:ind w:firstLine="720"/>
        <w:jc w:val="both"/>
        <w:rPr>
          <w:rFonts w:cstheme="minorHAnsi"/>
        </w:rPr>
      </w:pPr>
      <w:r w:rsidRPr="00D72730">
        <w:rPr>
          <w:rFonts w:cstheme="minorHAnsi"/>
        </w:rPr>
        <w:t xml:space="preserve">Given the role of dGTE1 and dGTE2 in regulating apoptosis and oxidative stress, and the importance of mitochondria in regulating ROS and cell fate </w:t>
      </w:r>
      <w:r w:rsidRPr="00D72730">
        <w:rPr>
          <w:rFonts w:cstheme="minorHAnsi"/>
        </w:rPr>
        <w:fldChar w:fldCharType="begin"/>
      </w:r>
      <w:r w:rsidR="0018431A">
        <w:rPr>
          <w:rFonts w:cstheme="minorHAnsi"/>
        </w:rPr>
        <w:instrText>ADDIN RW.CITE{{doc:5e1f4367e4b05ad79c6a98f7 Michel,S 2012}}</w:instrText>
      </w:r>
      <w:r w:rsidRPr="00D72730">
        <w:rPr>
          <w:rFonts w:cstheme="minorHAnsi"/>
        </w:rPr>
        <w:fldChar w:fldCharType="separate"/>
      </w:r>
      <w:r w:rsidR="00763715" w:rsidRPr="00763715">
        <w:rPr>
          <w:rFonts w:ascii="Calibri" w:hAnsi="Calibri" w:cs="Calibri"/>
          <w:bCs/>
        </w:rPr>
        <w:t>[39]</w:t>
      </w:r>
      <w:r w:rsidRPr="00D72730">
        <w:rPr>
          <w:rFonts w:cstheme="minorHAnsi"/>
        </w:rPr>
        <w:fldChar w:fldCharType="end"/>
      </w:r>
      <w:r w:rsidRPr="00D72730">
        <w:rPr>
          <w:rFonts w:cstheme="minorHAnsi"/>
        </w:rPr>
        <w:t>, we next sought to understand the effect of these extracts on mitochondrial membrane potential (</w:t>
      </w:r>
      <w:proofErr w:type="spellStart"/>
      <w:r w:rsidRPr="00D72730">
        <w:rPr>
          <w:rFonts w:cstheme="minorHAnsi"/>
        </w:rPr>
        <w:t>ΔΨm</w:t>
      </w:r>
      <w:proofErr w:type="spellEnd"/>
      <w:r w:rsidRPr="00D72730">
        <w:rPr>
          <w:rFonts w:cstheme="minorHAnsi"/>
        </w:rPr>
        <w:t>) and mitochondrial superoxide levels (</w:t>
      </w:r>
      <w:proofErr w:type="spellStart"/>
      <w:r w:rsidRPr="00D72730">
        <w:rPr>
          <w:rFonts w:cstheme="minorHAnsi"/>
        </w:rPr>
        <w:t>mtROS</w:t>
      </w:r>
      <w:proofErr w:type="spellEnd"/>
      <w:r w:rsidRPr="00D72730">
        <w:rPr>
          <w:rFonts w:cstheme="minorHAnsi"/>
        </w:rPr>
        <w:t xml:space="preserve">), as assessed by the fluorescent dye JC-1 and </w:t>
      </w:r>
      <w:proofErr w:type="spellStart"/>
      <w:r w:rsidRPr="00D72730">
        <w:rPr>
          <w:rFonts w:cstheme="minorHAnsi"/>
        </w:rPr>
        <w:t>MitoSox</w:t>
      </w:r>
      <w:proofErr w:type="spellEnd"/>
      <w:r w:rsidRPr="00D72730">
        <w:rPr>
          <w:rFonts w:cstheme="minorHAnsi"/>
        </w:rPr>
        <w:t xml:space="preserve"> respectively </w:t>
      </w:r>
      <w:r w:rsidRPr="00D72730">
        <w:rPr>
          <w:rFonts w:cstheme="minorHAnsi"/>
        </w:rPr>
        <w:fldChar w:fldCharType="begin"/>
      </w:r>
      <w:r w:rsidR="0018431A">
        <w:rPr>
          <w:rFonts w:cstheme="minorHAnsi"/>
        </w:rPr>
        <w:instrText>ADDIN RW.CITE{{doc:5e1f12f6e4b0299a031a43cc Figarola,JL 2015}}</w:instrText>
      </w:r>
      <w:r w:rsidRPr="00D72730">
        <w:rPr>
          <w:rFonts w:cstheme="minorHAnsi"/>
        </w:rPr>
        <w:fldChar w:fldCharType="separate"/>
      </w:r>
      <w:r w:rsidR="00763715" w:rsidRPr="00763715">
        <w:rPr>
          <w:rFonts w:ascii="Calibri" w:hAnsi="Calibri" w:cs="Calibri"/>
          <w:bCs/>
        </w:rPr>
        <w:t>[31]</w:t>
      </w:r>
      <w:r w:rsidRPr="00D72730">
        <w:rPr>
          <w:rFonts w:cstheme="minorHAnsi"/>
        </w:rPr>
        <w:fldChar w:fldCharType="end"/>
      </w:r>
      <w:r w:rsidRPr="00D72730">
        <w:rPr>
          <w:rFonts w:cstheme="minorHAnsi"/>
        </w:rPr>
        <w:t xml:space="preserve">.  Exposure to dGTE1 had no impact on either </w:t>
      </w:r>
      <w:proofErr w:type="spellStart"/>
      <w:r w:rsidRPr="00D72730">
        <w:rPr>
          <w:rFonts w:cstheme="minorHAnsi"/>
        </w:rPr>
        <w:t>ΔΨm</w:t>
      </w:r>
      <w:proofErr w:type="spellEnd"/>
      <w:r w:rsidRPr="00D72730">
        <w:rPr>
          <w:rFonts w:cstheme="minorHAnsi"/>
        </w:rPr>
        <w:t xml:space="preserve"> (Figure 3a) or </w:t>
      </w:r>
      <w:proofErr w:type="spellStart"/>
      <w:r w:rsidRPr="00D72730">
        <w:rPr>
          <w:rFonts w:cstheme="minorHAnsi"/>
        </w:rPr>
        <w:t>mtROS</w:t>
      </w:r>
      <w:proofErr w:type="spellEnd"/>
      <w:r w:rsidRPr="00D72730">
        <w:rPr>
          <w:rFonts w:cstheme="minorHAnsi"/>
        </w:rPr>
        <w:t xml:space="preserve"> levels (Figure 3b). In contrast, dGTE2 treatment significantly increased </w:t>
      </w:r>
      <w:proofErr w:type="spellStart"/>
      <w:r w:rsidRPr="00D72730">
        <w:rPr>
          <w:rFonts w:cstheme="minorHAnsi"/>
        </w:rPr>
        <w:t>ΔΨm</w:t>
      </w:r>
      <w:proofErr w:type="spellEnd"/>
      <w:r w:rsidRPr="00D72730">
        <w:rPr>
          <w:rFonts w:cstheme="minorHAnsi"/>
        </w:rPr>
        <w:t xml:space="preserve">, and therefore membrane depolarisation (Figure 3a), and </w:t>
      </w:r>
      <w:proofErr w:type="spellStart"/>
      <w:r w:rsidRPr="00D72730">
        <w:rPr>
          <w:rFonts w:cstheme="minorHAnsi"/>
        </w:rPr>
        <w:t>mtROS</w:t>
      </w:r>
      <w:proofErr w:type="spellEnd"/>
      <w:r w:rsidRPr="00D72730">
        <w:rPr>
          <w:rFonts w:cstheme="minorHAnsi"/>
        </w:rPr>
        <w:t xml:space="preserve"> levels (Figure 3b).  Interestingly, dGTE1 significantly attenuated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xml:space="preserve">-induced membrane depolarisation and </w:t>
      </w:r>
      <w:proofErr w:type="spellStart"/>
      <w:r w:rsidRPr="00D72730">
        <w:rPr>
          <w:rFonts w:cstheme="minorHAnsi"/>
        </w:rPr>
        <w:t>mtROS</w:t>
      </w:r>
      <w:proofErr w:type="spellEnd"/>
      <w:r w:rsidRPr="00D72730">
        <w:rPr>
          <w:rFonts w:cstheme="minorHAnsi"/>
        </w:rPr>
        <w:t xml:space="preserve"> formation, whilst dGTE2 exacerbated both (Figure 3a and b).  Pre-treatment with the mitochondria-specific antioxidant, </w:t>
      </w:r>
      <w:proofErr w:type="spellStart"/>
      <w:r w:rsidRPr="00D72730">
        <w:rPr>
          <w:rFonts w:cstheme="minorHAnsi"/>
        </w:rPr>
        <w:t>mitoTEMPO</w:t>
      </w:r>
      <w:proofErr w:type="spellEnd"/>
      <w:r w:rsidRPr="00D72730">
        <w:rPr>
          <w:rFonts w:cstheme="minorHAnsi"/>
        </w:rPr>
        <w:t xml:space="preserve">, partially reversed dGTE2-induced decrease in </w:t>
      </w:r>
      <w:proofErr w:type="spellStart"/>
      <w:r w:rsidRPr="00D72730">
        <w:rPr>
          <w:rFonts w:cstheme="minorHAnsi"/>
        </w:rPr>
        <w:t>ΔΨm</w:t>
      </w:r>
      <w:proofErr w:type="spellEnd"/>
      <w:r w:rsidRPr="00D72730">
        <w:rPr>
          <w:rFonts w:cstheme="minorHAnsi"/>
        </w:rPr>
        <w:t xml:space="preserve"> (Figure 3c) and increase in </w:t>
      </w:r>
      <w:proofErr w:type="spellStart"/>
      <w:r w:rsidRPr="00D72730">
        <w:rPr>
          <w:rFonts w:cstheme="minorHAnsi"/>
        </w:rPr>
        <w:t>mtROS</w:t>
      </w:r>
      <w:proofErr w:type="spellEnd"/>
      <w:r w:rsidRPr="00D72730">
        <w:rPr>
          <w:rFonts w:cstheme="minorHAnsi"/>
        </w:rPr>
        <w:t xml:space="preserve"> (Figure 3d) but did not completely attenuate either mitochondrial measurement.  Finally, we sought to understand whether the effect of </w:t>
      </w:r>
      <w:proofErr w:type="spellStart"/>
      <w:r w:rsidRPr="00D72730">
        <w:rPr>
          <w:rFonts w:cstheme="minorHAnsi"/>
        </w:rPr>
        <w:t>dGTE</w:t>
      </w:r>
      <w:proofErr w:type="spellEnd"/>
      <w:r w:rsidRPr="00D72730">
        <w:rPr>
          <w:rFonts w:cstheme="minorHAnsi"/>
        </w:rPr>
        <w:t xml:space="preserve"> on mitochondrial oxidative potential regulates HepG2 viability and apoptosis. In vehicle- and dGTE1-treated cells, </w:t>
      </w:r>
      <w:proofErr w:type="spellStart"/>
      <w:r w:rsidRPr="00D72730">
        <w:rPr>
          <w:rFonts w:cstheme="minorHAnsi"/>
        </w:rPr>
        <w:t>MitoTEMPO</w:t>
      </w:r>
      <w:proofErr w:type="spellEnd"/>
      <w:r w:rsidRPr="00D72730">
        <w:rPr>
          <w:rFonts w:cstheme="minorHAnsi"/>
        </w:rPr>
        <w:t xml:space="preserve"> </w:t>
      </w:r>
      <w:proofErr w:type="spellStart"/>
      <w:r w:rsidRPr="00D72730">
        <w:rPr>
          <w:rFonts w:cstheme="minorHAnsi"/>
        </w:rPr>
        <w:t>pretreatment</w:t>
      </w:r>
      <w:proofErr w:type="spellEnd"/>
      <w:r w:rsidRPr="00D72730">
        <w:rPr>
          <w:rFonts w:cstheme="minorHAnsi"/>
        </w:rPr>
        <w:t xml:space="preserve"> had no impact on HepG2 cell viability or apoptosis but significantly blunted dGTE2-induced cell viability and apoptosis (Figure 3e and 3f). Taken together, these findings indicate that dGTE1 and dGTE2 differentially impact HepG2 cell viability through regulating mitochondrial membrane potential and mitochondrial oxidative stress.</w:t>
      </w:r>
    </w:p>
    <w:p w14:paraId="482B2031" w14:textId="77777777" w:rsidR="00910D76" w:rsidRPr="00D72730" w:rsidRDefault="00910D76" w:rsidP="008275D7">
      <w:pPr>
        <w:spacing w:after="0" w:line="480" w:lineRule="auto"/>
        <w:jc w:val="both"/>
        <w:rPr>
          <w:rFonts w:cstheme="minorHAnsi"/>
          <w:b/>
          <w:bCs/>
        </w:rPr>
      </w:pPr>
    </w:p>
    <w:p w14:paraId="397ED34A" w14:textId="4A4BF5A1" w:rsidR="00910D76" w:rsidRPr="00D72730" w:rsidRDefault="00910D76" w:rsidP="008275D7">
      <w:pPr>
        <w:spacing w:after="0" w:line="480" w:lineRule="auto"/>
        <w:jc w:val="both"/>
        <w:rPr>
          <w:rFonts w:cstheme="minorHAnsi"/>
          <w:b/>
          <w:bCs/>
          <w:i/>
          <w:iCs/>
        </w:rPr>
      </w:pPr>
      <w:r w:rsidRPr="00D72730">
        <w:rPr>
          <w:rFonts w:cstheme="minorHAnsi"/>
          <w:b/>
          <w:bCs/>
          <w:i/>
          <w:iCs/>
        </w:rPr>
        <w:t>dGTE2, but not dGTE1, negatively regulates HepG2 cells through AMPK signalling</w:t>
      </w:r>
    </w:p>
    <w:p w14:paraId="517C8F67" w14:textId="798C710D" w:rsidR="00910D76" w:rsidRPr="00D72730" w:rsidRDefault="00910D76" w:rsidP="008275D7">
      <w:pPr>
        <w:spacing w:after="0" w:line="480" w:lineRule="auto"/>
        <w:jc w:val="both"/>
        <w:rPr>
          <w:rFonts w:cstheme="minorHAnsi"/>
        </w:rPr>
      </w:pPr>
      <w:r w:rsidRPr="00D72730">
        <w:rPr>
          <w:rFonts w:cstheme="minorHAnsi"/>
        </w:rPr>
        <w:tab/>
        <w:t xml:space="preserve">Several studies demonstrate that activity of AMPK, a sensor of cell energy homeostasis and metabolism, is intrinsically linked with mitochondrial dysfunction, oxidative stress and cell apoptosis </w:t>
      </w:r>
      <w:r w:rsidRPr="00D72730">
        <w:rPr>
          <w:rFonts w:cstheme="minorHAnsi"/>
        </w:rPr>
        <w:fldChar w:fldCharType="begin"/>
      </w:r>
      <w:r w:rsidR="0018431A">
        <w:rPr>
          <w:rFonts w:cstheme="minorHAnsi"/>
        </w:rPr>
        <w:instrText>ADDIN RW.CITE{{doc:5e1f4434e4b0a41a10f9b253 Alnahdi,A 2019; doc:5e1f1336e4b0d16f0f6332c0 Jeong,A 2017; doc:5e1f4a74e4b0c146247aade4 Wang,P 2019}}</w:instrText>
      </w:r>
      <w:r w:rsidRPr="00D72730">
        <w:rPr>
          <w:rFonts w:cstheme="minorHAnsi"/>
        </w:rPr>
        <w:fldChar w:fldCharType="separate"/>
      </w:r>
      <w:r w:rsidR="00763715" w:rsidRPr="00763715">
        <w:rPr>
          <w:rFonts w:ascii="Calibri" w:hAnsi="Calibri" w:cs="Calibri"/>
          <w:bCs/>
        </w:rPr>
        <w:t>[32,40,41]</w:t>
      </w:r>
      <w:r w:rsidRPr="00D72730">
        <w:rPr>
          <w:rFonts w:cstheme="minorHAnsi"/>
        </w:rPr>
        <w:fldChar w:fldCharType="end"/>
      </w:r>
      <w:r w:rsidRPr="00D72730">
        <w:rPr>
          <w:rFonts w:cstheme="minorHAnsi"/>
        </w:rPr>
        <w:t>. Therefore, we next assessed the impact of dGTE1 and dGTE2 on AMPK activity by measuring phosphorylation (</w:t>
      </w:r>
      <w:r w:rsidRPr="00D72730">
        <w:rPr>
          <w:rFonts w:cstheme="minorHAnsi"/>
          <w:shd w:val="clear" w:color="auto" w:fill="FFFFFF"/>
        </w:rPr>
        <w:t>phospho-AMPKα (Thr</w:t>
      </w:r>
      <w:r w:rsidRPr="00D72730">
        <w:rPr>
          <w:rFonts w:cstheme="minorHAnsi"/>
          <w:bdr w:val="none" w:sz="0" w:space="0" w:color="auto" w:frame="1"/>
          <w:shd w:val="clear" w:color="auto" w:fill="FFFFFF"/>
          <w:vertAlign w:val="superscript"/>
        </w:rPr>
        <w:t>172)</w:t>
      </w:r>
      <w:r w:rsidRPr="00D72730">
        <w:rPr>
          <w:rFonts w:cstheme="minorHAnsi"/>
        </w:rPr>
        <w:t>) and activity of the serine/threonine kinase. Interestingly, both dGTE1 and dGTE2 increased AMPK phosphorylation (Figure 4a (</w:t>
      </w:r>
      <w:proofErr w:type="spellStart"/>
      <w:r w:rsidRPr="00D72730">
        <w:rPr>
          <w:rFonts w:cstheme="minorHAnsi"/>
        </w:rPr>
        <w:t>i</w:t>
      </w:r>
      <w:proofErr w:type="spellEnd"/>
      <w:r w:rsidRPr="00D72730">
        <w:rPr>
          <w:rFonts w:cstheme="minorHAnsi"/>
        </w:rPr>
        <w:t xml:space="preserve">)) and activity (Figure 4a (ii)) to a level </w:t>
      </w:r>
      <w:proofErr w:type="gramStart"/>
      <w:r w:rsidRPr="00D72730">
        <w:rPr>
          <w:rFonts w:cstheme="minorHAnsi"/>
        </w:rPr>
        <w:t>similar to</w:t>
      </w:r>
      <w:proofErr w:type="gramEnd"/>
      <w:r w:rsidRPr="00D72730">
        <w:rPr>
          <w:rFonts w:cstheme="minorHAnsi"/>
        </w:rPr>
        <w:t xml:space="preserve"> the positive control (serum free media, SF).  As anticipated, both </w:t>
      </w:r>
      <w:proofErr w:type="spellStart"/>
      <w:r w:rsidRPr="00D72730">
        <w:rPr>
          <w:rFonts w:cstheme="minorHAnsi"/>
        </w:rPr>
        <w:lastRenderedPageBreak/>
        <w:t>dGTE</w:t>
      </w:r>
      <w:proofErr w:type="spellEnd"/>
      <w:r w:rsidRPr="00D72730">
        <w:rPr>
          <w:rFonts w:cstheme="minorHAnsi"/>
        </w:rPr>
        <w:t xml:space="preserve"> treatments also increased phosphorylation of LKB1, a well-established activator of AMPK (Figure 4b) </w:t>
      </w:r>
      <w:r w:rsidRPr="00D72730">
        <w:rPr>
          <w:rFonts w:cstheme="minorHAnsi"/>
        </w:rPr>
        <w:fldChar w:fldCharType="begin"/>
      </w:r>
      <w:r w:rsidR="0018431A">
        <w:rPr>
          <w:rFonts w:cstheme="minorHAnsi"/>
        </w:rPr>
        <w:instrText>ADDIN RW.CITE{{doc:5e1f4478e4b0299a031a58b2 Behunin,SM 2015; doc:5e1f4468e4b0c146247aab81 Ducommun,S 2014}}</w:instrText>
      </w:r>
      <w:r w:rsidRPr="00D72730">
        <w:rPr>
          <w:rFonts w:cstheme="minorHAnsi"/>
        </w:rPr>
        <w:fldChar w:fldCharType="separate"/>
      </w:r>
      <w:r w:rsidR="00763715" w:rsidRPr="00763715">
        <w:rPr>
          <w:rFonts w:ascii="Calibri" w:hAnsi="Calibri" w:cs="Calibri"/>
          <w:bCs/>
        </w:rPr>
        <w:t>[42,43]</w:t>
      </w:r>
      <w:r w:rsidRPr="00D72730">
        <w:rPr>
          <w:rFonts w:cstheme="minorHAnsi"/>
        </w:rPr>
        <w:fldChar w:fldCharType="end"/>
      </w:r>
      <w:r w:rsidRPr="00D72730">
        <w:rPr>
          <w:rFonts w:cstheme="minorHAnsi"/>
        </w:rPr>
        <w:t xml:space="preserve">. Interestingly, exposure to hydrogen peroxide significantly elevated AMPK activity in HepG2 cells, however this was attenuated by dGTE1 and unaffected by dGTE2 (Figure 4c). To investigate the impact of AMPK on </w:t>
      </w:r>
      <w:proofErr w:type="spellStart"/>
      <w:r w:rsidRPr="00D72730">
        <w:rPr>
          <w:rFonts w:cstheme="minorHAnsi"/>
        </w:rPr>
        <w:t>dGTE</w:t>
      </w:r>
      <w:proofErr w:type="spellEnd"/>
      <w:r w:rsidRPr="00D72730">
        <w:rPr>
          <w:rFonts w:cstheme="minorHAnsi"/>
        </w:rPr>
        <w:t xml:space="preserve">-induced changes in cellular ROS, viability and apoptosis, cells were </w:t>
      </w:r>
      <w:proofErr w:type="spellStart"/>
      <w:r w:rsidRPr="00D72730">
        <w:rPr>
          <w:rFonts w:cstheme="minorHAnsi"/>
        </w:rPr>
        <w:t>pretreated</w:t>
      </w:r>
      <w:proofErr w:type="spellEnd"/>
      <w:r w:rsidRPr="00D72730">
        <w:rPr>
          <w:rFonts w:cstheme="minorHAnsi"/>
        </w:rPr>
        <w:t xml:space="preserve"> with the AMPK inhibitor (compound C) </w:t>
      </w:r>
      <w:r w:rsidRPr="00D72730">
        <w:rPr>
          <w:rFonts w:cstheme="minorHAnsi"/>
        </w:rPr>
        <w:fldChar w:fldCharType="begin"/>
      </w:r>
      <w:r w:rsidR="0018431A">
        <w:rPr>
          <w:rFonts w:cstheme="minorHAnsi"/>
        </w:rPr>
        <w:instrText>ADDIN RW.CITE{{doc:5e1f1336e4b0d16f0f6332c0 Jeong,A 2017}}</w:instrText>
      </w:r>
      <w:r w:rsidRPr="00D72730">
        <w:rPr>
          <w:rFonts w:cstheme="minorHAnsi"/>
        </w:rPr>
        <w:fldChar w:fldCharType="separate"/>
      </w:r>
      <w:r w:rsidR="00763715" w:rsidRPr="00763715">
        <w:rPr>
          <w:rFonts w:ascii="Calibri" w:hAnsi="Calibri" w:cs="Calibri"/>
          <w:bCs/>
        </w:rPr>
        <w:t>[32]</w:t>
      </w:r>
      <w:r w:rsidRPr="00D72730">
        <w:rPr>
          <w:rFonts w:cstheme="minorHAnsi"/>
        </w:rPr>
        <w:fldChar w:fldCharType="end"/>
      </w:r>
      <w:r w:rsidRPr="00D72730">
        <w:rPr>
          <w:rFonts w:cstheme="minorHAnsi"/>
        </w:rPr>
        <w:t xml:space="preserve"> in the presence and absence of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In the absence of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AMPK inhibition had no impact on baseline levels of ROS (Figure 4d), HepG2 cell viability (Figure 4e) or apoptosis (Figure 4f).  In the presence of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xml:space="preserve">, the AMPK inhibitor did not affect vehicle- or dGTE2-treated </w:t>
      </w:r>
      <w:proofErr w:type="gramStart"/>
      <w:r w:rsidRPr="00D72730">
        <w:rPr>
          <w:rFonts w:cstheme="minorHAnsi"/>
        </w:rPr>
        <w:t>cells, but</w:t>
      </w:r>
      <w:proofErr w:type="gramEnd"/>
      <w:r w:rsidRPr="00D72730">
        <w:rPr>
          <w:rFonts w:cstheme="minorHAnsi"/>
        </w:rPr>
        <w:t xml:space="preserve"> did prevent dGTE1 from protecting against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xml:space="preserve">-induced ROS accumulation (Figure 4d), reduced cell viability (Figure 4e) or increased apoptosis (Figure 4f).  </w:t>
      </w:r>
      <w:r w:rsidRPr="00D72730">
        <w:rPr>
          <w:rFonts w:cstheme="minorHAnsi"/>
        </w:rPr>
        <w:tab/>
        <w:t>These studies therefore show that, although both dGTE1 and dGTE2 increase AMPK activity, the negative impact of dGTE2 on HepG2 cells is AMPK-independent, whereas the positive effect of dGTE1, in settings of oxidative stress, is AMPK-dependent.</w:t>
      </w:r>
    </w:p>
    <w:p w14:paraId="0F88F3B6" w14:textId="77777777" w:rsidR="00910D76" w:rsidRPr="00D72730" w:rsidRDefault="00910D76" w:rsidP="008275D7">
      <w:pPr>
        <w:spacing w:after="0" w:line="480" w:lineRule="auto"/>
        <w:jc w:val="both"/>
        <w:rPr>
          <w:rFonts w:cstheme="minorHAnsi"/>
        </w:rPr>
      </w:pPr>
    </w:p>
    <w:p w14:paraId="13FA39C7" w14:textId="4C97A3CC" w:rsidR="00910D76" w:rsidRPr="00D72730" w:rsidRDefault="00910D76" w:rsidP="008275D7">
      <w:pPr>
        <w:spacing w:after="0" w:line="480" w:lineRule="auto"/>
        <w:jc w:val="both"/>
        <w:rPr>
          <w:rFonts w:cstheme="minorHAnsi"/>
          <w:b/>
          <w:u w:val="single"/>
        </w:rPr>
      </w:pPr>
      <w:r w:rsidRPr="00D72730">
        <w:rPr>
          <w:rFonts w:cstheme="minorHAnsi"/>
          <w:b/>
          <w:i/>
        </w:rPr>
        <w:t xml:space="preserve">Bioavailability of EGCG following consumption of dGTE1 </w:t>
      </w:r>
    </w:p>
    <w:p w14:paraId="018744AA" w14:textId="3BAFED90" w:rsidR="00910D76" w:rsidRDefault="00910D76" w:rsidP="008275D7">
      <w:pPr>
        <w:spacing w:after="0" w:line="480" w:lineRule="auto"/>
        <w:ind w:firstLine="720"/>
        <w:jc w:val="both"/>
        <w:rPr>
          <w:rFonts w:cstheme="minorHAnsi"/>
        </w:rPr>
      </w:pPr>
      <w:r w:rsidRPr="00D72730">
        <w:rPr>
          <w:rFonts w:cstheme="minorHAnsi"/>
        </w:rPr>
        <w:t xml:space="preserve">Whilst these studies indicate the effect of dGTE1 and dGTE2 on hepatocytes, the liver would not necessarily encounter these extracts but would likely be exposed to the major components of </w:t>
      </w:r>
      <w:proofErr w:type="spellStart"/>
      <w:r w:rsidRPr="00D72730">
        <w:rPr>
          <w:rFonts w:cstheme="minorHAnsi"/>
        </w:rPr>
        <w:t>dGTE</w:t>
      </w:r>
      <w:proofErr w:type="spellEnd"/>
      <w:r w:rsidRPr="00D72730">
        <w:rPr>
          <w:rFonts w:cstheme="minorHAnsi"/>
        </w:rPr>
        <w:t xml:space="preserve"> including catechins. We therefore next sought to understand whether EGCG, a key component in green tea extract, was responsible for the protective effects observed following dGTE1 exposure </w:t>
      </w:r>
      <w:r w:rsidRPr="00D72730">
        <w:rPr>
          <w:rFonts w:cstheme="minorHAnsi"/>
        </w:rPr>
        <w:fldChar w:fldCharType="begin"/>
      </w:r>
      <w:r w:rsidR="0018431A">
        <w:rPr>
          <w:rFonts w:cstheme="minorHAnsi"/>
        </w:rPr>
        <w:instrText>ADDIN RW.CITE{{doc:5e1f3b77e4b0d16f0f633ff7 Mi,Y 2017; doc:5e1dd6fee4b0f5d5c7bc228b Zhao,L 2017}}</w:instrText>
      </w:r>
      <w:r w:rsidRPr="00D72730">
        <w:rPr>
          <w:rFonts w:cstheme="minorHAnsi"/>
        </w:rPr>
        <w:fldChar w:fldCharType="separate"/>
      </w:r>
      <w:r w:rsidR="00763715" w:rsidRPr="00763715">
        <w:rPr>
          <w:rFonts w:ascii="Calibri" w:hAnsi="Calibri" w:cs="Calibri"/>
          <w:bCs/>
        </w:rPr>
        <w:t>[27,28]</w:t>
      </w:r>
      <w:r w:rsidRPr="00D72730">
        <w:rPr>
          <w:rFonts w:cstheme="minorHAnsi"/>
        </w:rPr>
        <w:fldChar w:fldCharType="end"/>
      </w:r>
      <w:r w:rsidRPr="00D72730">
        <w:rPr>
          <w:rFonts w:cstheme="minorHAnsi"/>
        </w:rPr>
        <w:t xml:space="preserve">.  Given the cytotoxic effects noted, it was deemed not ethical to assess the dGTE2 supplement in this study.  A bioavailability study was first carried out, using dGTE1 in healthy participants, to study the emergence of the exogenous measurable compound within green tea extract, EGCG, in plasma at </w:t>
      </w:r>
      <w:proofErr w:type="gramStart"/>
      <w:r w:rsidRPr="00D72730">
        <w:rPr>
          <w:rFonts w:cstheme="minorHAnsi"/>
        </w:rPr>
        <w:t>2 hour</w:t>
      </w:r>
      <w:proofErr w:type="gramEnd"/>
      <w:r w:rsidRPr="00D72730">
        <w:rPr>
          <w:rFonts w:cstheme="minorHAnsi"/>
        </w:rPr>
        <w:t xml:space="preserve"> intervals after the consumption of the supplement at recommended doses.</w:t>
      </w:r>
      <w:r w:rsidR="00A3618D">
        <w:rPr>
          <w:rFonts w:cstheme="minorHAnsi"/>
        </w:rPr>
        <w:t xml:space="preserve"> Bioavailability of EGCG was measured up to 6 hours post-consumption in line with </w:t>
      </w:r>
      <w:r w:rsidR="00B62BFA">
        <w:rPr>
          <w:rFonts w:cstheme="minorHAnsi"/>
        </w:rPr>
        <w:t>published studies showing that EGCG levels return to baseline by 8 hours</w:t>
      </w:r>
      <w:r w:rsidR="00521B42">
        <w:rPr>
          <w:rFonts w:cstheme="minorHAnsi"/>
        </w:rPr>
        <w:t xml:space="preserve"> </w:t>
      </w:r>
      <w:r w:rsidR="00353308">
        <w:rPr>
          <w:rFonts w:cstheme="minorHAnsi"/>
        </w:rPr>
        <w:fldChar w:fldCharType="begin"/>
      </w:r>
      <w:r w:rsidR="00353308">
        <w:rPr>
          <w:rFonts w:cstheme="minorHAnsi"/>
        </w:rPr>
        <w:instrText>ADDIN RW.CITE{{doc:60201f678f08520aa02ca2c5 Naumovski,N 2015}}</w:instrText>
      </w:r>
      <w:r w:rsidR="00353308">
        <w:rPr>
          <w:rFonts w:cstheme="minorHAnsi"/>
        </w:rPr>
        <w:fldChar w:fldCharType="separate"/>
      </w:r>
      <w:r w:rsidR="00763715" w:rsidRPr="00763715">
        <w:rPr>
          <w:rFonts w:ascii="Calibri" w:hAnsi="Calibri" w:cs="Calibri"/>
          <w:bCs/>
          <w:lang w:val="en-US"/>
        </w:rPr>
        <w:t>[44]</w:t>
      </w:r>
      <w:r w:rsidR="00353308">
        <w:rPr>
          <w:rFonts w:cstheme="minorHAnsi"/>
        </w:rPr>
        <w:fldChar w:fldCharType="end"/>
      </w:r>
      <w:r w:rsidR="00521B42">
        <w:rPr>
          <w:rFonts w:cstheme="minorHAnsi"/>
        </w:rPr>
        <w:t>.</w:t>
      </w:r>
      <w:r w:rsidRPr="00D72730">
        <w:rPr>
          <w:rFonts w:cstheme="minorHAnsi"/>
        </w:rPr>
        <w:t xml:space="preserve">  At 2 hours, there was an increase in the concentration of EGCG in the plasma which continued to rise at </w:t>
      </w:r>
      <w:proofErr w:type="gramStart"/>
      <w:r w:rsidRPr="00D72730">
        <w:rPr>
          <w:rFonts w:cstheme="minorHAnsi"/>
        </w:rPr>
        <w:t>4 and 6 hours</w:t>
      </w:r>
      <w:proofErr w:type="gramEnd"/>
      <w:r w:rsidRPr="00D72730">
        <w:rPr>
          <w:rFonts w:cstheme="minorHAnsi"/>
        </w:rPr>
        <w:t xml:space="preserve"> post-consumption of the supplement, to reach significance (Table 3). The maximal plasma concentration at 6 hours following oral </w:t>
      </w:r>
      <w:r w:rsidRPr="00D72730">
        <w:rPr>
          <w:rFonts w:cstheme="minorHAnsi"/>
        </w:rPr>
        <w:lastRenderedPageBreak/>
        <w:t>supplementation was 0.2631 µg·</w:t>
      </w:r>
      <w:proofErr w:type="gramStart"/>
      <w:r w:rsidRPr="00D72730">
        <w:rPr>
          <w:rFonts w:cstheme="minorHAnsi"/>
        </w:rPr>
        <w:t>ml</w:t>
      </w:r>
      <w:r w:rsidRPr="00D72730">
        <w:rPr>
          <w:rFonts w:cstheme="minorHAnsi"/>
          <w:vertAlign w:val="superscript"/>
        </w:rPr>
        <w:t>-1</w:t>
      </w:r>
      <w:proofErr w:type="gramEnd"/>
      <w:r w:rsidRPr="00D72730">
        <w:rPr>
          <w:rFonts w:cstheme="minorHAnsi"/>
        </w:rPr>
        <w:t>.  These data indicate the EGCG concentration in the plasma from consumption of dGTE1 at this dosage was equivalent is 0.263 µg·ml</w:t>
      </w:r>
      <w:r w:rsidRPr="00D72730">
        <w:rPr>
          <w:rFonts w:cstheme="minorHAnsi"/>
          <w:vertAlign w:val="superscript"/>
        </w:rPr>
        <w:t>-1</w:t>
      </w:r>
      <w:r w:rsidRPr="00D72730">
        <w:rPr>
          <w:rFonts w:cstheme="minorHAnsi"/>
        </w:rPr>
        <w:t xml:space="preserve"> and that hepatocytes would indeed encounter the catechin EGCG, at this concentration.</w:t>
      </w:r>
    </w:p>
    <w:p w14:paraId="6795DCF3" w14:textId="77777777" w:rsidR="00E16D25" w:rsidRPr="00D72730" w:rsidRDefault="00E16D25" w:rsidP="008275D7">
      <w:pPr>
        <w:spacing w:after="0" w:line="480" w:lineRule="auto"/>
        <w:ind w:firstLine="720"/>
        <w:jc w:val="both"/>
        <w:rPr>
          <w:rFonts w:cstheme="minorHAnsi"/>
        </w:rPr>
      </w:pPr>
    </w:p>
    <w:p w14:paraId="16532AF4" w14:textId="2EEF6358" w:rsidR="00910D76" w:rsidRPr="00D72730" w:rsidRDefault="00910D76" w:rsidP="008275D7">
      <w:pPr>
        <w:spacing w:after="0" w:line="480" w:lineRule="auto"/>
        <w:jc w:val="both"/>
        <w:rPr>
          <w:rFonts w:cstheme="minorHAnsi"/>
          <w:b/>
          <w:bCs/>
          <w:i/>
          <w:iCs/>
        </w:rPr>
      </w:pPr>
      <w:r w:rsidRPr="00D72730">
        <w:rPr>
          <w:rFonts w:cstheme="minorHAnsi"/>
          <w:b/>
          <w:bCs/>
          <w:i/>
          <w:iCs/>
        </w:rPr>
        <w:t xml:space="preserve">EGCG protects against hydrogen peroxide-induced oxidative stress and cell death in a manner </w:t>
      </w:r>
      <w:proofErr w:type="gramStart"/>
      <w:r w:rsidRPr="00D72730">
        <w:rPr>
          <w:rFonts w:cstheme="minorHAnsi"/>
          <w:b/>
          <w:bCs/>
          <w:i/>
          <w:iCs/>
        </w:rPr>
        <w:t>similar to</w:t>
      </w:r>
      <w:proofErr w:type="gramEnd"/>
      <w:r w:rsidRPr="00D72730">
        <w:rPr>
          <w:rFonts w:cstheme="minorHAnsi"/>
          <w:b/>
          <w:bCs/>
          <w:i/>
          <w:iCs/>
        </w:rPr>
        <w:t xml:space="preserve"> dGTE1</w:t>
      </w:r>
    </w:p>
    <w:p w14:paraId="0FA386F2" w14:textId="0498B497" w:rsidR="00910D76" w:rsidRPr="00D72730" w:rsidRDefault="00910D76" w:rsidP="008275D7">
      <w:pPr>
        <w:spacing w:after="0" w:line="480" w:lineRule="auto"/>
        <w:ind w:firstLine="720"/>
        <w:jc w:val="both"/>
        <w:rPr>
          <w:rFonts w:cstheme="minorHAnsi"/>
          <w:shd w:val="clear" w:color="auto" w:fill="FFFFFF"/>
        </w:rPr>
      </w:pPr>
      <w:r w:rsidRPr="00D72730">
        <w:rPr>
          <w:rFonts w:cstheme="minorHAnsi"/>
        </w:rPr>
        <w:t xml:space="preserve">Next, we therefore assessed the effect of EGCG, at the </w:t>
      </w:r>
      <w:proofErr w:type="gramStart"/>
      <w:r w:rsidRPr="00D72730">
        <w:rPr>
          <w:rFonts w:cstheme="minorHAnsi"/>
        </w:rPr>
        <w:t>physiologically-relevant</w:t>
      </w:r>
      <w:proofErr w:type="gramEnd"/>
      <w:r w:rsidRPr="00D72730">
        <w:rPr>
          <w:rFonts w:cstheme="minorHAnsi"/>
        </w:rPr>
        <w:t xml:space="preserve"> concentration of 0.263 µg·ml</w:t>
      </w:r>
      <w:r w:rsidRPr="00D72730">
        <w:rPr>
          <w:rFonts w:cstheme="minorHAnsi"/>
          <w:vertAlign w:val="superscript"/>
        </w:rPr>
        <w:t>-1</w:t>
      </w:r>
      <w:r w:rsidRPr="00D72730">
        <w:rPr>
          <w:rFonts w:cstheme="minorHAnsi"/>
        </w:rPr>
        <w:t>, on hepatic cell functions to understand whether this was responsible for the dGTE1-induced protection.  HepG2 cells were exposed to EGCG for 24 hours, to mirror dGTE1 studies, and cell viability and apoptosis, cellular and mitochondrial ROS, and AMPK signalling was assessed.  Treatment with EGCG had no impact on baseline cellular (Figure 5a) or mitochondrial (Figure 5b) ROS accumulation, mitochondrial membrane depolarisation (Figure 5c), viability (Figure 5d) or apoptosis (Figure 5e).  Interestingly, EGCG exposure protected against H</w:t>
      </w:r>
      <w:r w:rsidRPr="00D72730">
        <w:rPr>
          <w:rFonts w:cstheme="minorHAnsi"/>
          <w:vertAlign w:val="subscript"/>
        </w:rPr>
        <w:t>2</w:t>
      </w:r>
      <w:r w:rsidRPr="00D72730">
        <w:rPr>
          <w:rFonts w:cstheme="minorHAnsi"/>
        </w:rPr>
        <w:t>O</w:t>
      </w:r>
      <w:r w:rsidRPr="00D72730">
        <w:rPr>
          <w:rFonts w:cstheme="minorHAnsi"/>
          <w:vertAlign w:val="subscript"/>
        </w:rPr>
        <w:t>2</w:t>
      </w:r>
      <w:r w:rsidRPr="00D72730">
        <w:rPr>
          <w:rFonts w:cstheme="minorHAnsi"/>
        </w:rPr>
        <w:t xml:space="preserve">-induced oxidative stress (Figure 5a and 5b) and mitochondrial membrane disruption (Figure 5c), as well as preventing cell death (Figure 5d) and apoptosis (Figure 5e). The </w:t>
      </w:r>
      <w:r w:rsidRPr="00D72730">
        <w:rPr>
          <w:rFonts w:cstheme="minorHAnsi"/>
          <w:shd w:val="clear" w:color="auto" w:fill="FFFFFF"/>
        </w:rPr>
        <w:t>catechin did, however, increase AMPK levels at baseline and was not able to impact H</w:t>
      </w:r>
      <w:r w:rsidRPr="00D72730">
        <w:rPr>
          <w:rFonts w:cstheme="minorHAnsi"/>
          <w:shd w:val="clear" w:color="auto" w:fill="FFFFFF"/>
          <w:vertAlign w:val="subscript"/>
        </w:rPr>
        <w:t>2</w:t>
      </w:r>
      <w:r w:rsidRPr="00D72730">
        <w:rPr>
          <w:rFonts w:cstheme="minorHAnsi"/>
          <w:shd w:val="clear" w:color="auto" w:fill="FFFFFF"/>
        </w:rPr>
        <w:t>O</w:t>
      </w:r>
      <w:r w:rsidRPr="00D72730">
        <w:rPr>
          <w:rFonts w:cstheme="minorHAnsi"/>
          <w:shd w:val="clear" w:color="auto" w:fill="FFFFFF"/>
          <w:vertAlign w:val="subscript"/>
        </w:rPr>
        <w:t>2</w:t>
      </w:r>
      <w:r w:rsidRPr="00D72730">
        <w:rPr>
          <w:rFonts w:cstheme="minorHAnsi"/>
          <w:shd w:val="clear" w:color="auto" w:fill="FFFFFF"/>
        </w:rPr>
        <w:t xml:space="preserve">-induced increase in AMPK activity (Figure 5f).  These findings demonstrate that EGCG exposure, at </w:t>
      </w:r>
      <w:proofErr w:type="gramStart"/>
      <w:r w:rsidRPr="00D72730">
        <w:rPr>
          <w:rFonts w:cstheme="minorHAnsi"/>
          <w:shd w:val="clear" w:color="auto" w:fill="FFFFFF"/>
        </w:rPr>
        <w:t>physiologically-relevant</w:t>
      </w:r>
      <w:proofErr w:type="gramEnd"/>
      <w:r w:rsidRPr="00D72730">
        <w:rPr>
          <w:rFonts w:cstheme="minorHAnsi"/>
          <w:shd w:val="clear" w:color="auto" w:fill="FFFFFF"/>
        </w:rPr>
        <w:t xml:space="preserve">, bioavailable concentrations, closely mirrors the protective effect of dGTE1 </w:t>
      </w:r>
      <w:r w:rsidR="002F41E6">
        <w:rPr>
          <w:rFonts w:cstheme="minorHAnsi"/>
          <w:shd w:val="clear" w:color="auto" w:fill="FFFFFF"/>
        </w:rPr>
        <w:t>however it is</w:t>
      </w:r>
      <w:r w:rsidRPr="00D72730">
        <w:rPr>
          <w:rFonts w:cstheme="minorHAnsi"/>
          <w:shd w:val="clear" w:color="auto" w:fill="FFFFFF"/>
        </w:rPr>
        <w:t xml:space="preserve"> acting through an AMPK-independent pathway.  </w:t>
      </w:r>
    </w:p>
    <w:p w14:paraId="7C27BC6A" w14:textId="77777777" w:rsidR="00910D76" w:rsidRPr="00D72730" w:rsidRDefault="00910D76" w:rsidP="008275D7">
      <w:pPr>
        <w:spacing w:after="0" w:line="480" w:lineRule="auto"/>
        <w:jc w:val="both"/>
        <w:rPr>
          <w:rFonts w:cstheme="minorHAnsi"/>
          <w:bCs/>
        </w:rPr>
      </w:pPr>
    </w:p>
    <w:p w14:paraId="1B742040" w14:textId="54A575F2" w:rsidR="00910D76" w:rsidRPr="00D72730" w:rsidRDefault="00910D76" w:rsidP="008275D7">
      <w:pPr>
        <w:spacing w:after="0" w:line="480" w:lineRule="auto"/>
        <w:jc w:val="both"/>
        <w:rPr>
          <w:rFonts w:cstheme="minorHAnsi"/>
          <w:b/>
          <w:bCs/>
          <w:i/>
          <w:iCs/>
        </w:rPr>
      </w:pPr>
      <w:r w:rsidRPr="00D72730">
        <w:rPr>
          <w:rFonts w:cstheme="minorHAnsi"/>
          <w:b/>
          <w:i/>
          <w:iCs/>
        </w:rPr>
        <w:t>dGTE2 contains stearic acid and higher levels of palmitic acid and caffeine than dGTE1</w:t>
      </w:r>
    </w:p>
    <w:p w14:paraId="5C14F438" w14:textId="63A3F6DB" w:rsidR="00910D76" w:rsidRPr="00D72730" w:rsidRDefault="00910D76" w:rsidP="000E1907">
      <w:pPr>
        <w:spacing w:after="0" w:line="480" w:lineRule="auto"/>
        <w:ind w:firstLine="720"/>
        <w:jc w:val="both"/>
        <w:rPr>
          <w:rFonts w:cstheme="minorHAnsi"/>
        </w:rPr>
      </w:pPr>
      <w:r w:rsidRPr="00D72730">
        <w:rPr>
          <w:rFonts w:cstheme="minorHAnsi"/>
        </w:rPr>
        <w:t xml:space="preserve">Our final set of experiments were performed using GC-MS to give qualitative identification and differences of the chemical composition of dGTE1 and dGTE2. A comparison of dGTE1 and dGTE2 demonstrated 3 specific differences observed at various retention times (Figure 6a, Table 4).  A peak at retention time of 7.5 and 13 mins was present in both dGTE1 and dGTE2 and is therefore not discussed here.  A higher level of caffeine and palmitic acid was observed in dGTE2 compared to dGTE1 at a retention time of 11.28 mins (Figure 6a and mass spectrum in Figure 6b) and 12.33 mins (Figure </w:t>
      </w:r>
      <w:r w:rsidRPr="00D72730">
        <w:rPr>
          <w:rFonts w:cstheme="minorHAnsi"/>
        </w:rPr>
        <w:lastRenderedPageBreak/>
        <w:t xml:space="preserve">6a and mass spectrum in Figure 6c) respectively. In addition, steric acid was identified in dGTE2 but not dGTE1 at a retention time of 13.7 mins (Figure 6a and mass spectrum in Figure 6d).  This qualitative analysis indicates key differences in the chemical composition of dGTE1 and dGTE2 which </w:t>
      </w:r>
      <w:r w:rsidR="00367B72">
        <w:rPr>
          <w:rFonts w:cstheme="minorHAnsi"/>
        </w:rPr>
        <w:t>are</w:t>
      </w:r>
      <w:r w:rsidR="0094648B">
        <w:rPr>
          <w:rFonts w:cstheme="minorHAnsi"/>
        </w:rPr>
        <w:t xml:space="preserve"> likely to be</w:t>
      </w:r>
      <w:r w:rsidR="00367B72" w:rsidRPr="00D72730">
        <w:rPr>
          <w:rFonts w:cstheme="minorHAnsi"/>
        </w:rPr>
        <w:t xml:space="preserve"> </w:t>
      </w:r>
      <w:r w:rsidRPr="00D72730">
        <w:rPr>
          <w:rFonts w:cstheme="minorHAnsi"/>
        </w:rPr>
        <w:t>linked to the differing biological effects of each on HepG2 cells.</w:t>
      </w:r>
    </w:p>
    <w:p w14:paraId="2AE9E2C9" w14:textId="78CE1A6A" w:rsidR="00910D76" w:rsidRPr="00D72730" w:rsidRDefault="00910D76" w:rsidP="000E1907">
      <w:pPr>
        <w:pStyle w:val="Heading1"/>
      </w:pPr>
      <w:r w:rsidRPr="00D72730">
        <w:t>Discussion</w:t>
      </w:r>
    </w:p>
    <w:p w14:paraId="69ADF5B6" w14:textId="77777777" w:rsidR="00910D76" w:rsidRPr="00D72730" w:rsidRDefault="00910D76" w:rsidP="008275D7">
      <w:pPr>
        <w:spacing w:after="0" w:line="480" w:lineRule="auto"/>
        <w:ind w:firstLine="720"/>
        <w:jc w:val="both"/>
        <w:rPr>
          <w:rFonts w:cstheme="minorHAnsi"/>
        </w:rPr>
      </w:pPr>
      <w:r w:rsidRPr="00D72730">
        <w:rPr>
          <w:rFonts w:cstheme="minorHAnsi"/>
        </w:rPr>
        <w:t xml:space="preserve">The present study sought to establish the effect of two </w:t>
      </w:r>
      <w:proofErr w:type="spellStart"/>
      <w:r w:rsidRPr="00D72730">
        <w:rPr>
          <w:rFonts w:cstheme="minorHAnsi"/>
        </w:rPr>
        <w:t>dGTE</w:t>
      </w:r>
      <w:proofErr w:type="spellEnd"/>
      <w:r w:rsidRPr="00D72730">
        <w:rPr>
          <w:rFonts w:cstheme="minorHAnsi"/>
        </w:rPr>
        <w:t xml:space="preserve"> on hepatocyte function using an </w:t>
      </w:r>
      <w:r w:rsidRPr="00D72730">
        <w:rPr>
          <w:rFonts w:cstheme="minorHAnsi"/>
          <w:i/>
          <w:iCs/>
        </w:rPr>
        <w:t xml:space="preserve">in vitro </w:t>
      </w:r>
      <w:r w:rsidRPr="00D72730">
        <w:rPr>
          <w:rFonts w:cstheme="minorHAnsi"/>
        </w:rPr>
        <w:t xml:space="preserve">model. We identified that the two extracts had opposing effects on HepG2 cell viability through apoptosis, cellular and mitochondrial oxidative </w:t>
      </w:r>
      <w:proofErr w:type="gramStart"/>
      <w:r w:rsidRPr="00D72730">
        <w:rPr>
          <w:rFonts w:cstheme="minorHAnsi"/>
        </w:rPr>
        <w:t>stress</w:t>
      </w:r>
      <w:proofErr w:type="gramEnd"/>
      <w:r w:rsidRPr="00D72730">
        <w:rPr>
          <w:rFonts w:cstheme="minorHAnsi"/>
        </w:rPr>
        <w:t xml:space="preserve"> and mitochondrial membrane depolarisation.  dGTE1 was protective against hydrogen peroxide-induced apoptosis and cell death, accumulation of ROS, and mitochondrial disruption, indicative of an antioxidant profile.  In contrast, dGTE2 was cytotoxic with increased apoptosis and cell death, oxidative stress in the cell and within the mitochondria, and excessive mitochondrial membrane depolarisation. Interestingly, both extracts increased activation of AMPK and upstream signalling, however the protective effect of dGTE1 was blocked by the AMPK inhibitor, compound C.  Further study of the bioavailability of the key catechin in </w:t>
      </w:r>
      <w:proofErr w:type="spellStart"/>
      <w:r w:rsidRPr="00D72730">
        <w:rPr>
          <w:rFonts w:cstheme="minorHAnsi"/>
        </w:rPr>
        <w:t>dGTE</w:t>
      </w:r>
      <w:proofErr w:type="spellEnd"/>
      <w:r w:rsidRPr="00D72730">
        <w:rPr>
          <w:rFonts w:cstheme="minorHAnsi"/>
        </w:rPr>
        <w:t xml:space="preserve"> (EGCG) in humans indicated a </w:t>
      </w:r>
      <w:proofErr w:type="gramStart"/>
      <w:r w:rsidRPr="00D72730">
        <w:rPr>
          <w:rFonts w:cstheme="minorHAnsi"/>
        </w:rPr>
        <w:t>physiologically-relevant</w:t>
      </w:r>
      <w:proofErr w:type="gramEnd"/>
      <w:r w:rsidRPr="00D72730">
        <w:rPr>
          <w:rFonts w:cstheme="minorHAnsi"/>
        </w:rPr>
        <w:t xml:space="preserve"> concentration which was studied in the </w:t>
      </w:r>
      <w:r w:rsidRPr="00D72730">
        <w:rPr>
          <w:rFonts w:cstheme="minorHAnsi"/>
          <w:i/>
          <w:iCs/>
        </w:rPr>
        <w:t xml:space="preserve">in vitro </w:t>
      </w:r>
      <w:r w:rsidRPr="00D72730">
        <w:rPr>
          <w:rFonts w:cstheme="minorHAnsi"/>
        </w:rPr>
        <w:t xml:space="preserve">cell model. EGCG, at this concentration, exhibited a cytoprotective effect </w:t>
      </w:r>
      <w:proofErr w:type="gramStart"/>
      <w:r w:rsidRPr="00D72730">
        <w:rPr>
          <w:rFonts w:cstheme="minorHAnsi"/>
        </w:rPr>
        <w:t>similar to</w:t>
      </w:r>
      <w:proofErr w:type="gramEnd"/>
      <w:r w:rsidRPr="00D72730">
        <w:rPr>
          <w:rFonts w:cstheme="minorHAnsi"/>
        </w:rPr>
        <w:t xml:space="preserve"> that of dGTE1. These studies are the first to demonstrate opposing effects of two </w:t>
      </w:r>
      <w:proofErr w:type="spellStart"/>
      <w:r w:rsidRPr="00D72730">
        <w:rPr>
          <w:rFonts w:cstheme="minorHAnsi"/>
        </w:rPr>
        <w:t>dGTE</w:t>
      </w:r>
      <w:proofErr w:type="spellEnd"/>
      <w:r w:rsidRPr="00D72730">
        <w:rPr>
          <w:rFonts w:cstheme="minorHAnsi"/>
        </w:rPr>
        <w:t xml:space="preserve"> supplements, one which is </w:t>
      </w:r>
      <w:proofErr w:type="gramStart"/>
      <w:r w:rsidRPr="00D72730">
        <w:rPr>
          <w:rFonts w:cstheme="minorHAnsi"/>
        </w:rPr>
        <w:t>commercially-available</w:t>
      </w:r>
      <w:proofErr w:type="gramEnd"/>
      <w:r w:rsidRPr="00D72730">
        <w:rPr>
          <w:rFonts w:cstheme="minorHAnsi"/>
        </w:rPr>
        <w:t xml:space="preserve"> and one which was purchased directly from the source, and establish the effect of </w:t>
      </w:r>
      <w:proofErr w:type="spellStart"/>
      <w:r w:rsidRPr="00D72730">
        <w:rPr>
          <w:rFonts w:cstheme="minorHAnsi"/>
        </w:rPr>
        <w:t>dGTE</w:t>
      </w:r>
      <w:proofErr w:type="spellEnd"/>
      <w:r w:rsidRPr="00D72730">
        <w:rPr>
          <w:rFonts w:cstheme="minorHAnsi"/>
        </w:rPr>
        <w:t xml:space="preserve"> on the liver at a cellular level. </w:t>
      </w:r>
    </w:p>
    <w:p w14:paraId="51B825E7" w14:textId="2674C387" w:rsidR="00910D76" w:rsidRPr="00D72730" w:rsidRDefault="00910D76" w:rsidP="008275D7">
      <w:pPr>
        <w:shd w:val="clear" w:color="auto" w:fill="FFFFFF"/>
        <w:spacing w:after="0" w:line="480" w:lineRule="auto"/>
        <w:ind w:firstLine="720"/>
        <w:jc w:val="both"/>
        <w:rPr>
          <w:rFonts w:cstheme="minorHAnsi"/>
        </w:rPr>
      </w:pPr>
      <w:r w:rsidRPr="00D72730">
        <w:rPr>
          <w:rFonts w:cstheme="minorHAnsi"/>
        </w:rPr>
        <w:t xml:space="preserve">Whilst these studies demonstrate a positive and negative effect of dGTE1 and dGTE2, respectively, on hepatocyte function, it is unlikely that the liver would be exposed to the extracts at these concentrations.  GTE has been demonstrated to be comprised of a range of compounds, including catechins and polyphenols, although this varies greatly depending on the type of green tea studied and the processes used to prepare the extract </w:t>
      </w:r>
      <w:r w:rsidRPr="00D72730">
        <w:rPr>
          <w:rFonts w:cstheme="minorHAnsi"/>
        </w:rPr>
        <w:fldChar w:fldCharType="begin"/>
      </w:r>
      <w:r w:rsidR="0018431A">
        <w:rPr>
          <w:rFonts w:cstheme="minorHAnsi"/>
        </w:rPr>
        <w:instrText>ADDIN RW.CITE{{doc:5e1dd606e4b0c88acc28b3cc [NoInformation] 2012}}</w:instrText>
      </w:r>
      <w:r w:rsidRPr="00D72730">
        <w:rPr>
          <w:rFonts w:cstheme="minorHAnsi"/>
        </w:rPr>
        <w:fldChar w:fldCharType="separate"/>
      </w:r>
      <w:r w:rsidR="009D6D5E" w:rsidRPr="009D6D5E">
        <w:rPr>
          <w:rFonts w:ascii="Calibri" w:hAnsi="Calibri" w:cs="Calibri"/>
          <w:bCs/>
        </w:rPr>
        <w:t>[1]</w:t>
      </w:r>
      <w:r w:rsidRPr="00D72730">
        <w:rPr>
          <w:rFonts w:cstheme="minorHAnsi"/>
        </w:rPr>
        <w:fldChar w:fldCharType="end"/>
      </w:r>
      <w:r w:rsidRPr="00D72730">
        <w:rPr>
          <w:rFonts w:cstheme="minorHAnsi"/>
        </w:rPr>
        <w:t xml:space="preserve">.  These compounds have been indicated to undergo sulfation, glucuronidation, and potentially o-methylation in the small intestine from where they are transported to the liver, via hepatic portal vein, for potential further metabolism </w:t>
      </w:r>
      <w:r w:rsidRPr="00D72730">
        <w:rPr>
          <w:rFonts w:cstheme="minorHAnsi"/>
        </w:rPr>
        <w:fldChar w:fldCharType="begin"/>
      </w:r>
      <w:r w:rsidR="0018431A">
        <w:rPr>
          <w:rFonts w:cstheme="minorHAnsi"/>
        </w:rPr>
        <w:instrText>ADDIN RW.CITE{{doc:5e7cd798e4b0282dfa4b181a Meng,X 2001}}</w:instrText>
      </w:r>
      <w:r w:rsidRPr="00D72730">
        <w:rPr>
          <w:rFonts w:cstheme="minorHAnsi"/>
        </w:rPr>
        <w:fldChar w:fldCharType="separate"/>
      </w:r>
      <w:r w:rsidR="00763715" w:rsidRPr="00763715">
        <w:rPr>
          <w:rFonts w:ascii="Calibri" w:hAnsi="Calibri" w:cs="Calibri"/>
          <w:bCs/>
        </w:rPr>
        <w:t>[45]</w:t>
      </w:r>
      <w:r w:rsidRPr="00D72730">
        <w:rPr>
          <w:rFonts w:cstheme="minorHAnsi"/>
        </w:rPr>
        <w:fldChar w:fldCharType="end"/>
      </w:r>
      <w:r w:rsidRPr="00D72730">
        <w:rPr>
          <w:rFonts w:cstheme="minorHAnsi"/>
        </w:rPr>
        <w:t xml:space="preserve">.  </w:t>
      </w:r>
      <w:r w:rsidRPr="00D72730">
        <w:rPr>
          <w:rFonts w:cstheme="minorHAnsi"/>
        </w:rPr>
        <w:lastRenderedPageBreak/>
        <w:t xml:space="preserve">Furthermore, the intestinal microflora produces catabolites including </w:t>
      </w:r>
      <w:proofErr w:type="spellStart"/>
      <w:r w:rsidRPr="00D72730">
        <w:rPr>
          <w:rFonts w:cstheme="minorHAnsi"/>
        </w:rPr>
        <w:t>phenylvaleric</w:t>
      </w:r>
      <w:proofErr w:type="spellEnd"/>
      <w:r w:rsidRPr="00D72730">
        <w:rPr>
          <w:rFonts w:cstheme="minorHAnsi"/>
        </w:rPr>
        <w:t xml:space="preserve"> acid and </w:t>
      </w:r>
      <w:proofErr w:type="spellStart"/>
      <w:r w:rsidRPr="00D72730">
        <w:rPr>
          <w:rFonts w:cstheme="minorHAnsi"/>
        </w:rPr>
        <w:t>phenylvalerolactones</w:t>
      </w:r>
      <w:proofErr w:type="spellEnd"/>
      <w:r w:rsidRPr="00D72730">
        <w:rPr>
          <w:rFonts w:cstheme="minorHAnsi"/>
        </w:rPr>
        <w:t xml:space="preserve"> </w:t>
      </w:r>
      <w:r w:rsidRPr="00D72730">
        <w:rPr>
          <w:rFonts w:cstheme="minorHAnsi"/>
        </w:rPr>
        <w:fldChar w:fldCharType="begin"/>
      </w:r>
      <w:r w:rsidR="0018431A">
        <w:rPr>
          <w:rFonts w:cstheme="minorHAnsi"/>
        </w:rPr>
        <w:instrText>ADDIN RW.CITE{{doc:5e7cd819e4b02c492752d71e Li,C 2000}}</w:instrText>
      </w:r>
      <w:r w:rsidRPr="00D72730">
        <w:rPr>
          <w:rFonts w:cstheme="minorHAnsi"/>
        </w:rPr>
        <w:fldChar w:fldCharType="separate"/>
      </w:r>
      <w:r w:rsidR="00763715" w:rsidRPr="00763715">
        <w:rPr>
          <w:rFonts w:ascii="Calibri" w:hAnsi="Calibri" w:cs="Calibri"/>
          <w:bCs/>
        </w:rPr>
        <w:t>[46]</w:t>
      </w:r>
      <w:r w:rsidRPr="00D72730">
        <w:rPr>
          <w:rFonts w:cstheme="minorHAnsi"/>
        </w:rPr>
        <w:fldChar w:fldCharType="end"/>
      </w:r>
      <w:r w:rsidRPr="00D72730">
        <w:rPr>
          <w:rFonts w:cstheme="minorHAnsi"/>
        </w:rPr>
        <w:t xml:space="preserve">.  Together, this gives rise to at least 10 potential metabolic products which have been identified in plasma and urine following consumption of different products containing green tea extract </w:t>
      </w:r>
      <w:r w:rsidRPr="00D72730">
        <w:rPr>
          <w:rFonts w:cstheme="minorHAnsi"/>
        </w:rPr>
        <w:fldChar w:fldCharType="begin"/>
      </w:r>
      <w:r w:rsidR="0018431A">
        <w:rPr>
          <w:rFonts w:cstheme="minorHAnsi"/>
        </w:rPr>
        <w:instrText>ADDIN RW.CITE{{doc:5e7cd82fe4b03e5926379085 Stalmach,A 2009}}</w:instrText>
      </w:r>
      <w:r w:rsidRPr="00D72730">
        <w:rPr>
          <w:rFonts w:cstheme="minorHAnsi"/>
        </w:rPr>
        <w:fldChar w:fldCharType="separate"/>
      </w:r>
      <w:r w:rsidR="00763715" w:rsidRPr="00763715">
        <w:rPr>
          <w:rFonts w:ascii="Calibri" w:hAnsi="Calibri" w:cs="Calibri"/>
          <w:bCs/>
        </w:rPr>
        <w:t>[47]</w:t>
      </w:r>
      <w:r w:rsidRPr="00D72730">
        <w:rPr>
          <w:rFonts w:cstheme="minorHAnsi"/>
        </w:rPr>
        <w:fldChar w:fldCharType="end"/>
      </w:r>
      <w:r w:rsidRPr="00D72730">
        <w:rPr>
          <w:rFonts w:cstheme="minorHAnsi"/>
        </w:rPr>
        <w:t xml:space="preserve">.  </w:t>
      </w:r>
      <w:r w:rsidR="008C369C">
        <w:rPr>
          <w:rFonts w:cstheme="minorHAnsi"/>
        </w:rPr>
        <w:t>Furthermore, HepG2 cells express low levels of cytochrome P450</w:t>
      </w:r>
      <w:r w:rsidR="002B4AE3">
        <w:rPr>
          <w:rFonts w:cstheme="minorHAnsi"/>
        </w:rPr>
        <w:t xml:space="preserve"> resulting in reduced metabolic capacity when compared to primary human hepatocytes </w:t>
      </w:r>
      <w:r w:rsidR="004C17B7">
        <w:rPr>
          <w:rFonts w:cstheme="minorHAnsi"/>
        </w:rPr>
        <w:fldChar w:fldCharType="begin"/>
      </w:r>
      <w:r w:rsidR="004C17B7">
        <w:rPr>
          <w:rFonts w:cstheme="minorHAnsi"/>
        </w:rPr>
        <w:instrText>ADDIN RW.CITE{{doc:601db0738f08771651ab433c Westerink,WM 2007}}</w:instrText>
      </w:r>
      <w:r w:rsidR="004C17B7">
        <w:rPr>
          <w:rFonts w:cstheme="minorHAnsi"/>
        </w:rPr>
        <w:fldChar w:fldCharType="separate"/>
      </w:r>
      <w:r w:rsidR="00763715" w:rsidRPr="00763715">
        <w:rPr>
          <w:rFonts w:ascii="Calibri" w:hAnsi="Calibri" w:cs="Calibri"/>
          <w:bCs/>
          <w:lang w:val="en-US"/>
        </w:rPr>
        <w:t>[48]</w:t>
      </w:r>
      <w:r w:rsidR="004C17B7">
        <w:rPr>
          <w:rFonts w:cstheme="minorHAnsi"/>
        </w:rPr>
        <w:fldChar w:fldCharType="end"/>
      </w:r>
      <w:r w:rsidR="002B4AE3">
        <w:rPr>
          <w:rFonts w:cstheme="minorHAnsi"/>
        </w:rPr>
        <w:t xml:space="preserve">.  </w:t>
      </w:r>
      <w:r w:rsidRPr="00D72730">
        <w:rPr>
          <w:rFonts w:cstheme="minorHAnsi"/>
        </w:rPr>
        <w:t xml:space="preserve">Therefore, to further understand the impact of dGTE1 and dGTE2 on HepG2 cells, it would be necessary to identify the compounds which comprise each extract, pinpoint the associated metabolites for each </w:t>
      </w:r>
      <w:proofErr w:type="spellStart"/>
      <w:r w:rsidRPr="00D72730">
        <w:rPr>
          <w:rFonts w:cstheme="minorHAnsi"/>
        </w:rPr>
        <w:t>dGTE</w:t>
      </w:r>
      <w:proofErr w:type="spellEnd"/>
      <w:r w:rsidRPr="00D72730">
        <w:rPr>
          <w:rFonts w:cstheme="minorHAnsi"/>
        </w:rPr>
        <w:t xml:space="preserve"> following consumption in the diet, and subsequently expose hepatocytes to these metabolites.  Whilst this would give an understanding of the physiological effect of extracts, our small-scale bioavailability study establishes the concentration of EGCG in the plasma following consumption of dGTE1. We further demonstrate that exposure of hepatocytes to these EGCG concentrations is protective against hydrogen peroxide-induced apoptosis and cell death, accumulation of ROS, and mitochondrial disruption. The outcomes of this study are therefore closely linked to physiological effects seen following consumption of GTE in the diet, however further studies are needed to indicate the exact dGTE1 and dGTE2 metabolites which are responsible for the hepatocyte protective and damaging roles respectively.</w:t>
      </w:r>
    </w:p>
    <w:p w14:paraId="206130F2" w14:textId="4395ED6E" w:rsidR="00B47DC8" w:rsidRPr="00B47DC8" w:rsidRDefault="00910D76" w:rsidP="00EB3BC6">
      <w:pPr>
        <w:shd w:val="clear" w:color="auto" w:fill="FFFFFF"/>
        <w:spacing w:after="0" w:line="480" w:lineRule="auto"/>
        <w:ind w:firstLine="720"/>
        <w:jc w:val="both"/>
        <w:rPr>
          <w:rFonts w:eastAsia="Times New Roman" w:cstheme="minorHAnsi"/>
          <w:highlight w:val="yellow"/>
          <w:lang w:eastAsia="en-GB"/>
        </w:rPr>
      </w:pPr>
      <w:r w:rsidRPr="00D72730">
        <w:rPr>
          <w:rFonts w:cstheme="minorHAnsi"/>
        </w:rPr>
        <w:t xml:space="preserve">Given the opposing effects of dGTE1 and dGTE2 on hepatocyte function, consideration is needed as to the mechanism for this difference.  GTE has been studied extensively with regards to the composition and polyphenol chemistry. </w:t>
      </w:r>
      <w:r w:rsidRPr="00D72730">
        <w:rPr>
          <w:rFonts w:cstheme="minorHAnsi"/>
          <w:shd w:val="clear" w:color="auto" w:fill="FFFFFF"/>
        </w:rPr>
        <w:t>The beneficial properties of GTE are attributed to the abundance of polyphenolic compounds and specifically catechins, including (−)-epicatechin, (−)-epigallocatechin, (−)-epicatechin-3-</w:t>
      </w:r>
      <w:r w:rsidRPr="00D72730">
        <w:rPr>
          <w:rStyle w:val="Emphasis"/>
          <w:rFonts w:cstheme="minorHAnsi"/>
          <w:shd w:val="clear" w:color="auto" w:fill="FFFFFF"/>
        </w:rPr>
        <w:t>O</w:t>
      </w:r>
      <w:r w:rsidRPr="00D72730">
        <w:rPr>
          <w:rFonts w:cstheme="minorHAnsi"/>
          <w:shd w:val="clear" w:color="auto" w:fill="FFFFFF"/>
        </w:rPr>
        <w:t xml:space="preserve">-gallate and the most abundant, EGCG </w:t>
      </w:r>
      <w:r w:rsidRPr="00D72730">
        <w:rPr>
          <w:rFonts w:cstheme="minorHAnsi"/>
          <w:shd w:val="clear" w:color="auto" w:fill="FFFFFF"/>
        </w:rPr>
        <w:fldChar w:fldCharType="begin"/>
      </w:r>
      <w:r w:rsidR="0018431A">
        <w:rPr>
          <w:rFonts w:cstheme="minorHAnsi"/>
          <w:shd w:val="clear" w:color="auto" w:fill="FFFFFF"/>
        </w:rPr>
        <w:instrText>ADDIN RW.CITE{{doc:5e1dd606e4b0c88acc28b3cc [NoInformation] 2012}}</w:instrText>
      </w:r>
      <w:r w:rsidRPr="00D72730">
        <w:rPr>
          <w:rFonts w:cstheme="minorHAnsi"/>
          <w:shd w:val="clear" w:color="auto" w:fill="FFFFFF"/>
        </w:rPr>
        <w:fldChar w:fldCharType="separate"/>
      </w:r>
      <w:r w:rsidR="009D6D5E" w:rsidRPr="009D6D5E">
        <w:rPr>
          <w:rFonts w:ascii="Calibri" w:hAnsi="Calibri" w:cs="Calibri"/>
          <w:bCs/>
          <w:shd w:val="clear" w:color="auto" w:fill="FFFFFF"/>
        </w:rPr>
        <w:t>[1]</w:t>
      </w:r>
      <w:r w:rsidRPr="00D72730">
        <w:rPr>
          <w:rFonts w:cstheme="minorHAnsi"/>
          <w:shd w:val="clear" w:color="auto" w:fill="FFFFFF"/>
        </w:rPr>
        <w:fldChar w:fldCharType="end"/>
      </w:r>
      <w:r w:rsidRPr="00D72730">
        <w:rPr>
          <w:rFonts w:cstheme="minorHAnsi"/>
          <w:shd w:val="clear" w:color="auto" w:fill="FFFFFF"/>
        </w:rPr>
        <w:t xml:space="preserve">.  EGCG has been demonstrated to downregulate several molecular targets in pattern recognition receptor signalling pathways, such as TLR, IKKβ, IRAK-1 and TBK-1, associated with decreased inflammation </w:t>
      </w:r>
      <w:r w:rsidRPr="00D72730">
        <w:rPr>
          <w:rFonts w:cstheme="minorHAnsi"/>
          <w:shd w:val="clear" w:color="auto" w:fill="FFFFFF"/>
        </w:rPr>
        <w:fldChar w:fldCharType="begin"/>
      </w:r>
      <w:r w:rsidR="0018431A">
        <w:rPr>
          <w:rFonts w:cstheme="minorHAnsi"/>
          <w:shd w:val="clear" w:color="auto" w:fill="FFFFFF"/>
        </w:rPr>
        <w:instrText>ADDIN RW.CITE{{doc:5e1f4c6be4b0c146247aaea1 Kakuta,Y 2011; doc:5e1f4cade4b03c390bbbc95c Pan,MH 2000; doc:5e1f4c87e4b0c37d1039745e Youn,HS 2006}}</w:instrText>
      </w:r>
      <w:r w:rsidRPr="00D72730">
        <w:rPr>
          <w:rFonts w:cstheme="minorHAnsi"/>
          <w:shd w:val="clear" w:color="auto" w:fill="FFFFFF"/>
        </w:rPr>
        <w:fldChar w:fldCharType="separate"/>
      </w:r>
      <w:r w:rsidR="00763715" w:rsidRPr="00763715">
        <w:rPr>
          <w:rFonts w:ascii="Calibri" w:hAnsi="Calibri" w:cs="Calibri"/>
          <w:bCs/>
          <w:shd w:val="clear" w:color="auto" w:fill="FFFFFF"/>
        </w:rPr>
        <w:t>[62-64]</w:t>
      </w:r>
      <w:r w:rsidRPr="00D72730">
        <w:rPr>
          <w:rFonts w:cstheme="minorHAnsi"/>
          <w:shd w:val="clear" w:color="auto" w:fill="FFFFFF"/>
        </w:rPr>
        <w:fldChar w:fldCharType="end"/>
      </w:r>
      <w:r w:rsidRPr="00D72730">
        <w:rPr>
          <w:rFonts w:cstheme="minorHAnsi"/>
          <w:shd w:val="clear" w:color="auto" w:fill="FFFFFF"/>
        </w:rPr>
        <w:t xml:space="preserve">.  In the present study, the two </w:t>
      </w:r>
      <w:proofErr w:type="spellStart"/>
      <w:r w:rsidRPr="00D72730">
        <w:rPr>
          <w:rFonts w:cstheme="minorHAnsi"/>
          <w:shd w:val="clear" w:color="auto" w:fill="FFFFFF"/>
        </w:rPr>
        <w:t>dGTEs</w:t>
      </w:r>
      <w:proofErr w:type="spellEnd"/>
      <w:r w:rsidRPr="00D72730">
        <w:rPr>
          <w:rFonts w:cstheme="minorHAnsi"/>
          <w:shd w:val="clear" w:color="auto" w:fill="FFFFFF"/>
        </w:rPr>
        <w:t xml:space="preserve"> assessed contain a high % of EGCG with </w:t>
      </w:r>
      <w:r w:rsidRPr="00D72730">
        <w:rPr>
          <w:rFonts w:cstheme="minorHAnsi"/>
        </w:rPr>
        <w:t>571 mg dGTE1 delivering 70% or 400mg EGCG versus 725mg dGTE2, delivering 45% or 326.25mg of EGCG. H</w:t>
      </w:r>
      <w:r w:rsidRPr="00D72730">
        <w:rPr>
          <w:rFonts w:cstheme="minorHAnsi"/>
          <w:shd w:val="clear" w:color="auto" w:fill="FFFFFF"/>
        </w:rPr>
        <w:t xml:space="preserve">owever, dGTE1 exerted a cytoprotective effect whilst dGTE2 was cytotoxic to hepatocytes. Interestingly, our findings </w:t>
      </w:r>
      <w:r w:rsidRPr="00D72730">
        <w:rPr>
          <w:rFonts w:cstheme="minorHAnsi"/>
          <w:shd w:val="clear" w:color="auto" w:fill="FFFFFF"/>
        </w:rPr>
        <w:lastRenderedPageBreak/>
        <w:t>demonstrate that the plasma concentration of EGCG, following dGTE1 consumption, is 0.2631 µg·ml</w:t>
      </w:r>
      <w:r w:rsidRPr="00D72730">
        <w:rPr>
          <w:rFonts w:cstheme="minorHAnsi"/>
          <w:shd w:val="clear" w:color="auto" w:fill="FFFFFF"/>
          <w:vertAlign w:val="superscript"/>
        </w:rPr>
        <w:t>-1</w:t>
      </w:r>
      <w:r w:rsidRPr="00D72730">
        <w:rPr>
          <w:rFonts w:cstheme="minorHAnsi"/>
          <w:shd w:val="clear" w:color="auto" w:fill="FFFFFF"/>
        </w:rPr>
        <w:t xml:space="preserve"> and that this concentration is sufficient to exert a cytoprotective effect on HepG2 cells in a similar manner to dGTE1 exposure. This bioavailability study was deemed not ethical for studying dGTE2, given the cytotoxic effects identified in the </w:t>
      </w:r>
      <w:r w:rsidRPr="00D72730">
        <w:rPr>
          <w:rFonts w:cstheme="minorHAnsi"/>
          <w:i/>
          <w:iCs/>
          <w:shd w:val="clear" w:color="auto" w:fill="FFFFFF"/>
        </w:rPr>
        <w:t xml:space="preserve">in vitro </w:t>
      </w:r>
      <w:r w:rsidRPr="00D72730">
        <w:rPr>
          <w:rFonts w:cstheme="minorHAnsi"/>
          <w:shd w:val="clear" w:color="auto" w:fill="FFFFFF"/>
        </w:rPr>
        <w:t>studies. It is therefore not possible to confirm the bioavailability of EGCG following dGTE2 consumption</w:t>
      </w:r>
      <w:r w:rsidR="00A07519">
        <w:rPr>
          <w:rFonts w:cstheme="minorHAnsi"/>
          <w:shd w:val="clear" w:color="auto" w:fill="FFFFFF"/>
        </w:rPr>
        <w:t xml:space="preserve">.  </w:t>
      </w:r>
      <w:r w:rsidR="002534F0">
        <w:rPr>
          <w:rFonts w:cstheme="minorHAnsi"/>
        </w:rPr>
        <w:t>A review by</w:t>
      </w:r>
      <w:r w:rsidR="002534F0" w:rsidRPr="00E145C2">
        <w:rPr>
          <w:rFonts w:cstheme="minorHAnsi"/>
        </w:rPr>
        <w:t xml:space="preserve"> </w:t>
      </w:r>
      <w:r w:rsidR="002534F0" w:rsidRPr="00E145C2">
        <w:t xml:space="preserve">United State Pharmacopeia </w:t>
      </w:r>
      <w:r w:rsidR="002534F0">
        <w:t>established that GTE intake ranges widely depending on the supplement resulting in EGCG daily doses varying between 250 mg and 1800 mg</w:t>
      </w:r>
      <w:r w:rsidR="002E41FA">
        <w:rPr>
          <w:rFonts w:cstheme="minorHAnsi"/>
        </w:rPr>
        <w:t xml:space="preserve"> </w:t>
      </w:r>
      <w:r w:rsidR="002E41FA">
        <w:rPr>
          <w:rFonts w:cstheme="minorHAnsi"/>
        </w:rPr>
        <w:fldChar w:fldCharType="begin"/>
      </w:r>
      <w:r w:rsidR="002E41FA">
        <w:rPr>
          <w:rFonts w:cstheme="minorHAnsi"/>
        </w:rPr>
        <w:instrText>ADDIN RW.CITE{{doc:601daffa8f08293aa27ed700 Oketch-Rabah,HA 2020}}</w:instrText>
      </w:r>
      <w:r w:rsidR="002E41FA">
        <w:rPr>
          <w:rFonts w:cstheme="minorHAnsi"/>
        </w:rPr>
        <w:fldChar w:fldCharType="separate"/>
      </w:r>
      <w:r w:rsidR="00763715" w:rsidRPr="00763715">
        <w:rPr>
          <w:rFonts w:ascii="Calibri" w:hAnsi="Calibri" w:cs="Calibri"/>
          <w:bCs/>
          <w:lang w:val="en-US"/>
        </w:rPr>
        <w:t>[22]</w:t>
      </w:r>
      <w:r w:rsidR="002E41FA">
        <w:rPr>
          <w:rFonts w:cstheme="minorHAnsi"/>
        </w:rPr>
        <w:fldChar w:fldCharType="end"/>
      </w:r>
      <w:r w:rsidR="002534F0">
        <w:rPr>
          <w:rFonts w:cstheme="minorHAnsi"/>
        </w:rPr>
        <w:t>.</w:t>
      </w:r>
      <w:r w:rsidR="002534F0">
        <w:t xml:space="preserve"> </w:t>
      </w:r>
      <w:r w:rsidRPr="00D72730">
        <w:rPr>
          <w:rFonts w:cstheme="minorHAnsi"/>
          <w:shd w:val="clear" w:color="auto" w:fill="FFFFFF"/>
        </w:rPr>
        <w:t xml:space="preserve">Interestingly, </w:t>
      </w:r>
      <w:proofErr w:type="spellStart"/>
      <w:r w:rsidRPr="00D72730">
        <w:rPr>
          <w:rFonts w:cstheme="minorHAnsi"/>
          <w:shd w:val="clear" w:color="auto" w:fill="FFFFFF"/>
        </w:rPr>
        <w:t>toxico</w:t>
      </w:r>
      <w:proofErr w:type="spellEnd"/>
      <w:r w:rsidRPr="00D72730">
        <w:rPr>
          <w:rFonts w:cstheme="minorHAnsi"/>
          <w:shd w:val="clear" w:color="auto" w:fill="FFFFFF"/>
        </w:rPr>
        <w:t>- and pharmaco-kinetic studies demonstrate that catechin doses are a key determinant for the occurrence and severity of hepatotoxicity with a recommended safe adult intake level of EGCG at 338 mg·d</w:t>
      </w:r>
      <w:r w:rsidRPr="00D72730">
        <w:rPr>
          <w:rFonts w:cstheme="minorHAnsi"/>
          <w:shd w:val="clear" w:color="auto" w:fill="FFFFFF"/>
          <w:vertAlign w:val="superscript"/>
        </w:rPr>
        <w:t>-1</w:t>
      </w:r>
      <w:r w:rsidRPr="00D72730">
        <w:rPr>
          <w:rFonts w:cstheme="minorHAnsi"/>
          <w:shd w:val="clear" w:color="auto" w:fill="FFFFFF"/>
        </w:rPr>
        <w:t xml:space="preserve"> and an observed safe level of 704 mg·d</w:t>
      </w:r>
      <w:r w:rsidRPr="00D72730">
        <w:rPr>
          <w:rFonts w:cstheme="minorHAnsi"/>
          <w:shd w:val="clear" w:color="auto" w:fill="FFFFFF"/>
          <w:vertAlign w:val="superscript"/>
        </w:rPr>
        <w:t>-1</w:t>
      </w:r>
      <w:r w:rsidRPr="00D72730">
        <w:rPr>
          <w:rFonts w:cstheme="minorHAnsi"/>
          <w:shd w:val="clear" w:color="auto" w:fill="FFFFFF"/>
        </w:rPr>
        <w:t xml:space="preserve"> </w:t>
      </w:r>
      <w:r w:rsidRPr="00D72730">
        <w:rPr>
          <w:rFonts w:cstheme="minorHAnsi"/>
          <w:shd w:val="clear" w:color="auto" w:fill="FFFFFF"/>
        </w:rPr>
        <w:fldChar w:fldCharType="begin"/>
      </w:r>
      <w:r w:rsidR="0018431A">
        <w:rPr>
          <w:rFonts w:cstheme="minorHAnsi"/>
          <w:shd w:val="clear" w:color="auto" w:fill="FFFFFF"/>
        </w:rPr>
        <w:instrText>ADDIN RW.CITE{{doc:5e1f4cd2e4b07cff837a66d7 Hu,J 2018}}</w:instrText>
      </w:r>
      <w:r w:rsidRPr="00D72730">
        <w:rPr>
          <w:rFonts w:cstheme="minorHAnsi"/>
          <w:shd w:val="clear" w:color="auto" w:fill="FFFFFF"/>
        </w:rPr>
        <w:fldChar w:fldCharType="separate"/>
      </w:r>
      <w:r w:rsidR="00F34ADD" w:rsidRPr="00F34ADD">
        <w:rPr>
          <w:rFonts w:ascii="Calibri" w:hAnsi="Calibri" w:cs="Calibri"/>
          <w:bCs/>
          <w:shd w:val="clear" w:color="auto" w:fill="FFFFFF"/>
        </w:rPr>
        <w:t>[65]</w:t>
      </w:r>
      <w:r w:rsidRPr="00D72730">
        <w:rPr>
          <w:rFonts w:cstheme="minorHAnsi"/>
          <w:shd w:val="clear" w:color="auto" w:fill="FFFFFF"/>
        </w:rPr>
        <w:fldChar w:fldCharType="end"/>
      </w:r>
      <w:r w:rsidRPr="00D72730">
        <w:rPr>
          <w:rFonts w:cstheme="minorHAnsi"/>
          <w:shd w:val="clear" w:color="auto" w:fill="FFFFFF"/>
        </w:rPr>
        <w:t xml:space="preserve">.  Consideration is therefore needed with regards to the bioavailable EGCG levels following consumption of different </w:t>
      </w:r>
      <w:proofErr w:type="spellStart"/>
      <w:r w:rsidRPr="00D72730">
        <w:rPr>
          <w:rFonts w:cstheme="minorHAnsi"/>
          <w:shd w:val="clear" w:color="auto" w:fill="FFFFFF"/>
        </w:rPr>
        <w:t>dGTE</w:t>
      </w:r>
      <w:proofErr w:type="spellEnd"/>
      <w:r w:rsidRPr="00D72730">
        <w:rPr>
          <w:rFonts w:cstheme="minorHAnsi"/>
          <w:shd w:val="clear" w:color="auto" w:fill="FFFFFF"/>
        </w:rPr>
        <w:t xml:space="preserve"> compounds, and whether this can impact opposing effects on hepatocytes.  </w:t>
      </w:r>
      <w:r w:rsidR="00C82103">
        <w:rPr>
          <w:rFonts w:cstheme="minorHAnsi"/>
          <w:shd w:val="clear" w:color="auto" w:fill="FFFFFF"/>
        </w:rPr>
        <w:t xml:space="preserve">However, irrespective of the mechanism through which the two different </w:t>
      </w:r>
      <w:proofErr w:type="spellStart"/>
      <w:r w:rsidR="00C82103">
        <w:rPr>
          <w:rFonts w:cstheme="minorHAnsi"/>
          <w:shd w:val="clear" w:color="auto" w:fill="FFFFFF"/>
        </w:rPr>
        <w:t>dGTE</w:t>
      </w:r>
      <w:proofErr w:type="spellEnd"/>
      <w:r w:rsidR="00C82103">
        <w:rPr>
          <w:rFonts w:cstheme="minorHAnsi"/>
          <w:shd w:val="clear" w:color="auto" w:fill="FFFFFF"/>
        </w:rPr>
        <w:t xml:space="preserve"> </w:t>
      </w:r>
      <w:r w:rsidR="00E87335">
        <w:rPr>
          <w:rFonts w:cstheme="minorHAnsi"/>
          <w:shd w:val="clear" w:color="auto" w:fill="FFFFFF"/>
        </w:rPr>
        <w:t xml:space="preserve">impact hepatic function, there is a need to consider </w:t>
      </w:r>
      <w:r w:rsidR="00E4686B">
        <w:rPr>
          <w:rFonts w:cstheme="minorHAnsi"/>
          <w:shd w:val="clear" w:color="auto" w:fill="FFFFFF"/>
        </w:rPr>
        <w:t xml:space="preserve">the potential for hepatotoxicity in supplementation labelling.  </w:t>
      </w:r>
      <w:r w:rsidR="00B41C7C">
        <w:rPr>
          <w:rFonts w:cstheme="minorHAnsi"/>
          <w:shd w:val="clear" w:color="auto" w:fill="FFFFFF"/>
        </w:rPr>
        <w:t xml:space="preserve">Indeed, </w:t>
      </w:r>
      <w:r w:rsidR="00C07D7D">
        <w:rPr>
          <w:rFonts w:cstheme="minorHAnsi"/>
          <w:shd w:val="clear" w:color="auto" w:fill="FFFFFF"/>
        </w:rPr>
        <w:t xml:space="preserve">our findings </w:t>
      </w:r>
      <w:r w:rsidR="00537974">
        <w:rPr>
          <w:rFonts w:cstheme="minorHAnsi"/>
          <w:shd w:val="clear" w:color="auto" w:fill="FFFFFF"/>
        </w:rPr>
        <w:t>support the</w:t>
      </w:r>
      <w:r w:rsidR="00B41C7C">
        <w:rPr>
          <w:rFonts w:cstheme="minorHAnsi"/>
          <w:shd w:val="clear" w:color="auto" w:fill="FFFFFF"/>
        </w:rPr>
        <w:t xml:space="preserve"> suggested labe</w:t>
      </w:r>
      <w:r w:rsidR="00256DF9">
        <w:rPr>
          <w:rFonts w:cstheme="minorHAnsi"/>
          <w:shd w:val="clear" w:color="auto" w:fill="FFFFFF"/>
        </w:rPr>
        <w:t>lling changes by the United States Pharmacopeia</w:t>
      </w:r>
      <w:r w:rsidR="00537974">
        <w:rPr>
          <w:rFonts w:cstheme="minorHAnsi"/>
          <w:shd w:val="clear" w:color="auto" w:fill="FFFFFF"/>
        </w:rPr>
        <w:t xml:space="preserve"> and the</w:t>
      </w:r>
      <w:r w:rsidR="008E28F5">
        <w:rPr>
          <w:rFonts w:cstheme="minorHAnsi"/>
          <w:shd w:val="clear" w:color="auto" w:fill="FFFFFF"/>
        </w:rPr>
        <w:t xml:space="preserve"> </w:t>
      </w:r>
      <w:r w:rsidR="0014176D">
        <w:rPr>
          <w:rFonts w:cstheme="minorHAnsi"/>
          <w:shd w:val="clear" w:color="auto" w:fill="FFFFFF"/>
        </w:rPr>
        <w:t>EFSA</w:t>
      </w:r>
      <w:r w:rsidR="001856A7">
        <w:rPr>
          <w:rFonts w:cstheme="minorHAnsi"/>
          <w:shd w:val="clear" w:color="auto" w:fill="FFFFFF"/>
        </w:rPr>
        <w:t xml:space="preserve"> which state that the public should not consume </w:t>
      </w:r>
      <w:proofErr w:type="spellStart"/>
      <w:r w:rsidR="0003019B">
        <w:rPr>
          <w:rFonts w:cstheme="minorHAnsi"/>
          <w:shd w:val="clear" w:color="auto" w:fill="FFFFFF"/>
        </w:rPr>
        <w:t>dGTE</w:t>
      </w:r>
      <w:proofErr w:type="spellEnd"/>
      <w:r w:rsidR="0003019B">
        <w:rPr>
          <w:rFonts w:cstheme="minorHAnsi"/>
          <w:shd w:val="clear" w:color="auto" w:fill="FFFFFF"/>
        </w:rPr>
        <w:t xml:space="preserve"> if they have an existing liver condition, and should cease consumption of the supplement if they </w:t>
      </w:r>
      <w:r w:rsidR="0014176D">
        <w:rPr>
          <w:rFonts w:cstheme="minorHAnsi"/>
          <w:shd w:val="clear" w:color="auto" w:fill="FFFFFF"/>
        </w:rPr>
        <w:t>display</w:t>
      </w:r>
      <w:r w:rsidR="0003019B" w:rsidRPr="0014176D">
        <w:rPr>
          <w:rFonts w:cstheme="minorHAnsi"/>
          <w:shd w:val="clear" w:color="auto" w:fill="FFFFFF"/>
        </w:rPr>
        <w:t xml:space="preserve"> symptoms of li</w:t>
      </w:r>
      <w:r w:rsidR="002453FD" w:rsidRPr="0014176D">
        <w:rPr>
          <w:rFonts w:cstheme="minorHAnsi"/>
          <w:shd w:val="clear" w:color="auto" w:fill="FFFFFF"/>
        </w:rPr>
        <w:t xml:space="preserve">ver </w:t>
      </w:r>
      <w:r w:rsidR="0014176D">
        <w:rPr>
          <w:rFonts w:cstheme="minorHAnsi"/>
          <w:shd w:val="clear" w:color="auto" w:fill="FFFFFF"/>
        </w:rPr>
        <w:t>dysfunction</w:t>
      </w:r>
      <w:r w:rsidR="008E28F5">
        <w:rPr>
          <w:rFonts w:cstheme="minorHAnsi"/>
          <w:shd w:val="clear" w:color="auto" w:fill="FFFFFF"/>
        </w:rPr>
        <w:t xml:space="preserve"> </w:t>
      </w:r>
      <w:r w:rsidR="00EB3BC6">
        <w:rPr>
          <w:rFonts w:cstheme="minorHAnsi"/>
          <w:shd w:val="clear" w:color="auto" w:fill="FFFFFF"/>
        </w:rPr>
        <w:fldChar w:fldCharType="begin"/>
      </w:r>
      <w:r w:rsidR="00EB3BC6">
        <w:rPr>
          <w:rFonts w:cstheme="minorHAnsi"/>
          <w:shd w:val="clear" w:color="auto" w:fill="FFFFFF"/>
        </w:rPr>
        <w:instrText>ADDIN RW.CITE{{doc:60201b2b8f08a14ede11094a EFSAPanelonFoodAdditivesandNutrientSourcesaddedtoFood(ANS) 2018; doc:601daffa8f08293aa27ed700 Oketch-Rabah,HA 2020}}</w:instrText>
      </w:r>
      <w:r w:rsidR="00EB3BC6">
        <w:rPr>
          <w:rFonts w:cstheme="minorHAnsi"/>
          <w:shd w:val="clear" w:color="auto" w:fill="FFFFFF"/>
        </w:rPr>
        <w:fldChar w:fldCharType="separate"/>
      </w:r>
      <w:r w:rsidR="00763715" w:rsidRPr="00763715">
        <w:rPr>
          <w:rFonts w:ascii="Calibri" w:hAnsi="Calibri" w:cs="Calibri"/>
          <w:bCs/>
          <w:shd w:val="clear" w:color="auto" w:fill="FFFFFF"/>
          <w:lang w:val="en-US"/>
        </w:rPr>
        <w:t>[22,66]</w:t>
      </w:r>
      <w:r w:rsidR="00EB3BC6">
        <w:rPr>
          <w:rFonts w:cstheme="minorHAnsi"/>
          <w:shd w:val="clear" w:color="auto" w:fill="FFFFFF"/>
        </w:rPr>
        <w:fldChar w:fldCharType="end"/>
      </w:r>
      <w:r w:rsidR="002E41FA">
        <w:rPr>
          <w:rFonts w:cstheme="minorHAnsi"/>
        </w:rPr>
        <w:t>.</w:t>
      </w:r>
      <w:r w:rsidR="00B47DC8" w:rsidRPr="00D72730">
        <w:rPr>
          <w:rFonts w:cstheme="minorHAnsi"/>
        </w:rPr>
        <w:t>There are a range of signalling mechanisms through which GTE could impact hepatocyte function. RNA-</w:t>
      </w:r>
      <w:proofErr w:type="spellStart"/>
      <w:r w:rsidR="00B47DC8" w:rsidRPr="00D72730">
        <w:rPr>
          <w:rFonts w:cstheme="minorHAnsi"/>
        </w:rPr>
        <w:t>seq</w:t>
      </w:r>
      <w:proofErr w:type="spellEnd"/>
      <w:r w:rsidR="00B47DC8" w:rsidRPr="00D72730">
        <w:rPr>
          <w:rFonts w:cstheme="minorHAnsi"/>
        </w:rPr>
        <w:t xml:space="preserve"> transcriptomic studies in liver tissues of obese adult zebrafish implicate that GTE increases expression of genes associated with WNT/β-catenin and AMPK signalling </w:t>
      </w:r>
      <w:r w:rsidR="00B47DC8" w:rsidRPr="00D72730">
        <w:rPr>
          <w:rFonts w:cstheme="minorHAnsi"/>
        </w:rPr>
        <w:fldChar w:fldCharType="begin"/>
      </w:r>
      <w:r w:rsidR="0018431A">
        <w:rPr>
          <w:rFonts w:cstheme="minorHAnsi"/>
        </w:rPr>
        <w:instrText>ADDIN RW.CITE{{doc:5e1f44e9e4b0c146247aab9d Zang,L 2019}}</w:instrText>
      </w:r>
      <w:r w:rsidR="00B47DC8" w:rsidRPr="00D72730">
        <w:rPr>
          <w:rFonts w:cstheme="minorHAnsi"/>
        </w:rPr>
        <w:fldChar w:fldCharType="separate"/>
      </w:r>
      <w:r w:rsidR="00763715" w:rsidRPr="00763715">
        <w:rPr>
          <w:rFonts w:ascii="Calibri" w:hAnsi="Calibri" w:cs="Calibri"/>
          <w:bCs/>
        </w:rPr>
        <w:t>[49]</w:t>
      </w:r>
      <w:r w:rsidR="00B47DC8" w:rsidRPr="00D72730">
        <w:rPr>
          <w:rFonts w:cstheme="minorHAnsi"/>
        </w:rPr>
        <w:fldChar w:fldCharType="end"/>
      </w:r>
      <w:r w:rsidR="00B47DC8" w:rsidRPr="00D72730">
        <w:rPr>
          <w:rFonts w:cstheme="minorHAnsi"/>
        </w:rPr>
        <w:t xml:space="preserve">.  The latter was confirmed in C57BL/6 mice, where GTE supplementation upregulated AMPK and the upstream regulator, LKB1, in the liver </w:t>
      </w:r>
      <w:r w:rsidR="00B47DC8" w:rsidRPr="00D72730">
        <w:rPr>
          <w:rFonts w:cstheme="minorHAnsi"/>
        </w:rPr>
        <w:fldChar w:fldCharType="begin"/>
      </w:r>
      <w:r w:rsidR="0018431A">
        <w:rPr>
          <w:rFonts w:cstheme="minorHAnsi"/>
        </w:rPr>
        <w:instrText>ADDIN RW.CITE{{doc:5e1dd19de4b09f501235ccd2 Bae,UJ 2018; doc:5e1f4555e4b0299a031a58c4 Santamarina,AB 2015}}</w:instrText>
      </w:r>
      <w:r w:rsidR="00B47DC8" w:rsidRPr="00D72730">
        <w:rPr>
          <w:rFonts w:cstheme="minorHAnsi"/>
        </w:rPr>
        <w:fldChar w:fldCharType="separate"/>
      </w:r>
      <w:r w:rsidR="00763715" w:rsidRPr="00763715">
        <w:rPr>
          <w:rFonts w:ascii="Calibri" w:hAnsi="Calibri" w:cs="Calibri"/>
          <w:bCs/>
        </w:rPr>
        <w:t>[12,50]</w:t>
      </w:r>
      <w:r w:rsidR="00B47DC8" w:rsidRPr="00D72730">
        <w:rPr>
          <w:rFonts w:cstheme="minorHAnsi"/>
        </w:rPr>
        <w:fldChar w:fldCharType="end"/>
      </w:r>
      <w:r w:rsidR="00B47DC8" w:rsidRPr="00D72730">
        <w:rPr>
          <w:rFonts w:cstheme="minorHAnsi"/>
        </w:rPr>
        <w:t xml:space="preserve">.  In hepatocytes, LKB1, activated by AdipoR2-mediated SIRT1 expression, migrates from the nucleus to the cytoplasm to phosphorylate the predominant AMPK subunit, AMPKα </w:t>
      </w:r>
      <w:r w:rsidR="00B47DC8" w:rsidRPr="00D72730">
        <w:rPr>
          <w:rFonts w:cstheme="minorHAnsi"/>
        </w:rPr>
        <w:fldChar w:fldCharType="begin"/>
      </w:r>
      <w:r w:rsidR="009C171D">
        <w:rPr>
          <w:rFonts w:cstheme="minorHAnsi"/>
        </w:rPr>
        <w:instrText>ADDIN RW.CITE{{doc:5e1f458ce4b03c390bbbc8d1 Canto,C 2009; doc:5e1f45e2e4b0286c658a373c Lee,J 2012; doc:5e1f45a5e4b092310f8b81bd Shen,Z 2010}}</w:instrText>
      </w:r>
      <w:r w:rsidR="00B47DC8" w:rsidRPr="00D72730">
        <w:rPr>
          <w:rFonts w:cstheme="minorHAnsi"/>
        </w:rPr>
        <w:fldChar w:fldCharType="separate"/>
      </w:r>
      <w:r w:rsidR="00763715" w:rsidRPr="00763715">
        <w:rPr>
          <w:rFonts w:ascii="Calibri" w:hAnsi="Calibri" w:cs="Calibri"/>
          <w:bCs/>
        </w:rPr>
        <w:t>[51-53]</w:t>
      </w:r>
      <w:r w:rsidR="00B47DC8" w:rsidRPr="00D72730">
        <w:rPr>
          <w:rFonts w:cstheme="minorHAnsi"/>
        </w:rPr>
        <w:fldChar w:fldCharType="end"/>
      </w:r>
      <w:r w:rsidR="00B47DC8" w:rsidRPr="00D72730">
        <w:rPr>
          <w:rFonts w:cstheme="minorHAnsi"/>
        </w:rPr>
        <w:t xml:space="preserve">.  Once AMPKα is phosphorylated, the kinase is active and able to reduce lipogenic enzyme activity (ACC and FAS) and thus reduce the synthesis of fatty acid </w:t>
      </w:r>
      <w:r w:rsidR="00B47DC8" w:rsidRPr="00D72730">
        <w:rPr>
          <w:rFonts w:cstheme="minorHAnsi"/>
          <w:i/>
          <w:iCs/>
        </w:rPr>
        <w:t xml:space="preserve">de novo </w:t>
      </w:r>
      <w:r w:rsidR="00B47DC8" w:rsidRPr="00D72730">
        <w:rPr>
          <w:rFonts w:cstheme="minorHAnsi"/>
        </w:rPr>
        <w:t xml:space="preserve">lipogenesis </w:t>
      </w:r>
      <w:r w:rsidR="00B47DC8" w:rsidRPr="00D72730">
        <w:rPr>
          <w:rFonts w:cstheme="minorHAnsi"/>
        </w:rPr>
        <w:fldChar w:fldCharType="begin"/>
      </w:r>
      <w:r w:rsidR="009C171D">
        <w:rPr>
          <w:rFonts w:cstheme="minorHAnsi"/>
        </w:rPr>
        <w:instrText>ADDIN RW.CITE{{doc:5e1f4610e4b0cb7e09307333 Kohjima,M 2008}}</w:instrText>
      </w:r>
      <w:r w:rsidR="00B47DC8" w:rsidRPr="00D72730">
        <w:rPr>
          <w:rFonts w:cstheme="minorHAnsi"/>
        </w:rPr>
        <w:fldChar w:fldCharType="separate"/>
      </w:r>
      <w:r w:rsidR="00763715" w:rsidRPr="00763715">
        <w:rPr>
          <w:rFonts w:ascii="Calibri" w:hAnsi="Calibri" w:cs="Calibri"/>
          <w:bCs/>
        </w:rPr>
        <w:t>[54]</w:t>
      </w:r>
      <w:r w:rsidR="00B47DC8" w:rsidRPr="00D72730">
        <w:rPr>
          <w:rFonts w:cstheme="minorHAnsi"/>
        </w:rPr>
        <w:fldChar w:fldCharType="end"/>
      </w:r>
      <w:r w:rsidR="00B47DC8" w:rsidRPr="00D72730">
        <w:rPr>
          <w:rFonts w:cstheme="minorHAnsi"/>
        </w:rPr>
        <w:t xml:space="preserve">.  In our studies, both dGTE1 and dGTE2 significantly upregulated LKB1 and AMPK phosphorylation and activity, which indicates that the AMP activated kinase is not linked to the </w:t>
      </w:r>
      <w:r w:rsidR="00B47DC8" w:rsidRPr="00D72730">
        <w:rPr>
          <w:rFonts w:cstheme="minorHAnsi"/>
        </w:rPr>
        <w:lastRenderedPageBreak/>
        <w:t xml:space="preserve">cytoprotective and cytotoxic effects of each extract.  Interestingly, the AMPK inhibitor, blunted the protective effect of dGTE1, but had no impact on dGTE2-mediated toxic effects.   Indeed, there are contradictory studies showing that AMPK activity is associated with apoptosis and oxidative stress in hepatocytes with some studies indicating a pro-apoptotic state </w:t>
      </w:r>
      <w:r w:rsidR="00B47DC8" w:rsidRPr="00D72730">
        <w:rPr>
          <w:rFonts w:cstheme="minorHAnsi"/>
        </w:rPr>
        <w:fldChar w:fldCharType="begin"/>
      </w:r>
      <w:r w:rsidR="009C171D">
        <w:rPr>
          <w:rFonts w:cstheme="minorHAnsi"/>
        </w:rPr>
        <w:instrText>ADDIN RW.CITE{{doc:5e1f4aabe4b0a41a10f9b5eb Cui,YQ 2018; doc:5e1f1336e4b0d16f0f6332c0 Jeong,A 2017; doc:5e1f4a74e4b0c146247aade4 Wang,P 2019; doc:5e1f4a8ce4b00d56a3fb9023 Whang,YM 2019}}</w:instrText>
      </w:r>
      <w:r w:rsidR="00B47DC8" w:rsidRPr="00D72730">
        <w:rPr>
          <w:rFonts w:cstheme="minorHAnsi"/>
        </w:rPr>
        <w:fldChar w:fldCharType="separate"/>
      </w:r>
      <w:r w:rsidR="00763715" w:rsidRPr="00763715">
        <w:rPr>
          <w:rFonts w:ascii="Calibri" w:hAnsi="Calibri" w:cs="Calibri"/>
          <w:bCs/>
        </w:rPr>
        <w:t>[32,41,55,56]</w:t>
      </w:r>
      <w:r w:rsidR="00B47DC8" w:rsidRPr="00D72730">
        <w:rPr>
          <w:rFonts w:cstheme="minorHAnsi"/>
        </w:rPr>
        <w:fldChar w:fldCharType="end"/>
      </w:r>
      <w:r w:rsidR="00B47DC8" w:rsidRPr="00D72730">
        <w:rPr>
          <w:rFonts w:cstheme="minorHAnsi"/>
        </w:rPr>
        <w:t xml:space="preserve"> and others suggestive of an antioxidant, cytoprotective effect of AMPK activation </w:t>
      </w:r>
      <w:r w:rsidR="00B47DC8" w:rsidRPr="00D72730">
        <w:rPr>
          <w:rFonts w:cstheme="minorHAnsi"/>
        </w:rPr>
        <w:fldChar w:fldCharType="begin"/>
      </w:r>
      <w:r w:rsidR="009C171D">
        <w:rPr>
          <w:rFonts w:cstheme="minorHAnsi"/>
        </w:rPr>
        <w:instrText>ADDIN RW.CITE{{doc:5e202bbae4b0b7dd5137fea5 Fan,X 2018}}</w:instrText>
      </w:r>
      <w:r w:rsidR="00B47DC8" w:rsidRPr="00D72730">
        <w:rPr>
          <w:rFonts w:cstheme="minorHAnsi"/>
        </w:rPr>
        <w:fldChar w:fldCharType="separate"/>
      </w:r>
      <w:r w:rsidR="00763715" w:rsidRPr="00763715">
        <w:rPr>
          <w:rFonts w:ascii="Calibri" w:hAnsi="Calibri" w:cs="Calibri"/>
          <w:bCs/>
        </w:rPr>
        <w:t>[57]</w:t>
      </w:r>
      <w:r w:rsidR="00B47DC8" w:rsidRPr="00D72730">
        <w:rPr>
          <w:rFonts w:cstheme="minorHAnsi"/>
        </w:rPr>
        <w:fldChar w:fldCharType="end"/>
      </w:r>
      <w:r w:rsidR="00B47DC8" w:rsidRPr="00D72730">
        <w:rPr>
          <w:rFonts w:cstheme="minorHAnsi"/>
        </w:rPr>
        <w:t xml:space="preserve">.  In other cell types, AMPK activation is also linked with increased autophagy, mitochondrial dysfunction, ROS accumulation, apoptosis and cell death, potentially through elevated p53 and ROS production </w:t>
      </w:r>
      <w:r w:rsidR="00B47DC8" w:rsidRPr="00D72730">
        <w:rPr>
          <w:rFonts w:cstheme="minorHAnsi"/>
        </w:rPr>
        <w:fldChar w:fldCharType="begin"/>
      </w:r>
      <w:r w:rsidR="009C171D">
        <w:rPr>
          <w:rFonts w:cstheme="minorHAnsi"/>
        </w:rPr>
        <w:instrText>ADDIN RW.CITE{{doc:5e1f4aabe4b0a41a10f9b5eb Cui,YQ 2018; doc:5e1f4a74e4b0c146247aade4 Wang,P 2019; doc:5e1f4a8ce4b00d56a3fb9023 Whang,YM 2019}}</w:instrText>
      </w:r>
      <w:r w:rsidR="00B47DC8" w:rsidRPr="00D72730">
        <w:rPr>
          <w:rFonts w:cstheme="minorHAnsi"/>
        </w:rPr>
        <w:fldChar w:fldCharType="separate"/>
      </w:r>
      <w:r w:rsidR="00763715" w:rsidRPr="00763715">
        <w:rPr>
          <w:rFonts w:ascii="Calibri" w:hAnsi="Calibri" w:cs="Calibri"/>
          <w:bCs/>
        </w:rPr>
        <w:t>[41,55,56]</w:t>
      </w:r>
      <w:r w:rsidR="00B47DC8" w:rsidRPr="00D72730">
        <w:rPr>
          <w:rFonts w:cstheme="minorHAnsi"/>
        </w:rPr>
        <w:fldChar w:fldCharType="end"/>
      </w:r>
      <w:r w:rsidR="00B47DC8" w:rsidRPr="00D72730">
        <w:rPr>
          <w:rFonts w:cstheme="minorHAnsi"/>
        </w:rPr>
        <w:t xml:space="preserve"> however in primary cardiomyocytes, increased AMPK activity is linked with reduced disruption of mitochondria membrane potential and inhibition of mitochondrial oxidative stress levels </w:t>
      </w:r>
      <w:r w:rsidR="00B47DC8" w:rsidRPr="00D72730">
        <w:rPr>
          <w:rFonts w:cstheme="minorHAnsi"/>
        </w:rPr>
        <w:fldChar w:fldCharType="begin"/>
      </w:r>
      <w:r w:rsidR="009C171D">
        <w:rPr>
          <w:rFonts w:cstheme="minorHAnsi"/>
        </w:rPr>
        <w:instrText>ADDIN RW.CITE{{doc:5e202cdce4b042c245b7f47e Lai,YF 2019}}</w:instrText>
      </w:r>
      <w:r w:rsidR="00B47DC8" w:rsidRPr="00D72730">
        <w:rPr>
          <w:rFonts w:cstheme="minorHAnsi"/>
        </w:rPr>
        <w:fldChar w:fldCharType="separate"/>
      </w:r>
      <w:r w:rsidR="00763715" w:rsidRPr="00763715">
        <w:rPr>
          <w:rFonts w:ascii="Calibri" w:hAnsi="Calibri" w:cs="Calibri"/>
          <w:bCs/>
        </w:rPr>
        <w:t>[58]</w:t>
      </w:r>
      <w:r w:rsidR="00B47DC8" w:rsidRPr="00D72730">
        <w:rPr>
          <w:rFonts w:cstheme="minorHAnsi"/>
        </w:rPr>
        <w:fldChar w:fldCharType="end"/>
      </w:r>
      <w:r w:rsidR="00B47DC8" w:rsidRPr="00D72730">
        <w:rPr>
          <w:rFonts w:cstheme="minorHAnsi"/>
        </w:rPr>
        <w:t xml:space="preserve">. It is possible that AMPK acts as a ‘sensor switch’ and, depending on parallel signalling protein cascades such as mTOR, AKT and PI3K </w:t>
      </w:r>
      <w:r w:rsidR="00B47DC8" w:rsidRPr="00D72730">
        <w:rPr>
          <w:rFonts w:cstheme="minorHAnsi"/>
        </w:rPr>
        <w:fldChar w:fldCharType="begin"/>
      </w:r>
      <w:r w:rsidR="009C171D">
        <w:rPr>
          <w:rFonts w:cstheme="minorHAnsi"/>
        </w:rPr>
        <w:instrText>ADDIN RW.CITE{{doc:5e1f4bc6e4b00d56a3fb9087 Hawley,SA 2014; doc:5e202d40e4b042c245b7f485 Kazyken,D 2019; doc:5e1f4c19e4b00d56a3fb90ae Zhang,C 2016}}</w:instrText>
      </w:r>
      <w:r w:rsidR="00B47DC8" w:rsidRPr="00D72730">
        <w:rPr>
          <w:rFonts w:cstheme="minorHAnsi"/>
        </w:rPr>
        <w:fldChar w:fldCharType="separate"/>
      </w:r>
      <w:r w:rsidR="00763715" w:rsidRPr="00763715">
        <w:rPr>
          <w:rFonts w:ascii="Calibri" w:hAnsi="Calibri" w:cs="Calibri"/>
          <w:bCs/>
        </w:rPr>
        <w:t>[59-61]</w:t>
      </w:r>
      <w:r w:rsidR="00B47DC8" w:rsidRPr="00D72730">
        <w:rPr>
          <w:rFonts w:cstheme="minorHAnsi"/>
        </w:rPr>
        <w:fldChar w:fldCharType="end"/>
      </w:r>
      <w:r w:rsidR="00B47DC8" w:rsidRPr="00D72730">
        <w:rPr>
          <w:rFonts w:cstheme="minorHAnsi"/>
        </w:rPr>
        <w:t>, the kinase can either positively or negatively affect cell status.  In agreement with the diverse and complex outputs of the range of AMPK-dependent downstream signalling profiles, our studies show that dGTE1 activates AMPK to exert a positive effect on hepatocyte function, such as oxidative status, mitochondrial function, and cell viability, whilst dGTE2-mediated AMPK activation is not associated with hepatocyte function.</w:t>
      </w:r>
      <w:r w:rsidR="00B47DC8">
        <w:rPr>
          <w:rFonts w:cstheme="minorHAnsi"/>
        </w:rPr>
        <w:t xml:space="preserve"> </w:t>
      </w:r>
      <w:r w:rsidR="00B47DC8">
        <w:rPr>
          <w:rFonts w:cstheme="minorHAnsi"/>
          <w:shd w:val="clear" w:color="auto" w:fill="FFFFFF"/>
        </w:rPr>
        <w:t xml:space="preserve">Furthermore, our findings demonstrate that dGTE1 exerts an AMPK-dependent protective effect on oxidative stress in HepG2 cells, whereas EGCG exposure alone protected oxidative stress in an AMPK-independent manner.  It is therefore likely that EGCG is not the key antioxidant molecule present in dGTE1 and AMPK is not the only downstream signalling molecule activated in response to GTE supplementation. Other catechins present in GTE, </w:t>
      </w:r>
      <w:r w:rsidR="0004495B">
        <w:rPr>
          <w:rFonts w:cstheme="minorHAnsi"/>
          <w:shd w:val="clear" w:color="auto" w:fill="FFFFFF"/>
        </w:rPr>
        <w:t xml:space="preserve">at lower levels </w:t>
      </w:r>
      <w:r w:rsidR="001C4257">
        <w:rPr>
          <w:rFonts w:cstheme="minorHAnsi"/>
          <w:shd w:val="clear" w:color="auto" w:fill="FFFFFF"/>
        </w:rPr>
        <w:t xml:space="preserve">than EGCG, </w:t>
      </w:r>
      <w:r w:rsidR="00B47DC8">
        <w:rPr>
          <w:rFonts w:cstheme="minorHAnsi"/>
          <w:shd w:val="clear" w:color="auto" w:fill="FFFFFF"/>
        </w:rPr>
        <w:t>such as</w:t>
      </w:r>
      <w:r w:rsidR="00025A33" w:rsidRPr="00D72730">
        <w:rPr>
          <w:rFonts w:cstheme="minorHAnsi"/>
          <w:shd w:val="clear" w:color="auto" w:fill="FFFFFF"/>
        </w:rPr>
        <w:t xml:space="preserve"> (−)-epicatechin, (−)-epigallocatechin, (−)-epicatechin-3-</w:t>
      </w:r>
      <w:r w:rsidR="00025A33" w:rsidRPr="00D72730">
        <w:rPr>
          <w:rStyle w:val="Emphasis"/>
          <w:rFonts w:cstheme="minorHAnsi"/>
          <w:shd w:val="clear" w:color="auto" w:fill="FFFFFF"/>
        </w:rPr>
        <w:t>O</w:t>
      </w:r>
      <w:r w:rsidR="00025A33" w:rsidRPr="00D72730">
        <w:rPr>
          <w:rFonts w:cstheme="minorHAnsi"/>
          <w:shd w:val="clear" w:color="auto" w:fill="FFFFFF"/>
        </w:rPr>
        <w:t>-gallate</w:t>
      </w:r>
      <w:r w:rsidR="00672402">
        <w:rPr>
          <w:rFonts w:cstheme="minorHAnsi"/>
          <w:shd w:val="clear" w:color="auto" w:fill="FFFFFF"/>
        </w:rPr>
        <w:t xml:space="preserve"> could </w:t>
      </w:r>
      <w:r w:rsidR="004972E1">
        <w:rPr>
          <w:rFonts w:cstheme="minorHAnsi"/>
          <w:shd w:val="clear" w:color="auto" w:fill="FFFFFF"/>
        </w:rPr>
        <w:t xml:space="preserve">be present in differing concentrations in the two </w:t>
      </w:r>
      <w:proofErr w:type="spellStart"/>
      <w:r w:rsidR="004972E1">
        <w:rPr>
          <w:rFonts w:cstheme="minorHAnsi"/>
          <w:shd w:val="clear" w:color="auto" w:fill="FFFFFF"/>
        </w:rPr>
        <w:t>dGTE</w:t>
      </w:r>
      <w:proofErr w:type="spellEnd"/>
      <w:r w:rsidR="004972E1">
        <w:rPr>
          <w:rFonts w:cstheme="minorHAnsi"/>
          <w:shd w:val="clear" w:color="auto" w:fill="FFFFFF"/>
        </w:rPr>
        <w:t xml:space="preserve"> supplements studied</w:t>
      </w:r>
      <w:r w:rsidR="00AE5496">
        <w:rPr>
          <w:rFonts w:cstheme="minorHAnsi"/>
          <w:shd w:val="clear" w:color="auto" w:fill="FFFFFF"/>
        </w:rPr>
        <w:t xml:space="preserve"> </w:t>
      </w:r>
      <w:r w:rsidR="00AE5496">
        <w:rPr>
          <w:rFonts w:cstheme="minorHAnsi"/>
          <w:shd w:val="clear" w:color="auto" w:fill="FFFFFF"/>
        </w:rPr>
        <w:fldChar w:fldCharType="begin"/>
      </w:r>
      <w:r w:rsidR="009C171D">
        <w:rPr>
          <w:rFonts w:cstheme="minorHAnsi"/>
          <w:shd w:val="clear" w:color="auto" w:fill="FFFFFF"/>
        </w:rPr>
        <w:instrText>ADDIN RW.CITE{{doc:5e1dd606e4b0c88acc28b3cc [NoInformation] 2012}}</w:instrText>
      </w:r>
      <w:r w:rsidR="00AE5496">
        <w:rPr>
          <w:rFonts w:cstheme="minorHAnsi"/>
          <w:shd w:val="clear" w:color="auto" w:fill="FFFFFF"/>
        </w:rPr>
        <w:fldChar w:fldCharType="separate"/>
      </w:r>
      <w:r w:rsidR="009D6D5E" w:rsidRPr="009D6D5E">
        <w:rPr>
          <w:rFonts w:ascii="Calibri" w:hAnsi="Calibri" w:cs="Calibri"/>
          <w:bCs/>
          <w:shd w:val="clear" w:color="auto" w:fill="FFFFFF"/>
          <w:lang w:val="en-US"/>
        </w:rPr>
        <w:t>[1]</w:t>
      </w:r>
      <w:r w:rsidR="00AE5496">
        <w:rPr>
          <w:rFonts w:cstheme="minorHAnsi"/>
          <w:shd w:val="clear" w:color="auto" w:fill="FFFFFF"/>
        </w:rPr>
        <w:fldChar w:fldCharType="end"/>
      </w:r>
      <w:r w:rsidR="004972E1">
        <w:rPr>
          <w:rFonts w:cstheme="minorHAnsi"/>
          <w:shd w:val="clear" w:color="auto" w:fill="FFFFFF"/>
        </w:rPr>
        <w:t>. Th</w:t>
      </w:r>
      <w:r w:rsidR="009C4D39">
        <w:rPr>
          <w:rFonts w:cstheme="minorHAnsi"/>
          <w:shd w:val="clear" w:color="auto" w:fill="FFFFFF"/>
        </w:rPr>
        <w:t xml:space="preserve">ese </w:t>
      </w:r>
      <w:r w:rsidR="00F819FA">
        <w:rPr>
          <w:rFonts w:cstheme="minorHAnsi"/>
          <w:shd w:val="clear" w:color="auto" w:fill="FFFFFF"/>
        </w:rPr>
        <w:t>molecules</w:t>
      </w:r>
      <w:r w:rsidR="009C4D39">
        <w:rPr>
          <w:rFonts w:cstheme="minorHAnsi"/>
          <w:shd w:val="clear" w:color="auto" w:fill="FFFFFF"/>
        </w:rPr>
        <w:t xml:space="preserve"> could act, in concert with EGCG, to attenuate oxidative stress in hepatocytes, however further study is needed to investigate the role of </w:t>
      </w:r>
      <w:r w:rsidR="00E31572">
        <w:rPr>
          <w:rFonts w:cstheme="minorHAnsi"/>
          <w:shd w:val="clear" w:color="auto" w:fill="FFFFFF"/>
        </w:rPr>
        <w:t xml:space="preserve">these </w:t>
      </w:r>
      <w:proofErr w:type="gramStart"/>
      <w:r w:rsidR="00F819FA">
        <w:rPr>
          <w:rFonts w:cstheme="minorHAnsi"/>
          <w:shd w:val="clear" w:color="auto" w:fill="FFFFFF"/>
        </w:rPr>
        <w:t>less-considered</w:t>
      </w:r>
      <w:proofErr w:type="gramEnd"/>
      <w:r w:rsidR="00F819FA">
        <w:rPr>
          <w:rFonts w:cstheme="minorHAnsi"/>
          <w:shd w:val="clear" w:color="auto" w:fill="FFFFFF"/>
        </w:rPr>
        <w:t xml:space="preserve"> catechins.</w:t>
      </w:r>
    </w:p>
    <w:p w14:paraId="59DA19E5" w14:textId="63FBA5AA" w:rsidR="002A3588" w:rsidRPr="00D72730" w:rsidRDefault="00910D76" w:rsidP="00583620">
      <w:pPr>
        <w:spacing w:after="0" w:line="480" w:lineRule="auto"/>
        <w:ind w:firstLine="720"/>
        <w:jc w:val="both"/>
        <w:rPr>
          <w:rFonts w:cstheme="minorHAnsi"/>
        </w:rPr>
      </w:pPr>
      <w:r w:rsidRPr="00D72730">
        <w:rPr>
          <w:rFonts w:cstheme="minorHAnsi"/>
          <w:shd w:val="clear" w:color="auto" w:fill="FFFFFF"/>
        </w:rPr>
        <w:t xml:space="preserve">Interestingly, qualitative chemical analysis of each extract, using GC-MS, demonstrates the presence of steric acid, palmitic </w:t>
      </w:r>
      <w:proofErr w:type="gramStart"/>
      <w:r w:rsidRPr="00D72730">
        <w:rPr>
          <w:rFonts w:cstheme="minorHAnsi"/>
          <w:shd w:val="clear" w:color="auto" w:fill="FFFFFF"/>
        </w:rPr>
        <w:t>acid</w:t>
      </w:r>
      <w:proofErr w:type="gramEnd"/>
      <w:r w:rsidRPr="00D72730">
        <w:rPr>
          <w:rFonts w:cstheme="minorHAnsi"/>
          <w:shd w:val="clear" w:color="auto" w:fill="FFFFFF"/>
        </w:rPr>
        <w:t xml:space="preserve"> and caffeine in dGTE2, although the latter two are also found in dGTE1 but at low levels.  This is in agreement with previous studies which show the presence of both </w:t>
      </w:r>
      <w:r w:rsidRPr="00D72730">
        <w:rPr>
          <w:rFonts w:cstheme="minorHAnsi"/>
          <w:shd w:val="clear" w:color="auto" w:fill="FFFFFF"/>
        </w:rPr>
        <w:lastRenderedPageBreak/>
        <w:t xml:space="preserve">steric acid and palmitic acid in leaf-grade variety green tea; steric acid is a commonly-used anti-caking and palmitic acid is the most common saturated fatty acid found in plants </w:t>
      </w:r>
      <w:r w:rsidRPr="00D72730">
        <w:rPr>
          <w:rFonts w:cstheme="minorHAnsi"/>
          <w:shd w:val="clear" w:color="auto" w:fill="FFFFFF"/>
        </w:rPr>
        <w:fldChar w:fldCharType="begin"/>
      </w:r>
      <w:r w:rsidR="009C171D">
        <w:rPr>
          <w:rFonts w:cstheme="minorHAnsi"/>
          <w:shd w:val="clear" w:color="auto" w:fill="FFFFFF"/>
        </w:rPr>
        <w:instrText>ADDIN RW.CITE{{doc:5f7759f9e4b0538dabd50322 Ahmad,M 2015; doc:5f775a1be4b0bb0e4cbf84f9 Carta,G 2017}}</w:instrText>
      </w:r>
      <w:r w:rsidRPr="00D72730">
        <w:rPr>
          <w:rFonts w:cstheme="minorHAnsi"/>
          <w:shd w:val="clear" w:color="auto" w:fill="FFFFFF"/>
        </w:rPr>
        <w:fldChar w:fldCharType="separate"/>
      </w:r>
      <w:r w:rsidR="00F34ADD" w:rsidRPr="00F34ADD">
        <w:rPr>
          <w:rFonts w:ascii="Calibri" w:hAnsi="Calibri" w:cs="Calibri"/>
          <w:bCs/>
          <w:shd w:val="clear" w:color="auto" w:fill="FFFFFF"/>
        </w:rPr>
        <w:t>[67,68]</w:t>
      </w:r>
      <w:r w:rsidRPr="00D72730">
        <w:rPr>
          <w:rFonts w:cstheme="minorHAnsi"/>
          <w:shd w:val="clear" w:color="auto" w:fill="FFFFFF"/>
        </w:rPr>
        <w:fldChar w:fldCharType="end"/>
      </w:r>
      <w:r w:rsidRPr="00D72730">
        <w:rPr>
          <w:rFonts w:cstheme="minorHAnsi"/>
          <w:shd w:val="clear" w:color="auto" w:fill="FFFFFF"/>
        </w:rPr>
        <w:t xml:space="preserve">.  </w:t>
      </w:r>
      <w:r w:rsidRPr="00D72730">
        <w:rPr>
          <w:rFonts w:cstheme="minorHAnsi"/>
          <w:i/>
          <w:iCs/>
          <w:shd w:val="clear" w:color="auto" w:fill="FFFFFF"/>
        </w:rPr>
        <w:t xml:space="preserve">In vitro </w:t>
      </w:r>
      <w:r w:rsidRPr="00D72730">
        <w:rPr>
          <w:rFonts w:cstheme="minorHAnsi"/>
          <w:shd w:val="clear" w:color="auto" w:fill="FFFFFF"/>
        </w:rPr>
        <w:t xml:space="preserve">studies by Garcia-Ruiz </w:t>
      </w:r>
      <w:r w:rsidRPr="00D72730">
        <w:rPr>
          <w:rFonts w:cstheme="minorHAnsi"/>
          <w:i/>
          <w:iCs/>
          <w:shd w:val="clear" w:color="auto" w:fill="FFFFFF"/>
        </w:rPr>
        <w:t xml:space="preserve">et al </w:t>
      </w:r>
      <w:r w:rsidRPr="00D72730">
        <w:rPr>
          <w:rFonts w:cstheme="minorHAnsi"/>
          <w:shd w:val="clear" w:color="auto" w:fill="FFFFFF"/>
        </w:rPr>
        <w:t xml:space="preserve">show that both palmitic acid and steric acid exposure can reduce the activity of OXPHOS complexes to lower cellular ATP levels and increase oxidative stress in HepG2 cells </w:t>
      </w:r>
      <w:r w:rsidRPr="00D72730">
        <w:rPr>
          <w:rFonts w:cstheme="minorHAnsi"/>
          <w:shd w:val="clear" w:color="auto" w:fill="FFFFFF"/>
        </w:rPr>
        <w:fldChar w:fldCharType="begin"/>
      </w:r>
      <w:r w:rsidR="009C171D">
        <w:rPr>
          <w:rFonts w:cstheme="minorHAnsi"/>
          <w:shd w:val="clear" w:color="auto" w:fill="FFFFFF"/>
        </w:rPr>
        <w:instrText>ADDIN RW.CITE{{doc:5f775a35e4b0dd873aa181bc Garcia-Ruiz,I 2015}}</w:instrText>
      </w:r>
      <w:r w:rsidRPr="00D72730">
        <w:rPr>
          <w:rFonts w:cstheme="minorHAnsi"/>
          <w:shd w:val="clear" w:color="auto" w:fill="FFFFFF"/>
        </w:rPr>
        <w:fldChar w:fldCharType="separate"/>
      </w:r>
      <w:r w:rsidR="00F34ADD" w:rsidRPr="00F34ADD">
        <w:rPr>
          <w:rFonts w:ascii="Calibri" w:hAnsi="Calibri" w:cs="Calibri"/>
          <w:bCs/>
          <w:shd w:val="clear" w:color="auto" w:fill="FFFFFF"/>
        </w:rPr>
        <w:t>[69]</w:t>
      </w:r>
      <w:r w:rsidRPr="00D72730">
        <w:rPr>
          <w:rFonts w:cstheme="minorHAnsi"/>
          <w:shd w:val="clear" w:color="auto" w:fill="FFFFFF"/>
        </w:rPr>
        <w:fldChar w:fldCharType="end"/>
      </w:r>
      <w:r w:rsidRPr="00D72730">
        <w:rPr>
          <w:rFonts w:cstheme="minorHAnsi"/>
          <w:shd w:val="clear" w:color="auto" w:fill="FFFFFF"/>
        </w:rPr>
        <w:t>.  It is therefore possible that the presence of steric acid and increased levels of palmitic acid in dGTE2, compared to dGTE1, may cause fatty acid-induced cytotoxic effects observed in dGTE2-exposed HepG2 cells. Likewise, we demonstrate that the alkaloid caffeine is present in higher levels in dGTE2 than dGTE1. Previous studies indicate that caffeine (~8 µg·ml</w:t>
      </w:r>
      <w:r w:rsidRPr="00D72730">
        <w:rPr>
          <w:rFonts w:cstheme="minorHAnsi"/>
          <w:shd w:val="clear" w:color="auto" w:fill="FFFFFF"/>
          <w:vertAlign w:val="superscript"/>
        </w:rPr>
        <w:t>-1</w:t>
      </w:r>
      <w:r w:rsidRPr="00D72730">
        <w:rPr>
          <w:rFonts w:cstheme="minorHAnsi"/>
          <w:shd w:val="clear" w:color="auto" w:fill="FFFFFF"/>
        </w:rPr>
        <w:t xml:space="preserve">) can induce cytotoxicity in human hepatocarcinoma cells </w:t>
      </w:r>
      <w:r w:rsidRPr="00D72730">
        <w:rPr>
          <w:rFonts w:cstheme="minorHAnsi"/>
          <w:shd w:val="clear" w:color="auto" w:fill="FFFFFF"/>
        </w:rPr>
        <w:fldChar w:fldCharType="begin"/>
      </w:r>
      <w:r w:rsidR="009C171D">
        <w:rPr>
          <w:rFonts w:cstheme="minorHAnsi"/>
          <w:shd w:val="clear" w:color="auto" w:fill="FFFFFF"/>
        </w:rPr>
        <w:instrText>ADDIN RW.CITE{{doc:5f775a59e4b0744e55566599 Romualdo,GR 2020}}</w:instrText>
      </w:r>
      <w:r w:rsidRPr="00D72730">
        <w:rPr>
          <w:rFonts w:cstheme="minorHAnsi"/>
          <w:shd w:val="clear" w:color="auto" w:fill="FFFFFF"/>
        </w:rPr>
        <w:fldChar w:fldCharType="separate"/>
      </w:r>
      <w:r w:rsidR="00F34ADD" w:rsidRPr="00F34ADD">
        <w:rPr>
          <w:rFonts w:ascii="Calibri" w:hAnsi="Calibri" w:cs="Calibri"/>
          <w:bCs/>
          <w:shd w:val="clear" w:color="auto" w:fill="FFFFFF"/>
        </w:rPr>
        <w:t>[70]</w:t>
      </w:r>
      <w:r w:rsidRPr="00D72730">
        <w:rPr>
          <w:rFonts w:cstheme="minorHAnsi"/>
          <w:shd w:val="clear" w:color="auto" w:fill="FFFFFF"/>
        </w:rPr>
        <w:fldChar w:fldCharType="end"/>
      </w:r>
      <w:r w:rsidRPr="00D72730">
        <w:rPr>
          <w:rFonts w:cstheme="minorHAnsi"/>
          <w:shd w:val="clear" w:color="auto" w:fill="FFFFFF"/>
        </w:rPr>
        <w:t xml:space="preserve"> whilst </w:t>
      </w:r>
      <w:r w:rsidRPr="00D72730">
        <w:rPr>
          <w:rFonts w:cstheme="minorHAnsi"/>
          <w:i/>
          <w:iCs/>
          <w:shd w:val="clear" w:color="auto" w:fill="FFFFFF"/>
        </w:rPr>
        <w:t xml:space="preserve">in vivo </w:t>
      </w:r>
      <w:r w:rsidRPr="00D72730">
        <w:rPr>
          <w:rFonts w:cstheme="minorHAnsi"/>
          <w:shd w:val="clear" w:color="auto" w:fill="FFFFFF"/>
        </w:rPr>
        <w:t xml:space="preserve">studies suggest that caffeine consumption can reduce oxidative stress and fibrosis in settings of liver disease such as cirrhosis </w:t>
      </w:r>
      <w:r w:rsidRPr="00D72730">
        <w:rPr>
          <w:rFonts w:cstheme="minorHAnsi"/>
          <w:shd w:val="clear" w:color="auto" w:fill="FFFFFF"/>
        </w:rPr>
        <w:fldChar w:fldCharType="begin"/>
      </w:r>
      <w:r w:rsidR="009C171D">
        <w:rPr>
          <w:rFonts w:cstheme="minorHAnsi"/>
          <w:shd w:val="clear" w:color="auto" w:fill="FFFFFF"/>
        </w:rPr>
        <w:instrText>ADDIN RW.CITE{{doc:5f775ad1e4b070cc17e17f8f Amer,MG 2017; doc:5f775aa2e4b0c33e372a89c2 Arauz,J 2017}}</w:instrText>
      </w:r>
      <w:r w:rsidRPr="00D72730">
        <w:rPr>
          <w:rFonts w:cstheme="minorHAnsi"/>
          <w:shd w:val="clear" w:color="auto" w:fill="FFFFFF"/>
        </w:rPr>
        <w:fldChar w:fldCharType="separate"/>
      </w:r>
      <w:r w:rsidR="00F34ADD" w:rsidRPr="00F34ADD">
        <w:rPr>
          <w:rFonts w:ascii="Calibri" w:hAnsi="Calibri" w:cs="Calibri"/>
          <w:bCs/>
          <w:shd w:val="clear" w:color="auto" w:fill="FFFFFF"/>
        </w:rPr>
        <w:t>[71,72]</w:t>
      </w:r>
      <w:r w:rsidRPr="00D72730">
        <w:rPr>
          <w:rFonts w:cstheme="minorHAnsi"/>
          <w:shd w:val="clear" w:color="auto" w:fill="FFFFFF"/>
        </w:rPr>
        <w:fldChar w:fldCharType="end"/>
      </w:r>
      <w:r w:rsidRPr="00D72730">
        <w:rPr>
          <w:rFonts w:cstheme="minorHAnsi"/>
          <w:shd w:val="clear" w:color="auto" w:fill="FFFFFF"/>
        </w:rPr>
        <w:t xml:space="preserve">.  Given this controversy regarding hepatic response to caffeine exposure, and that dGTE1 and dGTE2 are labelled as decaffeinated, it is unlikely that caffeine is responsible for the biological effects of GTE observed however further investigation is needed to establish the levels of caffeine in each extract.  Indeed, analytical chemistry techniques have previously shown that decaffeinated tea still contains caffeine but at levels lower than 12 mg per serving, in contrast to up to 61 mg per serving in caffeinated teas </w:t>
      </w:r>
      <w:r w:rsidRPr="00D72730">
        <w:rPr>
          <w:rFonts w:cstheme="minorHAnsi"/>
          <w:shd w:val="clear" w:color="auto" w:fill="FFFFFF"/>
        </w:rPr>
        <w:fldChar w:fldCharType="begin"/>
      </w:r>
      <w:r w:rsidR="009C171D">
        <w:rPr>
          <w:rFonts w:cstheme="minorHAnsi"/>
          <w:shd w:val="clear" w:color="auto" w:fill="FFFFFF"/>
        </w:rPr>
        <w:instrText>ADDIN RW.CITE{{doc:5ffda8288f083f49aeb30dd7 Chin,JM 2008}}</w:instrText>
      </w:r>
      <w:r w:rsidRPr="00D72730">
        <w:rPr>
          <w:rFonts w:cstheme="minorHAnsi"/>
          <w:shd w:val="clear" w:color="auto" w:fill="FFFFFF"/>
        </w:rPr>
        <w:fldChar w:fldCharType="separate"/>
      </w:r>
      <w:r w:rsidR="00F34ADD" w:rsidRPr="00F34ADD">
        <w:rPr>
          <w:rFonts w:ascii="Calibri" w:hAnsi="Calibri" w:cs="Calibri"/>
          <w:bCs/>
          <w:shd w:val="clear" w:color="auto" w:fill="FFFFFF"/>
        </w:rPr>
        <w:t>[73]</w:t>
      </w:r>
      <w:r w:rsidRPr="00D72730">
        <w:rPr>
          <w:rFonts w:cstheme="minorHAnsi"/>
          <w:shd w:val="clear" w:color="auto" w:fill="FFFFFF"/>
        </w:rPr>
        <w:fldChar w:fldCharType="end"/>
      </w:r>
      <w:r w:rsidRPr="00D72730">
        <w:rPr>
          <w:rFonts w:cstheme="minorHAnsi"/>
          <w:shd w:val="clear" w:color="auto" w:fill="FFFFFF"/>
        </w:rPr>
        <w:t>. The opposing effects of dGTE1 and dGTE2 may be due to varying levels of other catechins in GTE (including (−)-epicatechin, (−)-epigallocatechin, (−)-epicatechin-3-</w:t>
      </w:r>
      <w:r w:rsidRPr="00D72730">
        <w:rPr>
          <w:rStyle w:val="Emphasis"/>
          <w:rFonts w:cstheme="minorHAnsi"/>
          <w:shd w:val="clear" w:color="auto" w:fill="FFFFFF"/>
        </w:rPr>
        <w:t>O</w:t>
      </w:r>
      <w:r w:rsidRPr="00D72730">
        <w:rPr>
          <w:rFonts w:cstheme="minorHAnsi"/>
          <w:shd w:val="clear" w:color="auto" w:fill="FFFFFF"/>
        </w:rPr>
        <w:t xml:space="preserve">-gallate) as well as other polyphenols found in tea such as flavanols and their glycosides, and theogallin </w:t>
      </w:r>
      <w:r w:rsidRPr="00D72730">
        <w:rPr>
          <w:rFonts w:cstheme="minorHAnsi"/>
          <w:shd w:val="clear" w:color="auto" w:fill="FFFFFF"/>
        </w:rPr>
        <w:fldChar w:fldCharType="begin"/>
      </w:r>
      <w:r w:rsidR="009C171D">
        <w:rPr>
          <w:rFonts w:cstheme="minorHAnsi"/>
          <w:shd w:val="clear" w:color="auto" w:fill="FFFFFF"/>
        </w:rPr>
        <w:instrText>ADDIN RW.CITE{{doc:5e1dd606e4b0c88acc28b3cc [NoInformation] 2012}}</w:instrText>
      </w:r>
      <w:r w:rsidRPr="00D72730">
        <w:rPr>
          <w:rFonts w:cstheme="minorHAnsi"/>
          <w:shd w:val="clear" w:color="auto" w:fill="FFFFFF"/>
        </w:rPr>
        <w:fldChar w:fldCharType="separate"/>
      </w:r>
      <w:r w:rsidR="009D6D5E" w:rsidRPr="009D6D5E">
        <w:rPr>
          <w:rFonts w:ascii="Calibri" w:hAnsi="Calibri" w:cs="Calibri"/>
          <w:bCs/>
          <w:shd w:val="clear" w:color="auto" w:fill="FFFFFF"/>
        </w:rPr>
        <w:t>[1]</w:t>
      </w:r>
      <w:r w:rsidRPr="00D72730">
        <w:rPr>
          <w:rFonts w:cstheme="minorHAnsi"/>
          <w:shd w:val="clear" w:color="auto" w:fill="FFFFFF"/>
        </w:rPr>
        <w:fldChar w:fldCharType="end"/>
      </w:r>
      <w:r w:rsidRPr="00D72730">
        <w:rPr>
          <w:rFonts w:cstheme="minorHAnsi"/>
          <w:shd w:val="clear" w:color="auto" w:fill="FFFFFF"/>
        </w:rPr>
        <w:t xml:space="preserve">.  Further analysis of the levels of these compounds in dGTE1 and dGTE2, as well as the bioavailability of each, would be needed to further understand the mechanism through which dGTE1 acts as a cytoprotective agent to abolish oxidative stress and mitochondrial dysfunction induced by hydrogen peroxide.  Given the two </w:t>
      </w:r>
      <w:proofErr w:type="spellStart"/>
      <w:r w:rsidRPr="00D72730">
        <w:rPr>
          <w:rFonts w:cstheme="minorHAnsi"/>
          <w:shd w:val="clear" w:color="auto" w:fill="FFFFFF"/>
        </w:rPr>
        <w:t>dGTE</w:t>
      </w:r>
      <w:proofErr w:type="spellEnd"/>
      <w:r w:rsidRPr="00D72730">
        <w:rPr>
          <w:rFonts w:cstheme="minorHAnsi"/>
          <w:shd w:val="clear" w:color="auto" w:fill="FFFFFF"/>
        </w:rPr>
        <w:t xml:space="preserve"> supplements were sourced from different companies in different countries, it is also possible that dGTE2 contains various cytotoxic agents which are accumulated throughout the extract processing procedure, whilst dGTE1 are not.  </w:t>
      </w:r>
      <w:r w:rsidRPr="00D72730">
        <w:rPr>
          <w:rFonts w:cstheme="minorHAnsi"/>
        </w:rPr>
        <w:t xml:space="preserve">Studies show that heavy metals, such as zinc, can be present in tea plants where plantations are </w:t>
      </w:r>
      <w:proofErr w:type="gramStart"/>
      <w:r w:rsidRPr="00D72730">
        <w:rPr>
          <w:rFonts w:cstheme="minorHAnsi"/>
        </w:rPr>
        <w:t>in close proximity to</w:t>
      </w:r>
      <w:proofErr w:type="gramEnd"/>
      <w:r w:rsidRPr="00D72730">
        <w:rPr>
          <w:rFonts w:cstheme="minorHAnsi"/>
        </w:rPr>
        <w:t xml:space="preserve"> heavily polluted areas or landfill sites </w:t>
      </w:r>
      <w:r w:rsidRPr="00D72730">
        <w:rPr>
          <w:rFonts w:cstheme="minorHAnsi"/>
        </w:rPr>
        <w:fldChar w:fldCharType="begin"/>
      </w:r>
      <w:r w:rsidR="009C171D">
        <w:rPr>
          <w:rFonts w:cstheme="minorHAnsi"/>
        </w:rPr>
        <w:instrText>ADDIN RW.CITE{{doc:60080c808f0812c2c2f53619 Rezaee,E 2014}}</w:instrText>
      </w:r>
      <w:r w:rsidRPr="00D72730">
        <w:rPr>
          <w:rFonts w:cstheme="minorHAnsi"/>
        </w:rPr>
        <w:fldChar w:fldCharType="separate"/>
      </w:r>
      <w:r w:rsidR="00F34ADD" w:rsidRPr="00F34ADD">
        <w:rPr>
          <w:rFonts w:ascii="Calibri" w:hAnsi="Calibri" w:cs="Calibri"/>
          <w:bCs/>
        </w:rPr>
        <w:t>[74]</w:t>
      </w:r>
      <w:r w:rsidRPr="00D72730">
        <w:rPr>
          <w:rFonts w:cstheme="minorHAnsi"/>
        </w:rPr>
        <w:fldChar w:fldCharType="end"/>
      </w:r>
      <w:r w:rsidRPr="00D72730">
        <w:rPr>
          <w:rFonts w:cstheme="minorHAnsi"/>
        </w:rPr>
        <w:t xml:space="preserve">.  </w:t>
      </w:r>
      <w:r w:rsidRPr="00D72730">
        <w:rPr>
          <w:rFonts w:cstheme="minorHAnsi"/>
          <w:shd w:val="clear" w:color="auto" w:fill="FFFFFF"/>
        </w:rPr>
        <w:t xml:space="preserve">Furthermore, many teas such as Rooibos tea have been shown to have a high microbial load </w:t>
      </w:r>
      <w:r w:rsidRPr="00D72730">
        <w:rPr>
          <w:rFonts w:cstheme="minorHAnsi"/>
          <w:shd w:val="clear" w:color="auto" w:fill="FFFFFF"/>
        </w:rPr>
        <w:lastRenderedPageBreak/>
        <w:t xml:space="preserve">which is, in part, linked to the tea fermentation, pasteurisation and drying processes </w:t>
      </w:r>
      <w:r w:rsidRPr="00D72730">
        <w:rPr>
          <w:rFonts w:cstheme="minorHAnsi"/>
          <w:shd w:val="clear" w:color="auto" w:fill="FFFFFF"/>
        </w:rPr>
        <w:fldChar w:fldCharType="begin"/>
      </w:r>
      <w:r w:rsidR="009C171D">
        <w:rPr>
          <w:rFonts w:cstheme="minorHAnsi"/>
          <w:shd w:val="clear" w:color="auto" w:fill="FFFFFF"/>
        </w:rPr>
        <w:instrText>ADDIN RW.CITE{{doc:5e1f4d1be4b00d56a3fb90f3 Gouws,P 2014}}</w:instrText>
      </w:r>
      <w:r w:rsidRPr="00D72730">
        <w:rPr>
          <w:rFonts w:cstheme="minorHAnsi"/>
          <w:shd w:val="clear" w:color="auto" w:fill="FFFFFF"/>
        </w:rPr>
        <w:fldChar w:fldCharType="separate"/>
      </w:r>
      <w:r w:rsidR="00F34ADD" w:rsidRPr="00F34ADD">
        <w:rPr>
          <w:rFonts w:ascii="Calibri" w:hAnsi="Calibri" w:cs="Calibri"/>
          <w:bCs/>
          <w:shd w:val="clear" w:color="auto" w:fill="FFFFFF"/>
        </w:rPr>
        <w:t>[75]</w:t>
      </w:r>
      <w:r w:rsidRPr="00D72730">
        <w:rPr>
          <w:rFonts w:cstheme="minorHAnsi"/>
          <w:shd w:val="clear" w:color="auto" w:fill="FFFFFF"/>
        </w:rPr>
        <w:fldChar w:fldCharType="end"/>
      </w:r>
      <w:r w:rsidRPr="00D72730">
        <w:rPr>
          <w:rFonts w:cstheme="minorHAnsi"/>
          <w:shd w:val="clear" w:color="auto" w:fill="FFFFFF"/>
        </w:rPr>
        <w:t xml:space="preserve">.  In other teas, a range of fungi which contain aflatoxins, mycotoxins such as </w:t>
      </w:r>
      <w:proofErr w:type="spellStart"/>
      <w:r w:rsidRPr="00D72730">
        <w:rPr>
          <w:rFonts w:cstheme="minorHAnsi"/>
          <w:shd w:val="clear" w:color="auto" w:fill="FFFFFF"/>
        </w:rPr>
        <w:t>fumonisins</w:t>
      </w:r>
      <w:proofErr w:type="spellEnd"/>
      <w:r w:rsidRPr="00D72730">
        <w:rPr>
          <w:rFonts w:cstheme="minorHAnsi"/>
          <w:shd w:val="clear" w:color="auto" w:fill="FFFFFF"/>
        </w:rPr>
        <w:t xml:space="preserve">, and toxigenic fungi moulds such as </w:t>
      </w:r>
      <w:r w:rsidRPr="00D72730">
        <w:rPr>
          <w:rFonts w:cstheme="minorHAnsi"/>
          <w:i/>
          <w:iCs/>
          <w:shd w:val="clear" w:color="auto" w:fill="FFFFFF"/>
        </w:rPr>
        <w:t>A. Flavus</w:t>
      </w:r>
      <w:r w:rsidRPr="00D72730">
        <w:rPr>
          <w:rFonts w:cstheme="minorHAnsi"/>
          <w:shd w:val="clear" w:color="auto" w:fill="FFFFFF"/>
        </w:rPr>
        <w:t>,</w:t>
      </w:r>
      <w:r w:rsidRPr="00D72730">
        <w:rPr>
          <w:rFonts w:cstheme="minorHAnsi"/>
          <w:i/>
          <w:iCs/>
        </w:rPr>
        <w:t xml:space="preserve"> A</w:t>
      </w:r>
      <w:r w:rsidRPr="00D72730">
        <w:rPr>
          <w:rFonts w:cstheme="minorHAnsi"/>
        </w:rPr>
        <w:t>. </w:t>
      </w:r>
      <w:proofErr w:type="spellStart"/>
      <w:r w:rsidRPr="00D72730">
        <w:rPr>
          <w:rFonts w:cstheme="minorHAnsi"/>
          <w:i/>
          <w:iCs/>
        </w:rPr>
        <w:t>parasiticus</w:t>
      </w:r>
      <w:proofErr w:type="spellEnd"/>
      <w:r w:rsidRPr="00D72730">
        <w:rPr>
          <w:rFonts w:cstheme="minorHAnsi"/>
        </w:rPr>
        <w:t>, and </w:t>
      </w:r>
      <w:r w:rsidRPr="00D72730">
        <w:rPr>
          <w:rFonts w:cstheme="minorHAnsi"/>
          <w:i/>
          <w:iCs/>
        </w:rPr>
        <w:t>Penicillium</w:t>
      </w:r>
      <w:r w:rsidRPr="00D72730">
        <w:rPr>
          <w:rFonts w:cstheme="minorHAnsi"/>
        </w:rPr>
        <w:t> </w:t>
      </w:r>
      <w:proofErr w:type="spellStart"/>
      <w:r w:rsidRPr="00D72730">
        <w:rPr>
          <w:rFonts w:cstheme="minorHAnsi"/>
        </w:rPr>
        <w:t>spp</w:t>
      </w:r>
      <w:proofErr w:type="spellEnd"/>
      <w:r w:rsidRPr="00D72730">
        <w:rPr>
          <w:rFonts w:cstheme="minorHAnsi"/>
        </w:rPr>
        <w:t xml:space="preserve"> </w:t>
      </w:r>
      <w:r w:rsidRPr="00D72730">
        <w:rPr>
          <w:rFonts w:cstheme="minorHAnsi"/>
          <w:shd w:val="clear" w:color="auto" w:fill="FFFFFF"/>
        </w:rPr>
        <w:fldChar w:fldCharType="begin"/>
      </w:r>
      <w:r w:rsidR="009C171D">
        <w:rPr>
          <w:rFonts w:cstheme="minorHAnsi"/>
          <w:shd w:val="clear" w:color="auto" w:fill="FFFFFF"/>
        </w:rPr>
        <w:instrText>ADDIN RW.CITE{{doc:5e1f4d3ae4b0a41a10f9b6bd Trucksess,MW 2008}}</w:instrText>
      </w:r>
      <w:r w:rsidRPr="00D72730">
        <w:rPr>
          <w:rFonts w:cstheme="minorHAnsi"/>
          <w:shd w:val="clear" w:color="auto" w:fill="FFFFFF"/>
        </w:rPr>
        <w:fldChar w:fldCharType="separate"/>
      </w:r>
      <w:r w:rsidR="00F34ADD" w:rsidRPr="00F34ADD">
        <w:rPr>
          <w:rFonts w:ascii="Calibri" w:hAnsi="Calibri" w:cs="Calibri"/>
          <w:bCs/>
          <w:shd w:val="clear" w:color="auto" w:fill="FFFFFF"/>
        </w:rPr>
        <w:t>[76]</w:t>
      </w:r>
      <w:r w:rsidRPr="00D72730">
        <w:rPr>
          <w:rFonts w:cstheme="minorHAnsi"/>
          <w:shd w:val="clear" w:color="auto" w:fill="FFFFFF"/>
        </w:rPr>
        <w:fldChar w:fldCharType="end"/>
      </w:r>
      <w:r w:rsidRPr="00D72730">
        <w:rPr>
          <w:rFonts w:cstheme="minorHAnsi"/>
          <w:shd w:val="clear" w:color="auto" w:fill="FFFFFF"/>
        </w:rPr>
        <w:t xml:space="preserve">.  </w:t>
      </w:r>
      <w:proofErr w:type="spellStart"/>
      <w:r w:rsidRPr="00D72730">
        <w:rPr>
          <w:rFonts w:cstheme="minorHAnsi"/>
          <w:shd w:val="clear" w:color="auto" w:fill="FFFFFF"/>
        </w:rPr>
        <w:t>Fumonisins</w:t>
      </w:r>
      <w:proofErr w:type="spellEnd"/>
      <w:r w:rsidRPr="00D72730">
        <w:rPr>
          <w:rFonts w:cstheme="minorHAnsi"/>
          <w:shd w:val="clear" w:color="auto" w:fill="FFFFFF"/>
        </w:rPr>
        <w:t xml:space="preserve"> and aflatoxins have been demonstrated to inhibit cell proliferation </w:t>
      </w:r>
      <w:r w:rsidRPr="00D72730">
        <w:rPr>
          <w:rFonts w:cstheme="minorHAnsi"/>
          <w:shd w:val="clear" w:color="auto" w:fill="FFFFFF"/>
        </w:rPr>
        <w:fldChar w:fldCharType="begin"/>
      </w:r>
      <w:r w:rsidR="009C171D">
        <w:rPr>
          <w:rFonts w:cstheme="minorHAnsi"/>
          <w:shd w:val="clear" w:color="auto" w:fill="FFFFFF"/>
        </w:rPr>
        <w:instrText>ADDIN RW.CITE{{doc:5e1f4d55e4b00fb269023413 Cetin,Y 2005; doc:5e1f4d6ae4b00d56a3fb9129 Chen,X 2016}}</w:instrText>
      </w:r>
      <w:r w:rsidRPr="00D72730">
        <w:rPr>
          <w:rFonts w:cstheme="minorHAnsi"/>
          <w:shd w:val="clear" w:color="auto" w:fill="FFFFFF"/>
        </w:rPr>
        <w:fldChar w:fldCharType="separate"/>
      </w:r>
      <w:r w:rsidR="00F34ADD" w:rsidRPr="00F34ADD">
        <w:rPr>
          <w:rFonts w:ascii="Calibri" w:hAnsi="Calibri" w:cs="Calibri"/>
          <w:bCs/>
          <w:shd w:val="clear" w:color="auto" w:fill="FFFFFF"/>
        </w:rPr>
        <w:t>[77,78]</w:t>
      </w:r>
      <w:r w:rsidRPr="00D72730">
        <w:rPr>
          <w:rFonts w:cstheme="minorHAnsi"/>
          <w:shd w:val="clear" w:color="auto" w:fill="FFFFFF"/>
        </w:rPr>
        <w:fldChar w:fldCharType="end"/>
      </w:r>
      <w:r w:rsidRPr="00D72730">
        <w:rPr>
          <w:rFonts w:cstheme="minorHAnsi"/>
        </w:rPr>
        <w:t xml:space="preserve"> and increase apoptotic cell death in primary and cultured hepatocytes including HepG2 cells </w:t>
      </w:r>
      <w:r w:rsidRPr="00D72730">
        <w:rPr>
          <w:rFonts w:cstheme="minorHAnsi"/>
        </w:rPr>
        <w:fldChar w:fldCharType="begin"/>
      </w:r>
      <w:r w:rsidR="009C171D">
        <w:rPr>
          <w:rFonts w:cstheme="minorHAnsi"/>
        </w:rPr>
        <w:instrText>ADDIN RW.CITE{{doc:5e1f4dbce4b0a41a10f9b782 Kang,SJ 2016; doc:5e1f4da7e4b00d56a3fb9173 Meneely,JP 2018; doc:5e1f4d85e4b0ba7fd51b5092 Wentzel,JF 2017}}</w:instrText>
      </w:r>
      <w:r w:rsidRPr="00D72730">
        <w:rPr>
          <w:rFonts w:cstheme="minorHAnsi"/>
        </w:rPr>
        <w:fldChar w:fldCharType="separate"/>
      </w:r>
      <w:r w:rsidR="00F34ADD" w:rsidRPr="00F34ADD">
        <w:rPr>
          <w:rFonts w:ascii="Calibri" w:hAnsi="Calibri" w:cs="Calibri"/>
          <w:bCs/>
        </w:rPr>
        <w:t>[79-81]</w:t>
      </w:r>
      <w:r w:rsidRPr="00D72730">
        <w:rPr>
          <w:rFonts w:cstheme="minorHAnsi"/>
        </w:rPr>
        <w:fldChar w:fldCharType="end"/>
      </w:r>
      <w:r w:rsidRPr="00D72730">
        <w:rPr>
          <w:rFonts w:cstheme="minorHAnsi"/>
        </w:rPr>
        <w:t>.  The mechanism for this is unclear however i</w:t>
      </w:r>
      <w:r w:rsidRPr="00D72730">
        <w:rPr>
          <w:rFonts w:cstheme="minorHAnsi"/>
          <w:shd w:val="clear" w:color="auto" w:fill="FFFFFF"/>
        </w:rPr>
        <w:t xml:space="preserve">t is possible that these mycotoxins are present in dGTE2, but not dGTE1, and therefore could be responsible for the opposing cytotoxic effects of the extracts. </w:t>
      </w:r>
    </w:p>
    <w:p w14:paraId="02E9A3A6" w14:textId="77777777" w:rsidR="00910D76" w:rsidRPr="00D72730" w:rsidRDefault="00910D76" w:rsidP="008275D7">
      <w:pPr>
        <w:spacing w:after="0" w:line="480" w:lineRule="auto"/>
        <w:ind w:firstLine="720"/>
        <w:jc w:val="both"/>
        <w:rPr>
          <w:rFonts w:cstheme="minorHAnsi"/>
        </w:rPr>
      </w:pPr>
      <w:r w:rsidRPr="00D72730">
        <w:rPr>
          <w:rFonts w:cstheme="minorHAnsi"/>
        </w:rPr>
        <w:t xml:space="preserve">In conclusion, our findings demonstrate that a </w:t>
      </w:r>
      <w:proofErr w:type="gramStart"/>
      <w:r w:rsidRPr="00D72730">
        <w:rPr>
          <w:rFonts w:cstheme="minorHAnsi"/>
        </w:rPr>
        <w:t>commercially-available</w:t>
      </w:r>
      <w:proofErr w:type="gramEnd"/>
      <w:r w:rsidRPr="00D72730">
        <w:rPr>
          <w:rFonts w:cstheme="minorHAnsi"/>
        </w:rPr>
        <w:t xml:space="preserve"> </w:t>
      </w:r>
      <w:proofErr w:type="spellStart"/>
      <w:r w:rsidRPr="00D72730">
        <w:rPr>
          <w:rFonts w:cstheme="minorHAnsi"/>
        </w:rPr>
        <w:t>dGTE</w:t>
      </w:r>
      <w:proofErr w:type="spellEnd"/>
      <w:r w:rsidRPr="00D72730">
        <w:rPr>
          <w:rFonts w:cstheme="minorHAnsi"/>
        </w:rPr>
        <w:t xml:space="preserve"> supplement causes mitochondrial disruption, oxidative stress and cell death in a human cell model, whilst a </w:t>
      </w:r>
      <w:proofErr w:type="spellStart"/>
      <w:r w:rsidRPr="00D72730">
        <w:rPr>
          <w:rFonts w:cstheme="minorHAnsi"/>
        </w:rPr>
        <w:t>dGTE</w:t>
      </w:r>
      <w:proofErr w:type="spellEnd"/>
      <w:r w:rsidRPr="00D72730">
        <w:rPr>
          <w:rFonts w:cstheme="minorHAnsi"/>
        </w:rPr>
        <w:t xml:space="preserve"> supplement used from source reduces hepatocyte damage in settings of oxidative stress. These studies highlight a key difference between two green tea supplements and has potential implications for the manufacturing and processing industry associated with supplementation.</w:t>
      </w:r>
    </w:p>
    <w:p w14:paraId="127F6DA0" w14:textId="38AB1F71" w:rsidR="00B11010" w:rsidRPr="00910D76" w:rsidRDefault="00B11010" w:rsidP="008275D7">
      <w:pPr>
        <w:spacing w:after="0" w:line="480" w:lineRule="auto"/>
        <w:jc w:val="both"/>
        <w:rPr>
          <w:rFonts w:cstheme="minorHAnsi"/>
          <w:b/>
          <w:bCs/>
          <w:i/>
          <w:iCs/>
        </w:rPr>
      </w:pPr>
    </w:p>
    <w:p w14:paraId="43551BE9" w14:textId="77777777" w:rsidR="003F63D4" w:rsidRPr="00910D76" w:rsidRDefault="003F63D4" w:rsidP="008275D7">
      <w:pPr>
        <w:spacing w:after="0" w:line="480" w:lineRule="auto"/>
        <w:jc w:val="both"/>
        <w:rPr>
          <w:rFonts w:cstheme="minorHAnsi"/>
          <w:b/>
          <w:u w:val="single"/>
        </w:rPr>
      </w:pPr>
    </w:p>
    <w:p w14:paraId="5DDCE44A" w14:textId="77777777" w:rsidR="002051B2" w:rsidRPr="00910D76" w:rsidRDefault="002051B2" w:rsidP="008275D7">
      <w:pPr>
        <w:spacing w:line="480" w:lineRule="auto"/>
        <w:jc w:val="both"/>
        <w:rPr>
          <w:rFonts w:cstheme="minorHAnsi"/>
          <w:b/>
          <w:u w:val="single"/>
        </w:rPr>
      </w:pPr>
      <w:r w:rsidRPr="00910D76">
        <w:rPr>
          <w:rFonts w:cstheme="minorHAnsi"/>
          <w:b/>
          <w:u w:val="single"/>
        </w:rPr>
        <w:br w:type="page"/>
      </w:r>
    </w:p>
    <w:p w14:paraId="31F29286" w14:textId="296D36D2" w:rsidR="006E2D25" w:rsidRPr="00910D76" w:rsidRDefault="006E2D25" w:rsidP="000E1907">
      <w:pPr>
        <w:pStyle w:val="Heading1"/>
      </w:pPr>
      <w:r w:rsidRPr="00910D76">
        <w:lastRenderedPageBreak/>
        <w:t>Acknowledgements</w:t>
      </w:r>
    </w:p>
    <w:p w14:paraId="41EBE3B0" w14:textId="408B7857" w:rsidR="006E2D25" w:rsidRPr="00910D76" w:rsidRDefault="000A37A2" w:rsidP="008275D7">
      <w:pPr>
        <w:spacing w:after="0" w:line="480" w:lineRule="auto"/>
        <w:jc w:val="both"/>
        <w:rPr>
          <w:rFonts w:cstheme="minorHAnsi"/>
          <w:bCs/>
        </w:rPr>
      </w:pPr>
      <w:r w:rsidRPr="00910D76">
        <w:rPr>
          <w:rFonts w:cstheme="minorHAnsi"/>
          <w:bCs/>
        </w:rPr>
        <w:t xml:space="preserve">We would like to </w:t>
      </w:r>
      <w:r w:rsidR="00EE7201" w:rsidRPr="00910D76">
        <w:rPr>
          <w:rFonts w:cstheme="minorHAnsi"/>
          <w:bCs/>
        </w:rPr>
        <w:t>acknowledge Jack Weekes who carried out the</w:t>
      </w:r>
      <w:r w:rsidRPr="00910D76">
        <w:rPr>
          <w:rFonts w:cstheme="minorHAnsi"/>
          <w:bCs/>
        </w:rPr>
        <w:t xml:space="preserve"> pilot</w:t>
      </w:r>
      <w:r w:rsidR="00EE7201" w:rsidRPr="00910D76">
        <w:rPr>
          <w:rFonts w:cstheme="minorHAnsi"/>
          <w:bCs/>
        </w:rPr>
        <w:t xml:space="preserve"> bioavailability study</w:t>
      </w:r>
      <w:r w:rsidRPr="00910D76">
        <w:rPr>
          <w:rFonts w:cstheme="minorHAnsi"/>
          <w:bCs/>
        </w:rPr>
        <w:t>.</w:t>
      </w:r>
    </w:p>
    <w:p w14:paraId="419478AC" w14:textId="273A2267" w:rsidR="0009191B" w:rsidRPr="00910D76" w:rsidRDefault="0009191B" w:rsidP="008275D7">
      <w:pPr>
        <w:spacing w:after="0" w:line="480" w:lineRule="auto"/>
        <w:jc w:val="both"/>
        <w:rPr>
          <w:rFonts w:cstheme="minorHAnsi"/>
          <w:bCs/>
        </w:rPr>
      </w:pPr>
    </w:p>
    <w:p w14:paraId="317B3718" w14:textId="368C0ACC" w:rsidR="0009191B" w:rsidRPr="009D0AA6" w:rsidRDefault="0009191B" w:rsidP="000E1907">
      <w:pPr>
        <w:pStyle w:val="Heading1"/>
        <w:rPr>
          <w:rFonts w:eastAsia="Times New Roman"/>
          <w:lang w:val="en" w:eastAsia="en-GB"/>
        </w:rPr>
      </w:pPr>
      <w:r w:rsidRPr="009D0AA6">
        <w:rPr>
          <w:rFonts w:eastAsia="Times New Roman"/>
          <w:lang w:val="en" w:eastAsia="en-GB"/>
        </w:rPr>
        <w:t>Grants, sponsors, funding sources</w:t>
      </w:r>
    </w:p>
    <w:p w14:paraId="5EFD5461" w14:textId="29F07AAB" w:rsidR="0009191B" w:rsidRDefault="0009191B" w:rsidP="008275D7">
      <w:pPr>
        <w:spacing w:after="0" w:line="480" w:lineRule="auto"/>
        <w:jc w:val="both"/>
        <w:rPr>
          <w:rFonts w:cstheme="minorHAnsi"/>
        </w:rPr>
      </w:pPr>
      <w:r w:rsidRPr="00910D76">
        <w:rPr>
          <w:rFonts w:cstheme="minorHAnsi"/>
        </w:rPr>
        <w:t>This material is based on work supported by Diabetes UK Grant 15/0005284 (</w:t>
      </w:r>
      <w:proofErr w:type="spellStart"/>
      <w:proofErr w:type="gramStart"/>
      <w:r w:rsidRPr="00910D76">
        <w:rPr>
          <w:rFonts w:cstheme="minorHAnsi"/>
        </w:rPr>
        <w:t>H.Chichger</w:t>
      </w:r>
      <w:proofErr w:type="spellEnd"/>
      <w:proofErr w:type="gramEnd"/>
      <w:r w:rsidRPr="00910D76">
        <w:rPr>
          <w:rFonts w:cstheme="minorHAnsi"/>
        </w:rPr>
        <w:t xml:space="preserve">) and </w:t>
      </w:r>
      <w:proofErr w:type="spellStart"/>
      <w:r w:rsidRPr="00910D76">
        <w:rPr>
          <w:rFonts w:cstheme="minorHAnsi"/>
        </w:rPr>
        <w:t>Biocare</w:t>
      </w:r>
      <w:proofErr w:type="spellEnd"/>
      <w:r w:rsidRPr="00910D76">
        <w:rPr>
          <w:rFonts w:cstheme="minorHAnsi"/>
        </w:rPr>
        <w:t xml:space="preserve"> Ltd. (</w:t>
      </w:r>
      <w:proofErr w:type="spellStart"/>
      <w:r w:rsidRPr="00910D76">
        <w:rPr>
          <w:rFonts w:cstheme="minorHAnsi"/>
        </w:rPr>
        <w:t>J.Roberts</w:t>
      </w:r>
      <w:proofErr w:type="spellEnd"/>
      <w:r w:rsidRPr="00910D76">
        <w:rPr>
          <w:rFonts w:cstheme="minorHAnsi"/>
        </w:rPr>
        <w:t xml:space="preserve">).  </w:t>
      </w:r>
    </w:p>
    <w:p w14:paraId="2C4F6068" w14:textId="77777777" w:rsidR="00375BEE" w:rsidRDefault="00375BEE" w:rsidP="008275D7">
      <w:pPr>
        <w:spacing w:after="0" w:line="480" w:lineRule="auto"/>
        <w:jc w:val="both"/>
        <w:rPr>
          <w:rFonts w:cstheme="minorHAnsi"/>
        </w:rPr>
      </w:pPr>
    </w:p>
    <w:p w14:paraId="099EB530" w14:textId="6C8B0518" w:rsidR="00375BEE" w:rsidRPr="00375BEE" w:rsidRDefault="00375BEE" w:rsidP="000E1907">
      <w:pPr>
        <w:pStyle w:val="Heading1"/>
      </w:pPr>
      <w:r w:rsidRPr="00375BEE">
        <w:t>Declaration of interest</w:t>
      </w:r>
    </w:p>
    <w:p w14:paraId="137C07E6" w14:textId="3785A219" w:rsidR="005B4C1D" w:rsidRDefault="00773BF2" w:rsidP="008275D7">
      <w:pPr>
        <w:spacing w:after="0" w:line="480" w:lineRule="auto"/>
        <w:jc w:val="both"/>
        <w:rPr>
          <w:rFonts w:cstheme="minorHAnsi"/>
        </w:rPr>
      </w:pPr>
      <w:proofErr w:type="spellStart"/>
      <w:r>
        <w:rPr>
          <w:rFonts w:cstheme="minorHAnsi"/>
        </w:rPr>
        <w:t>Biocare</w:t>
      </w:r>
      <w:proofErr w:type="spellEnd"/>
      <w:r>
        <w:rPr>
          <w:rFonts w:cstheme="minorHAnsi"/>
        </w:rPr>
        <w:t xml:space="preserve"> Ltd </w:t>
      </w:r>
      <w:r w:rsidR="005B4C1D">
        <w:rPr>
          <w:rFonts w:cstheme="minorHAnsi"/>
        </w:rPr>
        <w:t xml:space="preserve">was one of the sources of green tea extract and funded part of the research project however the company had </w:t>
      </w:r>
      <w:proofErr w:type="gramStart"/>
      <w:r w:rsidR="005B4C1D">
        <w:rPr>
          <w:rFonts w:cstheme="minorHAnsi"/>
        </w:rPr>
        <w:t>no</w:t>
      </w:r>
      <w:proofErr w:type="gramEnd"/>
      <w:r w:rsidR="005B4C1D">
        <w:rPr>
          <w:rFonts w:cstheme="minorHAnsi"/>
        </w:rPr>
        <w:t xml:space="preserve"> input into the </w:t>
      </w:r>
      <w:r w:rsidR="004F7B0F">
        <w:rPr>
          <w:rFonts w:cstheme="minorHAnsi"/>
        </w:rPr>
        <w:t xml:space="preserve">study conceptualisation, methodology approach, data analysis, manuscript writing or editing. </w:t>
      </w:r>
    </w:p>
    <w:p w14:paraId="379B0413" w14:textId="77777777" w:rsidR="0009191B" w:rsidRPr="00910D76" w:rsidRDefault="0009191B" w:rsidP="008275D7">
      <w:pPr>
        <w:spacing w:after="0" w:line="480" w:lineRule="auto"/>
        <w:jc w:val="both"/>
        <w:rPr>
          <w:rFonts w:cstheme="minorHAnsi"/>
        </w:rPr>
      </w:pPr>
    </w:p>
    <w:p w14:paraId="50F829E3" w14:textId="3586F8AB" w:rsidR="0009191B" w:rsidRPr="009D0AA6" w:rsidRDefault="0009191B" w:rsidP="000E1907">
      <w:pPr>
        <w:pStyle w:val="Heading1"/>
        <w:rPr>
          <w:shd w:val="clear" w:color="auto" w:fill="FFFFFF"/>
          <w:lang w:val="en-US"/>
        </w:rPr>
      </w:pPr>
      <w:r w:rsidRPr="009D0AA6">
        <w:rPr>
          <w:shd w:val="clear" w:color="auto" w:fill="FFFFFF"/>
          <w:lang w:val="en-US"/>
        </w:rPr>
        <w:t>Authors’ individual contributions</w:t>
      </w:r>
    </w:p>
    <w:p w14:paraId="006528EE" w14:textId="77777777" w:rsidR="00E27359" w:rsidRPr="00910D76" w:rsidRDefault="0009191B" w:rsidP="008275D7">
      <w:pPr>
        <w:spacing w:after="0" w:line="480" w:lineRule="auto"/>
        <w:jc w:val="both"/>
        <w:rPr>
          <w:rFonts w:cstheme="minorHAnsi"/>
          <w:color w:val="000000"/>
          <w:shd w:val="clear" w:color="auto" w:fill="FFFFFF"/>
          <w:lang w:val="en-US"/>
        </w:rPr>
      </w:pPr>
      <w:r w:rsidRPr="00910D76">
        <w:rPr>
          <w:rFonts w:cstheme="minorHAnsi"/>
          <w:b/>
          <w:bCs/>
          <w:color w:val="000000"/>
          <w:shd w:val="clear" w:color="auto" w:fill="FFFFFF"/>
          <w:lang w:val="en-US"/>
        </w:rPr>
        <w:t xml:space="preserve">Aparna </w:t>
      </w:r>
      <w:proofErr w:type="spellStart"/>
      <w:r w:rsidRPr="00910D76">
        <w:rPr>
          <w:rFonts w:cstheme="minorHAnsi"/>
          <w:b/>
          <w:bCs/>
          <w:color w:val="000000"/>
          <w:shd w:val="clear" w:color="auto" w:fill="FFFFFF"/>
          <w:lang w:val="en-US"/>
        </w:rPr>
        <w:t>Shil</w:t>
      </w:r>
      <w:proofErr w:type="spellEnd"/>
      <w:r w:rsidRPr="00910D76">
        <w:rPr>
          <w:rFonts w:cstheme="minorHAnsi"/>
          <w:b/>
          <w:bCs/>
          <w:color w:val="000000"/>
          <w:shd w:val="clear" w:color="auto" w:fill="FFFFFF"/>
          <w:lang w:val="en-US"/>
        </w:rPr>
        <w:t>:</w:t>
      </w:r>
      <w:r w:rsidRPr="00910D76">
        <w:rPr>
          <w:rFonts w:cstheme="minorHAnsi"/>
          <w:color w:val="000000"/>
          <w:shd w:val="clear" w:color="auto" w:fill="FFFFFF"/>
          <w:lang w:val="en-US"/>
        </w:rPr>
        <w:t xml:space="preserve"> Investigation, method development, experimental work, data curation, formal analysis.  </w:t>
      </w:r>
    </w:p>
    <w:p w14:paraId="456661B9" w14:textId="2FC99705" w:rsidR="00E27359" w:rsidRPr="00910D76" w:rsidRDefault="00E27359" w:rsidP="008275D7">
      <w:pPr>
        <w:spacing w:after="0" w:line="480" w:lineRule="auto"/>
        <w:jc w:val="both"/>
        <w:rPr>
          <w:rFonts w:cstheme="minorHAnsi"/>
          <w:color w:val="000000"/>
          <w:shd w:val="clear" w:color="auto" w:fill="FFFFFF"/>
          <w:lang w:val="en-US"/>
        </w:rPr>
      </w:pPr>
      <w:r w:rsidRPr="00910D76">
        <w:rPr>
          <w:rFonts w:cstheme="minorHAnsi"/>
          <w:b/>
          <w:bCs/>
          <w:color w:val="000000"/>
          <w:shd w:val="clear" w:color="auto" w:fill="FFFFFF"/>
          <w:lang w:val="en-US"/>
        </w:rPr>
        <w:t xml:space="preserve">Christopher Davies: </w:t>
      </w:r>
      <w:r w:rsidRPr="00910D76">
        <w:rPr>
          <w:rFonts w:cstheme="minorHAnsi"/>
          <w:color w:val="000000"/>
          <w:shd w:val="clear" w:color="auto" w:fill="FFFFFF"/>
          <w:lang w:val="en-US"/>
        </w:rPr>
        <w:t>Method development, experimental work, data analysis, formal analysis.</w:t>
      </w:r>
    </w:p>
    <w:p w14:paraId="16E7967E" w14:textId="136ED042" w:rsidR="00E27359" w:rsidRPr="00910D76" w:rsidRDefault="00E27359" w:rsidP="008275D7">
      <w:pPr>
        <w:spacing w:after="0" w:line="480" w:lineRule="auto"/>
        <w:jc w:val="both"/>
        <w:rPr>
          <w:rFonts w:cstheme="minorHAnsi"/>
          <w:b/>
          <w:bCs/>
          <w:color w:val="000000"/>
          <w:shd w:val="clear" w:color="auto" w:fill="FFFFFF"/>
          <w:lang w:val="en-US"/>
        </w:rPr>
      </w:pPr>
      <w:r w:rsidRPr="00910D76">
        <w:rPr>
          <w:rFonts w:cstheme="minorHAnsi"/>
          <w:b/>
          <w:bCs/>
          <w:color w:val="000000"/>
          <w:shd w:val="clear" w:color="auto" w:fill="FFFFFF"/>
          <w:lang w:val="en-US"/>
        </w:rPr>
        <w:t xml:space="preserve">Lata Gautam: </w:t>
      </w:r>
      <w:r w:rsidRPr="00910D76">
        <w:rPr>
          <w:rFonts w:cstheme="minorHAnsi"/>
          <w:color w:val="000000"/>
          <w:shd w:val="clear" w:color="auto" w:fill="FFFFFF"/>
          <w:lang w:val="en-US"/>
        </w:rPr>
        <w:t xml:space="preserve">Method development, experimental work, data analysis, formal analysis, supervision (of Christopher Davies), writing – review and editing. </w:t>
      </w:r>
    </w:p>
    <w:p w14:paraId="5B6BD343" w14:textId="2A618948" w:rsidR="0009191B" w:rsidRPr="00910D76" w:rsidRDefault="0009191B" w:rsidP="008275D7">
      <w:pPr>
        <w:spacing w:after="0" w:line="480" w:lineRule="auto"/>
        <w:jc w:val="both"/>
        <w:rPr>
          <w:rFonts w:cstheme="minorHAnsi"/>
          <w:color w:val="000000"/>
          <w:shd w:val="clear" w:color="auto" w:fill="FFFFFF"/>
          <w:lang w:val="en-US"/>
        </w:rPr>
      </w:pPr>
      <w:r w:rsidRPr="00910D76">
        <w:rPr>
          <w:rFonts w:cstheme="minorHAnsi"/>
          <w:b/>
          <w:bCs/>
          <w:color w:val="000000"/>
          <w:shd w:val="clear" w:color="auto" w:fill="FFFFFF"/>
          <w:lang w:val="en-US"/>
        </w:rPr>
        <w:t>Justin Roberts:</w:t>
      </w:r>
      <w:r w:rsidRPr="00910D76">
        <w:rPr>
          <w:rFonts w:cstheme="minorHAnsi"/>
          <w:color w:val="000000"/>
          <w:shd w:val="clear" w:color="auto" w:fill="FFFFFF"/>
          <w:lang w:val="en-US"/>
        </w:rPr>
        <w:t xml:space="preserve"> Conceptualization, data curation, funding acquisition; writing – review and editing. </w:t>
      </w:r>
      <w:r w:rsidRPr="00910D76">
        <w:rPr>
          <w:rFonts w:cstheme="minorHAnsi"/>
          <w:b/>
          <w:bCs/>
          <w:color w:val="000000"/>
          <w:shd w:val="clear" w:color="auto" w:fill="FFFFFF"/>
          <w:lang w:val="en-US"/>
        </w:rPr>
        <w:t>Havovi Chichger:</w:t>
      </w:r>
      <w:r w:rsidRPr="00910D76">
        <w:rPr>
          <w:rFonts w:cstheme="minorHAnsi"/>
          <w:color w:val="000000"/>
          <w:shd w:val="clear" w:color="auto" w:fill="FFFFFF"/>
          <w:lang w:val="en-US"/>
        </w:rPr>
        <w:t xml:space="preserve"> Conceptualization, method development, experimental work, supervision (of Aparna </w:t>
      </w:r>
      <w:proofErr w:type="spellStart"/>
      <w:r w:rsidRPr="00910D76">
        <w:rPr>
          <w:rFonts w:cstheme="minorHAnsi"/>
          <w:color w:val="000000"/>
          <w:shd w:val="clear" w:color="auto" w:fill="FFFFFF"/>
          <w:lang w:val="en-US"/>
        </w:rPr>
        <w:t>Shil</w:t>
      </w:r>
      <w:proofErr w:type="spellEnd"/>
      <w:r w:rsidRPr="00910D76">
        <w:rPr>
          <w:rFonts w:cstheme="minorHAnsi"/>
          <w:color w:val="000000"/>
          <w:shd w:val="clear" w:color="auto" w:fill="FFFFFF"/>
          <w:lang w:val="en-US"/>
        </w:rPr>
        <w:t>), data curation, formal analysis, funding acquisition; writing – original draft</w:t>
      </w:r>
      <w:r w:rsidR="002A53CA" w:rsidRPr="00910D76">
        <w:rPr>
          <w:rFonts w:cstheme="minorHAnsi"/>
          <w:color w:val="000000"/>
          <w:shd w:val="clear" w:color="auto" w:fill="FFFFFF"/>
          <w:lang w:val="en-US"/>
        </w:rPr>
        <w:t>, reviewing and editing</w:t>
      </w:r>
      <w:r w:rsidRPr="00910D76">
        <w:rPr>
          <w:rFonts w:cstheme="minorHAnsi"/>
          <w:color w:val="000000"/>
          <w:shd w:val="clear" w:color="auto" w:fill="FFFFFF"/>
          <w:lang w:val="en-US"/>
        </w:rPr>
        <w:t>.</w:t>
      </w:r>
    </w:p>
    <w:p w14:paraId="7C4683DC" w14:textId="77777777" w:rsidR="0009191B" w:rsidRPr="00910D76" w:rsidRDefault="0009191B" w:rsidP="008275D7">
      <w:pPr>
        <w:spacing w:after="0" w:line="480" w:lineRule="auto"/>
        <w:jc w:val="both"/>
        <w:rPr>
          <w:rFonts w:cstheme="minorHAnsi"/>
          <w:bCs/>
          <w:lang w:val="en-US"/>
        </w:rPr>
      </w:pPr>
    </w:p>
    <w:p w14:paraId="5B9C8E6E" w14:textId="7ED4A409" w:rsidR="000A37A2" w:rsidRPr="00910D76" w:rsidRDefault="000A37A2" w:rsidP="008275D7">
      <w:pPr>
        <w:spacing w:after="0" w:line="480" w:lineRule="auto"/>
        <w:jc w:val="both"/>
        <w:rPr>
          <w:rFonts w:cstheme="minorHAnsi"/>
          <w:b/>
          <w:u w:val="single"/>
        </w:rPr>
      </w:pPr>
    </w:p>
    <w:p w14:paraId="3EA5EBC0" w14:textId="64A1759F" w:rsidR="0009191B" w:rsidRPr="00910D76" w:rsidRDefault="0009191B" w:rsidP="008275D7">
      <w:pPr>
        <w:spacing w:after="0" w:line="480" w:lineRule="auto"/>
        <w:jc w:val="both"/>
        <w:rPr>
          <w:rFonts w:cstheme="minorHAnsi"/>
          <w:b/>
          <w:u w:val="single"/>
        </w:rPr>
      </w:pPr>
    </w:p>
    <w:p w14:paraId="212A3A24" w14:textId="6A885415" w:rsidR="0009191B" w:rsidRPr="00910D76" w:rsidRDefault="0009191B" w:rsidP="008275D7">
      <w:pPr>
        <w:spacing w:after="0" w:line="480" w:lineRule="auto"/>
        <w:jc w:val="both"/>
        <w:rPr>
          <w:rFonts w:cstheme="minorHAnsi"/>
          <w:b/>
          <w:u w:val="single"/>
        </w:rPr>
      </w:pPr>
    </w:p>
    <w:p w14:paraId="0B0E9710" w14:textId="2519A1E0" w:rsidR="0009191B" w:rsidRPr="00910D76" w:rsidRDefault="0009191B" w:rsidP="008275D7">
      <w:pPr>
        <w:spacing w:after="0" w:line="480" w:lineRule="auto"/>
        <w:jc w:val="both"/>
        <w:rPr>
          <w:rFonts w:cstheme="minorHAnsi"/>
          <w:b/>
          <w:u w:val="single"/>
        </w:rPr>
      </w:pPr>
    </w:p>
    <w:p w14:paraId="6363D2DC" w14:textId="145A7DDE" w:rsidR="0009191B" w:rsidRPr="00910D76" w:rsidRDefault="0009191B" w:rsidP="008275D7">
      <w:pPr>
        <w:spacing w:after="0" w:line="480" w:lineRule="auto"/>
        <w:jc w:val="both"/>
        <w:rPr>
          <w:rFonts w:cstheme="minorHAnsi"/>
          <w:b/>
          <w:u w:val="single"/>
        </w:rPr>
      </w:pPr>
    </w:p>
    <w:p w14:paraId="6E9B57D5" w14:textId="58BC0A4B" w:rsidR="0009191B" w:rsidRPr="00910D76" w:rsidRDefault="0009191B" w:rsidP="008275D7">
      <w:pPr>
        <w:spacing w:after="0" w:line="480" w:lineRule="auto"/>
        <w:jc w:val="both"/>
        <w:rPr>
          <w:rFonts w:cstheme="minorHAnsi"/>
          <w:b/>
          <w:u w:val="single"/>
        </w:rPr>
      </w:pPr>
    </w:p>
    <w:p w14:paraId="4F926E86" w14:textId="08D60679" w:rsidR="003F63D4" w:rsidRPr="00910D76" w:rsidRDefault="003F63D4" w:rsidP="000E1907">
      <w:pPr>
        <w:pStyle w:val="Heading1"/>
      </w:pPr>
      <w:r w:rsidRPr="00910D76">
        <w:br w:type="page"/>
      </w:r>
      <w:r w:rsidRPr="00910D76">
        <w:lastRenderedPageBreak/>
        <w:t>Figure legends</w:t>
      </w:r>
    </w:p>
    <w:p w14:paraId="382321F8" w14:textId="77777777" w:rsidR="003F63D4" w:rsidRPr="00910D76" w:rsidRDefault="003F63D4" w:rsidP="008275D7">
      <w:pPr>
        <w:spacing w:after="0" w:line="480" w:lineRule="auto"/>
        <w:jc w:val="both"/>
        <w:rPr>
          <w:rFonts w:cstheme="minorHAnsi"/>
          <w:b/>
          <w:bCs/>
        </w:rPr>
      </w:pPr>
    </w:p>
    <w:p w14:paraId="03C99FF8" w14:textId="03E3A736" w:rsidR="003F63D4" w:rsidRPr="00910D76" w:rsidRDefault="003F63D4" w:rsidP="008275D7">
      <w:pPr>
        <w:spacing w:after="0" w:line="480" w:lineRule="auto"/>
        <w:jc w:val="both"/>
        <w:rPr>
          <w:rFonts w:cstheme="minorHAnsi"/>
          <w:b/>
          <w:i/>
          <w:iCs/>
        </w:rPr>
      </w:pPr>
      <w:r w:rsidRPr="00910D76">
        <w:rPr>
          <w:rFonts w:cstheme="minorHAnsi"/>
          <w:b/>
          <w:bCs/>
          <w:i/>
          <w:iCs/>
        </w:rPr>
        <w:t>Figure 1:</w:t>
      </w:r>
      <w:r w:rsidRPr="00910D76">
        <w:rPr>
          <w:rFonts w:cstheme="minorHAnsi"/>
          <w:i/>
          <w:iCs/>
        </w:rPr>
        <w:t xml:space="preserve"> </w:t>
      </w:r>
      <w:r w:rsidRPr="00910D76">
        <w:rPr>
          <w:rFonts w:cstheme="minorHAnsi"/>
          <w:b/>
          <w:i/>
          <w:iCs/>
        </w:rPr>
        <w:t>Green tea extract 1 and 2 display differential effects on hepatocyte viability and apoptosis.</w:t>
      </w:r>
    </w:p>
    <w:p w14:paraId="690A8D03" w14:textId="12C25F03" w:rsidR="003F63D4" w:rsidRPr="00910D76" w:rsidRDefault="003F63D4" w:rsidP="008275D7">
      <w:pPr>
        <w:spacing w:after="0" w:line="480" w:lineRule="auto"/>
        <w:jc w:val="both"/>
        <w:rPr>
          <w:rFonts w:cstheme="minorHAnsi"/>
          <w:lang w:val="en-US"/>
        </w:rPr>
      </w:pPr>
      <w:r w:rsidRPr="00910D76">
        <w:rPr>
          <w:rFonts w:cstheme="minorHAnsi"/>
          <w:i/>
          <w:iCs/>
        </w:rPr>
        <w:t xml:space="preserve">Panel a: </w:t>
      </w:r>
      <w:r w:rsidRPr="00910D76">
        <w:rPr>
          <w:rFonts w:cstheme="minorHAnsi"/>
        </w:rPr>
        <w:t xml:space="preserve">HepG2 cells were exposed to varying concentrations of </w:t>
      </w:r>
      <w:r w:rsidR="00E60B33" w:rsidRPr="00910D76">
        <w:rPr>
          <w:rFonts w:cstheme="minorHAnsi"/>
        </w:rPr>
        <w:t>d</w:t>
      </w:r>
      <w:r w:rsidRPr="00910D76">
        <w:rPr>
          <w:rFonts w:cstheme="minorHAnsi"/>
        </w:rPr>
        <w:t>GTE1 (</w:t>
      </w:r>
      <w:proofErr w:type="spellStart"/>
      <w:r w:rsidRPr="00910D76">
        <w:rPr>
          <w:rFonts w:cstheme="minorHAnsi"/>
        </w:rPr>
        <w:t>i</w:t>
      </w:r>
      <w:proofErr w:type="spellEnd"/>
      <w:r w:rsidRPr="00910D76">
        <w:rPr>
          <w:rFonts w:cstheme="minorHAnsi"/>
        </w:rPr>
        <w:t xml:space="preserve">) or </w:t>
      </w:r>
      <w:r w:rsidR="00E60B33" w:rsidRPr="00910D76">
        <w:rPr>
          <w:rFonts w:cstheme="minorHAnsi"/>
        </w:rPr>
        <w:t>d</w:t>
      </w:r>
      <w:r w:rsidRPr="00910D76">
        <w:rPr>
          <w:rFonts w:cstheme="minorHAnsi"/>
        </w:rPr>
        <w:t>GTE2 (ii) for time-points from 24 (closed symbol) and 48 h (open symbol).  At the endpoint for each experiment, the CCK8 assay was performed to assess cell viability</w:t>
      </w:r>
      <w:r w:rsidRPr="00910D76">
        <w:rPr>
          <w:rFonts w:cstheme="minorHAnsi"/>
          <w:lang w:val="en-US"/>
        </w:rPr>
        <w:t xml:space="preserve">. </w:t>
      </w:r>
      <w:r w:rsidRPr="00910D76">
        <w:rPr>
          <w:rFonts w:cstheme="minorHAnsi"/>
          <w:i/>
          <w:iCs/>
          <w:lang w:val="en-US"/>
        </w:rPr>
        <w:t xml:space="preserve">Panel b: </w:t>
      </w:r>
      <w:r w:rsidRPr="00910D76">
        <w:rPr>
          <w:rFonts w:cstheme="minorHAnsi"/>
          <w:lang w:val="en-US"/>
        </w:rPr>
        <w:t xml:space="preserve">HepG2 cells were exposed to </w:t>
      </w:r>
      <w:r w:rsidRPr="00910D76">
        <w:rPr>
          <w:rFonts w:cstheme="minorHAnsi"/>
        </w:rPr>
        <w:t xml:space="preserve">varying concentrations of </w:t>
      </w:r>
      <w:r w:rsidR="00E60B33" w:rsidRPr="00910D76">
        <w:rPr>
          <w:rFonts w:cstheme="minorHAnsi"/>
        </w:rPr>
        <w:t>d</w:t>
      </w:r>
      <w:r w:rsidRPr="00910D76">
        <w:rPr>
          <w:rFonts w:cstheme="minorHAnsi"/>
        </w:rPr>
        <w:t>GTE1 (</w:t>
      </w:r>
      <w:proofErr w:type="spellStart"/>
      <w:r w:rsidRPr="00910D76">
        <w:rPr>
          <w:rFonts w:cstheme="minorHAnsi"/>
        </w:rPr>
        <w:t>i</w:t>
      </w:r>
      <w:proofErr w:type="spellEnd"/>
      <w:r w:rsidRPr="00910D76">
        <w:rPr>
          <w:rFonts w:cstheme="minorHAnsi"/>
        </w:rPr>
        <w:t xml:space="preserve">) or </w:t>
      </w:r>
      <w:r w:rsidR="00E60B33" w:rsidRPr="00910D76">
        <w:rPr>
          <w:rFonts w:cstheme="minorHAnsi"/>
        </w:rPr>
        <w:t>d</w:t>
      </w:r>
      <w:r w:rsidRPr="00910D76">
        <w:rPr>
          <w:rFonts w:cstheme="minorHAnsi"/>
        </w:rPr>
        <w:t>GTE2 (ii),</w:t>
      </w:r>
      <w:r w:rsidRPr="00910D76">
        <w:rPr>
          <w:rFonts w:cstheme="minorHAnsi"/>
          <w:lang w:val="en-US"/>
        </w:rPr>
        <w:t xml:space="preserve"> or vehicle (H</w:t>
      </w:r>
      <w:r w:rsidRPr="00910D76">
        <w:rPr>
          <w:rFonts w:cstheme="minorHAnsi"/>
          <w:vertAlign w:val="subscript"/>
          <w:lang w:val="en-US"/>
        </w:rPr>
        <w:t>2</w:t>
      </w:r>
      <w:r w:rsidRPr="00910D76">
        <w:rPr>
          <w:rFonts w:cstheme="minorHAnsi"/>
          <w:lang w:val="en-US"/>
        </w:rPr>
        <w:t>O),</w:t>
      </w:r>
      <w:r w:rsidRPr="00910D76">
        <w:rPr>
          <w:rFonts w:cstheme="minorHAnsi"/>
        </w:rPr>
        <w:t xml:space="preserve"> for 24 h in the presence (closed bars) and absence (open bars) of </w:t>
      </w:r>
      <w:r w:rsidRPr="00910D76">
        <w:rPr>
          <w:rFonts w:cstheme="minorHAnsi"/>
          <w:lang w:val="en-US"/>
        </w:rPr>
        <w:t>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rPr>
        <w:t xml:space="preserve"> (0.8 mM).  Cell viability was measured by CCK8 assay.  </w:t>
      </w:r>
      <w:r w:rsidRPr="00910D76">
        <w:rPr>
          <w:rFonts w:cstheme="minorHAnsi"/>
          <w:i/>
          <w:iCs/>
        </w:rPr>
        <w:t xml:space="preserve">Panel c: </w:t>
      </w:r>
      <w:r w:rsidRPr="00910D76">
        <w:rPr>
          <w:rFonts w:cstheme="minorHAnsi"/>
        </w:rPr>
        <w:t xml:space="preserve">Following exposure to </w:t>
      </w:r>
      <w:r w:rsidR="00E60B33" w:rsidRPr="00910D76">
        <w:rPr>
          <w:rFonts w:cstheme="minorHAnsi"/>
        </w:rPr>
        <w:t>d</w:t>
      </w:r>
      <w:r w:rsidRPr="00910D76">
        <w:rPr>
          <w:rFonts w:cstheme="minorHAnsi"/>
        </w:rPr>
        <w:t xml:space="preserve">GTE1 and GTE2 </w:t>
      </w:r>
      <w:bookmarkStart w:id="3" w:name="OLE_LINK1"/>
      <w:r w:rsidRPr="00910D76">
        <w:rPr>
          <w:rFonts w:cstheme="minorHAnsi"/>
          <w:lang w:val="en-US"/>
        </w:rPr>
        <w:t>(1 µg</w:t>
      </w:r>
      <w:r w:rsidR="00E60B33" w:rsidRPr="00910D76">
        <w:rPr>
          <w:rFonts w:cstheme="minorHAnsi"/>
          <w:lang w:val="en-US"/>
        </w:rPr>
        <w:t>·</w:t>
      </w:r>
      <w:r w:rsidRPr="00910D76">
        <w:rPr>
          <w:rFonts w:cstheme="minorHAnsi"/>
          <w:lang w:val="en-US"/>
        </w:rPr>
        <w:t>ml</w:t>
      </w:r>
      <w:r w:rsidR="00E60B33" w:rsidRPr="00910D76">
        <w:rPr>
          <w:rFonts w:cstheme="minorHAnsi"/>
          <w:vertAlign w:val="superscript"/>
          <w:lang w:val="en-US"/>
        </w:rPr>
        <w:t>-1</w:t>
      </w:r>
      <w:r w:rsidRPr="00910D76">
        <w:rPr>
          <w:rFonts w:cstheme="minorHAnsi"/>
          <w:lang w:val="en-US"/>
        </w:rPr>
        <w:t>)</w:t>
      </w:r>
      <w:bookmarkEnd w:id="3"/>
      <w:r w:rsidRPr="00910D76">
        <w:rPr>
          <w:rFonts w:cstheme="minorHAnsi"/>
        </w:rPr>
        <w:t>,</w:t>
      </w:r>
      <w:r w:rsidRPr="00910D76">
        <w:rPr>
          <w:rFonts w:cstheme="minorHAnsi"/>
          <w:i/>
          <w:iCs/>
        </w:rPr>
        <w:t xml:space="preserve"> </w:t>
      </w:r>
      <w:r w:rsidRPr="00910D76">
        <w:rPr>
          <w:rFonts w:cstheme="minorHAnsi"/>
        </w:rPr>
        <w:t xml:space="preserve">HepG2 cells were harvested and assessed </w:t>
      </w:r>
      <w:proofErr w:type="gramStart"/>
      <w:r w:rsidRPr="00910D76">
        <w:rPr>
          <w:rFonts w:cstheme="minorHAnsi"/>
        </w:rPr>
        <w:t>by  immunoblot</w:t>
      </w:r>
      <w:proofErr w:type="gramEnd"/>
      <w:r w:rsidRPr="00910D76">
        <w:rPr>
          <w:rFonts w:cstheme="minorHAnsi"/>
        </w:rPr>
        <w:t xml:space="preserve"> (</w:t>
      </w:r>
      <w:proofErr w:type="spellStart"/>
      <w:r w:rsidRPr="00910D76">
        <w:rPr>
          <w:rFonts w:cstheme="minorHAnsi"/>
        </w:rPr>
        <w:t>i</w:t>
      </w:r>
      <w:proofErr w:type="spellEnd"/>
      <w:r w:rsidRPr="00910D76">
        <w:rPr>
          <w:rFonts w:cstheme="minorHAnsi"/>
        </w:rPr>
        <w:t>) and N-acetyl-Asp-Glu-Val-Asp-7-amide-4-methylcoumarin fluorogenic assay (ii) for caspase 3 cleavage and activity respectively. A representative immunoblot is shown.</w:t>
      </w:r>
      <w:r w:rsidRPr="00910D76">
        <w:rPr>
          <w:rFonts w:cstheme="minorHAnsi"/>
          <w:i/>
          <w:iCs/>
        </w:rPr>
        <w:t xml:space="preserve"> Panels d and e: </w:t>
      </w:r>
      <w:r w:rsidRPr="00910D76">
        <w:rPr>
          <w:rFonts w:cstheme="minorHAnsi"/>
          <w:lang w:val="en-US"/>
        </w:rPr>
        <w:t>HepG2 were exposed to GTE1 or GTE2 (1 µg</w:t>
      </w:r>
      <w:r w:rsidR="00E60B33" w:rsidRPr="00910D76">
        <w:rPr>
          <w:rFonts w:cstheme="minorHAnsi"/>
          <w:lang w:val="en-US"/>
        </w:rPr>
        <w:t>·</w:t>
      </w:r>
      <w:r w:rsidRPr="00910D76">
        <w:rPr>
          <w:rFonts w:cstheme="minorHAnsi"/>
          <w:lang w:val="en-US"/>
        </w:rPr>
        <w:t>ml</w:t>
      </w:r>
      <w:r w:rsidR="00E60B33" w:rsidRPr="00910D76">
        <w:rPr>
          <w:rFonts w:cstheme="minorHAnsi"/>
          <w:vertAlign w:val="superscript"/>
          <w:lang w:val="en-US"/>
        </w:rPr>
        <w:t>-1</w:t>
      </w:r>
      <w:r w:rsidRPr="00910D76">
        <w:rPr>
          <w:rFonts w:cstheme="minorHAnsi"/>
          <w:lang w:val="en-US"/>
        </w:rPr>
        <w:t>), or vehicle (H</w:t>
      </w:r>
      <w:r w:rsidRPr="00910D76">
        <w:rPr>
          <w:rFonts w:cstheme="minorHAnsi"/>
          <w:vertAlign w:val="subscript"/>
          <w:lang w:val="en-US"/>
        </w:rPr>
        <w:t>2</w:t>
      </w:r>
      <w:r w:rsidRPr="00910D76">
        <w:rPr>
          <w:rFonts w:cstheme="minorHAnsi"/>
          <w:lang w:val="en-US"/>
        </w:rPr>
        <w:t>O), for 6 h in the presence (closed bars) or absence (open bars) of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rPr>
        <w:t xml:space="preserve"> (0.8 mM)</w:t>
      </w:r>
      <w:r w:rsidRPr="00910D76">
        <w:rPr>
          <w:rFonts w:cstheme="minorHAnsi"/>
          <w:lang w:val="en-US"/>
        </w:rPr>
        <w:t xml:space="preserve"> (d) or the pan-caspase inhibitor (Z-VAD-FMK) (e). Cells were exposed to annexin V and flow cytometry was used to assess % of cells which were undergoing apoptosis. </w:t>
      </w:r>
      <w:r w:rsidRPr="00910D76">
        <w:rPr>
          <w:rFonts w:cstheme="minorHAnsi"/>
          <w:i/>
          <w:iCs/>
          <w:lang w:val="en-US"/>
        </w:rPr>
        <w:t>Panel f:</w:t>
      </w:r>
      <w:r w:rsidRPr="00910D76">
        <w:rPr>
          <w:rFonts w:cstheme="minorHAnsi"/>
          <w:i/>
          <w:iCs/>
        </w:rPr>
        <w:t xml:space="preserve"> </w:t>
      </w:r>
      <w:r w:rsidRPr="00910D76">
        <w:rPr>
          <w:rFonts w:cstheme="minorHAnsi"/>
          <w:lang w:val="en-US"/>
        </w:rPr>
        <w:t>HepG2 were exposed to GTE1 or GTE2 (1 µg</w:t>
      </w:r>
      <w:r w:rsidR="00E60B33" w:rsidRPr="00910D76">
        <w:rPr>
          <w:rFonts w:cstheme="minorHAnsi"/>
          <w:lang w:val="en-US"/>
        </w:rPr>
        <w:t>·</w:t>
      </w:r>
      <w:r w:rsidRPr="00910D76">
        <w:rPr>
          <w:rFonts w:cstheme="minorHAnsi"/>
          <w:lang w:val="en-US"/>
        </w:rPr>
        <w:t>ml</w:t>
      </w:r>
      <w:r w:rsidR="00E60B33" w:rsidRPr="00910D76">
        <w:rPr>
          <w:rFonts w:cstheme="minorHAnsi"/>
          <w:vertAlign w:val="superscript"/>
          <w:lang w:val="en-US"/>
        </w:rPr>
        <w:t>-1</w:t>
      </w:r>
      <w:r w:rsidRPr="00910D76">
        <w:rPr>
          <w:rFonts w:cstheme="minorHAnsi"/>
          <w:lang w:val="en-US"/>
        </w:rPr>
        <w:t>), or vehicle (H</w:t>
      </w:r>
      <w:r w:rsidRPr="00910D76">
        <w:rPr>
          <w:rFonts w:cstheme="minorHAnsi"/>
          <w:vertAlign w:val="subscript"/>
          <w:lang w:val="en-US"/>
        </w:rPr>
        <w:t>2</w:t>
      </w:r>
      <w:r w:rsidRPr="00910D76">
        <w:rPr>
          <w:rFonts w:cstheme="minorHAnsi"/>
          <w:lang w:val="en-US"/>
        </w:rPr>
        <w:t>O), for 24 h in the presence (closed bars) or absence (open bars) of Z-VAD-FMK and cell viability was assessed by CCK8 assay. Data are presented as mean ± SEM. *</w:t>
      </w:r>
      <w:r w:rsidRPr="00910D76">
        <w:rPr>
          <w:rFonts w:cstheme="minorHAnsi"/>
          <w:i/>
          <w:lang w:val="en-US"/>
        </w:rPr>
        <w:t>p</w:t>
      </w:r>
      <w:r w:rsidR="00E60B33" w:rsidRPr="00910D76">
        <w:rPr>
          <w:rFonts w:cstheme="minorHAnsi"/>
          <w:i/>
          <w:lang w:val="en-US"/>
        </w:rPr>
        <w:t xml:space="preserve"> </w:t>
      </w:r>
      <w:r w:rsidRPr="00910D76">
        <w:rPr>
          <w:rFonts w:cstheme="minorHAnsi"/>
          <w:lang w:val="en-US"/>
        </w:rPr>
        <w:t>&lt;</w:t>
      </w:r>
      <w:r w:rsidR="00E60B33" w:rsidRPr="00910D76">
        <w:rPr>
          <w:rFonts w:cstheme="minorHAnsi"/>
          <w:lang w:val="en-US"/>
        </w:rPr>
        <w:t xml:space="preserve"> </w:t>
      </w:r>
      <w:r w:rsidRPr="00910D76">
        <w:rPr>
          <w:rFonts w:cstheme="minorHAnsi"/>
          <w:lang w:val="en-US"/>
        </w:rPr>
        <w:t>0.05 versus vehicle for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lang w:val="en-US"/>
        </w:rPr>
        <w:t xml:space="preserve">, </w:t>
      </w:r>
      <w:r w:rsidRPr="00910D76">
        <w:rPr>
          <w:rFonts w:cstheme="minorHAnsi"/>
          <w:vertAlign w:val="superscript"/>
          <w:lang w:val="en-US"/>
        </w:rPr>
        <w:t>#</w:t>
      </w:r>
      <w:r w:rsidRPr="00910D76">
        <w:rPr>
          <w:rFonts w:cstheme="minorHAnsi"/>
          <w:i/>
          <w:lang w:val="en-US"/>
        </w:rPr>
        <w:t>p</w:t>
      </w:r>
      <w:r w:rsidR="00E60B33" w:rsidRPr="00910D76">
        <w:rPr>
          <w:rFonts w:cstheme="minorHAnsi"/>
          <w:i/>
          <w:lang w:val="en-US"/>
        </w:rPr>
        <w:t xml:space="preserve"> </w:t>
      </w:r>
      <w:r w:rsidRPr="00910D76">
        <w:rPr>
          <w:rFonts w:cstheme="minorHAnsi"/>
          <w:lang w:val="en-US"/>
        </w:rPr>
        <w:t>&lt;</w:t>
      </w:r>
      <w:r w:rsidR="00E60B33" w:rsidRPr="00910D76">
        <w:rPr>
          <w:rFonts w:cstheme="minorHAnsi"/>
          <w:lang w:val="en-US"/>
        </w:rPr>
        <w:t xml:space="preserve"> </w:t>
      </w:r>
      <w:r w:rsidRPr="00910D76">
        <w:rPr>
          <w:rFonts w:cstheme="minorHAnsi"/>
          <w:lang w:val="en-US"/>
        </w:rPr>
        <w:t xml:space="preserve">0.05 versus vehicle for </w:t>
      </w:r>
      <w:proofErr w:type="spellStart"/>
      <w:r w:rsidR="00E60B33" w:rsidRPr="00910D76">
        <w:rPr>
          <w:rFonts w:cstheme="minorHAnsi"/>
          <w:lang w:val="en-US"/>
        </w:rPr>
        <w:t>d</w:t>
      </w:r>
      <w:r w:rsidRPr="00910D76">
        <w:rPr>
          <w:rFonts w:cstheme="minorHAnsi"/>
          <w:lang w:val="en-US"/>
        </w:rPr>
        <w:t>GTE</w:t>
      </w:r>
      <w:proofErr w:type="spellEnd"/>
      <w:r w:rsidRPr="00910D76">
        <w:rPr>
          <w:rFonts w:cstheme="minorHAnsi"/>
          <w:lang w:val="en-US"/>
        </w:rPr>
        <w:t>.</w:t>
      </w:r>
    </w:p>
    <w:p w14:paraId="73CDCFCB" w14:textId="77777777" w:rsidR="003F63D4" w:rsidRPr="00910D76" w:rsidRDefault="003F63D4" w:rsidP="008275D7">
      <w:pPr>
        <w:spacing w:after="0" w:line="480" w:lineRule="auto"/>
        <w:jc w:val="both"/>
        <w:rPr>
          <w:rFonts w:cstheme="minorHAnsi"/>
          <w:b/>
          <w:bCs/>
          <w:i/>
          <w:iCs/>
        </w:rPr>
      </w:pPr>
    </w:p>
    <w:p w14:paraId="59C6D7CD" w14:textId="63DFC184" w:rsidR="003F63D4" w:rsidRPr="00910D76" w:rsidRDefault="003F63D4" w:rsidP="008275D7">
      <w:pPr>
        <w:spacing w:after="0" w:line="480" w:lineRule="auto"/>
        <w:jc w:val="both"/>
        <w:rPr>
          <w:rFonts w:cstheme="minorHAnsi"/>
          <w:i/>
          <w:iCs/>
        </w:rPr>
      </w:pPr>
      <w:r w:rsidRPr="00910D76">
        <w:rPr>
          <w:rFonts w:cstheme="minorHAnsi"/>
          <w:b/>
          <w:bCs/>
          <w:i/>
          <w:iCs/>
        </w:rPr>
        <w:t>Figure 2:</w:t>
      </w:r>
      <w:r w:rsidRPr="00910D76">
        <w:rPr>
          <w:rFonts w:cstheme="minorHAnsi"/>
          <w:i/>
          <w:iCs/>
        </w:rPr>
        <w:t xml:space="preserve"> </w:t>
      </w:r>
      <w:r w:rsidRPr="00910D76">
        <w:rPr>
          <w:rFonts w:cstheme="minorHAnsi"/>
          <w:b/>
          <w:bCs/>
          <w:i/>
          <w:iCs/>
        </w:rPr>
        <w:t>Green tea extract 1 attenuates hydrogen peroxide-induced ROS status whilst green tea extract 2 exacerbates oxidative stress to cause cytotoxicity</w:t>
      </w:r>
      <w:r w:rsidRPr="00910D76">
        <w:rPr>
          <w:rFonts w:cstheme="minorHAnsi"/>
          <w:b/>
          <w:bCs/>
        </w:rPr>
        <w:t>.</w:t>
      </w:r>
      <w:r w:rsidRPr="00910D76">
        <w:rPr>
          <w:rFonts w:cstheme="minorHAnsi"/>
        </w:rPr>
        <w:t xml:space="preserve">  </w:t>
      </w:r>
      <w:r w:rsidRPr="00910D76">
        <w:rPr>
          <w:rFonts w:cstheme="minorHAnsi"/>
          <w:i/>
          <w:iCs/>
        </w:rPr>
        <w:t xml:space="preserve">Panel a: </w:t>
      </w:r>
      <w:r w:rsidRPr="00910D76">
        <w:rPr>
          <w:rFonts w:cstheme="minorHAnsi"/>
        </w:rPr>
        <w:t xml:space="preserve">HepG2 cells were exposed to varying concentrations of </w:t>
      </w:r>
      <w:r w:rsidR="00E60B33" w:rsidRPr="00910D76">
        <w:rPr>
          <w:rFonts w:cstheme="minorHAnsi"/>
        </w:rPr>
        <w:t>d</w:t>
      </w:r>
      <w:r w:rsidRPr="00910D76">
        <w:rPr>
          <w:rFonts w:cstheme="minorHAnsi"/>
        </w:rPr>
        <w:t xml:space="preserve">GTE1 (square points) or </w:t>
      </w:r>
      <w:r w:rsidR="00E60B33" w:rsidRPr="00910D76">
        <w:rPr>
          <w:rFonts w:cstheme="minorHAnsi"/>
        </w:rPr>
        <w:t>d</w:t>
      </w:r>
      <w:r w:rsidRPr="00910D76">
        <w:rPr>
          <w:rFonts w:cstheme="minorHAnsi"/>
        </w:rPr>
        <w:t xml:space="preserve">GTE2 (circle points) for 2 h.  At the endpoint, ROS production was assessed as DCFDA incorporation.  </w:t>
      </w:r>
      <w:r w:rsidRPr="00910D76">
        <w:rPr>
          <w:rFonts w:cstheme="minorHAnsi"/>
          <w:i/>
          <w:iCs/>
        </w:rPr>
        <w:t xml:space="preserve">Panels b-e: </w:t>
      </w:r>
      <w:r w:rsidRPr="00910D76">
        <w:rPr>
          <w:rFonts w:cstheme="minorHAnsi"/>
        </w:rPr>
        <w:t xml:space="preserve">ROS accumulation (b), GSH expression (c) and catalase (CAT) (d) or superoxide dismutase (SOD) (e) activity were assessed in HepG2 cells following exposure to </w:t>
      </w:r>
      <w:r w:rsidR="00E60B33" w:rsidRPr="00910D76">
        <w:rPr>
          <w:rFonts w:cstheme="minorHAnsi"/>
        </w:rPr>
        <w:t>d</w:t>
      </w:r>
      <w:r w:rsidRPr="00910D76">
        <w:rPr>
          <w:rFonts w:cstheme="minorHAnsi"/>
        </w:rPr>
        <w:t xml:space="preserve">GTE1 and </w:t>
      </w:r>
      <w:r w:rsidR="00E60B33" w:rsidRPr="00910D76">
        <w:rPr>
          <w:rFonts w:cstheme="minorHAnsi"/>
        </w:rPr>
        <w:t>d</w:t>
      </w:r>
      <w:r w:rsidRPr="00910D76">
        <w:rPr>
          <w:rFonts w:cstheme="minorHAnsi"/>
        </w:rPr>
        <w:t xml:space="preserve">GTE2 </w:t>
      </w:r>
      <w:r w:rsidRPr="00910D76">
        <w:rPr>
          <w:rFonts w:cstheme="minorHAnsi"/>
          <w:lang w:val="en-US"/>
        </w:rPr>
        <w:t>(1 µg</w:t>
      </w:r>
      <w:r w:rsidR="00E60B33" w:rsidRPr="00910D76">
        <w:rPr>
          <w:rFonts w:cstheme="minorHAnsi"/>
          <w:lang w:val="en-US"/>
        </w:rPr>
        <w:t>·</w:t>
      </w:r>
      <w:r w:rsidRPr="00910D76">
        <w:rPr>
          <w:rFonts w:cstheme="minorHAnsi"/>
          <w:lang w:val="en-US"/>
        </w:rPr>
        <w:t>ml</w:t>
      </w:r>
      <w:r w:rsidR="00E60B33" w:rsidRPr="00910D76">
        <w:rPr>
          <w:rFonts w:cstheme="minorHAnsi"/>
          <w:vertAlign w:val="superscript"/>
          <w:lang w:val="en-US"/>
        </w:rPr>
        <w:t>-1</w:t>
      </w:r>
      <w:r w:rsidRPr="00910D76">
        <w:rPr>
          <w:rFonts w:cstheme="minorHAnsi"/>
          <w:lang w:val="en-US"/>
        </w:rPr>
        <w:t>), or vehicle (H</w:t>
      </w:r>
      <w:r w:rsidRPr="00910D76">
        <w:rPr>
          <w:rFonts w:cstheme="minorHAnsi"/>
          <w:vertAlign w:val="subscript"/>
          <w:lang w:val="en-US"/>
        </w:rPr>
        <w:t>2</w:t>
      </w:r>
      <w:r w:rsidRPr="00910D76">
        <w:rPr>
          <w:rFonts w:cstheme="minorHAnsi"/>
          <w:lang w:val="en-US"/>
        </w:rPr>
        <w:t>O),</w:t>
      </w:r>
      <w:r w:rsidRPr="00910D76">
        <w:rPr>
          <w:rFonts w:cstheme="minorHAnsi"/>
        </w:rPr>
        <w:t xml:space="preserve"> in the presence (closed bar) and absence (open bar) of </w:t>
      </w:r>
      <w:r w:rsidRPr="00910D76">
        <w:rPr>
          <w:rFonts w:cstheme="minorHAnsi"/>
          <w:lang w:val="en-US"/>
        </w:rPr>
        <w:t>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rPr>
        <w:t xml:space="preserve"> (0.8 mM) for 2 h.  ROS accumulation was assessed by DCFDA incorporation, GSH expression was assessed using </w:t>
      </w:r>
      <w:proofErr w:type="spellStart"/>
      <w:r w:rsidRPr="00910D76">
        <w:rPr>
          <w:rFonts w:cstheme="minorHAnsi"/>
          <w:color w:val="202020"/>
          <w:shd w:val="clear" w:color="auto" w:fill="FFFFFF"/>
        </w:rPr>
        <w:t>monochlorobimane</w:t>
      </w:r>
      <w:proofErr w:type="spellEnd"/>
      <w:r w:rsidRPr="00910D76">
        <w:rPr>
          <w:rFonts w:cstheme="minorHAnsi"/>
          <w:color w:val="202020"/>
          <w:shd w:val="clear" w:color="auto" w:fill="FFFFFF"/>
        </w:rPr>
        <w:t xml:space="preserve"> dye, and CAT and SOD activity was assessed </w:t>
      </w:r>
      <w:r w:rsidRPr="00910D76">
        <w:rPr>
          <w:rFonts w:cstheme="minorHAnsi"/>
          <w:color w:val="202020"/>
          <w:shd w:val="clear" w:color="auto" w:fill="FFFFFF"/>
        </w:rPr>
        <w:lastRenderedPageBreak/>
        <w:t xml:space="preserve">using colorimetric assay kits. </w:t>
      </w:r>
      <w:r w:rsidRPr="00910D76">
        <w:rPr>
          <w:rFonts w:cstheme="minorHAnsi"/>
          <w:i/>
          <w:iCs/>
          <w:color w:val="202020"/>
          <w:shd w:val="clear" w:color="auto" w:fill="FFFFFF"/>
        </w:rPr>
        <w:t xml:space="preserve">Panel f and g: </w:t>
      </w:r>
      <w:r w:rsidRPr="00910D76">
        <w:rPr>
          <w:rFonts w:cstheme="minorHAnsi"/>
          <w:color w:val="202020"/>
          <w:shd w:val="clear" w:color="auto" w:fill="FFFFFF"/>
        </w:rPr>
        <w:t xml:space="preserve">HepG2 cells were exposed to </w:t>
      </w:r>
      <w:r w:rsidR="00E60B33" w:rsidRPr="00910D76">
        <w:rPr>
          <w:rFonts w:cstheme="minorHAnsi"/>
          <w:color w:val="202020"/>
          <w:shd w:val="clear" w:color="auto" w:fill="FFFFFF"/>
        </w:rPr>
        <w:t>d</w:t>
      </w:r>
      <w:r w:rsidRPr="00910D76">
        <w:rPr>
          <w:rFonts w:cstheme="minorHAnsi"/>
        </w:rPr>
        <w:t xml:space="preserve">GTE1 and </w:t>
      </w:r>
      <w:r w:rsidR="00E60B33" w:rsidRPr="00910D76">
        <w:rPr>
          <w:rFonts w:cstheme="minorHAnsi"/>
        </w:rPr>
        <w:t>d</w:t>
      </w:r>
      <w:r w:rsidRPr="00910D76">
        <w:rPr>
          <w:rFonts w:cstheme="minorHAnsi"/>
        </w:rPr>
        <w:t xml:space="preserve">GTE2 </w:t>
      </w:r>
      <w:r w:rsidRPr="00910D76">
        <w:rPr>
          <w:rFonts w:cstheme="minorHAnsi"/>
          <w:lang w:val="en-US"/>
        </w:rPr>
        <w:t>(1 µg</w:t>
      </w:r>
      <w:r w:rsidR="00E60B33" w:rsidRPr="00910D76">
        <w:rPr>
          <w:rFonts w:cstheme="minorHAnsi"/>
          <w:lang w:val="en-US"/>
        </w:rPr>
        <w:t>·</w:t>
      </w:r>
      <w:r w:rsidRPr="00910D76">
        <w:rPr>
          <w:rFonts w:cstheme="minorHAnsi"/>
          <w:lang w:val="en-US"/>
        </w:rPr>
        <w:t>ml</w:t>
      </w:r>
      <w:r w:rsidR="00E60B33" w:rsidRPr="00910D76">
        <w:rPr>
          <w:rFonts w:cstheme="minorHAnsi"/>
          <w:vertAlign w:val="superscript"/>
          <w:lang w:val="en-US"/>
        </w:rPr>
        <w:t>-1</w:t>
      </w:r>
      <w:r w:rsidRPr="00910D76">
        <w:rPr>
          <w:rFonts w:cstheme="minorHAnsi"/>
          <w:lang w:val="en-US"/>
        </w:rPr>
        <w:t>), or vehicle (H</w:t>
      </w:r>
      <w:r w:rsidRPr="00910D76">
        <w:rPr>
          <w:rFonts w:cstheme="minorHAnsi"/>
          <w:vertAlign w:val="subscript"/>
          <w:lang w:val="en-US"/>
        </w:rPr>
        <w:t>2</w:t>
      </w:r>
      <w:r w:rsidRPr="00910D76">
        <w:rPr>
          <w:rFonts w:cstheme="minorHAnsi"/>
          <w:lang w:val="en-US"/>
        </w:rPr>
        <w:t xml:space="preserve">O), </w:t>
      </w:r>
      <w:r w:rsidRPr="00910D76">
        <w:rPr>
          <w:rFonts w:cstheme="minorHAnsi"/>
        </w:rPr>
        <w:t>in the presence (closed bar) and absence (open bar) of</w:t>
      </w:r>
      <w:r w:rsidRPr="00910D76">
        <w:rPr>
          <w:rFonts w:cstheme="minorHAnsi"/>
          <w:color w:val="202020"/>
          <w:shd w:val="clear" w:color="auto" w:fill="FFFFFF"/>
        </w:rPr>
        <w:t xml:space="preserve"> the </w:t>
      </w:r>
      <w:r w:rsidRPr="00910D76">
        <w:rPr>
          <w:rFonts w:cstheme="minorHAnsi"/>
        </w:rPr>
        <w:t>antioxidant N-</w:t>
      </w:r>
      <w:proofErr w:type="gramStart"/>
      <w:r w:rsidRPr="00910D76">
        <w:rPr>
          <w:rFonts w:cstheme="minorHAnsi"/>
        </w:rPr>
        <w:t>acetyl-cysteine</w:t>
      </w:r>
      <w:proofErr w:type="gramEnd"/>
      <w:r w:rsidRPr="00910D76">
        <w:rPr>
          <w:rFonts w:cstheme="minorHAnsi"/>
        </w:rPr>
        <w:t xml:space="preserve"> (NAC) (10 mM)</w:t>
      </w:r>
      <w:r w:rsidRPr="00910D76">
        <w:rPr>
          <w:rFonts w:cstheme="minorHAnsi"/>
          <w:i/>
          <w:iCs/>
        </w:rPr>
        <w:t xml:space="preserve">. </w:t>
      </w:r>
      <w:r w:rsidRPr="00910D76">
        <w:rPr>
          <w:rFonts w:cstheme="minorHAnsi"/>
        </w:rPr>
        <w:t xml:space="preserve"> HepG2 cell viability (f) and apoptosis (e) were assessed using CCK8 and annexin V respectively. </w:t>
      </w:r>
      <w:r w:rsidRPr="00910D76">
        <w:rPr>
          <w:rFonts w:cstheme="minorHAnsi"/>
          <w:lang w:val="en-US"/>
        </w:rPr>
        <w:t>Data are presented as mean ± SEM. *</w:t>
      </w:r>
      <w:r w:rsidRPr="00910D76">
        <w:rPr>
          <w:rFonts w:cstheme="minorHAnsi"/>
          <w:i/>
          <w:lang w:val="en-US"/>
        </w:rPr>
        <w:t>p</w:t>
      </w:r>
      <w:r w:rsidR="00E60B33" w:rsidRPr="00910D76">
        <w:rPr>
          <w:rFonts w:cstheme="minorHAnsi"/>
          <w:lang w:val="en-US"/>
        </w:rPr>
        <w:t xml:space="preserve"> </w:t>
      </w:r>
      <w:r w:rsidRPr="00910D76">
        <w:rPr>
          <w:rFonts w:cstheme="minorHAnsi"/>
          <w:lang w:val="en-US"/>
        </w:rPr>
        <w:t>&lt;</w:t>
      </w:r>
      <w:r w:rsidR="00E60B33" w:rsidRPr="00910D76">
        <w:rPr>
          <w:rFonts w:cstheme="minorHAnsi"/>
          <w:lang w:val="en-US"/>
        </w:rPr>
        <w:t xml:space="preserve"> </w:t>
      </w:r>
      <w:r w:rsidRPr="00910D76">
        <w:rPr>
          <w:rFonts w:cstheme="minorHAnsi"/>
          <w:lang w:val="en-US"/>
        </w:rPr>
        <w:t>0.05 versus vehicle for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 xml:space="preserve">2 </w:t>
      </w:r>
      <w:r w:rsidRPr="00910D76">
        <w:rPr>
          <w:rFonts w:cstheme="minorHAnsi"/>
          <w:lang w:val="en-US"/>
        </w:rPr>
        <w:t>or NAC, #</w:t>
      </w:r>
      <w:r w:rsidRPr="00910D76">
        <w:rPr>
          <w:rFonts w:cstheme="minorHAnsi"/>
          <w:i/>
          <w:lang w:val="en-US"/>
        </w:rPr>
        <w:t>p</w:t>
      </w:r>
      <w:r w:rsidR="00E60B33" w:rsidRPr="00910D76">
        <w:rPr>
          <w:rFonts w:cstheme="minorHAnsi"/>
          <w:i/>
          <w:lang w:val="en-US"/>
        </w:rPr>
        <w:t xml:space="preserve"> </w:t>
      </w:r>
      <w:r w:rsidRPr="00910D76">
        <w:rPr>
          <w:rFonts w:cstheme="minorHAnsi"/>
          <w:lang w:val="en-US"/>
        </w:rPr>
        <w:t>&lt;</w:t>
      </w:r>
      <w:r w:rsidR="00E60B33" w:rsidRPr="00910D76">
        <w:rPr>
          <w:rFonts w:cstheme="minorHAnsi"/>
          <w:lang w:val="en-US"/>
        </w:rPr>
        <w:t xml:space="preserve"> </w:t>
      </w:r>
      <w:r w:rsidRPr="00910D76">
        <w:rPr>
          <w:rFonts w:cstheme="minorHAnsi"/>
          <w:lang w:val="en-US"/>
        </w:rPr>
        <w:t xml:space="preserve">0.05 versus vehicle for </w:t>
      </w:r>
      <w:proofErr w:type="spellStart"/>
      <w:r w:rsidR="00EF43F9" w:rsidRPr="00910D76">
        <w:rPr>
          <w:rFonts w:cstheme="minorHAnsi"/>
          <w:lang w:val="en-US"/>
        </w:rPr>
        <w:t>d</w:t>
      </w:r>
      <w:r w:rsidRPr="00910D76">
        <w:rPr>
          <w:rFonts w:cstheme="minorHAnsi"/>
          <w:lang w:val="en-US"/>
        </w:rPr>
        <w:t>GTE</w:t>
      </w:r>
      <w:proofErr w:type="spellEnd"/>
      <w:r w:rsidRPr="00910D76">
        <w:rPr>
          <w:rFonts w:cstheme="minorHAnsi"/>
          <w:lang w:val="en-US"/>
        </w:rPr>
        <w:t>.</w:t>
      </w:r>
    </w:p>
    <w:p w14:paraId="3C51B568" w14:textId="77777777" w:rsidR="003F63D4" w:rsidRPr="00910D76" w:rsidRDefault="003F63D4" w:rsidP="008275D7">
      <w:pPr>
        <w:spacing w:after="0" w:line="480" w:lineRule="auto"/>
        <w:jc w:val="both"/>
        <w:rPr>
          <w:rFonts w:cstheme="minorHAnsi"/>
          <w:b/>
          <w:bCs/>
          <w:i/>
          <w:iCs/>
        </w:rPr>
      </w:pPr>
    </w:p>
    <w:p w14:paraId="634E5CE0" w14:textId="62AE4E25" w:rsidR="003F63D4" w:rsidRPr="00910D76" w:rsidRDefault="003F63D4" w:rsidP="008275D7">
      <w:pPr>
        <w:spacing w:after="0" w:line="480" w:lineRule="auto"/>
        <w:jc w:val="both"/>
        <w:rPr>
          <w:rFonts w:cstheme="minorHAnsi"/>
          <w:i/>
          <w:iCs/>
        </w:rPr>
      </w:pPr>
      <w:r w:rsidRPr="00910D76">
        <w:rPr>
          <w:rFonts w:cstheme="minorHAnsi"/>
          <w:b/>
          <w:bCs/>
          <w:i/>
          <w:iCs/>
          <w:lang w:val="en-US"/>
        </w:rPr>
        <w:t xml:space="preserve">Figure 3: </w:t>
      </w:r>
      <w:r w:rsidRPr="00910D76">
        <w:rPr>
          <w:rFonts w:cstheme="minorHAnsi"/>
          <w:b/>
          <w:bCs/>
          <w:i/>
          <w:iCs/>
        </w:rPr>
        <w:t xml:space="preserve">Green tea extract 1 and 2 differentially affect mitochondrial membrane potential and oxidative stress to regulate HepG2 cell viability. </w:t>
      </w:r>
      <w:r w:rsidRPr="00910D76">
        <w:rPr>
          <w:rFonts w:cstheme="minorHAnsi"/>
          <w:i/>
          <w:iCs/>
        </w:rPr>
        <w:t xml:space="preserve">Panel a and b: </w:t>
      </w:r>
      <w:r w:rsidRPr="00910D76">
        <w:rPr>
          <w:rFonts w:cstheme="minorHAnsi"/>
          <w:color w:val="202020"/>
          <w:shd w:val="clear" w:color="auto" w:fill="FFFFFF"/>
        </w:rPr>
        <w:t xml:space="preserve">HepG2 cells were exposed to </w:t>
      </w:r>
      <w:r w:rsidR="00E60B33" w:rsidRPr="00910D76">
        <w:rPr>
          <w:rFonts w:cstheme="minorHAnsi"/>
          <w:color w:val="202020"/>
          <w:shd w:val="clear" w:color="auto" w:fill="FFFFFF"/>
        </w:rPr>
        <w:t>d</w:t>
      </w:r>
      <w:r w:rsidRPr="00910D76">
        <w:rPr>
          <w:rFonts w:cstheme="minorHAnsi"/>
        </w:rPr>
        <w:t xml:space="preserve">GTE1 and </w:t>
      </w:r>
      <w:r w:rsidR="00E60B33" w:rsidRPr="00910D76">
        <w:rPr>
          <w:rFonts w:cstheme="minorHAnsi"/>
        </w:rPr>
        <w:t>d</w:t>
      </w:r>
      <w:r w:rsidRPr="00910D76">
        <w:rPr>
          <w:rFonts w:cstheme="minorHAnsi"/>
        </w:rPr>
        <w:t xml:space="preserve">GTE2 </w:t>
      </w:r>
      <w:r w:rsidRPr="00910D76">
        <w:rPr>
          <w:rFonts w:cstheme="minorHAnsi"/>
          <w:lang w:val="en-US"/>
        </w:rPr>
        <w:t>(1 µg</w:t>
      </w:r>
      <w:r w:rsidR="00E60B33" w:rsidRPr="00910D76">
        <w:rPr>
          <w:rFonts w:cstheme="minorHAnsi"/>
          <w:lang w:val="en-US"/>
        </w:rPr>
        <w:t>·</w:t>
      </w:r>
      <w:r w:rsidRPr="00910D76">
        <w:rPr>
          <w:rFonts w:cstheme="minorHAnsi"/>
          <w:lang w:val="en-US"/>
        </w:rPr>
        <w:t>ml</w:t>
      </w:r>
      <w:r w:rsidR="00E60B33" w:rsidRPr="00910D76">
        <w:rPr>
          <w:rFonts w:cstheme="minorHAnsi"/>
          <w:vertAlign w:val="superscript"/>
          <w:lang w:val="en-US"/>
        </w:rPr>
        <w:t>-1</w:t>
      </w:r>
      <w:r w:rsidRPr="00910D76">
        <w:rPr>
          <w:rFonts w:cstheme="minorHAnsi"/>
          <w:lang w:val="en-US"/>
        </w:rPr>
        <w:t>), or vehicle (H</w:t>
      </w:r>
      <w:r w:rsidRPr="00910D76">
        <w:rPr>
          <w:rFonts w:cstheme="minorHAnsi"/>
          <w:vertAlign w:val="subscript"/>
          <w:lang w:val="en-US"/>
        </w:rPr>
        <w:t>2</w:t>
      </w:r>
      <w:r w:rsidRPr="00910D76">
        <w:rPr>
          <w:rFonts w:cstheme="minorHAnsi"/>
          <w:lang w:val="en-US"/>
        </w:rPr>
        <w:t>O),</w:t>
      </w:r>
      <w:r w:rsidRPr="00910D76">
        <w:rPr>
          <w:rFonts w:cstheme="minorHAnsi"/>
        </w:rPr>
        <w:t xml:space="preserve"> in the presence (closed bar) and absence (open bar) of</w:t>
      </w:r>
      <w:r w:rsidRPr="00910D76">
        <w:rPr>
          <w:rFonts w:cstheme="minorHAnsi"/>
          <w:lang w:val="en-US"/>
        </w:rPr>
        <w:t xml:space="preserve">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rPr>
        <w:t xml:space="preserve"> (0.8 mM) for 2 h. Cells were then loaded with JC-1 dye (a) or </w:t>
      </w:r>
      <w:proofErr w:type="spellStart"/>
      <w:r w:rsidRPr="00910D76">
        <w:rPr>
          <w:rFonts w:cstheme="minorHAnsi"/>
        </w:rPr>
        <w:t>MitoSOX</w:t>
      </w:r>
      <w:r w:rsidRPr="00910D76">
        <w:rPr>
          <w:rFonts w:cstheme="minorHAnsi"/>
          <w:vertAlign w:val="superscript"/>
        </w:rPr>
        <w:t>TM</w:t>
      </w:r>
      <w:proofErr w:type="spellEnd"/>
      <w:r w:rsidRPr="00910D76">
        <w:rPr>
          <w:rFonts w:cstheme="minorHAnsi"/>
        </w:rPr>
        <w:t xml:space="preserve"> (b) for 10 mins to measure mitochondrial membrane potential (</w:t>
      </w:r>
      <w:proofErr w:type="spellStart"/>
      <w:r w:rsidRPr="00910D76">
        <w:rPr>
          <w:rFonts w:cstheme="minorHAnsi"/>
        </w:rPr>
        <w:t>ΔΨm</w:t>
      </w:r>
      <w:proofErr w:type="spellEnd"/>
      <w:r w:rsidRPr="00910D76">
        <w:rPr>
          <w:rFonts w:cstheme="minorHAnsi"/>
        </w:rPr>
        <w:t>) or mitochondrial oxidative stress (</w:t>
      </w:r>
      <w:proofErr w:type="spellStart"/>
      <w:r w:rsidRPr="00910D76">
        <w:rPr>
          <w:rFonts w:cstheme="minorHAnsi"/>
        </w:rPr>
        <w:t>mtROS</w:t>
      </w:r>
      <w:proofErr w:type="spellEnd"/>
      <w:r w:rsidRPr="00910D76">
        <w:rPr>
          <w:rFonts w:cstheme="minorHAnsi"/>
        </w:rPr>
        <w:t xml:space="preserve">), respectively, using fluorometry.  Membrane depolarisation was assessed by the 535/590nm ratio (green/red monomers and aggregate). </w:t>
      </w:r>
      <w:r w:rsidRPr="00910D76">
        <w:rPr>
          <w:rFonts w:cstheme="minorHAnsi"/>
          <w:i/>
          <w:iCs/>
        </w:rPr>
        <w:t>Panel c-d:</w:t>
      </w:r>
      <w:r w:rsidRPr="00910D76">
        <w:rPr>
          <w:rFonts w:cstheme="minorHAnsi"/>
        </w:rPr>
        <w:t xml:space="preserve"> </w:t>
      </w:r>
      <w:r w:rsidRPr="00910D76">
        <w:rPr>
          <w:rFonts w:cstheme="minorHAnsi"/>
          <w:color w:val="202020"/>
          <w:shd w:val="clear" w:color="auto" w:fill="FFFFFF"/>
        </w:rPr>
        <w:t xml:space="preserve">HepG2 cells were exposed to </w:t>
      </w:r>
      <w:r w:rsidR="00E60B33" w:rsidRPr="00910D76">
        <w:rPr>
          <w:rFonts w:cstheme="minorHAnsi"/>
          <w:color w:val="202020"/>
          <w:shd w:val="clear" w:color="auto" w:fill="FFFFFF"/>
        </w:rPr>
        <w:t>d</w:t>
      </w:r>
      <w:r w:rsidRPr="00910D76">
        <w:rPr>
          <w:rFonts w:cstheme="minorHAnsi"/>
        </w:rPr>
        <w:t xml:space="preserve">GTE1 and </w:t>
      </w:r>
      <w:r w:rsidR="00E60B33" w:rsidRPr="00910D76">
        <w:rPr>
          <w:rFonts w:cstheme="minorHAnsi"/>
        </w:rPr>
        <w:t>d</w:t>
      </w:r>
      <w:r w:rsidRPr="00910D76">
        <w:rPr>
          <w:rFonts w:cstheme="minorHAnsi"/>
        </w:rPr>
        <w:t xml:space="preserve">GTE2 </w:t>
      </w:r>
      <w:r w:rsidRPr="00910D76">
        <w:rPr>
          <w:rFonts w:cstheme="minorHAnsi"/>
          <w:lang w:val="en-US"/>
        </w:rPr>
        <w:t>(1 µg</w:t>
      </w:r>
      <w:r w:rsidR="00E60B33" w:rsidRPr="00910D76">
        <w:rPr>
          <w:rFonts w:cstheme="minorHAnsi"/>
          <w:lang w:val="en-US"/>
        </w:rPr>
        <w:t>·</w:t>
      </w:r>
      <w:r w:rsidRPr="00910D76">
        <w:rPr>
          <w:rFonts w:cstheme="minorHAnsi"/>
          <w:lang w:val="en-US"/>
        </w:rPr>
        <w:t>ml</w:t>
      </w:r>
      <w:r w:rsidR="00E60B33" w:rsidRPr="00910D76">
        <w:rPr>
          <w:rFonts w:cstheme="minorHAnsi"/>
          <w:vertAlign w:val="superscript"/>
          <w:lang w:val="en-US"/>
        </w:rPr>
        <w:t>-1</w:t>
      </w:r>
      <w:r w:rsidRPr="00910D76">
        <w:rPr>
          <w:rFonts w:cstheme="minorHAnsi"/>
          <w:lang w:val="en-US"/>
        </w:rPr>
        <w:t>), or vehicle (H</w:t>
      </w:r>
      <w:r w:rsidRPr="00910D76">
        <w:rPr>
          <w:rFonts w:cstheme="minorHAnsi"/>
          <w:vertAlign w:val="subscript"/>
          <w:lang w:val="en-US"/>
        </w:rPr>
        <w:t>2</w:t>
      </w:r>
      <w:r w:rsidRPr="00910D76">
        <w:rPr>
          <w:rFonts w:cstheme="minorHAnsi"/>
          <w:lang w:val="en-US"/>
        </w:rPr>
        <w:t>O),</w:t>
      </w:r>
      <w:r w:rsidRPr="00910D76">
        <w:rPr>
          <w:rFonts w:cstheme="minorHAnsi"/>
        </w:rPr>
        <w:t xml:space="preserve"> in the presence (closed bar) and absence (open bar) of</w:t>
      </w:r>
      <w:r w:rsidRPr="00910D76">
        <w:rPr>
          <w:rFonts w:cstheme="minorHAnsi"/>
          <w:lang w:val="en-US"/>
        </w:rPr>
        <w:t xml:space="preserve"> the mitochondrial antioxidant, </w:t>
      </w:r>
      <w:proofErr w:type="spellStart"/>
      <w:r w:rsidRPr="00910D76">
        <w:rPr>
          <w:rFonts w:cstheme="minorHAnsi"/>
          <w:lang w:val="en-US"/>
        </w:rPr>
        <w:t>mitoTEMPO</w:t>
      </w:r>
      <w:proofErr w:type="spellEnd"/>
      <w:r w:rsidRPr="00910D76">
        <w:rPr>
          <w:rFonts w:cstheme="minorHAnsi"/>
        </w:rPr>
        <w:t xml:space="preserve"> (1 µM), for 2 h.  </w:t>
      </w:r>
      <w:proofErr w:type="spellStart"/>
      <w:r w:rsidRPr="00910D76">
        <w:rPr>
          <w:rFonts w:cstheme="minorHAnsi"/>
        </w:rPr>
        <w:t>ΔΨm</w:t>
      </w:r>
      <w:proofErr w:type="spellEnd"/>
      <w:r w:rsidRPr="00910D76">
        <w:rPr>
          <w:rFonts w:cstheme="minorHAnsi"/>
        </w:rPr>
        <w:t xml:space="preserve"> (c) and </w:t>
      </w:r>
      <w:proofErr w:type="spellStart"/>
      <w:r w:rsidRPr="00910D76">
        <w:rPr>
          <w:rFonts w:cstheme="minorHAnsi"/>
        </w:rPr>
        <w:t>mtROS</w:t>
      </w:r>
      <w:proofErr w:type="spellEnd"/>
      <w:r w:rsidRPr="00910D76">
        <w:rPr>
          <w:rFonts w:cstheme="minorHAnsi"/>
        </w:rPr>
        <w:t xml:space="preserve"> (d) were then assessed using JC-1 dye or </w:t>
      </w:r>
      <w:proofErr w:type="spellStart"/>
      <w:r w:rsidRPr="00910D76">
        <w:rPr>
          <w:rFonts w:cstheme="minorHAnsi"/>
        </w:rPr>
        <w:t>MitoSOX</w:t>
      </w:r>
      <w:r w:rsidRPr="00910D76">
        <w:rPr>
          <w:rFonts w:cstheme="minorHAnsi"/>
          <w:vertAlign w:val="superscript"/>
        </w:rPr>
        <w:t>TM</w:t>
      </w:r>
      <w:proofErr w:type="spellEnd"/>
      <w:r w:rsidRPr="00910D76">
        <w:rPr>
          <w:rFonts w:cstheme="minorHAnsi"/>
        </w:rPr>
        <w:t xml:space="preserve"> respectively. </w:t>
      </w:r>
      <w:r w:rsidRPr="00910D76">
        <w:rPr>
          <w:rFonts w:cstheme="minorHAnsi"/>
          <w:i/>
          <w:iCs/>
        </w:rPr>
        <w:t xml:space="preserve">Panel e and f: </w:t>
      </w:r>
      <w:r w:rsidRPr="00910D76">
        <w:rPr>
          <w:rFonts w:cstheme="minorHAnsi"/>
          <w:color w:val="202020"/>
          <w:shd w:val="clear" w:color="auto" w:fill="FFFFFF"/>
        </w:rPr>
        <w:t xml:space="preserve">HepG2 cells were exposed to </w:t>
      </w:r>
      <w:r w:rsidR="00E60B33" w:rsidRPr="00910D76">
        <w:rPr>
          <w:rFonts w:cstheme="minorHAnsi"/>
          <w:color w:val="202020"/>
          <w:shd w:val="clear" w:color="auto" w:fill="FFFFFF"/>
        </w:rPr>
        <w:t>d</w:t>
      </w:r>
      <w:r w:rsidRPr="00910D76">
        <w:rPr>
          <w:rFonts w:cstheme="minorHAnsi"/>
        </w:rPr>
        <w:t xml:space="preserve">GTE1 and </w:t>
      </w:r>
      <w:r w:rsidR="00E60B33" w:rsidRPr="00910D76">
        <w:rPr>
          <w:rFonts w:cstheme="minorHAnsi"/>
        </w:rPr>
        <w:t>d</w:t>
      </w:r>
      <w:r w:rsidRPr="00910D76">
        <w:rPr>
          <w:rFonts w:cstheme="minorHAnsi"/>
        </w:rPr>
        <w:t xml:space="preserve">GTE2 </w:t>
      </w:r>
      <w:r w:rsidRPr="00910D76">
        <w:rPr>
          <w:rFonts w:cstheme="minorHAnsi"/>
          <w:lang w:val="en-US"/>
        </w:rPr>
        <w:t>(1 µg</w:t>
      </w:r>
      <w:r w:rsidR="00E60B33" w:rsidRPr="00910D76">
        <w:rPr>
          <w:rFonts w:cstheme="minorHAnsi"/>
          <w:lang w:val="en-US"/>
        </w:rPr>
        <w:t>·</w:t>
      </w:r>
      <w:proofErr w:type="gramStart"/>
      <w:r w:rsidRPr="00910D76">
        <w:rPr>
          <w:rFonts w:cstheme="minorHAnsi"/>
          <w:lang w:val="en-US"/>
        </w:rPr>
        <w:t>ml</w:t>
      </w:r>
      <w:r w:rsidR="00E60B33" w:rsidRPr="00910D76">
        <w:rPr>
          <w:rFonts w:cstheme="minorHAnsi"/>
          <w:vertAlign w:val="superscript"/>
          <w:lang w:val="en-US"/>
        </w:rPr>
        <w:t>-1</w:t>
      </w:r>
      <w:proofErr w:type="gramEnd"/>
      <w:r w:rsidRPr="00910D76">
        <w:rPr>
          <w:rFonts w:cstheme="minorHAnsi"/>
          <w:lang w:val="en-US"/>
        </w:rPr>
        <w:t>), or vehicle (H</w:t>
      </w:r>
      <w:r w:rsidRPr="00910D76">
        <w:rPr>
          <w:rFonts w:cstheme="minorHAnsi"/>
          <w:vertAlign w:val="subscript"/>
          <w:lang w:val="en-US"/>
        </w:rPr>
        <w:t>2</w:t>
      </w:r>
      <w:r w:rsidRPr="00910D76">
        <w:rPr>
          <w:rFonts w:cstheme="minorHAnsi"/>
          <w:lang w:val="en-US"/>
        </w:rPr>
        <w:t>O),</w:t>
      </w:r>
      <w:r w:rsidRPr="00910D76">
        <w:rPr>
          <w:rFonts w:cstheme="minorHAnsi"/>
          <w:color w:val="202020"/>
          <w:shd w:val="clear" w:color="auto" w:fill="FFFFFF"/>
        </w:rPr>
        <w:t xml:space="preserve"> </w:t>
      </w:r>
      <w:r w:rsidRPr="00910D76">
        <w:rPr>
          <w:rFonts w:cstheme="minorHAnsi"/>
        </w:rPr>
        <w:t>in the presence (closed bar) and absence (open bar) of</w:t>
      </w:r>
      <w:r w:rsidRPr="00910D76">
        <w:rPr>
          <w:rFonts w:cstheme="minorHAnsi"/>
          <w:color w:val="202020"/>
          <w:shd w:val="clear" w:color="auto" w:fill="FFFFFF"/>
        </w:rPr>
        <w:t xml:space="preserve"> </w:t>
      </w:r>
      <w:proofErr w:type="spellStart"/>
      <w:r w:rsidRPr="00910D76">
        <w:rPr>
          <w:rFonts w:cstheme="minorHAnsi"/>
          <w:lang w:val="en-US"/>
        </w:rPr>
        <w:t>mitoTEMPO</w:t>
      </w:r>
      <w:proofErr w:type="spellEnd"/>
      <w:r w:rsidRPr="00910D76">
        <w:rPr>
          <w:rFonts w:cstheme="minorHAnsi"/>
        </w:rPr>
        <w:t xml:space="preserve"> (1 µM), for 24 h.</w:t>
      </w:r>
      <w:r w:rsidRPr="00910D76">
        <w:rPr>
          <w:rFonts w:cstheme="minorHAnsi"/>
          <w:i/>
          <w:iCs/>
        </w:rPr>
        <w:t xml:space="preserve"> </w:t>
      </w:r>
      <w:r w:rsidRPr="00910D76">
        <w:rPr>
          <w:rFonts w:cstheme="minorHAnsi"/>
        </w:rPr>
        <w:t xml:space="preserve"> HepG2 cell viability (e) and apoptosis (f) were assessed using CCK8 and annexin V respectively. </w:t>
      </w:r>
      <w:r w:rsidRPr="00910D76">
        <w:rPr>
          <w:rFonts w:cstheme="minorHAnsi"/>
          <w:lang w:val="en-US"/>
        </w:rPr>
        <w:t>Data are presented as mean ± SEM. *</w:t>
      </w:r>
      <w:r w:rsidRPr="00910D76">
        <w:rPr>
          <w:rFonts w:cstheme="minorHAnsi"/>
          <w:i/>
          <w:lang w:val="en-US"/>
        </w:rPr>
        <w:t>p</w:t>
      </w:r>
      <w:r w:rsidR="00E60B33" w:rsidRPr="00910D76">
        <w:rPr>
          <w:rFonts w:cstheme="minorHAnsi"/>
          <w:lang w:val="en-US"/>
        </w:rPr>
        <w:t xml:space="preserve"> </w:t>
      </w:r>
      <w:r w:rsidRPr="00910D76">
        <w:rPr>
          <w:rFonts w:cstheme="minorHAnsi"/>
          <w:lang w:val="en-US"/>
        </w:rPr>
        <w:t>&lt;</w:t>
      </w:r>
      <w:r w:rsidR="00E60B33" w:rsidRPr="00910D76">
        <w:rPr>
          <w:rFonts w:cstheme="minorHAnsi"/>
          <w:lang w:val="en-US"/>
        </w:rPr>
        <w:t xml:space="preserve"> </w:t>
      </w:r>
      <w:r w:rsidRPr="00910D76">
        <w:rPr>
          <w:rFonts w:cstheme="minorHAnsi"/>
          <w:lang w:val="en-US"/>
        </w:rPr>
        <w:t>0.05 versus vehicle for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 xml:space="preserve">2 </w:t>
      </w:r>
      <w:r w:rsidRPr="00910D76">
        <w:rPr>
          <w:rFonts w:cstheme="minorHAnsi"/>
          <w:lang w:val="en-US"/>
        </w:rPr>
        <w:t xml:space="preserve">or </w:t>
      </w:r>
      <w:proofErr w:type="spellStart"/>
      <w:r w:rsidRPr="00910D76">
        <w:rPr>
          <w:rFonts w:cstheme="minorHAnsi"/>
          <w:lang w:val="en-US"/>
        </w:rPr>
        <w:t>mitoTEMPO</w:t>
      </w:r>
      <w:proofErr w:type="spellEnd"/>
      <w:r w:rsidRPr="00910D76">
        <w:rPr>
          <w:rFonts w:cstheme="minorHAnsi"/>
          <w:lang w:val="en-US"/>
        </w:rPr>
        <w:t>, #</w:t>
      </w:r>
      <w:r w:rsidRPr="00910D76">
        <w:rPr>
          <w:rFonts w:cstheme="minorHAnsi"/>
          <w:i/>
          <w:lang w:val="en-US"/>
        </w:rPr>
        <w:t>p</w:t>
      </w:r>
      <w:r w:rsidR="00E60B33" w:rsidRPr="00910D76">
        <w:rPr>
          <w:rFonts w:cstheme="minorHAnsi"/>
          <w:i/>
          <w:lang w:val="en-US"/>
        </w:rPr>
        <w:t xml:space="preserve"> </w:t>
      </w:r>
      <w:r w:rsidRPr="00910D76">
        <w:rPr>
          <w:rFonts w:cstheme="minorHAnsi"/>
          <w:lang w:val="en-US"/>
        </w:rPr>
        <w:t>&lt;</w:t>
      </w:r>
      <w:r w:rsidR="00E60B33" w:rsidRPr="00910D76">
        <w:rPr>
          <w:rFonts w:cstheme="minorHAnsi"/>
          <w:lang w:val="en-US"/>
        </w:rPr>
        <w:t xml:space="preserve"> </w:t>
      </w:r>
      <w:r w:rsidRPr="00910D76">
        <w:rPr>
          <w:rFonts w:cstheme="minorHAnsi"/>
          <w:lang w:val="en-US"/>
        </w:rPr>
        <w:t>0.05 versus vehicle for GTE.</w:t>
      </w:r>
    </w:p>
    <w:p w14:paraId="35CD3496" w14:textId="77777777" w:rsidR="003F63D4" w:rsidRPr="00910D76" w:rsidRDefault="003F63D4" w:rsidP="008275D7">
      <w:pPr>
        <w:spacing w:after="0" w:line="480" w:lineRule="auto"/>
        <w:jc w:val="both"/>
        <w:rPr>
          <w:rFonts w:cstheme="minorHAnsi"/>
          <w:i/>
          <w:iCs/>
        </w:rPr>
      </w:pPr>
    </w:p>
    <w:p w14:paraId="504DF410" w14:textId="74A17A7B" w:rsidR="003F63D4" w:rsidRPr="00910D76" w:rsidRDefault="003F63D4" w:rsidP="008275D7">
      <w:pPr>
        <w:spacing w:after="0" w:line="480" w:lineRule="auto"/>
        <w:jc w:val="both"/>
        <w:rPr>
          <w:rFonts w:cstheme="minorHAnsi"/>
          <w:i/>
          <w:iCs/>
        </w:rPr>
      </w:pPr>
      <w:r w:rsidRPr="00910D76">
        <w:rPr>
          <w:rFonts w:cstheme="minorHAnsi"/>
          <w:b/>
          <w:bCs/>
          <w:i/>
          <w:iCs/>
        </w:rPr>
        <w:t xml:space="preserve">Figure 4: GTE2, but not GTE1, negatively regulates HepG2 cells through AMPK signalling. </w:t>
      </w:r>
      <w:r w:rsidRPr="00910D76">
        <w:rPr>
          <w:rFonts w:cstheme="minorHAnsi"/>
          <w:i/>
          <w:iCs/>
        </w:rPr>
        <w:t xml:space="preserve">Panel a-b: </w:t>
      </w:r>
      <w:r w:rsidRPr="00910D76">
        <w:rPr>
          <w:rFonts w:cstheme="minorHAnsi"/>
          <w:color w:val="202020"/>
          <w:shd w:val="clear" w:color="auto" w:fill="FFFFFF"/>
        </w:rPr>
        <w:t xml:space="preserve">HepG2 cells were exposed to </w:t>
      </w:r>
      <w:r w:rsidR="00E60B33" w:rsidRPr="00910D76">
        <w:rPr>
          <w:rFonts w:cstheme="minorHAnsi"/>
          <w:color w:val="202020"/>
          <w:shd w:val="clear" w:color="auto" w:fill="FFFFFF"/>
        </w:rPr>
        <w:t>d</w:t>
      </w:r>
      <w:r w:rsidRPr="00910D76">
        <w:rPr>
          <w:rFonts w:cstheme="minorHAnsi"/>
        </w:rPr>
        <w:t xml:space="preserve">GTE1 and </w:t>
      </w:r>
      <w:r w:rsidR="00E60B33" w:rsidRPr="00910D76">
        <w:rPr>
          <w:rFonts w:cstheme="minorHAnsi"/>
        </w:rPr>
        <w:t>d</w:t>
      </w:r>
      <w:r w:rsidRPr="00910D76">
        <w:rPr>
          <w:rFonts w:cstheme="minorHAnsi"/>
        </w:rPr>
        <w:t xml:space="preserve">GTE2 </w:t>
      </w:r>
      <w:r w:rsidRPr="00910D76">
        <w:rPr>
          <w:rFonts w:cstheme="minorHAnsi"/>
          <w:lang w:val="en-US"/>
        </w:rPr>
        <w:t>(1 µg</w:t>
      </w:r>
      <w:r w:rsidR="00E60B33" w:rsidRPr="00910D76">
        <w:rPr>
          <w:rFonts w:cstheme="minorHAnsi"/>
          <w:lang w:val="en-US"/>
        </w:rPr>
        <w:t>·</w:t>
      </w:r>
      <w:r w:rsidRPr="00910D76">
        <w:rPr>
          <w:rFonts w:cstheme="minorHAnsi"/>
          <w:lang w:val="en-US"/>
        </w:rPr>
        <w:t>ml</w:t>
      </w:r>
      <w:r w:rsidR="00E60B33" w:rsidRPr="00910D76">
        <w:rPr>
          <w:rFonts w:cstheme="minorHAnsi"/>
          <w:vertAlign w:val="superscript"/>
          <w:lang w:val="en-US"/>
        </w:rPr>
        <w:t>-1</w:t>
      </w:r>
      <w:r w:rsidRPr="00910D76">
        <w:rPr>
          <w:rFonts w:cstheme="minorHAnsi"/>
          <w:lang w:val="en-US"/>
        </w:rPr>
        <w:t>), vehicle (H</w:t>
      </w:r>
      <w:r w:rsidRPr="00910D76">
        <w:rPr>
          <w:rFonts w:cstheme="minorHAnsi"/>
          <w:vertAlign w:val="subscript"/>
          <w:lang w:val="en-US"/>
        </w:rPr>
        <w:t>2</w:t>
      </w:r>
      <w:r w:rsidRPr="00910D76">
        <w:rPr>
          <w:rFonts w:cstheme="minorHAnsi"/>
          <w:lang w:val="en-US"/>
        </w:rPr>
        <w:t>O), or serum free (SF) media as a positive control, for 24 h.  C</w:t>
      </w:r>
      <w:r w:rsidRPr="00910D76">
        <w:rPr>
          <w:rFonts w:cstheme="minorHAnsi"/>
        </w:rPr>
        <w:t>ells were then either harvested and assessed by immunoblot analysis for phosphorylated AMPK (Thr</w:t>
      </w:r>
      <w:r w:rsidRPr="00910D76">
        <w:rPr>
          <w:rFonts w:cstheme="minorHAnsi"/>
          <w:vertAlign w:val="superscript"/>
        </w:rPr>
        <w:t>172</w:t>
      </w:r>
      <w:r w:rsidRPr="00910D76">
        <w:rPr>
          <w:rFonts w:cstheme="minorHAnsi"/>
        </w:rPr>
        <w:t>) and LKB1 (Ser</w:t>
      </w:r>
      <w:r w:rsidRPr="00910D76">
        <w:rPr>
          <w:rFonts w:cstheme="minorHAnsi"/>
          <w:vertAlign w:val="superscript"/>
        </w:rPr>
        <w:t>428</w:t>
      </w:r>
      <w:r w:rsidRPr="00910D76">
        <w:rPr>
          <w:rFonts w:cstheme="minorHAnsi"/>
        </w:rPr>
        <w:t>) (a(</w:t>
      </w:r>
      <w:proofErr w:type="spellStart"/>
      <w:r w:rsidRPr="00910D76">
        <w:rPr>
          <w:rFonts w:cstheme="minorHAnsi"/>
        </w:rPr>
        <w:t>i</w:t>
      </w:r>
      <w:proofErr w:type="spellEnd"/>
      <w:r w:rsidRPr="00910D76">
        <w:rPr>
          <w:rFonts w:cstheme="minorHAnsi"/>
        </w:rPr>
        <w:t xml:space="preserve">) and b) or assayed for AMPK activity using the </w:t>
      </w:r>
      <w:proofErr w:type="spellStart"/>
      <w:r w:rsidRPr="00910D76">
        <w:rPr>
          <w:rFonts w:cstheme="minorHAnsi"/>
        </w:rPr>
        <w:t>CycLex</w:t>
      </w:r>
      <w:proofErr w:type="spellEnd"/>
      <w:r w:rsidRPr="00910D76">
        <w:rPr>
          <w:rFonts w:cstheme="minorHAnsi"/>
        </w:rPr>
        <w:t xml:space="preserve"> kit assay and measuring tetra-</w:t>
      </w:r>
      <w:proofErr w:type="spellStart"/>
      <w:r w:rsidRPr="00910D76">
        <w:rPr>
          <w:rFonts w:cstheme="minorHAnsi"/>
        </w:rPr>
        <w:t>methylbenzidine</w:t>
      </w:r>
      <w:proofErr w:type="spellEnd"/>
      <w:r w:rsidRPr="00910D76">
        <w:rPr>
          <w:rFonts w:cstheme="minorHAnsi"/>
        </w:rPr>
        <w:t xml:space="preserve"> absorbance (a(ii)). A representative immunoblot is shown. </w:t>
      </w:r>
      <w:r w:rsidRPr="00910D76">
        <w:rPr>
          <w:rFonts w:cstheme="minorHAnsi"/>
          <w:i/>
          <w:iCs/>
        </w:rPr>
        <w:t xml:space="preserve">Panel c: </w:t>
      </w:r>
      <w:r w:rsidRPr="00910D76">
        <w:rPr>
          <w:rFonts w:cstheme="minorHAnsi"/>
          <w:color w:val="202020"/>
          <w:shd w:val="clear" w:color="auto" w:fill="FFFFFF"/>
        </w:rPr>
        <w:t xml:space="preserve">HepG2 cells were exposed to </w:t>
      </w:r>
      <w:r w:rsidR="00E60B33" w:rsidRPr="00910D76">
        <w:rPr>
          <w:rFonts w:cstheme="minorHAnsi"/>
          <w:color w:val="202020"/>
          <w:shd w:val="clear" w:color="auto" w:fill="FFFFFF"/>
        </w:rPr>
        <w:t>d</w:t>
      </w:r>
      <w:r w:rsidRPr="00910D76">
        <w:rPr>
          <w:rFonts w:cstheme="minorHAnsi"/>
        </w:rPr>
        <w:t xml:space="preserve">GTE1 and </w:t>
      </w:r>
      <w:r w:rsidR="00E60B33" w:rsidRPr="00910D76">
        <w:rPr>
          <w:rFonts w:cstheme="minorHAnsi"/>
        </w:rPr>
        <w:t>d</w:t>
      </w:r>
      <w:r w:rsidRPr="00910D76">
        <w:rPr>
          <w:rFonts w:cstheme="minorHAnsi"/>
        </w:rPr>
        <w:t xml:space="preserve">GTE2 </w:t>
      </w:r>
      <w:r w:rsidRPr="00910D76">
        <w:rPr>
          <w:rFonts w:cstheme="minorHAnsi"/>
          <w:lang w:val="en-US"/>
        </w:rPr>
        <w:t>(1 µg</w:t>
      </w:r>
      <w:r w:rsidR="00E60B33" w:rsidRPr="00910D76">
        <w:rPr>
          <w:rFonts w:cstheme="minorHAnsi"/>
          <w:lang w:val="en-US"/>
        </w:rPr>
        <w:t>·</w:t>
      </w:r>
      <w:proofErr w:type="gramStart"/>
      <w:r w:rsidRPr="00910D76">
        <w:rPr>
          <w:rFonts w:cstheme="minorHAnsi"/>
          <w:lang w:val="en-US"/>
        </w:rPr>
        <w:t>ml</w:t>
      </w:r>
      <w:r w:rsidR="00E60B33" w:rsidRPr="00910D76">
        <w:rPr>
          <w:rFonts w:cstheme="minorHAnsi"/>
          <w:vertAlign w:val="superscript"/>
          <w:lang w:val="en-US"/>
        </w:rPr>
        <w:t>-1</w:t>
      </w:r>
      <w:proofErr w:type="gramEnd"/>
      <w:r w:rsidRPr="00910D76">
        <w:rPr>
          <w:rFonts w:cstheme="minorHAnsi"/>
          <w:lang w:val="en-US"/>
        </w:rPr>
        <w:t xml:space="preserve">), or vehicle </w:t>
      </w:r>
      <w:r w:rsidRPr="00910D76">
        <w:rPr>
          <w:rFonts w:cstheme="minorHAnsi"/>
          <w:lang w:val="en-US"/>
        </w:rPr>
        <w:lastRenderedPageBreak/>
        <w:t>(H</w:t>
      </w:r>
      <w:r w:rsidRPr="00910D76">
        <w:rPr>
          <w:rFonts w:cstheme="minorHAnsi"/>
          <w:vertAlign w:val="subscript"/>
          <w:lang w:val="en-US"/>
        </w:rPr>
        <w:t>2</w:t>
      </w:r>
      <w:r w:rsidRPr="00910D76">
        <w:rPr>
          <w:rFonts w:cstheme="minorHAnsi"/>
          <w:lang w:val="en-US"/>
        </w:rPr>
        <w:t>O),</w:t>
      </w:r>
      <w:r w:rsidRPr="00910D76">
        <w:rPr>
          <w:rFonts w:cstheme="minorHAnsi"/>
        </w:rPr>
        <w:t xml:space="preserve"> in the presence (closed bar) and absence (open bar) of</w:t>
      </w:r>
      <w:r w:rsidRPr="00910D76">
        <w:rPr>
          <w:rFonts w:cstheme="minorHAnsi"/>
          <w:lang w:val="en-US"/>
        </w:rPr>
        <w:t xml:space="preserve">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rPr>
        <w:t xml:space="preserve"> (0.8 mM) for 24 h. AMPK activity was assessed as </w:t>
      </w:r>
      <w:r w:rsidRPr="00910D76">
        <w:rPr>
          <w:rFonts w:cstheme="minorHAnsi"/>
          <w:i/>
          <w:iCs/>
        </w:rPr>
        <w:t>panel a(ii)</w:t>
      </w:r>
      <w:r w:rsidRPr="00910D76">
        <w:rPr>
          <w:rFonts w:cstheme="minorHAnsi"/>
        </w:rPr>
        <w:t xml:space="preserve">. </w:t>
      </w:r>
      <w:r w:rsidRPr="00910D76">
        <w:rPr>
          <w:rFonts w:cstheme="minorHAnsi"/>
          <w:i/>
          <w:iCs/>
        </w:rPr>
        <w:t xml:space="preserve">Panel d-f: </w:t>
      </w:r>
      <w:r w:rsidRPr="00910D76">
        <w:rPr>
          <w:rFonts w:cstheme="minorHAnsi"/>
          <w:color w:val="202020"/>
          <w:shd w:val="clear" w:color="auto" w:fill="FFFFFF"/>
        </w:rPr>
        <w:t xml:space="preserve">HepG2 cells were </w:t>
      </w:r>
      <w:proofErr w:type="spellStart"/>
      <w:r w:rsidRPr="00910D76">
        <w:rPr>
          <w:rFonts w:cstheme="minorHAnsi"/>
          <w:color w:val="202020"/>
          <w:shd w:val="clear" w:color="auto" w:fill="FFFFFF"/>
        </w:rPr>
        <w:t>pretreated</w:t>
      </w:r>
      <w:proofErr w:type="spellEnd"/>
      <w:r w:rsidRPr="00910D76">
        <w:rPr>
          <w:rFonts w:cstheme="minorHAnsi"/>
          <w:color w:val="202020"/>
          <w:shd w:val="clear" w:color="auto" w:fill="FFFFFF"/>
        </w:rPr>
        <w:t xml:space="preserve"> with the AMPK inhibitor, compound C (7.5 µM) for 30 min followed by exposure to </w:t>
      </w:r>
      <w:r w:rsidR="00E60B33" w:rsidRPr="00910D76">
        <w:rPr>
          <w:rFonts w:cstheme="minorHAnsi"/>
          <w:color w:val="202020"/>
          <w:shd w:val="clear" w:color="auto" w:fill="FFFFFF"/>
        </w:rPr>
        <w:t>d</w:t>
      </w:r>
      <w:r w:rsidRPr="00910D76">
        <w:rPr>
          <w:rFonts w:cstheme="minorHAnsi"/>
        </w:rPr>
        <w:t xml:space="preserve">GTE1 and </w:t>
      </w:r>
      <w:r w:rsidR="00E60B33" w:rsidRPr="00910D76">
        <w:rPr>
          <w:rFonts w:cstheme="minorHAnsi"/>
        </w:rPr>
        <w:t>d</w:t>
      </w:r>
      <w:r w:rsidRPr="00910D76">
        <w:rPr>
          <w:rFonts w:cstheme="minorHAnsi"/>
        </w:rPr>
        <w:t xml:space="preserve">GTE2 </w:t>
      </w:r>
      <w:r w:rsidRPr="00910D76">
        <w:rPr>
          <w:rFonts w:cstheme="minorHAnsi"/>
          <w:lang w:val="en-US"/>
        </w:rPr>
        <w:t>(1 µg</w:t>
      </w:r>
      <w:r w:rsidR="00E60B33" w:rsidRPr="00910D76">
        <w:rPr>
          <w:rFonts w:cstheme="minorHAnsi"/>
          <w:lang w:val="en-US"/>
        </w:rPr>
        <w:t>·</w:t>
      </w:r>
      <w:r w:rsidRPr="00910D76">
        <w:rPr>
          <w:rFonts w:cstheme="minorHAnsi"/>
          <w:lang w:val="en-US"/>
        </w:rPr>
        <w:t>ml</w:t>
      </w:r>
      <w:r w:rsidR="00E60B33" w:rsidRPr="00910D76">
        <w:rPr>
          <w:rFonts w:cstheme="minorHAnsi"/>
          <w:vertAlign w:val="superscript"/>
          <w:lang w:val="en-US"/>
        </w:rPr>
        <w:t>-1</w:t>
      </w:r>
      <w:r w:rsidRPr="00910D76">
        <w:rPr>
          <w:rFonts w:cstheme="minorHAnsi"/>
          <w:lang w:val="en-US"/>
        </w:rPr>
        <w:t>), or vehicle (H</w:t>
      </w:r>
      <w:r w:rsidRPr="00910D76">
        <w:rPr>
          <w:rFonts w:cstheme="minorHAnsi"/>
          <w:vertAlign w:val="subscript"/>
          <w:lang w:val="en-US"/>
        </w:rPr>
        <w:t>2</w:t>
      </w:r>
      <w:r w:rsidRPr="00910D76">
        <w:rPr>
          <w:rFonts w:cstheme="minorHAnsi"/>
          <w:lang w:val="en-US"/>
        </w:rPr>
        <w:t>O),</w:t>
      </w:r>
      <w:r w:rsidRPr="00910D76">
        <w:rPr>
          <w:rFonts w:cstheme="minorHAnsi"/>
        </w:rPr>
        <w:t xml:space="preserve"> in the presence (closed bar) and absence (open bar) of</w:t>
      </w:r>
      <w:r w:rsidRPr="00910D76">
        <w:rPr>
          <w:rFonts w:cstheme="minorHAnsi"/>
          <w:lang w:val="en-US"/>
        </w:rPr>
        <w:t xml:space="preserve">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rPr>
        <w:t xml:space="preserve"> (0.8 mM) for 24 h.</w:t>
      </w:r>
      <w:r w:rsidRPr="00910D76">
        <w:rPr>
          <w:rFonts w:cstheme="minorHAnsi"/>
          <w:i/>
          <w:iCs/>
        </w:rPr>
        <w:t xml:space="preserve">  </w:t>
      </w:r>
      <w:r w:rsidRPr="00910D76">
        <w:rPr>
          <w:rFonts w:cstheme="minorHAnsi"/>
        </w:rPr>
        <w:t xml:space="preserve">ROS production (d), HepG2 cell viability (e) and apoptosis (f) were assessed using DCFDA, CCK8 and annexin V respectively. </w:t>
      </w:r>
      <w:r w:rsidRPr="00910D76">
        <w:rPr>
          <w:rFonts w:cstheme="minorHAnsi"/>
          <w:lang w:val="en-US"/>
        </w:rPr>
        <w:t>Data are presented as mean ± SEM. *</w:t>
      </w:r>
      <w:r w:rsidRPr="00910D76">
        <w:rPr>
          <w:rFonts w:cstheme="minorHAnsi"/>
          <w:i/>
          <w:lang w:val="en-US"/>
        </w:rPr>
        <w:t>p</w:t>
      </w:r>
      <w:r w:rsidR="00E60B33" w:rsidRPr="00910D76">
        <w:rPr>
          <w:rFonts w:cstheme="minorHAnsi"/>
          <w:lang w:val="en-US"/>
        </w:rPr>
        <w:t xml:space="preserve"> </w:t>
      </w:r>
      <w:r w:rsidRPr="00910D76">
        <w:rPr>
          <w:rFonts w:cstheme="minorHAnsi"/>
          <w:lang w:val="en-US"/>
        </w:rPr>
        <w:t>&lt;</w:t>
      </w:r>
      <w:r w:rsidR="00E60B33" w:rsidRPr="00910D76">
        <w:rPr>
          <w:rFonts w:cstheme="minorHAnsi"/>
          <w:lang w:val="en-US"/>
        </w:rPr>
        <w:t xml:space="preserve"> </w:t>
      </w:r>
      <w:r w:rsidRPr="00910D76">
        <w:rPr>
          <w:rFonts w:cstheme="minorHAnsi"/>
          <w:lang w:val="en-US"/>
        </w:rPr>
        <w:t>0.05 versus vehicle for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lang w:val="en-US"/>
        </w:rPr>
        <w:t>, #</w:t>
      </w:r>
      <w:r w:rsidRPr="00910D76">
        <w:rPr>
          <w:rFonts w:cstheme="minorHAnsi"/>
          <w:i/>
          <w:lang w:val="en-US"/>
        </w:rPr>
        <w:t>p</w:t>
      </w:r>
      <w:r w:rsidR="00E60B33" w:rsidRPr="00910D76">
        <w:rPr>
          <w:rFonts w:cstheme="minorHAnsi"/>
          <w:lang w:val="en-US"/>
        </w:rPr>
        <w:t xml:space="preserve"> </w:t>
      </w:r>
      <w:r w:rsidRPr="00910D76">
        <w:rPr>
          <w:rFonts w:cstheme="minorHAnsi"/>
          <w:lang w:val="en-US"/>
        </w:rPr>
        <w:t>&lt;</w:t>
      </w:r>
      <w:r w:rsidR="00E60B33" w:rsidRPr="00910D76">
        <w:rPr>
          <w:rFonts w:cstheme="minorHAnsi"/>
          <w:lang w:val="en-US"/>
        </w:rPr>
        <w:t xml:space="preserve"> </w:t>
      </w:r>
      <w:r w:rsidRPr="00910D76">
        <w:rPr>
          <w:rFonts w:cstheme="minorHAnsi"/>
          <w:lang w:val="en-US"/>
        </w:rPr>
        <w:t xml:space="preserve">0.05 versus vehicle for GTE, </w:t>
      </w:r>
      <w:proofErr w:type="spellStart"/>
      <w:r w:rsidRPr="00910D76">
        <w:rPr>
          <w:rFonts w:cstheme="minorHAnsi"/>
          <w:vertAlign w:val="superscript"/>
          <w:lang w:val="en-US"/>
        </w:rPr>
        <w:t>δ</w:t>
      </w:r>
      <w:r w:rsidRPr="00910D76">
        <w:rPr>
          <w:rFonts w:cstheme="minorHAnsi"/>
          <w:i/>
          <w:lang w:val="en-US"/>
        </w:rPr>
        <w:t>p</w:t>
      </w:r>
      <w:proofErr w:type="spellEnd"/>
      <w:r w:rsidR="00E60B33" w:rsidRPr="00910D76">
        <w:rPr>
          <w:rFonts w:cstheme="minorHAnsi"/>
          <w:lang w:val="en-US"/>
        </w:rPr>
        <w:t xml:space="preserve"> </w:t>
      </w:r>
      <w:r w:rsidRPr="00910D76">
        <w:rPr>
          <w:rFonts w:cstheme="minorHAnsi"/>
          <w:lang w:val="en-US"/>
        </w:rPr>
        <w:t>&lt;</w:t>
      </w:r>
      <w:r w:rsidR="00E60B33" w:rsidRPr="00910D76">
        <w:rPr>
          <w:rFonts w:cstheme="minorHAnsi"/>
          <w:lang w:val="en-US"/>
        </w:rPr>
        <w:t xml:space="preserve"> </w:t>
      </w:r>
      <w:r w:rsidRPr="00910D76">
        <w:rPr>
          <w:rFonts w:cstheme="minorHAnsi"/>
          <w:lang w:val="en-US"/>
        </w:rPr>
        <w:t>0.05 versus vehicle for compound C.</w:t>
      </w:r>
    </w:p>
    <w:p w14:paraId="244445E5" w14:textId="77777777" w:rsidR="003F63D4" w:rsidRPr="00910D76" w:rsidRDefault="003F63D4" w:rsidP="008275D7">
      <w:pPr>
        <w:spacing w:after="0" w:line="480" w:lineRule="auto"/>
        <w:jc w:val="both"/>
        <w:rPr>
          <w:rFonts w:cstheme="minorHAnsi"/>
          <w:b/>
          <w:bCs/>
          <w:i/>
          <w:iCs/>
        </w:rPr>
      </w:pPr>
    </w:p>
    <w:p w14:paraId="6A0E7180" w14:textId="6911CC32" w:rsidR="003F63D4" w:rsidRPr="00910D76" w:rsidRDefault="003F63D4" w:rsidP="008275D7">
      <w:pPr>
        <w:spacing w:after="0" w:line="480" w:lineRule="auto"/>
        <w:jc w:val="both"/>
        <w:rPr>
          <w:rFonts w:cstheme="minorHAnsi"/>
        </w:rPr>
      </w:pPr>
      <w:r w:rsidRPr="00910D76">
        <w:rPr>
          <w:rFonts w:cstheme="minorHAnsi"/>
          <w:b/>
          <w:bCs/>
          <w:i/>
          <w:iCs/>
        </w:rPr>
        <w:t xml:space="preserve">Figure 5: EGCG protects against hydrogen peroxide-induced oxidative stress and cell death in a manner </w:t>
      </w:r>
      <w:proofErr w:type="gramStart"/>
      <w:r w:rsidRPr="00910D76">
        <w:rPr>
          <w:rFonts w:cstheme="minorHAnsi"/>
          <w:b/>
          <w:bCs/>
          <w:i/>
          <w:iCs/>
        </w:rPr>
        <w:t>similar to</w:t>
      </w:r>
      <w:proofErr w:type="gramEnd"/>
      <w:r w:rsidRPr="00910D76">
        <w:rPr>
          <w:rFonts w:cstheme="minorHAnsi"/>
          <w:b/>
          <w:bCs/>
          <w:i/>
          <w:iCs/>
        </w:rPr>
        <w:t xml:space="preserve"> </w:t>
      </w:r>
      <w:r w:rsidR="004267C9" w:rsidRPr="00910D76">
        <w:rPr>
          <w:rFonts w:cstheme="minorHAnsi"/>
          <w:b/>
          <w:bCs/>
          <w:i/>
          <w:iCs/>
        </w:rPr>
        <w:t>d</w:t>
      </w:r>
      <w:r w:rsidRPr="00910D76">
        <w:rPr>
          <w:rFonts w:cstheme="minorHAnsi"/>
          <w:b/>
          <w:bCs/>
          <w:i/>
          <w:iCs/>
        </w:rPr>
        <w:t>GTE1.</w:t>
      </w:r>
      <w:r w:rsidRPr="00910D76">
        <w:rPr>
          <w:rFonts w:cstheme="minorHAnsi"/>
          <w:i/>
          <w:iCs/>
        </w:rPr>
        <w:t xml:space="preserve"> </w:t>
      </w:r>
      <w:r w:rsidRPr="00910D76">
        <w:rPr>
          <w:rFonts w:cstheme="minorHAnsi"/>
          <w:color w:val="202020"/>
          <w:shd w:val="clear" w:color="auto" w:fill="FFFFFF"/>
        </w:rPr>
        <w:t xml:space="preserve">HepG2 cells were exposed to </w:t>
      </w:r>
      <w:r w:rsidR="009E0BA0" w:rsidRPr="00910D76">
        <w:rPr>
          <w:rFonts w:cstheme="minorHAnsi"/>
          <w:color w:val="202020"/>
          <w:shd w:val="clear" w:color="auto" w:fill="FFFFFF"/>
        </w:rPr>
        <w:t>d</w:t>
      </w:r>
      <w:r w:rsidRPr="00910D76">
        <w:rPr>
          <w:rFonts w:cstheme="minorHAnsi"/>
        </w:rPr>
        <w:t xml:space="preserve">GTE1 </w:t>
      </w:r>
      <w:r w:rsidRPr="00910D76">
        <w:rPr>
          <w:rFonts w:cstheme="minorHAnsi"/>
          <w:lang w:val="en-US"/>
        </w:rPr>
        <w:t>(1 µg</w:t>
      </w:r>
      <w:r w:rsidR="009E0BA0" w:rsidRPr="00910D76">
        <w:rPr>
          <w:rFonts w:cstheme="minorHAnsi"/>
          <w:lang w:val="en-US"/>
        </w:rPr>
        <w:t>·</w:t>
      </w:r>
      <w:r w:rsidRPr="00910D76">
        <w:rPr>
          <w:rFonts w:cstheme="minorHAnsi"/>
          <w:lang w:val="en-US"/>
        </w:rPr>
        <w:t>ml</w:t>
      </w:r>
      <w:r w:rsidR="009E0BA0" w:rsidRPr="00910D76">
        <w:rPr>
          <w:rFonts w:cstheme="minorHAnsi"/>
          <w:vertAlign w:val="superscript"/>
          <w:lang w:val="en-US"/>
        </w:rPr>
        <w:t>-1</w:t>
      </w:r>
      <w:r w:rsidRPr="00910D76">
        <w:rPr>
          <w:rFonts w:cstheme="minorHAnsi"/>
          <w:lang w:val="en-US"/>
        </w:rPr>
        <w:t>) and EGCG (</w:t>
      </w:r>
      <w:r w:rsidRPr="00910D76">
        <w:rPr>
          <w:rFonts w:cstheme="minorHAnsi"/>
        </w:rPr>
        <w:t>0.263 µg</w:t>
      </w:r>
      <w:r w:rsidR="009E0BA0" w:rsidRPr="00910D76">
        <w:rPr>
          <w:rFonts w:cstheme="minorHAnsi"/>
        </w:rPr>
        <w:t>·</w:t>
      </w:r>
      <w:r w:rsidRPr="00910D76">
        <w:rPr>
          <w:rFonts w:cstheme="minorHAnsi"/>
        </w:rPr>
        <w:t>ml</w:t>
      </w:r>
      <w:r w:rsidR="009E0BA0" w:rsidRPr="00910D76">
        <w:rPr>
          <w:rFonts w:cstheme="minorHAnsi"/>
          <w:vertAlign w:val="superscript"/>
        </w:rPr>
        <w:t>-1</w:t>
      </w:r>
      <w:r w:rsidRPr="00910D76">
        <w:rPr>
          <w:rFonts w:cstheme="minorHAnsi"/>
        </w:rPr>
        <w:t>)</w:t>
      </w:r>
      <w:r w:rsidRPr="00910D76">
        <w:rPr>
          <w:rFonts w:cstheme="minorHAnsi"/>
          <w:lang w:val="en-US"/>
        </w:rPr>
        <w:t>, or vehicle (H</w:t>
      </w:r>
      <w:r w:rsidRPr="00910D76">
        <w:rPr>
          <w:rFonts w:cstheme="minorHAnsi"/>
          <w:vertAlign w:val="subscript"/>
          <w:lang w:val="en-US"/>
        </w:rPr>
        <w:t>2</w:t>
      </w:r>
      <w:r w:rsidRPr="00910D76">
        <w:rPr>
          <w:rFonts w:cstheme="minorHAnsi"/>
          <w:lang w:val="en-US"/>
        </w:rPr>
        <w:t xml:space="preserve">O), </w:t>
      </w:r>
      <w:r w:rsidRPr="00910D76">
        <w:rPr>
          <w:rFonts w:cstheme="minorHAnsi"/>
        </w:rPr>
        <w:t>in the presence (closed bar) and absence (open bar) of</w:t>
      </w:r>
      <w:r w:rsidRPr="00910D76">
        <w:rPr>
          <w:rFonts w:cstheme="minorHAnsi"/>
          <w:lang w:val="en-US"/>
        </w:rPr>
        <w:t xml:space="preserve">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rPr>
        <w:t xml:space="preserve"> (0.8 mM) for 24 h. </w:t>
      </w:r>
      <w:r w:rsidRPr="00910D76">
        <w:rPr>
          <w:rFonts w:cstheme="minorHAnsi"/>
          <w:i/>
          <w:iCs/>
        </w:rPr>
        <w:t xml:space="preserve">Panels a and b: </w:t>
      </w:r>
      <w:r w:rsidRPr="00910D76">
        <w:rPr>
          <w:rFonts w:cstheme="minorHAnsi"/>
        </w:rPr>
        <w:t xml:space="preserve">Cellular and mitochondrial ROS were assessed using DCFDA and </w:t>
      </w:r>
      <w:proofErr w:type="spellStart"/>
      <w:r w:rsidRPr="00910D76">
        <w:rPr>
          <w:rFonts w:cstheme="minorHAnsi"/>
        </w:rPr>
        <w:t>MitoSOX</w:t>
      </w:r>
      <w:proofErr w:type="spellEnd"/>
      <w:r w:rsidRPr="00910D76">
        <w:rPr>
          <w:rFonts w:cstheme="minorHAnsi"/>
        </w:rPr>
        <w:t xml:space="preserve">. </w:t>
      </w:r>
      <w:r w:rsidRPr="00910D76">
        <w:rPr>
          <w:rFonts w:cstheme="minorHAnsi"/>
          <w:i/>
          <w:iCs/>
        </w:rPr>
        <w:t xml:space="preserve">Panel c: </w:t>
      </w:r>
      <w:r w:rsidRPr="00910D76">
        <w:rPr>
          <w:rFonts w:cstheme="minorHAnsi"/>
        </w:rPr>
        <w:t xml:space="preserve">Mitochondrial membrane potential was assessed using JC-1. </w:t>
      </w:r>
      <w:r w:rsidRPr="00910D76">
        <w:rPr>
          <w:rFonts w:cstheme="minorHAnsi"/>
          <w:i/>
          <w:iCs/>
        </w:rPr>
        <w:t xml:space="preserve">Panel d-e: </w:t>
      </w:r>
      <w:r w:rsidRPr="00910D76">
        <w:rPr>
          <w:rFonts w:cstheme="minorHAnsi"/>
        </w:rPr>
        <w:t xml:space="preserve">HepG2 cell viability (d) and apoptosis (e) were assessed using CCK8 and annexin V respectively. Panel f: AMPK activity was assessed using </w:t>
      </w:r>
      <w:proofErr w:type="spellStart"/>
      <w:r w:rsidRPr="00910D76">
        <w:rPr>
          <w:rFonts w:cstheme="minorHAnsi"/>
        </w:rPr>
        <w:t>CycLex</w:t>
      </w:r>
      <w:proofErr w:type="spellEnd"/>
      <w:r w:rsidRPr="00910D76">
        <w:rPr>
          <w:rFonts w:cstheme="minorHAnsi"/>
        </w:rPr>
        <w:t xml:space="preserve"> kit assay. </w:t>
      </w:r>
      <w:r w:rsidRPr="00910D76">
        <w:rPr>
          <w:rFonts w:cstheme="minorHAnsi"/>
          <w:lang w:val="en-US"/>
        </w:rPr>
        <w:t>Data are presented as mean ± SEM. *</w:t>
      </w:r>
      <w:r w:rsidRPr="00910D76">
        <w:rPr>
          <w:rFonts w:cstheme="minorHAnsi"/>
          <w:i/>
          <w:lang w:val="en-US"/>
        </w:rPr>
        <w:t>p</w:t>
      </w:r>
      <w:r w:rsidR="009E0BA0" w:rsidRPr="00910D76">
        <w:rPr>
          <w:rFonts w:cstheme="minorHAnsi"/>
          <w:i/>
          <w:lang w:val="en-US"/>
        </w:rPr>
        <w:t xml:space="preserve"> </w:t>
      </w:r>
      <w:r w:rsidRPr="00910D76">
        <w:rPr>
          <w:rFonts w:cstheme="minorHAnsi"/>
          <w:lang w:val="en-US"/>
        </w:rPr>
        <w:t>&lt;</w:t>
      </w:r>
      <w:r w:rsidR="009E0BA0" w:rsidRPr="00910D76">
        <w:rPr>
          <w:rFonts w:cstheme="minorHAnsi"/>
          <w:lang w:val="en-US"/>
        </w:rPr>
        <w:t xml:space="preserve"> </w:t>
      </w:r>
      <w:r w:rsidRPr="00910D76">
        <w:rPr>
          <w:rFonts w:cstheme="minorHAnsi"/>
          <w:lang w:val="en-US"/>
        </w:rPr>
        <w:t>0.05 versus vehicle for H</w:t>
      </w:r>
      <w:r w:rsidRPr="00910D76">
        <w:rPr>
          <w:rFonts w:cstheme="minorHAnsi"/>
          <w:vertAlign w:val="subscript"/>
          <w:lang w:val="en-US"/>
        </w:rPr>
        <w:t>2</w:t>
      </w:r>
      <w:r w:rsidRPr="00910D76">
        <w:rPr>
          <w:rFonts w:cstheme="minorHAnsi"/>
          <w:lang w:val="en-US"/>
        </w:rPr>
        <w:t>O</w:t>
      </w:r>
      <w:r w:rsidRPr="00910D76">
        <w:rPr>
          <w:rFonts w:cstheme="minorHAnsi"/>
          <w:vertAlign w:val="subscript"/>
          <w:lang w:val="en-US"/>
        </w:rPr>
        <w:t>2</w:t>
      </w:r>
      <w:r w:rsidRPr="00910D76">
        <w:rPr>
          <w:rFonts w:cstheme="minorHAnsi"/>
          <w:lang w:val="en-US"/>
        </w:rPr>
        <w:t>, #</w:t>
      </w:r>
      <w:r w:rsidRPr="00910D76">
        <w:rPr>
          <w:rFonts w:cstheme="minorHAnsi"/>
          <w:i/>
          <w:lang w:val="en-US"/>
        </w:rPr>
        <w:t>p</w:t>
      </w:r>
      <w:r w:rsidR="009E0BA0" w:rsidRPr="00910D76">
        <w:rPr>
          <w:rFonts w:cstheme="minorHAnsi"/>
          <w:i/>
          <w:lang w:val="en-US"/>
        </w:rPr>
        <w:t xml:space="preserve"> </w:t>
      </w:r>
      <w:r w:rsidRPr="00910D76">
        <w:rPr>
          <w:rFonts w:cstheme="minorHAnsi"/>
          <w:lang w:val="en-US"/>
        </w:rPr>
        <w:t>&lt;</w:t>
      </w:r>
      <w:r w:rsidR="009E0BA0" w:rsidRPr="00910D76">
        <w:rPr>
          <w:rFonts w:cstheme="minorHAnsi"/>
          <w:lang w:val="en-US"/>
        </w:rPr>
        <w:t xml:space="preserve"> </w:t>
      </w:r>
      <w:r w:rsidRPr="00910D76">
        <w:rPr>
          <w:rFonts w:cstheme="minorHAnsi"/>
          <w:lang w:val="en-US"/>
        </w:rPr>
        <w:t>0.05 versus vehicle for GTE.</w:t>
      </w:r>
    </w:p>
    <w:p w14:paraId="47253D6D" w14:textId="77777777" w:rsidR="003F63D4" w:rsidRPr="00910D76" w:rsidRDefault="003F63D4" w:rsidP="008275D7">
      <w:pPr>
        <w:spacing w:after="0" w:line="480" w:lineRule="auto"/>
        <w:jc w:val="both"/>
        <w:rPr>
          <w:rFonts w:cstheme="minorHAnsi"/>
          <w:bCs/>
        </w:rPr>
      </w:pPr>
    </w:p>
    <w:p w14:paraId="728673B0" w14:textId="0A36CBBD" w:rsidR="00D04AED" w:rsidRPr="00910D76" w:rsidRDefault="0042180C" w:rsidP="008275D7">
      <w:pPr>
        <w:spacing w:after="0" w:line="480" w:lineRule="auto"/>
        <w:jc w:val="both"/>
        <w:rPr>
          <w:rFonts w:cstheme="minorHAnsi"/>
          <w:bCs/>
        </w:rPr>
      </w:pPr>
      <w:r w:rsidRPr="00910D76">
        <w:rPr>
          <w:rFonts w:cstheme="minorHAnsi"/>
          <w:b/>
          <w:i/>
          <w:iCs/>
        </w:rPr>
        <w:t xml:space="preserve">Figure 6: </w:t>
      </w:r>
      <w:r w:rsidR="004D2536" w:rsidRPr="00910D76">
        <w:rPr>
          <w:rFonts w:cstheme="minorHAnsi"/>
          <w:b/>
          <w:i/>
          <w:iCs/>
        </w:rPr>
        <w:t>d</w:t>
      </w:r>
      <w:r w:rsidRPr="00910D76">
        <w:rPr>
          <w:rFonts w:cstheme="minorHAnsi"/>
          <w:b/>
          <w:i/>
          <w:iCs/>
        </w:rPr>
        <w:t xml:space="preserve">GTE2 contains stearic acid and higher levels of palmitic acid and caffeine than </w:t>
      </w:r>
      <w:r w:rsidR="004D2536" w:rsidRPr="00910D76">
        <w:rPr>
          <w:rFonts w:cstheme="minorHAnsi"/>
          <w:b/>
          <w:i/>
          <w:iCs/>
        </w:rPr>
        <w:t>d</w:t>
      </w:r>
      <w:r w:rsidRPr="00910D76">
        <w:rPr>
          <w:rFonts w:cstheme="minorHAnsi"/>
          <w:b/>
          <w:i/>
          <w:iCs/>
        </w:rPr>
        <w:t xml:space="preserve">GTE1. </w:t>
      </w:r>
      <w:r w:rsidRPr="00910D76">
        <w:rPr>
          <w:rFonts w:cstheme="minorHAnsi"/>
          <w:bCs/>
        </w:rPr>
        <w:t xml:space="preserve">Results obtained from Shimadzu QP2010 using ZB-1 column with method details given in Table 1. </w:t>
      </w:r>
      <w:r w:rsidRPr="00910D76">
        <w:rPr>
          <w:rFonts w:cstheme="minorHAnsi"/>
          <w:bCs/>
          <w:i/>
          <w:iCs/>
        </w:rPr>
        <w:t xml:space="preserve">Panel a: </w:t>
      </w:r>
      <w:r w:rsidRPr="00910D76">
        <w:rPr>
          <w:rFonts w:cstheme="minorHAnsi"/>
          <w:bCs/>
        </w:rPr>
        <w:t xml:space="preserve">Select region of typical total ion chromatogram to show chemical composition differences identified between </w:t>
      </w:r>
      <w:r w:rsidR="009E0BA0" w:rsidRPr="00910D76">
        <w:rPr>
          <w:rFonts w:cstheme="minorHAnsi"/>
          <w:bCs/>
        </w:rPr>
        <w:t>d</w:t>
      </w:r>
      <w:r w:rsidRPr="00910D76">
        <w:rPr>
          <w:rFonts w:cstheme="minorHAnsi"/>
          <w:bCs/>
        </w:rPr>
        <w:t xml:space="preserve">GTE1 and </w:t>
      </w:r>
      <w:r w:rsidR="009E0BA0" w:rsidRPr="00910D76">
        <w:rPr>
          <w:rFonts w:cstheme="minorHAnsi"/>
          <w:bCs/>
        </w:rPr>
        <w:t>d</w:t>
      </w:r>
      <w:r w:rsidRPr="00910D76">
        <w:rPr>
          <w:rFonts w:cstheme="minorHAnsi"/>
          <w:bCs/>
        </w:rPr>
        <w:t xml:space="preserve">GTE2. </w:t>
      </w:r>
      <w:r w:rsidRPr="00910D76">
        <w:rPr>
          <w:rFonts w:cstheme="minorHAnsi"/>
          <w:bCs/>
          <w:i/>
          <w:iCs/>
        </w:rPr>
        <w:t xml:space="preserve">Panel </w:t>
      </w:r>
      <w:r w:rsidR="00D04AED" w:rsidRPr="00910D76">
        <w:rPr>
          <w:rFonts w:cstheme="minorHAnsi"/>
          <w:bCs/>
          <w:i/>
          <w:iCs/>
        </w:rPr>
        <w:t xml:space="preserve">b: </w:t>
      </w:r>
      <w:r w:rsidR="00D04AED" w:rsidRPr="00910D76">
        <w:rPr>
          <w:rFonts w:cstheme="minorHAnsi"/>
          <w:bCs/>
        </w:rPr>
        <w:t xml:space="preserve">Mass spectra for caffeine (major ions m/z 194, 126, 109) obtained from peak in panel </w:t>
      </w:r>
      <w:proofErr w:type="spellStart"/>
      <w:r w:rsidR="00D04AED" w:rsidRPr="00910D76">
        <w:rPr>
          <w:rFonts w:cstheme="minorHAnsi"/>
          <w:bCs/>
        </w:rPr>
        <w:t>a</w:t>
      </w:r>
      <w:proofErr w:type="spellEnd"/>
      <w:r w:rsidR="00D04AED" w:rsidRPr="00910D76">
        <w:rPr>
          <w:rFonts w:cstheme="minorHAnsi"/>
          <w:bCs/>
        </w:rPr>
        <w:t xml:space="preserve"> at retention time 11.28 mins. </w:t>
      </w:r>
      <w:r w:rsidR="00D04AED" w:rsidRPr="00910D76">
        <w:rPr>
          <w:rFonts w:cstheme="minorHAnsi"/>
          <w:bCs/>
          <w:i/>
          <w:iCs/>
        </w:rPr>
        <w:t xml:space="preserve">Panel c: </w:t>
      </w:r>
      <w:r w:rsidR="00D04AED" w:rsidRPr="00910D76">
        <w:rPr>
          <w:rFonts w:cstheme="minorHAnsi"/>
          <w:bCs/>
        </w:rPr>
        <w:t xml:space="preserve">Mass spectra for </w:t>
      </w:r>
      <w:r w:rsidR="00C70F37" w:rsidRPr="00910D76">
        <w:rPr>
          <w:rFonts w:cstheme="minorHAnsi"/>
          <w:bCs/>
        </w:rPr>
        <w:t>palmitic acid</w:t>
      </w:r>
      <w:r w:rsidR="00D04AED" w:rsidRPr="00910D76">
        <w:rPr>
          <w:rFonts w:cstheme="minorHAnsi"/>
          <w:bCs/>
        </w:rPr>
        <w:t xml:space="preserve"> (major ions m/z </w:t>
      </w:r>
      <w:r w:rsidR="00C70F37" w:rsidRPr="00910D76">
        <w:rPr>
          <w:rFonts w:cstheme="minorHAnsi"/>
          <w:bCs/>
        </w:rPr>
        <w:t>256, 213, 129</w:t>
      </w:r>
      <w:r w:rsidR="00D04AED" w:rsidRPr="00910D76">
        <w:rPr>
          <w:rFonts w:cstheme="minorHAnsi"/>
          <w:bCs/>
        </w:rPr>
        <w:t xml:space="preserve">) obtained from peak in panel </w:t>
      </w:r>
      <w:proofErr w:type="spellStart"/>
      <w:r w:rsidR="00D04AED" w:rsidRPr="00910D76">
        <w:rPr>
          <w:rFonts w:cstheme="minorHAnsi"/>
          <w:bCs/>
        </w:rPr>
        <w:t>a</w:t>
      </w:r>
      <w:proofErr w:type="spellEnd"/>
      <w:r w:rsidR="00D04AED" w:rsidRPr="00910D76">
        <w:rPr>
          <w:rFonts w:cstheme="minorHAnsi"/>
          <w:bCs/>
        </w:rPr>
        <w:t xml:space="preserve"> at retention time 1</w:t>
      </w:r>
      <w:r w:rsidR="00C70F37" w:rsidRPr="00910D76">
        <w:rPr>
          <w:rFonts w:cstheme="minorHAnsi"/>
          <w:bCs/>
        </w:rPr>
        <w:t>2</w:t>
      </w:r>
      <w:r w:rsidR="00D04AED" w:rsidRPr="00910D76">
        <w:rPr>
          <w:rFonts w:cstheme="minorHAnsi"/>
          <w:bCs/>
        </w:rPr>
        <w:t>.</w:t>
      </w:r>
      <w:r w:rsidR="00C70F37" w:rsidRPr="00910D76">
        <w:rPr>
          <w:rFonts w:cstheme="minorHAnsi"/>
          <w:bCs/>
        </w:rPr>
        <w:t>33</w:t>
      </w:r>
      <w:r w:rsidR="00D04AED" w:rsidRPr="00910D76">
        <w:rPr>
          <w:rFonts w:cstheme="minorHAnsi"/>
          <w:bCs/>
        </w:rPr>
        <w:t xml:space="preserve"> mins. </w:t>
      </w:r>
      <w:r w:rsidR="00C70F37" w:rsidRPr="00910D76">
        <w:rPr>
          <w:rFonts w:cstheme="minorHAnsi"/>
          <w:bCs/>
          <w:i/>
          <w:iCs/>
        </w:rPr>
        <w:t xml:space="preserve">Panel d: </w:t>
      </w:r>
      <w:r w:rsidR="00C70F37" w:rsidRPr="00910D76">
        <w:rPr>
          <w:rFonts w:cstheme="minorHAnsi"/>
          <w:bCs/>
        </w:rPr>
        <w:t xml:space="preserve">Mass spectra for steric acid (major ions m/z 284, 241, 185) obtained from peak in panel </w:t>
      </w:r>
      <w:proofErr w:type="spellStart"/>
      <w:r w:rsidR="00C70F37" w:rsidRPr="00910D76">
        <w:rPr>
          <w:rFonts w:cstheme="minorHAnsi"/>
          <w:bCs/>
        </w:rPr>
        <w:t>a</w:t>
      </w:r>
      <w:proofErr w:type="spellEnd"/>
      <w:r w:rsidR="00C70F37" w:rsidRPr="00910D76">
        <w:rPr>
          <w:rFonts w:cstheme="minorHAnsi"/>
          <w:bCs/>
        </w:rPr>
        <w:t xml:space="preserve"> at retention time 1</w:t>
      </w:r>
      <w:r w:rsidR="00491905" w:rsidRPr="00910D76">
        <w:rPr>
          <w:rFonts w:cstheme="minorHAnsi"/>
          <w:bCs/>
        </w:rPr>
        <w:t>3</w:t>
      </w:r>
      <w:r w:rsidR="00C70F37" w:rsidRPr="00910D76">
        <w:rPr>
          <w:rFonts w:cstheme="minorHAnsi"/>
          <w:bCs/>
        </w:rPr>
        <w:t>.</w:t>
      </w:r>
      <w:r w:rsidR="00491905" w:rsidRPr="00910D76">
        <w:rPr>
          <w:rFonts w:cstheme="minorHAnsi"/>
          <w:bCs/>
        </w:rPr>
        <w:t>7</w:t>
      </w:r>
      <w:r w:rsidR="00C70F37" w:rsidRPr="00910D76">
        <w:rPr>
          <w:rFonts w:cstheme="minorHAnsi"/>
          <w:bCs/>
        </w:rPr>
        <w:t xml:space="preserve"> mins.</w:t>
      </w:r>
    </w:p>
    <w:p w14:paraId="560C5FD9" w14:textId="77777777" w:rsidR="00B11010" w:rsidRPr="00910D76" w:rsidRDefault="00B11010" w:rsidP="008275D7">
      <w:pPr>
        <w:spacing w:after="0" w:line="480" w:lineRule="auto"/>
        <w:jc w:val="both"/>
        <w:rPr>
          <w:rFonts w:cstheme="minorHAnsi"/>
          <w:b/>
          <w:u w:val="single"/>
        </w:rPr>
      </w:pPr>
      <w:r w:rsidRPr="00910D76">
        <w:rPr>
          <w:rFonts w:cstheme="minorHAnsi"/>
          <w:b/>
          <w:u w:val="single"/>
        </w:rPr>
        <w:br w:type="page"/>
      </w:r>
    </w:p>
    <w:p w14:paraId="095F0F1A" w14:textId="3869FD93" w:rsidR="001F7488" w:rsidRPr="00910D76" w:rsidRDefault="001F7488" w:rsidP="000E1907">
      <w:pPr>
        <w:pStyle w:val="Heading1"/>
      </w:pPr>
      <w:r w:rsidRPr="00910D76">
        <w:lastRenderedPageBreak/>
        <w:t>Tables</w:t>
      </w:r>
    </w:p>
    <w:p w14:paraId="7375EF31" w14:textId="2D4E0E82" w:rsidR="001F7488" w:rsidRPr="00910D76" w:rsidRDefault="001F7488" w:rsidP="008275D7">
      <w:pPr>
        <w:spacing w:after="0" w:line="480" w:lineRule="auto"/>
        <w:jc w:val="both"/>
        <w:rPr>
          <w:rFonts w:cstheme="minorHAnsi"/>
          <w:bCs/>
        </w:rPr>
      </w:pPr>
      <w:r w:rsidRPr="00910D76">
        <w:rPr>
          <w:rFonts w:cstheme="minorHAnsi"/>
          <w:b/>
        </w:rPr>
        <w:t xml:space="preserve">Table 1: </w:t>
      </w:r>
      <w:r w:rsidR="001D01C0" w:rsidRPr="00910D76">
        <w:rPr>
          <w:rFonts w:cstheme="minorHAnsi"/>
          <w:b/>
        </w:rPr>
        <w:t xml:space="preserve">GC-MS parameters used for GTE sample analysis using the Shimadzu QP2010 instrument. </w:t>
      </w:r>
      <w:r w:rsidR="001D01C0" w:rsidRPr="00910D76">
        <w:rPr>
          <w:rFonts w:cstheme="minorHAnsi"/>
          <w:bCs/>
          <w:i/>
          <w:iCs/>
        </w:rPr>
        <w:t xml:space="preserve">Panel a: </w:t>
      </w:r>
      <w:r w:rsidR="001D01C0" w:rsidRPr="00910D76">
        <w:rPr>
          <w:rFonts w:cstheme="minorHAnsi"/>
          <w:bCs/>
        </w:rPr>
        <w:t xml:space="preserve">Parameters used for gas chromatography (GC); </w:t>
      </w:r>
      <w:r w:rsidR="001D01C0" w:rsidRPr="00910D76">
        <w:rPr>
          <w:rFonts w:cstheme="minorHAnsi"/>
          <w:bCs/>
          <w:i/>
          <w:iCs/>
        </w:rPr>
        <w:t xml:space="preserve">Panel b: </w:t>
      </w:r>
      <w:r w:rsidR="001D01C0" w:rsidRPr="00910D76">
        <w:rPr>
          <w:rFonts w:cstheme="minorHAnsi"/>
          <w:bCs/>
        </w:rPr>
        <w:t>Parameters used for mass spectrometry (MS).</w:t>
      </w:r>
    </w:p>
    <w:p w14:paraId="268F5617" w14:textId="63E66C8F" w:rsidR="001D01C0" w:rsidRPr="00910D76" w:rsidRDefault="001D01C0" w:rsidP="008275D7">
      <w:pPr>
        <w:spacing w:after="0" w:line="480" w:lineRule="auto"/>
        <w:jc w:val="both"/>
        <w:rPr>
          <w:rFonts w:cstheme="minorHAnsi"/>
          <w:bCs/>
        </w:rPr>
      </w:pPr>
    </w:p>
    <w:p w14:paraId="7DD4F667" w14:textId="4F0EF72D" w:rsidR="001F7488" w:rsidRPr="00910D76" w:rsidRDefault="001D01C0" w:rsidP="008275D7">
      <w:pPr>
        <w:spacing w:after="0" w:line="480" w:lineRule="auto"/>
        <w:jc w:val="both"/>
        <w:rPr>
          <w:rFonts w:cstheme="minorHAnsi"/>
          <w:b/>
        </w:rPr>
      </w:pPr>
      <w:r w:rsidRPr="00910D76">
        <w:rPr>
          <w:rFonts w:cstheme="minorHAnsi"/>
          <w:b/>
        </w:rPr>
        <w:t xml:space="preserve">a) </w:t>
      </w:r>
    </w:p>
    <w:tbl>
      <w:tblPr>
        <w:tblStyle w:val="TableGrid"/>
        <w:tblW w:w="0" w:type="auto"/>
        <w:tblLook w:val="04A0" w:firstRow="1" w:lastRow="0" w:firstColumn="1" w:lastColumn="0" w:noHBand="0" w:noVBand="1"/>
      </w:tblPr>
      <w:tblGrid>
        <w:gridCol w:w="2830"/>
        <w:gridCol w:w="6186"/>
      </w:tblGrid>
      <w:tr w:rsidR="001D01C0" w:rsidRPr="00910D76" w14:paraId="0A82CD59" w14:textId="77777777" w:rsidTr="001D01C0">
        <w:tc>
          <w:tcPr>
            <w:tcW w:w="2830" w:type="dxa"/>
          </w:tcPr>
          <w:p w14:paraId="5388AA54" w14:textId="5ED63A3D" w:rsidR="001D01C0" w:rsidRPr="00910D76" w:rsidRDefault="001D01C0" w:rsidP="008275D7">
            <w:pPr>
              <w:spacing w:line="480" w:lineRule="auto"/>
              <w:jc w:val="both"/>
              <w:rPr>
                <w:rFonts w:cstheme="minorHAnsi"/>
                <w:b/>
              </w:rPr>
            </w:pPr>
            <w:r w:rsidRPr="00910D76">
              <w:rPr>
                <w:rFonts w:cstheme="minorHAnsi"/>
                <w:b/>
              </w:rPr>
              <w:t>Column specification</w:t>
            </w:r>
          </w:p>
        </w:tc>
        <w:tc>
          <w:tcPr>
            <w:tcW w:w="6186" w:type="dxa"/>
          </w:tcPr>
          <w:p w14:paraId="3CFB29E3" w14:textId="47B24D22" w:rsidR="001D01C0" w:rsidRPr="00910D76" w:rsidRDefault="001D01C0" w:rsidP="008275D7">
            <w:pPr>
              <w:spacing w:line="480" w:lineRule="auto"/>
              <w:jc w:val="both"/>
              <w:rPr>
                <w:rFonts w:cstheme="minorHAnsi"/>
                <w:bCs/>
              </w:rPr>
            </w:pPr>
            <w:r w:rsidRPr="00910D76">
              <w:rPr>
                <w:rFonts w:cstheme="minorHAnsi"/>
                <w:bCs/>
              </w:rPr>
              <w:t>ZB-1, 30 m length, 0.25 mm diameter, 0.25 µm film thickness</w:t>
            </w:r>
          </w:p>
        </w:tc>
      </w:tr>
      <w:tr w:rsidR="001D01C0" w:rsidRPr="00910D76" w14:paraId="0E8BF74C" w14:textId="77777777" w:rsidTr="001D01C0">
        <w:tc>
          <w:tcPr>
            <w:tcW w:w="2830" w:type="dxa"/>
          </w:tcPr>
          <w:p w14:paraId="570C87AD" w14:textId="3A07BC19" w:rsidR="001D01C0" w:rsidRPr="00910D76" w:rsidRDefault="001D01C0" w:rsidP="008275D7">
            <w:pPr>
              <w:spacing w:line="480" w:lineRule="auto"/>
              <w:jc w:val="both"/>
              <w:rPr>
                <w:rFonts w:cstheme="minorHAnsi"/>
                <w:b/>
              </w:rPr>
            </w:pPr>
            <w:r w:rsidRPr="00910D76">
              <w:rPr>
                <w:rFonts w:cstheme="minorHAnsi"/>
                <w:b/>
              </w:rPr>
              <w:t>Column programme</w:t>
            </w:r>
          </w:p>
        </w:tc>
        <w:tc>
          <w:tcPr>
            <w:tcW w:w="6186" w:type="dxa"/>
          </w:tcPr>
          <w:p w14:paraId="16BDE878" w14:textId="1EDFFB71" w:rsidR="001D01C0" w:rsidRPr="00910D76" w:rsidRDefault="001D01C0" w:rsidP="008275D7">
            <w:pPr>
              <w:spacing w:line="480" w:lineRule="auto"/>
              <w:jc w:val="both"/>
              <w:rPr>
                <w:rFonts w:cstheme="minorHAnsi"/>
                <w:bCs/>
              </w:rPr>
            </w:pPr>
            <w:r w:rsidRPr="00910D76">
              <w:rPr>
                <w:rFonts w:eastAsia="Calibri" w:cstheme="minorHAnsi"/>
                <w:bCs/>
              </w:rPr>
              <w:t>80°C for 1 min, ramp at 15</w:t>
            </w:r>
            <w:r w:rsidR="009E0BA0" w:rsidRPr="00910D76">
              <w:rPr>
                <w:rFonts w:eastAsia="Calibri" w:cstheme="minorHAnsi"/>
                <w:bCs/>
              </w:rPr>
              <w:t xml:space="preserve"> </w:t>
            </w:r>
            <w:r w:rsidRPr="00910D76">
              <w:rPr>
                <w:rFonts w:eastAsia="Calibri" w:cstheme="minorHAnsi"/>
                <w:bCs/>
              </w:rPr>
              <w:t>°C</w:t>
            </w:r>
            <w:r w:rsidR="009E0BA0" w:rsidRPr="00910D76">
              <w:rPr>
                <w:rFonts w:eastAsia="Calibri" w:cstheme="minorHAnsi"/>
                <w:bCs/>
              </w:rPr>
              <w:t>·</w:t>
            </w:r>
            <w:r w:rsidRPr="00910D76">
              <w:rPr>
                <w:rFonts w:eastAsia="Calibri" w:cstheme="minorHAnsi"/>
                <w:bCs/>
              </w:rPr>
              <w:t>min</w:t>
            </w:r>
            <w:r w:rsidR="009E0BA0" w:rsidRPr="00910D76">
              <w:rPr>
                <w:rFonts w:eastAsia="Calibri" w:cstheme="minorHAnsi"/>
                <w:bCs/>
                <w:vertAlign w:val="superscript"/>
              </w:rPr>
              <w:t>-1</w:t>
            </w:r>
            <w:r w:rsidRPr="00910D76">
              <w:rPr>
                <w:rFonts w:eastAsia="Calibri" w:cstheme="minorHAnsi"/>
                <w:bCs/>
              </w:rPr>
              <w:t xml:space="preserve"> until 300</w:t>
            </w:r>
            <w:r w:rsidR="009E0BA0" w:rsidRPr="00910D76">
              <w:rPr>
                <w:rFonts w:eastAsia="Calibri" w:cstheme="minorHAnsi"/>
                <w:bCs/>
              </w:rPr>
              <w:t xml:space="preserve"> </w:t>
            </w:r>
            <w:r w:rsidRPr="00910D76">
              <w:rPr>
                <w:rFonts w:eastAsia="Calibri" w:cstheme="minorHAnsi"/>
                <w:bCs/>
              </w:rPr>
              <w:t xml:space="preserve">°C and hold for 5 mins </w:t>
            </w:r>
          </w:p>
        </w:tc>
      </w:tr>
      <w:tr w:rsidR="001D01C0" w:rsidRPr="00910D76" w14:paraId="7DAA0F8E" w14:textId="77777777" w:rsidTr="001D01C0">
        <w:tc>
          <w:tcPr>
            <w:tcW w:w="2830" w:type="dxa"/>
          </w:tcPr>
          <w:p w14:paraId="2A9ADED3" w14:textId="697B3956" w:rsidR="001D01C0" w:rsidRPr="00910D76" w:rsidRDefault="001D01C0" w:rsidP="008275D7">
            <w:pPr>
              <w:spacing w:line="480" w:lineRule="auto"/>
              <w:jc w:val="both"/>
              <w:rPr>
                <w:rFonts w:cstheme="minorHAnsi"/>
                <w:b/>
              </w:rPr>
            </w:pPr>
            <w:r w:rsidRPr="00910D76">
              <w:rPr>
                <w:rFonts w:cstheme="minorHAnsi"/>
                <w:b/>
              </w:rPr>
              <w:t>Injection port temperature</w:t>
            </w:r>
          </w:p>
        </w:tc>
        <w:tc>
          <w:tcPr>
            <w:tcW w:w="6186" w:type="dxa"/>
          </w:tcPr>
          <w:p w14:paraId="126311AF" w14:textId="1CC23153" w:rsidR="001D01C0" w:rsidRPr="00910D76" w:rsidRDefault="001D01C0" w:rsidP="008275D7">
            <w:pPr>
              <w:spacing w:line="480" w:lineRule="auto"/>
              <w:jc w:val="both"/>
              <w:rPr>
                <w:rFonts w:cstheme="minorHAnsi"/>
                <w:bCs/>
              </w:rPr>
            </w:pPr>
            <w:r w:rsidRPr="00910D76">
              <w:rPr>
                <w:rFonts w:eastAsia="Calibri" w:cstheme="minorHAnsi"/>
                <w:bCs/>
              </w:rPr>
              <w:t>250</w:t>
            </w:r>
            <w:r w:rsidR="009E0BA0" w:rsidRPr="00910D76">
              <w:rPr>
                <w:rFonts w:eastAsia="Calibri" w:cstheme="minorHAnsi"/>
                <w:bCs/>
              </w:rPr>
              <w:t xml:space="preserve"> </w:t>
            </w:r>
            <w:r w:rsidRPr="00910D76">
              <w:rPr>
                <w:rFonts w:eastAsia="Calibri" w:cstheme="minorHAnsi"/>
                <w:bCs/>
              </w:rPr>
              <w:t>°C</w:t>
            </w:r>
          </w:p>
        </w:tc>
      </w:tr>
      <w:tr w:rsidR="001D01C0" w:rsidRPr="00910D76" w14:paraId="75DAC935" w14:textId="77777777" w:rsidTr="001D01C0">
        <w:tc>
          <w:tcPr>
            <w:tcW w:w="2830" w:type="dxa"/>
          </w:tcPr>
          <w:p w14:paraId="0023C881" w14:textId="3888E0F4" w:rsidR="001D01C0" w:rsidRPr="00910D76" w:rsidRDefault="001D01C0" w:rsidP="008275D7">
            <w:pPr>
              <w:spacing w:line="480" w:lineRule="auto"/>
              <w:jc w:val="both"/>
              <w:rPr>
                <w:rFonts w:cstheme="minorHAnsi"/>
                <w:b/>
              </w:rPr>
            </w:pPr>
            <w:r w:rsidRPr="00910D76">
              <w:rPr>
                <w:rFonts w:cstheme="minorHAnsi"/>
                <w:b/>
              </w:rPr>
              <w:t>Transfer line temperature</w:t>
            </w:r>
          </w:p>
        </w:tc>
        <w:tc>
          <w:tcPr>
            <w:tcW w:w="6186" w:type="dxa"/>
          </w:tcPr>
          <w:p w14:paraId="77CFB189" w14:textId="5AFDD8CB" w:rsidR="001D01C0" w:rsidRPr="00910D76" w:rsidRDefault="001D01C0" w:rsidP="008275D7">
            <w:pPr>
              <w:spacing w:line="480" w:lineRule="auto"/>
              <w:jc w:val="both"/>
              <w:rPr>
                <w:rFonts w:cstheme="minorHAnsi"/>
                <w:bCs/>
              </w:rPr>
            </w:pPr>
            <w:r w:rsidRPr="00910D76">
              <w:rPr>
                <w:rFonts w:eastAsia="Calibri" w:cstheme="minorHAnsi"/>
                <w:bCs/>
              </w:rPr>
              <w:t>280</w:t>
            </w:r>
            <w:r w:rsidR="009E0BA0" w:rsidRPr="00910D76">
              <w:rPr>
                <w:rFonts w:eastAsia="Calibri" w:cstheme="minorHAnsi"/>
                <w:bCs/>
              </w:rPr>
              <w:t xml:space="preserve"> </w:t>
            </w:r>
            <w:r w:rsidRPr="00910D76">
              <w:rPr>
                <w:rFonts w:eastAsia="Calibri" w:cstheme="minorHAnsi"/>
                <w:bCs/>
              </w:rPr>
              <w:t>°C</w:t>
            </w:r>
          </w:p>
        </w:tc>
      </w:tr>
      <w:tr w:rsidR="001D01C0" w:rsidRPr="00910D76" w14:paraId="7E160781" w14:textId="77777777" w:rsidTr="001D01C0">
        <w:tc>
          <w:tcPr>
            <w:tcW w:w="2830" w:type="dxa"/>
          </w:tcPr>
          <w:p w14:paraId="6565E8D1" w14:textId="53F7B834" w:rsidR="001D01C0" w:rsidRPr="00910D76" w:rsidRDefault="001D01C0" w:rsidP="008275D7">
            <w:pPr>
              <w:spacing w:line="480" w:lineRule="auto"/>
              <w:jc w:val="both"/>
              <w:rPr>
                <w:rFonts w:cstheme="minorHAnsi"/>
                <w:b/>
              </w:rPr>
            </w:pPr>
            <w:r w:rsidRPr="00910D76">
              <w:rPr>
                <w:rFonts w:cstheme="minorHAnsi"/>
                <w:b/>
              </w:rPr>
              <w:t>Injection volume and mode</w:t>
            </w:r>
          </w:p>
        </w:tc>
        <w:tc>
          <w:tcPr>
            <w:tcW w:w="6186" w:type="dxa"/>
          </w:tcPr>
          <w:p w14:paraId="11A18FCB" w14:textId="2A43BBC5" w:rsidR="001D01C0" w:rsidRPr="00910D76" w:rsidRDefault="001D01C0" w:rsidP="008275D7">
            <w:pPr>
              <w:spacing w:line="480" w:lineRule="auto"/>
              <w:jc w:val="both"/>
              <w:rPr>
                <w:rFonts w:cstheme="minorHAnsi"/>
                <w:bCs/>
              </w:rPr>
            </w:pPr>
            <w:r w:rsidRPr="00910D76">
              <w:rPr>
                <w:rFonts w:eastAsia="Calibri" w:cstheme="minorHAnsi"/>
                <w:bCs/>
              </w:rPr>
              <w:t xml:space="preserve">1 </w:t>
            </w:r>
            <w:proofErr w:type="spellStart"/>
            <w:r w:rsidRPr="00910D76">
              <w:rPr>
                <w:rFonts w:eastAsia="Calibri" w:cstheme="minorHAnsi"/>
                <w:bCs/>
              </w:rPr>
              <w:t>μL</w:t>
            </w:r>
            <w:proofErr w:type="spellEnd"/>
            <w:r w:rsidRPr="00910D76">
              <w:rPr>
                <w:rFonts w:eastAsia="Calibri" w:cstheme="minorHAnsi"/>
                <w:bCs/>
              </w:rPr>
              <w:t>, 50:1 split mode</w:t>
            </w:r>
          </w:p>
        </w:tc>
      </w:tr>
      <w:tr w:rsidR="001D01C0" w:rsidRPr="00910D76" w14:paraId="64353196" w14:textId="77777777" w:rsidTr="001D01C0">
        <w:tc>
          <w:tcPr>
            <w:tcW w:w="2830" w:type="dxa"/>
          </w:tcPr>
          <w:p w14:paraId="2E2AD8E0" w14:textId="00203068" w:rsidR="001D01C0" w:rsidRPr="00910D76" w:rsidRDefault="001D01C0" w:rsidP="008275D7">
            <w:pPr>
              <w:spacing w:line="480" w:lineRule="auto"/>
              <w:jc w:val="both"/>
              <w:rPr>
                <w:rFonts w:cstheme="minorHAnsi"/>
                <w:b/>
              </w:rPr>
            </w:pPr>
            <w:r w:rsidRPr="00910D76">
              <w:rPr>
                <w:rFonts w:cstheme="minorHAnsi"/>
                <w:b/>
              </w:rPr>
              <w:t>Carrier gas flow rate</w:t>
            </w:r>
          </w:p>
        </w:tc>
        <w:tc>
          <w:tcPr>
            <w:tcW w:w="6186" w:type="dxa"/>
          </w:tcPr>
          <w:p w14:paraId="3CCECA57" w14:textId="0384F83B" w:rsidR="001D01C0" w:rsidRPr="00910D76" w:rsidRDefault="001D01C0" w:rsidP="008275D7">
            <w:pPr>
              <w:spacing w:line="480" w:lineRule="auto"/>
              <w:jc w:val="both"/>
              <w:rPr>
                <w:rFonts w:cstheme="minorHAnsi"/>
                <w:bCs/>
              </w:rPr>
            </w:pPr>
            <w:r w:rsidRPr="00910D76">
              <w:rPr>
                <w:rFonts w:eastAsia="Calibri" w:cstheme="minorHAnsi"/>
                <w:bCs/>
              </w:rPr>
              <w:t>Helium at 1 ml</w:t>
            </w:r>
            <w:r w:rsidR="009E0BA0" w:rsidRPr="00910D76">
              <w:rPr>
                <w:rFonts w:eastAsia="Calibri" w:cstheme="minorHAnsi"/>
                <w:bCs/>
              </w:rPr>
              <w:t>·</w:t>
            </w:r>
            <w:proofErr w:type="gramStart"/>
            <w:r w:rsidRPr="00910D76">
              <w:rPr>
                <w:rFonts w:eastAsia="Calibri" w:cstheme="minorHAnsi"/>
                <w:bCs/>
              </w:rPr>
              <w:t>min</w:t>
            </w:r>
            <w:r w:rsidR="009E0BA0" w:rsidRPr="00910D76">
              <w:rPr>
                <w:rFonts w:eastAsia="Calibri" w:cstheme="minorHAnsi"/>
                <w:bCs/>
                <w:vertAlign w:val="superscript"/>
              </w:rPr>
              <w:t>-1</w:t>
            </w:r>
            <w:proofErr w:type="gramEnd"/>
          </w:p>
        </w:tc>
      </w:tr>
    </w:tbl>
    <w:p w14:paraId="029B2D22" w14:textId="77777777" w:rsidR="001D01C0" w:rsidRPr="00910D76" w:rsidRDefault="001D01C0" w:rsidP="008275D7">
      <w:pPr>
        <w:spacing w:after="0" w:line="480" w:lineRule="auto"/>
        <w:jc w:val="both"/>
        <w:rPr>
          <w:rFonts w:cstheme="minorHAnsi"/>
          <w:bCs/>
        </w:rPr>
      </w:pPr>
    </w:p>
    <w:p w14:paraId="161F2B33" w14:textId="6E063B09" w:rsidR="001D01C0" w:rsidRPr="00910D76" w:rsidRDefault="001D01C0" w:rsidP="008275D7">
      <w:pPr>
        <w:spacing w:after="0" w:line="480" w:lineRule="auto"/>
        <w:jc w:val="both"/>
        <w:rPr>
          <w:rFonts w:cstheme="minorHAnsi"/>
          <w:b/>
        </w:rPr>
      </w:pPr>
      <w:r w:rsidRPr="00910D76">
        <w:rPr>
          <w:rFonts w:cstheme="minorHAnsi"/>
          <w:b/>
        </w:rPr>
        <w:t xml:space="preserve">b) </w:t>
      </w:r>
    </w:p>
    <w:tbl>
      <w:tblPr>
        <w:tblStyle w:val="TableGrid"/>
        <w:tblW w:w="0" w:type="auto"/>
        <w:tblLook w:val="04A0" w:firstRow="1" w:lastRow="0" w:firstColumn="1" w:lastColumn="0" w:noHBand="0" w:noVBand="1"/>
      </w:tblPr>
      <w:tblGrid>
        <w:gridCol w:w="2830"/>
        <w:gridCol w:w="6186"/>
      </w:tblGrid>
      <w:tr w:rsidR="001D01C0" w:rsidRPr="00910D76" w14:paraId="7BF6F49A" w14:textId="77777777" w:rsidTr="001D01C0">
        <w:tc>
          <w:tcPr>
            <w:tcW w:w="2830" w:type="dxa"/>
          </w:tcPr>
          <w:p w14:paraId="601A94E5" w14:textId="66522367" w:rsidR="001D01C0" w:rsidRPr="00910D76" w:rsidRDefault="001D01C0" w:rsidP="008275D7">
            <w:pPr>
              <w:spacing w:line="480" w:lineRule="auto"/>
              <w:jc w:val="both"/>
              <w:rPr>
                <w:rFonts w:cstheme="minorHAnsi"/>
                <w:b/>
              </w:rPr>
            </w:pPr>
            <w:r w:rsidRPr="00910D76">
              <w:rPr>
                <w:rFonts w:cstheme="minorHAnsi"/>
                <w:b/>
              </w:rPr>
              <w:t>Ionization energy</w:t>
            </w:r>
          </w:p>
        </w:tc>
        <w:tc>
          <w:tcPr>
            <w:tcW w:w="6186" w:type="dxa"/>
          </w:tcPr>
          <w:p w14:paraId="76CEF0C0" w14:textId="52A136BE" w:rsidR="001D01C0" w:rsidRPr="00910D76" w:rsidRDefault="001D01C0" w:rsidP="008275D7">
            <w:pPr>
              <w:spacing w:line="480" w:lineRule="auto"/>
              <w:jc w:val="both"/>
              <w:rPr>
                <w:rFonts w:cstheme="minorHAnsi"/>
                <w:bCs/>
              </w:rPr>
            </w:pPr>
            <w:r w:rsidRPr="00910D76">
              <w:rPr>
                <w:rFonts w:cstheme="minorHAnsi"/>
                <w:bCs/>
              </w:rPr>
              <w:t xml:space="preserve">70 </w:t>
            </w:r>
            <w:r w:rsidR="00E6338E" w:rsidRPr="00910D76">
              <w:rPr>
                <w:rFonts w:cstheme="minorHAnsi"/>
                <w:bCs/>
              </w:rPr>
              <w:t>eV</w:t>
            </w:r>
          </w:p>
        </w:tc>
      </w:tr>
      <w:tr w:rsidR="001D01C0" w:rsidRPr="00910D76" w14:paraId="0D2E4F7B" w14:textId="77777777" w:rsidTr="001D01C0">
        <w:tc>
          <w:tcPr>
            <w:tcW w:w="2830" w:type="dxa"/>
          </w:tcPr>
          <w:p w14:paraId="4C12A5B7" w14:textId="75E0220D" w:rsidR="001D01C0" w:rsidRPr="00910D76" w:rsidRDefault="001D01C0" w:rsidP="008275D7">
            <w:pPr>
              <w:spacing w:line="480" w:lineRule="auto"/>
              <w:jc w:val="both"/>
              <w:rPr>
                <w:rFonts w:cstheme="minorHAnsi"/>
                <w:b/>
              </w:rPr>
            </w:pPr>
            <w:r w:rsidRPr="00910D76">
              <w:rPr>
                <w:rFonts w:cstheme="minorHAnsi"/>
                <w:b/>
              </w:rPr>
              <w:t>Solvent delay</w:t>
            </w:r>
          </w:p>
        </w:tc>
        <w:tc>
          <w:tcPr>
            <w:tcW w:w="6186" w:type="dxa"/>
          </w:tcPr>
          <w:p w14:paraId="026C3B5F" w14:textId="7D46A47F" w:rsidR="001D01C0" w:rsidRPr="00910D76" w:rsidRDefault="001D01C0" w:rsidP="008275D7">
            <w:pPr>
              <w:spacing w:line="480" w:lineRule="auto"/>
              <w:jc w:val="both"/>
              <w:rPr>
                <w:rFonts w:cstheme="minorHAnsi"/>
                <w:bCs/>
              </w:rPr>
            </w:pPr>
            <w:r w:rsidRPr="00910D76">
              <w:rPr>
                <w:rFonts w:cstheme="minorHAnsi"/>
                <w:bCs/>
              </w:rPr>
              <w:t>2 mins</w:t>
            </w:r>
          </w:p>
        </w:tc>
      </w:tr>
      <w:tr w:rsidR="001D01C0" w:rsidRPr="00910D76" w14:paraId="518F00DA" w14:textId="77777777" w:rsidTr="001D01C0">
        <w:tc>
          <w:tcPr>
            <w:tcW w:w="2830" w:type="dxa"/>
          </w:tcPr>
          <w:p w14:paraId="44ABDC5B" w14:textId="1278B1EE" w:rsidR="001D01C0" w:rsidRPr="00910D76" w:rsidRDefault="001D01C0" w:rsidP="008275D7">
            <w:pPr>
              <w:spacing w:line="480" w:lineRule="auto"/>
              <w:jc w:val="both"/>
              <w:rPr>
                <w:rFonts w:cstheme="minorHAnsi"/>
                <w:b/>
              </w:rPr>
            </w:pPr>
            <w:r w:rsidRPr="00910D76">
              <w:rPr>
                <w:rFonts w:cstheme="minorHAnsi"/>
                <w:b/>
              </w:rPr>
              <w:t>Scan range</w:t>
            </w:r>
          </w:p>
        </w:tc>
        <w:tc>
          <w:tcPr>
            <w:tcW w:w="6186" w:type="dxa"/>
          </w:tcPr>
          <w:p w14:paraId="10316226" w14:textId="28096235" w:rsidR="001D01C0" w:rsidRPr="00910D76" w:rsidRDefault="001D01C0" w:rsidP="008275D7">
            <w:pPr>
              <w:spacing w:line="480" w:lineRule="auto"/>
              <w:jc w:val="both"/>
              <w:rPr>
                <w:rFonts w:cstheme="minorHAnsi"/>
                <w:bCs/>
              </w:rPr>
            </w:pPr>
            <w:r w:rsidRPr="00910D76">
              <w:rPr>
                <w:rFonts w:cstheme="minorHAnsi"/>
                <w:bCs/>
              </w:rPr>
              <w:t>50-500 amu</w:t>
            </w:r>
          </w:p>
        </w:tc>
      </w:tr>
      <w:tr w:rsidR="001D01C0" w:rsidRPr="00910D76" w14:paraId="33030C6A" w14:textId="77777777" w:rsidTr="001D01C0">
        <w:tc>
          <w:tcPr>
            <w:tcW w:w="2830" w:type="dxa"/>
          </w:tcPr>
          <w:p w14:paraId="76209C1C" w14:textId="076088E5" w:rsidR="001D01C0" w:rsidRPr="00910D76" w:rsidRDefault="001D01C0" w:rsidP="008275D7">
            <w:pPr>
              <w:spacing w:line="480" w:lineRule="auto"/>
              <w:jc w:val="both"/>
              <w:rPr>
                <w:rFonts w:cstheme="minorHAnsi"/>
                <w:b/>
              </w:rPr>
            </w:pPr>
            <w:r w:rsidRPr="00910D76">
              <w:rPr>
                <w:rFonts w:cstheme="minorHAnsi"/>
                <w:b/>
              </w:rPr>
              <w:t>Ion source</w:t>
            </w:r>
          </w:p>
        </w:tc>
        <w:tc>
          <w:tcPr>
            <w:tcW w:w="6186" w:type="dxa"/>
          </w:tcPr>
          <w:p w14:paraId="5C11D41C" w14:textId="40F81E69" w:rsidR="001D01C0" w:rsidRPr="00910D76" w:rsidRDefault="001D01C0" w:rsidP="008275D7">
            <w:pPr>
              <w:spacing w:line="480" w:lineRule="auto"/>
              <w:jc w:val="both"/>
              <w:rPr>
                <w:rFonts w:cstheme="minorHAnsi"/>
                <w:bCs/>
              </w:rPr>
            </w:pPr>
            <w:r w:rsidRPr="00910D76">
              <w:rPr>
                <w:rFonts w:cstheme="minorHAnsi"/>
                <w:bCs/>
              </w:rPr>
              <w:t>70 eV, 230</w:t>
            </w:r>
            <w:r w:rsidR="009E0BA0" w:rsidRPr="00910D76">
              <w:rPr>
                <w:rFonts w:cstheme="minorHAnsi"/>
                <w:bCs/>
              </w:rPr>
              <w:t xml:space="preserve"> </w:t>
            </w:r>
            <w:proofErr w:type="spellStart"/>
            <w:r w:rsidRPr="00910D76">
              <w:rPr>
                <w:rFonts w:cstheme="minorHAnsi"/>
                <w:bCs/>
                <w:vertAlign w:val="superscript"/>
              </w:rPr>
              <w:t>o</w:t>
            </w:r>
            <w:r w:rsidRPr="00910D76">
              <w:rPr>
                <w:rFonts w:cstheme="minorHAnsi"/>
                <w:bCs/>
              </w:rPr>
              <w:t>C</w:t>
            </w:r>
            <w:proofErr w:type="spellEnd"/>
          </w:p>
        </w:tc>
      </w:tr>
    </w:tbl>
    <w:p w14:paraId="2A8D74C7" w14:textId="77777777" w:rsidR="001F7488" w:rsidRPr="00910D76" w:rsidRDefault="001F7488" w:rsidP="008275D7">
      <w:pPr>
        <w:spacing w:after="0" w:line="480" w:lineRule="auto"/>
        <w:jc w:val="both"/>
        <w:rPr>
          <w:rFonts w:cstheme="minorHAnsi"/>
          <w:b/>
        </w:rPr>
      </w:pPr>
    </w:p>
    <w:p w14:paraId="34205D81" w14:textId="77777777" w:rsidR="00DC0064" w:rsidRDefault="00DC0064" w:rsidP="008275D7">
      <w:pPr>
        <w:spacing w:after="0" w:line="480" w:lineRule="auto"/>
        <w:jc w:val="both"/>
        <w:rPr>
          <w:rFonts w:cstheme="minorHAnsi"/>
          <w:b/>
        </w:rPr>
      </w:pPr>
    </w:p>
    <w:p w14:paraId="6D68F7FB" w14:textId="77777777" w:rsidR="00DC0064" w:rsidRDefault="00DC0064" w:rsidP="008275D7">
      <w:pPr>
        <w:spacing w:after="0" w:line="480" w:lineRule="auto"/>
        <w:jc w:val="both"/>
        <w:rPr>
          <w:rFonts w:cstheme="minorHAnsi"/>
          <w:b/>
        </w:rPr>
      </w:pPr>
    </w:p>
    <w:p w14:paraId="2B6CC3ED" w14:textId="77777777" w:rsidR="00DC0064" w:rsidRDefault="00DC0064" w:rsidP="008275D7">
      <w:pPr>
        <w:spacing w:after="0" w:line="480" w:lineRule="auto"/>
        <w:jc w:val="both"/>
        <w:rPr>
          <w:rFonts w:cstheme="minorHAnsi"/>
          <w:b/>
        </w:rPr>
      </w:pPr>
    </w:p>
    <w:p w14:paraId="069CDE86" w14:textId="77777777" w:rsidR="00DC0064" w:rsidRDefault="00DC0064" w:rsidP="008275D7">
      <w:pPr>
        <w:spacing w:after="0" w:line="480" w:lineRule="auto"/>
        <w:jc w:val="both"/>
        <w:rPr>
          <w:rFonts w:cstheme="minorHAnsi"/>
          <w:b/>
        </w:rPr>
      </w:pPr>
    </w:p>
    <w:p w14:paraId="781A766C" w14:textId="77777777" w:rsidR="00DC0064" w:rsidRDefault="00DC0064" w:rsidP="008275D7">
      <w:pPr>
        <w:spacing w:after="0" w:line="480" w:lineRule="auto"/>
        <w:jc w:val="both"/>
        <w:rPr>
          <w:rFonts w:cstheme="minorHAnsi"/>
          <w:b/>
        </w:rPr>
      </w:pPr>
    </w:p>
    <w:p w14:paraId="28E9DB32" w14:textId="77777777" w:rsidR="00DC0064" w:rsidRDefault="00DC0064" w:rsidP="008275D7">
      <w:pPr>
        <w:spacing w:after="0" w:line="480" w:lineRule="auto"/>
        <w:jc w:val="both"/>
        <w:rPr>
          <w:rFonts w:cstheme="minorHAnsi"/>
          <w:b/>
        </w:rPr>
      </w:pPr>
    </w:p>
    <w:p w14:paraId="2184AFFC" w14:textId="2A3E08F1" w:rsidR="001F7488" w:rsidRPr="00910D76" w:rsidRDefault="001F7488" w:rsidP="008275D7">
      <w:pPr>
        <w:spacing w:after="0" w:line="480" w:lineRule="auto"/>
        <w:jc w:val="both"/>
        <w:rPr>
          <w:rFonts w:cstheme="minorHAnsi"/>
          <w:lang w:val="en-US"/>
        </w:rPr>
      </w:pPr>
      <w:r w:rsidRPr="00910D76">
        <w:rPr>
          <w:rFonts w:cstheme="minorHAnsi"/>
          <w:b/>
        </w:rPr>
        <w:lastRenderedPageBreak/>
        <w:t>Table 2: The effect of the antioxidant, NAC, on GSH, CAT and SOD activity and ROS accumulation in HepG2 cells.</w:t>
      </w:r>
      <w:r w:rsidRPr="00910D76">
        <w:rPr>
          <w:rFonts w:cstheme="minorHAnsi"/>
          <w:i/>
          <w:iCs/>
        </w:rPr>
        <w:t xml:space="preserve"> </w:t>
      </w:r>
      <w:r w:rsidRPr="00910D76">
        <w:rPr>
          <w:rFonts w:cstheme="minorHAnsi"/>
        </w:rPr>
        <w:t>GSH, CAT, SOD activity and ROS accumulation were assessed in HepG2 following exposure to GTE1 or GTE2 in the presence and absence of the antioxidant N-</w:t>
      </w:r>
      <w:proofErr w:type="gramStart"/>
      <w:r w:rsidRPr="00910D76">
        <w:rPr>
          <w:rFonts w:cstheme="minorHAnsi"/>
        </w:rPr>
        <w:t>acetyl-cysteine</w:t>
      </w:r>
      <w:proofErr w:type="gramEnd"/>
      <w:r w:rsidRPr="00910D76">
        <w:rPr>
          <w:rFonts w:cstheme="minorHAnsi"/>
        </w:rPr>
        <w:t xml:space="preserve"> (NAC) for 24 h. </w:t>
      </w:r>
      <w:bookmarkStart w:id="4" w:name="OLE_LINK5"/>
      <w:r w:rsidRPr="00910D76">
        <w:rPr>
          <w:rFonts w:cstheme="minorHAnsi"/>
          <w:lang w:val="en-US"/>
        </w:rPr>
        <w:t>Data are presented as mean ± SEM. *p&lt;0.05 versus vehicle for NAC, #p&lt;0.05 versus vehicle for GTE.</w:t>
      </w:r>
      <w:bookmarkEnd w:id="4"/>
    </w:p>
    <w:p w14:paraId="0A5024F4" w14:textId="77777777" w:rsidR="00E27359" w:rsidRPr="00910D76" w:rsidRDefault="00E27359" w:rsidP="008275D7">
      <w:pPr>
        <w:spacing w:after="0" w:line="480" w:lineRule="auto"/>
        <w:jc w:val="both"/>
        <w:rPr>
          <w:rFonts w:cstheme="minorHAnsi"/>
        </w:rPr>
      </w:pPr>
    </w:p>
    <w:tbl>
      <w:tblPr>
        <w:tblStyle w:val="TableGrid"/>
        <w:tblW w:w="10208" w:type="dxa"/>
        <w:jc w:val="center"/>
        <w:tblLayout w:type="fixed"/>
        <w:tblLook w:val="04A0" w:firstRow="1" w:lastRow="0" w:firstColumn="1" w:lastColumn="0" w:noHBand="0" w:noVBand="1"/>
      </w:tblPr>
      <w:tblGrid>
        <w:gridCol w:w="1696"/>
        <w:gridCol w:w="1276"/>
        <w:gridCol w:w="1418"/>
        <w:gridCol w:w="1275"/>
        <w:gridCol w:w="1418"/>
        <w:gridCol w:w="1559"/>
        <w:gridCol w:w="1566"/>
      </w:tblGrid>
      <w:tr w:rsidR="001F7488" w:rsidRPr="00910D76" w14:paraId="3D3205BE" w14:textId="77777777" w:rsidTr="00846069">
        <w:trPr>
          <w:trHeight w:val="338"/>
          <w:jc w:val="center"/>
        </w:trPr>
        <w:tc>
          <w:tcPr>
            <w:tcW w:w="1696" w:type="dxa"/>
            <w:vAlign w:val="center"/>
          </w:tcPr>
          <w:p w14:paraId="7A602A8A" w14:textId="77777777" w:rsidR="001F7488" w:rsidRPr="00910D76" w:rsidRDefault="001F7488" w:rsidP="008275D7">
            <w:pPr>
              <w:spacing w:line="480" w:lineRule="auto"/>
              <w:jc w:val="both"/>
              <w:rPr>
                <w:rFonts w:cstheme="minorHAnsi"/>
                <w:b/>
              </w:rPr>
            </w:pPr>
          </w:p>
        </w:tc>
        <w:tc>
          <w:tcPr>
            <w:tcW w:w="2694" w:type="dxa"/>
            <w:gridSpan w:val="2"/>
            <w:vAlign w:val="center"/>
          </w:tcPr>
          <w:p w14:paraId="564CE1B9" w14:textId="77777777" w:rsidR="001F7488" w:rsidRPr="00910D76" w:rsidRDefault="001F7488" w:rsidP="008275D7">
            <w:pPr>
              <w:spacing w:line="480" w:lineRule="auto"/>
              <w:jc w:val="both"/>
              <w:rPr>
                <w:rFonts w:cstheme="minorHAnsi"/>
                <w:b/>
              </w:rPr>
            </w:pPr>
            <w:r w:rsidRPr="00910D76">
              <w:rPr>
                <w:rFonts w:cstheme="minorHAnsi"/>
                <w:b/>
              </w:rPr>
              <w:t>Vehicle</w:t>
            </w:r>
          </w:p>
        </w:tc>
        <w:tc>
          <w:tcPr>
            <w:tcW w:w="2693" w:type="dxa"/>
            <w:gridSpan w:val="2"/>
            <w:vAlign w:val="center"/>
          </w:tcPr>
          <w:p w14:paraId="5E7C5E22" w14:textId="151B11BC" w:rsidR="001F7488" w:rsidRPr="00910D76" w:rsidRDefault="009E0BA0" w:rsidP="008275D7">
            <w:pPr>
              <w:spacing w:line="480" w:lineRule="auto"/>
              <w:jc w:val="both"/>
              <w:rPr>
                <w:rFonts w:cstheme="minorHAnsi"/>
                <w:b/>
              </w:rPr>
            </w:pPr>
            <w:r w:rsidRPr="00910D76">
              <w:rPr>
                <w:rFonts w:cstheme="minorHAnsi"/>
                <w:b/>
              </w:rPr>
              <w:t>d</w:t>
            </w:r>
            <w:r w:rsidR="001F7488" w:rsidRPr="00910D76">
              <w:rPr>
                <w:rFonts w:cstheme="minorHAnsi"/>
                <w:b/>
              </w:rPr>
              <w:t>GTE1</w:t>
            </w:r>
          </w:p>
        </w:tc>
        <w:tc>
          <w:tcPr>
            <w:tcW w:w="3125" w:type="dxa"/>
            <w:gridSpan w:val="2"/>
            <w:vAlign w:val="center"/>
          </w:tcPr>
          <w:p w14:paraId="643415B7" w14:textId="5995DA64" w:rsidR="001F7488" w:rsidRPr="00910D76" w:rsidRDefault="009E0BA0" w:rsidP="008275D7">
            <w:pPr>
              <w:spacing w:line="480" w:lineRule="auto"/>
              <w:jc w:val="both"/>
              <w:rPr>
                <w:rFonts w:cstheme="minorHAnsi"/>
                <w:b/>
              </w:rPr>
            </w:pPr>
            <w:r w:rsidRPr="00910D76">
              <w:rPr>
                <w:rFonts w:cstheme="minorHAnsi"/>
                <w:b/>
              </w:rPr>
              <w:t>d</w:t>
            </w:r>
            <w:r w:rsidR="001F7488" w:rsidRPr="00910D76">
              <w:rPr>
                <w:rFonts w:cstheme="minorHAnsi"/>
                <w:b/>
              </w:rPr>
              <w:t>GTE2</w:t>
            </w:r>
          </w:p>
        </w:tc>
      </w:tr>
      <w:tr w:rsidR="001F7488" w:rsidRPr="00910D76" w14:paraId="0270E0EB" w14:textId="77777777" w:rsidTr="00846069">
        <w:trPr>
          <w:trHeight w:val="20"/>
          <w:jc w:val="center"/>
        </w:trPr>
        <w:tc>
          <w:tcPr>
            <w:tcW w:w="1696" w:type="dxa"/>
            <w:vAlign w:val="center"/>
          </w:tcPr>
          <w:p w14:paraId="431311F4" w14:textId="77777777" w:rsidR="001F7488" w:rsidRPr="00910D76" w:rsidRDefault="001F7488" w:rsidP="008275D7">
            <w:pPr>
              <w:spacing w:line="480" w:lineRule="auto"/>
              <w:jc w:val="both"/>
              <w:rPr>
                <w:rFonts w:cstheme="minorHAnsi"/>
                <w:b/>
              </w:rPr>
            </w:pPr>
          </w:p>
        </w:tc>
        <w:tc>
          <w:tcPr>
            <w:tcW w:w="1276" w:type="dxa"/>
            <w:vAlign w:val="center"/>
          </w:tcPr>
          <w:p w14:paraId="4DA4A5DE" w14:textId="77777777" w:rsidR="001F7488" w:rsidRPr="00910D76" w:rsidRDefault="001F7488" w:rsidP="008275D7">
            <w:pPr>
              <w:spacing w:line="480" w:lineRule="auto"/>
              <w:jc w:val="both"/>
              <w:rPr>
                <w:rFonts w:cstheme="minorHAnsi"/>
                <w:b/>
              </w:rPr>
            </w:pPr>
            <w:r w:rsidRPr="00910D76">
              <w:rPr>
                <w:rFonts w:cstheme="minorHAnsi"/>
                <w:b/>
              </w:rPr>
              <w:t>Vehicle</w:t>
            </w:r>
          </w:p>
        </w:tc>
        <w:tc>
          <w:tcPr>
            <w:tcW w:w="1418" w:type="dxa"/>
            <w:vAlign w:val="center"/>
          </w:tcPr>
          <w:p w14:paraId="407C0286" w14:textId="77777777" w:rsidR="001F7488" w:rsidRPr="00910D76" w:rsidRDefault="001F7488" w:rsidP="008275D7">
            <w:pPr>
              <w:spacing w:line="480" w:lineRule="auto"/>
              <w:jc w:val="both"/>
              <w:rPr>
                <w:rFonts w:cstheme="minorHAnsi"/>
                <w:b/>
              </w:rPr>
            </w:pPr>
            <w:r w:rsidRPr="00910D76">
              <w:rPr>
                <w:rFonts w:cstheme="minorHAnsi"/>
                <w:b/>
              </w:rPr>
              <w:t>NAC</w:t>
            </w:r>
          </w:p>
        </w:tc>
        <w:tc>
          <w:tcPr>
            <w:tcW w:w="1275" w:type="dxa"/>
            <w:vAlign w:val="center"/>
          </w:tcPr>
          <w:p w14:paraId="7079B674" w14:textId="77777777" w:rsidR="001F7488" w:rsidRPr="00910D76" w:rsidRDefault="001F7488" w:rsidP="008275D7">
            <w:pPr>
              <w:spacing w:line="480" w:lineRule="auto"/>
              <w:jc w:val="both"/>
              <w:rPr>
                <w:rFonts w:cstheme="minorHAnsi"/>
                <w:b/>
              </w:rPr>
            </w:pPr>
            <w:r w:rsidRPr="00910D76">
              <w:rPr>
                <w:rFonts w:cstheme="minorHAnsi"/>
                <w:b/>
              </w:rPr>
              <w:t>Vehicle</w:t>
            </w:r>
          </w:p>
        </w:tc>
        <w:tc>
          <w:tcPr>
            <w:tcW w:w="1418" w:type="dxa"/>
            <w:vAlign w:val="center"/>
          </w:tcPr>
          <w:p w14:paraId="08596FF0" w14:textId="77777777" w:rsidR="001F7488" w:rsidRPr="00910D76" w:rsidRDefault="001F7488" w:rsidP="008275D7">
            <w:pPr>
              <w:spacing w:line="480" w:lineRule="auto"/>
              <w:jc w:val="both"/>
              <w:rPr>
                <w:rFonts w:cstheme="minorHAnsi"/>
                <w:b/>
              </w:rPr>
            </w:pPr>
            <w:r w:rsidRPr="00910D76">
              <w:rPr>
                <w:rFonts w:cstheme="minorHAnsi"/>
                <w:b/>
              </w:rPr>
              <w:t>NAC</w:t>
            </w:r>
          </w:p>
        </w:tc>
        <w:tc>
          <w:tcPr>
            <w:tcW w:w="1559" w:type="dxa"/>
            <w:vAlign w:val="center"/>
          </w:tcPr>
          <w:p w14:paraId="6A27FDF6" w14:textId="77777777" w:rsidR="001F7488" w:rsidRPr="00910D76" w:rsidRDefault="001F7488" w:rsidP="008275D7">
            <w:pPr>
              <w:spacing w:line="480" w:lineRule="auto"/>
              <w:jc w:val="both"/>
              <w:rPr>
                <w:rFonts w:cstheme="minorHAnsi"/>
                <w:b/>
              </w:rPr>
            </w:pPr>
            <w:r w:rsidRPr="00910D76">
              <w:rPr>
                <w:rFonts w:cstheme="minorHAnsi"/>
                <w:b/>
              </w:rPr>
              <w:t>Vehicle</w:t>
            </w:r>
          </w:p>
        </w:tc>
        <w:tc>
          <w:tcPr>
            <w:tcW w:w="1566" w:type="dxa"/>
            <w:vAlign w:val="center"/>
          </w:tcPr>
          <w:p w14:paraId="1B46B3EA" w14:textId="77777777" w:rsidR="001F7488" w:rsidRPr="00910D76" w:rsidRDefault="001F7488" w:rsidP="008275D7">
            <w:pPr>
              <w:spacing w:line="480" w:lineRule="auto"/>
              <w:jc w:val="both"/>
              <w:rPr>
                <w:rFonts w:cstheme="minorHAnsi"/>
                <w:b/>
              </w:rPr>
            </w:pPr>
            <w:r w:rsidRPr="00910D76">
              <w:rPr>
                <w:rFonts w:cstheme="minorHAnsi"/>
                <w:b/>
              </w:rPr>
              <w:t>NAC</w:t>
            </w:r>
          </w:p>
        </w:tc>
      </w:tr>
      <w:tr w:rsidR="001F7488" w:rsidRPr="00910D76" w14:paraId="75D32B62" w14:textId="77777777" w:rsidTr="00846069">
        <w:trPr>
          <w:trHeight w:val="676"/>
          <w:jc w:val="center"/>
        </w:trPr>
        <w:tc>
          <w:tcPr>
            <w:tcW w:w="1696" w:type="dxa"/>
            <w:vAlign w:val="center"/>
          </w:tcPr>
          <w:p w14:paraId="3F7140BB" w14:textId="77777777" w:rsidR="001F7488" w:rsidRPr="00910D76" w:rsidRDefault="001F7488" w:rsidP="008275D7">
            <w:pPr>
              <w:spacing w:line="480" w:lineRule="auto"/>
              <w:jc w:val="both"/>
              <w:rPr>
                <w:rFonts w:cstheme="minorHAnsi"/>
                <w:b/>
              </w:rPr>
            </w:pPr>
            <w:r w:rsidRPr="00910D76">
              <w:rPr>
                <w:rFonts w:cstheme="minorHAnsi"/>
                <w:b/>
              </w:rPr>
              <w:t>Relative GSH (</w:t>
            </w:r>
            <w:proofErr w:type="spellStart"/>
            <w:r w:rsidRPr="00910D76">
              <w:rPr>
                <w:rFonts w:cstheme="minorHAnsi"/>
                <w:b/>
              </w:rPr>
              <w:t>r.f.u</w:t>
            </w:r>
            <w:proofErr w:type="spellEnd"/>
            <w:r w:rsidRPr="00910D76">
              <w:rPr>
                <w:rFonts w:cstheme="minorHAnsi"/>
                <w:b/>
              </w:rPr>
              <w:t>.)</w:t>
            </w:r>
          </w:p>
        </w:tc>
        <w:tc>
          <w:tcPr>
            <w:tcW w:w="1276" w:type="dxa"/>
            <w:vAlign w:val="center"/>
          </w:tcPr>
          <w:p w14:paraId="76CD29F6" w14:textId="77777777" w:rsidR="001F7488" w:rsidRPr="00910D76" w:rsidRDefault="001F7488" w:rsidP="008275D7">
            <w:pPr>
              <w:spacing w:line="480" w:lineRule="auto"/>
              <w:jc w:val="both"/>
              <w:rPr>
                <w:rFonts w:cstheme="minorHAnsi"/>
                <w:bCs/>
              </w:rPr>
            </w:pPr>
            <w:r w:rsidRPr="00910D76">
              <w:rPr>
                <w:rFonts w:cstheme="minorHAnsi"/>
                <w:bCs/>
              </w:rPr>
              <w:t xml:space="preserve">1.648 </w:t>
            </w:r>
            <w:r w:rsidRPr="00910D76">
              <w:rPr>
                <w:rFonts w:cstheme="minorHAnsi"/>
                <w:bCs/>
                <w:lang w:val="fr-FR"/>
              </w:rPr>
              <w:t>± 0.158</w:t>
            </w:r>
          </w:p>
        </w:tc>
        <w:tc>
          <w:tcPr>
            <w:tcW w:w="1418" w:type="dxa"/>
            <w:vAlign w:val="center"/>
          </w:tcPr>
          <w:p w14:paraId="37CFC604" w14:textId="77777777" w:rsidR="001F7488" w:rsidRPr="00910D76" w:rsidRDefault="001F7488" w:rsidP="008275D7">
            <w:pPr>
              <w:spacing w:line="480" w:lineRule="auto"/>
              <w:jc w:val="both"/>
              <w:rPr>
                <w:rFonts w:cstheme="minorHAnsi"/>
                <w:bCs/>
              </w:rPr>
            </w:pPr>
            <w:r w:rsidRPr="00910D76">
              <w:rPr>
                <w:rFonts w:cstheme="minorHAnsi"/>
                <w:bCs/>
              </w:rPr>
              <w:t xml:space="preserve">1.937 </w:t>
            </w:r>
            <w:r w:rsidRPr="00910D76">
              <w:rPr>
                <w:rFonts w:cstheme="minorHAnsi"/>
                <w:bCs/>
                <w:lang w:val="fr-FR"/>
              </w:rPr>
              <w:t>± 0.062</w:t>
            </w:r>
          </w:p>
        </w:tc>
        <w:tc>
          <w:tcPr>
            <w:tcW w:w="1275" w:type="dxa"/>
            <w:vAlign w:val="center"/>
          </w:tcPr>
          <w:p w14:paraId="38EC66D6" w14:textId="77777777" w:rsidR="001F7488" w:rsidRPr="00910D76" w:rsidRDefault="001F7488" w:rsidP="008275D7">
            <w:pPr>
              <w:spacing w:line="480" w:lineRule="auto"/>
              <w:jc w:val="both"/>
              <w:rPr>
                <w:rFonts w:cstheme="minorHAnsi"/>
                <w:bCs/>
              </w:rPr>
            </w:pPr>
            <w:r w:rsidRPr="00910D76">
              <w:rPr>
                <w:rFonts w:cstheme="minorHAnsi"/>
                <w:bCs/>
              </w:rPr>
              <w:t xml:space="preserve">1.740 </w:t>
            </w:r>
            <w:r w:rsidRPr="00910D76">
              <w:rPr>
                <w:rFonts w:cstheme="minorHAnsi"/>
                <w:bCs/>
                <w:lang w:val="fr-FR"/>
              </w:rPr>
              <w:t>± 0.174</w:t>
            </w:r>
          </w:p>
        </w:tc>
        <w:tc>
          <w:tcPr>
            <w:tcW w:w="1418" w:type="dxa"/>
            <w:vAlign w:val="center"/>
          </w:tcPr>
          <w:p w14:paraId="60320259" w14:textId="77777777" w:rsidR="001F7488" w:rsidRPr="00910D76" w:rsidRDefault="001F7488" w:rsidP="008275D7">
            <w:pPr>
              <w:spacing w:line="480" w:lineRule="auto"/>
              <w:jc w:val="both"/>
              <w:rPr>
                <w:rFonts w:cstheme="minorHAnsi"/>
                <w:bCs/>
              </w:rPr>
            </w:pPr>
            <w:r w:rsidRPr="00910D76">
              <w:rPr>
                <w:rFonts w:cstheme="minorHAnsi"/>
                <w:bCs/>
              </w:rPr>
              <w:t xml:space="preserve">1.876 </w:t>
            </w:r>
            <w:r w:rsidRPr="00910D76">
              <w:rPr>
                <w:rFonts w:cstheme="minorHAnsi"/>
                <w:bCs/>
                <w:lang w:val="fr-FR"/>
              </w:rPr>
              <w:t>± 0.136</w:t>
            </w:r>
          </w:p>
        </w:tc>
        <w:tc>
          <w:tcPr>
            <w:tcW w:w="1559" w:type="dxa"/>
            <w:vAlign w:val="center"/>
          </w:tcPr>
          <w:p w14:paraId="7990EBAB" w14:textId="77777777" w:rsidR="001F7488" w:rsidRPr="00910D76" w:rsidRDefault="001F7488" w:rsidP="008275D7">
            <w:pPr>
              <w:spacing w:line="480" w:lineRule="auto"/>
              <w:jc w:val="both"/>
              <w:rPr>
                <w:rFonts w:cstheme="minorHAnsi"/>
                <w:bCs/>
              </w:rPr>
            </w:pPr>
            <w:r w:rsidRPr="00910D76">
              <w:rPr>
                <w:rFonts w:cstheme="minorHAnsi"/>
                <w:bCs/>
              </w:rPr>
              <w:t xml:space="preserve">0.783 </w:t>
            </w:r>
            <w:r w:rsidRPr="00910D76">
              <w:rPr>
                <w:rFonts w:cstheme="minorHAnsi"/>
                <w:bCs/>
                <w:lang w:val="fr-FR"/>
              </w:rPr>
              <w:t>± 0.052</w:t>
            </w:r>
          </w:p>
        </w:tc>
        <w:tc>
          <w:tcPr>
            <w:tcW w:w="1566" w:type="dxa"/>
            <w:vAlign w:val="center"/>
          </w:tcPr>
          <w:p w14:paraId="47ADE912" w14:textId="77777777" w:rsidR="001F7488" w:rsidRPr="00910D76" w:rsidRDefault="001F7488" w:rsidP="008275D7">
            <w:pPr>
              <w:spacing w:line="480" w:lineRule="auto"/>
              <w:jc w:val="both"/>
              <w:rPr>
                <w:rFonts w:cstheme="minorHAnsi"/>
                <w:bCs/>
              </w:rPr>
            </w:pPr>
            <w:r w:rsidRPr="00910D76">
              <w:rPr>
                <w:rFonts w:cstheme="minorHAnsi"/>
                <w:bCs/>
              </w:rPr>
              <w:t xml:space="preserve">1.588 </w:t>
            </w:r>
            <w:r w:rsidRPr="00910D76">
              <w:rPr>
                <w:rFonts w:cstheme="minorHAnsi"/>
                <w:bCs/>
                <w:lang w:val="fr-FR"/>
              </w:rPr>
              <w:t>± 0.157*</w:t>
            </w:r>
          </w:p>
        </w:tc>
      </w:tr>
      <w:tr w:rsidR="001F7488" w:rsidRPr="00910D76" w14:paraId="7C615AE8" w14:textId="77777777" w:rsidTr="00846069">
        <w:trPr>
          <w:trHeight w:val="689"/>
          <w:jc w:val="center"/>
        </w:trPr>
        <w:tc>
          <w:tcPr>
            <w:tcW w:w="1696" w:type="dxa"/>
            <w:vAlign w:val="center"/>
          </w:tcPr>
          <w:p w14:paraId="41343242" w14:textId="77777777" w:rsidR="001F7488" w:rsidRPr="00910D76" w:rsidRDefault="001F7488" w:rsidP="008275D7">
            <w:pPr>
              <w:spacing w:line="480" w:lineRule="auto"/>
              <w:jc w:val="both"/>
              <w:rPr>
                <w:rFonts w:cstheme="minorHAnsi"/>
                <w:b/>
              </w:rPr>
            </w:pPr>
            <w:r w:rsidRPr="00910D76">
              <w:rPr>
                <w:rFonts w:cstheme="minorHAnsi"/>
                <w:b/>
              </w:rPr>
              <w:t>CAT activity (</w:t>
            </w:r>
            <w:proofErr w:type="spellStart"/>
            <w:r w:rsidRPr="00910D76">
              <w:rPr>
                <w:rFonts w:cstheme="minorHAnsi"/>
                <w:b/>
              </w:rPr>
              <w:t>a.u</w:t>
            </w:r>
            <w:proofErr w:type="spellEnd"/>
            <w:r w:rsidRPr="00910D76">
              <w:rPr>
                <w:rFonts w:cstheme="minorHAnsi"/>
                <w:b/>
              </w:rPr>
              <w:t xml:space="preserve">. </w:t>
            </w:r>
            <w:r w:rsidRPr="00910D76">
              <w:rPr>
                <w:rFonts w:cstheme="minorHAnsi"/>
                <w:b/>
                <w:vertAlign w:val="subscript"/>
              </w:rPr>
              <w:t>570nm</w:t>
            </w:r>
            <w:r w:rsidRPr="00910D76">
              <w:rPr>
                <w:rFonts w:cstheme="minorHAnsi"/>
                <w:b/>
              </w:rPr>
              <w:t>)</w:t>
            </w:r>
          </w:p>
        </w:tc>
        <w:tc>
          <w:tcPr>
            <w:tcW w:w="1276" w:type="dxa"/>
            <w:vAlign w:val="center"/>
          </w:tcPr>
          <w:p w14:paraId="0A78D7EF" w14:textId="77777777" w:rsidR="001F7488" w:rsidRPr="00910D76" w:rsidRDefault="001F7488" w:rsidP="008275D7">
            <w:pPr>
              <w:spacing w:line="480" w:lineRule="auto"/>
              <w:jc w:val="both"/>
              <w:rPr>
                <w:rFonts w:cstheme="minorHAnsi"/>
                <w:bCs/>
              </w:rPr>
            </w:pPr>
            <w:r w:rsidRPr="00910D76">
              <w:rPr>
                <w:rFonts w:cstheme="minorHAnsi"/>
                <w:bCs/>
              </w:rPr>
              <w:t xml:space="preserve">0.177 </w:t>
            </w:r>
            <w:r w:rsidRPr="00910D76">
              <w:rPr>
                <w:rFonts w:cstheme="minorHAnsi"/>
                <w:bCs/>
                <w:lang w:val="fr-FR"/>
              </w:rPr>
              <w:t>± 0.016</w:t>
            </w:r>
          </w:p>
        </w:tc>
        <w:tc>
          <w:tcPr>
            <w:tcW w:w="1418" w:type="dxa"/>
            <w:vAlign w:val="center"/>
          </w:tcPr>
          <w:p w14:paraId="5900AA03" w14:textId="77777777" w:rsidR="001F7488" w:rsidRPr="00910D76" w:rsidRDefault="001F7488" w:rsidP="008275D7">
            <w:pPr>
              <w:spacing w:line="480" w:lineRule="auto"/>
              <w:jc w:val="both"/>
              <w:rPr>
                <w:rFonts w:cstheme="minorHAnsi"/>
                <w:bCs/>
              </w:rPr>
            </w:pPr>
            <w:r w:rsidRPr="00910D76">
              <w:rPr>
                <w:rFonts w:cstheme="minorHAnsi"/>
                <w:bCs/>
              </w:rPr>
              <w:t xml:space="preserve">0.148 </w:t>
            </w:r>
            <w:r w:rsidRPr="00910D76">
              <w:rPr>
                <w:rFonts w:cstheme="minorHAnsi"/>
                <w:bCs/>
                <w:lang w:val="fr-FR"/>
              </w:rPr>
              <w:t>± 0.086</w:t>
            </w:r>
          </w:p>
        </w:tc>
        <w:tc>
          <w:tcPr>
            <w:tcW w:w="1275" w:type="dxa"/>
            <w:vAlign w:val="center"/>
          </w:tcPr>
          <w:p w14:paraId="09872C28" w14:textId="77777777" w:rsidR="001F7488" w:rsidRPr="00910D76" w:rsidRDefault="001F7488" w:rsidP="008275D7">
            <w:pPr>
              <w:spacing w:line="480" w:lineRule="auto"/>
              <w:jc w:val="both"/>
              <w:rPr>
                <w:rFonts w:cstheme="minorHAnsi"/>
                <w:bCs/>
              </w:rPr>
            </w:pPr>
            <w:r w:rsidRPr="00910D76">
              <w:rPr>
                <w:rFonts w:cstheme="minorHAnsi"/>
                <w:bCs/>
              </w:rPr>
              <w:t xml:space="preserve">0.183 </w:t>
            </w:r>
            <w:r w:rsidRPr="00910D76">
              <w:rPr>
                <w:rFonts w:cstheme="minorHAnsi"/>
                <w:bCs/>
                <w:lang w:val="fr-FR"/>
              </w:rPr>
              <w:t>± 0.011</w:t>
            </w:r>
          </w:p>
        </w:tc>
        <w:tc>
          <w:tcPr>
            <w:tcW w:w="1418" w:type="dxa"/>
            <w:vAlign w:val="center"/>
          </w:tcPr>
          <w:p w14:paraId="21B59FB3" w14:textId="77777777" w:rsidR="001F7488" w:rsidRPr="00910D76" w:rsidRDefault="001F7488" w:rsidP="008275D7">
            <w:pPr>
              <w:spacing w:line="480" w:lineRule="auto"/>
              <w:jc w:val="both"/>
              <w:rPr>
                <w:rFonts w:cstheme="minorHAnsi"/>
                <w:bCs/>
              </w:rPr>
            </w:pPr>
            <w:r w:rsidRPr="00910D76">
              <w:rPr>
                <w:rFonts w:cstheme="minorHAnsi"/>
                <w:bCs/>
              </w:rPr>
              <w:t xml:space="preserve">0.164 </w:t>
            </w:r>
            <w:r w:rsidRPr="00910D76">
              <w:rPr>
                <w:rFonts w:cstheme="minorHAnsi"/>
                <w:bCs/>
                <w:lang w:val="fr-FR"/>
              </w:rPr>
              <w:t>± 0.017</w:t>
            </w:r>
          </w:p>
        </w:tc>
        <w:tc>
          <w:tcPr>
            <w:tcW w:w="1559" w:type="dxa"/>
            <w:vAlign w:val="center"/>
          </w:tcPr>
          <w:p w14:paraId="4FBC4D19" w14:textId="77777777" w:rsidR="001F7488" w:rsidRPr="00910D76" w:rsidRDefault="001F7488" w:rsidP="008275D7">
            <w:pPr>
              <w:spacing w:line="480" w:lineRule="auto"/>
              <w:jc w:val="both"/>
              <w:rPr>
                <w:rFonts w:cstheme="minorHAnsi"/>
                <w:bCs/>
              </w:rPr>
            </w:pPr>
            <w:r w:rsidRPr="00910D76">
              <w:rPr>
                <w:rFonts w:cstheme="minorHAnsi"/>
                <w:bCs/>
              </w:rPr>
              <w:t xml:space="preserve">0.095 </w:t>
            </w:r>
            <w:r w:rsidRPr="00910D76">
              <w:rPr>
                <w:rFonts w:cstheme="minorHAnsi"/>
                <w:bCs/>
                <w:lang w:val="fr-FR"/>
              </w:rPr>
              <w:t>± 0.009</w:t>
            </w:r>
            <w:r w:rsidRPr="00910D76">
              <w:rPr>
                <w:rFonts w:cstheme="minorHAnsi"/>
                <w:bCs/>
                <w:vertAlign w:val="superscript"/>
                <w:lang w:val="fr-FR"/>
              </w:rPr>
              <w:t>#</w:t>
            </w:r>
          </w:p>
        </w:tc>
        <w:tc>
          <w:tcPr>
            <w:tcW w:w="1566" w:type="dxa"/>
            <w:vAlign w:val="center"/>
          </w:tcPr>
          <w:p w14:paraId="05E6A555" w14:textId="77777777" w:rsidR="001F7488" w:rsidRPr="00910D76" w:rsidRDefault="001F7488" w:rsidP="008275D7">
            <w:pPr>
              <w:spacing w:line="480" w:lineRule="auto"/>
              <w:jc w:val="both"/>
              <w:rPr>
                <w:rFonts w:cstheme="minorHAnsi"/>
                <w:bCs/>
              </w:rPr>
            </w:pPr>
            <w:r w:rsidRPr="00910D76">
              <w:rPr>
                <w:rFonts w:cstheme="minorHAnsi"/>
                <w:bCs/>
              </w:rPr>
              <w:t xml:space="preserve">0.12167 </w:t>
            </w:r>
            <w:r w:rsidRPr="00910D76">
              <w:rPr>
                <w:rFonts w:cstheme="minorHAnsi"/>
                <w:bCs/>
                <w:lang w:val="fr-FR"/>
              </w:rPr>
              <w:t>± 0.008</w:t>
            </w:r>
            <w:r w:rsidRPr="00910D76">
              <w:rPr>
                <w:rFonts w:cstheme="minorHAnsi"/>
                <w:bCs/>
                <w:vertAlign w:val="superscript"/>
                <w:lang w:val="fr-FR"/>
              </w:rPr>
              <w:t>#</w:t>
            </w:r>
            <w:r w:rsidRPr="00910D76">
              <w:rPr>
                <w:rFonts w:cstheme="minorHAnsi"/>
                <w:bCs/>
                <w:lang w:val="fr-FR"/>
              </w:rPr>
              <w:t>*</w:t>
            </w:r>
          </w:p>
        </w:tc>
      </w:tr>
      <w:tr w:rsidR="001F7488" w:rsidRPr="00910D76" w14:paraId="01992000" w14:textId="77777777" w:rsidTr="00846069">
        <w:trPr>
          <w:trHeight w:val="676"/>
          <w:jc w:val="center"/>
        </w:trPr>
        <w:tc>
          <w:tcPr>
            <w:tcW w:w="1696" w:type="dxa"/>
            <w:vAlign w:val="center"/>
          </w:tcPr>
          <w:p w14:paraId="3DE97CDA" w14:textId="6E52AAFE" w:rsidR="001F7488" w:rsidRPr="00910D76" w:rsidRDefault="001F7488" w:rsidP="008275D7">
            <w:pPr>
              <w:spacing w:line="480" w:lineRule="auto"/>
              <w:jc w:val="both"/>
              <w:rPr>
                <w:rFonts w:cstheme="minorHAnsi"/>
                <w:b/>
              </w:rPr>
            </w:pPr>
            <w:r w:rsidRPr="00910D76">
              <w:rPr>
                <w:rFonts w:cstheme="minorHAnsi"/>
                <w:b/>
              </w:rPr>
              <w:t>SOD activity (</w:t>
            </w:r>
            <w:proofErr w:type="spellStart"/>
            <w:r w:rsidRPr="00910D76">
              <w:rPr>
                <w:rFonts w:cstheme="minorHAnsi"/>
                <w:b/>
              </w:rPr>
              <w:t>a.u</w:t>
            </w:r>
            <w:proofErr w:type="spellEnd"/>
            <w:r w:rsidRPr="00910D76">
              <w:rPr>
                <w:rFonts w:cstheme="minorHAnsi"/>
                <w:b/>
              </w:rPr>
              <w:t>.</w:t>
            </w:r>
            <w:r w:rsidR="00886D77" w:rsidRPr="00910D76">
              <w:rPr>
                <w:rFonts w:cstheme="minorHAnsi"/>
                <w:b/>
              </w:rPr>
              <w:t xml:space="preserve"> </w:t>
            </w:r>
            <w:r w:rsidRPr="00910D76">
              <w:rPr>
                <w:rFonts w:cstheme="minorHAnsi"/>
                <w:b/>
                <w:vertAlign w:val="subscript"/>
              </w:rPr>
              <w:t>450nm</w:t>
            </w:r>
            <w:r w:rsidRPr="00910D76">
              <w:rPr>
                <w:rFonts w:cstheme="minorHAnsi"/>
                <w:b/>
              </w:rPr>
              <w:t>)</w:t>
            </w:r>
          </w:p>
        </w:tc>
        <w:tc>
          <w:tcPr>
            <w:tcW w:w="1276" w:type="dxa"/>
            <w:vAlign w:val="center"/>
          </w:tcPr>
          <w:p w14:paraId="416799BA" w14:textId="77777777" w:rsidR="001F7488" w:rsidRPr="00910D76" w:rsidRDefault="001F7488" w:rsidP="008275D7">
            <w:pPr>
              <w:spacing w:line="480" w:lineRule="auto"/>
              <w:jc w:val="both"/>
              <w:rPr>
                <w:rFonts w:cstheme="minorHAnsi"/>
                <w:bCs/>
              </w:rPr>
            </w:pPr>
            <w:r w:rsidRPr="00910D76">
              <w:rPr>
                <w:rFonts w:cstheme="minorHAnsi"/>
                <w:bCs/>
              </w:rPr>
              <w:t xml:space="preserve">35.9 </w:t>
            </w:r>
            <w:r w:rsidRPr="00910D76">
              <w:rPr>
                <w:rFonts w:cstheme="minorHAnsi"/>
                <w:bCs/>
                <w:lang w:val="fr-FR"/>
              </w:rPr>
              <w:t>± 1.57</w:t>
            </w:r>
          </w:p>
        </w:tc>
        <w:tc>
          <w:tcPr>
            <w:tcW w:w="1418" w:type="dxa"/>
            <w:vAlign w:val="center"/>
          </w:tcPr>
          <w:p w14:paraId="3E8148F1" w14:textId="77777777" w:rsidR="001F7488" w:rsidRPr="00910D76" w:rsidRDefault="001F7488" w:rsidP="008275D7">
            <w:pPr>
              <w:spacing w:line="480" w:lineRule="auto"/>
              <w:jc w:val="both"/>
              <w:rPr>
                <w:rFonts w:cstheme="minorHAnsi"/>
                <w:bCs/>
              </w:rPr>
            </w:pPr>
            <w:r w:rsidRPr="00910D76">
              <w:rPr>
                <w:rFonts w:cstheme="minorHAnsi"/>
                <w:bCs/>
              </w:rPr>
              <w:t xml:space="preserve">33.1 </w:t>
            </w:r>
            <w:r w:rsidRPr="00910D76">
              <w:rPr>
                <w:rFonts w:cstheme="minorHAnsi"/>
                <w:bCs/>
                <w:lang w:val="fr-FR"/>
              </w:rPr>
              <w:t>± 1.66</w:t>
            </w:r>
          </w:p>
        </w:tc>
        <w:tc>
          <w:tcPr>
            <w:tcW w:w="1275" w:type="dxa"/>
            <w:vAlign w:val="center"/>
          </w:tcPr>
          <w:p w14:paraId="00D80D43" w14:textId="77777777" w:rsidR="001F7488" w:rsidRPr="00910D76" w:rsidRDefault="001F7488" w:rsidP="008275D7">
            <w:pPr>
              <w:spacing w:line="480" w:lineRule="auto"/>
              <w:jc w:val="both"/>
              <w:rPr>
                <w:rFonts w:cstheme="minorHAnsi"/>
                <w:bCs/>
              </w:rPr>
            </w:pPr>
            <w:r w:rsidRPr="00910D76">
              <w:rPr>
                <w:rFonts w:cstheme="minorHAnsi"/>
                <w:bCs/>
              </w:rPr>
              <w:t xml:space="preserve">36.4 </w:t>
            </w:r>
            <w:r w:rsidRPr="00910D76">
              <w:rPr>
                <w:rFonts w:cstheme="minorHAnsi"/>
                <w:bCs/>
                <w:lang w:val="fr-FR"/>
              </w:rPr>
              <w:t>± 0.78</w:t>
            </w:r>
          </w:p>
        </w:tc>
        <w:tc>
          <w:tcPr>
            <w:tcW w:w="1418" w:type="dxa"/>
            <w:vAlign w:val="center"/>
          </w:tcPr>
          <w:p w14:paraId="7B81704B" w14:textId="77777777" w:rsidR="001F7488" w:rsidRPr="00910D76" w:rsidRDefault="001F7488" w:rsidP="008275D7">
            <w:pPr>
              <w:spacing w:line="480" w:lineRule="auto"/>
              <w:jc w:val="both"/>
              <w:rPr>
                <w:rFonts w:cstheme="minorHAnsi"/>
                <w:bCs/>
              </w:rPr>
            </w:pPr>
            <w:r w:rsidRPr="00910D76">
              <w:rPr>
                <w:rFonts w:cstheme="minorHAnsi"/>
                <w:bCs/>
              </w:rPr>
              <w:t xml:space="preserve">34.6 </w:t>
            </w:r>
            <w:r w:rsidRPr="00910D76">
              <w:rPr>
                <w:rFonts w:cstheme="minorHAnsi"/>
                <w:bCs/>
                <w:lang w:val="fr-FR"/>
              </w:rPr>
              <w:t>± 1.86</w:t>
            </w:r>
          </w:p>
        </w:tc>
        <w:tc>
          <w:tcPr>
            <w:tcW w:w="1559" w:type="dxa"/>
            <w:vAlign w:val="center"/>
          </w:tcPr>
          <w:p w14:paraId="2FBDECDA" w14:textId="77777777" w:rsidR="001F7488" w:rsidRPr="00910D76" w:rsidRDefault="001F7488" w:rsidP="008275D7">
            <w:pPr>
              <w:spacing w:line="480" w:lineRule="auto"/>
              <w:jc w:val="both"/>
              <w:rPr>
                <w:rFonts w:cstheme="minorHAnsi"/>
                <w:bCs/>
              </w:rPr>
            </w:pPr>
            <w:r w:rsidRPr="00910D76">
              <w:rPr>
                <w:rFonts w:cstheme="minorHAnsi"/>
                <w:bCs/>
              </w:rPr>
              <w:t xml:space="preserve">19.4 </w:t>
            </w:r>
            <w:r w:rsidRPr="00910D76">
              <w:rPr>
                <w:rFonts w:cstheme="minorHAnsi"/>
                <w:bCs/>
                <w:lang w:val="fr-FR"/>
              </w:rPr>
              <w:t>± 0.64</w:t>
            </w:r>
            <w:r w:rsidRPr="00910D76">
              <w:rPr>
                <w:rFonts w:cstheme="minorHAnsi"/>
                <w:bCs/>
                <w:vertAlign w:val="superscript"/>
                <w:lang w:val="fr-FR"/>
              </w:rPr>
              <w:t>#</w:t>
            </w:r>
          </w:p>
        </w:tc>
        <w:tc>
          <w:tcPr>
            <w:tcW w:w="1566" w:type="dxa"/>
            <w:vAlign w:val="center"/>
          </w:tcPr>
          <w:p w14:paraId="2434331A" w14:textId="77777777" w:rsidR="001F7488" w:rsidRPr="00910D76" w:rsidRDefault="001F7488" w:rsidP="008275D7">
            <w:pPr>
              <w:spacing w:line="480" w:lineRule="auto"/>
              <w:jc w:val="both"/>
              <w:rPr>
                <w:rFonts w:cstheme="minorHAnsi"/>
                <w:bCs/>
              </w:rPr>
            </w:pPr>
            <w:r w:rsidRPr="00910D76">
              <w:rPr>
                <w:rFonts w:cstheme="minorHAnsi"/>
                <w:bCs/>
              </w:rPr>
              <w:t xml:space="preserve">29.0 </w:t>
            </w:r>
            <w:r w:rsidRPr="00910D76">
              <w:rPr>
                <w:rFonts w:cstheme="minorHAnsi"/>
                <w:bCs/>
                <w:lang w:val="fr-FR"/>
              </w:rPr>
              <w:t>± 2.25</w:t>
            </w:r>
            <w:r w:rsidRPr="00910D76">
              <w:rPr>
                <w:rFonts w:cstheme="minorHAnsi"/>
                <w:bCs/>
                <w:vertAlign w:val="superscript"/>
                <w:lang w:val="fr-FR"/>
              </w:rPr>
              <w:t>#</w:t>
            </w:r>
            <w:r w:rsidRPr="00910D76">
              <w:rPr>
                <w:rFonts w:cstheme="minorHAnsi"/>
                <w:bCs/>
                <w:lang w:val="fr-FR"/>
              </w:rPr>
              <w:t>*</w:t>
            </w:r>
          </w:p>
        </w:tc>
      </w:tr>
      <w:tr w:rsidR="001F7488" w:rsidRPr="00910D76" w14:paraId="3A0F8911" w14:textId="77777777" w:rsidTr="00846069">
        <w:trPr>
          <w:trHeight w:val="676"/>
          <w:jc w:val="center"/>
        </w:trPr>
        <w:tc>
          <w:tcPr>
            <w:tcW w:w="1696" w:type="dxa"/>
            <w:vAlign w:val="center"/>
          </w:tcPr>
          <w:p w14:paraId="6A6D5246" w14:textId="77777777" w:rsidR="001F7488" w:rsidRPr="00910D76" w:rsidRDefault="001F7488" w:rsidP="008275D7">
            <w:pPr>
              <w:spacing w:line="480" w:lineRule="auto"/>
              <w:jc w:val="both"/>
              <w:rPr>
                <w:rFonts w:cstheme="minorHAnsi"/>
                <w:b/>
                <w:lang w:val="fr-FR"/>
              </w:rPr>
            </w:pPr>
            <w:r w:rsidRPr="00910D76">
              <w:rPr>
                <w:rFonts w:cstheme="minorHAnsi"/>
                <w:b/>
                <w:lang w:val="fr-FR"/>
              </w:rPr>
              <w:t>ROS production (</w:t>
            </w:r>
            <w:proofErr w:type="spellStart"/>
            <w:r w:rsidRPr="00910D76">
              <w:rPr>
                <w:rFonts w:cstheme="minorHAnsi"/>
                <w:b/>
                <w:lang w:val="fr-FR"/>
              </w:rPr>
              <w:t>r.f.u</w:t>
            </w:r>
            <w:proofErr w:type="spellEnd"/>
            <w:r w:rsidRPr="00910D76">
              <w:rPr>
                <w:rFonts w:cstheme="minorHAnsi"/>
                <w:b/>
                <w:lang w:val="fr-FR"/>
              </w:rPr>
              <w:t>.)</w:t>
            </w:r>
          </w:p>
        </w:tc>
        <w:tc>
          <w:tcPr>
            <w:tcW w:w="1276" w:type="dxa"/>
            <w:vAlign w:val="center"/>
          </w:tcPr>
          <w:p w14:paraId="7EFA430F" w14:textId="77777777" w:rsidR="001F7488" w:rsidRPr="00910D76" w:rsidRDefault="001F7488" w:rsidP="008275D7">
            <w:pPr>
              <w:spacing w:line="480" w:lineRule="auto"/>
              <w:jc w:val="both"/>
              <w:rPr>
                <w:rFonts w:cstheme="minorHAnsi"/>
                <w:bCs/>
                <w:lang w:val="fr-FR"/>
              </w:rPr>
            </w:pPr>
            <w:r w:rsidRPr="00910D76">
              <w:rPr>
                <w:rFonts w:cstheme="minorHAnsi"/>
                <w:bCs/>
                <w:lang w:val="fr-FR"/>
              </w:rPr>
              <w:t>63626 ± 1722</w:t>
            </w:r>
          </w:p>
        </w:tc>
        <w:tc>
          <w:tcPr>
            <w:tcW w:w="1418" w:type="dxa"/>
            <w:vAlign w:val="center"/>
          </w:tcPr>
          <w:p w14:paraId="61EB96E0" w14:textId="77777777" w:rsidR="001F7488" w:rsidRPr="00910D76" w:rsidRDefault="001F7488" w:rsidP="008275D7">
            <w:pPr>
              <w:spacing w:line="480" w:lineRule="auto"/>
              <w:jc w:val="both"/>
              <w:rPr>
                <w:rFonts w:cstheme="minorHAnsi"/>
                <w:bCs/>
                <w:lang w:val="fr-FR"/>
              </w:rPr>
            </w:pPr>
            <w:r w:rsidRPr="00910D76">
              <w:rPr>
                <w:rFonts w:cstheme="minorHAnsi"/>
                <w:bCs/>
                <w:lang w:val="fr-FR"/>
              </w:rPr>
              <w:t>57983 ± 1618*</w:t>
            </w:r>
          </w:p>
        </w:tc>
        <w:tc>
          <w:tcPr>
            <w:tcW w:w="1275" w:type="dxa"/>
            <w:vAlign w:val="center"/>
          </w:tcPr>
          <w:p w14:paraId="2607F61B" w14:textId="77777777" w:rsidR="001F7488" w:rsidRPr="00910D76" w:rsidRDefault="001F7488" w:rsidP="008275D7">
            <w:pPr>
              <w:spacing w:line="480" w:lineRule="auto"/>
              <w:jc w:val="both"/>
              <w:rPr>
                <w:rFonts w:cstheme="minorHAnsi"/>
                <w:bCs/>
                <w:lang w:val="fr-FR"/>
              </w:rPr>
            </w:pPr>
            <w:r w:rsidRPr="00910D76">
              <w:rPr>
                <w:rFonts w:cstheme="minorHAnsi"/>
                <w:bCs/>
                <w:lang w:val="fr-FR"/>
              </w:rPr>
              <w:t>65215 ± 1977</w:t>
            </w:r>
          </w:p>
        </w:tc>
        <w:tc>
          <w:tcPr>
            <w:tcW w:w="1418" w:type="dxa"/>
            <w:vAlign w:val="center"/>
          </w:tcPr>
          <w:p w14:paraId="1A791E69" w14:textId="77777777" w:rsidR="001F7488" w:rsidRPr="00910D76" w:rsidRDefault="001F7488" w:rsidP="008275D7">
            <w:pPr>
              <w:spacing w:line="480" w:lineRule="auto"/>
              <w:jc w:val="both"/>
              <w:rPr>
                <w:rFonts w:cstheme="minorHAnsi"/>
                <w:bCs/>
                <w:lang w:val="fr-FR"/>
              </w:rPr>
            </w:pPr>
            <w:r w:rsidRPr="00910D76">
              <w:rPr>
                <w:rFonts w:cstheme="minorHAnsi"/>
                <w:bCs/>
                <w:lang w:val="fr-FR"/>
              </w:rPr>
              <w:t>59049 ± 1748*</w:t>
            </w:r>
          </w:p>
        </w:tc>
        <w:tc>
          <w:tcPr>
            <w:tcW w:w="1559" w:type="dxa"/>
            <w:vAlign w:val="center"/>
          </w:tcPr>
          <w:p w14:paraId="33906941" w14:textId="77777777" w:rsidR="001F7488" w:rsidRPr="00910D76" w:rsidRDefault="001F7488" w:rsidP="008275D7">
            <w:pPr>
              <w:spacing w:line="480" w:lineRule="auto"/>
              <w:jc w:val="both"/>
              <w:rPr>
                <w:rFonts w:cstheme="minorHAnsi"/>
                <w:bCs/>
                <w:lang w:val="fr-FR"/>
              </w:rPr>
            </w:pPr>
            <w:r w:rsidRPr="00910D76">
              <w:rPr>
                <w:rFonts w:cstheme="minorHAnsi"/>
                <w:bCs/>
                <w:lang w:val="fr-FR"/>
              </w:rPr>
              <w:t>122646 ± 1127</w:t>
            </w:r>
            <w:bookmarkStart w:id="5" w:name="OLE_LINK3"/>
            <w:r w:rsidRPr="00910D76">
              <w:rPr>
                <w:rFonts w:cstheme="minorHAnsi"/>
                <w:bCs/>
                <w:lang w:val="fr-FR"/>
              </w:rPr>
              <w:t>2</w:t>
            </w:r>
            <w:r w:rsidRPr="00910D76">
              <w:rPr>
                <w:rFonts w:cstheme="minorHAnsi"/>
                <w:bCs/>
                <w:vertAlign w:val="superscript"/>
                <w:lang w:val="fr-FR"/>
              </w:rPr>
              <w:t>#</w:t>
            </w:r>
            <w:bookmarkEnd w:id="5"/>
          </w:p>
        </w:tc>
        <w:tc>
          <w:tcPr>
            <w:tcW w:w="1566" w:type="dxa"/>
            <w:vAlign w:val="center"/>
          </w:tcPr>
          <w:p w14:paraId="4622A48D" w14:textId="77777777" w:rsidR="001F7488" w:rsidRPr="00910D76" w:rsidRDefault="001F7488" w:rsidP="008275D7">
            <w:pPr>
              <w:spacing w:line="480" w:lineRule="auto"/>
              <w:jc w:val="both"/>
              <w:rPr>
                <w:rFonts w:cstheme="minorHAnsi"/>
                <w:bCs/>
                <w:lang w:val="fr-FR"/>
              </w:rPr>
            </w:pPr>
            <w:r w:rsidRPr="00910D76">
              <w:rPr>
                <w:rFonts w:cstheme="minorHAnsi"/>
                <w:bCs/>
                <w:lang w:val="fr-FR"/>
              </w:rPr>
              <w:t>64491 ± 3907*</w:t>
            </w:r>
          </w:p>
        </w:tc>
      </w:tr>
    </w:tbl>
    <w:p w14:paraId="38C8BB43" w14:textId="07C4CB04" w:rsidR="001F7488" w:rsidRPr="00910D76" w:rsidRDefault="001F7488" w:rsidP="008275D7">
      <w:pPr>
        <w:spacing w:after="0" w:line="480" w:lineRule="auto"/>
        <w:jc w:val="both"/>
        <w:rPr>
          <w:rFonts w:eastAsia="Times New Roman" w:cstheme="minorHAnsi"/>
          <w:color w:val="575757"/>
          <w:shd w:val="clear" w:color="auto" w:fill="FFFFFF"/>
          <w:lang w:eastAsia="en-GB"/>
        </w:rPr>
      </w:pPr>
    </w:p>
    <w:p w14:paraId="6E74E734" w14:textId="77777777" w:rsidR="00E27359" w:rsidRPr="00910D76" w:rsidRDefault="00E27359" w:rsidP="008275D7">
      <w:pPr>
        <w:spacing w:after="0" w:line="480" w:lineRule="auto"/>
        <w:jc w:val="both"/>
        <w:rPr>
          <w:rFonts w:cstheme="minorHAnsi"/>
          <w:b/>
        </w:rPr>
      </w:pPr>
    </w:p>
    <w:p w14:paraId="64E73893" w14:textId="77777777" w:rsidR="00E27359" w:rsidRPr="00910D76" w:rsidRDefault="00E27359" w:rsidP="008275D7">
      <w:pPr>
        <w:spacing w:after="0" w:line="480" w:lineRule="auto"/>
        <w:jc w:val="both"/>
        <w:rPr>
          <w:rFonts w:cstheme="minorHAnsi"/>
          <w:b/>
        </w:rPr>
      </w:pPr>
    </w:p>
    <w:p w14:paraId="5ACB6887" w14:textId="77777777" w:rsidR="00E27359" w:rsidRPr="00910D76" w:rsidRDefault="00E27359" w:rsidP="008275D7">
      <w:pPr>
        <w:spacing w:after="0" w:line="480" w:lineRule="auto"/>
        <w:jc w:val="both"/>
        <w:rPr>
          <w:rFonts w:cstheme="minorHAnsi"/>
          <w:b/>
        </w:rPr>
      </w:pPr>
    </w:p>
    <w:p w14:paraId="7133C765" w14:textId="77777777" w:rsidR="00E27359" w:rsidRPr="00910D76" w:rsidRDefault="00E27359" w:rsidP="008275D7">
      <w:pPr>
        <w:spacing w:after="0" w:line="480" w:lineRule="auto"/>
        <w:jc w:val="both"/>
        <w:rPr>
          <w:rFonts w:cstheme="minorHAnsi"/>
          <w:b/>
        </w:rPr>
      </w:pPr>
    </w:p>
    <w:p w14:paraId="330BFE49" w14:textId="77777777" w:rsidR="00E27359" w:rsidRPr="00910D76" w:rsidRDefault="00E27359" w:rsidP="008275D7">
      <w:pPr>
        <w:spacing w:after="0" w:line="480" w:lineRule="auto"/>
        <w:jc w:val="both"/>
        <w:rPr>
          <w:rFonts w:cstheme="minorHAnsi"/>
          <w:b/>
        </w:rPr>
      </w:pPr>
    </w:p>
    <w:p w14:paraId="6AA0171E" w14:textId="77777777" w:rsidR="00E27359" w:rsidRPr="00910D76" w:rsidRDefault="00E27359" w:rsidP="008275D7">
      <w:pPr>
        <w:spacing w:after="0" w:line="480" w:lineRule="auto"/>
        <w:jc w:val="both"/>
        <w:rPr>
          <w:rFonts w:cstheme="minorHAnsi"/>
          <w:b/>
        </w:rPr>
      </w:pPr>
    </w:p>
    <w:p w14:paraId="1AD62A6A" w14:textId="77777777" w:rsidR="00E27359" w:rsidRPr="00910D76" w:rsidRDefault="00E27359" w:rsidP="008275D7">
      <w:pPr>
        <w:spacing w:after="0" w:line="480" w:lineRule="auto"/>
        <w:jc w:val="both"/>
        <w:rPr>
          <w:rFonts w:cstheme="minorHAnsi"/>
          <w:b/>
        </w:rPr>
      </w:pPr>
    </w:p>
    <w:p w14:paraId="3837AC15" w14:textId="77777777" w:rsidR="00E27359" w:rsidRPr="00910D76" w:rsidRDefault="00E27359" w:rsidP="008275D7">
      <w:pPr>
        <w:spacing w:after="0" w:line="480" w:lineRule="auto"/>
        <w:jc w:val="both"/>
        <w:rPr>
          <w:rFonts w:cstheme="minorHAnsi"/>
          <w:b/>
        </w:rPr>
      </w:pPr>
    </w:p>
    <w:p w14:paraId="409E3BE9" w14:textId="47B27A16" w:rsidR="001F7488" w:rsidRPr="00910D76" w:rsidRDefault="001F7488" w:rsidP="008275D7">
      <w:pPr>
        <w:spacing w:after="0" w:line="480" w:lineRule="auto"/>
        <w:jc w:val="both"/>
        <w:rPr>
          <w:rFonts w:cstheme="minorHAnsi"/>
          <w:lang w:val="en-US"/>
        </w:rPr>
      </w:pPr>
      <w:r w:rsidRPr="00910D76">
        <w:rPr>
          <w:rFonts w:cstheme="minorHAnsi"/>
          <w:b/>
        </w:rPr>
        <w:lastRenderedPageBreak/>
        <w:t xml:space="preserve">Table 3: Bioavailability of ECGC in participants following oral supplementation of green tea extract versus control supplement. </w:t>
      </w:r>
      <w:r w:rsidRPr="00910D76">
        <w:rPr>
          <w:rFonts w:cstheme="minorHAnsi"/>
          <w:bCs/>
        </w:rPr>
        <w:t xml:space="preserve">Healthy volunteers were given a </w:t>
      </w:r>
      <w:r w:rsidR="009E0BA0" w:rsidRPr="00910D76">
        <w:rPr>
          <w:rFonts w:cstheme="minorHAnsi"/>
          <w:bCs/>
        </w:rPr>
        <w:t>d</w:t>
      </w:r>
      <w:r w:rsidRPr="00910D76">
        <w:rPr>
          <w:rFonts w:cstheme="minorHAnsi"/>
          <w:bCs/>
        </w:rPr>
        <w:t xml:space="preserve">GTE1 or control supplement to consume and emergence of EGCG in plasma was measured over a </w:t>
      </w:r>
      <w:proofErr w:type="gramStart"/>
      <w:r w:rsidRPr="00910D76">
        <w:rPr>
          <w:rFonts w:cstheme="minorHAnsi"/>
          <w:bCs/>
        </w:rPr>
        <w:t>6 hour</w:t>
      </w:r>
      <w:proofErr w:type="gramEnd"/>
      <w:r w:rsidRPr="00910D76">
        <w:rPr>
          <w:rFonts w:cstheme="minorHAnsi"/>
          <w:bCs/>
        </w:rPr>
        <w:t xml:space="preserve"> period using LC/MS/MS. Control is a lipid coated (non-absorbable coating) </w:t>
      </w:r>
      <w:r w:rsidR="009E0BA0" w:rsidRPr="00910D76">
        <w:rPr>
          <w:rFonts w:cstheme="minorHAnsi"/>
          <w:bCs/>
        </w:rPr>
        <w:t>d</w:t>
      </w:r>
      <w:r w:rsidRPr="00910D76">
        <w:rPr>
          <w:rFonts w:cstheme="minorHAnsi"/>
          <w:bCs/>
        </w:rPr>
        <w:t xml:space="preserve">GTE1. </w:t>
      </w:r>
      <w:r w:rsidRPr="00910D76">
        <w:rPr>
          <w:rFonts w:cstheme="minorHAnsi"/>
          <w:lang w:val="en-US"/>
        </w:rPr>
        <w:t>Data are presented as mean ± SEM. *</w:t>
      </w:r>
      <w:r w:rsidRPr="00910D76">
        <w:rPr>
          <w:rFonts w:cstheme="minorHAnsi"/>
          <w:i/>
          <w:lang w:val="en-US"/>
        </w:rPr>
        <w:t>p</w:t>
      </w:r>
      <w:r w:rsidR="009E0BA0" w:rsidRPr="00910D76">
        <w:rPr>
          <w:rFonts w:cstheme="minorHAnsi"/>
          <w:lang w:val="en-US"/>
        </w:rPr>
        <w:t xml:space="preserve"> </w:t>
      </w:r>
      <w:r w:rsidRPr="00910D76">
        <w:rPr>
          <w:rFonts w:cstheme="minorHAnsi"/>
          <w:lang w:val="en-US"/>
        </w:rPr>
        <w:t>&lt;</w:t>
      </w:r>
      <w:r w:rsidR="009E0BA0" w:rsidRPr="00910D76">
        <w:rPr>
          <w:rFonts w:cstheme="minorHAnsi"/>
          <w:lang w:val="en-US"/>
        </w:rPr>
        <w:t xml:space="preserve"> </w:t>
      </w:r>
      <w:r w:rsidRPr="00910D76">
        <w:rPr>
          <w:rFonts w:cstheme="minorHAnsi"/>
          <w:lang w:val="en-US"/>
        </w:rPr>
        <w:t>0.05 versus 0 hour (pre-supplement).</w:t>
      </w:r>
    </w:p>
    <w:p w14:paraId="116D2566" w14:textId="77777777" w:rsidR="001F7488" w:rsidRPr="00910D76" w:rsidRDefault="001F7488" w:rsidP="008275D7">
      <w:pPr>
        <w:spacing w:after="0" w:line="480" w:lineRule="auto"/>
        <w:jc w:val="both"/>
        <w:rPr>
          <w:rFonts w:cstheme="minorHAnsi"/>
          <w:b/>
          <w:u w:val="single"/>
        </w:rPr>
      </w:pPr>
    </w:p>
    <w:tbl>
      <w:tblPr>
        <w:tblStyle w:val="TableGrid"/>
        <w:tblW w:w="0" w:type="auto"/>
        <w:jc w:val="center"/>
        <w:tblLook w:val="04A0" w:firstRow="1" w:lastRow="0" w:firstColumn="1" w:lastColumn="0" w:noHBand="0" w:noVBand="1"/>
      </w:tblPr>
      <w:tblGrid>
        <w:gridCol w:w="3005"/>
        <w:gridCol w:w="3005"/>
        <w:gridCol w:w="3005"/>
      </w:tblGrid>
      <w:tr w:rsidR="001F7488" w:rsidRPr="00910D76" w14:paraId="50B136E7" w14:textId="77777777" w:rsidTr="00846069">
        <w:trPr>
          <w:jc w:val="center"/>
        </w:trPr>
        <w:tc>
          <w:tcPr>
            <w:tcW w:w="3005" w:type="dxa"/>
            <w:vMerge w:val="restart"/>
            <w:vAlign w:val="center"/>
          </w:tcPr>
          <w:p w14:paraId="23408609" w14:textId="77777777" w:rsidR="001F7488" w:rsidRPr="00910D76" w:rsidRDefault="001F7488" w:rsidP="008275D7">
            <w:pPr>
              <w:spacing w:line="480" w:lineRule="auto"/>
              <w:jc w:val="both"/>
              <w:rPr>
                <w:rFonts w:cstheme="minorHAnsi"/>
                <w:b/>
              </w:rPr>
            </w:pPr>
            <w:r w:rsidRPr="00910D76">
              <w:rPr>
                <w:rFonts w:cstheme="minorHAnsi"/>
                <w:b/>
              </w:rPr>
              <w:t>Timepoint after consumption of supplement</w:t>
            </w:r>
          </w:p>
        </w:tc>
        <w:tc>
          <w:tcPr>
            <w:tcW w:w="6010" w:type="dxa"/>
            <w:gridSpan w:val="2"/>
            <w:vAlign w:val="center"/>
          </w:tcPr>
          <w:p w14:paraId="7D62C1C9" w14:textId="11BDF319" w:rsidR="001F7488" w:rsidRPr="00910D76" w:rsidRDefault="001F7488" w:rsidP="008275D7">
            <w:pPr>
              <w:spacing w:line="480" w:lineRule="auto"/>
              <w:jc w:val="both"/>
              <w:rPr>
                <w:rFonts w:cstheme="minorHAnsi"/>
                <w:b/>
              </w:rPr>
            </w:pPr>
            <w:r w:rsidRPr="00910D76">
              <w:rPr>
                <w:rFonts w:cstheme="minorHAnsi"/>
                <w:b/>
              </w:rPr>
              <w:t>ECGC (µg</w:t>
            </w:r>
            <w:r w:rsidR="009E0BA0" w:rsidRPr="00910D76">
              <w:rPr>
                <w:rFonts w:cstheme="minorHAnsi"/>
                <w:b/>
              </w:rPr>
              <w:t>·</w:t>
            </w:r>
            <w:proofErr w:type="gramStart"/>
            <w:r w:rsidRPr="00910D76">
              <w:rPr>
                <w:rFonts w:cstheme="minorHAnsi"/>
                <w:b/>
              </w:rPr>
              <w:t>ml</w:t>
            </w:r>
            <w:r w:rsidR="009E0BA0" w:rsidRPr="00910D76">
              <w:rPr>
                <w:rFonts w:cstheme="minorHAnsi"/>
                <w:b/>
                <w:vertAlign w:val="superscript"/>
              </w:rPr>
              <w:t>-1</w:t>
            </w:r>
            <w:proofErr w:type="gramEnd"/>
            <w:r w:rsidRPr="00910D76">
              <w:rPr>
                <w:rFonts w:cstheme="minorHAnsi"/>
                <w:b/>
              </w:rPr>
              <w:t>)</w:t>
            </w:r>
          </w:p>
        </w:tc>
      </w:tr>
      <w:tr w:rsidR="001F7488" w:rsidRPr="00910D76" w14:paraId="7545AD08" w14:textId="77777777" w:rsidTr="00846069">
        <w:trPr>
          <w:jc w:val="center"/>
        </w:trPr>
        <w:tc>
          <w:tcPr>
            <w:tcW w:w="3005" w:type="dxa"/>
            <w:vMerge/>
            <w:vAlign w:val="center"/>
          </w:tcPr>
          <w:p w14:paraId="39941190" w14:textId="77777777" w:rsidR="001F7488" w:rsidRPr="00910D76" w:rsidRDefault="001F7488" w:rsidP="008275D7">
            <w:pPr>
              <w:spacing w:line="480" w:lineRule="auto"/>
              <w:jc w:val="both"/>
              <w:rPr>
                <w:rFonts w:cstheme="minorHAnsi"/>
                <w:b/>
              </w:rPr>
            </w:pPr>
          </w:p>
        </w:tc>
        <w:tc>
          <w:tcPr>
            <w:tcW w:w="3005" w:type="dxa"/>
            <w:vAlign w:val="center"/>
          </w:tcPr>
          <w:p w14:paraId="00728C65" w14:textId="77777777" w:rsidR="001F7488" w:rsidRPr="00910D76" w:rsidRDefault="001F7488" w:rsidP="008275D7">
            <w:pPr>
              <w:spacing w:line="480" w:lineRule="auto"/>
              <w:jc w:val="both"/>
              <w:rPr>
                <w:rFonts w:cstheme="minorHAnsi"/>
                <w:b/>
              </w:rPr>
            </w:pPr>
            <w:r w:rsidRPr="00910D76">
              <w:rPr>
                <w:rFonts w:cstheme="minorHAnsi"/>
                <w:b/>
              </w:rPr>
              <w:t>Control</w:t>
            </w:r>
          </w:p>
        </w:tc>
        <w:tc>
          <w:tcPr>
            <w:tcW w:w="3005" w:type="dxa"/>
            <w:vAlign w:val="center"/>
          </w:tcPr>
          <w:p w14:paraId="4580B251" w14:textId="056BC630" w:rsidR="001F7488" w:rsidRPr="00910D76" w:rsidRDefault="009E0BA0" w:rsidP="008275D7">
            <w:pPr>
              <w:spacing w:line="480" w:lineRule="auto"/>
              <w:jc w:val="both"/>
              <w:rPr>
                <w:rFonts w:cstheme="minorHAnsi"/>
                <w:b/>
              </w:rPr>
            </w:pPr>
            <w:r w:rsidRPr="00910D76">
              <w:rPr>
                <w:rFonts w:cstheme="minorHAnsi"/>
                <w:b/>
              </w:rPr>
              <w:t>d</w:t>
            </w:r>
            <w:r w:rsidR="001F7488" w:rsidRPr="00910D76">
              <w:rPr>
                <w:rFonts w:cstheme="minorHAnsi"/>
                <w:b/>
              </w:rPr>
              <w:t>GTE1</w:t>
            </w:r>
          </w:p>
        </w:tc>
      </w:tr>
      <w:tr w:rsidR="001F7488" w:rsidRPr="00910D76" w14:paraId="45FAEFA6" w14:textId="77777777" w:rsidTr="00846069">
        <w:trPr>
          <w:jc w:val="center"/>
        </w:trPr>
        <w:tc>
          <w:tcPr>
            <w:tcW w:w="3005" w:type="dxa"/>
            <w:vAlign w:val="center"/>
          </w:tcPr>
          <w:p w14:paraId="0D0C0EE2" w14:textId="77777777" w:rsidR="001F7488" w:rsidRPr="00910D76" w:rsidRDefault="001F7488" w:rsidP="008275D7">
            <w:pPr>
              <w:spacing w:line="480" w:lineRule="auto"/>
              <w:jc w:val="both"/>
              <w:rPr>
                <w:rFonts w:cstheme="minorHAnsi"/>
                <w:b/>
              </w:rPr>
            </w:pPr>
            <w:r w:rsidRPr="00910D76">
              <w:rPr>
                <w:rFonts w:cstheme="minorHAnsi"/>
                <w:b/>
              </w:rPr>
              <w:t>0 hour</w:t>
            </w:r>
          </w:p>
        </w:tc>
        <w:tc>
          <w:tcPr>
            <w:tcW w:w="3005" w:type="dxa"/>
            <w:vAlign w:val="center"/>
          </w:tcPr>
          <w:p w14:paraId="22A3BB10" w14:textId="77777777" w:rsidR="001F7488" w:rsidRPr="00910D76" w:rsidRDefault="001F7488" w:rsidP="008275D7">
            <w:pPr>
              <w:spacing w:line="480" w:lineRule="auto"/>
              <w:jc w:val="both"/>
              <w:rPr>
                <w:rFonts w:cstheme="minorHAnsi"/>
                <w:bCs/>
              </w:rPr>
            </w:pPr>
            <w:r w:rsidRPr="00910D76">
              <w:rPr>
                <w:rFonts w:cstheme="minorHAnsi"/>
                <w:bCs/>
              </w:rPr>
              <w:t>0.0017 ± 0.0000</w:t>
            </w:r>
          </w:p>
        </w:tc>
        <w:tc>
          <w:tcPr>
            <w:tcW w:w="3005" w:type="dxa"/>
            <w:vAlign w:val="center"/>
          </w:tcPr>
          <w:p w14:paraId="7E4C08CF" w14:textId="77777777" w:rsidR="001F7488" w:rsidRPr="00910D76" w:rsidRDefault="001F7488" w:rsidP="008275D7">
            <w:pPr>
              <w:spacing w:line="480" w:lineRule="auto"/>
              <w:jc w:val="both"/>
              <w:rPr>
                <w:rFonts w:cstheme="minorHAnsi"/>
                <w:bCs/>
              </w:rPr>
            </w:pPr>
            <w:r w:rsidRPr="00910D76">
              <w:rPr>
                <w:rFonts w:cstheme="minorHAnsi"/>
                <w:bCs/>
              </w:rPr>
              <w:t>0.0031 ± 0.0007</w:t>
            </w:r>
          </w:p>
        </w:tc>
      </w:tr>
      <w:tr w:rsidR="001F7488" w:rsidRPr="00910D76" w14:paraId="0A3A1E10" w14:textId="77777777" w:rsidTr="00846069">
        <w:trPr>
          <w:jc w:val="center"/>
        </w:trPr>
        <w:tc>
          <w:tcPr>
            <w:tcW w:w="3005" w:type="dxa"/>
            <w:vAlign w:val="center"/>
          </w:tcPr>
          <w:p w14:paraId="46C89649" w14:textId="77777777" w:rsidR="001F7488" w:rsidRPr="00910D76" w:rsidRDefault="001F7488" w:rsidP="008275D7">
            <w:pPr>
              <w:spacing w:line="480" w:lineRule="auto"/>
              <w:jc w:val="both"/>
              <w:rPr>
                <w:rFonts w:cstheme="minorHAnsi"/>
                <w:b/>
              </w:rPr>
            </w:pPr>
            <w:r w:rsidRPr="00910D76">
              <w:rPr>
                <w:rFonts w:cstheme="minorHAnsi"/>
                <w:b/>
              </w:rPr>
              <w:t xml:space="preserve">2 </w:t>
            </w:r>
            <w:proofErr w:type="gramStart"/>
            <w:r w:rsidRPr="00910D76">
              <w:rPr>
                <w:rFonts w:cstheme="minorHAnsi"/>
                <w:b/>
              </w:rPr>
              <w:t>hour</w:t>
            </w:r>
            <w:proofErr w:type="gramEnd"/>
          </w:p>
        </w:tc>
        <w:tc>
          <w:tcPr>
            <w:tcW w:w="3005" w:type="dxa"/>
            <w:vAlign w:val="center"/>
          </w:tcPr>
          <w:p w14:paraId="183A4657" w14:textId="77777777" w:rsidR="001F7488" w:rsidRPr="00910D76" w:rsidRDefault="001F7488" w:rsidP="008275D7">
            <w:pPr>
              <w:spacing w:line="480" w:lineRule="auto"/>
              <w:jc w:val="both"/>
              <w:rPr>
                <w:rFonts w:cstheme="minorHAnsi"/>
                <w:bCs/>
              </w:rPr>
            </w:pPr>
            <w:r w:rsidRPr="00910D76">
              <w:rPr>
                <w:rFonts w:cstheme="minorHAnsi"/>
                <w:bCs/>
              </w:rPr>
              <w:t>0.0094 ± 0.0038</w:t>
            </w:r>
          </w:p>
        </w:tc>
        <w:tc>
          <w:tcPr>
            <w:tcW w:w="3005" w:type="dxa"/>
            <w:vAlign w:val="center"/>
          </w:tcPr>
          <w:p w14:paraId="0EA92697" w14:textId="77777777" w:rsidR="001F7488" w:rsidRPr="00910D76" w:rsidRDefault="001F7488" w:rsidP="008275D7">
            <w:pPr>
              <w:spacing w:line="480" w:lineRule="auto"/>
              <w:jc w:val="both"/>
              <w:rPr>
                <w:rFonts w:cstheme="minorHAnsi"/>
                <w:bCs/>
              </w:rPr>
            </w:pPr>
            <w:r w:rsidRPr="00910D76">
              <w:rPr>
                <w:rFonts w:cstheme="minorHAnsi"/>
                <w:bCs/>
              </w:rPr>
              <w:t>0.1605 ± 0.0793</w:t>
            </w:r>
          </w:p>
        </w:tc>
      </w:tr>
      <w:tr w:rsidR="001F7488" w:rsidRPr="00910D76" w14:paraId="50EA950F" w14:textId="77777777" w:rsidTr="00846069">
        <w:trPr>
          <w:jc w:val="center"/>
        </w:trPr>
        <w:tc>
          <w:tcPr>
            <w:tcW w:w="3005" w:type="dxa"/>
            <w:vAlign w:val="center"/>
          </w:tcPr>
          <w:p w14:paraId="72A00FEB" w14:textId="77777777" w:rsidR="001F7488" w:rsidRPr="00910D76" w:rsidRDefault="001F7488" w:rsidP="008275D7">
            <w:pPr>
              <w:spacing w:line="480" w:lineRule="auto"/>
              <w:jc w:val="both"/>
              <w:rPr>
                <w:rFonts w:cstheme="minorHAnsi"/>
                <w:b/>
              </w:rPr>
            </w:pPr>
            <w:r w:rsidRPr="00910D76">
              <w:rPr>
                <w:rFonts w:cstheme="minorHAnsi"/>
                <w:b/>
              </w:rPr>
              <w:t xml:space="preserve">4 </w:t>
            </w:r>
            <w:proofErr w:type="gramStart"/>
            <w:r w:rsidRPr="00910D76">
              <w:rPr>
                <w:rFonts w:cstheme="minorHAnsi"/>
                <w:b/>
              </w:rPr>
              <w:t>hour</w:t>
            </w:r>
            <w:proofErr w:type="gramEnd"/>
          </w:p>
        </w:tc>
        <w:tc>
          <w:tcPr>
            <w:tcW w:w="3005" w:type="dxa"/>
            <w:vAlign w:val="center"/>
          </w:tcPr>
          <w:p w14:paraId="018FAED9" w14:textId="77777777" w:rsidR="001F7488" w:rsidRPr="00910D76" w:rsidRDefault="001F7488" w:rsidP="008275D7">
            <w:pPr>
              <w:spacing w:line="480" w:lineRule="auto"/>
              <w:jc w:val="both"/>
              <w:rPr>
                <w:rFonts w:cstheme="minorHAnsi"/>
                <w:bCs/>
              </w:rPr>
            </w:pPr>
            <w:r w:rsidRPr="00910D76">
              <w:rPr>
                <w:rFonts w:cstheme="minorHAnsi"/>
                <w:bCs/>
              </w:rPr>
              <w:t>0.0555 ± 0.0095</w:t>
            </w:r>
          </w:p>
        </w:tc>
        <w:tc>
          <w:tcPr>
            <w:tcW w:w="3005" w:type="dxa"/>
            <w:vAlign w:val="center"/>
          </w:tcPr>
          <w:p w14:paraId="003373B5" w14:textId="77777777" w:rsidR="001F7488" w:rsidRPr="00910D76" w:rsidRDefault="001F7488" w:rsidP="008275D7">
            <w:pPr>
              <w:spacing w:line="480" w:lineRule="auto"/>
              <w:jc w:val="both"/>
              <w:rPr>
                <w:rFonts w:cstheme="minorHAnsi"/>
                <w:bCs/>
              </w:rPr>
            </w:pPr>
            <w:r w:rsidRPr="00910D76">
              <w:rPr>
                <w:rFonts w:cstheme="minorHAnsi"/>
                <w:bCs/>
              </w:rPr>
              <w:t>0.2528 ± 0.0776*</w:t>
            </w:r>
          </w:p>
        </w:tc>
      </w:tr>
      <w:tr w:rsidR="001F7488" w:rsidRPr="00910D76" w14:paraId="48D7F0E3" w14:textId="77777777" w:rsidTr="00846069">
        <w:trPr>
          <w:jc w:val="center"/>
        </w:trPr>
        <w:tc>
          <w:tcPr>
            <w:tcW w:w="3005" w:type="dxa"/>
            <w:vAlign w:val="center"/>
          </w:tcPr>
          <w:p w14:paraId="52654F87" w14:textId="77777777" w:rsidR="001F7488" w:rsidRPr="00910D76" w:rsidRDefault="001F7488" w:rsidP="008275D7">
            <w:pPr>
              <w:spacing w:line="480" w:lineRule="auto"/>
              <w:jc w:val="both"/>
              <w:rPr>
                <w:rFonts w:cstheme="minorHAnsi"/>
                <w:b/>
              </w:rPr>
            </w:pPr>
            <w:r w:rsidRPr="00910D76">
              <w:rPr>
                <w:rFonts w:cstheme="minorHAnsi"/>
                <w:b/>
              </w:rPr>
              <w:t xml:space="preserve">6 </w:t>
            </w:r>
            <w:proofErr w:type="gramStart"/>
            <w:r w:rsidRPr="00910D76">
              <w:rPr>
                <w:rFonts w:cstheme="minorHAnsi"/>
                <w:b/>
              </w:rPr>
              <w:t>hour</w:t>
            </w:r>
            <w:proofErr w:type="gramEnd"/>
          </w:p>
        </w:tc>
        <w:tc>
          <w:tcPr>
            <w:tcW w:w="3005" w:type="dxa"/>
            <w:vAlign w:val="center"/>
          </w:tcPr>
          <w:p w14:paraId="13A8D1C7" w14:textId="77777777" w:rsidR="001F7488" w:rsidRPr="00910D76" w:rsidRDefault="001F7488" w:rsidP="008275D7">
            <w:pPr>
              <w:spacing w:line="480" w:lineRule="auto"/>
              <w:jc w:val="both"/>
              <w:rPr>
                <w:rFonts w:cstheme="minorHAnsi"/>
                <w:bCs/>
              </w:rPr>
            </w:pPr>
            <w:r w:rsidRPr="00910D76">
              <w:rPr>
                <w:rFonts w:cstheme="minorHAnsi"/>
                <w:bCs/>
              </w:rPr>
              <w:t>0.0457 ± 0.0040</w:t>
            </w:r>
          </w:p>
        </w:tc>
        <w:tc>
          <w:tcPr>
            <w:tcW w:w="3005" w:type="dxa"/>
            <w:vAlign w:val="center"/>
          </w:tcPr>
          <w:p w14:paraId="4E8469B4" w14:textId="77777777" w:rsidR="001F7488" w:rsidRPr="00910D76" w:rsidRDefault="001F7488" w:rsidP="008275D7">
            <w:pPr>
              <w:spacing w:line="480" w:lineRule="auto"/>
              <w:jc w:val="both"/>
              <w:rPr>
                <w:rFonts w:cstheme="minorHAnsi"/>
                <w:bCs/>
              </w:rPr>
            </w:pPr>
            <w:r w:rsidRPr="00910D76">
              <w:rPr>
                <w:rFonts w:cstheme="minorHAnsi"/>
                <w:bCs/>
              </w:rPr>
              <w:t>0.2631 ± 0.0605*</w:t>
            </w:r>
          </w:p>
        </w:tc>
      </w:tr>
    </w:tbl>
    <w:p w14:paraId="1F410DC8" w14:textId="77777777" w:rsidR="001F7488" w:rsidRPr="00910D76" w:rsidRDefault="001F7488" w:rsidP="008275D7">
      <w:pPr>
        <w:spacing w:line="480" w:lineRule="auto"/>
        <w:jc w:val="both"/>
        <w:rPr>
          <w:rFonts w:cstheme="minorHAnsi"/>
        </w:rPr>
      </w:pPr>
    </w:p>
    <w:p w14:paraId="7F99992E" w14:textId="6FFF2D32" w:rsidR="001F7488" w:rsidRPr="00DC0064" w:rsidRDefault="0003259C" w:rsidP="00DC0064">
      <w:pPr>
        <w:spacing w:after="0" w:line="480" w:lineRule="auto"/>
        <w:jc w:val="both"/>
        <w:rPr>
          <w:rFonts w:cstheme="minorHAnsi"/>
          <w:lang w:val="en-US"/>
        </w:rPr>
      </w:pPr>
      <w:r w:rsidRPr="00910D76">
        <w:rPr>
          <w:rFonts w:cstheme="minorHAnsi"/>
          <w:b/>
        </w:rPr>
        <w:t xml:space="preserve">Table 4: </w:t>
      </w:r>
      <w:r w:rsidR="00665FE2" w:rsidRPr="00910D76">
        <w:rPr>
          <w:rFonts w:cstheme="minorHAnsi"/>
          <w:b/>
        </w:rPr>
        <w:t xml:space="preserve">List of identified compounds via GC-MS analysis of </w:t>
      </w:r>
      <w:r w:rsidR="00D60E97" w:rsidRPr="00910D76">
        <w:rPr>
          <w:rFonts w:cstheme="minorHAnsi"/>
          <w:b/>
        </w:rPr>
        <w:t>green tea extracts</w:t>
      </w:r>
      <w:r w:rsidR="005D721B" w:rsidRPr="00910D76">
        <w:rPr>
          <w:rFonts w:cstheme="minorHAnsi"/>
          <w:b/>
        </w:rPr>
        <w:t xml:space="preserve"> (</w:t>
      </w:r>
      <w:r w:rsidR="009E0BA0" w:rsidRPr="00910D76">
        <w:rPr>
          <w:rFonts w:cstheme="minorHAnsi"/>
          <w:b/>
        </w:rPr>
        <w:t>d</w:t>
      </w:r>
      <w:r w:rsidR="005D721B" w:rsidRPr="00910D76">
        <w:rPr>
          <w:rFonts w:cstheme="minorHAnsi"/>
          <w:b/>
        </w:rPr>
        <w:t xml:space="preserve">GTE1 and </w:t>
      </w:r>
      <w:r w:rsidR="009E0BA0" w:rsidRPr="00910D76">
        <w:rPr>
          <w:rFonts w:cstheme="minorHAnsi"/>
          <w:b/>
        </w:rPr>
        <w:t>d</w:t>
      </w:r>
      <w:r w:rsidR="005D721B" w:rsidRPr="00910D76">
        <w:rPr>
          <w:rFonts w:cstheme="minorHAnsi"/>
          <w:b/>
        </w:rPr>
        <w:t>GTE2). The identification qualified by Match% NIST11 indicated NIST11 library spectrum similarity.</w:t>
      </w:r>
    </w:p>
    <w:tbl>
      <w:tblPr>
        <w:tblStyle w:val="TableGrid"/>
        <w:tblW w:w="0" w:type="auto"/>
        <w:tblInd w:w="-5" w:type="dxa"/>
        <w:tblLook w:val="04A0" w:firstRow="1" w:lastRow="0" w:firstColumn="1" w:lastColumn="0" w:noHBand="0" w:noVBand="1"/>
      </w:tblPr>
      <w:tblGrid>
        <w:gridCol w:w="1773"/>
        <w:gridCol w:w="1887"/>
        <w:gridCol w:w="2152"/>
        <w:gridCol w:w="1331"/>
        <w:gridCol w:w="1777"/>
      </w:tblGrid>
      <w:tr w:rsidR="007F3EE5" w:rsidRPr="00910D76" w14:paraId="5FE35B68" w14:textId="77777777" w:rsidTr="007F3EE5">
        <w:trPr>
          <w:trHeight w:val="585"/>
        </w:trPr>
        <w:tc>
          <w:tcPr>
            <w:tcW w:w="1773" w:type="dxa"/>
            <w:vAlign w:val="center"/>
          </w:tcPr>
          <w:p w14:paraId="35BDB7BA" w14:textId="5E58B8F2" w:rsidR="007F3EE5" w:rsidRPr="00910D76" w:rsidRDefault="007F3EE5" w:rsidP="008275D7">
            <w:pPr>
              <w:spacing w:line="480" w:lineRule="auto"/>
              <w:jc w:val="both"/>
              <w:rPr>
                <w:rFonts w:cstheme="minorHAnsi"/>
                <w:b/>
                <w:bCs/>
                <w:u w:val="single"/>
              </w:rPr>
            </w:pPr>
            <w:r w:rsidRPr="00910D76">
              <w:rPr>
                <w:rFonts w:cstheme="minorHAnsi"/>
                <w:b/>
                <w:bCs/>
                <w:color w:val="000000"/>
              </w:rPr>
              <w:t>RT (mins)</w:t>
            </w:r>
          </w:p>
        </w:tc>
        <w:tc>
          <w:tcPr>
            <w:tcW w:w="1887" w:type="dxa"/>
            <w:vAlign w:val="center"/>
          </w:tcPr>
          <w:p w14:paraId="4A3E32FC" w14:textId="115BE9FA" w:rsidR="007F3EE5" w:rsidRPr="00910D76" w:rsidRDefault="007F3EE5" w:rsidP="008275D7">
            <w:pPr>
              <w:spacing w:line="480" w:lineRule="auto"/>
              <w:jc w:val="both"/>
              <w:rPr>
                <w:rFonts w:cstheme="minorHAnsi"/>
                <w:b/>
                <w:bCs/>
                <w:u w:val="single"/>
              </w:rPr>
            </w:pPr>
            <w:r w:rsidRPr="00910D76">
              <w:rPr>
                <w:rFonts w:cstheme="minorHAnsi"/>
                <w:b/>
                <w:bCs/>
                <w:color w:val="000000"/>
              </w:rPr>
              <w:t>Library/ID</w:t>
            </w:r>
          </w:p>
        </w:tc>
        <w:tc>
          <w:tcPr>
            <w:tcW w:w="2152" w:type="dxa"/>
            <w:vAlign w:val="center"/>
          </w:tcPr>
          <w:p w14:paraId="4F36D446" w14:textId="0E2BC57C" w:rsidR="007F3EE5" w:rsidRPr="00910D76" w:rsidRDefault="007F3EE5" w:rsidP="008275D7">
            <w:pPr>
              <w:spacing w:line="480" w:lineRule="auto"/>
              <w:jc w:val="both"/>
              <w:rPr>
                <w:rFonts w:cstheme="minorHAnsi"/>
                <w:b/>
                <w:bCs/>
                <w:u w:val="single"/>
              </w:rPr>
            </w:pPr>
            <w:r w:rsidRPr="00910D76">
              <w:rPr>
                <w:rFonts w:cstheme="minorHAnsi"/>
                <w:b/>
                <w:bCs/>
                <w:color w:val="000000"/>
              </w:rPr>
              <w:t>Major Ions</w:t>
            </w:r>
            <w:r w:rsidRPr="00910D76">
              <w:rPr>
                <w:rFonts w:cstheme="minorHAnsi"/>
                <w:b/>
                <w:bCs/>
                <w:color w:val="000000"/>
              </w:rPr>
              <w:br/>
              <w:t>(m/z)</w:t>
            </w:r>
          </w:p>
        </w:tc>
        <w:tc>
          <w:tcPr>
            <w:tcW w:w="1331" w:type="dxa"/>
            <w:vAlign w:val="center"/>
          </w:tcPr>
          <w:p w14:paraId="057A5C66" w14:textId="4043D939" w:rsidR="007F3EE5" w:rsidRPr="00910D76" w:rsidRDefault="007F3EE5" w:rsidP="008275D7">
            <w:pPr>
              <w:spacing w:line="480" w:lineRule="auto"/>
              <w:jc w:val="both"/>
              <w:rPr>
                <w:rFonts w:cstheme="minorHAnsi"/>
                <w:b/>
                <w:bCs/>
                <w:u w:val="single"/>
              </w:rPr>
            </w:pPr>
            <w:r w:rsidRPr="00910D76">
              <w:rPr>
                <w:rFonts w:cstheme="minorHAnsi"/>
                <w:b/>
                <w:bCs/>
                <w:color w:val="000000"/>
              </w:rPr>
              <w:t>CAS</w:t>
            </w:r>
          </w:p>
        </w:tc>
        <w:tc>
          <w:tcPr>
            <w:tcW w:w="1777" w:type="dxa"/>
            <w:vAlign w:val="center"/>
          </w:tcPr>
          <w:p w14:paraId="423755CC" w14:textId="05F13BDF" w:rsidR="007F3EE5" w:rsidRPr="00910D76" w:rsidRDefault="007F3EE5" w:rsidP="008275D7">
            <w:pPr>
              <w:spacing w:line="480" w:lineRule="auto"/>
              <w:jc w:val="both"/>
              <w:rPr>
                <w:rFonts w:cstheme="minorHAnsi"/>
                <w:b/>
                <w:bCs/>
                <w:u w:val="single"/>
              </w:rPr>
            </w:pPr>
            <w:r w:rsidRPr="00910D76">
              <w:rPr>
                <w:rFonts w:cstheme="minorHAnsi"/>
                <w:b/>
                <w:bCs/>
                <w:color w:val="000000"/>
              </w:rPr>
              <w:t>Match %</w:t>
            </w:r>
            <w:r w:rsidRPr="00910D76">
              <w:rPr>
                <w:rFonts w:cstheme="minorHAnsi"/>
                <w:b/>
                <w:bCs/>
                <w:color w:val="000000"/>
              </w:rPr>
              <w:br/>
              <w:t>NIST 11</w:t>
            </w:r>
          </w:p>
        </w:tc>
      </w:tr>
      <w:tr w:rsidR="007F3EE5" w:rsidRPr="00910D76" w14:paraId="206ED9CA" w14:textId="77777777" w:rsidTr="007F3EE5">
        <w:trPr>
          <w:trHeight w:val="299"/>
        </w:trPr>
        <w:tc>
          <w:tcPr>
            <w:tcW w:w="1773" w:type="dxa"/>
            <w:vAlign w:val="center"/>
          </w:tcPr>
          <w:p w14:paraId="30369EFE" w14:textId="2BDBD146" w:rsidR="007F3EE5" w:rsidRPr="00910D76" w:rsidRDefault="007F3EE5" w:rsidP="008275D7">
            <w:pPr>
              <w:spacing w:line="480" w:lineRule="auto"/>
              <w:jc w:val="both"/>
              <w:rPr>
                <w:rFonts w:cstheme="minorHAnsi"/>
                <w:b/>
                <w:bCs/>
                <w:u w:val="single"/>
              </w:rPr>
            </w:pPr>
            <w:r w:rsidRPr="00910D76">
              <w:rPr>
                <w:rFonts w:cstheme="minorHAnsi"/>
                <w:color w:val="000000"/>
              </w:rPr>
              <w:t>11.28</w:t>
            </w:r>
          </w:p>
        </w:tc>
        <w:tc>
          <w:tcPr>
            <w:tcW w:w="1887" w:type="dxa"/>
            <w:vAlign w:val="center"/>
          </w:tcPr>
          <w:p w14:paraId="3A7E3391" w14:textId="1DB1EA69" w:rsidR="007F3EE5" w:rsidRPr="00910D76" w:rsidRDefault="007F3EE5" w:rsidP="008275D7">
            <w:pPr>
              <w:spacing w:line="480" w:lineRule="auto"/>
              <w:jc w:val="both"/>
              <w:rPr>
                <w:rFonts w:cstheme="minorHAnsi"/>
                <w:b/>
                <w:bCs/>
                <w:u w:val="single"/>
              </w:rPr>
            </w:pPr>
            <w:r w:rsidRPr="00910D76">
              <w:rPr>
                <w:rFonts w:cstheme="minorHAnsi"/>
                <w:color w:val="000000"/>
              </w:rPr>
              <w:t>Caffeine</w:t>
            </w:r>
          </w:p>
        </w:tc>
        <w:tc>
          <w:tcPr>
            <w:tcW w:w="2152" w:type="dxa"/>
            <w:vAlign w:val="center"/>
          </w:tcPr>
          <w:p w14:paraId="168D0B7C" w14:textId="4D7A719F" w:rsidR="007F3EE5" w:rsidRPr="00910D76" w:rsidRDefault="007F3EE5" w:rsidP="008275D7">
            <w:pPr>
              <w:spacing w:line="480" w:lineRule="auto"/>
              <w:jc w:val="both"/>
              <w:rPr>
                <w:rFonts w:cstheme="minorHAnsi"/>
                <w:b/>
                <w:bCs/>
                <w:u w:val="single"/>
              </w:rPr>
            </w:pPr>
            <w:r w:rsidRPr="00910D76">
              <w:rPr>
                <w:rFonts w:cstheme="minorHAnsi"/>
                <w:color w:val="000000"/>
              </w:rPr>
              <w:t>194, 125, 109</w:t>
            </w:r>
          </w:p>
        </w:tc>
        <w:tc>
          <w:tcPr>
            <w:tcW w:w="1331" w:type="dxa"/>
            <w:vAlign w:val="center"/>
          </w:tcPr>
          <w:p w14:paraId="3BFE444D" w14:textId="6D65B26E" w:rsidR="007F3EE5" w:rsidRPr="00910D76" w:rsidRDefault="007F3EE5" w:rsidP="008275D7">
            <w:pPr>
              <w:spacing w:line="480" w:lineRule="auto"/>
              <w:jc w:val="both"/>
              <w:rPr>
                <w:rFonts w:cstheme="minorHAnsi"/>
                <w:b/>
                <w:bCs/>
                <w:u w:val="single"/>
              </w:rPr>
            </w:pPr>
            <w:r w:rsidRPr="00910D76">
              <w:rPr>
                <w:rFonts w:cstheme="minorHAnsi"/>
                <w:color w:val="000000"/>
              </w:rPr>
              <w:t>58-08-2</w:t>
            </w:r>
          </w:p>
        </w:tc>
        <w:tc>
          <w:tcPr>
            <w:tcW w:w="1777" w:type="dxa"/>
            <w:vAlign w:val="center"/>
          </w:tcPr>
          <w:p w14:paraId="248F16EA" w14:textId="717B25B6" w:rsidR="007F3EE5" w:rsidRPr="00910D76" w:rsidRDefault="007F3EE5" w:rsidP="008275D7">
            <w:pPr>
              <w:spacing w:line="480" w:lineRule="auto"/>
              <w:jc w:val="both"/>
              <w:rPr>
                <w:rFonts w:cstheme="minorHAnsi"/>
                <w:b/>
                <w:bCs/>
                <w:u w:val="single"/>
              </w:rPr>
            </w:pPr>
            <w:r w:rsidRPr="00910D76">
              <w:rPr>
                <w:rFonts w:cstheme="minorHAnsi"/>
                <w:color w:val="000000"/>
              </w:rPr>
              <w:t>89.10</w:t>
            </w:r>
          </w:p>
        </w:tc>
      </w:tr>
      <w:tr w:rsidR="007F3EE5" w:rsidRPr="00910D76" w14:paraId="354A3664" w14:textId="77777777" w:rsidTr="007F3EE5">
        <w:trPr>
          <w:trHeight w:val="285"/>
        </w:trPr>
        <w:tc>
          <w:tcPr>
            <w:tcW w:w="1773" w:type="dxa"/>
            <w:vAlign w:val="center"/>
          </w:tcPr>
          <w:p w14:paraId="57A5D87F" w14:textId="2D20698F" w:rsidR="007F3EE5" w:rsidRPr="00910D76" w:rsidRDefault="007F3EE5" w:rsidP="008275D7">
            <w:pPr>
              <w:spacing w:line="480" w:lineRule="auto"/>
              <w:jc w:val="both"/>
              <w:rPr>
                <w:rFonts w:cstheme="minorHAnsi"/>
                <w:b/>
                <w:bCs/>
                <w:u w:val="single"/>
              </w:rPr>
            </w:pPr>
            <w:r w:rsidRPr="00910D76">
              <w:rPr>
                <w:rFonts w:cstheme="minorHAnsi"/>
                <w:color w:val="000000"/>
              </w:rPr>
              <w:t>12.33</w:t>
            </w:r>
          </w:p>
        </w:tc>
        <w:tc>
          <w:tcPr>
            <w:tcW w:w="1887" w:type="dxa"/>
            <w:vAlign w:val="center"/>
          </w:tcPr>
          <w:p w14:paraId="106F703C" w14:textId="1064EA75" w:rsidR="007F3EE5" w:rsidRPr="00910D76" w:rsidRDefault="007F3EE5" w:rsidP="008275D7">
            <w:pPr>
              <w:spacing w:line="480" w:lineRule="auto"/>
              <w:jc w:val="both"/>
              <w:rPr>
                <w:rFonts w:cstheme="minorHAnsi"/>
                <w:b/>
                <w:bCs/>
                <w:u w:val="single"/>
              </w:rPr>
            </w:pPr>
            <w:r w:rsidRPr="00910D76">
              <w:rPr>
                <w:rFonts w:cstheme="minorHAnsi"/>
                <w:color w:val="000000"/>
              </w:rPr>
              <w:t>Palmitic Acid</w:t>
            </w:r>
          </w:p>
        </w:tc>
        <w:tc>
          <w:tcPr>
            <w:tcW w:w="2152" w:type="dxa"/>
            <w:vAlign w:val="center"/>
          </w:tcPr>
          <w:p w14:paraId="1E315716" w14:textId="0A8332F8" w:rsidR="007F3EE5" w:rsidRPr="00910D76" w:rsidRDefault="007F3EE5" w:rsidP="008275D7">
            <w:pPr>
              <w:spacing w:line="480" w:lineRule="auto"/>
              <w:jc w:val="both"/>
              <w:rPr>
                <w:rFonts w:cstheme="minorHAnsi"/>
                <w:b/>
                <w:bCs/>
                <w:u w:val="single"/>
              </w:rPr>
            </w:pPr>
            <w:r w:rsidRPr="00910D76">
              <w:rPr>
                <w:rFonts w:cstheme="minorHAnsi"/>
                <w:color w:val="000000"/>
              </w:rPr>
              <w:t>256, 213, 129</w:t>
            </w:r>
          </w:p>
        </w:tc>
        <w:tc>
          <w:tcPr>
            <w:tcW w:w="1331" w:type="dxa"/>
            <w:vAlign w:val="center"/>
          </w:tcPr>
          <w:p w14:paraId="65E69DB0" w14:textId="66470ADD" w:rsidR="007F3EE5" w:rsidRPr="00910D76" w:rsidRDefault="007F3EE5" w:rsidP="008275D7">
            <w:pPr>
              <w:spacing w:line="480" w:lineRule="auto"/>
              <w:jc w:val="both"/>
              <w:rPr>
                <w:rFonts w:cstheme="minorHAnsi"/>
                <w:b/>
                <w:bCs/>
                <w:u w:val="single"/>
              </w:rPr>
            </w:pPr>
            <w:r w:rsidRPr="00910D76">
              <w:rPr>
                <w:rFonts w:cstheme="minorHAnsi"/>
                <w:color w:val="000000"/>
              </w:rPr>
              <w:t>57-10-3</w:t>
            </w:r>
          </w:p>
        </w:tc>
        <w:tc>
          <w:tcPr>
            <w:tcW w:w="1777" w:type="dxa"/>
            <w:vAlign w:val="center"/>
          </w:tcPr>
          <w:p w14:paraId="5B3C59B4" w14:textId="4E78B805" w:rsidR="007F3EE5" w:rsidRPr="00910D76" w:rsidRDefault="007F3EE5" w:rsidP="008275D7">
            <w:pPr>
              <w:spacing w:line="480" w:lineRule="auto"/>
              <w:jc w:val="both"/>
              <w:rPr>
                <w:rFonts w:cstheme="minorHAnsi"/>
                <w:b/>
                <w:bCs/>
                <w:u w:val="single"/>
              </w:rPr>
            </w:pPr>
            <w:r w:rsidRPr="00910D76">
              <w:rPr>
                <w:rFonts w:cstheme="minorHAnsi"/>
                <w:color w:val="000000"/>
              </w:rPr>
              <w:t>77.08</w:t>
            </w:r>
          </w:p>
        </w:tc>
      </w:tr>
      <w:tr w:rsidR="007F3EE5" w:rsidRPr="00910D76" w14:paraId="73C4DBE6" w14:textId="77777777" w:rsidTr="007F3EE5">
        <w:trPr>
          <w:trHeight w:val="285"/>
        </w:trPr>
        <w:tc>
          <w:tcPr>
            <w:tcW w:w="1773" w:type="dxa"/>
            <w:vAlign w:val="center"/>
          </w:tcPr>
          <w:p w14:paraId="7B1578A9" w14:textId="115A690B" w:rsidR="007F3EE5" w:rsidRPr="00910D76" w:rsidRDefault="007F3EE5" w:rsidP="008275D7">
            <w:pPr>
              <w:spacing w:line="480" w:lineRule="auto"/>
              <w:jc w:val="both"/>
              <w:rPr>
                <w:rFonts w:cstheme="minorHAnsi"/>
                <w:b/>
                <w:bCs/>
                <w:u w:val="single"/>
              </w:rPr>
            </w:pPr>
            <w:r w:rsidRPr="00910D76">
              <w:rPr>
                <w:rFonts w:cstheme="minorHAnsi"/>
                <w:color w:val="000000"/>
              </w:rPr>
              <w:t>13.70</w:t>
            </w:r>
          </w:p>
        </w:tc>
        <w:tc>
          <w:tcPr>
            <w:tcW w:w="1887" w:type="dxa"/>
            <w:vAlign w:val="center"/>
          </w:tcPr>
          <w:p w14:paraId="01C2DF8A" w14:textId="79EE3A5F" w:rsidR="007F3EE5" w:rsidRPr="00910D76" w:rsidRDefault="007F3EE5" w:rsidP="008275D7">
            <w:pPr>
              <w:spacing w:line="480" w:lineRule="auto"/>
              <w:jc w:val="both"/>
              <w:rPr>
                <w:rFonts w:cstheme="minorHAnsi"/>
                <w:b/>
                <w:bCs/>
                <w:u w:val="single"/>
              </w:rPr>
            </w:pPr>
            <w:r w:rsidRPr="00910D76">
              <w:rPr>
                <w:rFonts w:cstheme="minorHAnsi"/>
                <w:color w:val="000000"/>
              </w:rPr>
              <w:t>Stearic Acid</w:t>
            </w:r>
          </w:p>
        </w:tc>
        <w:tc>
          <w:tcPr>
            <w:tcW w:w="2152" w:type="dxa"/>
            <w:vAlign w:val="center"/>
          </w:tcPr>
          <w:p w14:paraId="2C06533A" w14:textId="43423F21" w:rsidR="007F3EE5" w:rsidRPr="00910D76" w:rsidRDefault="007F3EE5" w:rsidP="008275D7">
            <w:pPr>
              <w:spacing w:line="480" w:lineRule="auto"/>
              <w:jc w:val="both"/>
              <w:rPr>
                <w:rFonts w:cstheme="minorHAnsi"/>
                <w:b/>
                <w:bCs/>
                <w:u w:val="single"/>
              </w:rPr>
            </w:pPr>
            <w:r w:rsidRPr="00910D76">
              <w:rPr>
                <w:rFonts w:cstheme="minorHAnsi"/>
                <w:color w:val="000000"/>
              </w:rPr>
              <w:t>284, 241, 185</w:t>
            </w:r>
          </w:p>
        </w:tc>
        <w:tc>
          <w:tcPr>
            <w:tcW w:w="1331" w:type="dxa"/>
            <w:vAlign w:val="center"/>
          </w:tcPr>
          <w:p w14:paraId="09B3A45A" w14:textId="5F7CAF20" w:rsidR="007F3EE5" w:rsidRPr="00910D76" w:rsidRDefault="007F3EE5" w:rsidP="008275D7">
            <w:pPr>
              <w:spacing w:line="480" w:lineRule="auto"/>
              <w:jc w:val="both"/>
              <w:rPr>
                <w:rFonts w:cstheme="minorHAnsi"/>
                <w:b/>
                <w:bCs/>
                <w:u w:val="single"/>
              </w:rPr>
            </w:pPr>
            <w:r w:rsidRPr="00910D76">
              <w:rPr>
                <w:rFonts w:cstheme="minorHAnsi"/>
                <w:color w:val="000000"/>
              </w:rPr>
              <w:t>57-11-4</w:t>
            </w:r>
          </w:p>
        </w:tc>
        <w:tc>
          <w:tcPr>
            <w:tcW w:w="1777" w:type="dxa"/>
            <w:vAlign w:val="center"/>
          </w:tcPr>
          <w:p w14:paraId="4BB4D7BA" w14:textId="4D574C2B" w:rsidR="007F3EE5" w:rsidRPr="00910D76" w:rsidRDefault="007F3EE5" w:rsidP="008275D7">
            <w:pPr>
              <w:spacing w:line="480" w:lineRule="auto"/>
              <w:jc w:val="both"/>
              <w:rPr>
                <w:rFonts w:cstheme="minorHAnsi"/>
                <w:b/>
                <w:bCs/>
                <w:u w:val="single"/>
              </w:rPr>
            </w:pPr>
            <w:r w:rsidRPr="00910D76">
              <w:rPr>
                <w:rFonts w:cstheme="minorHAnsi"/>
                <w:color w:val="000000"/>
              </w:rPr>
              <w:t>86.20</w:t>
            </w:r>
          </w:p>
        </w:tc>
      </w:tr>
      <w:tr w:rsidR="007F3EE5" w:rsidRPr="00910D76" w14:paraId="0E8AD4B0" w14:textId="77777777" w:rsidTr="007F3EE5">
        <w:trPr>
          <w:trHeight w:val="353"/>
        </w:trPr>
        <w:tc>
          <w:tcPr>
            <w:tcW w:w="1773" w:type="dxa"/>
            <w:vAlign w:val="center"/>
          </w:tcPr>
          <w:p w14:paraId="623504E2" w14:textId="75CBE132" w:rsidR="007F3EE5" w:rsidRPr="00910D76" w:rsidRDefault="007F3EE5" w:rsidP="008275D7">
            <w:pPr>
              <w:spacing w:line="480" w:lineRule="auto"/>
              <w:jc w:val="both"/>
              <w:rPr>
                <w:rFonts w:cstheme="minorHAnsi"/>
                <w:b/>
                <w:bCs/>
                <w:u w:val="single"/>
              </w:rPr>
            </w:pPr>
            <w:r w:rsidRPr="00910D76">
              <w:rPr>
                <w:rFonts w:cstheme="minorHAnsi"/>
                <w:color w:val="000000"/>
              </w:rPr>
              <w:t>18.42</w:t>
            </w:r>
          </w:p>
        </w:tc>
        <w:tc>
          <w:tcPr>
            <w:tcW w:w="1887" w:type="dxa"/>
            <w:vAlign w:val="center"/>
          </w:tcPr>
          <w:p w14:paraId="27093589" w14:textId="321F868E" w:rsidR="007F3EE5" w:rsidRPr="00910D76" w:rsidRDefault="007F3EE5" w:rsidP="008275D7">
            <w:pPr>
              <w:spacing w:line="480" w:lineRule="auto"/>
              <w:jc w:val="both"/>
              <w:rPr>
                <w:rFonts w:cstheme="minorHAnsi"/>
                <w:b/>
                <w:bCs/>
                <w:u w:val="single"/>
              </w:rPr>
            </w:pPr>
            <w:r w:rsidRPr="00910D76">
              <w:rPr>
                <w:rFonts w:cstheme="minorHAnsi"/>
                <w:color w:val="000000"/>
              </w:rPr>
              <w:t>Internal Marker</w:t>
            </w:r>
          </w:p>
        </w:tc>
        <w:tc>
          <w:tcPr>
            <w:tcW w:w="2152" w:type="dxa"/>
            <w:vAlign w:val="center"/>
          </w:tcPr>
          <w:p w14:paraId="27577DAC" w14:textId="7E79B340" w:rsidR="007F3EE5" w:rsidRPr="00910D76" w:rsidRDefault="007F3EE5" w:rsidP="008275D7">
            <w:pPr>
              <w:spacing w:line="480" w:lineRule="auto"/>
              <w:jc w:val="both"/>
              <w:rPr>
                <w:rFonts w:cstheme="minorHAnsi"/>
                <w:b/>
                <w:bCs/>
                <w:u w:val="single"/>
              </w:rPr>
            </w:pPr>
            <w:r w:rsidRPr="00910D76">
              <w:rPr>
                <w:rFonts w:cstheme="minorHAnsi"/>
                <w:color w:val="000000"/>
              </w:rPr>
              <w:t>330, 253, 165</w:t>
            </w:r>
          </w:p>
        </w:tc>
        <w:tc>
          <w:tcPr>
            <w:tcW w:w="1331" w:type="dxa"/>
            <w:vAlign w:val="center"/>
          </w:tcPr>
          <w:p w14:paraId="627CEC19" w14:textId="1DDE8AE6" w:rsidR="007F3EE5" w:rsidRPr="00910D76" w:rsidRDefault="007F3EE5" w:rsidP="008275D7">
            <w:pPr>
              <w:spacing w:line="480" w:lineRule="auto"/>
              <w:jc w:val="both"/>
              <w:rPr>
                <w:rFonts w:cstheme="minorHAnsi"/>
                <w:b/>
                <w:bCs/>
                <w:u w:val="single"/>
              </w:rPr>
            </w:pPr>
            <w:r w:rsidRPr="00910D76">
              <w:rPr>
                <w:rFonts w:cstheme="minorHAnsi"/>
                <w:color w:val="000000"/>
              </w:rPr>
              <w:t>129-73-7</w:t>
            </w:r>
          </w:p>
        </w:tc>
        <w:tc>
          <w:tcPr>
            <w:tcW w:w="1777" w:type="dxa"/>
            <w:vAlign w:val="center"/>
          </w:tcPr>
          <w:p w14:paraId="6D7A7942" w14:textId="7D835BB7" w:rsidR="007F3EE5" w:rsidRPr="00910D76" w:rsidRDefault="007F3EE5" w:rsidP="008275D7">
            <w:pPr>
              <w:spacing w:line="480" w:lineRule="auto"/>
              <w:jc w:val="both"/>
              <w:rPr>
                <w:rFonts w:cstheme="minorHAnsi"/>
                <w:b/>
                <w:bCs/>
                <w:u w:val="single"/>
              </w:rPr>
            </w:pPr>
            <w:r w:rsidRPr="00910D76">
              <w:rPr>
                <w:rFonts w:cstheme="minorHAnsi"/>
                <w:color w:val="000000"/>
              </w:rPr>
              <w:t>82.92</w:t>
            </w:r>
          </w:p>
        </w:tc>
      </w:tr>
    </w:tbl>
    <w:p w14:paraId="429676B1" w14:textId="77777777" w:rsidR="001F7488" w:rsidRPr="00910D76" w:rsidRDefault="001F7488" w:rsidP="008275D7">
      <w:pPr>
        <w:spacing w:after="0" w:line="480" w:lineRule="auto"/>
        <w:jc w:val="both"/>
        <w:rPr>
          <w:rFonts w:cstheme="minorHAnsi"/>
          <w:b/>
          <w:bCs/>
          <w:u w:val="single"/>
        </w:rPr>
      </w:pPr>
    </w:p>
    <w:p w14:paraId="02C68B4E" w14:textId="670BACD9" w:rsidR="001F7488" w:rsidRPr="00910D76" w:rsidRDefault="001F7488" w:rsidP="008275D7">
      <w:pPr>
        <w:spacing w:line="480" w:lineRule="auto"/>
        <w:jc w:val="both"/>
        <w:rPr>
          <w:rFonts w:cstheme="minorHAnsi"/>
          <w:b/>
          <w:u w:val="single"/>
        </w:rPr>
      </w:pPr>
      <w:r w:rsidRPr="00910D76">
        <w:rPr>
          <w:rFonts w:cstheme="minorHAnsi"/>
          <w:b/>
          <w:u w:val="single"/>
        </w:rPr>
        <w:br w:type="page"/>
      </w:r>
    </w:p>
    <w:p w14:paraId="39225EC2" w14:textId="3301BC0C" w:rsidR="00C02593" w:rsidRDefault="006E2D25" w:rsidP="000E1907">
      <w:pPr>
        <w:pStyle w:val="Heading1"/>
      </w:pPr>
      <w:r w:rsidRPr="00910D76">
        <w:lastRenderedPageBreak/>
        <w:t>References</w:t>
      </w:r>
    </w:p>
    <w:p w14:paraId="1BBDF088" w14:textId="1CE88CE4"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b/>
          <w:sz w:val="22"/>
          <w:szCs w:val="22"/>
          <w:u w:val="single"/>
        </w:rPr>
        <w:fldChar w:fldCharType="begin"/>
      </w:r>
      <w:r w:rsidRPr="008D29D1">
        <w:rPr>
          <w:rFonts w:asciiTheme="minorHAnsi" w:hAnsiTheme="minorHAnsi" w:cstheme="minorHAnsi"/>
          <w:b/>
          <w:sz w:val="22"/>
          <w:szCs w:val="22"/>
          <w:u w:val="single"/>
        </w:rPr>
        <w:instrText>ADDIN RW.BIB</w:instrText>
      </w:r>
      <w:r w:rsidRPr="00B858DE">
        <w:rPr>
          <w:rFonts w:asciiTheme="minorHAnsi" w:hAnsiTheme="minorHAnsi" w:cstheme="minorHAnsi"/>
          <w:b/>
          <w:sz w:val="22"/>
          <w:szCs w:val="22"/>
          <w:u w:val="single"/>
        </w:rPr>
        <w:fldChar w:fldCharType="separate"/>
      </w:r>
      <w:r w:rsidRPr="00B858DE">
        <w:rPr>
          <w:rFonts w:asciiTheme="minorHAnsi" w:hAnsiTheme="minorHAnsi" w:cstheme="minorHAnsi"/>
          <w:sz w:val="22"/>
          <w:szCs w:val="22"/>
        </w:rPr>
        <w:t>[1] Green Tea. In: Anonymous LiverTox: Clinical and Research Information on Drug-Induced Liver Injury. Bethesda (MD); 2012.</w:t>
      </w:r>
    </w:p>
    <w:p w14:paraId="60C14E52"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 Henning SM, Fajardo-Lira C, Lee HW, Youssefian AA, Go VL, Heber D. Catechin content of 18 teas and a green tea extract supplement correlates with the antioxidant capacity. Nutr Cancer. 2003;45:226-235.</w:t>
      </w:r>
    </w:p>
    <w:p w14:paraId="72E6937A"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[3] Dulloo AG, Fathi M, Mensi N, Girardier L. Twenty-four-hour energy expenditure and urinary catecholamines of humans consuming low-to-moderate amounts of medium-chain triglycerides: a dose-response study in a human respiratory chamber. Eur J Clin Nutr. 1996;50:152-158.</w:t>
      </w:r>
    </w:p>
    <w:p w14:paraId="12B49A8C"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[4] Roberts JD, Roberts MG, Tarpey MD, Weekes JC, Thomas CH. The effect of a decaffeinated green tea extract formula on fat oxidation, body composition and exercise performance. J Int Soc Sports Nutr. 2015;12:1-7. eCollection 2015.</w:t>
      </w:r>
    </w:p>
    <w:p w14:paraId="35999DA3"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[5] Cho D, Jeong HW, Kim JK, Kim AY, Hong YD, Lee JH, Choi JK, Seo DB. Gallocatechin Gallate-Containing Fermented Green Tea Extract Ameliorates Obesity and Hypertriglyceridemia Through the Modulation of Lipid Metabolism in Adipocytes and Myocytes. J Med Food. 2019;22:779-788.</w:t>
      </w:r>
    </w:p>
    <w:p w14:paraId="61415991"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[6] Neyrinck AM, Bindels LB, Geurts L, Van Hul M, Cani PD, Delzenne NM. A polyphenolic extract from green tea leaves activates fat browning in high-fat-diet-induced obese mice. J Nutr Biochem. 2017;49:15-21.</w:t>
      </w:r>
    </w:p>
    <w:p w14:paraId="23160A56"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 Pan MH, Yang G, Li S, Li MY, Tsai ML, Wu JC, Badmaev V, Ho CT, Lai CS. Combination of citrus polymethoxyflavones, green tea polyphenols, and Lychee extracts suppresses obesity and hepatic steatosis in high-fat diet induced obese mice. Mol Nutr Food Res. 2017;61:10.1002/mnfr.201601104. Epub 2017 Jul 31.</w:t>
      </w:r>
    </w:p>
    <w:p w14:paraId="1F9745FC"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[8] Rocha A, Bolin AP, Cardoso CA, Otton R. Green tea extract activates AMPK and ameliorates white adipose tissue metabolic dysfunction induced by obesity. Eur J Nutr. 2016;55:2231-2244.</w:t>
      </w:r>
    </w:p>
    <w:p w14:paraId="096485A1"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[9] Sae-Tan S, Rogers CJ, Lambert JD. Voluntary exercise and green tea enhance the expression of genes related to energy utilization and attenuate metabolic syndrome in high fat fed mice. Mol Nutr Food Res. 2014;58:1156-1159.</w:t>
      </w:r>
    </w:p>
    <w:p w14:paraId="706723FD"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[10] Venables MC, Hulston CJ, Cox HR, Jeukendrup AE. Green tea extract ingestion, fat oxidation, and glucose tolerance in healthy humans. Am J Clin Nutr. 2008;87:778-784.</w:t>
      </w:r>
    </w:p>
    <w:p w14:paraId="3FDC8B15"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[11] Gahreman D, Wang R, Boutcher Y, Boutcher S. Green Tea, Intermittent Sprinting Exercise, and Fat Oxidation. Nutrients. 2015;7:5646-5663.</w:t>
      </w:r>
    </w:p>
    <w:p w14:paraId="0AD08D4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[12] Bae UJ, Park J, Park IW, Chae BM, Oh MR, Jung SJ, Ryu GS, Chae SW, Park BH. Epigallocatechin-3-Gallate-Rich Green Tea Extract Ameliorates Fatty Liver and Weight Gain in Mice Fed a High Fat Diet by Activating the Sirtuin 1 and AMP Activating Protein Kinase Pathway. Am J Chin Med. 2018;46:617-632.</w:t>
      </w:r>
    </w:p>
    <w:p w14:paraId="7DC9B9A8"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[13] He P, Noda Y, Sugiyama K. Green tea suppresses lipopolysaccharide-induced liver injury in d-galactosamine-sensitized rats. J Nutr. 2001;131:1560-1567.</w:t>
      </w:r>
    </w:p>
    <w:p w14:paraId="3EE45772"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lastRenderedPageBreak/>
        <w:t>[14] Kager N, Ferk F, Kundi M, Wagner KH, Misik M, Knasmuller S. Prevention of oxidative DNA damage in inner organs and lymphocytes of rats by green tea extract. Eur J Nutr. 2010;49:227-234.</w:t>
      </w:r>
    </w:p>
    <w:p w14:paraId="58FB7C2A"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[15] Lu Y, Sun J, Petrova K, Yang X, Greenhaw J, Salminen WF, Beger RD, Schnackenberg LK. Metabolomics evaluation of the effects of green tea extract on acetaminophen-induced hepatotoxicity in mice. Food Chem Toxicol. 2013;62:707-721.</w:t>
      </w:r>
    </w:p>
    <w:p w14:paraId="42D74999"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[16] Mehana EE, Meki AR, Fazili KM. Ameliorated effects of green tea extract on lead induced liver toxicity in rats. Exp Toxicol Pathol. 2012;64:291-295.</w:t>
      </w:r>
    </w:p>
    <w:p w14:paraId="582F5377"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[17] Park JH, Kim Y, Kim SH. Green tea extract (Camellia sinensis) fermented by Lactobacillus fermentum attenuates alcohol-induced liver damage. Biosci Biotechnol Biochem. 2012;76:2294-2300.</w:t>
      </w:r>
    </w:p>
    <w:p w14:paraId="2AA1D0C0"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[18] Lin BR, Yu CJ, Chen WC, Lee HS, Chang HM, Lee YC, Chien CT, Chen CF. Green tea extract supplement reduces D-galactosamine-induced acute liver injury by inhibition of apoptotic and proinflammatory signaling. J Biomed Sci. 2009;16:35-35.</w:t>
      </w:r>
    </w:p>
    <w:p w14:paraId="1CD22B65"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[19] Mazzanti G, Menniti-Ippolito F, Moro PA, Cassetti F, Raschetti R, Santuccio C, Mastrangelo S. Hepatotoxicity from green tea: a review of the literature and two unpublished cases. Eur J Clin Pharmacol. 2009;65:331-341.</w:t>
      </w:r>
    </w:p>
    <w:p w14:paraId="45D78CC5"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[20] Molinari M, Watt KD, Kruszyna T, Nelson R, Walsh M, Huang WY, Nashan B, Peltekian K. Acute liver failure induced by green tea extracts: case report and review of the literature. Liver Transpl. 2006;12:1892-1895.</w:t>
      </w:r>
    </w:p>
    <w:p w14:paraId="79403B8D"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[21] Patel SS, Beer S, Kearney DL, Phillips G, Carter BA. Green tea extract: a potential cause of acute liver failure. World J Gastroenterol. 2013;19:5174-5177.</w:t>
      </w:r>
    </w:p>
    <w:p w14:paraId="30399632"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[22] Oketch-Rabah HA, Roe AL, Rider CV, Bonkovsky HL, Giancaspro GI, Navarro V, Paine MF, Betz JM, Marles RJ, Casper S, Gurley B, Jordan SA, He K, Kapoor MP, Rao TP, Sherker AH, Fontana RJ, Rossi S, Vuppalanchi R, Seeff LB, Stolz A, Ahmad J, Koh C, Serrano J, Low Dog T, Ko R. United States Pharmacopeia (USP) comprehensive review of the hepatotoxicity of green tea extracts. Toxicol Rep. 2020;7:386-402.</w:t>
      </w:r>
    </w:p>
    <w:p w14:paraId="2C43CD50"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[23] Seo EJ, Wu CF, Ali Z, Wang YH, Khan SI, Walker LA, Khan IA, Efferth T. Both Phenolic and Non-phenolic Green Tea Fractions Inhibit Migration of Cancer Cells. Front Pharmacol. 2016;7:398.</w:t>
      </w:r>
    </w:p>
    <w:p w14:paraId="4028450A"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[24] Mezera V, Endlicher R, Kucera O, Sobotka O, Drahota Z, Cervinkova Z. Effects of Epigallocatechin Gallate on Tert-Butyl Hydroperoxide-Induced Mitochondrial Dysfunction in Rat Liver Mitochondria and Hepatocytes. Oxid Med Cell Longev. 2016;2016:7573131.</w:t>
      </w:r>
    </w:p>
    <w:p w14:paraId="63ED5557"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[25] Sabry D, Abdelaleem OO, El Amin Ali, A M, Mohammed RA, Abdel-Hameed ND, Hassouna A, Khalifa WA. Anti-proliferative and anti-apoptotic potential effects of epigallocatechin-3-gallate and/or metformin on hepatocellular carcinoma cells: in vitro study. Mol Biol Rep. 2019;46:2039-2047.</w:t>
      </w:r>
    </w:p>
    <w:p w14:paraId="22EFDA1A"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[26] Schmidt M, Schmitz HJ, Baumgart A, Guedon D, Netsch MI, Kreuter MH, Schmidlin CB, Schrenk D. Toxicity of green tea extracts and their constituents in rat hepatocytes in primary culture. Food Chem Toxicol. 2005;43:307-314.</w:t>
      </w:r>
    </w:p>
    <w:p w14:paraId="668ED5B5"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lastRenderedPageBreak/>
        <w:t>[27] Mi Y, Qi G, Gao Y, Li R, Wang Y, Li X, Huang S, Liu X. (-)-Epigallocatechin-3-gallate Ameliorates Insulin Resistance and Mitochondrial Dysfunction in HepG2 Cells: Involvement of Bmal1. Mol Nutr Food Res. 2017;61:10.1002/mnfr.201700440. Epub 2017 Oct 26.</w:t>
      </w:r>
    </w:p>
    <w:p w14:paraId="10A97EC9"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[28] Zhao L, Liu S, Xu J, Li W, Duan G, Wang H, Yang H, Yang Z, Zhou R. A new molecular mechanism underlying the EGCG-mediated autophagic modulation of AFP in HepG2 cells. Cell Death Dis. 2017;8:e3160.</w:t>
      </w:r>
    </w:p>
    <w:p w14:paraId="5171AC6D"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[29] Liu AB, Tao S, Lee MJ, Hu Q, Meng X, Lin Y, Yang CS. Effects of gut microbiota and time of treatment on tissue levels of green tea polyphenols in mice. Biofactors. 2018.</w:t>
      </w:r>
    </w:p>
    <w:p w14:paraId="10F0AF69"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[30] Krupkova O, Ferguson SJ, Wuertz-Kozak K. Stability of (-)-epigallocatechin gallate and its activity in liquid formulations and delivery systems. J Nutr Biochem. 2016;37:1-12.</w:t>
      </w:r>
    </w:p>
    <w:p w14:paraId="7C861280"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[31] Figarola JL, Singhal J, Tompkins JD, Rogers GW, Warden C, Horne D, Riggs AD, Awasthi S, Singhal SS. SR4 Uncouples Mitochondrial Oxidative Phosphorylation, Modulates AMP-dependent Kinase (AMPK)-Mammalian Target of Rapamycin (mTOR) Signaling, and Inhibits Proliferation of HepG2 Hepatocarcinoma Cells. J Biol Chem. 2015;290:30321-30341.</w:t>
      </w:r>
    </w:p>
    <w:p w14:paraId="3E80C404" w14:textId="77777777" w:rsidR="00C55856" w:rsidRPr="00B858DE" w:rsidRDefault="00C55856" w:rsidP="008D29D1">
      <w:pPr>
        <w:pStyle w:val="NormalWeb"/>
        <w:spacing w:before="0" w:beforeAutospacing="0"/>
        <w:jc w:val="both"/>
        <w:rPr>
          <w:rFonts w:asciiTheme="minorHAnsi" w:hAnsiTheme="minorHAnsi" w:cstheme="minorHAnsi"/>
          <w:sz w:val="22"/>
          <w:szCs w:val="22"/>
          <w:lang w:val="it-IT"/>
        </w:rPr>
      </w:pPr>
      <w:r w:rsidRPr="00B858DE">
        <w:rPr>
          <w:rFonts w:asciiTheme="minorHAnsi" w:hAnsiTheme="minorHAnsi" w:cstheme="minorHAnsi"/>
          <w:sz w:val="22"/>
          <w:szCs w:val="22"/>
        </w:rPr>
        <w:t xml:space="preserve">[32] Jeong A, Kim JH, Lee HJ, Kim SH. Reactive oxygen species dependent phosphorylation of the liver kinase B1/AMP activated protein kinase/ acetyl-CoA carboxylase signaling is critically involved in apoptotic effect of lambertianic acid in hepatocellular carcinoma cells. </w:t>
      </w:r>
      <w:r w:rsidRPr="00B858DE">
        <w:rPr>
          <w:rFonts w:asciiTheme="minorHAnsi" w:hAnsiTheme="minorHAnsi" w:cstheme="minorHAnsi"/>
          <w:sz w:val="22"/>
          <w:szCs w:val="22"/>
          <w:lang w:val="it-IT"/>
        </w:rPr>
        <w:t>Oncotarget. 2017;8:70116-70129.</w:t>
      </w:r>
    </w:p>
    <w:p w14:paraId="6CECAFA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lang w:val="it-IT"/>
        </w:rPr>
        <w:t xml:space="preserve">[33] Mata-Bilbao Mde L, Andres-Lacueva C, Roura E, Jauregui O, Torre C, Lamuela-Raventos RM. </w:t>
      </w:r>
      <w:r w:rsidRPr="00B858DE">
        <w:rPr>
          <w:rFonts w:asciiTheme="minorHAnsi" w:hAnsiTheme="minorHAnsi" w:cstheme="minorHAnsi"/>
          <w:sz w:val="22"/>
          <w:szCs w:val="22"/>
        </w:rPr>
        <w:t>A new LC/MS/MS rapid and sensitive method for the determination of green tea catechins and their metabolites in biological samples. J Agric Food Chem. 2007;55:8857-8863.</w:t>
      </w:r>
    </w:p>
    <w:p w14:paraId="4F1CAB6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[34] Siddiqui MA, Ali Z, Chittiboyina AG, Khan IA. Hepatoprotective Effect of Steroidal Glycosides From Dioscorea villosa on Hydrogen Peroxide-Induced Hepatotoxicity in HepG2 Cells. Front Pharmacol. 2018;9:797.</w:t>
      </w:r>
    </w:p>
    <w:p w14:paraId="19E999AB"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[35] Jayashree GV, Krupashree K, Rachitha P, Khanum F. Patulin Induced Oxidative Stress Mediated Apoptotic Damage in Mice, and its Modulation by Green Tea Leaves. J Clin Exp Hepatol. 2017;7:127-134.</w:t>
      </w:r>
    </w:p>
    <w:p w14:paraId="31B8EE84"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[36] Moon SC, Choi HJ, Chung TW, Lee JH, Lee SO, Jung MH, Kim BJ, Choi JY, Ha KT. Sorbus commixta water extract induces apoptotic cell death via a ROS-dependent pathway. Oncol Lett. 2018;16:4193-4200.</w:t>
      </w:r>
    </w:p>
    <w:p w14:paraId="1EA31D0A"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[37] Rodenak-Kladniew B, Castro A, Starkel P, De Saeger C, Garcia de Bravo M, Crespo R. Linalool induces cell cycle arrest and apoptosis in HepG2 cells through oxidative stress generation and modulation of Ras/MAPK and Akt/mTOR pathways. Life Sci. 2018;199:48-59.</w:t>
      </w:r>
    </w:p>
    <w:p w14:paraId="729DCF5D"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[38] Balasubramaniyan V, Shukla R, Murugaiyan G, Bhonde RR, Nalini N. Mouse recombinant leptin protects human hepatoma HepG2 against apoptosis, TNF-alpha response and oxidative stress induced by the hepatotoxin-ethanol. Biochim Biophys Acta. 2007;1770:1136-1144.</w:t>
      </w:r>
    </w:p>
    <w:p w14:paraId="2B290E9C"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[39] Michel S, Wanet A, De Pauw A, Rommelaere G, Arnould T, Renard P. Crosstalk between mitochondrial (dys)function and mitochondrial abundance. J Cell Physiol. 2012;227:2297-2310.</w:t>
      </w:r>
    </w:p>
    <w:p w14:paraId="612238D5" w14:textId="77777777" w:rsidR="00C55856" w:rsidRPr="00B858DE" w:rsidRDefault="00C55856" w:rsidP="008D29D1">
      <w:pPr>
        <w:pStyle w:val="NormalWeb"/>
        <w:spacing w:before="0" w:beforeAutospacing="0"/>
        <w:jc w:val="both"/>
        <w:rPr>
          <w:rFonts w:asciiTheme="minorHAnsi" w:hAnsiTheme="minorHAnsi" w:cstheme="minorHAnsi"/>
          <w:sz w:val="22"/>
          <w:szCs w:val="22"/>
          <w:lang w:val="nl-NL"/>
        </w:rPr>
      </w:pPr>
      <w:r w:rsidRPr="00B858DE">
        <w:rPr>
          <w:rFonts w:asciiTheme="minorHAnsi" w:hAnsiTheme="minorHAnsi" w:cstheme="minorHAnsi"/>
          <w:sz w:val="22"/>
          <w:szCs w:val="22"/>
        </w:rPr>
        <w:lastRenderedPageBreak/>
        <w:t xml:space="preserve">[40] Alnahdi A, John A, Raza H. Augmentation of Glucotoxicity, Oxidative Stress, Apoptosis and Mitochondrial Dysfunction in HepG2 Cells by Palmitic Acid. </w:t>
      </w:r>
      <w:r w:rsidRPr="00B858DE">
        <w:rPr>
          <w:rFonts w:asciiTheme="minorHAnsi" w:hAnsiTheme="minorHAnsi" w:cstheme="minorHAnsi"/>
          <w:sz w:val="22"/>
          <w:szCs w:val="22"/>
          <w:lang w:val="nl-NL"/>
        </w:rPr>
        <w:t>Nutrients. 2019;11:10.3390/nu11091979.</w:t>
      </w:r>
    </w:p>
    <w:p w14:paraId="78EB2C20"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lang w:val="nl-NL"/>
        </w:rPr>
        <w:t xml:space="preserve">[41] Wang P, Zhang SD, Jiao J, Wang W, Yu L, Zhao XL, Wang LT, Meng D, Fu YJ. </w:t>
      </w:r>
      <w:r w:rsidRPr="00B858DE">
        <w:rPr>
          <w:rFonts w:asciiTheme="minorHAnsi" w:hAnsiTheme="minorHAnsi" w:cstheme="minorHAnsi"/>
          <w:sz w:val="22"/>
          <w:szCs w:val="22"/>
        </w:rPr>
        <w:t>ROS -mediated p53 activation by juglone enhances apoptosis and autophagy in vivo and in vitro. Toxicol Appl Pharmacol. 2019;379:114647.</w:t>
      </w:r>
    </w:p>
    <w:p w14:paraId="7108C547"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[42] Behunin SM, Lopez-Pier MA, Birch CL, McKee LAK, Danilo C, Khalpey Z, Konhilas JP. LKB1/Mo25/STRAD uniquely impacts sarcomeric contractile function and posttranslational modification. Biophys J. 2015;108:1484-1494.</w:t>
      </w:r>
    </w:p>
    <w:p w14:paraId="78852628"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[43] Ducommun S, Ford RJ, Bultot L, Deak M, Bertrand L, Kemp BE, Steinberg GR, Sakamoto K. Enhanced activation of cellular AMPK by dual-small molecule treatment: AICAR and A769662. Am J Physiol Endocrinol Metab. 2014;306:688.</w:t>
      </w:r>
    </w:p>
    <w:p w14:paraId="2715C5FE"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[44] Naumovski N, Blades BL, Roach PD. Food Inhibits the Oral Bioavailability of the Major Green Tea Antioxidant Epigallocatechin Gallate in Humans. Antioxidants (Basel). 2015;4:373-393.</w:t>
      </w:r>
    </w:p>
    <w:p w14:paraId="095965B0"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[45] Meng X, Lee MJ, Li C, Sheng S, Zhu N, Sang S, Ho CT, Yang CS. Formation and identification of 4'-O-methyl-(-)-epigallocatechin in humans. Drug Metab Dispos. 2001;29:789-793.</w:t>
      </w:r>
    </w:p>
    <w:p w14:paraId="459EBE32"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[46] Li C, Lee MJ, Sheng S, Meng X, Prabhu S, Winnik B, Huang B, Chung JY, Yan S, Ho CT, Yang CS. Structural identification of two metabolites of catechins and their kinetics in human urine and blood after tea ingestion. Chem Res Toxicol. 2000;13:177-184.</w:t>
      </w:r>
    </w:p>
    <w:p w14:paraId="75F352E9"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[47] Stalmach A, Troufflard S, Serafini M, Crozier A. Absorption, metabolism and excretion of Choladi green tea flavan-3-ols by humans. Mol Nutr Food Res. 2009;53 Suppl 1:44.</w:t>
      </w:r>
    </w:p>
    <w:p w14:paraId="12C0B12E"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[48] Westerink WM, Schoonen WG. Phase II enzyme levels in HepG2 cells and cryopreserved primary human hepatocytes and their induction in HepG2 cells. Toxicol In Vitro. 2007;21:1592-1602.</w:t>
      </w:r>
    </w:p>
    <w:p w14:paraId="0559E0F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[49] Zang L, Shimada Y, Nakayama H, Kim Y, Chu DC, Juneja LR, Kuroyanagi J, Nishimura N. RNA-seq Based Transcriptome Analysis of the Anti-Obesity Effect of Green Tea Extract Using Zebrafish Obesity Models. Molecules. 2019;24:10.3390/molecules24183256.</w:t>
      </w:r>
    </w:p>
    <w:p w14:paraId="64193B5A"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[50] Santamarina AB, Oliveira JL, Silva FP, Carnier J, Mennitti LV, Santana AA, de Souza GH, Ribeiro EB, Oller do Nascimento, C M, Lira FS, Oyama LM. Green Tea Extract Rich in Epigallocatechin-3-Gallate Prevents Fatty Liver by AMPK Activation via LKB1 in Mice Fed a High-Fat Diet. PLoS One. 2015;10:e0141227.</w:t>
      </w:r>
    </w:p>
    <w:p w14:paraId="3706C5AF" w14:textId="77777777" w:rsidR="00C55856" w:rsidRPr="00B858DE" w:rsidRDefault="00C55856" w:rsidP="008D29D1">
      <w:pPr>
        <w:pStyle w:val="NormalWeb"/>
        <w:spacing w:before="0" w:beforeAutospacing="0"/>
        <w:jc w:val="both"/>
        <w:rPr>
          <w:rFonts w:asciiTheme="minorHAnsi" w:hAnsiTheme="minorHAnsi" w:cstheme="minorHAnsi"/>
          <w:sz w:val="22"/>
          <w:szCs w:val="22"/>
          <w:lang w:val="nl-NL"/>
        </w:rPr>
      </w:pPr>
      <w:r w:rsidRPr="00B858DE">
        <w:rPr>
          <w:rFonts w:asciiTheme="minorHAnsi" w:hAnsiTheme="minorHAnsi" w:cstheme="minorHAnsi"/>
          <w:sz w:val="22"/>
          <w:szCs w:val="22"/>
        </w:rPr>
        <w:t xml:space="preserve">[51] Canto C, Auwerx J. PGC-1alpha, SIRT1 and AMPK, an energy sensing network that controls energy expenditure. </w:t>
      </w:r>
      <w:r w:rsidRPr="00B858DE">
        <w:rPr>
          <w:rFonts w:asciiTheme="minorHAnsi" w:hAnsiTheme="minorHAnsi" w:cstheme="minorHAnsi"/>
          <w:sz w:val="22"/>
          <w:szCs w:val="22"/>
          <w:lang w:val="nl-NL"/>
        </w:rPr>
        <w:t>Curr Opin Lipidol. 2009;20:98-105.</w:t>
      </w:r>
    </w:p>
    <w:p w14:paraId="19DAAA2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lang w:val="nl-NL"/>
        </w:rPr>
        <w:t xml:space="preserve">[52] Lee J, Hong SW, Rhee EJ, Lee WY. </w:t>
      </w:r>
      <w:r w:rsidRPr="00B858DE">
        <w:rPr>
          <w:rFonts w:asciiTheme="minorHAnsi" w:hAnsiTheme="minorHAnsi" w:cstheme="minorHAnsi"/>
          <w:sz w:val="22"/>
          <w:szCs w:val="22"/>
        </w:rPr>
        <w:t>GLP-1 Receptor Agonist and Non-Alcoholic Fatty Liver Disease. Diabetes Metab J. 2012;36:262-267.</w:t>
      </w:r>
    </w:p>
    <w:p w14:paraId="74BF9E38"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[53] Shen Z, Liang X, Rogers CQ, Rideout D, You M. Involvement of adiponectin-SIRT1-AMPK signaling in the protective action of rosiglitazone against alcoholic fatty liver in mice. Am J Physiol Gastrointest Liver Physiol. 2010;298:364.</w:t>
      </w:r>
    </w:p>
    <w:p w14:paraId="7625BFAE"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lastRenderedPageBreak/>
        <w:t>[54] Kohjima M, Higuchi N, Kato M, Kotoh K, Yoshimoto T, Fujino T, Yada M, Yada R, Harada N, Enjoji M, Takayanagi R, Nakamuta M. SREBP-1c, regulated by the insulin and AMPK signaling pathways, plays a role in nonalcoholic fatty liver disease. Int J Mol Med. 2008;21:507-511.</w:t>
      </w:r>
    </w:p>
    <w:p w14:paraId="2137616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[55] Cui YQ, Liu YJ, Zhang F. The suppressive effects of Britannin (Bri) on human liver cancer through inducing apoptosis and autophagy via AMPK activation regulated by ROS. Biochem Biophys Res Commun. 2018;497:916-923.</w:t>
      </w:r>
    </w:p>
    <w:p w14:paraId="64A1B677"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[56] Whang YM, Kim MJ, Cho MJ, Yoon H, Choi YW, Kim TH, Chang IH. Rapamycin enhances growth inhibition on urothelial carcinoma cells through LKB1 deficiency-mediated mitochondrial dysregulation. J Cell Physiol. 2019;234:13083-13096.</w:t>
      </w:r>
    </w:p>
    <w:p w14:paraId="2AE1D696"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[57] Fan X, Wang L, Huang J, Lv H, Deng X, Ci X. Pterostilbene Reduces Acetaminophen-Induced Liver Injury by Activating the Nrf2 Antioxidative Defense System via the AMPK/Akt/GSK3beta Pathway. Cell Physiol Biochem. 2018;49:1943-1958.</w:t>
      </w:r>
    </w:p>
    <w:p w14:paraId="34F20CCA"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[58] Lai YF, Wang L, Liu WY. Nicotinamide pretreatment alleviates mitochondrial stress and protects hypoxic myocardial cells via AMPK pathway. Eur Rev Med Pharmacol Sci. 2019;23:1797-1806.</w:t>
      </w:r>
    </w:p>
    <w:p w14:paraId="44E1621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[59] Hawley SA, Ross FA, Gowans GJ, Tibarewal P, Leslie NR, Hardie DG. Phosphorylation by Akt within the ST loop of AMPK-alpha1 down-regulates its activation in tumour cells. Biochem J. 2014;459:275-287.</w:t>
      </w:r>
    </w:p>
    <w:p w14:paraId="157E16B5"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[60] Kazyken D, Magnuson B, Bodur C, Acosta-Jaquez HA, Zhang D, Tong X, Barnes TM, Steinl GK, Patterson NE, Altheim CH, Sharma N, Inoki K, Cartee GD, Bridges D, Yin L, Riddle SM, Fingar DC. AMPK directly activates mTORC2 to promote cell survival during acute energetic stress. Sci Signal. 2019;12:10.1126/scisignal.aav3249.</w:t>
      </w:r>
    </w:p>
    <w:p w14:paraId="2139D042"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[61] Zhang C, Jia X, Wang K, Bao J, Li P, Chen M, Wan JB, Su H, Mei Z, He C. Polyphyllin VII Induces an Autophagic Cell Death by Activation of the JNK Pathway and Inhibition of PI3K/AKT/mTOR Pathway in HepG2 Cells. PLoS One. 2016;11:e0147405.</w:t>
      </w:r>
    </w:p>
    <w:p w14:paraId="41F737C9"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[62] Kakuta Y, Okumi M, Isaka Y, Tsutahara K, Abe T, Yazawa K, Ichimaru N, Matsumura K, Hyon SH, Takahara S, Nonomura N. Epigallocatechin-3-gallate protects kidneys from ischemia reperfusion injury by HO-1 upregulation and inhibition of macrophage infiltration. Transpl Int. 2011;24:514-522.</w:t>
      </w:r>
    </w:p>
    <w:p w14:paraId="4424029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[63] Pan MH, Liang YC, Lin-Shiau SY, Zhu NQ, Ho CT, Lin JK. Induction of apoptosis by the oolong tea polyphenol theasinensin A through cytochrome c release and activation of caspase-9 and caspase-3 in human U937 cells. J Agric Food Chem. 2000;48:6337-6346.</w:t>
      </w:r>
    </w:p>
    <w:p w14:paraId="3485571E"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[64] Youn HS, Lee JY, Saitoh SI, Miyake K, Kang KW, Choi YJ, Hwang DH. Suppression of MyD88- and TRIF-dependent signaling pathways of Toll-like receptor by (-)-epigallocatechin-3-gallate, a polyphenol component of green tea. Biochem Pharmacol. 2006;72:850-859.</w:t>
      </w:r>
    </w:p>
    <w:p w14:paraId="7A6BED11"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[65] Hu J, Webster D, Cao J, Shao A. The safety of green tea and green tea extract consumption in adults - Results of a systematic review. Regul Toxicol Pharmacol. 2018;95:412-433.</w:t>
      </w:r>
    </w:p>
    <w:p w14:paraId="197296D8" w14:textId="77777777" w:rsidR="00C55856" w:rsidRPr="00B858DE" w:rsidRDefault="00C55856" w:rsidP="008D29D1">
      <w:pPr>
        <w:pStyle w:val="NormalWeb"/>
        <w:spacing w:before="0" w:beforeAutospacing="0"/>
        <w:jc w:val="both"/>
        <w:rPr>
          <w:rFonts w:asciiTheme="minorHAnsi" w:hAnsiTheme="minorHAnsi" w:cstheme="minorHAnsi"/>
          <w:sz w:val="22"/>
          <w:szCs w:val="22"/>
          <w:lang w:val="it-IT"/>
        </w:rPr>
      </w:pPr>
      <w:r w:rsidRPr="00B858DE">
        <w:rPr>
          <w:rFonts w:asciiTheme="minorHAnsi" w:hAnsiTheme="minorHAnsi" w:cstheme="minorHAnsi"/>
          <w:sz w:val="22"/>
          <w:szCs w:val="22"/>
        </w:rPr>
        <w:t xml:space="preserve">[66] EFSA Panel on Food Additives and Nutrient Sources added to Food (ANS), Younes M, Aggett P, Aguilar F, Crebelli R, Dusemund B, Filipic M, Frutos MJ, Galtier P, Gott D, Gundert-Remy U, Lambre C, Leblanc JC, Lillegaard IT, Moldeus P, Mortensen A, Oskarsson A, Stankovic I, Waalkens-Berendsen I, </w:t>
      </w:r>
      <w:r w:rsidRPr="00B858DE">
        <w:rPr>
          <w:rFonts w:asciiTheme="minorHAnsi" w:hAnsiTheme="minorHAnsi" w:cstheme="minorHAnsi"/>
          <w:sz w:val="22"/>
          <w:szCs w:val="22"/>
        </w:rPr>
        <w:lastRenderedPageBreak/>
        <w:t xml:space="preserve">Woutersen RA, Andrade RJ, Fortes C, Mosesso P, Restani P, Arcella D, Pizzo F, Smeraldi C, Wright M. Scientific opinion on the safety of green tea catechins. </w:t>
      </w:r>
      <w:r w:rsidRPr="00B858DE">
        <w:rPr>
          <w:rFonts w:asciiTheme="minorHAnsi" w:hAnsiTheme="minorHAnsi" w:cstheme="minorHAnsi"/>
          <w:sz w:val="22"/>
          <w:szCs w:val="22"/>
          <w:lang w:val="it-IT"/>
        </w:rPr>
        <w:t>EFSA J. 2018;16:e05239.</w:t>
      </w:r>
    </w:p>
    <w:p w14:paraId="5C11A513"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lang w:val="it-IT"/>
        </w:rPr>
        <w:t xml:space="preserve">[67] Ahmad M, Baba WN, A Wani T, Gani A, Gani A, Shah U, Wani SM, Masoodi FA. </w:t>
      </w:r>
      <w:r w:rsidRPr="00B858DE">
        <w:rPr>
          <w:rFonts w:asciiTheme="minorHAnsi" w:hAnsiTheme="minorHAnsi" w:cstheme="minorHAnsi"/>
          <w:sz w:val="22"/>
          <w:szCs w:val="22"/>
        </w:rPr>
        <w:t>Effect of green tea powder on thermal, rheological &amp; functional properties of wheat flour and physical, nutraceutical &amp; sensory analysis of cookies. J Food Sci Technol. 2015;52:5799-5807.</w:t>
      </w:r>
    </w:p>
    <w:p w14:paraId="2BF6A41E"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[68] Carta G, Murru E, Banni S, Manca C. Palmitic Acid: Physiological Role, Metabolism and Nutritional Implications. Front Physiol. 2017;8:902.</w:t>
      </w:r>
    </w:p>
    <w:p w14:paraId="3002E10D"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[69] Garcia-Ruiz I, Solis-Munoz P, Fernandez-Moreira D, Munoz-Yague T, Solis-Herruzo JA. In vitro treatment of HepG2 cells with saturated fatty acids reproduces mitochondrial dysfunction found in nonalcoholic steatohepatitis. Dis Model Mech. 2015;8:183-191.</w:t>
      </w:r>
    </w:p>
    <w:p w14:paraId="79807481"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[70] Romualdo GR, Prata GB, da Silva TC, Evangelista AF, Reis RM, Vinken M, Moreno FS, Cogliati B, Barbisan LF. The combination of coffee compounds attenuates early fibrosis-associated hepatocarcinogenesis in mice: involvement of miRNA profile modulation. J Nutr Biochem. 2020;85:108479.</w:t>
      </w:r>
    </w:p>
    <w:p w14:paraId="50026F53"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[71] Amer MG, Mazen NF, Mohamed AM. Caffeine intake decreases oxidative stress and inflammatory biomarkers in experimental liver diseases induced by thioacetamide: Biochemical and histological study. Int J Immunopathol Pharmacol. 2017;30:13-24.</w:t>
      </w:r>
    </w:p>
    <w:p w14:paraId="0875A3BD"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[72] Arauz J, Zarco N, Hernandez-Aquino E, Galicia-Moreno M, Favari L, Segovia J, Muriel P. Coffee consumption prevents fibrosis in a rat model that mimics secondary biliary cirrhosis in humans. Nutr Res. 2017;40:65-74.</w:t>
      </w:r>
    </w:p>
    <w:p w14:paraId="2417424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[73] Chin JM, Merves ML, Goldberger BA, Sampson-Cone A, Cone EJ. Caffeine content of brewed teas. J Anal Toxicol. 2008;32:702-704.</w:t>
      </w:r>
    </w:p>
    <w:p w14:paraId="2B579077"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[74] Rezaee E, Mirlohi M, Fallah A, Babashahi M. A Systematic Review on Exposure to Toxic and Essential Elements through Black Tea Consumption in Iran: Could It be a Major Risk for Human Health? Int J Prev Med. 2014;5:1351-1359.</w:t>
      </w:r>
    </w:p>
    <w:p w14:paraId="594DEECF"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[75] Gouws P, Hartel T, van Wyk R. The influence of processing on the microbial risk associated with Rooibos (Aspalathus linearis) tea. J Sci Food Agric. 2014;94:3069-3078.</w:t>
      </w:r>
    </w:p>
    <w:p w14:paraId="1DCF6347"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[76] Trucksess MW, Scott PM. Mycotoxins in botanicals and dried fruits: a review. Food Addit Contam Part A Chem Anal Control Expo Risk Assess. 2008;25:181-192.</w:t>
      </w:r>
    </w:p>
    <w:p w14:paraId="382059BC"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[77] Cetin Y, Bullerman LB. Cytotoxicity of Fusarium mycotoxins to mammalian cell cultures as determined by the MTT bioassay. Food Chem Toxicol. 2005;43:755-764.</w:t>
      </w:r>
    </w:p>
    <w:p w14:paraId="4C1F4AF3"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[78] Chen X, Murdoch R, Shafer DJ, Ajuwon KM, Applegate TJ. Cytotoxicity of various chemicals and mycotoxins in fresh primary duck embryonic fibroblasts: a comparison to HepG2 cells. J Appl Toxicol. 2016;36:1437-1445.</w:t>
      </w:r>
    </w:p>
    <w:p w14:paraId="678B3B52"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[79] Kang SJ, Lee HM, Park YI, Yi H, Lee H, So B, Song JY, Kang HG. Chemically induced hepatotoxicity in human stem cell-induced hepatocytes compared with primary hepatocytes and HepG2. Cell Biol Toxicol. 2016;32:403-417.</w:t>
      </w:r>
    </w:p>
    <w:p w14:paraId="636F99F8"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lastRenderedPageBreak/>
        <w:t>[80] Meneely JP, Hajslova J, Krska R, Elliott CT. Assessing the combined toxicity of the natural toxins, aflatoxin B1, fumonisin B1 and microcystin-LR by high content analysis. Food Chem Toxicol. 2018;121:527-540.</w:t>
      </w:r>
    </w:p>
    <w:p w14:paraId="4B72AF7C" w14:textId="77777777" w:rsidR="00C55856" w:rsidRPr="00B858DE" w:rsidRDefault="00C55856" w:rsidP="008D29D1">
      <w:pPr>
        <w:pStyle w:val="NormalWeb"/>
        <w:spacing w:before="0" w:beforeAutospacing="0"/>
        <w:jc w:val="both"/>
        <w:rPr>
          <w:rFonts w:asciiTheme="minorHAnsi" w:hAnsiTheme="minorHAnsi" w:cstheme="minorHAnsi"/>
          <w:sz w:val="22"/>
          <w:szCs w:val="22"/>
        </w:rPr>
      </w:pPr>
      <w:r w:rsidRPr="00B858DE">
        <w:rPr>
          <w:rFonts w:asciiTheme="minorHAnsi" w:hAnsiTheme="minorHAnsi" w:cstheme="minorHAnsi"/>
          <w:sz w:val="22"/>
          <w:szCs w:val="22"/>
        </w:rPr>
        <w:t>[81] Wentzel JF, Lombard MJ, Du Plessis LH, Zandberg L. Evaluation of the cytotoxic properties, gene expression profiles and secondary signalling responses of cultured cells exposed to fumonisin B1, deoxynivalenol and zearalenone mycotoxins. Arch Toxicol. 2017;91:2265-2282.</w:t>
      </w:r>
    </w:p>
    <w:p w14:paraId="6497FA24" w14:textId="6776CBDD" w:rsidR="00C02593" w:rsidRPr="00B858DE" w:rsidRDefault="00C55856" w:rsidP="008D29D1">
      <w:pPr>
        <w:spacing w:after="100" w:afterAutospacing="1" w:line="240" w:lineRule="auto"/>
        <w:rPr>
          <w:rFonts w:cstheme="minorHAnsi"/>
          <w:b/>
          <w:u w:val="single"/>
        </w:rPr>
      </w:pPr>
      <w:r w:rsidRPr="00B858DE">
        <w:rPr>
          <w:rFonts w:eastAsia="Times New Roman" w:cstheme="minorHAnsi"/>
        </w:rPr>
        <w:t> </w:t>
      </w:r>
      <w:r w:rsidRPr="00B858DE">
        <w:rPr>
          <w:rFonts w:cstheme="minorHAnsi"/>
          <w:b/>
          <w:u w:val="single"/>
        </w:rPr>
        <w:fldChar w:fldCharType="end"/>
      </w:r>
    </w:p>
    <w:sectPr w:rsidR="00C02593" w:rsidRPr="00B858DE" w:rsidSect="003F63D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544B81" w14:textId="77777777" w:rsidR="009556FF" w:rsidRDefault="009556FF" w:rsidP="00180302">
      <w:pPr>
        <w:spacing w:after="0" w:line="240" w:lineRule="auto"/>
      </w:pPr>
      <w:r>
        <w:separator/>
      </w:r>
    </w:p>
  </w:endnote>
  <w:endnote w:type="continuationSeparator" w:id="0">
    <w:p w14:paraId="7E7BA79C" w14:textId="77777777" w:rsidR="009556FF" w:rsidRDefault="009556FF" w:rsidP="00180302">
      <w:pPr>
        <w:spacing w:after="0" w:line="240" w:lineRule="auto"/>
      </w:pPr>
      <w:r>
        <w:continuationSeparator/>
      </w:r>
    </w:p>
  </w:endnote>
  <w:endnote w:type="continuationNotice" w:id="1">
    <w:p w14:paraId="0F6E090E" w14:textId="77777777" w:rsidR="009556FF" w:rsidRDefault="009556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altName w:val="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1509402"/>
      <w:docPartObj>
        <w:docPartGallery w:val="Page Numbers (Bottom of Page)"/>
        <w:docPartUnique/>
      </w:docPartObj>
    </w:sdtPr>
    <w:sdtEndPr>
      <w:rPr>
        <w:noProof/>
      </w:rPr>
    </w:sdtEndPr>
    <w:sdtContent>
      <w:p w14:paraId="198DB3A9" w14:textId="1F095A23" w:rsidR="002140BF" w:rsidRDefault="002140B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4D7133" w14:textId="77777777" w:rsidR="002140BF" w:rsidRDefault="002140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0371F" w14:textId="77777777" w:rsidR="009556FF" w:rsidRDefault="009556FF" w:rsidP="00180302">
      <w:pPr>
        <w:spacing w:after="0" w:line="240" w:lineRule="auto"/>
      </w:pPr>
      <w:r>
        <w:separator/>
      </w:r>
    </w:p>
  </w:footnote>
  <w:footnote w:type="continuationSeparator" w:id="0">
    <w:p w14:paraId="41314C7B" w14:textId="77777777" w:rsidR="009556FF" w:rsidRDefault="009556FF" w:rsidP="00180302">
      <w:pPr>
        <w:spacing w:after="0" w:line="240" w:lineRule="auto"/>
      </w:pPr>
      <w:r>
        <w:continuationSeparator/>
      </w:r>
    </w:p>
  </w:footnote>
  <w:footnote w:type="continuationNotice" w:id="1">
    <w:p w14:paraId="61BCC8D6" w14:textId="77777777" w:rsidR="009556FF" w:rsidRDefault="009556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5A38FC"/>
    <w:multiLevelType w:val="hybridMultilevel"/>
    <w:tmpl w:val="F412106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C611AFF"/>
    <w:multiLevelType w:val="hybridMultilevel"/>
    <w:tmpl w:val="A8100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990"/>
    <w:rsid w:val="00001613"/>
    <w:rsid w:val="00002C89"/>
    <w:rsid w:val="00004E27"/>
    <w:rsid w:val="00005C03"/>
    <w:rsid w:val="00006617"/>
    <w:rsid w:val="00007D28"/>
    <w:rsid w:val="0001019C"/>
    <w:rsid w:val="000169B8"/>
    <w:rsid w:val="00016A2F"/>
    <w:rsid w:val="00016E00"/>
    <w:rsid w:val="000176DC"/>
    <w:rsid w:val="00017BB1"/>
    <w:rsid w:val="00021825"/>
    <w:rsid w:val="000245F4"/>
    <w:rsid w:val="00025A33"/>
    <w:rsid w:val="0003019B"/>
    <w:rsid w:val="0003259C"/>
    <w:rsid w:val="000331A7"/>
    <w:rsid w:val="00033B72"/>
    <w:rsid w:val="00035133"/>
    <w:rsid w:val="0004495B"/>
    <w:rsid w:val="00047EF4"/>
    <w:rsid w:val="00055E08"/>
    <w:rsid w:val="0006003F"/>
    <w:rsid w:val="000633E4"/>
    <w:rsid w:val="00063769"/>
    <w:rsid w:val="0006628C"/>
    <w:rsid w:val="0006649E"/>
    <w:rsid w:val="000677C4"/>
    <w:rsid w:val="00070622"/>
    <w:rsid w:val="00072B80"/>
    <w:rsid w:val="00081B6F"/>
    <w:rsid w:val="000824CE"/>
    <w:rsid w:val="0008704C"/>
    <w:rsid w:val="0009191B"/>
    <w:rsid w:val="00092888"/>
    <w:rsid w:val="00095D1F"/>
    <w:rsid w:val="000A27E4"/>
    <w:rsid w:val="000A37A2"/>
    <w:rsid w:val="000A3CCE"/>
    <w:rsid w:val="000A5876"/>
    <w:rsid w:val="000A5E49"/>
    <w:rsid w:val="000A64AA"/>
    <w:rsid w:val="000A6A8F"/>
    <w:rsid w:val="000A6E54"/>
    <w:rsid w:val="000B2B6B"/>
    <w:rsid w:val="000B3EFA"/>
    <w:rsid w:val="000C2EE7"/>
    <w:rsid w:val="000C31D5"/>
    <w:rsid w:val="000C48D1"/>
    <w:rsid w:val="000C5B78"/>
    <w:rsid w:val="000D70DF"/>
    <w:rsid w:val="000E1907"/>
    <w:rsid w:val="000E492F"/>
    <w:rsid w:val="000F422B"/>
    <w:rsid w:val="000F663B"/>
    <w:rsid w:val="000F73A2"/>
    <w:rsid w:val="00100473"/>
    <w:rsid w:val="00100E1F"/>
    <w:rsid w:val="001108E6"/>
    <w:rsid w:val="001138FC"/>
    <w:rsid w:val="0011784A"/>
    <w:rsid w:val="001237E5"/>
    <w:rsid w:val="00125998"/>
    <w:rsid w:val="00126CC2"/>
    <w:rsid w:val="001303E3"/>
    <w:rsid w:val="0013099E"/>
    <w:rsid w:val="00130CEB"/>
    <w:rsid w:val="001316EC"/>
    <w:rsid w:val="001323FB"/>
    <w:rsid w:val="00132486"/>
    <w:rsid w:val="001332FC"/>
    <w:rsid w:val="00134072"/>
    <w:rsid w:val="0014176D"/>
    <w:rsid w:val="00141AF1"/>
    <w:rsid w:val="00144077"/>
    <w:rsid w:val="00145689"/>
    <w:rsid w:val="00152A6E"/>
    <w:rsid w:val="00153201"/>
    <w:rsid w:val="00156E8C"/>
    <w:rsid w:val="00156F39"/>
    <w:rsid w:val="0016223A"/>
    <w:rsid w:val="0016592B"/>
    <w:rsid w:val="0016712F"/>
    <w:rsid w:val="0016713F"/>
    <w:rsid w:val="00173256"/>
    <w:rsid w:val="00174022"/>
    <w:rsid w:val="00180302"/>
    <w:rsid w:val="001834C8"/>
    <w:rsid w:val="0018431A"/>
    <w:rsid w:val="00184CCE"/>
    <w:rsid w:val="001856A7"/>
    <w:rsid w:val="00186C48"/>
    <w:rsid w:val="00186E66"/>
    <w:rsid w:val="00190F79"/>
    <w:rsid w:val="00191368"/>
    <w:rsid w:val="001941E5"/>
    <w:rsid w:val="00194238"/>
    <w:rsid w:val="00195233"/>
    <w:rsid w:val="0019704F"/>
    <w:rsid w:val="001A22A7"/>
    <w:rsid w:val="001A3183"/>
    <w:rsid w:val="001A5A44"/>
    <w:rsid w:val="001B12E8"/>
    <w:rsid w:val="001B23B5"/>
    <w:rsid w:val="001B3A95"/>
    <w:rsid w:val="001B4B39"/>
    <w:rsid w:val="001B5D3A"/>
    <w:rsid w:val="001C29B3"/>
    <w:rsid w:val="001C4257"/>
    <w:rsid w:val="001C5255"/>
    <w:rsid w:val="001C56A4"/>
    <w:rsid w:val="001D01C0"/>
    <w:rsid w:val="001D4527"/>
    <w:rsid w:val="001D4D43"/>
    <w:rsid w:val="001D5A23"/>
    <w:rsid w:val="001E19B7"/>
    <w:rsid w:val="001E6985"/>
    <w:rsid w:val="001E7F73"/>
    <w:rsid w:val="001F4989"/>
    <w:rsid w:val="001F58C6"/>
    <w:rsid w:val="001F7488"/>
    <w:rsid w:val="00201250"/>
    <w:rsid w:val="00201990"/>
    <w:rsid w:val="0020264D"/>
    <w:rsid w:val="0020375C"/>
    <w:rsid w:val="002051B2"/>
    <w:rsid w:val="0020550A"/>
    <w:rsid w:val="00212FE3"/>
    <w:rsid w:val="002140BF"/>
    <w:rsid w:val="0022173E"/>
    <w:rsid w:val="00222CD7"/>
    <w:rsid w:val="0022637E"/>
    <w:rsid w:val="0023179D"/>
    <w:rsid w:val="0023554D"/>
    <w:rsid w:val="002411D3"/>
    <w:rsid w:val="00243BAA"/>
    <w:rsid w:val="002453FD"/>
    <w:rsid w:val="00247C12"/>
    <w:rsid w:val="002534F0"/>
    <w:rsid w:val="00256DF9"/>
    <w:rsid w:val="002651A9"/>
    <w:rsid w:val="0027285B"/>
    <w:rsid w:val="00276DAE"/>
    <w:rsid w:val="0027761E"/>
    <w:rsid w:val="00283547"/>
    <w:rsid w:val="00285B85"/>
    <w:rsid w:val="00292616"/>
    <w:rsid w:val="002940D3"/>
    <w:rsid w:val="002A3215"/>
    <w:rsid w:val="002A354D"/>
    <w:rsid w:val="002A3588"/>
    <w:rsid w:val="002A53CA"/>
    <w:rsid w:val="002A7BF4"/>
    <w:rsid w:val="002B346F"/>
    <w:rsid w:val="002B4AE3"/>
    <w:rsid w:val="002C1146"/>
    <w:rsid w:val="002C2B70"/>
    <w:rsid w:val="002C389F"/>
    <w:rsid w:val="002C43F8"/>
    <w:rsid w:val="002C466D"/>
    <w:rsid w:val="002C7B91"/>
    <w:rsid w:val="002D3DBC"/>
    <w:rsid w:val="002D4692"/>
    <w:rsid w:val="002D5DDC"/>
    <w:rsid w:val="002D6379"/>
    <w:rsid w:val="002E07CE"/>
    <w:rsid w:val="002E1F36"/>
    <w:rsid w:val="002E32C5"/>
    <w:rsid w:val="002E41FA"/>
    <w:rsid w:val="002F2B2E"/>
    <w:rsid w:val="002F41E6"/>
    <w:rsid w:val="002F4F48"/>
    <w:rsid w:val="002F7207"/>
    <w:rsid w:val="00301365"/>
    <w:rsid w:val="00312508"/>
    <w:rsid w:val="00314942"/>
    <w:rsid w:val="0031695E"/>
    <w:rsid w:val="00320510"/>
    <w:rsid w:val="003256AF"/>
    <w:rsid w:val="003272F8"/>
    <w:rsid w:val="00330512"/>
    <w:rsid w:val="003315A2"/>
    <w:rsid w:val="003338B6"/>
    <w:rsid w:val="003338C9"/>
    <w:rsid w:val="00334907"/>
    <w:rsid w:val="00341209"/>
    <w:rsid w:val="0034125C"/>
    <w:rsid w:val="003450FE"/>
    <w:rsid w:val="003503D0"/>
    <w:rsid w:val="00353308"/>
    <w:rsid w:val="00354CDF"/>
    <w:rsid w:val="00355F47"/>
    <w:rsid w:val="00362B79"/>
    <w:rsid w:val="003633DF"/>
    <w:rsid w:val="00363502"/>
    <w:rsid w:val="00364302"/>
    <w:rsid w:val="00366638"/>
    <w:rsid w:val="00367451"/>
    <w:rsid w:val="00367B72"/>
    <w:rsid w:val="0037055A"/>
    <w:rsid w:val="00375BEE"/>
    <w:rsid w:val="0037727B"/>
    <w:rsid w:val="00381106"/>
    <w:rsid w:val="003818D2"/>
    <w:rsid w:val="00382135"/>
    <w:rsid w:val="0038213D"/>
    <w:rsid w:val="00382410"/>
    <w:rsid w:val="00385265"/>
    <w:rsid w:val="003935FD"/>
    <w:rsid w:val="003A02C4"/>
    <w:rsid w:val="003A0EA2"/>
    <w:rsid w:val="003A5DBB"/>
    <w:rsid w:val="003A67C6"/>
    <w:rsid w:val="003B0BA2"/>
    <w:rsid w:val="003B1AD4"/>
    <w:rsid w:val="003B1F99"/>
    <w:rsid w:val="003B5A4D"/>
    <w:rsid w:val="003B6AB0"/>
    <w:rsid w:val="003C3761"/>
    <w:rsid w:val="003C3ECD"/>
    <w:rsid w:val="003C484E"/>
    <w:rsid w:val="003C68F0"/>
    <w:rsid w:val="003D12A7"/>
    <w:rsid w:val="003D7E85"/>
    <w:rsid w:val="003E19AF"/>
    <w:rsid w:val="003E2D4C"/>
    <w:rsid w:val="003E3520"/>
    <w:rsid w:val="003E66CE"/>
    <w:rsid w:val="003F1626"/>
    <w:rsid w:val="003F548B"/>
    <w:rsid w:val="003F58B2"/>
    <w:rsid w:val="003F63D4"/>
    <w:rsid w:val="003F68D6"/>
    <w:rsid w:val="00405D7D"/>
    <w:rsid w:val="00405F07"/>
    <w:rsid w:val="004104FC"/>
    <w:rsid w:val="00411C19"/>
    <w:rsid w:val="0041399E"/>
    <w:rsid w:val="004172EF"/>
    <w:rsid w:val="00417F5B"/>
    <w:rsid w:val="0042180C"/>
    <w:rsid w:val="00423220"/>
    <w:rsid w:val="00423748"/>
    <w:rsid w:val="004267C9"/>
    <w:rsid w:val="004273B5"/>
    <w:rsid w:val="00427CF1"/>
    <w:rsid w:val="00443BA3"/>
    <w:rsid w:val="004473D4"/>
    <w:rsid w:val="0044740B"/>
    <w:rsid w:val="00452975"/>
    <w:rsid w:val="00454433"/>
    <w:rsid w:val="00454B34"/>
    <w:rsid w:val="0046299C"/>
    <w:rsid w:val="0047304F"/>
    <w:rsid w:val="004765AA"/>
    <w:rsid w:val="00480C67"/>
    <w:rsid w:val="00483728"/>
    <w:rsid w:val="00483A9F"/>
    <w:rsid w:val="004853C5"/>
    <w:rsid w:val="00485539"/>
    <w:rsid w:val="00486E25"/>
    <w:rsid w:val="004907F1"/>
    <w:rsid w:val="00491905"/>
    <w:rsid w:val="00496443"/>
    <w:rsid w:val="004968E2"/>
    <w:rsid w:val="004972E1"/>
    <w:rsid w:val="004A4427"/>
    <w:rsid w:val="004A79F5"/>
    <w:rsid w:val="004B39F3"/>
    <w:rsid w:val="004B5406"/>
    <w:rsid w:val="004B5F52"/>
    <w:rsid w:val="004B7335"/>
    <w:rsid w:val="004B75F0"/>
    <w:rsid w:val="004B7700"/>
    <w:rsid w:val="004C17B7"/>
    <w:rsid w:val="004C2F9D"/>
    <w:rsid w:val="004C3916"/>
    <w:rsid w:val="004C5326"/>
    <w:rsid w:val="004D0016"/>
    <w:rsid w:val="004D0DA4"/>
    <w:rsid w:val="004D2536"/>
    <w:rsid w:val="004D268C"/>
    <w:rsid w:val="004D45A6"/>
    <w:rsid w:val="004D4750"/>
    <w:rsid w:val="004D7B4A"/>
    <w:rsid w:val="004E00BA"/>
    <w:rsid w:val="004E0D1F"/>
    <w:rsid w:val="004E3D45"/>
    <w:rsid w:val="004E59E2"/>
    <w:rsid w:val="004E77DA"/>
    <w:rsid w:val="004F0062"/>
    <w:rsid w:val="004F1674"/>
    <w:rsid w:val="004F3C7B"/>
    <w:rsid w:val="004F3E09"/>
    <w:rsid w:val="004F7B0F"/>
    <w:rsid w:val="005026EC"/>
    <w:rsid w:val="00502CE9"/>
    <w:rsid w:val="00503786"/>
    <w:rsid w:val="00505CA8"/>
    <w:rsid w:val="00506DB3"/>
    <w:rsid w:val="00514920"/>
    <w:rsid w:val="00515939"/>
    <w:rsid w:val="00521B42"/>
    <w:rsid w:val="0053241B"/>
    <w:rsid w:val="00535D0B"/>
    <w:rsid w:val="00537974"/>
    <w:rsid w:val="00541F40"/>
    <w:rsid w:val="005446F7"/>
    <w:rsid w:val="00547299"/>
    <w:rsid w:val="00552EB1"/>
    <w:rsid w:val="00554F2E"/>
    <w:rsid w:val="00556EDA"/>
    <w:rsid w:val="005616BC"/>
    <w:rsid w:val="00561D8F"/>
    <w:rsid w:val="0056240F"/>
    <w:rsid w:val="005632F7"/>
    <w:rsid w:val="00565ADF"/>
    <w:rsid w:val="00572D9A"/>
    <w:rsid w:val="005730B8"/>
    <w:rsid w:val="005801C5"/>
    <w:rsid w:val="00583620"/>
    <w:rsid w:val="00584C9A"/>
    <w:rsid w:val="0059331A"/>
    <w:rsid w:val="00593E44"/>
    <w:rsid w:val="00594582"/>
    <w:rsid w:val="005964C3"/>
    <w:rsid w:val="00597A67"/>
    <w:rsid w:val="005A459D"/>
    <w:rsid w:val="005A5C0C"/>
    <w:rsid w:val="005A6C33"/>
    <w:rsid w:val="005A6CE8"/>
    <w:rsid w:val="005B1105"/>
    <w:rsid w:val="005B25FD"/>
    <w:rsid w:val="005B4475"/>
    <w:rsid w:val="005B4C1D"/>
    <w:rsid w:val="005C4980"/>
    <w:rsid w:val="005C634D"/>
    <w:rsid w:val="005C7153"/>
    <w:rsid w:val="005D6056"/>
    <w:rsid w:val="005D6CD1"/>
    <w:rsid w:val="005D721B"/>
    <w:rsid w:val="005D7368"/>
    <w:rsid w:val="005E0134"/>
    <w:rsid w:val="005E3BE7"/>
    <w:rsid w:val="005E41F7"/>
    <w:rsid w:val="005F1DF8"/>
    <w:rsid w:val="005F1FAC"/>
    <w:rsid w:val="005F22D9"/>
    <w:rsid w:val="005F22E8"/>
    <w:rsid w:val="005F4B54"/>
    <w:rsid w:val="005F752B"/>
    <w:rsid w:val="0060191B"/>
    <w:rsid w:val="00602ACA"/>
    <w:rsid w:val="006063EA"/>
    <w:rsid w:val="00607FE7"/>
    <w:rsid w:val="006361DE"/>
    <w:rsid w:val="00636DFE"/>
    <w:rsid w:val="00637242"/>
    <w:rsid w:val="006436AC"/>
    <w:rsid w:val="00646168"/>
    <w:rsid w:val="006467F7"/>
    <w:rsid w:val="00650079"/>
    <w:rsid w:val="00650F97"/>
    <w:rsid w:val="00657AD2"/>
    <w:rsid w:val="006601CC"/>
    <w:rsid w:val="0066131C"/>
    <w:rsid w:val="0066560E"/>
    <w:rsid w:val="00665FE2"/>
    <w:rsid w:val="00672364"/>
    <w:rsid w:val="00672402"/>
    <w:rsid w:val="00673ED9"/>
    <w:rsid w:val="0067608F"/>
    <w:rsid w:val="00676E78"/>
    <w:rsid w:val="0068044E"/>
    <w:rsid w:val="00686AA6"/>
    <w:rsid w:val="0069126B"/>
    <w:rsid w:val="00692D5F"/>
    <w:rsid w:val="006A61C9"/>
    <w:rsid w:val="006A70E7"/>
    <w:rsid w:val="006B1560"/>
    <w:rsid w:val="006B1927"/>
    <w:rsid w:val="006B48C9"/>
    <w:rsid w:val="006B606E"/>
    <w:rsid w:val="006B740B"/>
    <w:rsid w:val="006C0410"/>
    <w:rsid w:val="006C0E28"/>
    <w:rsid w:val="006C241B"/>
    <w:rsid w:val="006C2BC5"/>
    <w:rsid w:val="006C3602"/>
    <w:rsid w:val="006C7FAD"/>
    <w:rsid w:val="006D05FA"/>
    <w:rsid w:val="006D443A"/>
    <w:rsid w:val="006E0594"/>
    <w:rsid w:val="006E1311"/>
    <w:rsid w:val="006E2D25"/>
    <w:rsid w:val="006E3411"/>
    <w:rsid w:val="006E4C87"/>
    <w:rsid w:val="006E5AF3"/>
    <w:rsid w:val="006E68AF"/>
    <w:rsid w:val="006F22CC"/>
    <w:rsid w:val="006F7595"/>
    <w:rsid w:val="00705983"/>
    <w:rsid w:val="00705BD0"/>
    <w:rsid w:val="0071031D"/>
    <w:rsid w:val="00710EBD"/>
    <w:rsid w:val="00712A54"/>
    <w:rsid w:val="00712C01"/>
    <w:rsid w:val="00713571"/>
    <w:rsid w:val="00713A9F"/>
    <w:rsid w:val="00721A28"/>
    <w:rsid w:val="00722846"/>
    <w:rsid w:val="00723458"/>
    <w:rsid w:val="00734100"/>
    <w:rsid w:val="00740C70"/>
    <w:rsid w:val="00743512"/>
    <w:rsid w:val="007452A4"/>
    <w:rsid w:val="00745BB9"/>
    <w:rsid w:val="00745C40"/>
    <w:rsid w:val="00750537"/>
    <w:rsid w:val="007517B9"/>
    <w:rsid w:val="007537DF"/>
    <w:rsid w:val="00754A0B"/>
    <w:rsid w:val="00761017"/>
    <w:rsid w:val="00761C78"/>
    <w:rsid w:val="00762CAC"/>
    <w:rsid w:val="00762D59"/>
    <w:rsid w:val="00763015"/>
    <w:rsid w:val="00763715"/>
    <w:rsid w:val="007641E9"/>
    <w:rsid w:val="00770BAB"/>
    <w:rsid w:val="0077193E"/>
    <w:rsid w:val="00773BF2"/>
    <w:rsid w:val="00773FE3"/>
    <w:rsid w:val="00776BCD"/>
    <w:rsid w:val="00784F5C"/>
    <w:rsid w:val="00785A76"/>
    <w:rsid w:val="007873A0"/>
    <w:rsid w:val="0078753B"/>
    <w:rsid w:val="00790ADA"/>
    <w:rsid w:val="0079391B"/>
    <w:rsid w:val="00794D3F"/>
    <w:rsid w:val="00796D6C"/>
    <w:rsid w:val="007A0865"/>
    <w:rsid w:val="007A1592"/>
    <w:rsid w:val="007A4F6A"/>
    <w:rsid w:val="007A63F4"/>
    <w:rsid w:val="007A7566"/>
    <w:rsid w:val="007B0212"/>
    <w:rsid w:val="007B1685"/>
    <w:rsid w:val="007B1D66"/>
    <w:rsid w:val="007B6838"/>
    <w:rsid w:val="007B6FA4"/>
    <w:rsid w:val="007B728E"/>
    <w:rsid w:val="007B7356"/>
    <w:rsid w:val="007C32B3"/>
    <w:rsid w:val="007C3726"/>
    <w:rsid w:val="007E1351"/>
    <w:rsid w:val="007E4B65"/>
    <w:rsid w:val="007E7ED0"/>
    <w:rsid w:val="007F3DD5"/>
    <w:rsid w:val="007F3EE5"/>
    <w:rsid w:val="00800849"/>
    <w:rsid w:val="00800B5D"/>
    <w:rsid w:val="00801A29"/>
    <w:rsid w:val="00806785"/>
    <w:rsid w:val="00807B18"/>
    <w:rsid w:val="00810DC0"/>
    <w:rsid w:val="00812FB5"/>
    <w:rsid w:val="00814162"/>
    <w:rsid w:val="00823478"/>
    <w:rsid w:val="00823E1A"/>
    <w:rsid w:val="008247E6"/>
    <w:rsid w:val="008275D7"/>
    <w:rsid w:val="00833CA2"/>
    <w:rsid w:val="00835C5B"/>
    <w:rsid w:val="00846069"/>
    <w:rsid w:val="00852323"/>
    <w:rsid w:val="00857A70"/>
    <w:rsid w:val="008605DE"/>
    <w:rsid w:val="00860CE6"/>
    <w:rsid w:val="00863BEC"/>
    <w:rsid w:val="00872ACA"/>
    <w:rsid w:val="008760A3"/>
    <w:rsid w:val="00880DF0"/>
    <w:rsid w:val="00881108"/>
    <w:rsid w:val="00881C8B"/>
    <w:rsid w:val="00886614"/>
    <w:rsid w:val="00886D77"/>
    <w:rsid w:val="0088784D"/>
    <w:rsid w:val="0089144E"/>
    <w:rsid w:val="00893AC8"/>
    <w:rsid w:val="008A2FEC"/>
    <w:rsid w:val="008A5C08"/>
    <w:rsid w:val="008A79CA"/>
    <w:rsid w:val="008A7C79"/>
    <w:rsid w:val="008B1ACA"/>
    <w:rsid w:val="008B72F3"/>
    <w:rsid w:val="008C1909"/>
    <w:rsid w:val="008C369C"/>
    <w:rsid w:val="008C37D0"/>
    <w:rsid w:val="008C574B"/>
    <w:rsid w:val="008C6560"/>
    <w:rsid w:val="008D22B6"/>
    <w:rsid w:val="008D29D1"/>
    <w:rsid w:val="008D631F"/>
    <w:rsid w:val="008E252B"/>
    <w:rsid w:val="008E28F5"/>
    <w:rsid w:val="008E2909"/>
    <w:rsid w:val="008E4DB2"/>
    <w:rsid w:val="008E571F"/>
    <w:rsid w:val="00900411"/>
    <w:rsid w:val="00907323"/>
    <w:rsid w:val="00910D76"/>
    <w:rsid w:val="009166E9"/>
    <w:rsid w:val="0092450C"/>
    <w:rsid w:val="00924CBD"/>
    <w:rsid w:val="009305EF"/>
    <w:rsid w:val="0093158D"/>
    <w:rsid w:val="00932A7F"/>
    <w:rsid w:val="00932CA8"/>
    <w:rsid w:val="0093314D"/>
    <w:rsid w:val="00934FFC"/>
    <w:rsid w:val="00935323"/>
    <w:rsid w:val="0094163C"/>
    <w:rsid w:val="00944CDD"/>
    <w:rsid w:val="0094559A"/>
    <w:rsid w:val="009460B2"/>
    <w:rsid w:val="0094648B"/>
    <w:rsid w:val="00951017"/>
    <w:rsid w:val="009556FF"/>
    <w:rsid w:val="009571A1"/>
    <w:rsid w:val="00957F42"/>
    <w:rsid w:val="00960989"/>
    <w:rsid w:val="00966534"/>
    <w:rsid w:val="00966662"/>
    <w:rsid w:val="009667D6"/>
    <w:rsid w:val="00970868"/>
    <w:rsid w:val="009733A3"/>
    <w:rsid w:val="009826D4"/>
    <w:rsid w:val="00983CC7"/>
    <w:rsid w:val="00991AC9"/>
    <w:rsid w:val="00993197"/>
    <w:rsid w:val="009937C6"/>
    <w:rsid w:val="00997D71"/>
    <w:rsid w:val="009A012D"/>
    <w:rsid w:val="009A179F"/>
    <w:rsid w:val="009A290C"/>
    <w:rsid w:val="009A47CC"/>
    <w:rsid w:val="009A4C4B"/>
    <w:rsid w:val="009A4C81"/>
    <w:rsid w:val="009A517F"/>
    <w:rsid w:val="009A68EB"/>
    <w:rsid w:val="009A6C96"/>
    <w:rsid w:val="009A6DAF"/>
    <w:rsid w:val="009B1ED0"/>
    <w:rsid w:val="009B7B9F"/>
    <w:rsid w:val="009C020E"/>
    <w:rsid w:val="009C171D"/>
    <w:rsid w:val="009C4D39"/>
    <w:rsid w:val="009C7017"/>
    <w:rsid w:val="009D0AA6"/>
    <w:rsid w:val="009D1BA7"/>
    <w:rsid w:val="009D44A9"/>
    <w:rsid w:val="009D6D5E"/>
    <w:rsid w:val="009E0820"/>
    <w:rsid w:val="009E0BA0"/>
    <w:rsid w:val="009E48EC"/>
    <w:rsid w:val="009E4A24"/>
    <w:rsid w:val="009E4DA9"/>
    <w:rsid w:val="009E7239"/>
    <w:rsid w:val="009F4B47"/>
    <w:rsid w:val="009F7968"/>
    <w:rsid w:val="00A02A44"/>
    <w:rsid w:val="00A06453"/>
    <w:rsid w:val="00A07519"/>
    <w:rsid w:val="00A12E9E"/>
    <w:rsid w:val="00A1380C"/>
    <w:rsid w:val="00A14714"/>
    <w:rsid w:val="00A158AB"/>
    <w:rsid w:val="00A15C27"/>
    <w:rsid w:val="00A15E74"/>
    <w:rsid w:val="00A2317F"/>
    <w:rsid w:val="00A31DA6"/>
    <w:rsid w:val="00A3618D"/>
    <w:rsid w:val="00A3782C"/>
    <w:rsid w:val="00A45C68"/>
    <w:rsid w:val="00A53694"/>
    <w:rsid w:val="00A64C98"/>
    <w:rsid w:val="00A6607F"/>
    <w:rsid w:val="00A705D3"/>
    <w:rsid w:val="00A7060C"/>
    <w:rsid w:val="00A71196"/>
    <w:rsid w:val="00A72315"/>
    <w:rsid w:val="00A754FB"/>
    <w:rsid w:val="00A810ED"/>
    <w:rsid w:val="00A82DE1"/>
    <w:rsid w:val="00A84CF8"/>
    <w:rsid w:val="00A85071"/>
    <w:rsid w:val="00A910BF"/>
    <w:rsid w:val="00A91B09"/>
    <w:rsid w:val="00A91E93"/>
    <w:rsid w:val="00A944FB"/>
    <w:rsid w:val="00A95975"/>
    <w:rsid w:val="00AA0468"/>
    <w:rsid w:val="00AA06C8"/>
    <w:rsid w:val="00AB0150"/>
    <w:rsid w:val="00AB4AFE"/>
    <w:rsid w:val="00AB5B14"/>
    <w:rsid w:val="00AC08A6"/>
    <w:rsid w:val="00AC4481"/>
    <w:rsid w:val="00AC638A"/>
    <w:rsid w:val="00AD2743"/>
    <w:rsid w:val="00AD4A6F"/>
    <w:rsid w:val="00AD4F01"/>
    <w:rsid w:val="00AD6ED5"/>
    <w:rsid w:val="00AD7C90"/>
    <w:rsid w:val="00AE0639"/>
    <w:rsid w:val="00AE5496"/>
    <w:rsid w:val="00AE6431"/>
    <w:rsid w:val="00AF3772"/>
    <w:rsid w:val="00AF7DBF"/>
    <w:rsid w:val="00B0084D"/>
    <w:rsid w:val="00B0295B"/>
    <w:rsid w:val="00B076E6"/>
    <w:rsid w:val="00B07ADD"/>
    <w:rsid w:val="00B07D28"/>
    <w:rsid w:val="00B11010"/>
    <w:rsid w:val="00B24F5A"/>
    <w:rsid w:val="00B312D3"/>
    <w:rsid w:val="00B34A51"/>
    <w:rsid w:val="00B3656E"/>
    <w:rsid w:val="00B41C7C"/>
    <w:rsid w:val="00B45DBD"/>
    <w:rsid w:val="00B47DC8"/>
    <w:rsid w:val="00B50B8F"/>
    <w:rsid w:val="00B543BB"/>
    <w:rsid w:val="00B55163"/>
    <w:rsid w:val="00B56E1B"/>
    <w:rsid w:val="00B62BFA"/>
    <w:rsid w:val="00B648F3"/>
    <w:rsid w:val="00B65F7F"/>
    <w:rsid w:val="00B70A8B"/>
    <w:rsid w:val="00B734CD"/>
    <w:rsid w:val="00B74A64"/>
    <w:rsid w:val="00B74F76"/>
    <w:rsid w:val="00B766CA"/>
    <w:rsid w:val="00B766E2"/>
    <w:rsid w:val="00B81F35"/>
    <w:rsid w:val="00B84AE5"/>
    <w:rsid w:val="00B858DE"/>
    <w:rsid w:val="00B907F9"/>
    <w:rsid w:val="00B94AA8"/>
    <w:rsid w:val="00BA0588"/>
    <w:rsid w:val="00BA231A"/>
    <w:rsid w:val="00BA4FD0"/>
    <w:rsid w:val="00BA5D72"/>
    <w:rsid w:val="00BA696F"/>
    <w:rsid w:val="00BB60C9"/>
    <w:rsid w:val="00BC38F5"/>
    <w:rsid w:val="00BD29B5"/>
    <w:rsid w:val="00BD2D49"/>
    <w:rsid w:val="00BD51C0"/>
    <w:rsid w:val="00BD550F"/>
    <w:rsid w:val="00BE02A3"/>
    <w:rsid w:val="00BE0DEF"/>
    <w:rsid w:val="00BE23AF"/>
    <w:rsid w:val="00BF0B76"/>
    <w:rsid w:val="00BF1E23"/>
    <w:rsid w:val="00BF338E"/>
    <w:rsid w:val="00C00357"/>
    <w:rsid w:val="00C02593"/>
    <w:rsid w:val="00C07D7D"/>
    <w:rsid w:val="00C11BC1"/>
    <w:rsid w:val="00C12904"/>
    <w:rsid w:val="00C1441A"/>
    <w:rsid w:val="00C24D13"/>
    <w:rsid w:val="00C2732A"/>
    <w:rsid w:val="00C312B0"/>
    <w:rsid w:val="00C32102"/>
    <w:rsid w:val="00C3262D"/>
    <w:rsid w:val="00C41591"/>
    <w:rsid w:val="00C41D83"/>
    <w:rsid w:val="00C434B7"/>
    <w:rsid w:val="00C446DD"/>
    <w:rsid w:val="00C50F40"/>
    <w:rsid w:val="00C55856"/>
    <w:rsid w:val="00C56865"/>
    <w:rsid w:val="00C57345"/>
    <w:rsid w:val="00C62559"/>
    <w:rsid w:val="00C6407D"/>
    <w:rsid w:val="00C658FE"/>
    <w:rsid w:val="00C70412"/>
    <w:rsid w:val="00C70F37"/>
    <w:rsid w:val="00C76309"/>
    <w:rsid w:val="00C76DAA"/>
    <w:rsid w:val="00C77E50"/>
    <w:rsid w:val="00C81108"/>
    <w:rsid w:val="00C82103"/>
    <w:rsid w:val="00C876C7"/>
    <w:rsid w:val="00C9126A"/>
    <w:rsid w:val="00C93D52"/>
    <w:rsid w:val="00C94C5E"/>
    <w:rsid w:val="00C94E4C"/>
    <w:rsid w:val="00C9545F"/>
    <w:rsid w:val="00C959D7"/>
    <w:rsid w:val="00C9772B"/>
    <w:rsid w:val="00CA2B60"/>
    <w:rsid w:val="00CA7F59"/>
    <w:rsid w:val="00CB03FD"/>
    <w:rsid w:val="00CC0381"/>
    <w:rsid w:val="00CC2906"/>
    <w:rsid w:val="00CC3377"/>
    <w:rsid w:val="00CC7FFA"/>
    <w:rsid w:val="00CD1A7E"/>
    <w:rsid w:val="00CD500F"/>
    <w:rsid w:val="00CE206C"/>
    <w:rsid w:val="00CE3C21"/>
    <w:rsid w:val="00CE61BF"/>
    <w:rsid w:val="00CE65A6"/>
    <w:rsid w:val="00CF1063"/>
    <w:rsid w:val="00CF1254"/>
    <w:rsid w:val="00CF5B90"/>
    <w:rsid w:val="00D01581"/>
    <w:rsid w:val="00D032B3"/>
    <w:rsid w:val="00D04AED"/>
    <w:rsid w:val="00D05113"/>
    <w:rsid w:val="00D142F6"/>
    <w:rsid w:val="00D154EA"/>
    <w:rsid w:val="00D206CB"/>
    <w:rsid w:val="00D220AB"/>
    <w:rsid w:val="00D273E7"/>
    <w:rsid w:val="00D301F4"/>
    <w:rsid w:val="00D31397"/>
    <w:rsid w:val="00D32CD0"/>
    <w:rsid w:val="00D346BE"/>
    <w:rsid w:val="00D34901"/>
    <w:rsid w:val="00D35829"/>
    <w:rsid w:val="00D42B56"/>
    <w:rsid w:val="00D4485C"/>
    <w:rsid w:val="00D44D2D"/>
    <w:rsid w:val="00D50565"/>
    <w:rsid w:val="00D520F0"/>
    <w:rsid w:val="00D52F19"/>
    <w:rsid w:val="00D53021"/>
    <w:rsid w:val="00D541D3"/>
    <w:rsid w:val="00D54A14"/>
    <w:rsid w:val="00D55572"/>
    <w:rsid w:val="00D56C82"/>
    <w:rsid w:val="00D60E97"/>
    <w:rsid w:val="00D611D0"/>
    <w:rsid w:val="00D62D84"/>
    <w:rsid w:val="00D65ABF"/>
    <w:rsid w:val="00D72730"/>
    <w:rsid w:val="00D7340B"/>
    <w:rsid w:val="00D74BE0"/>
    <w:rsid w:val="00D77B99"/>
    <w:rsid w:val="00D8113D"/>
    <w:rsid w:val="00D84E1A"/>
    <w:rsid w:val="00D86681"/>
    <w:rsid w:val="00D86839"/>
    <w:rsid w:val="00D8712D"/>
    <w:rsid w:val="00D91202"/>
    <w:rsid w:val="00D91A47"/>
    <w:rsid w:val="00D91D3D"/>
    <w:rsid w:val="00D93D45"/>
    <w:rsid w:val="00D94F34"/>
    <w:rsid w:val="00DA2039"/>
    <w:rsid w:val="00DA3437"/>
    <w:rsid w:val="00DA3BC5"/>
    <w:rsid w:val="00DB0F3C"/>
    <w:rsid w:val="00DB4A09"/>
    <w:rsid w:val="00DB5B6C"/>
    <w:rsid w:val="00DB68D9"/>
    <w:rsid w:val="00DC0064"/>
    <w:rsid w:val="00DC07CD"/>
    <w:rsid w:val="00DC3C8A"/>
    <w:rsid w:val="00DC5189"/>
    <w:rsid w:val="00DD031C"/>
    <w:rsid w:val="00DD0B13"/>
    <w:rsid w:val="00DD785B"/>
    <w:rsid w:val="00DE0A70"/>
    <w:rsid w:val="00DE2902"/>
    <w:rsid w:val="00DE4738"/>
    <w:rsid w:val="00DE4CB3"/>
    <w:rsid w:val="00DF0AC9"/>
    <w:rsid w:val="00DF0DD9"/>
    <w:rsid w:val="00DF3C3C"/>
    <w:rsid w:val="00DF7972"/>
    <w:rsid w:val="00E00D5D"/>
    <w:rsid w:val="00E00D7A"/>
    <w:rsid w:val="00E01D12"/>
    <w:rsid w:val="00E06C03"/>
    <w:rsid w:val="00E145C2"/>
    <w:rsid w:val="00E14D4A"/>
    <w:rsid w:val="00E16D25"/>
    <w:rsid w:val="00E2014B"/>
    <w:rsid w:val="00E22DB5"/>
    <w:rsid w:val="00E27359"/>
    <w:rsid w:val="00E31572"/>
    <w:rsid w:val="00E3324E"/>
    <w:rsid w:val="00E412E3"/>
    <w:rsid w:val="00E41A53"/>
    <w:rsid w:val="00E4563D"/>
    <w:rsid w:val="00E4686B"/>
    <w:rsid w:val="00E565C7"/>
    <w:rsid w:val="00E57B87"/>
    <w:rsid w:val="00E60B33"/>
    <w:rsid w:val="00E625EB"/>
    <w:rsid w:val="00E6338E"/>
    <w:rsid w:val="00E66362"/>
    <w:rsid w:val="00E67134"/>
    <w:rsid w:val="00E71353"/>
    <w:rsid w:val="00E73362"/>
    <w:rsid w:val="00E770D8"/>
    <w:rsid w:val="00E77721"/>
    <w:rsid w:val="00E82E9A"/>
    <w:rsid w:val="00E87335"/>
    <w:rsid w:val="00E92DC8"/>
    <w:rsid w:val="00E97526"/>
    <w:rsid w:val="00EA04FF"/>
    <w:rsid w:val="00EA1DDC"/>
    <w:rsid w:val="00EA5A2F"/>
    <w:rsid w:val="00EA6372"/>
    <w:rsid w:val="00EB1AE4"/>
    <w:rsid w:val="00EB222F"/>
    <w:rsid w:val="00EB2DD1"/>
    <w:rsid w:val="00EB333E"/>
    <w:rsid w:val="00EB3BC6"/>
    <w:rsid w:val="00EB4846"/>
    <w:rsid w:val="00ED1105"/>
    <w:rsid w:val="00ED1634"/>
    <w:rsid w:val="00ED5A4D"/>
    <w:rsid w:val="00ED67F3"/>
    <w:rsid w:val="00EE2EFD"/>
    <w:rsid w:val="00EE5DB3"/>
    <w:rsid w:val="00EE7201"/>
    <w:rsid w:val="00EF06A8"/>
    <w:rsid w:val="00EF11E2"/>
    <w:rsid w:val="00EF23E5"/>
    <w:rsid w:val="00EF43F9"/>
    <w:rsid w:val="00EF5C87"/>
    <w:rsid w:val="00F04DB8"/>
    <w:rsid w:val="00F061D5"/>
    <w:rsid w:val="00F12F62"/>
    <w:rsid w:val="00F17024"/>
    <w:rsid w:val="00F20A50"/>
    <w:rsid w:val="00F265AE"/>
    <w:rsid w:val="00F27EA0"/>
    <w:rsid w:val="00F30136"/>
    <w:rsid w:val="00F338AA"/>
    <w:rsid w:val="00F34ADD"/>
    <w:rsid w:val="00F4011B"/>
    <w:rsid w:val="00F42577"/>
    <w:rsid w:val="00F5237D"/>
    <w:rsid w:val="00F52C0C"/>
    <w:rsid w:val="00F5723D"/>
    <w:rsid w:val="00F60BCF"/>
    <w:rsid w:val="00F6144F"/>
    <w:rsid w:val="00F62D91"/>
    <w:rsid w:val="00F660F5"/>
    <w:rsid w:val="00F66322"/>
    <w:rsid w:val="00F7000D"/>
    <w:rsid w:val="00F715B7"/>
    <w:rsid w:val="00F71BDD"/>
    <w:rsid w:val="00F75808"/>
    <w:rsid w:val="00F75F5A"/>
    <w:rsid w:val="00F76C14"/>
    <w:rsid w:val="00F819FA"/>
    <w:rsid w:val="00F83C7E"/>
    <w:rsid w:val="00F85DEB"/>
    <w:rsid w:val="00F90707"/>
    <w:rsid w:val="00F9116B"/>
    <w:rsid w:val="00F9242A"/>
    <w:rsid w:val="00F95B31"/>
    <w:rsid w:val="00F96C05"/>
    <w:rsid w:val="00FA1018"/>
    <w:rsid w:val="00FA3E02"/>
    <w:rsid w:val="00FB647D"/>
    <w:rsid w:val="00FB6988"/>
    <w:rsid w:val="00FC410E"/>
    <w:rsid w:val="00FC47F5"/>
    <w:rsid w:val="00FC5244"/>
    <w:rsid w:val="00FD17B9"/>
    <w:rsid w:val="00FD6D19"/>
    <w:rsid w:val="00FE3811"/>
    <w:rsid w:val="00FE3BB4"/>
    <w:rsid w:val="00FE4526"/>
    <w:rsid w:val="00FE47B4"/>
    <w:rsid w:val="00FF0674"/>
    <w:rsid w:val="00FF6660"/>
    <w:rsid w:val="00FF7A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01584"/>
  <w15:chartTrackingRefBased/>
  <w15:docId w15:val="{DCDF3BBE-29D0-48C0-AA80-6C00ACD06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1907"/>
    <w:pPr>
      <w:keepNext/>
      <w:keepLines/>
      <w:spacing w:before="240" w:after="0" w:line="480" w:lineRule="auto"/>
      <w:outlineLvl w:val="0"/>
    </w:pPr>
    <w:rPr>
      <w:rFonts w:eastAsiaTheme="majorEastAsia" w:cstheme="majorBidi"/>
      <w:b/>
      <w:szCs w:val="32"/>
      <w:u w:val="single"/>
    </w:rPr>
  </w:style>
  <w:style w:type="paragraph" w:styleId="Heading2">
    <w:name w:val="heading 2"/>
    <w:basedOn w:val="Normal"/>
    <w:next w:val="Normal"/>
    <w:link w:val="Heading2Char"/>
    <w:uiPriority w:val="9"/>
    <w:unhideWhenUsed/>
    <w:qFormat/>
    <w:rsid w:val="004D7B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01990"/>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unhideWhenUsed/>
    <w:qFormat/>
    <w:rsid w:val="005730B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1990"/>
    <w:rPr>
      <w:color w:val="0000FF"/>
      <w:u w:val="single"/>
    </w:rPr>
  </w:style>
  <w:style w:type="character" w:customStyle="1" w:styleId="Heading3Char">
    <w:name w:val="Heading 3 Char"/>
    <w:basedOn w:val="DefaultParagraphFont"/>
    <w:link w:val="Heading3"/>
    <w:uiPriority w:val="9"/>
    <w:rsid w:val="00201990"/>
    <w:rPr>
      <w:rFonts w:ascii="Times New Roman" w:eastAsia="Times New Roman" w:hAnsi="Times New Roman" w:cs="Times New Roman"/>
      <w:b/>
      <w:bCs/>
      <w:sz w:val="27"/>
      <w:szCs w:val="27"/>
      <w:lang w:eastAsia="en-GB"/>
    </w:rPr>
  </w:style>
  <w:style w:type="paragraph" w:customStyle="1" w:styleId="para">
    <w:name w:val="para"/>
    <w:basedOn w:val="Normal"/>
    <w:rsid w:val="002019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itationref">
    <w:name w:val="citationref"/>
    <w:basedOn w:val="DefaultParagraphFont"/>
    <w:rsid w:val="00201990"/>
  </w:style>
  <w:style w:type="table" w:styleId="TableGrid">
    <w:name w:val="Table Grid"/>
    <w:basedOn w:val="TableNormal"/>
    <w:uiPriority w:val="39"/>
    <w:rsid w:val="00D44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5730B8"/>
    <w:rPr>
      <w:rFonts w:asciiTheme="majorHAnsi" w:eastAsiaTheme="majorEastAsia" w:hAnsiTheme="majorHAnsi" w:cstheme="majorBidi"/>
      <w:i/>
      <w:iCs/>
      <w:color w:val="2F5496" w:themeColor="accent1" w:themeShade="BF"/>
    </w:rPr>
  </w:style>
  <w:style w:type="paragraph" w:styleId="BalloonText">
    <w:name w:val="Balloon Text"/>
    <w:basedOn w:val="Normal"/>
    <w:link w:val="BalloonTextChar"/>
    <w:uiPriority w:val="99"/>
    <w:semiHidden/>
    <w:unhideWhenUsed/>
    <w:rsid w:val="005730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30B8"/>
    <w:rPr>
      <w:rFonts w:ascii="Segoe UI" w:hAnsi="Segoe UI" w:cs="Segoe UI"/>
      <w:sz w:val="18"/>
      <w:szCs w:val="18"/>
    </w:rPr>
  </w:style>
  <w:style w:type="character" w:customStyle="1" w:styleId="Heading2Char">
    <w:name w:val="Heading 2 Char"/>
    <w:basedOn w:val="DefaultParagraphFont"/>
    <w:link w:val="Heading2"/>
    <w:uiPriority w:val="9"/>
    <w:rsid w:val="004D7B4A"/>
    <w:rPr>
      <w:rFonts w:asciiTheme="majorHAnsi" w:eastAsiaTheme="majorEastAsia" w:hAnsiTheme="majorHAnsi" w:cstheme="majorBidi"/>
      <w:color w:val="2F5496" w:themeColor="accent1" w:themeShade="BF"/>
      <w:sz w:val="26"/>
      <w:szCs w:val="26"/>
    </w:rPr>
  </w:style>
  <w:style w:type="character" w:styleId="Emphasis">
    <w:name w:val="Emphasis"/>
    <w:basedOn w:val="DefaultParagraphFont"/>
    <w:uiPriority w:val="20"/>
    <w:qFormat/>
    <w:rsid w:val="00194238"/>
    <w:rPr>
      <w:i/>
      <w:iCs/>
    </w:rPr>
  </w:style>
  <w:style w:type="character" w:customStyle="1" w:styleId="slug-pub-date">
    <w:name w:val="slug-pub-date"/>
    <w:basedOn w:val="DefaultParagraphFont"/>
    <w:rsid w:val="00AC4481"/>
  </w:style>
  <w:style w:type="character" w:customStyle="1" w:styleId="slug-vol">
    <w:name w:val="slug-vol"/>
    <w:basedOn w:val="DefaultParagraphFont"/>
    <w:rsid w:val="00AC4481"/>
  </w:style>
  <w:style w:type="character" w:customStyle="1" w:styleId="slug-pages">
    <w:name w:val="slug-pages"/>
    <w:basedOn w:val="DefaultParagraphFont"/>
    <w:rsid w:val="00AC4481"/>
  </w:style>
  <w:style w:type="character" w:customStyle="1" w:styleId="sc">
    <w:name w:val="sc"/>
    <w:basedOn w:val="DefaultParagraphFont"/>
    <w:rsid w:val="00AC4481"/>
  </w:style>
  <w:style w:type="character" w:styleId="CommentReference">
    <w:name w:val="annotation reference"/>
    <w:basedOn w:val="DefaultParagraphFont"/>
    <w:uiPriority w:val="99"/>
    <w:semiHidden/>
    <w:unhideWhenUsed/>
    <w:rsid w:val="005F22D9"/>
    <w:rPr>
      <w:sz w:val="16"/>
      <w:szCs w:val="16"/>
    </w:rPr>
  </w:style>
  <w:style w:type="paragraph" w:styleId="CommentText">
    <w:name w:val="annotation text"/>
    <w:basedOn w:val="Normal"/>
    <w:link w:val="CommentTextChar"/>
    <w:uiPriority w:val="99"/>
    <w:unhideWhenUsed/>
    <w:rsid w:val="005F22D9"/>
    <w:pPr>
      <w:spacing w:line="240" w:lineRule="auto"/>
    </w:pPr>
    <w:rPr>
      <w:sz w:val="20"/>
      <w:szCs w:val="20"/>
    </w:rPr>
  </w:style>
  <w:style w:type="character" w:customStyle="1" w:styleId="CommentTextChar">
    <w:name w:val="Comment Text Char"/>
    <w:basedOn w:val="DefaultParagraphFont"/>
    <w:link w:val="CommentText"/>
    <w:uiPriority w:val="99"/>
    <w:rsid w:val="005F22D9"/>
    <w:rPr>
      <w:sz w:val="20"/>
      <w:szCs w:val="20"/>
    </w:rPr>
  </w:style>
  <w:style w:type="paragraph" w:styleId="CommentSubject">
    <w:name w:val="annotation subject"/>
    <w:basedOn w:val="CommentText"/>
    <w:next w:val="CommentText"/>
    <w:link w:val="CommentSubjectChar"/>
    <w:uiPriority w:val="99"/>
    <w:semiHidden/>
    <w:unhideWhenUsed/>
    <w:rsid w:val="005F22D9"/>
    <w:rPr>
      <w:b/>
      <w:bCs/>
    </w:rPr>
  </w:style>
  <w:style w:type="character" w:customStyle="1" w:styleId="CommentSubjectChar">
    <w:name w:val="Comment Subject Char"/>
    <w:basedOn w:val="CommentTextChar"/>
    <w:link w:val="CommentSubject"/>
    <w:uiPriority w:val="99"/>
    <w:semiHidden/>
    <w:rsid w:val="005F22D9"/>
    <w:rPr>
      <w:b/>
      <w:bCs/>
      <w:sz w:val="20"/>
      <w:szCs w:val="20"/>
    </w:rPr>
  </w:style>
  <w:style w:type="character" w:customStyle="1" w:styleId="Heading1Char">
    <w:name w:val="Heading 1 Char"/>
    <w:basedOn w:val="DefaultParagraphFont"/>
    <w:link w:val="Heading1"/>
    <w:uiPriority w:val="9"/>
    <w:rsid w:val="000E1907"/>
    <w:rPr>
      <w:rFonts w:eastAsiaTheme="majorEastAsia" w:cstheme="majorBidi"/>
      <w:b/>
      <w:szCs w:val="32"/>
      <w:u w:val="single"/>
    </w:rPr>
  </w:style>
  <w:style w:type="paragraph" w:styleId="Header">
    <w:name w:val="header"/>
    <w:basedOn w:val="Normal"/>
    <w:link w:val="HeaderChar"/>
    <w:uiPriority w:val="99"/>
    <w:unhideWhenUsed/>
    <w:rsid w:val="001803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0302"/>
  </w:style>
  <w:style w:type="paragraph" w:styleId="Footer">
    <w:name w:val="footer"/>
    <w:basedOn w:val="Normal"/>
    <w:link w:val="FooterChar"/>
    <w:uiPriority w:val="99"/>
    <w:unhideWhenUsed/>
    <w:rsid w:val="001803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0302"/>
  </w:style>
  <w:style w:type="character" w:customStyle="1" w:styleId="UnresolvedMention1">
    <w:name w:val="Unresolved Mention1"/>
    <w:basedOn w:val="DefaultParagraphFont"/>
    <w:uiPriority w:val="99"/>
    <w:semiHidden/>
    <w:unhideWhenUsed/>
    <w:rsid w:val="00180302"/>
    <w:rPr>
      <w:color w:val="605E5C"/>
      <w:shd w:val="clear" w:color="auto" w:fill="E1DFDD"/>
    </w:rPr>
  </w:style>
  <w:style w:type="paragraph" w:styleId="ListParagraph">
    <w:name w:val="List Paragraph"/>
    <w:basedOn w:val="Normal"/>
    <w:uiPriority w:val="34"/>
    <w:qFormat/>
    <w:rsid w:val="00BA5D72"/>
    <w:pPr>
      <w:ind w:left="720"/>
      <w:contextualSpacing/>
    </w:pPr>
  </w:style>
  <w:style w:type="character" w:customStyle="1" w:styleId="highlight">
    <w:name w:val="highlight"/>
    <w:basedOn w:val="DefaultParagraphFont"/>
    <w:rsid w:val="006C3602"/>
  </w:style>
  <w:style w:type="character" w:styleId="FollowedHyperlink">
    <w:name w:val="FollowedHyperlink"/>
    <w:basedOn w:val="DefaultParagraphFont"/>
    <w:uiPriority w:val="99"/>
    <w:semiHidden/>
    <w:unhideWhenUsed/>
    <w:rsid w:val="0023179D"/>
    <w:rPr>
      <w:color w:val="954F72" w:themeColor="followedHyperlink"/>
      <w:u w:val="single"/>
    </w:rPr>
  </w:style>
  <w:style w:type="paragraph" w:styleId="NormalWeb">
    <w:name w:val="Normal (Web)"/>
    <w:basedOn w:val="Normal"/>
    <w:uiPriority w:val="99"/>
    <w:semiHidden/>
    <w:unhideWhenUsed/>
    <w:rsid w:val="00AD4F01"/>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E71353"/>
    <w:pPr>
      <w:spacing w:after="0" w:line="240" w:lineRule="auto"/>
    </w:pPr>
  </w:style>
  <w:style w:type="character" w:styleId="LineNumber">
    <w:name w:val="line number"/>
    <w:basedOn w:val="DefaultParagraphFont"/>
    <w:uiPriority w:val="99"/>
    <w:semiHidden/>
    <w:unhideWhenUsed/>
    <w:rsid w:val="0009191B"/>
  </w:style>
  <w:style w:type="character" w:customStyle="1" w:styleId="UnresolvedMention2">
    <w:name w:val="Unresolved Mention2"/>
    <w:basedOn w:val="DefaultParagraphFont"/>
    <w:uiPriority w:val="99"/>
    <w:semiHidden/>
    <w:unhideWhenUsed/>
    <w:rsid w:val="00800849"/>
    <w:rPr>
      <w:color w:val="605E5C"/>
      <w:shd w:val="clear" w:color="auto" w:fill="E1DFDD"/>
    </w:rPr>
  </w:style>
  <w:style w:type="paragraph" w:customStyle="1" w:styleId="MDPI17abstract">
    <w:name w:val="MDPI_1.7_abstract"/>
    <w:next w:val="Normal"/>
    <w:qFormat/>
    <w:rsid w:val="00CC7FFA"/>
    <w:pPr>
      <w:adjustRightInd w:val="0"/>
      <w:snapToGrid w:val="0"/>
      <w:spacing w:before="240" w:after="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41tablecaption">
    <w:name w:val="MDPI_4.1_table_caption"/>
    <w:qFormat/>
    <w:rsid w:val="00DF0AC9"/>
    <w:pPr>
      <w:adjustRightInd w:val="0"/>
      <w:snapToGrid w:val="0"/>
      <w:spacing w:before="240" w:after="120" w:line="228" w:lineRule="auto"/>
      <w:ind w:left="2608"/>
    </w:pPr>
    <w:rPr>
      <w:rFonts w:ascii="Palatino Linotype" w:eastAsia="Times New Roman" w:hAnsi="Palatino Linotype" w:cs="Cordia New"/>
      <w:color w:val="000000"/>
      <w:sz w:val="18"/>
      <w:lang w:val="en-US" w:eastAsia="de-DE" w:bidi="en-US"/>
    </w:rPr>
  </w:style>
  <w:style w:type="paragraph" w:customStyle="1" w:styleId="MDPI42tablebody">
    <w:name w:val="MDPI_4.2_table_body"/>
    <w:qFormat/>
    <w:rsid w:val="00DF0AC9"/>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21heading1">
    <w:name w:val="MDPI_2.1_heading1"/>
    <w:qFormat/>
    <w:rsid w:val="00910D76"/>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910D76"/>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208685">
      <w:bodyDiv w:val="1"/>
      <w:marLeft w:val="0"/>
      <w:marRight w:val="0"/>
      <w:marTop w:val="0"/>
      <w:marBottom w:val="0"/>
      <w:divBdr>
        <w:top w:val="none" w:sz="0" w:space="0" w:color="auto"/>
        <w:left w:val="none" w:sz="0" w:space="0" w:color="auto"/>
        <w:bottom w:val="none" w:sz="0" w:space="0" w:color="auto"/>
        <w:right w:val="none" w:sz="0" w:space="0" w:color="auto"/>
      </w:divBdr>
    </w:div>
    <w:div w:id="105085370">
      <w:bodyDiv w:val="1"/>
      <w:marLeft w:val="0"/>
      <w:marRight w:val="0"/>
      <w:marTop w:val="0"/>
      <w:marBottom w:val="0"/>
      <w:divBdr>
        <w:top w:val="none" w:sz="0" w:space="0" w:color="auto"/>
        <w:left w:val="none" w:sz="0" w:space="0" w:color="auto"/>
        <w:bottom w:val="none" w:sz="0" w:space="0" w:color="auto"/>
        <w:right w:val="none" w:sz="0" w:space="0" w:color="auto"/>
      </w:divBdr>
    </w:div>
    <w:div w:id="146482721">
      <w:bodyDiv w:val="1"/>
      <w:marLeft w:val="0"/>
      <w:marRight w:val="0"/>
      <w:marTop w:val="0"/>
      <w:marBottom w:val="0"/>
      <w:divBdr>
        <w:top w:val="none" w:sz="0" w:space="0" w:color="auto"/>
        <w:left w:val="none" w:sz="0" w:space="0" w:color="auto"/>
        <w:bottom w:val="none" w:sz="0" w:space="0" w:color="auto"/>
        <w:right w:val="none" w:sz="0" w:space="0" w:color="auto"/>
      </w:divBdr>
    </w:div>
    <w:div w:id="155726464">
      <w:bodyDiv w:val="1"/>
      <w:marLeft w:val="0"/>
      <w:marRight w:val="0"/>
      <w:marTop w:val="0"/>
      <w:marBottom w:val="0"/>
      <w:divBdr>
        <w:top w:val="none" w:sz="0" w:space="0" w:color="auto"/>
        <w:left w:val="none" w:sz="0" w:space="0" w:color="auto"/>
        <w:bottom w:val="none" w:sz="0" w:space="0" w:color="auto"/>
        <w:right w:val="none" w:sz="0" w:space="0" w:color="auto"/>
      </w:divBdr>
    </w:div>
    <w:div w:id="182667692">
      <w:bodyDiv w:val="1"/>
      <w:marLeft w:val="0"/>
      <w:marRight w:val="0"/>
      <w:marTop w:val="0"/>
      <w:marBottom w:val="0"/>
      <w:divBdr>
        <w:top w:val="none" w:sz="0" w:space="0" w:color="auto"/>
        <w:left w:val="none" w:sz="0" w:space="0" w:color="auto"/>
        <w:bottom w:val="none" w:sz="0" w:space="0" w:color="auto"/>
        <w:right w:val="none" w:sz="0" w:space="0" w:color="auto"/>
      </w:divBdr>
    </w:div>
    <w:div w:id="202983779">
      <w:bodyDiv w:val="1"/>
      <w:marLeft w:val="0"/>
      <w:marRight w:val="0"/>
      <w:marTop w:val="0"/>
      <w:marBottom w:val="0"/>
      <w:divBdr>
        <w:top w:val="none" w:sz="0" w:space="0" w:color="auto"/>
        <w:left w:val="none" w:sz="0" w:space="0" w:color="auto"/>
        <w:bottom w:val="none" w:sz="0" w:space="0" w:color="auto"/>
        <w:right w:val="none" w:sz="0" w:space="0" w:color="auto"/>
      </w:divBdr>
    </w:div>
    <w:div w:id="218446281">
      <w:bodyDiv w:val="1"/>
      <w:marLeft w:val="0"/>
      <w:marRight w:val="0"/>
      <w:marTop w:val="0"/>
      <w:marBottom w:val="0"/>
      <w:divBdr>
        <w:top w:val="none" w:sz="0" w:space="0" w:color="auto"/>
        <w:left w:val="none" w:sz="0" w:space="0" w:color="auto"/>
        <w:bottom w:val="none" w:sz="0" w:space="0" w:color="auto"/>
        <w:right w:val="none" w:sz="0" w:space="0" w:color="auto"/>
      </w:divBdr>
    </w:div>
    <w:div w:id="256523586">
      <w:bodyDiv w:val="1"/>
      <w:marLeft w:val="0"/>
      <w:marRight w:val="0"/>
      <w:marTop w:val="0"/>
      <w:marBottom w:val="0"/>
      <w:divBdr>
        <w:top w:val="none" w:sz="0" w:space="0" w:color="auto"/>
        <w:left w:val="none" w:sz="0" w:space="0" w:color="auto"/>
        <w:bottom w:val="none" w:sz="0" w:space="0" w:color="auto"/>
        <w:right w:val="none" w:sz="0" w:space="0" w:color="auto"/>
      </w:divBdr>
    </w:div>
    <w:div w:id="290483557">
      <w:bodyDiv w:val="1"/>
      <w:marLeft w:val="0"/>
      <w:marRight w:val="0"/>
      <w:marTop w:val="0"/>
      <w:marBottom w:val="0"/>
      <w:divBdr>
        <w:top w:val="none" w:sz="0" w:space="0" w:color="auto"/>
        <w:left w:val="none" w:sz="0" w:space="0" w:color="auto"/>
        <w:bottom w:val="none" w:sz="0" w:space="0" w:color="auto"/>
        <w:right w:val="none" w:sz="0" w:space="0" w:color="auto"/>
      </w:divBdr>
    </w:div>
    <w:div w:id="303198767">
      <w:bodyDiv w:val="1"/>
      <w:marLeft w:val="0"/>
      <w:marRight w:val="0"/>
      <w:marTop w:val="0"/>
      <w:marBottom w:val="0"/>
      <w:divBdr>
        <w:top w:val="none" w:sz="0" w:space="0" w:color="auto"/>
        <w:left w:val="none" w:sz="0" w:space="0" w:color="auto"/>
        <w:bottom w:val="none" w:sz="0" w:space="0" w:color="auto"/>
        <w:right w:val="none" w:sz="0" w:space="0" w:color="auto"/>
      </w:divBdr>
    </w:div>
    <w:div w:id="308365073">
      <w:bodyDiv w:val="1"/>
      <w:marLeft w:val="0"/>
      <w:marRight w:val="0"/>
      <w:marTop w:val="0"/>
      <w:marBottom w:val="0"/>
      <w:divBdr>
        <w:top w:val="none" w:sz="0" w:space="0" w:color="auto"/>
        <w:left w:val="none" w:sz="0" w:space="0" w:color="auto"/>
        <w:bottom w:val="none" w:sz="0" w:space="0" w:color="auto"/>
        <w:right w:val="none" w:sz="0" w:space="0" w:color="auto"/>
      </w:divBdr>
    </w:div>
    <w:div w:id="330328139">
      <w:bodyDiv w:val="1"/>
      <w:marLeft w:val="0"/>
      <w:marRight w:val="0"/>
      <w:marTop w:val="0"/>
      <w:marBottom w:val="0"/>
      <w:divBdr>
        <w:top w:val="none" w:sz="0" w:space="0" w:color="auto"/>
        <w:left w:val="none" w:sz="0" w:space="0" w:color="auto"/>
        <w:bottom w:val="none" w:sz="0" w:space="0" w:color="auto"/>
        <w:right w:val="none" w:sz="0" w:space="0" w:color="auto"/>
      </w:divBdr>
    </w:div>
    <w:div w:id="363485521">
      <w:bodyDiv w:val="1"/>
      <w:marLeft w:val="0"/>
      <w:marRight w:val="0"/>
      <w:marTop w:val="0"/>
      <w:marBottom w:val="0"/>
      <w:divBdr>
        <w:top w:val="none" w:sz="0" w:space="0" w:color="auto"/>
        <w:left w:val="none" w:sz="0" w:space="0" w:color="auto"/>
        <w:bottom w:val="none" w:sz="0" w:space="0" w:color="auto"/>
        <w:right w:val="none" w:sz="0" w:space="0" w:color="auto"/>
      </w:divBdr>
    </w:div>
    <w:div w:id="517699754">
      <w:bodyDiv w:val="1"/>
      <w:marLeft w:val="0"/>
      <w:marRight w:val="0"/>
      <w:marTop w:val="0"/>
      <w:marBottom w:val="0"/>
      <w:divBdr>
        <w:top w:val="none" w:sz="0" w:space="0" w:color="auto"/>
        <w:left w:val="none" w:sz="0" w:space="0" w:color="auto"/>
        <w:bottom w:val="none" w:sz="0" w:space="0" w:color="auto"/>
        <w:right w:val="none" w:sz="0" w:space="0" w:color="auto"/>
      </w:divBdr>
    </w:div>
    <w:div w:id="519666374">
      <w:bodyDiv w:val="1"/>
      <w:marLeft w:val="0"/>
      <w:marRight w:val="0"/>
      <w:marTop w:val="0"/>
      <w:marBottom w:val="0"/>
      <w:divBdr>
        <w:top w:val="none" w:sz="0" w:space="0" w:color="auto"/>
        <w:left w:val="none" w:sz="0" w:space="0" w:color="auto"/>
        <w:bottom w:val="none" w:sz="0" w:space="0" w:color="auto"/>
        <w:right w:val="none" w:sz="0" w:space="0" w:color="auto"/>
      </w:divBdr>
    </w:div>
    <w:div w:id="535965451">
      <w:bodyDiv w:val="1"/>
      <w:marLeft w:val="0"/>
      <w:marRight w:val="0"/>
      <w:marTop w:val="0"/>
      <w:marBottom w:val="0"/>
      <w:divBdr>
        <w:top w:val="none" w:sz="0" w:space="0" w:color="auto"/>
        <w:left w:val="none" w:sz="0" w:space="0" w:color="auto"/>
        <w:bottom w:val="none" w:sz="0" w:space="0" w:color="auto"/>
        <w:right w:val="none" w:sz="0" w:space="0" w:color="auto"/>
      </w:divBdr>
    </w:div>
    <w:div w:id="581067304">
      <w:bodyDiv w:val="1"/>
      <w:marLeft w:val="0"/>
      <w:marRight w:val="0"/>
      <w:marTop w:val="0"/>
      <w:marBottom w:val="0"/>
      <w:divBdr>
        <w:top w:val="none" w:sz="0" w:space="0" w:color="auto"/>
        <w:left w:val="none" w:sz="0" w:space="0" w:color="auto"/>
        <w:bottom w:val="none" w:sz="0" w:space="0" w:color="auto"/>
        <w:right w:val="none" w:sz="0" w:space="0" w:color="auto"/>
      </w:divBdr>
    </w:div>
    <w:div w:id="621032520">
      <w:bodyDiv w:val="1"/>
      <w:marLeft w:val="0"/>
      <w:marRight w:val="0"/>
      <w:marTop w:val="0"/>
      <w:marBottom w:val="0"/>
      <w:divBdr>
        <w:top w:val="none" w:sz="0" w:space="0" w:color="auto"/>
        <w:left w:val="none" w:sz="0" w:space="0" w:color="auto"/>
        <w:bottom w:val="none" w:sz="0" w:space="0" w:color="auto"/>
        <w:right w:val="none" w:sz="0" w:space="0" w:color="auto"/>
      </w:divBdr>
    </w:div>
    <w:div w:id="623274844">
      <w:bodyDiv w:val="1"/>
      <w:marLeft w:val="0"/>
      <w:marRight w:val="0"/>
      <w:marTop w:val="0"/>
      <w:marBottom w:val="0"/>
      <w:divBdr>
        <w:top w:val="none" w:sz="0" w:space="0" w:color="auto"/>
        <w:left w:val="none" w:sz="0" w:space="0" w:color="auto"/>
        <w:bottom w:val="none" w:sz="0" w:space="0" w:color="auto"/>
        <w:right w:val="none" w:sz="0" w:space="0" w:color="auto"/>
      </w:divBdr>
    </w:div>
    <w:div w:id="626157009">
      <w:bodyDiv w:val="1"/>
      <w:marLeft w:val="0"/>
      <w:marRight w:val="0"/>
      <w:marTop w:val="0"/>
      <w:marBottom w:val="0"/>
      <w:divBdr>
        <w:top w:val="none" w:sz="0" w:space="0" w:color="auto"/>
        <w:left w:val="none" w:sz="0" w:space="0" w:color="auto"/>
        <w:bottom w:val="none" w:sz="0" w:space="0" w:color="auto"/>
        <w:right w:val="none" w:sz="0" w:space="0" w:color="auto"/>
      </w:divBdr>
    </w:div>
    <w:div w:id="649675070">
      <w:bodyDiv w:val="1"/>
      <w:marLeft w:val="0"/>
      <w:marRight w:val="0"/>
      <w:marTop w:val="0"/>
      <w:marBottom w:val="0"/>
      <w:divBdr>
        <w:top w:val="none" w:sz="0" w:space="0" w:color="auto"/>
        <w:left w:val="none" w:sz="0" w:space="0" w:color="auto"/>
        <w:bottom w:val="none" w:sz="0" w:space="0" w:color="auto"/>
        <w:right w:val="none" w:sz="0" w:space="0" w:color="auto"/>
      </w:divBdr>
    </w:div>
    <w:div w:id="700591204">
      <w:bodyDiv w:val="1"/>
      <w:marLeft w:val="0"/>
      <w:marRight w:val="0"/>
      <w:marTop w:val="0"/>
      <w:marBottom w:val="0"/>
      <w:divBdr>
        <w:top w:val="none" w:sz="0" w:space="0" w:color="auto"/>
        <w:left w:val="none" w:sz="0" w:space="0" w:color="auto"/>
        <w:bottom w:val="none" w:sz="0" w:space="0" w:color="auto"/>
        <w:right w:val="none" w:sz="0" w:space="0" w:color="auto"/>
      </w:divBdr>
    </w:div>
    <w:div w:id="710492879">
      <w:bodyDiv w:val="1"/>
      <w:marLeft w:val="0"/>
      <w:marRight w:val="0"/>
      <w:marTop w:val="0"/>
      <w:marBottom w:val="0"/>
      <w:divBdr>
        <w:top w:val="none" w:sz="0" w:space="0" w:color="auto"/>
        <w:left w:val="none" w:sz="0" w:space="0" w:color="auto"/>
        <w:bottom w:val="none" w:sz="0" w:space="0" w:color="auto"/>
        <w:right w:val="none" w:sz="0" w:space="0" w:color="auto"/>
      </w:divBdr>
    </w:div>
    <w:div w:id="717584954">
      <w:bodyDiv w:val="1"/>
      <w:marLeft w:val="0"/>
      <w:marRight w:val="0"/>
      <w:marTop w:val="0"/>
      <w:marBottom w:val="0"/>
      <w:divBdr>
        <w:top w:val="none" w:sz="0" w:space="0" w:color="auto"/>
        <w:left w:val="none" w:sz="0" w:space="0" w:color="auto"/>
        <w:bottom w:val="none" w:sz="0" w:space="0" w:color="auto"/>
        <w:right w:val="none" w:sz="0" w:space="0" w:color="auto"/>
      </w:divBdr>
    </w:div>
    <w:div w:id="811216909">
      <w:bodyDiv w:val="1"/>
      <w:marLeft w:val="0"/>
      <w:marRight w:val="0"/>
      <w:marTop w:val="0"/>
      <w:marBottom w:val="0"/>
      <w:divBdr>
        <w:top w:val="none" w:sz="0" w:space="0" w:color="auto"/>
        <w:left w:val="none" w:sz="0" w:space="0" w:color="auto"/>
        <w:bottom w:val="none" w:sz="0" w:space="0" w:color="auto"/>
        <w:right w:val="none" w:sz="0" w:space="0" w:color="auto"/>
      </w:divBdr>
    </w:div>
    <w:div w:id="852649038">
      <w:bodyDiv w:val="1"/>
      <w:marLeft w:val="0"/>
      <w:marRight w:val="0"/>
      <w:marTop w:val="0"/>
      <w:marBottom w:val="0"/>
      <w:divBdr>
        <w:top w:val="none" w:sz="0" w:space="0" w:color="auto"/>
        <w:left w:val="none" w:sz="0" w:space="0" w:color="auto"/>
        <w:bottom w:val="none" w:sz="0" w:space="0" w:color="auto"/>
        <w:right w:val="none" w:sz="0" w:space="0" w:color="auto"/>
      </w:divBdr>
    </w:div>
    <w:div w:id="892086428">
      <w:bodyDiv w:val="1"/>
      <w:marLeft w:val="0"/>
      <w:marRight w:val="0"/>
      <w:marTop w:val="0"/>
      <w:marBottom w:val="0"/>
      <w:divBdr>
        <w:top w:val="none" w:sz="0" w:space="0" w:color="auto"/>
        <w:left w:val="none" w:sz="0" w:space="0" w:color="auto"/>
        <w:bottom w:val="none" w:sz="0" w:space="0" w:color="auto"/>
        <w:right w:val="none" w:sz="0" w:space="0" w:color="auto"/>
      </w:divBdr>
    </w:div>
    <w:div w:id="915094563">
      <w:bodyDiv w:val="1"/>
      <w:marLeft w:val="0"/>
      <w:marRight w:val="0"/>
      <w:marTop w:val="0"/>
      <w:marBottom w:val="0"/>
      <w:divBdr>
        <w:top w:val="none" w:sz="0" w:space="0" w:color="auto"/>
        <w:left w:val="none" w:sz="0" w:space="0" w:color="auto"/>
        <w:bottom w:val="none" w:sz="0" w:space="0" w:color="auto"/>
        <w:right w:val="none" w:sz="0" w:space="0" w:color="auto"/>
      </w:divBdr>
    </w:div>
    <w:div w:id="945885469">
      <w:bodyDiv w:val="1"/>
      <w:marLeft w:val="0"/>
      <w:marRight w:val="0"/>
      <w:marTop w:val="0"/>
      <w:marBottom w:val="0"/>
      <w:divBdr>
        <w:top w:val="none" w:sz="0" w:space="0" w:color="auto"/>
        <w:left w:val="none" w:sz="0" w:space="0" w:color="auto"/>
        <w:bottom w:val="none" w:sz="0" w:space="0" w:color="auto"/>
        <w:right w:val="none" w:sz="0" w:space="0" w:color="auto"/>
      </w:divBdr>
    </w:div>
    <w:div w:id="972099211">
      <w:bodyDiv w:val="1"/>
      <w:marLeft w:val="0"/>
      <w:marRight w:val="0"/>
      <w:marTop w:val="0"/>
      <w:marBottom w:val="0"/>
      <w:divBdr>
        <w:top w:val="none" w:sz="0" w:space="0" w:color="auto"/>
        <w:left w:val="none" w:sz="0" w:space="0" w:color="auto"/>
        <w:bottom w:val="none" w:sz="0" w:space="0" w:color="auto"/>
        <w:right w:val="none" w:sz="0" w:space="0" w:color="auto"/>
      </w:divBdr>
    </w:div>
    <w:div w:id="1013267622">
      <w:bodyDiv w:val="1"/>
      <w:marLeft w:val="0"/>
      <w:marRight w:val="0"/>
      <w:marTop w:val="0"/>
      <w:marBottom w:val="0"/>
      <w:divBdr>
        <w:top w:val="none" w:sz="0" w:space="0" w:color="auto"/>
        <w:left w:val="none" w:sz="0" w:space="0" w:color="auto"/>
        <w:bottom w:val="none" w:sz="0" w:space="0" w:color="auto"/>
        <w:right w:val="none" w:sz="0" w:space="0" w:color="auto"/>
      </w:divBdr>
    </w:div>
    <w:div w:id="1021395110">
      <w:bodyDiv w:val="1"/>
      <w:marLeft w:val="0"/>
      <w:marRight w:val="0"/>
      <w:marTop w:val="0"/>
      <w:marBottom w:val="0"/>
      <w:divBdr>
        <w:top w:val="none" w:sz="0" w:space="0" w:color="auto"/>
        <w:left w:val="none" w:sz="0" w:space="0" w:color="auto"/>
        <w:bottom w:val="none" w:sz="0" w:space="0" w:color="auto"/>
        <w:right w:val="none" w:sz="0" w:space="0" w:color="auto"/>
      </w:divBdr>
    </w:div>
    <w:div w:id="1051996961">
      <w:bodyDiv w:val="1"/>
      <w:marLeft w:val="0"/>
      <w:marRight w:val="0"/>
      <w:marTop w:val="0"/>
      <w:marBottom w:val="0"/>
      <w:divBdr>
        <w:top w:val="none" w:sz="0" w:space="0" w:color="auto"/>
        <w:left w:val="none" w:sz="0" w:space="0" w:color="auto"/>
        <w:bottom w:val="none" w:sz="0" w:space="0" w:color="auto"/>
        <w:right w:val="none" w:sz="0" w:space="0" w:color="auto"/>
      </w:divBdr>
    </w:div>
    <w:div w:id="1138493640">
      <w:bodyDiv w:val="1"/>
      <w:marLeft w:val="0"/>
      <w:marRight w:val="0"/>
      <w:marTop w:val="0"/>
      <w:marBottom w:val="0"/>
      <w:divBdr>
        <w:top w:val="none" w:sz="0" w:space="0" w:color="auto"/>
        <w:left w:val="none" w:sz="0" w:space="0" w:color="auto"/>
        <w:bottom w:val="none" w:sz="0" w:space="0" w:color="auto"/>
        <w:right w:val="none" w:sz="0" w:space="0" w:color="auto"/>
      </w:divBdr>
    </w:div>
    <w:div w:id="1200167984">
      <w:bodyDiv w:val="1"/>
      <w:marLeft w:val="0"/>
      <w:marRight w:val="0"/>
      <w:marTop w:val="0"/>
      <w:marBottom w:val="0"/>
      <w:divBdr>
        <w:top w:val="none" w:sz="0" w:space="0" w:color="auto"/>
        <w:left w:val="none" w:sz="0" w:space="0" w:color="auto"/>
        <w:bottom w:val="none" w:sz="0" w:space="0" w:color="auto"/>
        <w:right w:val="none" w:sz="0" w:space="0" w:color="auto"/>
      </w:divBdr>
    </w:div>
    <w:div w:id="1207060441">
      <w:bodyDiv w:val="1"/>
      <w:marLeft w:val="0"/>
      <w:marRight w:val="0"/>
      <w:marTop w:val="0"/>
      <w:marBottom w:val="0"/>
      <w:divBdr>
        <w:top w:val="none" w:sz="0" w:space="0" w:color="auto"/>
        <w:left w:val="none" w:sz="0" w:space="0" w:color="auto"/>
        <w:bottom w:val="none" w:sz="0" w:space="0" w:color="auto"/>
        <w:right w:val="none" w:sz="0" w:space="0" w:color="auto"/>
      </w:divBdr>
    </w:div>
    <w:div w:id="1296830942">
      <w:bodyDiv w:val="1"/>
      <w:marLeft w:val="0"/>
      <w:marRight w:val="0"/>
      <w:marTop w:val="0"/>
      <w:marBottom w:val="0"/>
      <w:divBdr>
        <w:top w:val="none" w:sz="0" w:space="0" w:color="auto"/>
        <w:left w:val="none" w:sz="0" w:space="0" w:color="auto"/>
        <w:bottom w:val="none" w:sz="0" w:space="0" w:color="auto"/>
        <w:right w:val="none" w:sz="0" w:space="0" w:color="auto"/>
      </w:divBdr>
    </w:div>
    <w:div w:id="1334869151">
      <w:bodyDiv w:val="1"/>
      <w:marLeft w:val="0"/>
      <w:marRight w:val="0"/>
      <w:marTop w:val="0"/>
      <w:marBottom w:val="0"/>
      <w:divBdr>
        <w:top w:val="none" w:sz="0" w:space="0" w:color="auto"/>
        <w:left w:val="none" w:sz="0" w:space="0" w:color="auto"/>
        <w:bottom w:val="none" w:sz="0" w:space="0" w:color="auto"/>
        <w:right w:val="none" w:sz="0" w:space="0" w:color="auto"/>
      </w:divBdr>
    </w:div>
    <w:div w:id="1452745997">
      <w:bodyDiv w:val="1"/>
      <w:marLeft w:val="0"/>
      <w:marRight w:val="0"/>
      <w:marTop w:val="0"/>
      <w:marBottom w:val="0"/>
      <w:divBdr>
        <w:top w:val="none" w:sz="0" w:space="0" w:color="auto"/>
        <w:left w:val="none" w:sz="0" w:space="0" w:color="auto"/>
        <w:bottom w:val="none" w:sz="0" w:space="0" w:color="auto"/>
        <w:right w:val="none" w:sz="0" w:space="0" w:color="auto"/>
      </w:divBdr>
    </w:div>
    <w:div w:id="1476726393">
      <w:bodyDiv w:val="1"/>
      <w:marLeft w:val="0"/>
      <w:marRight w:val="0"/>
      <w:marTop w:val="0"/>
      <w:marBottom w:val="0"/>
      <w:divBdr>
        <w:top w:val="none" w:sz="0" w:space="0" w:color="auto"/>
        <w:left w:val="none" w:sz="0" w:space="0" w:color="auto"/>
        <w:bottom w:val="none" w:sz="0" w:space="0" w:color="auto"/>
        <w:right w:val="none" w:sz="0" w:space="0" w:color="auto"/>
      </w:divBdr>
    </w:div>
    <w:div w:id="1527519330">
      <w:bodyDiv w:val="1"/>
      <w:marLeft w:val="0"/>
      <w:marRight w:val="0"/>
      <w:marTop w:val="0"/>
      <w:marBottom w:val="0"/>
      <w:divBdr>
        <w:top w:val="none" w:sz="0" w:space="0" w:color="auto"/>
        <w:left w:val="none" w:sz="0" w:space="0" w:color="auto"/>
        <w:bottom w:val="none" w:sz="0" w:space="0" w:color="auto"/>
        <w:right w:val="none" w:sz="0" w:space="0" w:color="auto"/>
      </w:divBdr>
    </w:div>
    <w:div w:id="1561673418">
      <w:bodyDiv w:val="1"/>
      <w:marLeft w:val="0"/>
      <w:marRight w:val="0"/>
      <w:marTop w:val="0"/>
      <w:marBottom w:val="0"/>
      <w:divBdr>
        <w:top w:val="none" w:sz="0" w:space="0" w:color="auto"/>
        <w:left w:val="none" w:sz="0" w:space="0" w:color="auto"/>
        <w:bottom w:val="none" w:sz="0" w:space="0" w:color="auto"/>
        <w:right w:val="none" w:sz="0" w:space="0" w:color="auto"/>
      </w:divBdr>
    </w:div>
    <w:div w:id="1571228410">
      <w:bodyDiv w:val="1"/>
      <w:marLeft w:val="0"/>
      <w:marRight w:val="0"/>
      <w:marTop w:val="0"/>
      <w:marBottom w:val="0"/>
      <w:divBdr>
        <w:top w:val="none" w:sz="0" w:space="0" w:color="auto"/>
        <w:left w:val="none" w:sz="0" w:space="0" w:color="auto"/>
        <w:bottom w:val="none" w:sz="0" w:space="0" w:color="auto"/>
        <w:right w:val="none" w:sz="0" w:space="0" w:color="auto"/>
      </w:divBdr>
    </w:div>
    <w:div w:id="1613318113">
      <w:bodyDiv w:val="1"/>
      <w:marLeft w:val="0"/>
      <w:marRight w:val="0"/>
      <w:marTop w:val="0"/>
      <w:marBottom w:val="0"/>
      <w:divBdr>
        <w:top w:val="none" w:sz="0" w:space="0" w:color="auto"/>
        <w:left w:val="none" w:sz="0" w:space="0" w:color="auto"/>
        <w:bottom w:val="none" w:sz="0" w:space="0" w:color="auto"/>
        <w:right w:val="none" w:sz="0" w:space="0" w:color="auto"/>
      </w:divBdr>
    </w:div>
    <w:div w:id="1631201787">
      <w:bodyDiv w:val="1"/>
      <w:marLeft w:val="0"/>
      <w:marRight w:val="0"/>
      <w:marTop w:val="0"/>
      <w:marBottom w:val="0"/>
      <w:divBdr>
        <w:top w:val="none" w:sz="0" w:space="0" w:color="auto"/>
        <w:left w:val="none" w:sz="0" w:space="0" w:color="auto"/>
        <w:bottom w:val="none" w:sz="0" w:space="0" w:color="auto"/>
        <w:right w:val="none" w:sz="0" w:space="0" w:color="auto"/>
      </w:divBdr>
    </w:div>
    <w:div w:id="1690791373">
      <w:bodyDiv w:val="1"/>
      <w:marLeft w:val="0"/>
      <w:marRight w:val="0"/>
      <w:marTop w:val="0"/>
      <w:marBottom w:val="0"/>
      <w:divBdr>
        <w:top w:val="none" w:sz="0" w:space="0" w:color="auto"/>
        <w:left w:val="none" w:sz="0" w:space="0" w:color="auto"/>
        <w:bottom w:val="none" w:sz="0" w:space="0" w:color="auto"/>
        <w:right w:val="none" w:sz="0" w:space="0" w:color="auto"/>
      </w:divBdr>
    </w:div>
    <w:div w:id="1737122543">
      <w:bodyDiv w:val="1"/>
      <w:marLeft w:val="0"/>
      <w:marRight w:val="0"/>
      <w:marTop w:val="0"/>
      <w:marBottom w:val="0"/>
      <w:divBdr>
        <w:top w:val="none" w:sz="0" w:space="0" w:color="auto"/>
        <w:left w:val="none" w:sz="0" w:space="0" w:color="auto"/>
        <w:bottom w:val="none" w:sz="0" w:space="0" w:color="auto"/>
        <w:right w:val="none" w:sz="0" w:space="0" w:color="auto"/>
      </w:divBdr>
    </w:div>
    <w:div w:id="1751732801">
      <w:bodyDiv w:val="1"/>
      <w:marLeft w:val="0"/>
      <w:marRight w:val="0"/>
      <w:marTop w:val="0"/>
      <w:marBottom w:val="0"/>
      <w:divBdr>
        <w:top w:val="none" w:sz="0" w:space="0" w:color="auto"/>
        <w:left w:val="none" w:sz="0" w:space="0" w:color="auto"/>
        <w:bottom w:val="none" w:sz="0" w:space="0" w:color="auto"/>
        <w:right w:val="none" w:sz="0" w:space="0" w:color="auto"/>
      </w:divBdr>
    </w:div>
    <w:div w:id="1858159049">
      <w:bodyDiv w:val="1"/>
      <w:marLeft w:val="0"/>
      <w:marRight w:val="0"/>
      <w:marTop w:val="0"/>
      <w:marBottom w:val="0"/>
      <w:divBdr>
        <w:top w:val="none" w:sz="0" w:space="0" w:color="auto"/>
        <w:left w:val="none" w:sz="0" w:space="0" w:color="auto"/>
        <w:bottom w:val="none" w:sz="0" w:space="0" w:color="auto"/>
        <w:right w:val="none" w:sz="0" w:space="0" w:color="auto"/>
      </w:divBdr>
    </w:div>
    <w:div w:id="1894808747">
      <w:bodyDiv w:val="1"/>
      <w:marLeft w:val="0"/>
      <w:marRight w:val="0"/>
      <w:marTop w:val="0"/>
      <w:marBottom w:val="0"/>
      <w:divBdr>
        <w:top w:val="none" w:sz="0" w:space="0" w:color="auto"/>
        <w:left w:val="none" w:sz="0" w:space="0" w:color="auto"/>
        <w:bottom w:val="none" w:sz="0" w:space="0" w:color="auto"/>
        <w:right w:val="none" w:sz="0" w:space="0" w:color="auto"/>
      </w:divBdr>
    </w:div>
    <w:div w:id="1918437105">
      <w:bodyDiv w:val="1"/>
      <w:marLeft w:val="0"/>
      <w:marRight w:val="0"/>
      <w:marTop w:val="0"/>
      <w:marBottom w:val="0"/>
      <w:divBdr>
        <w:top w:val="none" w:sz="0" w:space="0" w:color="auto"/>
        <w:left w:val="none" w:sz="0" w:space="0" w:color="auto"/>
        <w:bottom w:val="none" w:sz="0" w:space="0" w:color="auto"/>
        <w:right w:val="none" w:sz="0" w:space="0" w:color="auto"/>
      </w:divBdr>
    </w:div>
    <w:div w:id="1938784146">
      <w:bodyDiv w:val="1"/>
      <w:marLeft w:val="0"/>
      <w:marRight w:val="0"/>
      <w:marTop w:val="0"/>
      <w:marBottom w:val="0"/>
      <w:divBdr>
        <w:top w:val="none" w:sz="0" w:space="0" w:color="auto"/>
        <w:left w:val="none" w:sz="0" w:space="0" w:color="auto"/>
        <w:bottom w:val="none" w:sz="0" w:space="0" w:color="auto"/>
        <w:right w:val="none" w:sz="0" w:space="0" w:color="auto"/>
      </w:divBdr>
    </w:div>
    <w:div w:id="1961111187">
      <w:bodyDiv w:val="1"/>
      <w:marLeft w:val="0"/>
      <w:marRight w:val="0"/>
      <w:marTop w:val="0"/>
      <w:marBottom w:val="0"/>
      <w:divBdr>
        <w:top w:val="none" w:sz="0" w:space="0" w:color="auto"/>
        <w:left w:val="none" w:sz="0" w:space="0" w:color="auto"/>
        <w:bottom w:val="none" w:sz="0" w:space="0" w:color="auto"/>
        <w:right w:val="none" w:sz="0" w:space="0" w:color="auto"/>
      </w:divBdr>
    </w:div>
    <w:div w:id="1961758783">
      <w:bodyDiv w:val="1"/>
      <w:marLeft w:val="0"/>
      <w:marRight w:val="0"/>
      <w:marTop w:val="0"/>
      <w:marBottom w:val="0"/>
      <w:divBdr>
        <w:top w:val="none" w:sz="0" w:space="0" w:color="auto"/>
        <w:left w:val="none" w:sz="0" w:space="0" w:color="auto"/>
        <w:bottom w:val="none" w:sz="0" w:space="0" w:color="auto"/>
        <w:right w:val="none" w:sz="0" w:space="0" w:color="auto"/>
      </w:divBdr>
    </w:div>
    <w:div w:id="1968005238">
      <w:bodyDiv w:val="1"/>
      <w:marLeft w:val="0"/>
      <w:marRight w:val="0"/>
      <w:marTop w:val="0"/>
      <w:marBottom w:val="0"/>
      <w:divBdr>
        <w:top w:val="none" w:sz="0" w:space="0" w:color="auto"/>
        <w:left w:val="none" w:sz="0" w:space="0" w:color="auto"/>
        <w:bottom w:val="none" w:sz="0" w:space="0" w:color="auto"/>
        <w:right w:val="none" w:sz="0" w:space="0" w:color="auto"/>
      </w:divBdr>
    </w:div>
    <w:div w:id="1974485209">
      <w:bodyDiv w:val="1"/>
      <w:marLeft w:val="0"/>
      <w:marRight w:val="0"/>
      <w:marTop w:val="0"/>
      <w:marBottom w:val="0"/>
      <w:divBdr>
        <w:top w:val="none" w:sz="0" w:space="0" w:color="auto"/>
        <w:left w:val="none" w:sz="0" w:space="0" w:color="auto"/>
        <w:bottom w:val="none" w:sz="0" w:space="0" w:color="auto"/>
        <w:right w:val="none" w:sz="0" w:space="0" w:color="auto"/>
      </w:divBdr>
    </w:div>
    <w:div w:id="2001617972">
      <w:bodyDiv w:val="1"/>
      <w:marLeft w:val="0"/>
      <w:marRight w:val="0"/>
      <w:marTop w:val="0"/>
      <w:marBottom w:val="0"/>
      <w:divBdr>
        <w:top w:val="none" w:sz="0" w:space="0" w:color="auto"/>
        <w:left w:val="none" w:sz="0" w:space="0" w:color="auto"/>
        <w:bottom w:val="none" w:sz="0" w:space="0" w:color="auto"/>
        <w:right w:val="none" w:sz="0" w:space="0" w:color="auto"/>
      </w:divBdr>
    </w:div>
    <w:div w:id="2037609122">
      <w:bodyDiv w:val="1"/>
      <w:marLeft w:val="0"/>
      <w:marRight w:val="0"/>
      <w:marTop w:val="0"/>
      <w:marBottom w:val="0"/>
      <w:divBdr>
        <w:top w:val="none" w:sz="0" w:space="0" w:color="auto"/>
        <w:left w:val="none" w:sz="0" w:space="0" w:color="auto"/>
        <w:bottom w:val="none" w:sz="0" w:space="0" w:color="auto"/>
        <w:right w:val="none" w:sz="0" w:space="0" w:color="auto"/>
      </w:divBdr>
    </w:div>
    <w:div w:id="2056588319">
      <w:bodyDiv w:val="1"/>
      <w:marLeft w:val="0"/>
      <w:marRight w:val="0"/>
      <w:marTop w:val="0"/>
      <w:marBottom w:val="0"/>
      <w:divBdr>
        <w:top w:val="none" w:sz="0" w:space="0" w:color="auto"/>
        <w:left w:val="none" w:sz="0" w:space="0" w:color="auto"/>
        <w:bottom w:val="none" w:sz="0" w:space="0" w:color="auto"/>
        <w:right w:val="none" w:sz="0" w:space="0" w:color="auto"/>
      </w:divBdr>
    </w:div>
    <w:div w:id="2075856795">
      <w:bodyDiv w:val="1"/>
      <w:marLeft w:val="0"/>
      <w:marRight w:val="0"/>
      <w:marTop w:val="0"/>
      <w:marBottom w:val="0"/>
      <w:divBdr>
        <w:top w:val="none" w:sz="0" w:space="0" w:color="auto"/>
        <w:left w:val="none" w:sz="0" w:space="0" w:color="auto"/>
        <w:bottom w:val="none" w:sz="0" w:space="0" w:color="auto"/>
        <w:right w:val="none" w:sz="0" w:space="0" w:color="auto"/>
      </w:divBdr>
    </w:div>
    <w:div w:id="214099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vovi.Chichger@aru.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912FB-B197-4822-AA18-46278A00A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37</Pages>
  <Words>12061</Words>
  <Characters>68754</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havi c</dc:creator>
  <cp:keywords/>
  <dc:description/>
  <cp:lastModifiedBy>Blanshard, Lisa</cp:lastModifiedBy>
  <cp:revision>5</cp:revision>
  <cp:lastPrinted>2020-02-03T09:24:00Z</cp:lastPrinted>
  <dcterms:created xsi:type="dcterms:W3CDTF">2021-02-10T10:17:00Z</dcterms:created>
  <dcterms:modified xsi:type="dcterms:W3CDTF">2021-03-01T15:56:00Z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user:59afdb22e4b021c5b1554fea</vt:lpwstr>
  </property>
  <property fmtid="{D5CDD505-2E9C-101B-9397-08002B2CF9AE}" pid="3" name="WnCSubscriberId">
    <vt:lpwstr>0</vt:lpwstr>
  </property>
  <property fmtid="{D5CDD505-2E9C-101B-9397-08002B2CF9AE}" pid="4" name="WnCOutputStyleId">
    <vt:lpwstr>rwuserstyle:5e2036a4b2011907e5e75c4b</vt:lpwstr>
  </property>
  <property fmtid="{D5CDD505-2E9C-101B-9397-08002B2CF9AE}" pid="5" name="RWProductId">
    <vt:lpwstr>Flow</vt:lpwstr>
  </property>
  <property fmtid="{D5CDD505-2E9C-101B-9397-08002B2CF9AE}" pid="6" name="WnC4Folder">
    <vt:lpwstr>Documents///GTE manuscript V6</vt:lpwstr>
  </property>
  <property fmtid="{D5CDD505-2E9C-101B-9397-08002B2CF9AE}" pid="7" name="RWProjectId">
    <vt:lpwstr>ap:5c0970e2e4b0d618cf19471b</vt:lpwstr>
  </property>
</Properties>
</file>