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750E8B" w14:textId="77777777" w:rsidR="0046726B" w:rsidRPr="00D80609" w:rsidRDefault="0094266E" w:rsidP="0046726B">
      <w:pPr>
        <w:pStyle w:val="MDPI11articletype"/>
      </w:pPr>
      <w:r>
        <w:t>Article</w:t>
      </w:r>
    </w:p>
    <w:p w14:paraId="6BBBF530" w14:textId="77777777" w:rsidR="0046726B" w:rsidRPr="00D80609" w:rsidRDefault="0094266E" w:rsidP="0046726B">
      <w:pPr>
        <w:pStyle w:val="MDPI12title"/>
        <w:spacing w:line="240" w:lineRule="atLeast"/>
      </w:pPr>
      <w:r>
        <w:t>Reducing sedentary behaviour and cognitive function in community-dwelling older people: Study protocol for a randomized feasibility study.</w:t>
      </w:r>
    </w:p>
    <w:p w14:paraId="24BA14AC" w14:textId="29C528D0" w:rsidR="0046726B" w:rsidRPr="00D80609" w:rsidRDefault="0094266E" w:rsidP="0046726B">
      <w:pPr>
        <w:pStyle w:val="MDPI13authornames"/>
      </w:pPr>
      <w:r>
        <w:t>Olawale</w:t>
      </w:r>
      <w:r w:rsidR="0046726B" w:rsidRPr="00D80609">
        <w:t xml:space="preserve"> </w:t>
      </w:r>
      <w:r>
        <w:t>Olanrewaj</w:t>
      </w:r>
      <w:r w:rsidR="00C873F4">
        <w:t>u</w:t>
      </w:r>
      <w:r w:rsidR="0046726B" w:rsidRPr="00D80609">
        <w:t xml:space="preserve"> </w:t>
      </w:r>
      <w:r w:rsidR="0046726B" w:rsidRPr="00D80609">
        <w:rPr>
          <w:vertAlign w:val="superscript"/>
        </w:rPr>
        <w:t>1</w:t>
      </w:r>
      <w:r w:rsidR="00C873F4">
        <w:rPr>
          <w:vertAlign w:val="superscript"/>
        </w:rPr>
        <w:t>*</w:t>
      </w:r>
      <w:r w:rsidR="0046726B" w:rsidRPr="00D80609">
        <w:t xml:space="preserve">, </w:t>
      </w:r>
      <w:r w:rsidR="00117D0D">
        <w:t>Mark Tully</w:t>
      </w:r>
      <w:r w:rsidR="00117D0D">
        <w:rPr>
          <w:vertAlign w:val="superscript"/>
        </w:rPr>
        <w:t>2</w:t>
      </w:r>
      <w:r w:rsidR="00117D0D" w:rsidRPr="00D80609">
        <w:t xml:space="preserve"> </w:t>
      </w:r>
      <w:r w:rsidR="00C873F4">
        <w:t>Lee</w:t>
      </w:r>
      <w:r w:rsidR="0046726B" w:rsidRPr="00D80609">
        <w:t xml:space="preserve"> </w:t>
      </w:r>
      <w:r w:rsidR="00C873F4">
        <w:t>Smith</w:t>
      </w:r>
      <w:r w:rsidR="0046726B" w:rsidRPr="00D80609">
        <w:t xml:space="preserve"> </w:t>
      </w:r>
      <w:r w:rsidR="00117D0D">
        <w:rPr>
          <w:vertAlign w:val="superscript"/>
        </w:rPr>
        <w:t>3</w:t>
      </w:r>
      <w:r w:rsidR="0046726B" w:rsidRPr="00D80609">
        <w:t xml:space="preserve"> </w:t>
      </w:r>
      <w:r w:rsidR="00C873F4">
        <w:t>Brendon Stubbs</w:t>
      </w:r>
      <w:r w:rsidR="0046726B" w:rsidRPr="00D80609">
        <w:t xml:space="preserve"> </w:t>
      </w:r>
      <w:r w:rsidR="00117D0D">
        <w:rPr>
          <w:vertAlign w:val="superscript"/>
        </w:rPr>
        <w:t>4</w:t>
      </w:r>
      <w:r w:rsidR="001417DC">
        <w:rPr>
          <w:vertAlign w:val="superscript"/>
        </w:rPr>
        <w:t xml:space="preserve"> </w:t>
      </w:r>
      <w:r w:rsidR="001417DC" w:rsidRPr="00D80609">
        <w:t>and</w:t>
      </w:r>
      <w:r w:rsidR="00D870C7">
        <w:rPr>
          <w:vertAlign w:val="superscript"/>
        </w:rPr>
        <w:t xml:space="preserve"> </w:t>
      </w:r>
      <w:r w:rsidR="001417DC">
        <w:t xml:space="preserve">James Johnstone </w:t>
      </w:r>
      <w:r w:rsidR="001417DC" w:rsidRPr="001417DC">
        <w:rPr>
          <w:vertAlign w:val="superscript"/>
        </w:rPr>
        <w:t>5</w:t>
      </w:r>
    </w:p>
    <w:p w14:paraId="19333E77" w14:textId="77777777" w:rsidR="00093ECE" w:rsidRDefault="0046726B" w:rsidP="00093ECE">
      <w:pPr>
        <w:pStyle w:val="MDPI16affiliation"/>
      </w:pPr>
      <w:r w:rsidRPr="00D80609">
        <w:rPr>
          <w:vertAlign w:val="superscript"/>
        </w:rPr>
        <w:t>1</w:t>
      </w:r>
      <w:r w:rsidRPr="00D80609">
        <w:tab/>
        <w:t>A</w:t>
      </w:r>
      <w:r w:rsidR="00F636C5">
        <w:t>nglia Ruskin University, Cambridge, UK</w:t>
      </w:r>
      <w:r w:rsidRPr="00D80609">
        <w:t xml:space="preserve">; </w:t>
      </w:r>
      <w:hyperlink r:id="rId8" w:history="1">
        <w:r w:rsidR="00093ECE" w:rsidRPr="00035CCD">
          <w:rPr>
            <w:rStyle w:val="Hyperlink"/>
          </w:rPr>
          <w:t>oto116@pgr.aru.ac.uk</w:t>
        </w:r>
      </w:hyperlink>
    </w:p>
    <w:p w14:paraId="10B5D83E" w14:textId="0A8B3314" w:rsidR="00093ECE" w:rsidRPr="00093ECE" w:rsidRDefault="0046726B" w:rsidP="00093ECE">
      <w:pPr>
        <w:pStyle w:val="MDPI16affiliation"/>
      </w:pPr>
      <w:r w:rsidRPr="00D80609">
        <w:rPr>
          <w:szCs w:val="20"/>
          <w:vertAlign w:val="superscript"/>
        </w:rPr>
        <w:t>2</w:t>
      </w:r>
      <w:r w:rsidRPr="00D80609">
        <w:rPr>
          <w:szCs w:val="20"/>
        </w:rPr>
        <w:tab/>
      </w:r>
      <w:r w:rsidR="00117D0D">
        <w:rPr>
          <w:szCs w:val="20"/>
        </w:rPr>
        <w:t xml:space="preserve">Ulster University, UK; </w:t>
      </w:r>
      <w:hyperlink r:id="rId9" w:history="1">
        <w:r w:rsidR="00093ECE" w:rsidRPr="00035CCD">
          <w:rPr>
            <w:rStyle w:val="Hyperlink"/>
            <w:szCs w:val="20"/>
          </w:rPr>
          <w:t>M.tully@ulster.ac.uk</w:t>
        </w:r>
      </w:hyperlink>
    </w:p>
    <w:p w14:paraId="51C2CF3E" w14:textId="7D4F76FD" w:rsidR="0046726B" w:rsidRDefault="00117D0D" w:rsidP="0046726B">
      <w:pPr>
        <w:pStyle w:val="MDPI16affiliation"/>
      </w:pPr>
      <w:r>
        <w:rPr>
          <w:vertAlign w:val="superscript"/>
        </w:rPr>
        <w:t xml:space="preserve">3   </w:t>
      </w:r>
      <w:r w:rsidR="00F636C5">
        <w:rPr>
          <w:szCs w:val="20"/>
        </w:rPr>
        <w:t>The Cambridge Centre for Sport and Exercise Sciences, Anglia Ruskin University</w:t>
      </w:r>
      <w:r w:rsidR="0046726B" w:rsidRPr="00D80609">
        <w:rPr>
          <w:szCs w:val="20"/>
        </w:rPr>
        <w:t xml:space="preserve">; </w:t>
      </w:r>
      <w:hyperlink r:id="rId10" w:history="1">
        <w:r w:rsidR="00F636C5" w:rsidRPr="00581D1F">
          <w:rPr>
            <w:rStyle w:val="Hyperlink"/>
          </w:rPr>
          <w:t>lee.smith@aru.ac.uk</w:t>
        </w:r>
      </w:hyperlink>
    </w:p>
    <w:p w14:paraId="39957197" w14:textId="0D3493DA" w:rsidR="00F636C5" w:rsidRDefault="00117D0D" w:rsidP="0046726B">
      <w:pPr>
        <w:pStyle w:val="MDPI16affiliation"/>
      </w:pPr>
      <w:r>
        <w:rPr>
          <w:vertAlign w:val="superscript"/>
        </w:rPr>
        <w:t>4</w:t>
      </w:r>
      <w:r w:rsidR="00F636C5" w:rsidRPr="00D80609">
        <w:tab/>
      </w:r>
      <w:r w:rsidR="00F636C5">
        <w:t xml:space="preserve">Kings College London, UK. </w:t>
      </w:r>
      <w:hyperlink r:id="rId11" w:history="1">
        <w:r w:rsidR="001417DC" w:rsidRPr="00035CCD">
          <w:rPr>
            <w:rStyle w:val="Hyperlink"/>
          </w:rPr>
          <w:t>brendon.stubbs@kcl.ac.uk</w:t>
        </w:r>
      </w:hyperlink>
    </w:p>
    <w:p w14:paraId="034EA40A" w14:textId="40FFD386" w:rsidR="001417DC" w:rsidRPr="001417DC" w:rsidRDefault="001417DC" w:rsidP="0046726B">
      <w:pPr>
        <w:pStyle w:val="MDPI16affiliation"/>
      </w:pPr>
      <w:r w:rsidRPr="001417DC">
        <w:rPr>
          <w:vertAlign w:val="superscript"/>
        </w:rPr>
        <w:t>5</w:t>
      </w:r>
      <w:r>
        <w:rPr>
          <w:vertAlign w:val="superscript"/>
        </w:rPr>
        <w:t xml:space="preserve">   </w:t>
      </w:r>
      <w:r>
        <w:t xml:space="preserve">Anglia Ruskin University, Cambridge, UK; </w:t>
      </w:r>
      <w:hyperlink r:id="rId12" w:history="1">
        <w:r w:rsidR="00464A8B" w:rsidRPr="00035CCD">
          <w:rPr>
            <w:rStyle w:val="Hyperlink"/>
          </w:rPr>
          <w:t>james.johnstone@aru.ac.uk</w:t>
        </w:r>
      </w:hyperlink>
      <w:r w:rsidR="00464A8B">
        <w:t xml:space="preserve"> </w:t>
      </w:r>
    </w:p>
    <w:p w14:paraId="35336F32" w14:textId="77777777" w:rsidR="0046726B" w:rsidRPr="00D80609" w:rsidRDefault="0046726B" w:rsidP="0046726B">
      <w:pPr>
        <w:pStyle w:val="MDPI14history"/>
        <w:spacing w:before="0"/>
        <w:ind w:left="311" w:hanging="198"/>
      </w:pPr>
      <w:r w:rsidRPr="00D80609">
        <w:rPr>
          <w:b/>
        </w:rPr>
        <w:t>*</w:t>
      </w:r>
      <w:r w:rsidRPr="00D80609">
        <w:tab/>
        <w:t xml:space="preserve">Correspondence: </w:t>
      </w:r>
      <w:r w:rsidR="00F636C5">
        <w:t>oto116@pgr.aru.ac.uk</w:t>
      </w:r>
    </w:p>
    <w:p w14:paraId="113D93A1" w14:textId="18AD4902" w:rsidR="0046726B" w:rsidRPr="00D80609" w:rsidRDefault="0046726B" w:rsidP="0046726B">
      <w:pPr>
        <w:pStyle w:val="MDPI14history"/>
      </w:pPr>
    </w:p>
    <w:p w14:paraId="02553F64" w14:textId="438DC25B" w:rsidR="0046726B" w:rsidRPr="00D80609" w:rsidRDefault="0046726B" w:rsidP="0046726B">
      <w:pPr>
        <w:pStyle w:val="MDPI17abstract"/>
        <w:rPr>
          <w:color w:val="auto"/>
        </w:rPr>
      </w:pPr>
      <w:r w:rsidRPr="00D80609">
        <w:rPr>
          <w:b/>
        </w:rPr>
        <w:t xml:space="preserve">Abstract: </w:t>
      </w:r>
      <w:r w:rsidR="00AE348C">
        <w:t>(1)</w:t>
      </w:r>
      <w:r w:rsidRPr="00D80609">
        <w:t xml:space="preserve"> Background: </w:t>
      </w:r>
      <w:r w:rsidR="00DE3E27">
        <w:t>S</w:t>
      </w:r>
      <w:r w:rsidR="00C873F4">
        <w:t xml:space="preserve">edentary behaviour is high among older </w:t>
      </w:r>
      <w:r w:rsidR="00492638">
        <w:t>adults and</w:t>
      </w:r>
      <w:r w:rsidR="00C873F4">
        <w:t xml:space="preserve"> increases with ill-health and cognitive impairment. </w:t>
      </w:r>
      <w:r w:rsidR="00D223C7">
        <w:t xml:space="preserve">Although there is strong evidence of the deleterious effects of high sedentary levels on cardiovascular health, its role and risk to cognitive health is inconclusive. </w:t>
      </w:r>
      <w:r w:rsidR="00320B13">
        <w:t xml:space="preserve">In light of the recent lockdown and COVID-pandemic, the use of web-based health promotion among older adults has become more pertinent to attaining healthier living. </w:t>
      </w:r>
      <w:r w:rsidR="00D223C7">
        <w:t>Therefore</w:t>
      </w:r>
      <w:r w:rsidR="00DE3E27">
        <w:t>,</w:t>
      </w:r>
      <w:r w:rsidR="00D223C7">
        <w:t xml:space="preserve"> this study proposes to test the feasibility of an online health coaching intervention in people aged 50+ with mild cognitive impairment</w:t>
      </w:r>
      <w:r w:rsidR="001A110F">
        <w:t xml:space="preserve"> (MCI)</w:t>
      </w:r>
      <w:r w:rsidR="00D223C7">
        <w:t xml:space="preserve">. </w:t>
      </w:r>
      <w:r w:rsidR="00AE348C">
        <w:t>(2)</w:t>
      </w:r>
      <w:r w:rsidRPr="00D80609">
        <w:t xml:space="preserve"> Methods: </w:t>
      </w:r>
      <w:r w:rsidR="00D223C7">
        <w:t>This is a 13-week unblinded, single-center randomized</w:t>
      </w:r>
      <w:r w:rsidR="001A110F">
        <w:t xml:space="preserve"> feasibility study. People with MCI who meet </w:t>
      </w:r>
      <w:r w:rsidR="00D223C7">
        <w:t xml:space="preserve">study </w:t>
      </w:r>
      <w:r w:rsidR="001A110F">
        <w:t>criteria (50+ years and MCI diagnosis) will be recruited from community</w:t>
      </w:r>
      <w:r w:rsidR="00492638">
        <w:t xml:space="preserve"> settings nationwide</w:t>
      </w:r>
      <w:r w:rsidR="001A110F">
        <w:t xml:space="preserve">. Participants will be randomized to receive online coaching or health information. </w:t>
      </w:r>
      <w:r w:rsidR="00DE3E27">
        <w:t>The s</w:t>
      </w:r>
      <w:r w:rsidR="001A110F">
        <w:t xml:space="preserve">tudy </w:t>
      </w:r>
      <w:r w:rsidR="00DE3E27">
        <w:t xml:space="preserve">reporting </w:t>
      </w:r>
      <w:r w:rsidR="001A110F">
        <w:t xml:space="preserve">will follow </w:t>
      </w:r>
      <w:r w:rsidR="00DE3E27">
        <w:t xml:space="preserve">the </w:t>
      </w:r>
      <w:r w:rsidR="001A110F">
        <w:t xml:space="preserve">CONSORT statement. Primary outcomes will be feasibility of study and acceptability of online coaching intervention. </w:t>
      </w:r>
      <w:r w:rsidR="00AE348C">
        <w:t>(3)</w:t>
      </w:r>
      <w:r>
        <w:t xml:space="preserve"> </w:t>
      </w:r>
      <w:r w:rsidR="00700D3F">
        <w:t>Discussion</w:t>
      </w:r>
      <w:r w:rsidRPr="00D80609">
        <w:t xml:space="preserve">: </w:t>
      </w:r>
      <w:r w:rsidR="004D0B90">
        <w:t xml:space="preserve">It is hoped that if the intervention is feasible and acceptable, the study will progress to a definite </w:t>
      </w:r>
      <w:r w:rsidR="00492638">
        <w:t>large-scale</w:t>
      </w:r>
      <w:r w:rsidR="004D0B90">
        <w:t xml:space="preserve"> study to evaluate clinical and cost-effectiveness.</w:t>
      </w:r>
    </w:p>
    <w:p w14:paraId="1B6D7FC6" w14:textId="77777777" w:rsidR="0046726B" w:rsidRPr="00D80609" w:rsidRDefault="0046726B" w:rsidP="0046726B">
      <w:pPr>
        <w:pStyle w:val="MDPI18keywords"/>
      </w:pPr>
      <w:r w:rsidRPr="00D80609">
        <w:rPr>
          <w:b/>
        </w:rPr>
        <w:t xml:space="preserve">Keywords: </w:t>
      </w:r>
      <w:r w:rsidR="00700D3F">
        <w:t>Sedentary behaviour</w:t>
      </w:r>
      <w:r w:rsidRPr="00D80609">
        <w:t>;</w:t>
      </w:r>
      <w:r w:rsidR="00700D3F">
        <w:t xml:space="preserve"> Cognitive function;</w:t>
      </w:r>
      <w:r w:rsidRPr="00D80609">
        <w:t xml:space="preserve"> </w:t>
      </w:r>
      <w:r w:rsidR="00700D3F">
        <w:t xml:space="preserve">Mild cognitive impairment, </w:t>
      </w:r>
      <w:r w:rsidR="00E47C23">
        <w:t>Feasibility study</w:t>
      </w:r>
    </w:p>
    <w:p w14:paraId="52CB9B5C" w14:textId="77777777" w:rsidR="0046726B" w:rsidRPr="00D80609" w:rsidRDefault="0046726B" w:rsidP="0046726B">
      <w:pPr>
        <w:pStyle w:val="MDPI19line"/>
      </w:pPr>
    </w:p>
    <w:p w14:paraId="6813ED63" w14:textId="77777777" w:rsidR="0046726B" w:rsidRPr="00D80609" w:rsidRDefault="0046726B" w:rsidP="0046726B">
      <w:pPr>
        <w:pStyle w:val="MDPI21heading1"/>
      </w:pPr>
      <w:r w:rsidRPr="00D80609">
        <w:rPr>
          <w:lang w:eastAsia="zh-CN"/>
        </w:rPr>
        <w:t xml:space="preserve">1. </w:t>
      </w:r>
      <w:r w:rsidRPr="00D80609">
        <w:t>Introduction</w:t>
      </w:r>
    </w:p>
    <w:p w14:paraId="5F86EE6B" w14:textId="4B007EB6" w:rsidR="00C90664" w:rsidRDefault="004A7EB3" w:rsidP="00F636C5">
      <w:pPr>
        <w:pStyle w:val="MDPI31text"/>
      </w:pPr>
      <w:r>
        <w:t xml:space="preserve">Sedentary behaviour refers to any waking </w:t>
      </w:r>
      <w:proofErr w:type="spellStart"/>
      <w:r>
        <w:t>behaviour</w:t>
      </w:r>
      <w:proofErr w:type="spellEnd"/>
      <w:r>
        <w:t xml:space="preserve"> </w:t>
      </w:r>
      <w:proofErr w:type="spellStart"/>
      <w:r>
        <w:t>characterised</w:t>
      </w:r>
      <w:proofErr w:type="spellEnd"/>
      <w:r>
        <w:t xml:space="preserve"> by energy expenditure of ≤ 1.5 METs in reclining, lying and sitting postures </w:t>
      </w:r>
      <w:r>
        <w:fldChar w:fldCharType="begin" w:fldLock="1"/>
      </w:r>
      <w:r>
        <w:instrText>ADDIN CSL_CITATION {"citationItems":[{"id":"ITEM-1","itemData":{"DOI":"10.1186/s12966-017-0525-8","ISSN":"1479-5868","abstract":"BACKGROUND: The prominence of sedentary behavior research in health science has grown rapidly. With this growth there is increasing urgency for clear, common and accepted terminology and definitions. Such standardization is difficult to achieve, especially across multi-disciplinary researchers, practitioners, and industries. The Sedentary Behavior Research Network (SBRN) undertook a Terminology Consensus Project to address this need. METHOD: First, a literature review was completed to identify key terms in sedentary behavior research. These key terms were then reviewed and modified by a Steering Committee formed by SBRN. Next, SBRN members were invited to contribute to this project and interested participants reviewed and provided feedback on the proposed list of terms and draft definitions through an online survey. Finally, a conceptual model and consensus definitions (including caveats and examples for all age groups and functional abilities) were finalized based on the feedback received from the 87 SBRN member participants who responded to the original invitation and survey. RESULTS: Consensus definitions for the terms physical inactivity, stationary behavior, sedentary behavior, standing, screen time, non-screen-based sedentary time, sitting, reclining, lying, sedentary behavior pattern, as well as how the terms bouts, breaks, and interruptions should be used in this context are provided. CONCLUSION: It is hoped that the definitions resulting from this comprehensive, transparent, and broad-based participatory process will result in standardized terminology that is widely supported and adopted, thereby advancing future research, interventions, policies, and practices related to sedentary behaviors.","author":[{"dropping-particle":"","family":"Tremblay","given":"M S","non-dropping-particle":"","parse-names":false,"suffix":""},{"dropping-particle":"","family":"Aubert","given":"S","non-dropping-particle":"","parse-names":false,"suffix":""},{"dropping-particle":"","family":"Barnes","given":"J D","non-dropping-particle":"","parse-names":false,"suffix":""},{"dropping-particle":"","family":"Saunders","given":"T J","non-dropping-particle":"","parse-names":false,"suffix":""},{"dropping-particle":"","family":"Carson","given":"V","non-dropping-particle":"","parse-names":false,"suffix":""},{"dropping-particle":"","family":"Latimer-Cheung","given":"A E","non-dropping-particle":"","parse-names":false,"suffix":""},{"dropping-particle":"","family":"Chastin","given":"S F M","non-dropping-particle":"","parse-names":false,"suffix":""},{"dropping-particle":"","family":"Altenburg","given":"T M","non-dropping-particle":"","parse-names":false,"suffix":""},{"dropping-particle":"","family":"Chinapaw","given":"M J M","non-dropping-particle":"","parse-names":false,"suffix":""}],"container-title":"Int J Behav Nutr Phys Act","edition":"2017/06/11","id":"ITEM-1","issue":"1","issued":{"date-parts":[["2017"]]},"language":"eng","note":"1479-5868\nTremblay, Mark S\nAubert, Salome\nBarnes, Joel D\nSaunders, Travis J\nCarson, Valerie\nLatimer-Cheung, Amy E\nChastin, Sebastien F M\nAltenburg, Teatske M\nChinapaw, Mai J M\nSBRN Terminology Consensus Project Participants\nFS/12/58/29709/British Heart Foundation/United Kingdom\nMC_U106179473/Medical Research Council/United Kingdom\nMC_UU_12015/3/Medical Research Council/United Kingdom\nP20 GM113125/GM/NIGMS NIH HHS/United States\nJournal Article\nEngland\nInt J Behav Nutr Phys Act. 2017 Jun 10;14(1):75. doi: 10.1186/s12966-017-0525-8.","page":"75","publisher-place":"Healthy Active Living and Obesity Research Group, Children's Hospital of Eastern Ontario Research Institute, 401 Smyth Road, Ottawa, ON, K1H 8L1, Canada. mtremblay@cheo.on.ca. Healthy Active Living and Obesity Research Group, Children's Hospital of Easter","title":"Sedentary Behavior Research Network (SBRN) - Terminology Consensus Project process and outcome","type":"article-journal","volume":"14"},"uris":["http://www.mendeley.com/documents/?uuid=7a819b02-770c-47dc-88b7-0447348f8cb0"]}],"mendeley":{"formattedCitation":"(Tremblay et al., 2017)","plainTextFormattedCitation":"(Tremblay et al., 2017)","previouslyFormattedCitation":"(Tremblay et al., 2017)"},"properties":{"noteIndex":0},"schema":"https://github.com/citation-style-language/schema/raw/master/csl-citation.json"}</w:instrText>
      </w:r>
      <w:r>
        <w:fldChar w:fldCharType="separate"/>
      </w:r>
      <w:r w:rsidRPr="006E3000">
        <w:rPr>
          <w:noProof/>
        </w:rPr>
        <w:t>(Tremblay et al., 2017)</w:t>
      </w:r>
      <w:r>
        <w:fldChar w:fldCharType="end"/>
      </w:r>
      <w:r w:rsidR="00B90334">
        <w:t xml:space="preserve">. </w:t>
      </w:r>
      <w:r w:rsidR="00DE3E27">
        <w:t>Levels of</w:t>
      </w:r>
      <w:r w:rsidR="00E47C23" w:rsidRPr="00D572E9">
        <w:t xml:space="preserve"> sedentary behavior is high among the older </w:t>
      </w:r>
      <w:r w:rsidR="00DE3E27">
        <w:t>adults</w:t>
      </w:r>
      <w:r w:rsidR="00DE3E27" w:rsidRPr="00D572E9">
        <w:t xml:space="preserve"> </w:t>
      </w:r>
      <w:r w:rsidR="00E47C23" w:rsidRPr="00D572E9">
        <w:t>and increases with age co-morbidities and cognitive decline</w:t>
      </w:r>
      <w:r w:rsidR="00B90334">
        <w:fldChar w:fldCharType="begin" w:fldLock="1"/>
      </w:r>
      <w:r w:rsidR="00240C29">
        <w:instrText>ADDIN CSL_CITATION {"citationItems":[{"id":"ITEM-1","itemData":{"DOI":"10.1093/gerona/glaa016","ISSN":"1079-5006","abstract":"Objective: To investigate the association between levels of psychological distress and smoking and quitting behaviours. Method: Data were from two large Australian national household surveys of individuals over 20 years of age. Level of psychological distress was measured by the Kessler 10 scale. Tobacco smoking measures included current smoking status (never, former, current); ex-smokers time since quitting; current smokers abstinent period in the last 12 months, cigarettes smoked per day, reasons for smoking, and self-report of factors that would motivate quitting; and self-report of factors that motivated smokers to quit in the last 12 months. Multinomial logistic regression was used to assess the relationships between smoking behaviours and psychological distress, while controlling for socio-demographic factors. Results: Current smokers, especially those who smoke more cigarettes per day and those who report less success at quitting or reducing smoking, had higher levels of psychological distress. Ex-smokers were also more likely to experience psychological distress than those who never smoked, but the association weakened with more years since quitting. Current smokers with psychological distress were just as, or more likely, to report planning to quit as those without psychological distress. Smokers who did not plan to quit due to addiction, past failure at quitting, and using smoking for relaxation or to deal with stress were more likely to report psychological distress than those who did not report these reasons. Conclusions: Current smoking and unsuccessful quit attempts in the Australian community were strongly associated with symptoms of psychological distress. Quitting aspirations and influence from general public health interventions were not associated with the smokers level of psychological distress. © 2011 The Royal Australian and New Zealand College of Psychiatrists.","author":[{"dropping-particle":"","family":"Giné-Garriga","given":"Maria","non-dropping-particle":"","parse-names":false,"suffix":""},{"dropping-particle":"","family":"Sansano-Nadal","given":"Oriol","non-dropping-particle":"","parse-names":false,"suffix":""},{"dropping-particle":"","family":"Tully","given":"Mark A","non-dropping-particle":"","parse-names":false,"suffix":""},{"dropping-particle":"","family":"Caserotti","given":"Paolo","non-dropping-particle":"","parse-names":false,"suffix":""},{"dropping-particle":"","family":"Coll-Planas","given":"Laura","non-dropping-particle":"","parse-names":false,"suffix":""},{"dropping-particle":"","family":"Rothenbacher","given":"Dietrich","non-dropping-particle":"","parse-names":false,"suffix":""},{"dropping-particle":"","family":"Dallmeier","given":"Dhayana","non-dropping-particle":"","parse-names":false,"suffix":""},{"dropping-particle":"","family":"Denkinger","given":"Michael","non-dropping-particle":"","parse-names":false,"suffix":""},{"dropping-particle":"","family":"Wilson","given":"Jason J","non-dropping-particle":"","parse-names":false,"suffix":""},{"dropping-particle":"","family":"Martin-Borràs","given":"Carme","non-dropping-particle":"","parse-names":false,"suffix":""},{"dropping-particle":"","family":"Skjødt","given":"Mathias","non-dropping-particle":"","parse-names":false,"suffix":""},{"dropping-particle":"","family":"Ferri","given":"Kelly","non-dropping-particle":"","parse-names":false,"suffix":""},{"dropping-particle":"","family":"Farche","given":"Ana Claudia","non-dropping-particle":"","parse-names":false,"suffix":""},{"dropping-particle":"","family":"McIntosh","given":"Emma","non-dropping-particle":"","parse-names":false,"suffix":""},{"dropping-particle":"","family":"Blackburn","given":"Nicole E","non-dropping-particle":"","parse-names":false,"suffix":""},{"dropping-particle":"","family":"Salvà","given":"Antoni","non-dropping-particle":"","parse-names":false,"suffix":""},{"dropping-particle":"","family":"Roqué-i-Figuls","given":"Marta","non-dropping-particle":"","parse-names":false,"suffix":""}],"container-title":"The Journals of Gerontology: Series A","id":"ITEM-1","issued":{"date-parts":[["2020"]]},"title":"Accelerometer-Measured Sedentary and Physical Activity Time and Their Correlates in European Older Adults: The SITLESS Study","type":"article-journal"},"uris":["http://www.mendeley.com/documents/?uuid=0086bd84-7ef0-475d-8962-8b8a7ef13e6d"]}],"mendeley":{"formattedCitation":"(Giné-Garriga et al., 2020)","plainTextFormattedCitation":"(Giné-Garriga et al., 2020)","previouslyFormattedCitation":"(Giné-Garriga et al., 2020)"},"properties":{"noteIndex":0},"schema":"https://github.com/citation-style-language/schema/raw/master/csl-citation.json"}</w:instrText>
      </w:r>
      <w:r w:rsidR="00B90334">
        <w:fldChar w:fldCharType="separate"/>
      </w:r>
      <w:r w:rsidR="00B90334" w:rsidRPr="00B90334">
        <w:rPr>
          <w:noProof/>
        </w:rPr>
        <w:t>(Giné-Garriga et al., 2020)</w:t>
      </w:r>
      <w:r w:rsidR="00B90334">
        <w:fldChar w:fldCharType="end"/>
      </w:r>
      <w:r w:rsidR="00E47C23" w:rsidRPr="00D572E9">
        <w:t xml:space="preserve">. 60% of older adults world-wide reported sitting for more than four hours per day and when device-measured, 67% of the older population were sedentary for more than 8.5 hours in their waking day </w:t>
      </w:r>
      <w:r w:rsidR="00E47C23" w:rsidRPr="00D572E9">
        <w:fldChar w:fldCharType="begin" w:fldLock="1"/>
      </w:r>
      <w:r w:rsidR="00274AEF">
        <w:instrText>ADDIN CSL_CITATION {"citationItems":[{"id":"ITEM-1","itemData":{"DOI":"10.1123/japa.2014-0164","ISSN":"1543267X","abstract":"Background/objectives: Sedentary behavior (SB), defined as sitting (nonexercising), reclining, and lying down (posture), or by low energy expenditure, is a public health risk independent to physical activity. The objective of this systematic literature review was to synthesize the available evidence on amount of SB reported by and measured in older adults. Data source: Studies published between 1981 and 2014 were identified from electronic databases and manual searching. Large-scale population studies/surveys reporting the amount of SB (objective/ subjective) in older adults aged ≥ 60 years of age were included. Appraisal and synthesis was completed using MOOSE guidelines. Results: 349,698 adults aged ≥ 60 within 22 studies (10 countries and 1 EU-wide) were included. Objective measurement of SB shows that older adults spend an average of 9.4 hr a day sedentary, equating to 65-80% of their waking day. Self-report of SB is lower, with average weighted self-reports being 5.3 hr daily. Within specific domains of SB, older adults report 3.3 hr in leisure sitting time and 3.3 hr watching TV. There is an association with more time spent in SB as age advances and a trend for older men to spend more time in SB than women. Conclusion/ implications: Time spent sedentary ranges from 5.3-9.4 hr per waking day in older adults. With recent studies suggesting a link between SB, health, and well-being, independent of physical activity, this is an area important for successful aging. Limitations: Different methodologies of measurement and different reporting methods of SB made synthesis difficult. Estimated SB time from self-report is half of that measured objectively; suggesting that most self-report surveys of SB will vastly underestimate the actual time spent in SB.","author":[{"dropping-particle":"","family":"Harvey","given":"Juliet A.","non-dropping-particle":"","parse-names":false,"suffix":""},{"dropping-particle":"","family":"Chastin","given":"Sebastien F.M.","non-dropping-particle":"","parse-names":false,"suffix":""},{"dropping-particle":"","family":"Skelton","given":"Dawn A.","non-dropping-particle":"","parse-names":false,"suffix":""}],"container-title":"Journal of Aging and Physical Activity","id":"ITEM-1","issued":{"date-parts":[["2015"]]},"title":"How sedentary are older people? A systematic review of the amount of sedentary behavior","type":"article"},"uris":["http://www.mendeley.com/documents/?uuid=d376dc37-fe9b-4f8a-8f53-8fbdd539ec8b"]}],"mendeley":{"formattedCitation":"(Harvey, Chastin, &amp; Skelton, 2015)","plainTextFormattedCitation":"(Harvey, Chastin, &amp; Skelton, 2015)","previouslyFormattedCitation":"(Harvey, Chastin, &amp; Skelton, 2015)"},"properties":{"noteIndex":0},"schema":"https://github.com/citation-style-language/schema/raw/master/csl-citation.json"}</w:instrText>
      </w:r>
      <w:r w:rsidR="00E47C23" w:rsidRPr="00D572E9">
        <w:fldChar w:fldCharType="separate"/>
      </w:r>
      <w:r w:rsidR="00274AEF" w:rsidRPr="00274AEF">
        <w:rPr>
          <w:noProof/>
        </w:rPr>
        <w:t>(Harvey, Chastin, &amp; Skelton, 2015)</w:t>
      </w:r>
      <w:r w:rsidR="00E47C23" w:rsidRPr="00D572E9">
        <w:fldChar w:fldCharType="end"/>
      </w:r>
      <w:r w:rsidR="00E47C23" w:rsidRPr="00D572E9">
        <w:t xml:space="preserve">. There is evidence of deleterious health </w:t>
      </w:r>
      <w:r w:rsidR="00DE3E27">
        <w:t>impacts</w:t>
      </w:r>
      <w:r w:rsidR="00DE3E27" w:rsidRPr="00D572E9">
        <w:t xml:space="preserve"> </w:t>
      </w:r>
      <w:r w:rsidR="00E47C23" w:rsidRPr="00D572E9">
        <w:t>of sedentary behaviors, with possible independent associations with all-cause mortality, cardiovascular disease mortality, cardiovascular disease incidence, cancer mortality, and type 2 diabetes incidence</w:t>
      </w:r>
      <w:r w:rsidR="00DE3E27">
        <w:t xml:space="preserve"> </w:t>
      </w:r>
      <w:r w:rsidR="00E47C23" w:rsidRPr="00D572E9">
        <w:fldChar w:fldCharType="begin" w:fldLock="1"/>
      </w:r>
      <w:r w:rsidR="00274AEF">
        <w:instrText>ADDIN CSL_CITATION {"citationItems":[{"id":"ITEM-1","itemData":{"DOI":"10.7326/L15-5060-2","ISSN":"1539-3704 (Electronic)","PMID":"26075764","author":[{"dropping-particle":"","family":"Biswas","given":"Aviroop","non-dropping-particle":"","parse-names":false,"suffix":""},{"dropping-particle":"","family":"Alter","given":"David A","non-dropping-particle":"","parse-names":false,"suffix":""}],"container-title":"Annals of internal medicine","id":"ITEM-1","issue":"12","issued":{"date-parts":[["2015","6"]]},"language":"eng","page":"875-876","publisher-place":"United States","title":"Sedentary Time and Risk for Mortality.","type":"article","volume":"162"},"uris":["http://www.mendeley.com/documents/?uuid=fad8444a-378f-4aa9-908a-0799ce248f37"]}],"mendeley":{"formattedCitation":"(Biswas &amp; Alter, 2015)","plainTextFormattedCitation":"(Biswas &amp; Alter, 2015)","previouslyFormattedCitation":"(Biswas &amp; Alter, 2015)"},"properties":{"noteIndex":0},"schema":"https://github.com/citation-style-language/schema/raw/master/csl-citation.json"}</w:instrText>
      </w:r>
      <w:r w:rsidR="00E47C23" w:rsidRPr="00D572E9">
        <w:fldChar w:fldCharType="separate"/>
      </w:r>
      <w:r w:rsidR="00274AEF" w:rsidRPr="00274AEF">
        <w:rPr>
          <w:noProof/>
        </w:rPr>
        <w:t>(Biswas &amp; Alter, 2015)</w:t>
      </w:r>
      <w:r w:rsidR="00E47C23" w:rsidRPr="00D572E9">
        <w:fldChar w:fldCharType="end"/>
      </w:r>
      <w:r w:rsidR="00E47C23" w:rsidRPr="00D572E9">
        <w:t xml:space="preserve">. </w:t>
      </w:r>
      <w:r w:rsidR="00875561">
        <w:t xml:space="preserve">Although observational studies have demonstrated some </w:t>
      </w:r>
      <w:r w:rsidR="00E47C23" w:rsidRPr="00D572E9">
        <w:t>associations between sedentary behaviors and cognitive health</w:t>
      </w:r>
      <w:r w:rsidR="00875561">
        <w:t>, evidence on causal relationship is lacking</w:t>
      </w:r>
      <w:r w:rsidR="00E47C23">
        <w:t xml:space="preserve"> </w:t>
      </w:r>
      <w:r w:rsidR="00E47C23">
        <w:fldChar w:fldCharType="begin" w:fldLock="1"/>
      </w:r>
      <w:r w:rsidR="00B90334">
        <w:instrText>ADDIN CSL_CITATION {"citationItems":[{"id":"ITEM-1","itemData":{"DOI":"10.1007/s40520-019-01457-3.","author":[{"dropping-particle":"","family":"Olanrewaju","given":"Olawale","non-dropping-particle":"","parse-names":false,"suffix":""},{"dropping-particle":"","family":"Stockwell","given":"Stephanie","non-dropping-particle":"","parse-names":false,"suffix":""},{"dropping-particle":"","family":"Stubbs","given":"Brendon","non-dropping-particle":"","parse-names":false,"suffix":""},{"dropping-particle":"","family":"Smith","given":"Lee","non-dropping-particle":"","parse-names":false,"suffix":""}],"container-title":"Aging Clinical and Experimental Research","id":"ITEM-1","issued":{"date-parts":[["2020"]]},"title":"Sedentary behaviours, cognitive function, and possible mechanisms in older adults: a systematic review","type":"article-journal"},"uris":["http://www.mendeley.com/documents/?uuid=c4a61f04-aa02-437e-a83b-37b691741b69"]}],"mendeley":{"formattedCitation":"(Olawale Olanrewaju, Stockwell, Stubbs, &amp; Smith, 2020)","plainTextFormattedCitation":"(Olawale Olanrewaju, Stockwell, Stubbs, &amp; Smith, 2020)","previouslyFormattedCitation":"(Olawale Olanrewaju, Stockwell, Stubbs, &amp; Smith, 2020)"},"properties":{"noteIndex":0},"schema":"https://github.com/citation-style-language/schema/raw/master/csl-citation.json"}</w:instrText>
      </w:r>
      <w:r w:rsidR="00E47C23">
        <w:fldChar w:fldCharType="separate"/>
      </w:r>
      <w:r w:rsidR="0009714B" w:rsidRPr="0009714B">
        <w:rPr>
          <w:noProof/>
        </w:rPr>
        <w:t>(Olawale Olanrewaju, Stockwell, Stubbs, &amp; Smith, 2020)</w:t>
      </w:r>
      <w:r w:rsidR="00E47C23">
        <w:fldChar w:fldCharType="end"/>
      </w:r>
      <w:r w:rsidR="00E47C23" w:rsidRPr="00D572E9">
        <w:t xml:space="preserve">. </w:t>
      </w:r>
    </w:p>
    <w:p w14:paraId="0B05BE07" w14:textId="77777777" w:rsidR="00320B13" w:rsidRDefault="00C90664" w:rsidP="00320B13">
      <w:pPr>
        <w:pStyle w:val="MDPI31text"/>
      </w:pPr>
      <w:r>
        <w:t xml:space="preserve">People living with MCI are not only at risk of further cognitive decline and dementia, </w:t>
      </w:r>
      <w:r>
        <w:fldChar w:fldCharType="begin" w:fldLock="1"/>
      </w:r>
      <w:r>
        <w:instrText>ADDIN CSL_CITATION {"citationItems":[{"id":"ITEM-1","itemData":{"DOI":"10.1001/archneur.58.3.397","ISSN":"00039942","PMID":"11255443","abstract":"Background: Mild cognitive impairment (MCI) is considered to be a transitional stage between aging and Alzheimer disease (AD). Objective: To determine whether MCI represents early-stage AD by examining its natural history and neuropathologic basis. Design: A prospective clinical and psychometric study of community-living elderly volunteers, both nondemented and minimally cognitively impaired, followed up for up to 9.5 years. Neuropathologic examinations were performed on participants who had undergone autopsy. Setting: An AD research center. Participants: All participants enrolled between July 1990 and June 1997 with Clinical Dementia Rating (CDR) scores of 0 (cognitively healthy; n = 177; mean age, 78.9 years) or 0.5 (equivalent to MCI; n = 277; mean age, 76.9 years). Based on the degree of clinical confidence that MCI represented dementia of the Alzheimer type (DAT), 3 subgroups of individuals with CDR scores of 0.5 were identified: CDR 0.5/DAT, CDR 0.5/incipient DAT, and CDR 0.5/uncertain dementia. Main Outcome Measure: Progression to the stage of CDR 1, which characterizes mild definite DAT. Results: Survival analysis showed that 100% of CDR 0.5/ DAT participants progressed to greater dementia severity over a 9.5-year period. At 5 years, rates of progression to a score of CDR 1 (or greater) for DAT were 60.5% (95% confidence interval [CI], 50.2%-70.8%) for the CDR 0.5/DAT group, 35.7% (95% CI, 21.0%-50.3%) for the CDR 0.5/incipient DAT group, 19.9% (95% CI, 8.0%-31.8%) for the CDR 0.5/uncertain dementia group, and 6.8% (95% CI, 2.2%-11.3%) for CDR 0/controls. Progression to greater dementia severity correlated with degree of cognitive impairment at baseline. Twenty-four of the 25 participants with scores of CDR 0.5 had a neuropathologic dementing disorder, which was AD in 21 (84%). Conclusion: Individuals currently characterized as having MCI progress steadily to greater stages of dementia severity at rates dependent on the level of cognitive impairment at entry and they almost always have the neuropathologic features of AD. We conclude that MCI generally represents early-stage AD.","author":[{"dropping-particle":"","family":"Morris","given":"J. C.","non-dropping-particle":"","parse-names":false,"suffix":""},{"dropping-particle":"","family":"Storandt","given":"M.","non-dropping-particle":"","parse-names":false,"suffix":""},{"dropping-particle":"","family":"Miller","given":"J. P.","non-dropping-particle":"","parse-names":false,"suffix":""},{"dropping-particle":"","family":"McKeel","given":"D. W.","non-dropping-particle":"","parse-names":false,"suffix":""},{"dropping-particle":"","family":"Price","given":"J. L.","non-dropping-particle":"","parse-names":false,"suffix":""},{"dropping-particle":"","family":"Rubin","given":"E. H.","non-dropping-particle":"","parse-names":false,"suffix":""},{"dropping-particle":"","family":"Berg","given":"L.","non-dropping-particle":"","parse-names":false,"suffix":""}],"container-title":"Archives of Neurology","id":"ITEM-1","issued":{"date-parts":[["2001"]]},"title":"Mild cognitive impairment represents early-stage Alzheimer disease","type":"article-journal"},"uris":["http://www.mendeley.com/documents/?uuid=90a2a001-6c24-40c0-b0d6-fc4e3f514a7b"]}],"mendeley":{"formattedCitation":"(Morris et al., 2001)","plainTextFormattedCitation":"(Morris et al., 2001)","previouslyFormattedCitation":"(Morris et al., 2001)"},"properties":{"noteIndex":0},"schema":"https://github.com/citation-style-language/schema/raw/master/csl-citation.json"}</w:instrText>
      </w:r>
      <w:r>
        <w:fldChar w:fldCharType="separate"/>
      </w:r>
      <w:r w:rsidRPr="00633815">
        <w:rPr>
          <w:noProof/>
        </w:rPr>
        <w:t>(Morris et al., 2001)</w:t>
      </w:r>
      <w:r>
        <w:fldChar w:fldCharType="end"/>
      </w:r>
      <w:r>
        <w:fldChar w:fldCharType="begin" w:fldLock="1"/>
      </w:r>
      <w:r>
        <w:instrText>ADDIN CSL_CITATION {"citationItems":[{"id":"ITEM-1","itemData":{"DOI":"10.1001/jama.2014.13806","ISSN":"15383598","PMID":"25514304","abstract":"Conclusions and Relevance: Cognitive decline and MCI have important implications for patients and their families and will require that primary care clinicians be skilled in identifying and managing this common disorder as the number of older adults increases in coming decades. Current evidence supports aerobic exercise, mental activity, and cardiovascular risk factor control in patients with MCI.\nImportance: Cognitive decline is a common and feared aspect of aging. Mild cognitive impairment (MCI) is defined as the symptomatic predementia stage on the continuum of cognitive decline, characterized by objective impairment in cognition that is not severe enough to require help with usual activities of daily living.\nObjective: To present evidence on the diagnosis, treatment, and prognosis of MCI and to provide physicians with an evidence-based framework for caring for older patients with MCI and their caregivers.\nEvidence Acquisition: We searched PubMed for English-language articles in peer-reviewed journals and the Cochrane Library database from inception through July 2014. Relevant references from retrieved articles were also evaluated.\nFindings: The prevalence of MCI in adults aged 65 years and older is 10% to 20%; risk increases with age and men appear to be at higher risk than women. In older patients with MCI, clinicians should consider depression, polypharmacy, and uncontrolled cardiovascular risk factors, all of which may increase risk for cognitive impairment and other negative outcomes. Currently, no medications have proven effective for MCI; treatments and interventions should be aimed at reducing cardiovascular risk factors and prevention of stroke. Aerobic exercise, mental activity, and social engagement may help decrease risk of further cognitive decline. Although patients with MCI are at greater risk for developing dementia compared with the general population, there is currently substantial variation in risk estimates (from &lt;5%to 20% annual conversion rates), depending on the population studied. Current research targets improving early detection and treatment of MCI, particularly in patients at high risk for progression to dementia.","author":[{"dropping-particle":"","family":"Langa","given":"Kenneth M.","non-dropping-particle":"","parse-names":false,"suffix":""},{"dropping-particle":"","family":"Levine","given":"Deborah A.","non-dropping-particle":"","parse-names":false,"suffix":""}],"container-title":"JAMA - Journal of the American Medical Association","id":"ITEM-1","issued":{"date-parts":[["2014"]]},"title":"The diagnosis and management of mild cognitive impairment: A clinical review","type":"article"},"uris":["http://www.mendeley.com/documents/?uuid=cf2ca9a9-f5b5-4acb-8d44-e407429eeab8"]}],"mendeley":{"formattedCitation":"(Langa &amp; Levine, 2014)","plainTextFormattedCitation":"(Langa &amp; Levine, 2014)","previouslyFormattedCitation":"(Langa &amp; Levine, 2014)"},"properties":{"noteIndex":0},"schema":"https://github.com/citation-style-language/schema/raw/master/csl-citation.json"}</w:instrText>
      </w:r>
      <w:r>
        <w:fldChar w:fldCharType="separate"/>
      </w:r>
      <w:r w:rsidRPr="00633815">
        <w:rPr>
          <w:noProof/>
        </w:rPr>
        <w:t>(Langa &amp; Levine, 2014)</w:t>
      </w:r>
      <w:r>
        <w:fldChar w:fldCharType="end"/>
      </w:r>
      <w:r>
        <w:t>, but also likely to engage in less</w:t>
      </w:r>
      <w:r w:rsidR="00DE3E27">
        <w:t xml:space="preserve"> physical</w:t>
      </w:r>
      <w:r>
        <w:t xml:space="preserve"> activity and increased sedentary </w:t>
      </w:r>
      <w:proofErr w:type="spellStart"/>
      <w:r>
        <w:t>behaviours</w:t>
      </w:r>
      <w:proofErr w:type="spellEnd"/>
      <w:r w:rsidR="00B5679C">
        <w:t xml:space="preserve"> </w:t>
      </w:r>
      <w:r w:rsidR="00B5679C">
        <w:fldChar w:fldCharType="begin" w:fldLock="1"/>
      </w:r>
      <w:r w:rsidR="002702E6">
        <w:instrText>ADDIN CSL_CITATION {"citationItems":[{"id":"ITEM-1","itemData":{"DOI":"http://dx.doi.org/10.1016/j.exger.2018.04.017","ISSN":"0531-5565","abstract":"BACKGROUND: Sedentary behavior (SB) is associated with poor cognitive performance. However, the contribution of sedentary time to risk of mild cognitive impairment (MCI) remains unclear. This study assessed the association of SB with MCI in six low- and middle-income countries. METHODS: The Study on Global Ageing and Adult Health (SAGE) survey included 34,129 adults aged &gt;/=50years [mean (SD) age 62.1 (15.6) years; 51.7% females]. SB was self-reported and expressed as a categorical variable [&lt;8 or &gt;/=8h per day (high SB)]. The definition of MCI was based on the recommendations of the National Institute on Ageing-Alzheimer's Association. Multivariable logistic regression analysis was conducted to assess the association between SB and MCI. RESULTS: The overall prevalence (95%CI) of MCI and high SB (i.e., &gt;/=8h/day) were 15.3% (14.4%-16.3%) and 10.1% (9.0%-11.3%), respectively. After adjustment for potential confounders, being sedentary for &gt;/=8h/day was associated with a 1.56 (95%CI=1.27-1.91) times higher odds for MCI. A one-hour increase in SB was associated with a 1.08 (95%CI=1.05-1.11) times higher odds for MCI. CONCLUSION: Our study results highlight the need to further explore a sedentary lifestyle as a potential risk factor for MCI or subsequent dementia. Longitudinal and intervention studies are warranted to confirm/refute the current findings.","author":[{"dropping-particle":"","family":"Vancampfort","given":"D","non-dropping-particle":"","parse-names":false,"suffix":""},{"dropping-particle":"","family":"Stubbs","given":"B","non-dropping-particle":"","parse-names":false,"suffix":""},{"dropping-particle":"","family":"Lara","given":"E","non-dropping-particle":"","parse-names":false,"suffix":""},{"dropping-particle":"","family":"Vandenbulcke","given":"M","non-dropping-particle":"","parse-names":false,"suffix":""},{"dropping-particle":"","family":"Swinnen","given":"N","non-dropping-particle":"","parse-names":false,"suffix":""},{"dropping-particle":"","family":"Smith","given":"L","non-dropping-particle":"","parse-names":false,"suffix":""},{"dropping-particle":"","family":"Firth","given":"J","non-dropping-particle":"","parse-names":false,"suffix":""},{"dropping-particle":"","family":"Herring","given":"M P","non-dropping-particle":"","parse-names":false,"suffix":""},{"dropping-particle":"","family":"Hallgren","given":"M","non-dropping-particle":"","parse-names":false,"suffix":""},{"dropping-particle":"","family":"Koyanagi","given":"A","non-dropping-particle":"","parse-names":false,"suffix":""},{"dropping-particle":"","family":"D.","given":"Vancampfort","non-dropping-particle":"","parse-names":false,"suffix":""},{"dropping-particle":"","family":"B.","given":"Stubbs","non-dropping-particle":"","parse-names":false,"suffix":""},{"dropping-particle":"","family":"E.","given":"Lara","non-dropping-particle":"","parse-names":false,"suffix":""},{"dropping-particle":"","family":"M.","given":"Vandenbulcke","non-dropping-particle":"","parse-names":false,"suffix":""},{"dropping-particle":"","family":"N.","given":"Swinnen","non-dropping-particle":"","parse-names":false,"suffix":""},{"dropping-particle":"","family":"L.","given":"Smith","non-dropping-particle":"","parse-names":false,"suffix":""},{"dropping-particle":"","family":"J.","given":"Firth","non-dropping-particle":"","parse-names":false,"suffix":""},{"dropping-particle":"","family":"M.P.","given":"Herring","non-dropping-particle":"","parse-names":false,"suffix":""},{"dropping-particle":"","family":"M.","given":"Hallgren","non-dropping-particle":"","parse-names":false,"suffix":""}],"container-title":"Experimental Gerontology","edition":"2018/04/29","id":"ITEM-1","issued":{"date-parts":[["2018"]]},"language":"eng","note":"From Duplicate 2 (Mild cognitive impairment and sedentary behavior: A multinational study - Vancampfort, D; Stubbs, B; Lara, E; Vandenbulcke, M; Swinnen, N; Smith, L; Firth, J; Herring, M P; Hallgren, M; Koyanagi, A)\n\n1873-6815\nVancampfort, Davy\nStubbs, Brendon\nLara, Elvira\nVandenbulcke, Mathieu\nSwinnen, Nathalie\nSmith, Lee\nFirth, Joseph\nHerring, Matthew P\nHallgren, Mats\nKoyanagi, Ai\nJournal Article\nEngland\nExp Gerontol. 2018 Jul 15;108:174-180. doi: 10.1016/j.exger.2018.04.017. Epub 2018 Apr 25.","page":"174-180","publisher":"Elsevier Inc. (E-mail: usjcs@elsevier.com)","publisher-place":"D. Vancampfort, Tervuursevest 101, Leuven 3001, Belgium. E-mail: davy.vancampfort@kuleuven.be","title":"Mild cognitive impairment and sedentary behavior: A multinational study","type":"article-journal","volume":"108"},"uris":["http://www.mendeley.com/documents/?uuid=e9145faa-2b1f-4970-a46b-d27dac2986f6"]}],"mendeley":{"formattedCitation":"(Vancampfort et al., 2018)","plainTextFormattedCitation":"(Vancampfort et al., 2018)","previouslyFormattedCitation":"(Vancampfort et al., 2018)"},"properties":{"noteIndex":0},"schema":"https://github.com/citation-style-language/schema/raw/master/csl-citation.json"}</w:instrText>
      </w:r>
      <w:r w:rsidR="00B5679C">
        <w:fldChar w:fldCharType="separate"/>
      </w:r>
      <w:r w:rsidR="00B5679C" w:rsidRPr="00B5679C">
        <w:rPr>
          <w:noProof/>
        </w:rPr>
        <w:t>(Vancampfort et al., 2018)</w:t>
      </w:r>
      <w:r w:rsidR="00B5679C">
        <w:fldChar w:fldCharType="end"/>
      </w:r>
      <w:r>
        <w:t xml:space="preserve">. </w:t>
      </w:r>
      <w:r w:rsidR="00274AEF">
        <w:t>A recent observational study found that being sedentary for &gt;=8 hours/day was associated with 1.56 (95%CI=1.27-1.91) times higher odds for MCI</w:t>
      </w:r>
      <w:r w:rsidR="00FC66C8">
        <w:t xml:space="preserve"> </w:t>
      </w:r>
      <w:r w:rsidR="00274AEF">
        <w:fldChar w:fldCharType="begin" w:fldLock="1"/>
      </w:r>
      <w:r w:rsidR="00633815">
        <w:instrText>ADDIN CSL_CITATION {"citationItems":[{"id":"ITEM-1","itemData":{"DOI":"http://dx.doi.org/10.1016/j.exger.2018.04.017","ISSN":"0531-5565","abstract":"BACKGROUND: Sedentary behavior (SB) is associated with poor cognitive performance. However, the contribution of sedentary time to risk of mild cognitive impairment (MCI) remains unclear. This study assessed the association of SB with MCI in six low- and middle-income countries. METHODS: The Study on Global Ageing and Adult Health (SAGE) survey included 34,129 adults aged &gt;/=50years [mean (SD) age 62.1 (15.6) years; 51.7% females]. SB was self-reported and expressed as a categorical variable [&lt;8 or &gt;/=8h per day (high SB)]. The definition of MCI was based on the recommendations of the National Institute on Ageing-Alzheimer's Association. Multivariable logistic regression analysis was conducted to assess the association between SB and MCI. RESULTS: The overall prevalence (95%CI) of MCI and high SB (i.e., &gt;/=8h/day) were 15.3% (14.4%-16.3%) and 10.1% (9.0%-11.3%), respectively. After adjustment for potential confounders, being sedentary for &gt;/=8h/day was associated with a 1.56 (95%CI=1.27-1.91) times higher odds for MCI. A one-hour increase in SB was associated with a 1.08 (95%CI=1.05-1.11) times higher odds for MCI. CONCLUSION: Our study results highlight the need to further explore a sedentary lifestyle as a potential risk factor for MCI or subsequent dementia. Longitudinal and intervention studies are warranted to confirm/refute the current findings.","author":[{"dropping-particle":"","family":"Vancampfort","given":"D","non-dropping-particle":"","parse-names":false,"suffix":""},{"dropping-particle":"","family":"Stubbs","given":"B","non-dropping-particle":"","parse-names":false,"suffix":""},{"dropping-particle":"","family":"Lara","given":"E","non-dropping-particle":"","parse-names":false,"suffix":""},{"dropping-particle":"","family":"Vandenbulcke","given":"M","non-dropping-particle":"","parse-names":false,"suffix":""},{"dropping-particle":"","family":"Swinnen","given":"N","non-dropping-particle":"","parse-names":false,"suffix":""},{"dropping-particle":"","family":"Smith","given":"L","non-dropping-particle":"","parse-names":false,"suffix":""},{"dropping-particle":"","family":"Firth","given":"J","non-dropping-particle":"","parse-names":false,"suffix":""},{"dropping-particle":"","family":"Herring","given":"M P","non-dropping-particle":"","parse-names":false,"suffix":""},{"dropping-particle":"","family":"Hallgren","given":"M","non-dropping-particle":"","parse-names":false,"suffix":""},{"dropping-particle":"","family":"Koyanagi","given":"A","non-dropping-particle":"","parse-names":false,"suffix":""},{"dropping-particle":"","family":"D.","given":"Vancampfort","non-dropping-particle":"","parse-names":false,"suffix":""},{"dropping-particle":"","family":"B.","given":"Stubbs","non-dropping-particle":"","parse-names":false,"suffix":""},{"dropping-particle":"","family":"E.","given":"Lara","non-dropping-particle":"","parse-names":false,"suffix":""},{"dropping-particle":"","family":"M.","given":"Vandenbulcke","non-dropping-particle":"","parse-names":false,"suffix":""},{"dropping-particle":"","family":"N.","given":"Swinnen","non-dropping-particle":"","parse-names":false,"suffix":""},{"dropping-particle":"","family":"L.","given":"Smith","non-dropping-particle":"","parse-names":false,"suffix":""},{"dropping-particle":"","family":"J.","given":"Firth","non-dropping-particle":"","parse-names":false,"suffix":""},{"dropping-particle":"","family":"M.P.","given":"Herring","non-dropping-particle":"","parse-names":false,"suffix":""},{"dropping-particle":"","family":"M.","given":"Hallgren","non-dropping-particle":"","parse-names":false,"suffix":""}],"container-title":"Experimental Gerontology","edition":"2018/04/29","id":"ITEM-1","issued":{"date-parts":[["2018"]]},"language":"eng","note":"From Duplicate 2 (Mild cognitive impairment and sedentary behavior: A multinational study - Vancampfort, D; Stubbs, B; Lara, E; Vandenbulcke, M; Swinnen, N; Smith, L; Firth, J; Herring, M P; Hallgren, M; Koyanagi, A)\n\n1873-6815\nVancampfort, Davy\nStubbs, Brendon\nLara, Elvira\nVandenbulcke, Mathieu\nSwinnen, Nathalie\nSmith, Lee\nFirth, Joseph\nHerring, Matthew P\nHallgren, Mats\nKoyanagi, Ai\nJournal Article\nEngland\nExp Gerontol. 2018 Jul 15;108:174-180. doi: 10.1016/j.exger.2018.04.017. Epub 2018 Apr 25.","page":"174-180","publisher":"Elsevier Inc. (E-mail: usjcs@elsevier.com)","publisher-place":"D. Vancampfort, Tervuursevest 101, Leuven 3001, Belgium. E-mail: davy.vancampfort@kuleuven.be","title":"Mild cognitive impairment and sedentary behavior: A multinational study","type":"article-journal","volume":"108"},"uris":["http://www.mendeley.com/documents/?uuid=e9145faa-2b1f-4970-a46b-d27dac2986f6"]}],"mendeley":{"formattedCitation":"(Vancampfort et al., 2018)","plainTextFormattedCitation":"(Vancampfort et al., 2018)","previouslyFormattedCitation":"(Vancampfort et al., 2018)"},"properties":{"noteIndex":0},"schema":"https://github.com/citation-style-language/schema/raw/master/csl-citation.json"}</w:instrText>
      </w:r>
      <w:r w:rsidR="00274AEF">
        <w:fldChar w:fldCharType="separate"/>
      </w:r>
      <w:r w:rsidR="00274AEF" w:rsidRPr="00274AEF">
        <w:rPr>
          <w:noProof/>
        </w:rPr>
        <w:t>(Vancampfort et al., 2018)</w:t>
      </w:r>
      <w:r w:rsidR="00274AEF">
        <w:fldChar w:fldCharType="end"/>
      </w:r>
      <w:r w:rsidR="00274AEF">
        <w:t xml:space="preserve">. </w:t>
      </w:r>
      <w:r w:rsidR="00FC66C8">
        <w:t xml:space="preserve">A separate cross-sectional study indicated that people with probable MCI were less active and </w:t>
      </w:r>
      <w:r w:rsidR="00DE3E27">
        <w:t xml:space="preserve">engaged in more </w:t>
      </w:r>
      <w:r w:rsidR="00FC66C8">
        <w:t>sedentary</w:t>
      </w:r>
      <w:r w:rsidR="00DE3E27">
        <w:t xml:space="preserve"> behaviour,</w:t>
      </w:r>
      <w:r w:rsidR="00FC66C8">
        <w:t xml:space="preserve"> compared with people without MCI </w:t>
      </w:r>
      <w:r w:rsidR="00FC66C8">
        <w:lastRenderedPageBreak/>
        <w:fldChar w:fldCharType="begin" w:fldLock="1"/>
      </w:r>
      <w:r w:rsidR="00B5679C">
        <w:instrText>ADDIN CSL_CITATION {"citationItems":[{"id":"ITEM-1","itemData":{"DOI":"10.1093/ptj/pzx074","ISSN":"0031-9023","abstract":"Background: Mild cognitive impairment (MCI) represents a transition between normal cognitive aging and dementia and may represent a critical time frame for promoting cognitive health through behavioral strategies. Current evidence suggests that physical activity (PA) and sedentary behavior are important for cognition. However, it is unclear whether there are differences in PA and sedentary behavior between people with probable MCI and people without MCI or whether the relationships of PA and sedentary behavior with cognitive function differ by MCI status. Objective: The aims of this study were to examine differences in PA and sedentary behavior between people with probable MCI and people without MCI and whether associations of PA and sedentary behavior with cognitive function differed by MCI status. Design: This was a cross-sectional study. Methods: Physical activity and sedentary behavior in adults dwelling in the community (N = 151; at least 55 years old) were measured using a wrist-worn actigraphy unit. The Montreal Cognitive Assessment was used to categorize participants with probable MCI (scores of &lt;26/30) and participants without MCI (scores of &gt;/=26/30). Cognitive function was indexed using the Alzheimer Disease Assessment Scale-Cognitive-Plus (ADAS-Cog Plus). Physical activity and sedentary behavior were compared based on probable MCI status, and relationships of ADAS-Cog Plus with PA and sedentary behavior were examined by probable MCI status. Results: Participants with probable MCI (n = 82) had lower PA and higher sedentary behavior than participants without MCI (n = 69). Higher PA and lower sedentary behavior were associated with better ADAS-Cog Plus performance in participants without MCI (beta = -.022 and beta = .012, respectively) but not in participants with probable MCI (beta &lt; .001 for both). Limitations: This study was cross-sectional and therefore could not establish whether conversion to MCI attenuated the relationships of PA and sedentary behavior with cognitive function. The diagnosis of MCI was not confirmed with a physician; therefore, this study could not conclude how many of the participants categorized as having probable MCI would actually have been diagnosed with MCI by a physician. Conclusions: Participants with probable MCI were less active and more sedentary. The relationships of these behaviors with cognitive function differed by MCI status; associations were found only in participants without MCI.","author":[{"dropping-particle":"","family":"Falck","given":"R S","non-dropping-particle":"","parse-names":false,"suffix":""},{"dropping-particle":"","family":"Landry","given":"G J","non-dropping-particle":"","parse-names":false,"suffix":""},{"dropping-particle":"","family":"Best","given":"J R","non-dropping-particle":"","parse-names":false,"suffix":""},{"dropping-particle":"","family":"Davis","given":"J C","non-dropping-particle":"","parse-names":false,"suffix":""},{"dropping-particle":"","family":"Chiu","given":"B K","non-dropping-particle":"","parse-names":false,"suffix":""},{"dropping-particle":"","family":"Liu-Ambrose","given":"T","non-dropping-particle":"","parse-names":false,"suffix":""}],"container-title":"Phys Ther","edition":"2017/10/17","id":"ITEM-1","issue":"10","issued":{"date-parts":[["2017"]]},"language":"eng","note":"1538-6724\nFalck, Ryan S\nLandry, Glenn J\nBest, John R\nDavis, Jennifer C\nChiu, Bryan K\nLiu-Ambrose, Teresa\nJournal Article\nUnited States\nPhys Ther. 2017 Oct 1;97(10):975-984. doi: 10.1093/ptj/pzx074.","page":"975-984","publisher-place":"Faculty of Medicine, Aging, Mobility and Cognitive Neuroscience Laboratory, Djavad Mowafaghian Centre for Brain Health, University of British Columbia, Vancouver, British Columbia, Canada. Faculty of Medicine, Aging, Mobility and Cognitive Neuroscience La","title":"Cross-Sectional Relationships of Physical Activity and Sedentary Behavior With Cognitive Function in Older Adults With Probable Mild Cognitive Impairment","type":"article-journal","volume":"97"},"uris":["http://www.mendeley.com/documents/?uuid=5299ed98-e51d-4fd0-b473-1c176b278529"]}],"mendeley":{"formattedCitation":"(Falck et al., 2017)","plainTextFormattedCitation":"(Falck et al., 2017)","previouslyFormattedCitation":"(Falck et al., 2017)"},"properties":{"noteIndex":0},"schema":"https://github.com/citation-style-language/schema/raw/master/csl-citation.json"}</w:instrText>
      </w:r>
      <w:r w:rsidR="00FC66C8">
        <w:fldChar w:fldCharType="separate"/>
      </w:r>
      <w:r w:rsidR="00FC66C8" w:rsidRPr="00FC66C8">
        <w:rPr>
          <w:noProof/>
        </w:rPr>
        <w:t>(Falck et al., 2017)</w:t>
      </w:r>
      <w:r w:rsidR="00FC66C8">
        <w:fldChar w:fldCharType="end"/>
      </w:r>
      <w:r w:rsidR="00FC66C8">
        <w:t xml:space="preserve">. </w:t>
      </w:r>
      <w:r w:rsidR="00C76393">
        <w:t xml:space="preserve">However, </w:t>
      </w:r>
      <w:r w:rsidR="005D7651">
        <w:t>the study did not find associations between cognitive scores and the levels of sedentary behaviour in people with MCI, likely due to their M</w:t>
      </w:r>
      <w:r w:rsidR="000E6B4B">
        <w:t>CI</w:t>
      </w:r>
      <w:r w:rsidR="005D7651">
        <w:t xml:space="preserve"> status not diagnosed by a doctor. </w:t>
      </w:r>
    </w:p>
    <w:p w14:paraId="427C0E9C" w14:textId="77777777" w:rsidR="002F0FB9" w:rsidRDefault="001E0D58" w:rsidP="00540F04">
      <w:pPr>
        <w:pStyle w:val="MDPI31text"/>
      </w:pPr>
      <w:r>
        <w:t xml:space="preserve">A </w:t>
      </w:r>
      <w:r w:rsidR="00E47C23">
        <w:t xml:space="preserve">review of strategies to reduce sedentary behaviour among adults found that the most promising interventions used </w:t>
      </w:r>
      <w:proofErr w:type="spellStart"/>
      <w:r w:rsidR="00E47C23">
        <w:t>behavioural</w:t>
      </w:r>
      <w:proofErr w:type="spellEnd"/>
      <w:r w:rsidR="00E47C23">
        <w:t xml:space="preserve"> change techniques such as self-monitoring and problem solving</w:t>
      </w:r>
      <w:r w:rsidR="00DE3E27">
        <w:t xml:space="preserve"> </w:t>
      </w:r>
      <w:r w:rsidR="00E47C23">
        <w:fldChar w:fldCharType="begin" w:fldLock="1"/>
      </w:r>
      <w:r w:rsidR="00274AEF">
        <w:instrText>ADDIN CSL_CITATION {"citationItems":[{"id":"ITEM-1","itemData":{"DOI":"10.1080/17437199.2015.1082146","ISSN":"17437202","abstract":"Sedentary behaviour – i.e., low energy-expending waking behaviour while seated or lying down – is a health risk factor, even when controlling for physical activity. This review sought to describe the behaviour change strategies used within interventions that have sought to reduce sedentary behaviour in adults. Studies were identified through existing literature reviews, a systematic database search, and hand-searches of eligible papers. Interventions were categorised as ‘very promising’, ‘quite promising’, or ‘non-promising’ according to observed behaviour changes. Intervention functions and behaviour change techniques were compared across promising and non-promising interventions. Twenty-six eligible studies reported thirty-eight interventions, of which twenty (53%) were worksite-based. Fifteen interventions (39%) were very promising, eight quite promising (21%), and fifteen non-promising (39%). Very or quite promising interventions tended to have targeted sedentary behaviour instead of physical activity. Interventions based on environmental restructuring, persuasion, or education were most promising. Self-monitoring, problem solving, and restructuring the social or physical environment were particularly promising behaviour change techniques. Future sedentary reduction interventions might most fruitfully incorporate environmental modification and self-regulatory skills training. The evidence base is, however, weakened by low-quality evaluation methods; more RCTs, employing no-treatment control groups, and collecting objective data are needed.","author":[{"dropping-particle":"","family":"Gardner","given":"Benjamin","non-dropping-particle":"","parse-names":false,"suffix":""},{"dropping-particle":"","family":"Smith","given":"Lee","non-dropping-particle":"","parse-names":false,"suffix":""},{"dropping-particle":"","family":"Lorencatto","given":"Fabiana","non-dropping-particle":"","parse-names":false,"suffix":""},{"dropping-particle":"","family":"Hamer","given":"Mark","non-dropping-particle":"","parse-names":false,"suffix":""},{"dropping-particle":"","family":"Biddle","given":"Stuart J.H.","non-dropping-particle":"","parse-names":false,"suffix":""}],"container-title":"Health Psychology Review","id":"ITEM-1","issue":"1","issued":{"date-parts":[["2016"]]},"title":"How to reduce sitting time? A review of behaviour change strategies used in sedentary behaviour reduction interventions among adults","type":"article-journal","volume":"10"},"uris":["http://www.mendeley.com/documents/?uuid=db3aa37f-678f-3621-b6d0-b9bc9fd83c5b"]}],"mendeley":{"formattedCitation":"(Gardner, Smith, Lorencatto, Hamer, &amp; Biddle, 2016)","plainTextFormattedCitation":"(Gardner, Smith, Lorencatto, Hamer, &amp; Biddle, 2016)","previouslyFormattedCitation":"(Gardner, Smith, Lorencatto, Hamer, &amp; Biddle, 2016)"},"properties":{"noteIndex":0},"schema":"https://github.com/citation-style-language/schema/raw/master/csl-citation.json"}</w:instrText>
      </w:r>
      <w:r w:rsidR="00E47C23">
        <w:fldChar w:fldCharType="separate"/>
      </w:r>
      <w:r w:rsidR="00274AEF" w:rsidRPr="00274AEF">
        <w:rPr>
          <w:noProof/>
        </w:rPr>
        <w:t>(Gardner, Smith, Lorencatto, Hamer, &amp; Biddle, 2016)</w:t>
      </w:r>
      <w:r w:rsidR="00E47C23">
        <w:fldChar w:fldCharType="end"/>
      </w:r>
      <w:r w:rsidR="00240C29">
        <w:fldChar w:fldCharType="begin" w:fldLock="1"/>
      </w:r>
      <w:r w:rsidR="00240C29">
        <w:instrText>ADDIN CSL_CITATION {"citationItems":[{"id":"ITEM-1","itemData":{"DOI":"10.1186/s12966-020-00957-0","ISSN":"14795868","PMID":"32334631","abstract":"Background: Evidence suggests that sedentary behaviour (SB) is associated with poor health outcomes. SB at any age may have significant consequences for health and well-being and interventions targeting SB are accumulating. Therefore, the need to review the effects of multicomponent, complex interventions that incorporate effective strategies to reduce SB are essential. Methods: A systematic review and meta-analysis were conducted investigating the impact of interventions targeting SB across the lifespan. Six databases were searched and two review authors independently screened studies for eligibility, completed data extraction and assessed the risk of bias and complexity of each of the included studies. Results: A total of 77 adult studies (n=62, RCTs) and 84 studies (n=62, RCTs) in children were included. The findings demonstrated that interventions in adults when compared to active controls resulted in non-significant reductions in SB, although when compared to inactive controls significant reductions were found in both the short (MD -56.86; 95%CI -74.10, -39.63; n=4632; I2 83%) and medium-to-long term (MD -20.14; 95%CI -34.13, -6.16; n=4537; I2 65%). The findings demonstrated that interventions in children when compared to active controls may lead to relevant reductions in daily sedentary time in the short-term (MD -59.90; 95%CI -102.16, -17.65; n=267; I2 86%), while interventions in children when compared to inactive controls may lead to relevant reductions in the short-term (MD -25.86; 95%CI -40.77, -10.96; n=9480; I2 98%) and medium-to-long term (MD -14.02; 95%CI -19.49, -8.55; n=41,138; I2 98%). The assessment of complexity suggested that interventions may need to be suitably complex to address the challenges of a complex behaviour such as SB, but demonstrated that a higher complexity score is not necessarily associated with better outcomes in terms of sustained long-term changes. Conclusions: Interventions targeting reductions in SB have been shown to be successful, especially environmental interventions in both children and adults. More needs to be known about how best to optimise intervention effects. Future intervention studies should apply more rigorous methods to improve research quality, considering larger sample sizes, randomised controlled designs and valid and reliable measures of SB.","author":[{"dropping-particle":"","family":"Blackburn","given":"Nicole E.","non-dropping-particle":"","parse-names":false,"suffix":""},{"dropping-particle":"","family":"Wilson","given":"Jason J.","non-dropping-particle":"","parse-names":false,"suffix":""},{"dropping-particle":"","family":"McMullan","given":"Ilona I.","non-dropping-particle":"","parse-names":false,"suffix":""},{"dropping-particle":"","family":"Caserotti","given":"Paolo","non-dropping-particle":"","parse-names":false,"suffix":""},{"dropping-particle":"","family":"Giné-Garriga","given":"Maria","non-dropping-particle":"","parse-names":false,"suffix":""},{"dropping-particle":"","family":"Wirth","given":"Katharina","non-dropping-particle":"","parse-names":false,"suffix":""},{"dropping-particle":"","family":"Coll-Planas","given":"Laura","non-dropping-particle":"","parse-names":false,"suffix":""},{"dropping-particle":"","family":"Alias","given":"Sergi Blancafort","non-dropping-particle":"","parse-names":false,"suffix":""},{"dropping-particle":"","family":"Roqué","given":"Marta","non-dropping-particle":"","parse-names":false,"suffix":""},{"dropping-particle":"","family":"Deidda","given":"Manuela","non-dropping-particle":"","parse-names":false,"suffix":""},{"dropping-particle":"","family":"Kunzmann","given":"Andrew T.","non-dropping-particle":"","parse-names":false,"suffix":""},{"dropping-particle":"","family":"Dallmeier","given":"Dhayana","non-dropping-particle":"","parse-names":false,"suffix":""},{"dropping-particle":"","family":"Tully","given":"Mark A.","non-dropping-particle":"","parse-names":false,"suffix":""}],"container-title":"International Journal of Behavioral Nutrition and Physical Activity","id":"ITEM-1","issued":{"date-parts":[["2020"]]},"title":"The effectiveness and complexity of interventions targeting sedentary behaviour across the lifespan: A systematic review and meta-analysis","type":"article-journal"},"uris":["http://www.mendeley.com/documents/?uuid=a2a57cd3-a3ae-4c17-9da8-94ae840b097a"]}],"mendeley":{"formattedCitation":"(Blackburn et al., 2020)","plainTextFormattedCitation":"(Blackburn et al., 2020)","previouslyFormattedCitation":"(Blackburn et al., 2020)"},"properties":{"noteIndex":0},"schema":"https://github.com/citation-style-language/schema/raw/master/csl-citation.json"}</w:instrText>
      </w:r>
      <w:r w:rsidR="00240C29">
        <w:fldChar w:fldCharType="separate"/>
      </w:r>
      <w:r w:rsidR="00240C29" w:rsidRPr="00240C29">
        <w:rPr>
          <w:noProof/>
        </w:rPr>
        <w:t>(Blackburn et al., 2020)</w:t>
      </w:r>
      <w:r w:rsidR="00240C29">
        <w:fldChar w:fldCharType="end"/>
      </w:r>
      <w:r w:rsidR="00E47C23">
        <w:t xml:space="preserve">. </w:t>
      </w:r>
      <w:r w:rsidR="00E47C23" w:rsidRPr="00D572E9">
        <w:t xml:space="preserve">A separate systematic review of interventions to reduce sedentary behavior in non-working older adults found that interventions which incorporated goal setting, individualized feedback, motivational sessions reduced objectively measured sitting time by 3.2%-5.3% of waking time or up to 54 minutes per day </w:t>
      </w:r>
      <w:r w:rsidR="00E47C23" w:rsidRPr="00D572E9">
        <w:fldChar w:fldCharType="begin" w:fldLock="1"/>
      </w:r>
      <w:r w:rsidR="00274AEF">
        <w:instrText>ADDIN CSL_CITATION {"citationItems":[{"id":"ITEM-1","itemData":{"DOI":"10.1016/j.maturitas.2018.08.002","abstract":"Sedentary behavior has been found to be associated with negative health\noutcomes independently of physical activity in older adults. This\nsystematic review collates interventions to reduce sedentary behavior in\nnon-working older adults, assessing whether they are effective,\nfeasible, and safe. A systematic search identified 2560 studies across\nfive databases. Studies were included where participants were &gt;= 60\nyears on average with none younger than 45, and participants did not\nwork &gt; 2 days per week. A total of six studies were identified, three of\nwhich included control groups, while the other three were\nrepeated-measures pre-post designs. Only one study randomised\nparticipants. The overall level of quality of included studies was poor.\nA narrative synthesis was conducted, as the level of heterogeneity in\noutcomes and outcome reporting were too high for a meta-analysis to be\nperformed. The narrative synthesis suggested that interventions have the\npotential to reduce sitting time in non-working older adults. Included\nstudies reported feasible and safe implementations of their\ninterventions in most samples, except for one subsample from a study of\npeople in sheltered housing. Objectively measured reductions in sitting\ntime were between 3.2% and 5.3% of waking time, or up to 53.9 min per\nday. Future studies should employ more rigorous designs to assess the\neffects of reducing sedentary behavior on health and physical function,\nand should include follow-ups to measure the duration of behavior\nchange.","author":[{"dropping-particle":"","family":"Aunger","given":"Justin Avery","non-dropping-particle":"","parse-names":false,"suffix":""},{"dropping-particle":"","family":"Doody","given":"Paul","non-dropping-particle":"","parse-names":false,"suffix":""},{"dropping-particle":"","family":"Greig","given":"Carolyn Anne","non-dropping-particle":"","parse-names":false,"suffix":""}],"container-title":"MATURITAS","id":"ITEM-1","issued":{"date-parts":[["2018","10"]]},"page":"89-99","title":"Interventions targeting sedentary behavior in non-working older adults: a systematic review","type":"article-journal","volume":"116"},"uris":["http://www.mendeley.com/documents/?uuid=2c813316-15a6-4d39-9d2d-4a72908abcde"]}],"mendeley":{"formattedCitation":"(Aunger, Doody, &amp; Greig, 2018)","plainTextFormattedCitation":"(Aunger, Doody, &amp; Greig, 2018)","previouslyFormattedCitation":"(Aunger, Doody, &amp; Greig, 2018)"},"properties":{"noteIndex":0},"schema":"https://github.com/citation-style-language/schema/raw/master/csl-citation.json"}</w:instrText>
      </w:r>
      <w:r w:rsidR="00E47C23" w:rsidRPr="00D572E9">
        <w:fldChar w:fldCharType="separate"/>
      </w:r>
      <w:r w:rsidR="00274AEF" w:rsidRPr="00274AEF">
        <w:rPr>
          <w:noProof/>
        </w:rPr>
        <w:t>(Aunger, Doody, &amp; Greig, 2018)</w:t>
      </w:r>
      <w:r w:rsidR="00E47C23" w:rsidRPr="00D572E9">
        <w:fldChar w:fldCharType="end"/>
      </w:r>
      <w:r w:rsidR="00E47C23" w:rsidRPr="00D572E9">
        <w:t xml:space="preserve">. </w:t>
      </w:r>
      <w:r w:rsidR="001377AC">
        <w:t>The use of the internet and web-based mobile devices for health promotion are increasing among older adults.</w:t>
      </w:r>
      <w:r w:rsidR="00272DB1">
        <w:t xml:space="preserve"> This trend is likely to continue due to</w:t>
      </w:r>
      <w:r w:rsidR="00240C29">
        <w:t xml:space="preserve"> increase in general</w:t>
      </w:r>
      <w:r w:rsidR="00B540E2">
        <w:t xml:space="preserve"> internet use among adults aged 65+ years</w:t>
      </w:r>
      <w:r w:rsidR="00272DB1">
        <w:t xml:space="preserve">, particularly </w:t>
      </w:r>
      <w:r w:rsidR="00240C29">
        <w:t xml:space="preserve">as the nation emerge from the </w:t>
      </w:r>
      <w:r w:rsidR="00272DB1">
        <w:t>height of COVID-19 pandemic lockdown</w:t>
      </w:r>
      <w:r w:rsidR="00DB3979">
        <w:t xml:space="preserve"> </w:t>
      </w:r>
      <w:r w:rsidR="00240C29">
        <w:fldChar w:fldCharType="begin" w:fldLock="1"/>
      </w:r>
      <w:r w:rsidR="00DB3979">
        <w:instrText>ADDIN CSL_CITATION {"citationItems":[{"id":"ITEM-1","itemData":{"author":[{"dropping-particle":"","family":"Ofcom","given":"","non-dropping-particle":"","parse-names":false,"suffix":""}],"id":"ITEM-1","issued":{"date-parts":[["2020"]]},"title":"UK's internet use surges to record levels","type":"webpage"},"uris":["http://www.mendeley.com/documents/?uuid=be220c63-79a7-41a9-b8af-a11bf57a876c"]}],"mendeley":{"formattedCitation":"(Ofcom, 2020)","plainTextFormattedCitation":"(Ofcom, 2020)","previouslyFormattedCitation":"(Ofcom, 2020)"},"properties":{"noteIndex":0},"schema":"https://github.com/citation-style-language/schema/raw/master/csl-citation.json"}</w:instrText>
      </w:r>
      <w:r w:rsidR="00240C29">
        <w:fldChar w:fldCharType="separate"/>
      </w:r>
      <w:r w:rsidR="00240C29" w:rsidRPr="00240C29">
        <w:rPr>
          <w:noProof/>
        </w:rPr>
        <w:t>(Ofcom, 2020)</w:t>
      </w:r>
      <w:r w:rsidR="00240C29">
        <w:fldChar w:fldCharType="end"/>
      </w:r>
      <w:r w:rsidR="00B540E2">
        <w:t xml:space="preserve">. </w:t>
      </w:r>
      <w:r w:rsidR="00240C29">
        <w:t xml:space="preserve">Also, web-based health promotion is cheaper to deliver and may overcome usual barriers to participation in healthy </w:t>
      </w:r>
      <w:proofErr w:type="spellStart"/>
      <w:r w:rsidR="00240C29">
        <w:t>behaviours</w:t>
      </w:r>
      <w:proofErr w:type="spellEnd"/>
      <w:r w:rsidR="00240C29">
        <w:t xml:space="preserve"> such as time commitment and inability to access facilities</w:t>
      </w:r>
      <w:r w:rsidR="00DB3979">
        <w:t xml:space="preserve"> </w:t>
      </w:r>
      <w:r w:rsidR="00DB3979">
        <w:fldChar w:fldCharType="begin" w:fldLock="1"/>
      </w:r>
      <w:r w:rsidR="00DB3979">
        <w:instrText>ADDIN CSL_CITATION {"citationItems":[{"id":"ITEM-1","itemData":{"DOI":"10.1186/s12889-020-08927-8","ISSN":"14712458","PMID":"32527251","abstract":"Background: It remains unclear how physical activity (PA) interventions need to be designed to reach older adults and to be widely accepted in this target group. The aim of this study was to assess the acceptance of a web-based PA program, including individual intervention components as well as relevant contextual factors, and to specify requirements for future interventions. Methods: Two hundred sixty-six participants of a PA intervention completed a questionnaire covering individual program components (content, structure, and context). Further, 25 episodic guided interviews focusing on reasons for (non-) participation were conducted with 8 participants and 17 non-participants. Following qualitative content analysis, different requirements were identified and organized based on the social-ecological model, resulting in a profile of requirements. Results: Based on the participants' and non-participants' statements, six different levels of requirements affecting acceptance of and successful participation in a web-based PA intervention were identified. The individual fit was influenced by an interaction of different factors at the intrapersonal, sociocultural, content, spatial, digital and organizational levels. Several age- and gender-specific requirements were noted in the interviewed older adults. Men and women, as well as younger (&lt; 70 years) and older (≥70 years) adults differed in terms of perceived enjoyment and benefits of socializing while exercising together, the time expenditure perceived to be acceptable, previous digital skills, as well as in perceptions that ambience and accessibility of exercise facilities in the neighborhood were important. Conclusions: To motivate older adults to engage in PA and address different needs in terms of life circumstances and quality of life as well as differences in technical affinity, different requirement profiles should be included in the process of intervention development and implementation. Participatory development loops and modular offer formats are recommended for this.","author":[{"dropping-particle":"","family":"Wichmann","given":"Frauke","non-dropping-particle":"","parse-names":false,"suffix":""},{"dropping-particle":"","family":"Wichmann","given":"Frauke","non-dropping-particle":"","parse-names":false,"suffix":""},{"dropping-particle":"","family":"Pischke","given":"Claudia R.","non-dropping-particle":"","parse-names":false,"suffix":""},{"dropping-particle":"","family":"Jürgens","given":"Dorothee","non-dropping-particle":"","parse-names":false,"suffix":""},{"dropping-particle":"","family":"Darmann-Finck","given":"Ingrid","non-dropping-particle":"","parse-names":false,"suffix":""},{"dropping-particle":"","family":"Koppelin","given":"Frauke","non-dropping-particle":"","parse-names":false,"suffix":""},{"dropping-particle":"","family":"Lippke","given":"Sonia","non-dropping-particle":"","parse-names":false,"suffix":""},{"dropping-particle":"","family":"Pauls","given":"Alexander","non-dropping-particle":"","parse-names":false,"suffix":""},{"dropping-particle":"","family":"Peters","given":"Manuela","non-dropping-particle":"","parse-names":false,"suffix":""},{"dropping-particle":"","family":"Peters","given":"Manuela","non-dropping-particle":"","parse-names":false,"suffix":""},{"dropping-particle":"","family":"Voelcker-Rehage","given":"Claudia","non-dropping-particle":"","parse-names":false,"suffix":""},{"dropping-particle":"","family":"Voelcker-Rehage","given":"Claudia","non-dropping-particle":"","parse-names":false,"suffix":""},{"dropping-particle":"","family":"Muellmann","given":"Saskia","non-dropping-particle":"","parse-names":false,"suffix":""}],"container-title":"BMC Public Health","id":"ITEM-1","issued":{"date-parts":[["2020"]]},"title":"Requirements for (web-based) physical activity interventions targeting adults above the age of 65 years - Qualitative results regarding acceptance and needs of participants and non-participants","type":"article-journal"},"uris":["http://www.mendeley.com/documents/?uuid=e97a35d3-fa3c-4278-87aa-613c0aef4670"]}],"mendeley":{"formattedCitation":"(Wichmann et al., 2020)","plainTextFormattedCitation":"(Wichmann et al., 2020)","previouslyFormattedCitation":"(Wichmann et al., 2020)"},"properties":{"noteIndex":0},"schema":"https://github.com/citation-style-language/schema/raw/master/csl-citation.json"}</w:instrText>
      </w:r>
      <w:r w:rsidR="00DB3979">
        <w:fldChar w:fldCharType="separate"/>
      </w:r>
      <w:r w:rsidR="00DB3979" w:rsidRPr="00DB3979">
        <w:rPr>
          <w:noProof/>
        </w:rPr>
        <w:t>(Wichmann et al., 2020)</w:t>
      </w:r>
      <w:r w:rsidR="00DB3979">
        <w:fldChar w:fldCharType="end"/>
      </w:r>
      <w:r w:rsidR="00240C29">
        <w:t>. In relation to their effectiveness, a</w:t>
      </w:r>
      <w:r w:rsidR="00272DB1">
        <w:t xml:space="preserve"> </w:t>
      </w:r>
      <w:r w:rsidRPr="00D572E9">
        <w:t xml:space="preserve">meta-analysis of digital behavior change interventions (DBCI) in older adults </w:t>
      </w:r>
      <w:r w:rsidR="0079793A">
        <w:t>indicated</w:t>
      </w:r>
      <w:r w:rsidRPr="00D572E9">
        <w:t xml:space="preserve"> that using platforms such as mobile applications, websites, wearable devices reduced sedentary time by 58 minutes per day (SMD = −0.45; 95%CI −0.69, −0.19; p &lt; 0.001)</w:t>
      </w:r>
      <w:r>
        <w:t xml:space="preserve"> </w:t>
      </w:r>
      <w:r w:rsidRPr="00D572E9">
        <w:fldChar w:fldCharType="begin" w:fldLock="1"/>
      </w:r>
      <w:r w:rsidRPr="00D572E9">
        <w:instrText>ADDIN CSL_CITATION {"citationItems":[{"id":"ITEM-1","itemData":{"DOI":"10.1016/j.exger.2019.02.020","abstract":"Background: Physical activity and sedentary behavior are modifiable risk\nfactors for non-communicable disease and healthy ageing, however the\nmajority of older adults remain insufficiently active. Digital behavior\nchange interventions (DBCI) have the potential to reach many older\nadults to promote physical activity and reduce sedentary time. This\nstudy aims to assess the efficacy of DBCI interventions in older adults\n(&gt;= 50 years) on physical activity and sedentary behavior.\nMethods: A systematic review of major databases from inception to\n03/2018 was undertaken. Randomized controlled trials (RCT) or pre-post\ninterventions assessing effects of DBCI on physical activity and/or\nsedentary behavior in older adults (&gt;= 50 years) were included. Random\neffects meta-analyses were carried out.\nResults: Twenty-two studies were included, including 1757 older adults\n(mean age = 67 years, % male = 41), 68% showed moderate-high risk of\nbias. Meta-analyses suggested that DBCI increased total physical\nactivity among RCT studies (n = 8) (SMD = 0.28; 95% CI 0.01, 0.56; p =\n0.04) and pre-post studies (n = 6) (SMD = 0.25; 95% CI 0.09, 0.41; p =\n0.002), increased moderate-to-vigorous physical activity (SMD = 0.47;\n95% CI 0.32, 0.62, p &lt; 0.001; MD = 52 min/week) and reduced sedentary\ntime (SMD = -0.45; 95% CI -0.69, -0.19; p &lt; 0.001; MD = 58 min/day).\nReductions in systolic blood pressure (-11 bpm; p = 0.04) and\nimprovements in physical functioning (p = 0.03) were also observed.\nConclusions: DBCI may increase physical activity and physical\nfunctioning, and reduce sedentary time and systolic blood pressure in\nolder adults, however more high-quality studies are required.","author":[{"dropping-particle":"","family":"Stockwell","given":"Stephanie","non-dropping-particle":"","parse-names":false,"suffix":""},{"dropping-particle":"","family":"Schofield","given":"Patricia","non-dropping-particle":"","parse-names":false,"suffix":""},{"dropping-particle":"","family":"Fisher","given":"Abi","non-dropping-particle":"","parse-names":false,"suffix":""},{"dropping-particle":"","family":"Firth","given":"Joseph","non-dropping-particle":"","parse-names":false,"suffix":""},{"dropping-particle":"","family":"Jackson","given":"Sarah E","non-dropping-particle":"","parse-names":false,"suffix":""},{"dropping-particle":"","family":"Stubbs","given":"Brendon","non-dropping-particle":"","parse-names":false,"suffix":""},{"dropping-particle":"","family":"Smith","given":"Lee","non-dropping-particle":"","parse-names":false,"suffix":""}],"container-title":"EXPERIMENTAL GERONTOLOGY","id":"ITEM-1","issued":{"date-parts":[["2019","6"]]},"page":"68-87","title":"Digital behavior change interventions to promote physical activity and/or reduce sedentary behavior in older adults: A systematic review and meta-analysis","type":"article-journal","volume":"120"},"uris":["http://www.mendeley.com/documents/?uuid=1a58c7af-e242-4959-9161-0bf4fcec4595"]}],"mendeley":{"formattedCitation":"(Stockwell et al., 2019)","plainTextFormattedCitation":"(Stockwell et al., 2019)","previouslyFormattedCitation":"(Stockwell et al., 2019)"},"properties":{"noteIndex":0},"schema":"https://github.com/citation-style-language/schema/raw/master/csl-citation.json"}</w:instrText>
      </w:r>
      <w:r w:rsidRPr="00D572E9">
        <w:fldChar w:fldCharType="separate"/>
      </w:r>
      <w:r w:rsidRPr="00D572E9">
        <w:rPr>
          <w:noProof/>
        </w:rPr>
        <w:t>(Stockwell et al., 2019)</w:t>
      </w:r>
      <w:r w:rsidRPr="00D572E9">
        <w:fldChar w:fldCharType="end"/>
      </w:r>
      <w:r w:rsidRPr="00D572E9">
        <w:t xml:space="preserve">. </w:t>
      </w:r>
    </w:p>
    <w:p w14:paraId="6CC5CF73" w14:textId="743E79A3" w:rsidR="00540F04" w:rsidRDefault="00540F04" w:rsidP="00540F04">
      <w:pPr>
        <w:pStyle w:val="MDPI31text"/>
      </w:pPr>
      <w:r>
        <w:t>Promoting the use of digital health intervention in the older people has challenges. A significant proportion of older adults in the UK are digitally excluded and never used the internet. The Office of National Statistics</w:t>
      </w:r>
      <w:r w:rsidR="00815337">
        <w:t xml:space="preserve"> estimated that 2.2 million adults aged 65+ years in the UK have not used the internet in the past 3 months and 72% of all digitally excluded is among those aged 65 years and older </w:t>
      </w:r>
      <w:r w:rsidR="00815337">
        <w:fldChar w:fldCharType="begin" w:fldLock="1"/>
      </w:r>
      <w:r w:rsidR="00073B9F">
        <w:instrText>ADDIN CSL_CITATION {"citationItems":[{"id":"ITEM-1","itemData":{"abstract":"The data tables on Internet Access show information about both households with home access to the Internet and individuals' use of the Internet. The National Statistics Omnibus Survey is the source for data on households and individuals. Prior to May 2005, household data was provided by the Expenditure and Food Survey (April 2001 to February 2005), and the Family Expenditure Survey (July 1999 to March 2001). The National Statistics Omnibus Survey is carried out by interviewing a nationally representative sample of households in the United Kingdom. About 2000 households in Great Britain provide information periodically about Internet access and also individuals' use of the Internet and other Information and Communication Technologies (ICTs).","author":[{"dropping-particle":"","family":"Office for National Statistics","given":"","non-dropping-particle":"","parse-names":false,"suffix":""}],"container-title":"Purchasing","id":"ITEM-1","issued":{"date-parts":[["2020"]]},"title":"Internet Access Households and Individuals, Great Britain: 2020","type":"article-journal"},"uris":["http://www.mendeley.com/documents/?uuid=ee37e705-8196-48fb-a00a-4080618a8cda"]}],"mendeley":{"formattedCitation":"(Office for National Statistics, 2020)","plainTextFormattedCitation":"(Office for National Statistics, 2020)","previouslyFormattedCitation":"(Office for National Statistics, 2020)"},"properties":{"noteIndex":0},"schema":"https://github.com/citation-style-language/schema/raw/master/csl-citation.json"}</w:instrText>
      </w:r>
      <w:r w:rsidR="00815337">
        <w:fldChar w:fldCharType="separate"/>
      </w:r>
      <w:r w:rsidR="00815337" w:rsidRPr="00815337">
        <w:rPr>
          <w:noProof/>
        </w:rPr>
        <w:t>(Office for National Statistics, 2020)</w:t>
      </w:r>
      <w:r w:rsidR="00815337">
        <w:fldChar w:fldCharType="end"/>
      </w:r>
      <w:r w:rsidR="00815337">
        <w:t>.</w:t>
      </w:r>
      <w:r>
        <w:t xml:space="preserve"> Although this may have improved in recent times and perhaps necessitated as a result of the COVID pandemic, this cohort of older adults are hampered by challenges, which may not have improved over time such as low income, live alone, mobility difficulty</w:t>
      </w:r>
      <w:r w:rsidR="001D0918">
        <w:t>, skills</w:t>
      </w:r>
      <w:r>
        <w:t xml:space="preserve"> and memory problems</w:t>
      </w:r>
      <w:r w:rsidR="00073B9F">
        <w:t xml:space="preserve"> </w:t>
      </w:r>
      <w:r w:rsidR="00073B9F">
        <w:fldChar w:fldCharType="begin" w:fldLock="1"/>
      </w:r>
      <w:r w:rsidR="00073B9F">
        <w:instrText>ADDIN CSL_CITATION {"citationItems":[{"id":"ITEM-1","itemData":{"abstract":"A review of the evidence on digital inclusion of older people in the UK, covering key aspects of digital inclusion connected with internet use. The paper suggests that it is possible that a tipping point has now been reached as for the first time the number of people aged 65+ who have used the internet has overtaken those who have never used it. The review examines: the factors associated with digital exclusion; what older people use the internet for; the benefits of internet use for older people, including alleviating loneliness and social isolation, supporting lifelong learning, health and wellbeing and access to public services; reasons for not using the internet; and interventions to reduce digital exclusion in old age. The review concludes with an analysis of trends in use and the future of digital inclusion.","author":[{"dropping-particle":"","family":"Green","given":"Marcus","non-dropping-particle":"","parse-names":false,"suffix":""},{"dropping-particle":"","family":"Rossall","given":"Phil","non-dropping-particle":"","parse-names":false,"suffix":""}],"container-title":"Age UK Digital Inclusion Evidence Report","id":"ITEM-1","issued":{"date-parts":[["2018"]]},"title":"Digital inclusion evidence review","type":"article-journal"},"uris":["http://www.mendeley.com/documents/?uuid=4fad6812-e254-4e17-a02e-152170ec15ba"]}],"mendeley":{"formattedCitation":"(Green &amp; Rossall, 2018)","plainTextFormattedCitation":"(Green &amp; Rossall, 2018)","previouslyFormattedCitation":"(Green &amp; Rossall, 2018)"},"properties":{"noteIndex":0},"schema":"https://github.com/citation-style-language/schema/raw/master/csl-citation.json"}</w:instrText>
      </w:r>
      <w:r w:rsidR="00073B9F">
        <w:fldChar w:fldCharType="separate"/>
      </w:r>
      <w:r w:rsidR="00073B9F" w:rsidRPr="00073B9F">
        <w:rPr>
          <w:noProof/>
        </w:rPr>
        <w:t>(Green &amp; Rossall, 2018)</w:t>
      </w:r>
      <w:r w:rsidR="00073B9F">
        <w:fldChar w:fldCharType="end"/>
      </w:r>
      <w:r>
        <w:t xml:space="preserve">. </w:t>
      </w:r>
      <w:r w:rsidR="001C2D72">
        <w:t xml:space="preserve">Implementing a simple and effective approach to </w:t>
      </w:r>
      <w:proofErr w:type="spellStart"/>
      <w:r w:rsidR="001C2D72">
        <w:t>behavioural</w:t>
      </w:r>
      <w:proofErr w:type="spellEnd"/>
      <w:r w:rsidR="001C2D72">
        <w:t xml:space="preserve"> change is also important. Previous research indicated that complex interventions with multiple </w:t>
      </w:r>
      <w:proofErr w:type="spellStart"/>
      <w:r w:rsidR="001C2D72">
        <w:t>behavioural</w:t>
      </w:r>
      <w:proofErr w:type="spellEnd"/>
      <w:r w:rsidR="001C2D72">
        <w:t xml:space="preserve"> change techniques (BCT) linked to multiple theories and models could reduce the uptake and effectiveness of such interventions</w:t>
      </w:r>
      <w:r w:rsidR="00073B9F">
        <w:t xml:space="preserve"> </w:t>
      </w:r>
      <w:r w:rsidR="00073B9F">
        <w:fldChar w:fldCharType="begin" w:fldLock="1"/>
      </w:r>
      <w:r w:rsidR="00073B9F">
        <w:instrText>ADDIN CSL_CITATION {"citationItems":[{"id":"ITEM-1","itemData":{"DOI":"10.1016/S2589-7500(19)30194-3","ISSN":"25897500","author":[{"dropping-particle":"","family":"Gulliford","given":"Martin","non-dropping-particle":"","parse-names":false,"suffix":""},{"dropping-particle":"","family":"Alageel","given":"Samah","non-dropping-particle":"","parse-names":false,"suffix":""}],"container-title":"The Lancet Digital Health","id":"ITEM-1","issued":{"date-parts":[["2019"]]},"title":"Digital health intervention at older ages","type":"article"},"uris":["http://www.mendeley.com/documents/?uuid=a6f44a18-c0e2-44e6-bdc7-64e5722dc55b"]}],"mendeley":{"formattedCitation":"(Gulliford &amp; Alageel, 2019)","plainTextFormattedCitation":"(Gulliford &amp; Alageel, 2019)","previouslyFormattedCitation":"(Gulliford &amp; Alageel, 2019)"},"properties":{"noteIndex":0},"schema":"https://github.com/citation-style-language/schema/raw/master/csl-citation.json"}</w:instrText>
      </w:r>
      <w:r w:rsidR="00073B9F">
        <w:fldChar w:fldCharType="separate"/>
      </w:r>
      <w:r w:rsidR="00073B9F" w:rsidRPr="00073B9F">
        <w:rPr>
          <w:noProof/>
        </w:rPr>
        <w:t>(Gulliford &amp; Alageel, 2019)</w:t>
      </w:r>
      <w:r w:rsidR="00073B9F">
        <w:fldChar w:fldCharType="end"/>
      </w:r>
      <w:r w:rsidR="001C2D72">
        <w:t>. The use of most effective BCTs in older people linked to a single specific relevant theory may be a better approach</w:t>
      </w:r>
      <w:r w:rsidR="00073B9F">
        <w:fldChar w:fldCharType="begin" w:fldLock="1"/>
      </w:r>
      <w:r w:rsidR="00073B9F">
        <w:instrText>ADDIN CSL_CITATION {"citationItems":[{"id":"ITEM-1","itemData":{"DOI":"10.1016/S2589-7500(19)30194-3","ISSN":"25897500","author":[{"dropping-particle":"","family":"Gulliford","given":"Martin","non-dropping-particle":"","parse-names":false,"suffix":""},{"dropping-particle":"","family":"Alageel","given":"Samah","non-dropping-particle":"","parse-names":false,"suffix":""}],"container-title":"The Lancet Digital Health","id":"ITEM-1","issued":{"date-parts":[["2019"]]},"title":"Digital health intervention at older ages","type":"article"},"uris":["http://www.mendeley.com/documents/?uuid=a6f44a18-c0e2-44e6-bdc7-64e5722dc55b"]}],"mendeley":{"formattedCitation":"(Gulliford &amp; Alageel, 2019)","plainTextFormattedCitation":"(Gulliford &amp; Alageel, 2019)","previouslyFormattedCitation":"(Gulliford &amp; Alageel, 2019)"},"properties":{"noteIndex":0},"schema":"https://github.com/citation-style-language/schema/raw/master/csl-citation.json"}</w:instrText>
      </w:r>
      <w:r w:rsidR="00073B9F">
        <w:fldChar w:fldCharType="separate"/>
      </w:r>
      <w:r w:rsidR="00073B9F" w:rsidRPr="00073B9F">
        <w:rPr>
          <w:noProof/>
        </w:rPr>
        <w:t>(Gulliford &amp; Alageel, 2019)</w:t>
      </w:r>
      <w:r w:rsidR="00073B9F">
        <w:fldChar w:fldCharType="end"/>
      </w:r>
      <w:r w:rsidR="001C2D72">
        <w:t xml:space="preserve">. For instance, French et al (2014) confirmed in a systematic review that many self-regulation interventions used in younger </w:t>
      </w:r>
      <w:r w:rsidR="00073B9F">
        <w:t>people</w:t>
      </w:r>
      <w:r w:rsidR="001C2D72">
        <w:t xml:space="preserve"> may not be appropriate in older adults</w:t>
      </w:r>
      <w:r w:rsidR="002B1858">
        <w:t xml:space="preserve"> and suggested that </w:t>
      </w:r>
      <w:r w:rsidR="001D0918">
        <w:t>BCTs such as barrier identification/problem solving</w:t>
      </w:r>
      <w:r w:rsidR="00C621BC">
        <w:t xml:space="preserve"> and </w:t>
      </w:r>
      <w:r w:rsidR="001D0918">
        <w:t>providing rewards contingent on successful behaviour</w:t>
      </w:r>
      <w:r w:rsidR="00073B9F">
        <w:t xml:space="preserve"> were more effective in improving physical activity uptake in older people </w:t>
      </w:r>
      <w:r w:rsidR="00073B9F">
        <w:fldChar w:fldCharType="begin" w:fldLock="1"/>
      </w:r>
      <w:r w:rsidR="003A78C5">
        <w:instrText>ADDIN CSL_CITATION {"citationItems":[{"id":"ITEM-1","itemData":{"DOI":"10.1007/s12160-014-9593-z","ISSN":"08836612","PMID":"24648017","abstract":"Methods: A systematic search identified 24 eligible studies reporting change in self-efficacy for physical activity following an intervention. Moderator analyses examined whether the inclusion of specific BCTs (as defined by CALO-RE taxonomy) was associated with changes in self-efficacy and physical activity behaviour.\nResults: Overall, interventions increased self-efficacy (d = 0.37) and physical activity (d = 0.14). Self-regulatory techniques such as setting behavioural goals, prompting self-monitoring of behaviour, planning for relapses, providing normative information and providing feedback on performance were associated with lower levels of both self-efficacy and physical activity.\nConclusions: Many commonly used self-regulation intervention techniques that are effective for younger adults may not be effective for older adults.\nPurpose: The aim of this review was to identify behaviour change techniques (BCTs) that increase self-efficacy and physical activity behaviour in non-clinical community-dwelling adults 60 years or over.\nBackground: Increasing self-efficacy is an effective mechanism for increasing physical activity, especially for older people.","author":[{"dropping-particle":"","family":"French","given":"David P.","non-dropping-particle":"","parse-names":false,"suffix":""},{"dropping-particle":"","family":"Olander","given":"Ellinor K.","non-dropping-particle":"","parse-names":false,"suffix":""},{"dropping-particle":"","family":"Chisholm","given":"Anna","non-dropping-particle":"","parse-names":false,"suffix":""},{"dropping-particle":"","family":"Mc Sharry","given":"Jennifer","non-dropping-particle":"","parse-names":false,"suffix":""}],"container-title":"Annals of Behavioral Medicine","id":"ITEM-1","issued":{"date-parts":[["2014"]]},"title":"Which Behaviour Change Techniques Are Most Effective at Increasing Older Adults’ Self-Efficacy and Physical Activity Behaviour? A Systematic Review","type":"article-journal"},"uris":["http://www.mendeley.com/documents/?uuid=d814e3b2-7341-4761-80a0-f5d0260a4385"]}],"mendeley":{"formattedCitation":"(French, Olander, Chisholm, &amp; Mc Sharry, 2014)","plainTextFormattedCitation":"(French, Olander, Chisholm, &amp; Mc Sharry, 2014)","previouslyFormattedCitation":"(French, Olander, Chisholm, &amp; Mc Sharry, 2014)"},"properties":{"noteIndex":0},"schema":"https://github.com/citation-style-language/schema/raw/master/csl-citation.json"}</w:instrText>
      </w:r>
      <w:r w:rsidR="00073B9F">
        <w:fldChar w:fldCharType="separate"/>
      </w:r>
      <w:r w:rsidR="00073B9F" w:rsidRPr="00073B9F">
        <w:rPr>
          <w:noProof/>
        </w:rPr>
        <w:t>(French, Olander, Chisholm, &amp; Mc Sharry, 2014)</w:t>
      </w:r>
      <w:r w:rsidR="00073B9F">
        <w:fldChar w:fldCharType="end"/>
      </w:r>
      <w:r w:rsidR="00C621BC">
        <w:t>.</w:t>
      </w:r>
      <w:r w:rsidR="002B1858">
        <w:t xml:space="preserve"> </w:t>
      </w:r>
    </w:p>
    <w:p w14:paraId="1C7FFBB4" w14:textId="13151160" w:rsidR="005A311A" w:rsidRDefault="00160A9C" w:rsidP="00073B9F">
      <w:pPr>
        <w:pStyle w:val="MDPI31text"/>
      </w:pPr>
      <w:r>
        <w:t xml:space="preserve">In light of the aforementioned evidence, </w:t>
      </w:r>
      <w:r w:rsidR="00B93F26">
        <w:t>we propose to</w:t>
      </w:r>
      <w:r>
        <w:t xml:space="preserve"> test the feasibility of an</w:t>
      </w:r>
      <w:r w:rsidR="00B93F26">
        <w:t xml:space="preserve"> established intervention-</w:t>
      </w:r>
      <w:r w:rsidR="00E47C23" w:rsidRPr="00D572E9">
        <w:t xml:space="preserve">The </w:t>
      </w:r>
      <w:r w:rsidR="00E47C23">
        <w:t>WALC intervention (Walk; Address sensations; Learn; Cue)</w:t>
      </w:r>
      <w:r>
        <w:t xml:space="preserve"> in older adults at risk of cognitive decline with a view to </w:t>
      </w:r>
      <w:r w:rsidRPr="00D572E9">
        <w:t>test for effectiveness on cognitive function in a later stud</w:t>
      </w:r>
      <w:r w:rsidR="001219F0">
        <w:t>y</w:t>
      </w:r>
      <w:r>
        <w:t xml:space="preserve">. The WALC intervention </w:t>
      </w:r>
      <w:r w:rsidR="00E47C23">
        <w:t xml:space="preserve">was originally designed to motivate community-dwelling older adults to increase physical activity and is based on Social Cognitive theory </w:t>
      </w:r>
      <w:r w:rsidR="00E47C23">
        <w:fldChar w:fldCharType="begin" w:fldLock="1"/>
      </w:r>
      <w:r w:rsidR="00E47C23">
        <w:instrText>ADDIN CSL_CITATION {"citationItems":[{"id":"ITEM-1","itemData":{"DOI":"10.1002/nur.1011","ISSN":"01606891","abstract":"The purpose of this study was to test a model of exercise behavior in older adults. It was hypothesized that (a) mental and physical health directly influence self-efficacy expectations; (b) mental and physical health, age, and self-efficacy expectations influence outcome expectations; and (c) all these variables directly and/or indirectly influence exercise behavior. The sample was composed of 175 older adults living in a continuing-care retirement community, each of whom was interviewed once. Seven of the 10 hypothesized paths were significant. Physical health, self-efficacy expectations, and outcome expectations directly influenced exercise behavior, and age and mental health indirectly influenced exercise through self-efficacy expectations and outcome expectations. Combined these variables accounted for 30% of the variance in exercise behavior. To improve exercise behavior in older adults, health care providers should focus on developing interventions to strengthen self-efficacy and outcome expectations related to exercise. © 2001 John Wiley &amp; Sons, Inc.","author":[{"dropping-particle":"","family":"Resnick","given":"Barbara","non-dropping-particle":"","parse-names":false,"suffix":""}],"container-title":"Research in Nursing and Health","id":"ITEM-1","issued":{"date-parts":[["2001"]]},"title":"Testing a model of exercise behavior in older adults","type":"article-journal"},"uris":["http://www.mendeley.com/documents/?uuid=c8dbd17b-c722-4476-b7c2-c9522e6e7e21"]}],"mendeley":{"formattedCitation":"(Resnick, 2001)","plainTextFormattedCitation":"(Resnick, 2001)","previouslyFormattedCitation":"(Resnick, 2001)"},"properties":{"noteIndex":0},"schema":"https://github.com/citation-style-language/schema/raw/master/csl-citation.json"}</w:instrText>
      </w:r>
      <w:r w:rsidR="00E47C23">
        <w:fldChar w:fldCharType="separate"/>
      </w:r>
      <w:r w:rsidR="00E47C23" w:rsidRPr="00B44D63">
        <w:rPr>
          <w:noProof/>
        </w:rPr>
        <w:t>(Resnick, 2001)</w:t>
      </w:r>
      <w:r w:rsidR="00E47C23">
        <w:fldChar w:fldCharType="end"/>
      </w:r>
      <w:r w:rsidR="00E47C23">
        <w:t>.</w:t>
      </w:r>
      <w:r w:rsidR="00770BA5">
        <w:t xml:space="preserve"> </w:t>
      </w:r>
      <w:r>
        <w:t xml:space="preserve">The WALC intervention combines goal-setting and self-monitoring </w:t>
      </w:r>
      <w:r w:rsidR="00770BA5">
        <w:t xml:space="preserve">of </w:t>
      </w:r>
      <w:r>
        <w:t xml:space="preserve">behaviour change techniques using </w:t>
      </w:r>
      <w:r w:rsidR="00770BA5">
        <w:t xml:space="preserve">a </w:t>
      </w:r>
      <w:r>
        <w:t xml:space="preserve">digital platform (pedometer and online coaching). </w:t>
      </w:r>
      <w:r w:rsidR="001D0918">
        <w:t xml:space="preserve">Our approach to delivery would mitigate </w:t>
      </w:r>
      <w:r w:rsidR="00C621BC">
        <w:t xml:space="preserve">some of </w:t>
      </w:r>
      <w:r w:rsidR="001D0918">
        <w:t>the challenges posed with implementing the WALC</w:t>
      </w:r>
      <w:r w:rsidR="00C621BC">
        <w:t>-R (R=remote)</w:t>
      </w:r>
      <w:r w:rsidR="001D0918">
        <w:t xml:space="preserve"> intervention in older people. First, </w:t>
      </w:r>
      <w:r w:rsidR="00770BA5">
        <w:t xml:space="preserve">we have adapted the </w:t>
      </w:r>
      <w:r w:rsidR="00C621BC">
        <w:t xml:space="preserve">original </w:t>
      </w:r>
      <w:r w:rsidR="00770BA5">
        <w:t xml:space="preserve">WALC intervention so that it can be delivered </w:t>
      </w:r>
      <w:r w:rsidR="00B93F26">
        <w:t xml:space="preserve">remotely </w:t>
      </w:r>
      <w:r w:rsidR="00770BA5">
        <w:t xml:space="preserve">in </w:t>
      </w:r>
      <w:r>
        <w:t xml:space="preserve">real-time, </w:t>
      </w:r>
      <w:r w:rsidR="001D0918">
        <w:t>via supported coaching using</w:t>
      </w:r>
      <w:r>
        <w:t xml:space="preserve"> the </w:t>
      </w:r>
      <w:r w:rsidR="001D0918">
        <w:t xml:space="preserve">internet </w:t>
      </w:r>
      <w:r w:rsidR="007B5DE0">
        <w:t>videoconferencing</w:t>
      </w:r>
      <w:r w:rsidR="005A311A">
        <w:t>. This means</w:t>
      </w:r>
      <w:r w:rsidR="001D0918">
        <w:t xml:space="preserve"> </w:t>
      </w:r>
      <w:r w:rsidR="005A311A">
        <w:t xml:space="preserve">that a coach will deliver same session remotely as they would have done in a </w:t>
      </w:r>
      <w:r w:rsidR="001D0918">
        <w:t>face</w:t>
      </w:r>
      <w:r w:rsidR="005A311A">
        <w:t>-</w:t>
      </w:r>
      <w:r w:rsidR="001D0918">
        <w:t>to</w:t>
      </w:r>
      <w:r w:rsidR="005A311A">
        <w:t>-</w:t>
      </w:r>
      <w:r w:rsidR="001D0918">
        <w:t>face</w:t>
      </w:r>
      <w:r w:rsidR="00C621BC">
        <w:t xml:space="preserve"> </w:t>
      </w:r>
      <w:r w:rsidR="005A311A">
        <w:t>setting</w:t>
      </w:r>
      <w:r w:rsidR="001D0918">
        <w:t xml:space="preserve">. Secondly, the WALC-R intervention is simple, based on a single </w:t>
      </w:r>
      <w:proofErr w:type="spellStart"/>
      <w:r w:rsidR="001D0918">
        <w:t>behavioural</w:t>
      </w:r>
      <w:proofErr w:type="spellEnd"/>
      <w:r w:rsidR="001D0918">
        <w:t xml:space="preserve"> theory (</w:t>
      </w:r>
      <w:r w:rsidR="005A311A">
        <w:t>S</w:t>
      </w:r>
      <w:r w:rsidR="001D0918">
        <w:t xml:space="preserve">ocial </w:t>
      </w:r>
      <w:r w:rsidR="005A311A">
        <w:t>C</w:t>
      </w:r>
      <w:r w:rsidR="001D0918">
        <w:t>ognitive theory) and us</w:t>
      </w:r>
      <w:r w:rsidR="00C621BC">
        <w:t>es few BCTs</w:t>
      </w:r>
      <w:r w:rsidR="00073B9F">
        <w:t xml:space="preserve"> proven to be</w:t>
      </w:r>
      <w:r w:rsidR="00C621BC">
        <w:t xml:space="preserve"> effective in the older population. </w:t>
      </w:r>
      <w:r w:rsidR="005A311A">
        <w:t>Further, the r</w:t>
      </w:r>
      <w:r w:rsidR="00C621BC">
        <w:t xml:space="preserve">esearcher will prompt participants at regular intervals using telephone, text messages and email about ongoing activities such as wearing and removal of activity tracker, visits/sessions. Computer / Information technology skills required to participate in the study is basic, such as to check/send emails. </w:t>
      </w:r>
      <w:r w:rsidR="005A311A">
        <w:t>The r</w:t>
      </w:r>
      <w:r w:rsidR="00C621BC">
        <w:t xml:space="preserve">esearcher will also be </w:t>
      </w:r>
      <w:r w:rsidR="00C621BC">
        <w:lastRenderedPageBreak/>
        <w:t xml:space="preserve">available for questions and to assist with </w:t>
      </w:r>
      <w:r w:rsidR="005A311A">
        <w:t>study-specific I.T. issues such as how to connect to the video-conferencing interface.</w:t>
      </w:r>
    </w:p>
    <w:p w14:paraId="3567A5AF" w14:textId="114B9AD8" w:rsidR="00E0307E" w:rsidRDefault="00E0307E" w:rsidP="00E0307E">
      <w:pPr>
        <w:pStyle w:val="MDPI22heading2"/>
      </w:pPr>
      <w:r>
        <w:t>Aim</w:t>
      </w:r>
    </w:p>
    <w:p w14:paraId="644BF01B" w14:textId="77777777" w:rsidR="00E0307E" w:rsidRDefault="00E0307E" w:rsidP="00E0307E">
      <w:pPr>
        <w:pStyle w:val="MDPI31text"/>
      </w:pPr>
      <w:r w:rsidRPr="00D572E9">
        <w:t>T</w:t>
      </w:r>
      <w:r>
        <w:t>his primary aim of the study is to</w:t>
      </w:r>
      <w:r w:rsidRPr="00D572E9">
        <w:t xml:space="preserve"> </w:t>
      </w:r>
      <w:r>
        <w:t>establish</w:t>
      </w:r>
      <w:r w:rsidRPr="00D572E9">
        <w:t xml:space="preserve"> the acceptability </w:t>
      </w:r>
      <w:r>
        <w:t xml:space="preserve">of the proposed online </w:t>
      </w:r>
      <w:r w:rsidRPr="00D572E9">
        <w:t>health coaching intervention</w:t>
      </w:r>
      <w:r>
        <w:t xml:space="preserve"> </w:t>
      </w:r>
      <w:r w:rsidRPr="00D572E9">
        <w:t>in community dwelling older people</w:t>
      </w:r>
      <w:r>
        <w:t xml:space="preserve"> living with mild cognitive impairment</w:t>
      </w:r>
      <w:r w:rsidRPr="00D572E9">
        <w:t xml:space="preserve">. </w:t>
      </w:r>
      <w:r>
        <w:t xml:space="preserve">In addition, the study will determine how many participants can be recruited, the rate of adverse event and cost of delivery. The secondary aims are to estimate the difference between treatment and control groups at baseline and follow-up of (1) device- measured sedentary behaviour (2) self-reported sedentary behaviour (3) verbal fluency (4) pre-morbid intelligence (5) self-rated health. </w:t>
      </w:r>
    </w:p>
    <w:p w14:paraId="50472B3A" w14:textId="77777777" w:rsidR="00E0307E" w:rsidRDefault="00E0307E" w:rsidP="00E0307E">
      <w:pPr>
        <w:pStyle w:val="MDPI22heading2"/>
      </w:pPr>
      <w:r>
        <w:t>Prior work</w:t>
      </w:r>
    </w:p>
    <w:p w14:paraId="55522DBB" w14:textId="6ABD5E98" w:rsidR="00E0307E" w:rsidRDefault="00E0307E" w:rsidP="002702E6">
      <w:pPr>
        <w:pStyle w:val="MDPI31text"/>
      </w:pPr>
      <w:r w:rsidRPr="00D572E9">
        <w:t>This feasibility study forms part of a three-phase project</w:t>
      </w:r>
      <w:r>
        <w:t xml:space="preserve">, which employs the </w:t>
      </w:r>
      <w:proofErr w:type="spellStart"/>
      <w:r>
        <w:t>Behavioural</w:t>
      </w:r>
      <w:proofErr w:type="spellEnd"/>
      <w:r>
        <w:t xml:space="preserve"> Epidemiological Framework</w:t>
      </w:r>
      <w:r w:rsidR="002702E6" w:rsidRPr="002702E6">
        <w:t xml:space="preserve"> </w:t>
      </w:r>
      <w:r w:rsidR="002702E6">
        <w:t>be to improve</w:t>
      </w:r>
      <w:r w:rsidR="002702E6" w:rsidRPr="00D572E9">
        <w:t xml:space="preserve"> </w:t>
      </w:r>
      <w:r w:rsidR="002702E6">
        <w:t>evidence</w:t>
      </w:r>
      <w:r w:rsidR="002702E6" w:rsidRPr="00D572E9">
        <w:t xml:space="preserve"> </w:t>
      </w:r>
      <w:r w:rsidR="002702E6">
        <w:t>around</w:t>
      </w:r>
      <w:r w:rsidR="002702E6" w:rsidRPr="00D572E9">
        <w:t xml:space="preserve"> the role of sedentary behaviour in cognitive health</w:t>
      </w:r>
      <w:r w:rsidR="002702E6">
        <w:t xml:space="preserve"> </w:t>
      </w:r>
      <w:r w:rsidR="002702E6">
        <w:fldChar w:fldCharType="begin" w:fldLock="1"/>
      </w:r>
      <w:r w:rsidR="002702E6">
        <w:instrText>ADDIN CSL_CITATION {"citationItems":[{"id":"ITEM-1","itemData":{"DOI":"10.1007/BF02895665","ISSN":"08836612","PMID":"11253440","abstract":"Although the term \"behavioral epidemiology\" has been used in the literature since the late 1970s, it has not been clearly defined. A behavioral epidemiology framework is proposed to specify a systematic sequence of studies on health-related behaviors, leading to evidence-based interventions directed at populations. The phases are: 1 - establish links between behaviors and health; 2 - develop measures of the behavior; 3 - identify influences on the behavior; 4 - evaluate interventions to change the behavior; 5 - translate research into practice. Mature research areas are expected to have more studies in the latter phases. Recent volumes of four journals (Annals of Behavioral Medicine, Health Psychology, Journal of Nutrition Education, Tobacco Control) were audited, and empirical studies were classified into these phases. Phase 3 studies were common (identifying influences on behaviors; 27% to 50%), and Phase 2 studies were least common (measurement; 0% to 15%). Annals of Behavioral Medicine and Health Psychology were low on Phase 4 (intervention studies; 9% and 11%, respectively). The Journal of Nutrition Education was the only journal reviewed that had a substantial number (20%) of Phase 5 studies (translating research into practice). The behavioral epidemiology framework can be used to evaluate the status of research on health behaviors and to guide research policies.","author":[{"dropping-particle":"","family":"Sallis","given":"James F.","non-dropping-particle":"","parse-names":false,"suffix":""},{"dropping-particle":"","family":"Owen","given":"Neville","non-dropping-particle":"","parse-names":false,"suffix":""},{"dropping-particle":"","family":"Fotheringham","given":"Michael J.","non-dropping-particle":"","parse-names":false,"suffix":""}],"container-title":"Annals of Behavioral Medicine","id":"ITEM-1","issued":{"date-parts":[["2000"]]},"title":"Behavioral epidemiology: A systematic framework to classify phases of research on health promotion and disease prevention","type":"article-journal"},"uris":["http://www.mendeley.com/documents/?uuid=88256661-b977-4e5d-8999-1175a596f01e"]}],"mendeley":{"formattedCitation":"(Sallis, Owen, &amp; Fotheringham, 2000)","plainTextFormattedCitation":"(Sallis, Owen, &amp; Fotheringham, 2000)","previouslyFormattedCitation":"(Sallis, Owen, &amp; Fotheringham, 2000)"},"properties":{"noteIndex":0},"schema":"https://github.com/citation-style-language/schema/raw/master/csl-citation.json"}</w:instrText>
      </w:r>
      <w:r w:rsidR="002702E6">
        <w:fldChar w:fldCharType="separate"/>
      </w:r>
      <w:r w:rsidR="002702E6" w:rsidRPr="002702E6">
        <w:rPr>
          <w:noProof/>
        </w:rPr>
        <w:t>(Sallis, Owen, &amp; Fotheringham, 2000)</w:t>
      </w:r>
      <w:r w:rsidR="002702E6">
        <w:fldChar w:fldCharType="end"/>
      </w:r>
      <w:r w:rsidR="002702E6">
        <w:t>.</w:t>
      </w:r>
      <w:r w:rsidRPr="00D572E9">
        <w:t xml:space="preserve"> Following a scoping literature review, a systematic review was conducted to explore evidence in this area. The systematic review found inconclusive evidence on the overall direction of associations between sedentary behaviour and cognitive function in older people, with limitations such as the quality of studies available and the use of self-reported sedentary behaviour as outcome</w:t>
      </w:r>
      <w:r w:rsidR="00DB3979">
        <w:t xml:space="preserve"> </w:t>
      </w:r>
      <w:r w:rsidR="00DB3979">
        <w:fldChar w:fldCharType="begin" w:fldLock="1"/>
      </w:r>
      <w:r w:rsidR="00DB3979">
        <w:instrText>ADDIN CSL_CITATION {"citationItems":[{"id":"ITEM-1","itemData":{"DOI":"10.1007/s40520-019-01457-3.","author":[{"dropping-particle":"","family":"Olanrewaju","given":"Olawale","non-dropping-particle":"","parse-names":false,"suffix":""},{"dropping-particle":"","family":"Stockwell","given":"Stephanie","non-dropping-particle":"","parse-names":false,"suffix":""},{"dropping-particle":"","family":"Stubbs","given":"Brendon","non-dropping-particle":"","parse-names":false,"suffix":""},{"dropping-particle":"","family":"Smith","given":"Lee","non-dropping-particle":"","parse-names":false,"suffix":""}],"container-title":"Aging Clinical and Experimental Research","id":"ITEM-1","issued":{"date-parts":[["2020"]]},"title":"Sedentary behaviours, cognitive function, and possible mechanisms in older adults: a systematic review","type":"article-journal"},"uris":["http://www.mendeley.com/documents/?uuid=c4a61f04-aa02-437e-a83b-37b691741b69"]}],"mendeley":{"formattedCitation":"(Olawale Olanrewaju et al., 2020)","plainTextFormattedCitation":"(Olawale Olanrewaju et al., 2020)","previouslyFormattedCitation":"(Olawale Olanrewaju et al., 2020)"},"properties":{"noteIndex":0},"schema":"https://github.com/citation-style-language/schema/raw/master/csl-citation.json"}</w:instrText>
      </w:r>
      <w:r w:rsidR="00DB3979">
        <w:fldChar w:fldCharType="separate"/>
      </w:r>
      <w:r w:rsidR="00DB3979" w:rsidRPr="00DB3979">
        <w:rPr>
          <w:noProof/>
        </w:rPr>
        <w:t>(Olawale Olanrewaju et al., 2020)</w:t>
      </w:r>
      <w:r w:rsidR="00DB3979">
        <w:fldChar w:fldCharType="end"/>
      </w:r>
      <w:r w:rsidRPr="00D572E9">
        <w:t xml:space="preserve">. This was followed by a secondary analysis of data from The </w:t>
      </w:r>
      <w:r w:rsidR="00770BA5">
        <w:t>L</w:t>
      </w:r>
      <w:r w:rsidRPr="00D572E9">
        <w:t>ongitudinal Study of Ageing in Ireland</w:t>
      </w:r>
      <w:r w:rsidR="00770BA5">
        <w:t>, which</w:t>
      </w:r>
      <w:r>
        <w:t xml:space="preserve"> demonstrated cross-sectional and longitudinal associations between sedentary behaviour and poorer cognition in middle-age and older adults</w:t>
      </w:r>
      <w:r w:rsidR="00DB3979">
        <w:fldChar w:fldCharType="begin" w:fldLock="1"/>
      </w:r>
      <w:r w:rsidR="004D7926">
        <w:instrText>ADDIN CSL_CITATION {"citationItems":[{"id":"ITEM-1","itemData":{"DOI":"https://doi.org/10.1016/j.mhpa.2020.100344","ISSN":"1755-2966","abstract":"Background Sedentary behaviours (SB) are risk factors for poor cardiovascular health and all-cause mortality. However, their role in cognitive health in older adults is unclear. A few studies have examined associations between sedentary behaviours and cognition, but are limited by heterogeneity and insufficient longitudinal analyses. Therefore more robust studies, which would address identified limitations, are needed to accurately determine associations. Method This study analysed data collected from participants aged 50+ years of The Irish Longitudinal Study of Ageing (TILDA). We conducted cross-sectional linear regression with multivariate imputation analyses of baseline data from wave 1 (N = 8163, weekday-sitting time), and wave 3 (N = 6400, weekday-television viewing); longitudinal analyses between waves 1–3 (sitting) and waves 3–4 (television). Sedentary behaviours were analysed as both categorical and continuous variables. Outcome of cross-sectional analyses was standardised regression co-efficient of associations between sedentary exposures and cognitive function in respective waves, while for longitudinal analyses was cognitive change (verbal memory, verbal fluency, and global cognition) between waves based on standardised residuals. Result Study found significant but mild cross-sectional associations between 1-h increase in weekday-television viewing and poorer verbal memory (b = −0.02, CI: −0.04, −0.003, P &lt; 0.05) and verbal fluency (b = −0.02, CI: −0.04, −0.002, P &lt; 0.05). Baseline television viewing of 3.5+ h/day had mild but significant association with a decline in verbal fluency 2 years later in participants aged 65+ years, when compared with a reference category of &lt;1.5 h of TV viewing (b = −0.12, CI: −0.23, −0.001, P &lt; 0.05). Conclusion Our study findings indicated some association between increased levels of weekday-television viewing time, independent of physical activity, and poor cognition cross-sectionally and longitudinally in middle-aged and older adults. Intervention studies are needed to confirm the effects of SB on cognition in older adults. Public health campaigns should be targeted at displacing high levels of television viewing, in excess of 3.5 h/day among older adults.","author":[{"dropping-particle":"","family":"Olanrewaju","given":"O","non-dropping-particle":"","parse-names":false,"suffix":""},{"dropping-particle":"","family":"Koyanagi","given":"A","non-dropping-particle":"","parse-names":false,"suffix":""},{"dropping-particle":"","family":"Tully","given":"M","non-dropping-particle":"","parse-names":false,"suffix":""},{"dropping-particle":"","family":"Veronese","given":"N","non-dropping-particle":"","parse-names":false,"suffix":""},{"dropping-particle":"","family":"Smith","given":"L","non-dropping-particle":"","parse-names":false,"suffix":""}],"container-title":"Mental Health and Physical Activity","id":"ITEM-1","issued":{"date-parts":[["2020"]]},"page":"100344","title":"Sedentary behaviours and cognitive function among community dwelling adults aged 50+ years: Results from the Irish longitudinal study of ageing","type":"article-journal","volume":"19"},"uris":["http://www.mendeley.com/documents/?uuid=453e4248-531b-4405-b218-f16ba4c46bc3"]}],"mendeley":{"formattedCitation":"(O Olanrewaju, Koyanagi, Tully, Veronese, &amp; Smith, 2020)","plainTextFormattedCitation":"(O Olanrewaju, Koyanagi, Tully, Veronese, &amp; Smith, 2020)","previouslyFormattedCitation":"(O Olanrewaju, Koyanagi, Tully, Veronese, &amp; Smith, 2020)"},"properties":{"noteIndex":0},"schema":"https://github.com/citation-style-language/schema/raw/master/csl-citation.json"}</w:instrText>
      </w:r>
      <w:r w:rsidR="00DB3979">
        <w:fldChar w:fldCharType="separate"/>
      </w:r>
      <w:r w:rsidR="00DB3979" w:rsidRPr="00DB3979">
        <w:rPr>
          <w:noProof/>
        </w:rPr>
        <w:t>(O Olanrewaju, Koyanagi, Tully, Veronese, &amp; Smith, 2020)</w:t>
      </w:r>
      <w:r w:rsidR="00DB3979">
        <w:fldChar w:fldCharType="end"/>
      </w:r>
      <w:r>
        <w:t>. However, intervention studies are now required to confirm</w:t>
      </w:r>
      <w:r w:rsidR="002702E6">
        <w:t xml:space="preserve"> </w:t>
      </w:r>
      <w:r>
        <w:t>effects of reducing sedentary behaviour on cognitio</w:t>
      </w:r>
      <w:r w:rsidR="002702E6">
        <w:t>n.</w:t>
      </w:r>
    </w:p>
    <w:p w14:paraId="4CB13AB8" w14:textId="77777777" w:rsidR="001219F0" w:rsidRDefault="001219F0" w:rsidP="002702E6">
      <w:pPr>
        <w:pStyle w:val="MDPI31text"/>
      </w:pPr>
    </w:p>
    <w:p w14:paraId="19B72176" w14:textId="77777777" w:rsidR="00ED6FC1" w:rsidRPr="00D572E9" w:rsidRDefault="00ED6FC1" w:rsidP="00ED6FC1">
      <w:pPr>
        <w:pStyle w:val="MDPI31text"/>
        <w:ind w:firstLine="0"/>
      </w:pPr>
    </w:p>
    <w:p w14:paraId="218B63FE" w14:textId="77777777" w:rsidR="0046726B" w:rsidRPr="00D80609" w:rsidRDefault="0046726B" w:rsidP="0046726B">
      <w:pPr>
        <w:pStyle w:val="MDPI21heading1"/>
      </w:pPr>
      <w:r w:rsidRPr="00D80609">
        <w:rPr>
          <w:lang w:eastAsia="zh-CN"/>
        </w:rPr>
        <w:t xml:space="preserve">2. </w:t>
      </w:r>
      <w:r w:rsidRPr="00D80609">
        <w:t xml:space="preserve">Materials and Methods </w:t>
      </w:r>
    </w:p>
    <w:p w14:paraId="7B87BC9E" w14:textId="77777777" w:rsidR="004D21BA" w:rsidRDefault="002702E6" w:rsidP="004D21BA">
      <w:pPr>
        <w:pStyle w:val="MDPI22heading2"/>
      </w:pPr>
      <w:r>
        <w:t>Design</w:t>
      </w:r>
    </w:p>
    <w:p w14:paraId="215C0631" w14:textId="57BB72DB" w:rsidR="005468B0" w:rsidRDefault="005468B0" w:rsidP="00A74B4F">
      <w:pPr>
        <w:pStyle w:val="MDPI31text"/>
        <w:rPr>
          <w:rFonts w:eastAsia="SimSun"/>
          <w:color w:val="131413"/>
          <w:lang w:val="en-GB" w:eastAsia="en-GB"/>
        </w:rPr>
      </w:pPr>
      <w:r w:rsidRPr="00D572E9">
        <w:t xml:space="preserve">This will be a 13 week </w:t>
      </w:r>
      <w:r>
        <w:t>unblinded</w:t>
      </w:r>
      <w:r w:rsidRPr="00D572E9">
        <w:t>, single-</w:t>
      </w:r>
      <w:proofErr w:type="spellStart"/>
      <w:r w:rsidRPr="00D572E9">
        <w:t>centre</w:t>
      </w:r>
      <w:proofErr w:type="spellEnd"/>
      <w:r w:rsidRPr="00D572E9">
        <w:t xml:space="preserve"> randomized feasibility study. The intervention is comprised of an initial group education session, fortnightly coaching sessions and the provision of a pedometer and diary to enable participants monitor their daily physical activity. Participants in the control group will receive information leaflets which outlines the benefit of being physically active. The design will adhere to the Consolidated Standards of Reporting Trials statement</w:t>
      </w:r>
      <w:r w:rsidR="00550F3F">
        <w:t xml:space="preserve"> for feasibility trials</w:t>
      </w:r>
      <w:r w:rsidRPr="00D572E9">
        <w:t xml:space="preserve"> (CONSORT)</w:t>
      </w:r>
      <w:r>
        <w:fldChar w:fldCharType="begin" w:fldLock="1"/>
      </w:r>
      <w:r w:rsidR="004B655C">
        <w:instrText>ADDIN CSL_CITATION {"citationItems":[{"id":"ITEM-1","itemData":{"DOI":"10.1186/s40814-016-0105-8","ISSN":"20555784","PMID":"27965879","abstract":"The Consolidated Standards of Reporting Trials (CONSORT) statement is a guideline designed to improve the transparency and quality of the reporting of randomised controlled trials (RCTs). In this article we present an extension to that statement for randomised pilot and feasibility trials conducted in advance of a future definitive RCT. The checklist applies to any randomised study in which a future definitive RCT, or part of it, is conducted on a smaller scale, regardless of its design (eg, cluster, factorial, crossover) or the terms used by authors to describe the study (eg, pilot, feasibility, trial, study). The extension does not directly apply to internal pilot studies built into the design of a main trial, non-randomised pilot and feasibility studies, or phase II studies, but these studies all have some similarities to randomised pilot and feasibility studies and so many of the principles might also apply. The development of the extension was motivated by the growing number of studies described as feasibility or pilot studies and by research that has identified weaknesses in their reporting and conduct. We followed recommended good practice to develop the extension, including carrying out a Delphi survey, holding a consensus meeting and research team meetings, and piloting the checklist. The aims and objectives of pilot and feasibility randomised studies differ from those of other randomised trials. Consequently, although much of the information to be reported in these trials is similar to those in randomised controlled trials (RCTs) assessing effectiveness and efficacy, there are some key differences in the type of information and in the appropriate interpretation of standard CONSORT reporting items. We have retained some of the original CONSORT statement items, but most have been adapted, some removed, and new items added. The new items cover how participants were identified and consent obtained; if applicable, the prespecified criteria used to judge whether or how to proceed with a future definitive RCT; if relevant, other important unintended consequences; implications for progression from pilot to future definitive RCT, including any proposed amendments; and ethical approval or approval by a research review committee confirmed with a reference number. This article includes the 26 item checklist, a separate checklist for the abstract, a template for a CONSORT flowchart for these studies, and an explanation of the changes made and supporting ex…","author":[{"dropping-particle":"","family":"Eldridge","given":"Sandra M.","non-dropping-particle":"","parse-names":false,"suffix":""},{"dropping-particle":"","family":"Chan","given":"Claire L.","non-dropping-particle":"","parse-names":false,"suffix":""},{"dropping-particle":"","family":"Campbell","given":"Michael J.","non-dropping-particle":"","parse-names":false,"suffix":""},{"dropping-particle":"","family":"Bond","given":"Christine M.","non-dropping-particle":"","parse-names":false,"suffix":""},{"dropping-particle":"","family":"Hopewell","given":"Sally","non-dropping-particle":"","parse-names":false,"suffix":""},{"dropping-particle":"","family":"Thabane","given":"Lehana","non-dropping-particle":"","parse-names":false,"suffix":""},{"dropping-particle":"","family":"Lancaster","given":"Gillian A.","non-dropping-particle":"","parse-names":false,"suffix":""},{"dropping-particle":"","family":"O'Cathain","given":"Alicia","non-dropping-particle":"","parse-names":false,"suffix":""},{"dropping-particle":"","family":"Altman","given":"Doug","non-dropping-particle":"","parse-names":false,"suffix":""},{"dropping-particle":"","family":"Bretz","given":"Frank","non-dropping-particle":"","parse-names":false,"suffix":""},{"dropping-particle":"","family":"Campbell","given":"Marion","non-dropping-particle":"","parse-names":false,"suffix":""},{"dropping-particle":"","family":"Cobo","given":"Erik","non-dropping-particle":"","parse-names":false,"suffix":""},{"dropping-particle":"","family":"Craig","given":"Peter","non-dropping-particle":"","parse-names":false,"suffix":""},{"dropping-particle":"","family":"Davidson","given":"Peter","non-dropping-particle":"","parse-names":false,"suffix":""},{"dropping-particle":"","family":"Groves","given":"Trish","non-dropping-particle":"","parse-names":false,"suffix":""},{"dropping-particle":"","family":"Gumedze","given":"Freedom","non-dropping-particle":"","parse-names":false,"suffix":""},{"dropping-particle":"","family":"Hewison","given":"Jenny","non-dropping-particle":"","parse-names":false,"suffix":""},{"dropping-particle":"","family":"Hirst","given":"Allison","non-dropping-particle":"","parse-names":false,"suffix":""},{"dropping-particle":"","family":"Hoddinott","given":"Pat","non-dropping-particle":"","parse-names":false,"suffix":""},{"dropping-particle":"","family":"Lamb","given":"Sarah E.","non-dropping-particle":"","parse-names":false,"suffix":""},{"dropping-particle":"","family":"Lang","given":"Tom","non-dropping-particle":"","parse-names":false,"suffix":""},{"dropping-particle":"","family":"McColl","given":"Elaine","non-dropping-particle":"","parse-names":false,"suffix":""},{"dropping-particle":"","family":"Shanahan","given":"Daniel R.","non-dropping-particle":"","parse-names":false,"suffix":""},{"dropping-particle":"","family":"Sutton","given":"Chris","non-dropping-particle":"","parse-names":false,"suffix":""},{"dropping-particle":"","family":"Tugwell","given":"Peter","non-dropping-particle":"","parse-names":false,"suffix":""}],"container-title":"Pilot and Feasibility Studies","id":"ITEM-1","issued":{"date-parts":[["2016"]]},"title":"CONSORT 2010 statement: Extension to randomised pilot and feasibility trials","type":"article-journal"},"uris":["http://www.mendeley.com/documents/?uuid=67d6c3fd-e992-43b7-af9f-0acb4705b462"]}],"mendeley":{"formattedCitation":"(Eldridge et al., 2016)","plainTextFormattedCitation":"(Eldridge et al., 2016)","previouslyFormattedCitation":"(Eldridge et al., 2016)"},"properties":{"noteIndex":0},"schema":"https://github.com/citation-style-language/schema/raw/master/csl-citation.json"}</w:instrText>
      </w:r>
      <w:r>
        <w:fldChar w:fldCharType="separate"/>
      </w:r>
      <w:r w:rsidRPr="005468B0">
        <w:rPr>
          <w:noProof/>
        </w:rPr>
        <w:t>(Eldridge et al., 2016)</w:t>
      </w:r>
      <w:r>
        <w:fldChar w:fldCharType="end"/>
      </w:r>
      <w:r w:rsidRPr="00D572E9">
        <w:t>.</w:t>
      </w:r>
      <w:r w:rsidR="00F76C28">
        <w:t xml:space="preserve"> </w:t>
      </w:r>
      <w:r w:rsidR="004F02D7" w:rsidRPr="00454996">
        <w:t>Ethical and research governance approval w</w:t>
      </w:r>
      <w:r w:rsidR="004F02D7">
        <w:t xml:space="preserve">as </w:t>
      </w:r>
      <w:r w:rsidR="004F02D7" w:rsidRPr="00454996">
        <w:t xml:space="preserve">sought </w:t>
      </w:r>
      <w:r w:rsidR="004F02D7">
        <w:t xml:space="preserve">and granted </w:t>
      </w:r>
      <w:r w:rsidR="004F02D7" w:rsidRPr="00454996">
        <w:t xml:space="preserve">from </w:t>
      </w:r>
      <w:r w:rsidR="004F02D7">
        <w:t xml:space="preserve">London city and East Research Ethics Committee (IRAS 280073), the </w:t>
      </w:r>
      <w:r w:rsidR="004F02D7" w:rsidRPr="00454996">
        <w:t>Health Research Authority and Research and Development department</w:t>
      </w:r>
      <w:r w:rsidR="004F02D7">
        <w:t xml:space="preserve">s in both Anglia Ruskin University and CPFT. </w:t>
      </w:r>
      <w:r w:rsidR="00F76C28">
        <w:t>This study is registered on ClinicalTrials.gov (NCT04464538).</w:t>
      </w:r>
      <w:r w:rsidR="00A74B4F">
        <w:t xml:space="preserve"> </w:t>
      </w:r>
      <w:r w:rsidR="00A74B4F">
        <w:rPr>
          <w:rFonts w:eastAsia="SimSun"/>
          <w:color w:val="131413"/>
          <w:lang w:val="en-GB" w:eastAsia="en-GB"/>
        </w:rPr>
        <w:t>A flow diagram of the study is shown in Fig. 1, and the schedule of enrolment, interventions and assessments is provided in Fig. 2.</w:t>
      </w:r>
    </w:p>
    <w:p w14:paraId="57C44341" w14:textId="77777777" w:rsidR="00DB7120" w:rsidRDefault="00DB7120" w:rsidP="00876346">
      <w:pPr>
        <w:pStyle w:val="MDPI41tablecaption"/>
        <w:rPr>
          <w:rFonts w:eastAsia="SimSun"/>
          <w:lang w:val="en-GB" w:eastAsia="en-GB"/>
        </w:rPr>
        <w:sectPr w:rsidR="00DB7120" w:rsidSect="00DB7120">
          <w:headerReference w:type="even" r:id="rId13"/>
          <w:headerReference w:type="default" r:id="rId14"/>
          <w:footerReference w:type="default" r:id="rId15"/>
          <w:headerReference w:type="first" r:id="rId16"/>
          <w:footerReference w:type="first" r:id="rId17"/>
          <w:pgSz w:w="11906" w:h="16838" w:code="9"/>
          <w:pgMar w:top="1418" w:right="1531" w:bottom="1077" w:left="1531" w:header="1021" w:footer="851" w:gutter="0"/>
          <w:lnNumType w:countBy="1" w:restart="continuous"/>
          <w:pgNumType w:start="1"/>
          <w:cols w:space="425"/>
          <w:titlePg/>
          <w:docGrid w:type="lines" w:linePitch="326"/>
        </w:sectPr>
      </w:pPr>
    </w:p>
    <w:p w14:paraId="626644F7" w14:textId="41438EA6" w:rsidR="00CE2717" w:rsidRDefault="00876346" w:rsidP="00876346">
      <w:pPr>
        <w:pStyle w:val="MDPI41tablecaption"/>
        <w:rPr>
          <w:rFonts w:eastAsia="SimSun"/>
          <w:color w:val="131413"/>
          <w:lang w:val="en-GB" w:eastAsia="en-GB"/>
        </w:rPr>
      </w:pPr>
      <w:r>
        <w:rPr>
          <w:rFonts w:eastAsia="SimSun"/>
          <w:lang w:val="en-GB" w:eastAsia="en-GB"/>
        </w:rPr>
        <w:lastRenderedPageBreak/>
        <w:t>Figure 1: Study flow diagram</w:t>
      </w:r>
    </w:p>
    <w:p w14:paraId="0870964B" w14:textId="77777777" w:rsidR="00CE2717" w:rsidRDefault="002B6C1A" w:rsidP="00DB7120">
      <w:pPr>
        <w:pStyle w:val="MDPI31text"/>
        <w:rPr>
          <w:rFonts w:eastAsia="SimSun"/>
          <w:color w:val="131413"/>
          <w:lang w:val="en-GB" w:eastAsia="en-GB"/>
        </w:rPr>
      </w:pPr>
      <w:r w:rsidRPr="007A456B">
        <w:rPr>
          <w:noProof/>
          <w:lang w:val="en-GB" w:eastAsia="en-GB" w:bidi="ar-SA"/>
        </w:rPr>
        <mc:AlternateContent>
          <mc:Choice Requires="wpg">
            <w:drawing>
              <wp:anchor distT="0" distB="0" distL="114300" distR="114300" simplePos="0" relativeHeight="251662336" behindDoc="0" locked="0" layoutInCell="1" allowOverlap="1" wp14:anchorId="55283214" wp14:editId="5A940B2F">
                <wp:simplePos x="0" y="0"/>
                <wp:positionH relativeFrom="column">
                  <wp:posOffset>327660</wp:posOffset>
                </wp:positionH>
                <wp:positionV relativeFrom="paragraph">
                  <wp:posOffset>23495</wp:posOffset>
                </wp:positionV>
                <wp:extent cx="4808855" cy="6182995"/>
                <wp:effectExtent l="12700" t="12700" r="17145" b="14605"/>
                <wp:wrapThrough wrapText="bothSides">
                  <wp:wrapPolygon edited="0">
                    <wp:start x="7245" y="-44"/>
                    <wp:lineTo x="7245" y="1154"/>
                    <wp:lineTo x="8443" y="1375"/>
                    <wp:lineTo x="10781" y="1375"/>
                    <wp:lineTo x="10781" y="6344"/>
                    <wp:lineTo x="6617" y="6699"/>
                    <wp:lineTo x="6389" y="6699"/>
                    <wp:lineTo x="6389" y="8607"/>
                    <wp:lineTo x="10040" y="9184"/>
                    <wp:lineTo x="10781" y="9184"/>
                    <wp:lineTo x="7701" y="9361"/>
                    <wp:lineTo x="7701" y="10604"/>
                    <wp:lineTo x="-57" y="11047"/>
                    <wp:lineTo x="-57" y="12645"/>
                    <wp:lineTo x="1141" y="12733"/>
                    <wp:lineTo x="7644" y="12733"/>
                    <wp:lineTo x="7644" y="13443"/>
                    <wp:lineTo x="-57" y="14020"/>
                    <wp:lineTo x="-57" y="17303"/>
                    <wp:lineTo x="4507" y="17702"/>
                    <wp:lineTo x="7701" y="17702"/>
                    <wp:lineTo x="7701" y="18412"/>
                    <wp:lineTo x="-57" y="18723"/>
                    <wp:lineTo x="-57" y="21562"/>
                    <wp:lineTo x="13177" y="21607"/>
                    <wp:lineTo x="21620" y="21607"/>
                    <wp:lineTo x="21620" y="18678"/>
                    <wp:lineTo x="13406" y="18412"/>
                    <wp:lineTo x="13406" y="17702"/>
                    <wp:lineTo x="16771" y="17702"/>
                    <wp:lineTo x="21506" y="17303"/>
                    <wp:lineTo x="21563" y="14109"/>
                    <wp:lineTo x="13348" y="13443"/>
                    <wp:lineTo x="13348" y="12733"/>
                    <wp:lineTo x="20365" y="12733"/>
                    <wp:lineTo x="21620" y="12645"/>
                    <wp:lineTo x="21620" y="11047"/>
                    <wp:lineTo x="20935" y="10959"/>
                    <wp:lineTo x="13406" y="10604"/>
                    <wp:lineTo x="13520" y="9450"/>
                    <wp:lineTo x="13177" y="9361"/>
                    <wp:lineTo x="10781" y="9184"/>
                    <wp:lineTo x="11238" y="9184"/>
                    <wp:lineTo x="15060" y="8563"/>
                    <wp:lineTo x="15174" y="6788"/>
                    <wp:lineTo x="14832" y="6699"/>
                    <wp:lineTo x="10724" y="6344"/>
                    <wp:lineTo x="10781" y="1375"/>
                    <wp:lineTo x="11808" y="1375"/>
                    <wp:lineTo x="12607" y="1065"/>
                    <wp:lineTo x="12550" y="-44"/>
                    <wp:lineTo x="7245" y="-44"/>
                  </wp:wrapPolygon>
                </wp:wrapThrough>
                <wp:docPr id="19" name="Group 19" descr="Figure 1"/>
                <wp:cNvGraphicFramePr/>
                <a:graphic xmlns:a="http://schemas.openxmlformats.org/drawingml/2006/main">
                  <a:graphicData uri="http://schemas.microsoft.com/office/word/2010/wordprocessingGroup">
                    <wpg:wgp>
                      <wpg:cNvGrpSpPr/>
                      <wpg:grpSpPr>
                        <a:xfrm>
                          <a:off x="0" y="0"/>
                          <a:ext cx="4808855" cy="6182995"/>
                          <a:chOff x="528906" y="305584"/>
                          <a:chExt cx="3633031" cy="3470120"/>
                        </a:xfrm>
                      </wpg:grpSpPr>
                      <wps:wsp>
                        <wps:cNvPr id="20" name="Rectangle 20"/>
                        <wps:cNvSpPr/>
                        <wps:spPr>
                          <a:xfrm>
                            <a:off x="1772873" y="305584"/>
                            <a:ext cx="845305" cy="186288"/>
                          </a:xfrm>
                          <a:prstGeom prst="rect">
                            <a:avLst/>
                          </a:prstGeom>
                          <a:solidFill>
                            <a:srgbClr val="6AAC90"/>
                          </a:solidFill>
                          <a:ln w="19050" cap="rnd" cmpd="sng" algn="ctr">
                            <a:solidFill>
                              <a:srgbClr val="6AAC90">
                                <a:shade val="50000"/>
                              </a:srgbClr>
                            </a:solidFill>
                            <a:prstDash val="solid"/>
                          </a:ln>
                          <a:effectLst/>
                        </wps:spPr>
                        <wps:txbx>
                          <w:txbxContent>
                            <w:p w14:paraId="15B6ECB1" w14:textId="77777777" w:rsidR="00307C1C" w:rsidRPr="002B6C1A" w:rsidRDefault="00307C1C" w:rsidP="00053C42">
                              <w:pPr>
                                <w:pStyle w:val="MDPI42tablebody"/>
                                <w:rPr>
                                  <w:rFonts w:ascii="Palatino" w:hAnsi="Palatino"/>
                                  <w:sz w:val="18"/>
                                  <w:szCs w:val="18"/>
                                  <w:lang w:val="en-GB"/>
                                </w:rPr>
                              </w:pPr>
                              <w:r w:rsidRPr="002B6C1A">
                                <w:rPr>
                                  <w:rFonts w:ascii="Palatino" w:hAnsi="Palatino"/>
                                  <w:sz w:val="18"/>
                                  <w:szCs w:val="18"/>
                                </w:rPr>
                                <w:t>Enrolment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1853315" y="1829013"/>
                            <a:ext cx="912495" cy="245761"/>
                          </a:xfrm>
                          <a:prstGeom prst="rect">
                            <a:avLst/>
                          </a:prstGeom>
                          <a:solidFill>
                            <a:srgbClr val="6AAC90"/>
                          </a:solidFill>
                          <a:ln w="19050" cap="rnd" cmpd="sng" algn="ctr">
                            <a:solidFill>
                              <a:srgbClr val="6AAC90">
                                <a:shade val="50000"/>
                              </a:srgbClr>
                            </a:solidFill>
                            <a:prstDash val="solid"/>
                          </a:ln>
                          <a:effectLst/>
                        </wps:spPr>
                        <wps:txbx>
                          <w:txbxContent>
                            <w:p w14:paraId="78B89995" w14:textId="77777777" w:rsidR="00307C1C" w:rsidRPr="002B6C1A" w:rsidRDefault="00307C1C" w:rsidP="0024654B">
                              <w:pPr>
                                <w:jc w:val="center"/>
                                <w:rPr>
                                  <w:rFonts w:ascii="Palatino" w:hAnsi="Palatino"/>
                                  <w:sz w:val="18"/>
                                  <w:szCs w:val="18"/>
                                  <w:lang w:val="en-GB"/>
                                </w:rPr>
                              </w:pPr>
                              <w:r w:rsidRPr="002B6C1A">
                                <w:rPr>
                                  <w:rFonts w:ascii="Palatino" w:hAnsi="Palatino"/>
                                  <w:sz w:val="18"/>
                                  <w:szCs w:val="18"/>
                                  <w:lang w:val="en-GB"/>
                                </w:rPr>
                                <w:t>Allocation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1843466" y="2348494"/>
                            <a:ext cx="914400" cy="228600"/>
                          </a:xfrm>
                          <a:prstGeom prst="rect">
                            <a:avLst/>
                          </a:prstGeom>
                          <a:solidFill>
                            <a:srgbClr val="6AAC90"/>
                          </a:solidFill>
                          <a:ln w="19050" cap="rnd" cmpd="sng" algn="ctr">
                            <a:solidFill>
                              <a:srgbClr val="6AAC90">
                                <a:shade val="50000"/>
                              </a:srgbClr>
                            </a:solidFill>
                            <a:prstDash val="solid"/>
                          </a:ln>
                          <a:effectLst/>
                        </wps:spPr>
                        <wps:txbx>
                          <w:txbxContent>
                            <w:p w14:paraId="6BA01267" w14:textId="77777777" w:rsidR="00307C1C" w:rsidRPr="002B6C1A" w:rsidRDefault="00307C1C" w:rsidP="0024654B">
                              <w:pPr>
                                <w:jc w:val="center"/>
                                <w:rPr>
                                  <w:rFonts w:ascii="Palatino" w:hAnsi="Palatino"/>
                                  <w:sz w:val="18"/>
                                  <w:szCs w:val="18"/>
                                  <w:lang w:val="en-GB"/>
                                </w:rPr>
                              </w:pPr>
                              <w:r w:rsidRPr="002B6C1A">
                                <w:rPr>
                                  <w:rFonts w:ascii="Palatino" w:hAnsi="Palatino"/>
                                  <w:sz w:val="18"/>
                                  <w:szCs w:val="18"/>
                                  <w:lang w:val="en-GB"/>
                                </w:rPr>
                                <w:t>12-week assessment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1853315" y="3100442"/>
                            <a:ext cx="913130" cy="225425"/>
                          </a:xfrm>
                          <a:prstGeom prst="rect">
                            <a:avLst/>
                          </a:prstGeom>
                          <a:solidFill>
                            <a:srgbClr val="6AAC90"/>
                          </a:solidFill>
                          <a:ln w="19050" cap="rnd" cmpd="sng" algn="ctr">
                            <a:solidFill>
                              <a:srgbClr val="6AAC90">
                                <a:shade val="50000"/>
                              </a:srgbClr>
                            </a:solidFill>
                            <a:prstDash val="solid"/>
                          </a:ln>
                          <a:effectLst/>
                        </wps:spPr>
                        <wps:txbx>
                          <w:txbxContent>
                            <w:p w14:paraId="47670BE4" w14:textId="77777777" w:rsidR="00307C1C" w:rsidRPr="002B6C1A" w:rsidRDefault="00307C1C" w:rsidP="0024654B">
                              <w:pPr>
                                <w:jc w:val="center"/>
                                <w:rPr>
                                  <w:rFonts w:ascii="Palatino" w:hAnsi="Palatino"/>
                                  <w:sz w:val="18"/>
                                  <w:szCs w:val="18"/>
                                  <w:lang w:val="en-GB"/>
                                </w:rPr>
                              </w:pPr>
                              <w:r w:rsidRPr="002B6C1A">
                                <w:rPr>
                                  <w:rFonts w:ascii="Palatino" w:hAnsi="Palatino"/>
                                  <w:sz w:val="18"/>
                                  <w:szCs w:val="18"/>
                                  <w:lang w:val="en-GB"/>
                                </w:rPr>
                                <w:t>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tangle 25"/>
                        <wps:cNvSpPr/>
                        <wps:spPr>
                          <a:xfrm>
                            <a:off x="1636924" y="1402917"/>
                            <a:ext cx="1402507" cy="284589"/>
                          </a:xfrm>
                          <a:prstGeom prst="rect">
                            <a:avLst/>
                          </a:prstGeom>
                          <a:solidFill>
                            <a:sysClr val="window" lastClr="FFFFFF"/>
                          </a:solidFill>
                          <a:ln w="19050" cap="rnd" cmpd="sng" algn="ctr">
                            <a:solidFill>
                              <a:srgbClr val="9E5E9B"/>
                            </a:solidFill>
                            <a:prstDash val="solid"/>
                          </a:ln>
                          <a:effectLst/>
                        </wps:spPr>
                        <wps:txbx>
                          <w:txbxContent>
                            <w:p w14:paraId="50ADE834" w14:textId="77777777" w:rsidR="00307C1C" w:rsidRPr="00985B30" w:rsidRDefault="00307C1C" w:rsidP="002B6C1A">
                              <w:pPr>
                                <w:pStyle w:val="NoSpacing"/>
                                <w:jc w:val="center"/>
                                <w:rPr>
                                  <w:sz w:val="16"/>
                                  <w:szCs w:val="16"/>
                                  <w:lang w:val="en-GB"/>
                                </w:rPr>
                              </w:pPr>
                              <w:r w:rsidRPr="00985B30">
                                <w:rPr>
                                  <w:sz w:val="16"/>
                                  <w:szCs w:val="16"/>
                                  <w:lang w:val="en-GB"/>
                                </w:rPr>
                                <w:t>Agreed to participate</w:t>
                              </w:r>
                            </w:p>
                            <w:p w14:paraId="3AB1E995" w14:textId="77777777" w:rsidR="00307C1C" w:rsidRPr="00985B30" w:rsidRDefault="00307C1C" w:rsidP="002B6C1A">
                              <w:pPr>
                                <w:pStyle w:val="NoSpacing"/>
                                <w:jc w:val="center"/>
                                <w:rPr>
                                  <w:sz w:val="16"/>
                                  <w:szCs w:val="16"/>
                                  <w:lang w:val="en-GB"/>
                                </w:rPr>
                              </w:pPr>
                              <w:r w:rsidRPr="00985B30">
                                <w:rPr>
                                  <w:sz w:val="16"/>
                                  <w:szCs w:val="16"/>
                                  <w:lang w:val="en-GB"/>
                                </w:rPr>
                                <w:t>Recruited and Randomised (n=40)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547095" y="2100797"/>
                            <a:ext cx="1296371" cy="236256"/>
                          </a:xfrm>
                          <a:prstGeom prst="rect">
                            <a:avLst/>
                          </a:prstGeom>
                          <a:solidFill>
                            <a:sysClr val="window" lastClr="FFFFFF"/>
                          </a:solidFill>
                          <a:ln w="19050" cap="rnd" cmpd="sng" algn="ctr">
                            <a:solidFill>
                              <a:srgbClr val="9E5E9B"/>
                            </a:solidFill>
                            <a:prstDash val="solid"/>
                          </a:ln>
                          <a:effectLst/>
                        </wps:spPr>
                        <wps:txbx>
                          <w:txbxContent>
                            <w:p w14:paraId="76451B4A" w14:textId="77777777" w:rsidR="00307C1C" w:rsidRPr="002B6C1A" w:rsidRDefault="00307C1C" w:rsidP="0024654B">
                              <w:pPr>
                                <w:pStyle w:val="NoSpacing"/>
                                <w:jc w:val="center"/>
                                <w:rPr>
                                  <w:sz w:val="16"/>
                                  <w:szCs w:val="16"/>
                                  <w:lang w:val="en-GB"/>
                                </w:rPr>
                              </w:pPr>
                              <w:r w:rsidRPr="002B6C1A">
                                <w:rPr>
                                  <w:sz w:val="16"/>
                                  <w:szCs w:val="16"/>
                                  <w:lang w:val="en-GB"/>
                                </w:rPr>
                                <w:t>WALC-R (n=20)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2757866" y="2093145"/>
                            <a:ext cx="1387507" cy="243908"/>
                          </a:xfrm>
                          <a:prstGeom prst="rect">
                            <a:avLst/>
                          </a:prstGeom>
                          <a:solidFill>
                            <a:sysClr val="window" lastClr="FFFFFF"/>
                          </a:solidFill>
                          <a:ln w="19050" cap="rnd" cmpd="sng" algn="ctr">
                            <a:solidFill>
                              <a:srgbClr val="9E5E9B"/>
                            </a:solidFill>
                            <a:prstDash val="solid"/>
                          </a:ln>
                          <a:effectLst/>
                        </wps:spPr>
                        <wps:txbx>
                          <w:txbxContent>
                            <w:p w14:paraId="08527B06" w14:textId="77777777" w:rsidR="00307C1C" w:rsidRPr="002B6C1A" w:rsidRDefault="00307C1C" w:rsidP="0024654B">
                              <w:pPr>
                                <w:pStyle w:val="NoSpacing"/>
                                <w:jc w:val="center"/>
                                <w:rPr>
                                  <w:sz w:val="16"/>
                                  <w:szCs w:val="16"/>
                                  <w:lang w:val="en-GB"/>
                                </w:rPr>
                              </w:pPr>
                              <w:r w:rsidRPr="002B6C1A">
                                <w:rPr>
                                  <w:sz w:val="16"/>
                                  <w:szCs w:val="16"/>
                                  <w:lang w:val="en-GB"/>
                                </w:rPr>
                                <w:t>Information sheet (n=20)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547095" y="2577094"/>
                            <a:ext cx="1296371" cy="509281"/>
                          </a:xfrm>
                          <a:prstGeom prst="rect">
                            <a:avLst/>
                          </a:prstGeom>
                          <a:solidFill>
                            <a:sysClr val="window" lastClr="FFFFFF"/>
                          </a:solidFill>
                          <a:ln w="19050" cap="rnd" cmpd="sng" algn="ctr">
                            <a:solidFill>
                              <a:srgbClr val="9E5E9B"/>
                            </a:solidFill>
                            <a:prstDash val="solid"/>
                          </a:ln>
                          <a:effectLst/>
                        </wps:spPr>
                        <wps:txbx>
                          <w:txbxContent>
                            <w:p w14:paraId="23D763CE" w14:textId="77777777" w:rsidR="00307C1C" w:rsidRPr="002B6C1A" w:rsidRDefault="00307C1C" w:rsidP="0024654B">
                              <w:pPr>
                                <w:pStyle w:val="NoSpacing"/>
                                <w:jc w:val="center"/>
                                <w:rPr>
                                  <w:sz w:val="16"/>
                                  <w:szCs w:val="16"/>
                                  <w:lang w:val="en-GB"/>
                                </w:rPr>
                              </w:pPr>
                              <w:r w:rsidRPr="002B6C1A">
                                <w:rPr>
                                  <w:sz w:val="16"/>
                                  <w:szCs w:val="16"/>
                                  <w:lang w:val="en-GB"/>
                                </w:rPr>
                                <w:t>Lost to follow-up (give reasons) (n=8)</w:t>
                              </w:r>
                            </w:p>
                            <w:p w14:paraId="191C8F62" w14:textId="77777777" w:rsidR="00307C1C" w:rsidRPr="002B6C1A" w:rsidRDefault="00307C1C" w:rsidP="0024654B">
                              <w:pPr>
                                <w:pStyle w:val="NoSpacing"/>
                                <w:jc w:val="center"/>
                                <w:rPr>
                                  <w:sz w:val="16"/>
                                  <w:szCs w:val="16"/>
                                  <w:lang w:val="en-GB"/>
                                </w:rPr>
                              </w:pPr>
                              <w:r w:rsidRPr="002B6C1A">
                                <w:rPr>
                                  <w:sz w:val="16"/>
                                  <w:szCs w:val="16"/>
                                  <w:lang w:val="en-GB"/>
                                </w:rPr>
                                <w:t>Based on 40% attrition rate</w:t>
                              </w:r>
                            </w:p>
                            <w:p w14:paraId="77B56942" w14:textId="116F71EE" w:rsidR="00307C1C" w:rsidRPr="002B6C1A" w:rsidRDefault="00307C1C" w:rsidP="0024654B">
                              <w:pPr>
                                <w:pStyle w:val="NoSpacing"/>
                                <w:jc w:val="center"/>
                                <w:rPr>
                                  <w:sz w:val="16"/>
                                  <w:szCs w:val="16"/>
                                  <w:lang w:val="en-GB"/>
                                </w:rPr>
                              </w:pPr>
                              <w:r w:rsidRPr="002B6C1A">
                                <w:rPr>
                                  <w:sz w:val="16"/>
                                  <w:szCs w:val="16"/>
                                  <w:lang w:val="en-GB"/>
                                </w:rPr>
                                <w:t>Discontinued intervention (</w:t>
                              </w:r>
                              <w:r w:rsidR="005647E2">
                                <w:rPr>
                                  <w:sz w:val="16"/>
                                  <w:szCs w:val="16"/>
                                  <w:lang w:val="en-GB"/>
                                </w:rPr>
                                <w:t>with</w:t>
                              </w:r>
                              <w:r w:rsidRPr="002B6C1A">
                                <w:rPr>
                                  <w:sz w:val="16"/>
                                  <w:szCs w:val="16"/>
                                  <w:lang w:val="en-GB"/>
                                </w:rPr>
                                <w:t xml:space="preserve"> reasons)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2746813" y="2585908"/>
                            <a:ext cx="1373742" cy="500467"/>
                          </a:xfrm>
                          <a:prstGeom prst="rect">
                            <a:avLst/>
                          </a:prstGeom>
                          <a:solidFill>
                            <a:sysClr val="window" lastClr="FFFFFF"/>
                          </a:solidFill>
                          <a:ln w="19050" cap="rnd" cmpd="sng" algn="ctr">
                            <a:solidFill>
                              <a:srgbClr val="9E5E9B"/>
                            </a:solidFill>
                            <a:prstDash val="solid"/>
                          </a:ln>
                          <a:effectLst/>
                        </wps:spPr>
                        <wps:txbx>
                          <w:txbxContent>
                            <w:p w14:paraId="1717CABD" w14:textId="77777777" w:rsidR="00307C1C" w:rsidRPr="002B6C1A" w:rsidRDefault="00307C1C" w:rsidP="0024654B">
                              <w:pPr>
                                <w:pStyle w:val="NoSpacing"/>
                                <w:jc w:val="center"/>
                                <w:rPr>
                                  <w:sz w:val="16"/>
                                  <w:szCs w:val="16"/>
                                  <w:lang w:val="en-GB"/>
                                </w:rPr>
                              </w:pPr>
                              <w:r w:rsidRPr="002B6C1A">
                                <w:rPr>
                                  <w:sz w:val="16"/>
                                  <w:szCs w:val="16"/>
                                  <w:lang w:val="en-GB"/>
                                </w:rPr>
                                <w:t>Lost to follow-up (give reasons) (n=8)</w:t>
                              </w:r>
                            </w:p>
                            <w:p w14:paraId="06C97DA5" w14:textId="77777777" w:rsidR="00307C1C" w:rsidRPr="002B6C1A" w:rsidRDefault="00307C1C" w:rsidP="0024654B">
                              <w:pPr>
                                <w:pStyle w:val="NoSpacing"/>
                                <w:jc w:val="center"/>
                                <w:rPr>
                                  <w:sz w:val="16"/>
                                  <w:szCs w:val="16"/>
                                  <w:lang w:val="en-GB"/>
                                </w:rPr>
                              </w:pPr>
                              <w:r w:rsidRPr="002B6C1A">
                                <w:rPr>
                                  <w:sz w:val="16"/>
                                  <w:szCs w:val="16"/>
                                  <w:lang w:val="en-GB"/>
                                </w:rPr>
                                <w:t>Based on 40% attrition rate</w:t>
                              </w:r>
                            </w:p>
                            <w:p w14:paraId="7AE5D344" w14:textId="76670C51" w:rsidR="00307C1C" w:rsidRPr="002B6C1A" w:rsidRDefault="00307C1C" w:rsidP="0024654B">
                              <w:pPr>
                                <w:pStyle w:val="NoSpacing"/>
                                <w:jc w:val="center"/>
                                <w:rPr>
                                  <w:sz w:val="16"/>
                                  <w:szCs w:val="16"/>
                                  <w:lang w:val="en-GB"/>
                                </w:rPr>
                              </w:pPr>
                              <w:r w:rsidRPr="002B6C1A">
                                <w:rPr>
                                  <w:sz w:val="16"/>
                                  <w:szCs w:val="16"/>
                                  <w:lang w:val="en-GB"/>
                                </w:rPr>
                                <w:t>Discontinued intervention (</w:t>
                              </w:r>
                              <w:r w:rsidR="005647E2">
                                <w:rPr>
                                  <w:sz w:val="16"/>
                                  <w:szCs w:val="16"/>
                                  <w:lang w:val="en-GB"/>
                                </w:rPr>
                                <w:t>with</w:t>
                              </w:r>
                              <w:r w:rsidRPr="002B6C1A">
                                <w:rPr>
                                  <w:sz w:val="16"/>
                                  <w:szCs w:val="16"/>
                                  <w:lang w:val="en-GB"/>
                                </w:rPr>
                                <w:t xml:space="preserve"> reasons) </w:t>
                              </w:r>
                            </w:p>
                            <w:p w14:paraId="5DE6DDF9" w14:textId="77777777" w:rsidR="00307C1C" w:rsidRPr="002B6C1A" w:rsidRDefault="00307C1C" w:rsidP="0024654B">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30"/>
                        <wps:cNvSpPr/>
                        <wps:spPr>
                          <a:xfrm>
                            <a:off x="528906" y="3335626"/>
                            <a:ext cx="1314560" cy="434357"/>
                          </a:xfrm>
                          <a:prstGeom prst="rect">
                            <a:avLst/>
                          </a:prstGeom>
                          <a:solidFill>
                            <a:sysClr val="window" lastClr="FFFFFF"/>
                          </a:solidFill>
                          <a:ln w="19050" cap="rnd" cmpd="sng" algn="ctr">
                            <a:solidFill>
                              <a:srgbClr val="9E5E9B"/>
                            </a:solidFill>
                            <a:prstDash val="solid"/>
                          </a:ln>
                          <a:effectLst/>
                        </wps:spPr>
                        <wps:txbx>
                          <w:txbxContent>
                            <w:p w14:paraId="63BA13B4" w14:textId="0D32BFFF" w:rsidR="00307C1C" w:rsidRPr="002B6C1A" w:rsidRDefault="00307C1C" w:rsidP="005647E2">
                              <w:pPr>
                                <w:pStyle w:val="NoSpacing"/>
                                <w:jc w:val="center"/>
                                <w:rPr>
                                  <w:sz w:val="16"/>
                                  <w:szCs w:val="16"/>
                                  <w:lang w:val="en-GB"/>
                                </w:rPr>
                              </w:pPr>
                              <w:r w:rsidRPr="002B6C1A">
                                <w:rPr>
                                  <w:sz w:val="16"/>
                                  <w:szCs w:val="16"/>
                                  <w:lang w:val="en-GB"/>
                                </w:rPr>
                                <w:t>Analysed (n=12</w:t>
                              </w:r>
                              <w:r w:rsidR="005647E2">
                                <w:rPr>
                                  <w:sz w:val="16"/>
                                  <w:szCs w:val="16"/>
                                  <w:lang w:val="en-G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2775350" y="3325867"/>
                            <a:ext cx="1386587" cy="449837"/>
                          </a:xfrm>
                          <a:prstGeom prst="rect">
                            <a:avLst/>
                          </a:prstGeom>
                          <a:solidFill>
                            <a:sysClr val="window" lastClr="FFFFFF"/>
                          </a:solidFill>
                          <a:ln w="19050" cap="rnd" cmpd="sng" algn="ctr">
                            <a:solidFill>
                              <a:srgbClr val="9E5E9B"/>
                            </a:solidFill>
                            <a:prstDash val="solid"/>
                          </a:ln>
                          <a:effectLst/>
                        </wps:spPr>
                        <wps:txbx>
                          <w:txbxContent>
                            <w:p w14:paraId="3F3B15DC" w14:textId="77777777" w:rsidR="00307C1C" w:rsidRPr="002B6C1A" w:rsidRDefault="00307C1C" w:rsidP="0024654B">
                              <w:pPr>
                                <w:pStyle w:val="NoSpacing"/>
                                <w:jc w:val="center"/>
                                <w:rPr>
                                  <w:sz w:val="16"/>
                                  <w:szCs w:val="16"/>
                                  <w:lang w:val="en-GB"/>
                                </w:rPr>
                              </w:pPr>
                            </w:p>
                            <w:p w14:paraId="58C274DC" w14:textId="77777777" w:rsidR="00307C1C" w:rsidRPr="002B6C1A" w:rsidRDefault="00307C1C" w:rsidP="0024654B">
                              <w:pPr>
                                <w:pStyle w:val="NoSpacing"/>
                                <w:jc w:val="center"/>
                                <w:rPr>
                                  <w:sz w:val="16"/>
                                  <w:szCs w:val="16"/>
                                  <w:lang w:val="en-GB"/>
                                </w:rPr>
                              </w:pPr>
                              <w:r w:rsidRPr="002B6C1A">
                                <w:rPr>
                                  <w:sz w:val="16"/>
                                  <w:szCs w:val="16"/>
                                  <w:lang w:val="en-GB"/>
                                </w:rPr>
                                <w:t>Analysed (n=12)</w:t>
                              </w:r>
                            </w:p>
                            <w:p w14:paraId="3709F0E4" w14:textId="6A545F9C" w:rsidR="00307C1C" w:rsidRPr="002B6C1A" w:rsidRDefault="00307C1C" w:rsidP="005647E2">
                              <w:pPr>
                                <w:pStyle w:val="NoSpacing"/>
                                <w:rPr>
                                  <w:sz w:val="16"/>
                                  <w:szCs w:val="16"/>
                                  <w:lang w:val="en-GB"/>
                                </w:rPr>
                              </w:pPr>
                            </w:p>
                            <w:p w14:paraId="136B33EC" w14:textId="77777777" w:rsidR="00307C1C" w:rsidRPr="002B6C1A" w:rsidRDefault="00307C1C" w:rsidP="0024654B">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5283214" id="Group 19" o:spid="_x0000_s1026" alt="Figure 1" style="position:absolute;left:0;text-align:left;margin-left:25.8pt;margin-top:1.85pt;width:378.65pt;height:486.85pt;z-index:251662336;mso-width-relative:margin;mso-height-relative:margin" coordorigin="5289,3055" coordsize="36330,34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WUHQQUAAEYpAAAOAAAAZHJzL2Uyb0RvYy54bWzsWllv4zYQfi/Q/yDovbHEQ6KMOAs3Fwos&#10;doNmi31mdFmAJKqkHDv99R1SlOzYLupkg30Q5AdZFM/5ON/M8Lj8tK1K5zmVqhD1wvUvPNdJ61gk&#10;RZ0v3L++3f3GXEe1vE54Kep04b6kyv109esvl5tmniKxEmWSSgcaqdV80yzcVds289lMxau04upC&#10;NGkNmZmQFW8hKfNZIvkGWq/KGfK8YLYRMmmkiFOl4OtNl+lemfazLI3br1mm0tYpFy6MrTVPaZ5P&#10;+jm7uuTzXPJmVcR2GPwdo6h4UUOnQ1M3vOXOWhZHTVVFLIUSWXsRi2omsqyIUyMDSON7B9LcS7Fu&#10;jCz5fJM3A0wA7QFO7242/vL8IJ0igbmLXKfmFcyR6dbR6SRVMYB1V+RrmTq+RmvT5HOodC+bx+ZB&#10;2g95l9IAbDNZ6X8QzdkanF8GnNNt68TwkTCPMUpdJ4a8wGcoimg3E/EKpkvXo4hFXuA6UAB7lDLS&#10;59/aNnCAsYf9rg1MQs9HZjZn/RBmeqTDwDYN6JfaQah+DMLHFW9SMzNKo2EhhBFYCP8ExeN1XqZO&#10;NyrdPZQbIFNzBeidwMsPQ8RCfCR4Dx0jFPDopPZZgBjTwAxC83kjVXufisrRLwtXwkCMYvLnz6rt&#10;ivZFdPdKlEVyV5SlScj86bqUzjMHtgTL5XXUQ/qqWFk7G60vHgV5Yw6slXUCb1UDaqTq3HV4mYM1&#10;iFtpun5VWZ3ow/S94kna9Uw9+FmxbHEj4qt2tBA3XK26KibLVilr3V5qyG9l1vB3gOu3dvu0NYqr&#10;5k8ieYHJk6IzDKqJ7wpo+DNX7QOXYAlAQrBu7Vd4ZKUAsYV9c52VkP+c+q7Lg3ZBrutswLIAJn+v&#10;uUxdp/yjBr2LfEK0KTIJQkOtNXI/52k/p15X1wKmAzQdRmdedfm27F8zKarvYASXulfI4nUMfXfo&#10;28R121k8MKNxulyaYmB+Gt5+rh+bWDeuIdOQftt+57KxytOC1n0Rva7z+YEOdWV1zVos163ICqNg&#10;GuIOV5g1nQDeabvxMwgIKHU2bI+A1mydS0BGMfaBYWB5tGXyfNyZnp6BkY8ImCtjuxBMX2Danxio&#10;DclbGNg5HV1jpzATEcdCRHSCiKif7PM8ISOYBF0IgDBhJLIxwI6IYEfB4OkgAiEWDD6jD0F6Pze5&#10;Qh0H/6crNEQc5mbyiOPyiBBKHnlE49G01T2TiDuPiH3PI8QoC4RYNhSPfOzjgYiUIBPMTx7xXR5x&#10;mJuJiOMiIoSMR0Q0RDmfiAEOIkS60JR4KPLD16GpDx+pF1qXCEtFFtmI7ENc4osaFoewA5OIDaxo&#10;YKEEH2GLwPxsb2Y11i8qP261GN3S2+j3U3384GLQeEATXUyh6PjWhBBCHhEv0Fp0NvEobC/pJZ8O&#10;NMEBhtEh71AU4NDuRSEcIGra/ygPOG7eDTZwcnjjcnjgh454Z4hzNu9QSEPWLwG9CPvEbhP3kaeP&#10;WbhzeARH3oduh46beIMNnIg3LuLBkdsR8QwvzibevsOjITi/g60Xf9/hUS9C7EM3QcfNu8EGTrwb&#10;F++GA9S9wwezADubdygkAYMDBxNpUkatP9tttfg4xCHsv5hNTzgnI4HRpinS/J/jPrPCG2zgRLxR&#10;EU/vPR46PPj2phXe3nUDjGmATHC0zzuIPQO7xwnnEphOvDvnmN3wbrCBE+/GxbsTp+1wI+ctvENh&#10;SLG+RqLv+WBEWefP9onHAsrsliYhEcMT8c4mnj8YwYl5P4t55toZXNYzN5bsxUJ9G3A/be7F7K4/&#10;Xv0LAAD//wMAUEsDBBQABgAIAAAAIQBruhKz4AAAAAgBAAAPAAAAZHJzL2Rvd25yZXYueG1sTI9B&#10;S8NAFITvgv9heYI3u4m1TRqzKaWopyLYCuLtNfuahGbfhuw2Sf+960mPwwwz3+TrybRioN41lhXE&#10;swgEcWl1w5WCz8PrQwrCeWSNrWVScCUH6+L2JsdM25E/aNj7SoQSdhkqqL3vMildWZNBN7MdcfBO&#10;tjfog+wrqXscQ7lp5WMULaXBhsNCjR1tayrP+4tR8DbiuJnHL8PufNpevw+L969dTErd302bZxCe&#10;Jv8Xhl/8gA5FYDraC2snWgWLeBmSCuYJiGCnUboCcVSwSpInkEUu/x8ofgAAAP//AwBQSwECLQAU&#10;AAYACAAAACEAtoM4kv4AAADhAQAAEwAAAAAAAAAAAAAAAAAAAAAAW0NvbnRlbnRfVHlwZXNdLnht&#10;bFBLAQItABQABgAIAAAAIQA4/SH/1gAAAJQBAAALAAAAAAAAAAAAAAAAAC8BAABfcmVscy8ucmVs&#10;c1BLAQItABQABgAIAAAAIQAGjWUHQQUAAEYpAAAOAAAAAAAAAAAAAAAAAC4CAABkcnMvZTJvRG9j&#10;LnhtbFBLAQItABQABgAIAAAAIQBruhKz4AAAAAgBAAAPAAAAAAAAAAAAAAAAAJsHAABkcnMvZG93&#10;bnJldi54bWxQSwUGAAAAAAQABADzAAAAqAgAAAAA&#10;">
                <v:rect id="Rectangle 20" o:spid="_x0000_s1027" style="position:absolute;left:17728;top:3055;width:8453;height:18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g7avQAAANsAAAAPAAAAZHJzL2Rvd25yZXYueG1sRE9LCsIw&#10;EN0L3iGM4E7TKn6oRhFBcNOFnwOMzdhWm0lpoq23NwvB5eP919vOVOJNjSstK4jHEQjizOqScwXX&#10;y2G0BOE8ssbKMin4kIPtpt9bY6Jtyyd6n30uQgi7BBUU3teJlC4ryKAb25o4cHfbGPQBNrnUDbYh&#10;3FRyEkVzabDk0FBgTfuCsuf5ZRTwLU4Xj88uvrk2TWelWR6fU6fUcNDtViA8df4v/rmPWsEkrA9f&#10;wg+Qmy8AAAD//wMAUEsBAi0AFAAGAAgAAAAhANvh9svuAAAAhQEAABMAAAAAAAAAAAAAAAAAAAAA&#10;AFtDb250ZW50X1R5cGVzXS54bWxQSwECLQAUAAYACAAAACEAWvQsW78AAAAVAQAACwAAAAAAAAAA&#10;AAAAAAAfAQAAX3JlbHMvLnJlbHNQSwECLQAUAAYACAAAACEAFGIO2r0AAADbAAAADwAAAAAAAAAA&#10;AAAAAAAHAgAAZHJzL2Rvd25yZXYueG1sUEsFBgAAAAADAAMAtwAAAPECAAAAAA==&#10;" fillcolor="#6aac90" strokecolor="#4c7d68" strokeweight="1.5pt">
                  <v:stroke endcap="round"/>
                  <v:textbox>
                    <w:txbxContent>
                      <w:p w14:paraId="15B6ECB1" w14:textId="77777777" w:rsidR="00307C1C" w:rsidRPr="002B6C1A" w:rsidRDefault="00307C1C" w:rsidP="00053C42">
                        <w:pPr>
                          <w:pStyle w:val="MDPI42tablebody"/>
                          <w:rPr>
                            <w:rFonts w:ascii="Palatino" w:hAnsi="Palatino"/>
                            <w:sz w:val="18"/>
                            <w:szCs w:val="18"/>
                            <w:lang w:val="en-GB"/>
                          </w:rPr>
                        </w:pPr>
                        <w:r w:rsidRPr="002B6C1A">
                          <w:rPr>
                            <w:rFonts w:ascii="Palatino" w:hAnsi="Palatino"/>
                            <w:sz w:val="18"/>
                            <w:szCs w:val="18"/>
                          </w:rPr>
                          <w:t>Enrolment</w:t>
                        </w:r>
                      </w:p>
                    </w:txbxContent>
                  </v:textbox>
                </v:rect>
                <v:rect id="Rectangle 21" o:spid="_x0000_s1028" style="position:absolute;left:18533;top:18290;width:9125;height:2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qtBwwAAANsAAAAPAAAAZHJzL2Rvd25yZXYueG1sRI9Ba4NA&#10;FITvhfyH5QVyq6sJbcRklRAo5OKhaX7A031RE/etuNto/n23UOhxmJlvmH0xm148aHSdZQVJFIMg&#10;rq3uuFFw+fp4TUE4j6yxt0wKnuSgyBcve8y0nfiTHmffiABhl6GC1vshk9LVLRl0kR2Ig3e1o0Ef&#10;5NhIPeIU4KaX6zh+lwY7DgstDnRsqb6fv40CrpJye3sekspNZfnWmfR03zilVsv5sAPhafb/4b/2&#10;SStYJ/D7JfwAmf8AAAD//wMAUEsBAi0AFAAGAAgAAAAhANvh9svuAAAAhQEAABMAAAAAAAAAAAAA&#10;AAAAAAAAAFtDb250ZW50X1R5cGVzXS54bWxQSwECLQAUAAYACAAAACEAWvQsW78AAAAVAQAACwAA&#10;AAAAAAAAAAAAAAAfAQAAX3JlbHMvLnJlbHNQSwECLQAUAAYACAAAACEAey6rQcMAAADbAAAADwAA&#10;AAAAAAAAAAAAAAAHAgAAZHJzL2Rvd25yZXYueG1sUEsFBgAAAAADAAMAtwAAAPcCAAAAAA==&#10;" fillcolor="#6aac90" strokecolor="#4c7d68" strokeweight="1.5pt">
                  <v:stroke endcap="round"/>
                  <v:textbox>
                    <w:txbxContent>
                      <w:p w14:paraId="78B89995" w14:textId="77777777" w:rsidR="00307C1C" w:rsidRPr="002B6C1A" w:rsidRDefault="00307C1C" w:rsidP="0024654B">
                        <w:pPr>
                          <w:jc w:val="center"/>
                          <w:rPr>
                            <w:rFonts w:ascii="Palatino" w:hAnsi="Palatino"/>
                            <w:sz w:val="18"/>
                            <w:szCs w:val="18"/>
                            <w:lang w:val="en-GB"/>
                          </w:rPr>
                        </w:pPr>
                        <w:r w:rsidRPr="002B6C1A">
                          <w:rPr>
                            <w:rFonts w:ascii="Palatino" w:hAnsi="Palatino"/>
                            <w:sz w:val="18"/>
                            <w:szCs w:val="18"/>
                            <w:lang w:val="en-GB"/>
                          </w:rPr>
                          <w:t>Allocation</w:t>
                        </w:r>
                      </w:p>
                    </w:txbxContent>
                  </v:textbox>
                </v:rect>
                <v:rect id="Rectangle 22" o:spid="_x0000_s1029" style="position:absolute;left:18434;top:23484;width:9144;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U2wwAAANsAAAAPAAAAZHJzL2Rvd25yZXYueG1sRI9Ba8JA&#10;FITvBf/D8gRvzSaRthJdRYSClxxq+wNess9sNPs2ZLcm/ntXKPQ4zMw3zGY32U7caPCtYwVZkoIg&#10;rp1uuVHw8/35ugLhA7LGzjEpuJOH3Xb2ssFCu5G/6HYKjYgQ9gUqMCH0hZS+NmTRJ64njt7ZDRZD&#10;lEMj9YBjhNtO5mn6Li22HBcM9nQwVF9Pv1YBV1n5cbnvs8qPZfnW2tXxuvRKLebTfg0i0BT+w3/t&#10;o1aQ5/D8En+A3D4AAAD//wMAUEsBAi0AFAAGAAgAAAAhANvh9svuAAAAhQEAABMAAAAAAAAAAAAA&#10;AAAAAAAAAFtDb250ZW50X1R5cGVzXS54bWxQSwECLQAUAAYACAAAACEAWvQsW78AAAAVAQAACwAA&#10;AAAAAAAAAAAAAAAfAQAAX3JlbHMvLnJlbHNQSwECLQAUAAYACAAAACEAi/w1NsMAAADbAAAADwAA&#10;AAAAAAAAAAAAAAAHAgAAZHJzL2Rvd25yZXYueG1sUEsFBgAAAAADAAMAtwAAAPcCAAAAAA==&#10;" fillcolor="#6aac90" strokecolor="#4c7d68" strokeweight="1.5pt">
                  <v:stroke endcap="round"/>
                  <v:textbox>
                    <w:txbxContent>
                      <w:p w14:paraId="6BA01267" w14:textId="77777777" w:rsidR="00307C1C" w:rsidRPr="002B6C1A" w:rsidRDefault="00307C1C" w:rsidP="0024654B">
                        <w:pPr>
                          <w:jc w:val="center"/>
                          <w:rPr>
                            <w:rFonts w:ascii="Palatino" w:hAnsi="Palatino"/>
                            <w:sz w:val="18"/>
                            <w:szCs w:val="18"/>
                            <w:lang w:val="en-GB"/>
                          </w:rPr>
                        </w:pPr>
                        <w:r w:rsidRPr="002B6C1A">
                          <w:rPr>
                            <w:rFonts w:ascii="Palatino" w:hAnsi="Palatino"/>
                            <w:sz w:val="18"/>
                            <w:szCs w:val="18"/>
                            <w:lang w:val="en-GB"/>
                          </w:rPr>
                          <w:t>12-week assessment</w:t>
                        </w:r>
                      </w:p>
                    </w:txbxContent>
                  </v:textbox>
                </v:rect>
                <v:rect id="Rectangle 23" o:spid="_x0000_s1030" style="position:absolute;left:18533;top:31004;width:9131;height:2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JCtwwAAANsAAAAPAAAAZHJzL2Rvd25yZXYueG1sRI9Ba8JA&#10;FITvhf6H5RV6q5sYWiW6CSIUvORQ6w94Zp9JNPs2ZNck/ntXEDwOM/MNs84n04qBetdYVhDPIhDE&#10;pdUNVwoO/79fSxDOI2tsLZOCGznIs/e3NabajvxHw95XIkDYpaig9r5LpXRlTQbdzHbEwTvZ3qAP&#10;sq+k7nEMcNPKeRT9SIMNh4UaO9rWVF72V6OAj3GxON828dGNRfHdmOXukjilPj+mzQqEp8m/ws/2&#10;TiuYJ/D4En6AzO4AAAD//wMAUEsBAi0AFAAGAAgAAAAhANvh9svuAAAAhQEAABMAAAAAAAAAAAAA&#10;AAAAAAAAAFtDb250ZW50X1R5cGVzXS54bWxQSwECLQAUAAYACAAAACEAWvQsW78AAAAVAQAACwAA&#10;AAAAAAAAAAAAAAAfAQAAX3JlbHMvLnJlbHNQSwECLQAUAAYACAAAACEA5LCQrcMAAADbAAAADwAA&#10;AAAAAAAAAAAAAAAHAgAAZHJzL2Rvd25yZXYueG1sUEsFBgAAAAADAAMAtwAAAPcCAAAAAA==&#10;" fillcolor="#6aac90" strokecolor="#4c7d68" strokeweight="1.5pt">
                  <v:stroke endcap="round"/>
                  <v:textbox>
                    <w:txbxContent>
                      <w:p w14:paraId="47670BE4" w14:textId="77777777" w:rsidR="00307C1C" w:rsidRPr="002B6C1A" w:rsidRDefault="00307C1C" w:rsidP="0024654B">
                        <w:pPr>
                          <w:jc w:val="center"/>
                          <w:rPr>
                            <w:rFonts w:ascii="Palatino" w:hAnsi="Palatino"/>
                            <w:sz w:val="18"/>
                            <w:szCs w:val="18"/>
                            <w:lang w:val="en-GB"/>
                          </w:rPr>
                        </w:pPr>
                        <w:r w:rsidRPr="002B6C1A">
                          <w:rPr>
                            <w:rFonts w:ascii="Palatino" w:hAnsi="Palatino"/>
                            <w:sz w:val="18"/>
                            <w:szCs w:val="18"/>
                            <w:lang w:val="en-GB"/>
                          </w:rPr>
                          <w:t>Analysis</w:t>
                        </w:r>
                      </w:p>
                    </w:txbxContent>
                  </v:textbox>
                </v:rect>
                <v:rect id="Rectangle 25" o:spid="_x0000_s1031" style="position:absolute;left:16369;top:14029;width:14025;height:2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4+8xAAAANsAAAAPAAAAZHJzL2Rvd25yZXYueG1sRI9Ba8JA&#10;FITvhf6H5Qleitk0RZHUVYpFqIdSEqXnR/aZDWbfhuyapP/eLRR6HGbmG2azm2wrBup941jBc5KC&#10;IK6cbrhWcD4dFmsQPiBrbB2Tgh/ysNs+Pmww127kgoYy1CJC2OeowITQ5VL6ypBFn7iOOHoX11sM&#10;Ufa11D2OEW5bmaXpSlpsOC4Y7GhvqLqWN6vguJdfurqaz+8XZlO4p+x9eciUms+mt1cQgabwH/5r&#10;f2gF2RJ+v8QfILd3AAAA//8DAFBLAQItABQABgAIAAAAIQDb4fbL7gAAAIUBAAATAAAAAAAAAAAA&#10;AAAAAAAAAABbQ29udGVudF9UeXBlc10ueG1sUEsBAi0AFAAGAAgAAAAhAFr0LFu/AAAAFQEAAAsA&#10;AAAAAAAAAAAAAAAAHwEAAF9yZWxzLy5yZWxzUEsBAi0AFAAGAAgAAAAhAN/nj7zEAAAA2wAAAA8A&#10;AAAAAAAAAAAAAAAABwIAAGRycy9kb3ducmV2LnhtbFBLBQYAAAAAAwADALcAAAD4AgAAAAA=&#10;" fillcolor="window" strokecolor="#9e5e9b" strokeweight="1.5pt">
                  <v:stroke endcap="round"/>
                  <v:textbox>
                    <w:txbxContent>
                      <w:p w14:paraId="50ADE834" w14:textId="77777777" w:rsidR="00307C1C" w:rsidRPr="00985B30" w:rsidRDefault="00307C1C" w:rsidP="002B6C1A">
                        <w:pPr>
                          <w:pStyle w:val="NoSpacing"/>
                          <w:jc w:val="center"/>
                          <w:rPr>
                            <w:sz w:val="16"/>
                            <w:szCs w:val="16"/>
                            <w:lang w:val="en-GB"/>
                          </w:rPr>
                        </w:pPr>
                        <w:r w:rsidRPr="00985B30">
                          <w:rPr>
                            <w:sz w:val="16"/>
                            <w:szCs w:val="16"/>
                            <w:lang w:val="en-GB"/>
                          </w:rPr>
                          <w:t>Agreed to participate</w:t>
                        </w:r>
                      </w:p>
                      <w:p w14:paraId="3AB1E995" w14:textId="77777777" w:rsidR="00307C1C" w:rsidRPr="00985B30" w:rsidRDefault="00307C1C" w:rsidP="002B6C1A">
                        <w:pPr>
                          <w:pStyle w:val="NoSpacing"/>
                          <w:jc w:val="center"/>
                          <w:rPr>
                            <w:sz w:val="16"/>
                            <w:szCs w:val="16"/>
                            <w:lang w:val="en-GB"/>
                          </w:rPr>
                        </w:pPr>
                        <w:r w:rsidRPr="00985B30">
                          <w:rPr>
                            <w:sz w:val="16"/>
                            <w:szCs w:val="16"/>
                            <w:lang w:val="en-GB"/>
                          </w:rPr>
                          <w:t>Recruited and Randomised (n=40)</w:t>
                        </w:r>
                      </w:p>
                    </w:txbxContent>
                  </v:textbox>
                </v:rect>
                <v:rect id="Rectangle 26" o:spid="_x0000_s1032" style="position:absolute;left:5470;top:21007;width:12964;height:23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RHLwgAAANsAAAAPAAAAZHJzL2Rvd25yZXYueG1sRI9Bi8Iw&#10;FITvgv8hPMGLrKmVFekaRRRBD8tSlT0/mrdNsXkpTdT6782C4HGYmW+YxaqztbhR6yvHCibjBARx&#10;4XTFpYLzafcxB+EDssbaMSl4kIfVst9bYKbdnXO6HUMpIoR9hgpMCE0mpS8MWfRj1xBH78+1FkOU&#10;bSl1i/cIt7VMk2QmLVYcFww2tDFUXI5Xq+CwkT+6uJjv3ymzyd0o3X7uUqWGg279BSJQF97hV3uv&#10;FaQz+P8Sf4BcPgEAAP//AwBQSwECLQAUAAYACAAAACEA2+H2y+4AAACFAQAAEwAAAAAAAAAAAAAA&#10;AAAAAAAAW0NvbnRlbnRfVHlwZXNdLnhtbFBLAQItABQABgAIAAAAIQBa9CxbvwAAABUBAAALAAAA&#10;AAAAAAAAAAAAAB8BAABfcmVscy8ucmVsc1BLAQItABQABgAIAAAAIQAvNRHLwgAAANsAAAAPAAAA&#10;AAAAAAAAAAAAAAcCAABkcnMvZG93bnJldi54bWxQSwUGAAAAAAMAAwC3AAAA9gIAAAAA&#10;" fillcolor="window" strokecolor="#9e5e9b" strokeweight="1.5pt">
                  <v:stroke endcap="round"/>
                  <v:textbox>
                    <w:txbxContent>
                      <w:p w14:paraId="76451B4A" w14:textId="77777777" w:rsidR="00307C1C" w:rsidRPr="002B6C1A" w:rsidRDefault="00307C1C" w:rsidP="0024654B">
                        <w:pPr>
                          <w:pStyle w:val="NoSpacing"/>
                          <w:jc w:val="center"/>
                          <w:rPr>
                            <w:sz w:val="16"/>
                            <w:szCs w:val="16"/>
                            <w:lang w:val="en-GB"/>
                          </w:rPr>
                        </w:pPr>
                        <w:r w:rsidRPr="002B6C1A">
                          <w:rPr>
                            <w:sz w:val="16"/>
                            <w:szCs w:val="16"/>
                            <w:lang w:val="en-GB"/>
                          </w:rPr>
                          <w:t>WALC-R (n=20)</w:t>
                        </w:r>
                      </w:p>
                    </w:txbxContent>
                  </v:textbox>
                </v:rect>
                <v:rect id="Rectangle 27" o:spid="_x0000_s1033" style="position:absolute;left:27578;top:20931;width:13875;height:2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bRQxAAAANsAAAAPAAAAZHJzL2Rvd25yZXYueG1sRI9BawIx&#10;FITvgv8hvEIvpWa70lZW4yJbhPYgohXPj+R1s7h5WTapbv+9KQgeh5n5hlmUg2vFmfrQeFbwMslA&#10;EGtvGq4VHL7XzzMQISIbbD2Tgj8KUC7HowUWxl94R+d9rEWCcChQgY2xK6QM2pLDMPEdcfJ+fO8w&#10;JtnX0vR4SXDXyjzL3qTDhtOCxY4qS/q0/3UKviq5NfpkN8cps935p/zjdZ0r9fgwrOYgIg3xHr61&#10;P42C/B3+v6QfIJdXAAAA//8DAFBLAQItABQABgAIAAAAIQDb4fbL7gAAAIUBAAATAAAAAAAAAAAA&#10;AAAAAAAAAABbQ29udGVudF9UeXBlc10ueG1sUEsBAi0AFAAGAAgAAAAhAFr0LFu/AAAAFQEAAAsA&#10;AAAAAAAAAAAAAAAAHwEAAF9yZWxzLy5yZWxzUEsBAi0AFAAGAAgAAAAhAEB5tFDEAAAA2wAAAA8A&#10;AAAAAAAAAAAAAAAABwIAAGRycy9kb3ducmV2LnhtbFBLBQYAAAAAAwADALcAAAD4AgAAAAA=&#10;" fillcolor="window" strokecolor="#9e5e9b" strokeweight="1.5pt">
                  <v:stroke endcap="round"/>
                  <v:textbox>
                    <w:txbxContent>
                      <w:p w14:paraId="08527B06" w14:textId="77777777" w:rsidR="00307C1C" w:rsidRPr="002B6C1A" w:rsidRDefault="00307C1C" w:rsidP="0024654B">
                        <w:pPr>
                          <w:pStyle w:val="NoSpacing"/>
                          <w:jc w:val="center"/>
                          <w:rPr>
                            <w:sz w:val="16"/>
                            <w:szCs w:val="16"/>
                            <w:lang w:val="en-GB"/>
                          </w:rPr>
                        </w:pPr>
                        <w:r w:rsidRPr="002B6C1A">
                          <w:rPr>
                            <w:sz w:val="16"/>
                            <w:szCs w:val="16"/>
                            <w:lang w:val="en-GB"/>
                          </w:rPr>
                          <w:t>Information sheet (n=20)</w:t>
                        </w:r>
                      </w:p>
                    </w:txbxContent>
                  </v:textbox>
                </v:rect>
                <v:rect id="Rectangle 28" o:spid="_x0000_s1034" style="position:absolute;left:5470;top:25770;width:12964;height:50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iAivgAAANsAAAAPAAAAZHJzL2Rvd25yZXYueG1sRE/LisIw&#10;FN0P+A/hCm4GTa0oUo0iiuAsRHzg+tJcm2JzU5qo9e8nC8Hl4bzny9ZW4kmNLx0rGA4SEMS50yUX&#10;Ci7nbX8KwgdkjZVjUvAmD8tF52eOmXYvPtLzFAoRQ9hnqMCEUGdS+tyQRT9wNXHkbq6xGCJsCqkb&#10;fMVwW8k0SSbSYsmxwWBNa0P5/fSwCv7W8qDzu9lfR8zm6H7TzXibKtXrtqsZiEBt+Io/7p1WkMax&#10;8Uv8AXLxDwAA//8DAFBLAQItABQABgAIAAAAIQDb4fbL7gAAAIUBAAATAAAAAAAAAAAAAAAAAAAA&#10;AABbQ29udGVudF9UeXBlc10ueG1sUEsBAi0AFAAGAAgAAAAhAFr0LFu/AAAAFQEAAAsAAAAAAAAA&#10;AAAAAAAAHwEAAF9yZWxzLy5yZWxzUEsBAi0AFAAGAAgAAAAhADHmICK+AAAA2wAAAA8AAAAAAAAA&#10;AAAAAAAABwIAAGRycy9kb3ducmV2LnhtbFBLBQYAAAAAAwADALcAAADyAgAAAAA=&#10;" fillcolor="window" strokecolor="#9e5e9b" strokeweight="1.5pt">
                  <v:stroke endcap="round"/>
                  <v:textbox>
                    <w:txbxContent>
                      <w:p w14:paraId="23D763CE" w14:textId="77777777" w:rsidR="00307C1C" w:rsidRPr="002B6C1A" w:rsidRDefault="00307C1C" w:rsidP="0024654B">
                        <w:pPr>
                          <w:pStyle w:val="NoSpacing"/>
                          <w:jc w:val="center"/>
                          <w:rPr>
                            <w:sz w:val="16"/>
                            <w:szCs w:val="16"/>
                            <w:lang w:val="en-GB"/>
                          </w:rPr>
                        </w:pPr>
                        <w:r w:rsidRPr="002B6C1A">
                          <w:rPr>
                            <w:sz w:val="16"/>
                            <w:szCs w:val="16"/>
                            <w:lang w:val="en-GB"/>
                          </w:rPr>
                          <w:t>Lost to follow-up (give reasons) (n=8)</w:t>
                        </w:r>
                      </w:p>
                      <w:p w14:paraId="191C8F62" w14:textId="77777777" w:rsidR="00307C1C" w:rsidRPr="002B6C1A" w:rsidRDefault="00307C1C" w:rsidP="0024654B">
                        <w:pPr>
                          <w:pStyle w:val="NoSpacing"/>
                          <w:jc w:val="center"/>
                          <w:rPr>
                            <w:sz w:val="16"/>
                            <w:szCs w:val="16"/>
                            <w:lang w:val="en-GB"/>
                          </w:rPr>
                        </w:pPr>
                        <w:r w:rsidRPr="002B6C1A">
                          <w:rPr>
                            <w:sz w:val="16"/>
                            <w:szCs w:val="16"/>
                            <w:lang w:val="en-GB"/>
                          </w:rPr>
                          <w:t>Based on 40% attrition rate</w:t>
                        </w:r>
                      </w:p>
                      <w:p w14:paraId="77B56942" w14:textId="116F71EE" w:rsidR="00307C1C" w:rsidRPr="002B6C1A" w:rsidRDefault="00307C1C" w:rsidP="0024654B">
                        <w:pPr>
                          <w:pStyle w:val="NoSpacing"/>
                          <w:jc w:val="center"/>
                          <w:rPr>
                            <w:sz w:val="16"/>
                            <w:szCs w:val="16"/>
                            <w:lang w:val="en-GB"/>
                          </w:rPr>
                        </w:pPr>
                        <w:r w:rsidRPr="002B6C1A">
                          <w:rPr>
                            <w:sz w:val="16"/>
                            <w:szCs w:val="16"/>
                            <w:lang w:val="en-GB"/>
                          </w:rPr>
                          <w:t>Discontinued intervention (</w:t>
                        </w:r>
                        <w:r w:rsidR="005647E2">
                          <w:rPr>
                            <w:sz w:val="16"/>
                            <w:szCs w:val="16"/>
                            <w:lang w:val="en-GB"/>
                          </w:rPr>
                          <w:t>with</w:t>
                        </w:r>
                        <w:r w:rsidRPr="002B6C1A">
                          <w:rPr>
                            <w:sz w:val="16"/>
                            <w:szCs w:val="16"/>
                            <w:lang w:val="en-GB"/>
                          </w:rPr>
                          <w:t xml:space="preserve"> reasons) </w:t>
                        </w:r>
                      </w:p>
                    </w:txbxContent>
                  </v:textbox>
                </v:rect>
                <v:rect id="Rectangle 29" o:spid="_x0000_s1035" style="position:absolute;left:27468;top:25859;width:13737;height:5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oW5xAAAANsAAAAPAAAAZHJzL2Rvd25yZXYueG1sRI9BawIx&#10;FITvgv8hvEIvpWa70lJX4yJbhPYgohXPj+R1s7h5WTapbv+9KQgeh5n5hlmUg2vFmfrQeFbwMslA&#10;EGtvGq4VHL7Xz+8gQkQ22HomBX8UoFyORwssjL/wjs77WIsE4VCgAhtjV0gZtCWHYeI74uT9+N5h&#10;TLKvpenxkuCulXmWvUmHDacFix1VlvRp/+sUfFVya/TJbo5TZrvzT/nH6zpX6vFhWM1BRBriPXxr&#10;fxoF+Qz+v6QfIJdXAAAA//8DAFBLAQItABQABgAIAAAAIQDb4fbL7gAAAIUBAAATAAAAAAAAAAAA&#10;AAAAAAAAAABbQ29udGVudF9UeXBlc10ueG1sUEsBAi0AFAAGAAgAAAAhAFr0LFu/AAAAFQEAAAsA&#10;AAAAAAAAAAAAAAAAHwEAAF9yZWxzLy5yZWxzUEsBAi0AFAAGAAgAAAAhAF6qhbnEAAAA2wAAAA8A&#10;AAAAAAAAAAAAAAAABwIAAGRycy9kb3ducmV2LnhtbFBLBQYAAAAAAwADALcAAAD4AgAAAAA=&#10;" fillcolor="window" strokecolor="#9e5e9b" strokeweight="1.5pt">
                  <v:stroke endcap="round"/>
                  <v:textbox>
                    <w:txbxContent>
                      <w:p w14:paraId="1717CABD" w14:textId="77777777" w:rsidR="00307C1C" w:rsidRPr="002B6C1A" w:rsidRDefault="00307C1C" w:rsidP="0024654B">
                        <w:pPr>
                          <w:pStyle w:val="NoSpacing"/>
                          <w:jc w:val="center"/>
                          <w:rPr>
                            <w:sz w:val="16"/>
                            <w:szCs w:val="16"/>
                            <w:lang w:val="en-GB"/>
                          </w:rPr>
                        </w:pPr>
                        <w:r w:rsidRPr="002B6C1A">
                          <w:rPr>
                            <w:sz w:val="16"/>
                            <w:szCs w:val="16"/>
                            <w:lang w:val="en-GB"/>
                          </w:rPr>
                          <w:t>Lost to follow-up (give reasons) (n=8)</w:t>
                        </w:r>
                      </w:p>
                      <w:p w14:paraId="06C97DA5" w14:textId="77777777" w:rsidR="00307C1C" w:rsidRPr="002B6C1A" w:rsidRDefault="00307C1C" w:rsidP="0024654B">
                        <w:pPr>
                          <w:pStyle w:val="NoSpacing"/>
                          <w:jc w:val="center"/>
                          <w:rPr>
                            <w:sz w:val="16"/>
                            <w:szCs w:val="16"/>
                            <w:lang w:val="en-GB"/>
                          </w:rPr>
                        </w:pPr>
                        <w:r w:rsidRPr="002B6C1A">
                          <w:rPr>
                            <w:sz w:val="16"/>
                            <w:szCs w:val="16"/>
                            <w:lang w:val="en-GB"/>
                          </w:rPr>
                          <w:t>Based on 40% attrition rate</w:t>
                        </w:r>
                      </w:p>
                      <w:p w14:paraId="7AE5D344" w14:textId="76670C51" w:rsidR="00307C1C" w:rsidRPr="002B6C1A" w:rsidRDefault="00307C1C" w:rsidP="0024654B">
                        <w:pPr>
                          <w:pStyle w:val="NoSpacing"/>
                          <w:jc w:val="center"/>
                          <w:rPr>
                            <w:sz w:val="16"/>
                            <w:szCs w:val="16"/>
                            <w:lang w:val="en-GB"/>
                          </w:rPr>
                        </w:pPr>
                        <w:r w:rsidRPr="002B6C1A">
                          <w:rPr>
                            <w:sz w:val="16"/>
                            <w:szCs w:val="16"/>
                            <w:lang w:val="en-GB"/>
                          </w:rPr>
                          <w:t>Discontinued intervention (</w:t>
                        </w:r>
                        <w:r w:rsidR="005647E2">
                          <w:rPr>
                            <w:sz w:val="16"/>
                            <w:szCs w:val="16"/>
                            <w:lang w:val="en-GB"/>
                          </w:rPr>
                          <w:t>with</w:t>
                        </w:r>
                        <w:r w:rsidRPr="002B6C1A">
                          <w:rPr>
                            <w:sz w:val="16"/>
                            <w:szCs w:val="16"/>
                            <w:lang w:val="en-GB"/>
                          </w:rPr>
                          <w:t xml:space="preserve"> reasons) </w:t>
                        </w:r>
                      </w:p>
                      <w:p w14:paraId="5DE6DDF9" w14:textId="77777777" w:rsidR="00307C1C" w:rsidRPr="002B6C1A" w:rsidRDefault="00307C1C" w:rsidP="0024654B">
                        <w:pPr>
                          <w:jc w:val="center"/>
                          <w:rPr>
                            <w:sz w:val="16"/>
                            <w:szCs w:val="16"/>
                          </w:rPr>
                        </w:pPr>
                      </w:p>
                    </w:txbxContent>
                  </v:textbox>
                </v:rect>
                <v:rect id="Rectangle 30" o:spid="_x0000_s1036" style="position:absolute;left:5289;top:33356;width:13145;height:4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br5wAAAANsAAAAPAAAAZHJzL2Rvd25yZXYueG1sRE/Pa8Iw&#10;FL4P/B/CE7wMTW3ZkGoUcRTcYQydeH40z6bYvJQma+t/bw6DHT++35vdaBvRU+drxwqWiwQEcel0&#10;zZWCy08xX4HwAVlj45gUPMjDbjt52WCu3cAn6s+hEjGEfY4KTAhtLqUvDVn0C9cSR+7mOoshwq6S&#10;usMhhttGpknyLi3WHBsMtnQwVN7Pv1bB50F+6/Juvq4Zszm51/TjrUiVmk3H/RpEoDH8i//cR60g&#10;i+vjl/gD5PYJAAD//wMAUEsBAi0AFAAGAAgAAAAhANvh9svuAAAAhQEAABMAAAAAAAAAAAAAAAAA&#10;AAAAAFtDb250ZW50X1R5cGVzXS54bWxQSwECLQAUAAYACAAAACEAWvQsW78AAAAVAQAACwAAAAAA&#10;AAAAAAAAAAAfAQAAX3JlbHMvLnJlbHNQSwECLQAUAAYACAAAACEASkm6+cAAAADbAAAADwAAAAAA&#10;AAAAAAAAAAAHAgAAZHJzL2Rvd25yZXYueG1sUEsFBgAAAAADAAMAtwAAAPQCAAAAAA==&#10;" fillcolor="window" strokecolor="#9e5e9b" strokeweight="1.5pt">
                  <v:stroke endcap="round"/>
                  <v:textbox>
                    <w:txbxContent>
                      <w:p w14:paraId="63BA13B4" w14:textId="0D32BFFF" w:rsidR="00307C1C" w:rsidRPr="002B6C1A" w:rsidRDefault="00307C1C" w:rsidP="005647E2">
                        <w:pPr>
                          <w:pStyle w:val="NoSpacing"/>
                          <w:jc w:val="center"/>
                          <w:rPr>
                            <w:sz w:val="16"/>
                            <w:szCs w:val="16"/>
                            <w:lang w:val="en-GB"/>
                          </w:rPr>
                        </w:pPr>
                        <w:r w:rsidRPr="002B6C1A">
                          <w:rPr>
                            <w:sz w:val="16"/>
                            <w:szCs w:val="16"/>
                            <w:lang w:val="en-GB"/>
                          </w:rPr>
                          <w:t>Analysed (n=12</w:t>
                        </w:r>
                        <w:r w:rsidR="005647E2">
                          <w:rPr>
                            <w:sz w:val="16"/>
                            <w:szCs w:val="16"/>
                            <w:lang w:val="en-GB"/>
                          </w:rPr>
                          <w:t>)</w:t>
                        </w:r>
                      </w:p>
                    </w:txbxContent>
                  </v:textbox>
                </v:rect>
                <v:rect id="Rectangle 31" o:spid="_x0000_s1037" style="position:absolute;left:27753;top:33258;width:13866;height:44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9iwQAAANsAAAAPAAAAZHJzL2Rvd25yZXYueG1sRI9Bi8Iw&#10;FITvC/6H8AQvi6ZWdpFqFFEEPciiK54fzbMpNi+liVr/vREEj8PMfMNM562txI0aXzpWMBwkIIhz&#10;p0suFBz/1/0xCB+QNVaOScGDPMxnna8pZtrdeU+3QyhEhLDPUIEJoc6k9Lkhi37gauLonV1jMUTZ&#10;FFI3eI9wW8k0SX6lxZLjgsGalobyy+FqFWyX8k/nF7M7jZjN3n2nq591qlSv2y4mIAK14RN+tzda&#10;wWgIry/xB8jZEwAA//8DAFBLAQItABQABgAIAAAAIQDb4fbL7gAAAIUBAAATAAAAAAAAAAAAAAAA&#10;AAAAAABbQ29udGVudF9UeXBlc10ueG1sUEsBAi0AFAAGAAgAAAAhAFr0LFu/AAAAFQEAAAsAAAAA&#10;AAAAAAAAAAAAHwEAAF9yZWxzLy5yZWxzUEsBAi0AFAAGAAgAAAAhACUFH2LBAAAA2wAAAA8AAAAA&#10;AAAAAAAAAAAABwIAAGRycy9kb3ducmV2LnhtbFBLBQYAAAAAAwADALcAAAD1AgAAAAA=&#10;" fillcolor="window" strokecolor="#9e5e9b" strokeweight="1.5pt">
                  <v:stroke endcap="round"/>
                  <v:textbox>
                    <w:txbxContent>
                      <w:p w14:paraId="3F3B15DC" w14:textId="77777777" w:rsidR="00307C1C" w:rsidRPr="002B6C1A" w:rsidRDefault="00307C1C" w:rsidP="0024654B">
                        <w:pPr>
                          <w:pStyle w:val="NoSpacing"/>
                          <w:jc w:val="center"/>
                          <w:rPr>
                            <w:sz w:val="16"/>
                            <w:szCs w:val="16"/>
                            <w:lang w:val="en-GB"/>
                          </w:rPr>
                        </w:pPr>
                      </w:p>
                      <w:p w14:paraId="58C274DC" w14:textId="77777777" w:rsidR="00307C1C" w:rsidRPr="002B6C1A" w:rsidRDefault="00307C1C" w:rsidP="0024654B">
                        <w:pPr>
                          <w:pStyle w:val="NoSpacing"/>
                          <w:jc w:val="center"/>
                          <w:rPr>
                            <w:sz w:val="16"/>
                            <w:szCs w:val="16"/>
                            <w:lang w:val="en-GB"/>
                          </w:rPr>
                        </w:pPr>
                        <w:r w:rsidRPr="002B6C1A">
                          <w:rPr>
                            <w:sz w:val="16"/>
                            <w:szCs w:val="16"/>
                            <w:lang w:val="en-GB"/>
                          </w:rPr>
                          <w:t>Analysed (n=12)</w:t>
                        </w:r>
                      </w:p>
                      <w:p w14:paraId="3709F0E4" w14:textId="6A545F9C" w:rsidR="00307C1C" w:rsidRPr="002B6C1A" w:rsidRDefault="00307C1C" w:rsidP="005647E2">
                        <w:pPr>
                          <w:pStyle w:val="NoSpacing"/>
                          <w:rPr>
                            <w:sz w:val="16"/>
                            <w:szCs w:val="16"/>
                            <w:lang w:val="en-GB"/>
                          </w:rPr>
                        </w:pPr>
                      </w:p>
                      <w:p w14:paraId="136B33EC" w14:textId="77777777" w:rsidR="00307C1C" w:rsidRPr="002B6C1A" w:rsidRDefault="00307C1C" w:rsidP="0024654B">
                        <w:pPr>
                          <w:jc w:val="center"/>
                          <w:rPr>
                            <w:sz w:val="16"/>
                            <w:szCs w:val="16"/>
                          </w:rPr>
                        </w:pPr>
                      </w:p>
                    </w:txbxContent>
                  </v:textbox>
                </v:rect>
                <w10:wrap type="through"/>
              </v:group>
            </w:pict>
          </mc:Fallback>
        </mc:AlternateContent>
      </w:r>
    </w:p>
    <w:p w14:paraId="62427790" w14:textId="77777777" w:rsidR="00CE2717" w:rsidRDefault="00CE2717" w:rsidP="00A74B4F">
      <w:pPr>
        <w:pStyle w:val="MDPI31text"/>
        <w:rPr>
          <w:rFonts w:eastAsia="SimSun"/>
          <w:color w:val="131413"/>
          <w:lang w:val="en-GB" w:eastAsia="en-GB"/>
        </w:rPr>
      </w:pPr>
    </w:p>
    <w:p w14:paraId="2AF1B19F" w14:textId="77777777" w:rsidR="00CE2717" w:rsidRDefault="002B6C1A" w:rsidP="00A74B4F">
      <w:pPr>
        <w:pStyle w:val="MDPI31text"/>
        <w:rPr>
          <w:rFonts w:eastAsia="SimSun"/>
          <w:color w:val="131413"/>
          <w:lang w:val="en-GB" w:eastAsia="en-GB"/>
        </w:rPr>
      </w:pPr>
      <w:r>
        <w:rPr>
          <w:rFonts w:eastAsia="SimSun"/>
          <w:noProof/>
          <w:snapToGrid/>
          <w:color w:val="131413"/>
          <w:lang w:val="en-GB" w:eastAsia="en-GB" w:bidi="ar-SA"/>
        </w:rPr>
        <mc:AlternateContent>
          <mc:Choice Requires="wps">
            <w:drawing>
              <wp:anchor distT="0" distB="0" distL="114300" distR="114300" simplePos="0" relativeHeight="251686912" behindDoc="0" locked="0" layoutInCell="1" allowOverlap="1" wp14:anchorId="24509427" wp14:editId="47D8E043">
                <wp:simplePos x="0" y="0"/>
                <wp:positionH relativeFrom="column">
                  <wp:posOffset>1795780</wp:posOffset>
                </wp:positionH>
                <wp:positionV relativeFrom="paragraph">
                  <wp:posOffset>13057</wp:posOffset>
                </wp:positionV>
                <wp:extent cx="1629084" cy="323557"/>
                <wp:effectExtent l="0" t="0" r="9525" b="6985"/>
                <wp:wrapNone/>
                <wp:docPr id="40" name="Text Box 40"/>
                <wp:cNvGraphicFramePr/>
                <a:graphic xmlns:a="http://schemas.openxmlformats.org/drawingml/2006/main">
                  <a:graphicData uri="http://schemas.microsoft.com/office/word/2010/wordprocessingShape">
                    <wps:wsp>
                      <wps:cNvSpPr txBox="1"/>
                      <wps:spPr>
                        <a:xfrm>
                          <a:off x="0" y="0"/>
                          <a:ext cx="1629084" cy="323557"/>
                        </a:xfrm>
                        <a:prstGeom prst="rect">
                          <a:avLst/>
                        </a:prstGeom>
                        <a:solidFill>
                          <a:schemeClr val="lt1"/>
                        </a:solidFill>
                        <a:ln w="6350">
                          <a:solidFill>
                            <a:prstClr val="black"/>
                          </a:solidFill>
                        </a:ln>
                      </wps:spPr>
                      <wps:txbx>
                        <w:txbxContent>
                          <w:p w14:paraId="0EB8033B" w14:textId="77777777" w:rsidR="00307C1C" w:rsidRPr="0009714B" w:rsidRDefault="00307C1C" w:rsidP="0009714B">
                            <w:pPr>
                              <w:pStyle w:val="NoSpacing"/>
                              <w:jc w:val="center"/>
                              <w:rPr>
                                <w:sz w:val="16"/>
                                <w:szCs w:val="16"/>
                                <w:lang w:val="en-GB"/>
                              </w:rPr>
                            </w:pPr>
                            <w:r w:rsidRPr="0009714B">
                              <w:rPr>
                                <w:sz w:val="16"/>
                                <w:szCs w:val="16"/>
                                <w:lang w:val="en-GB"/>
                              </w:rPr>
                              <w:t>Referral / Case identification (n=200)</w:t>
                            </w:r>
                          </w:p>
                          <w:p w14:paraId="4460B8EA" w14:textId="77777777" w:rsidR="00307C1C" w:rsidRDefault="00307C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509427" id="_x0000_t202" coordsize="21600,21600" o:spt="202" path="m,l,21600r21600,l21600,xe">
                <v:stroke joinstyle="miter"/>
                <v:path gradientshapeok="t" o:connecttype="rect"/>
              </v:shapetype>
              <v:shape id="Text Box 40" o:spid="_x0000_s1038" type="#_x0000_t202" style="position:absolute;left:0;text-align:left;margin-left:141.4pt;margin-top:1.05pt;width:128.25pt;height:2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94zTgIAAKsEAAAOAAAAZHJzL2Uyb0RvYy54bWysVEtv2zAMvg/YfxB0X5x3WyNOkaXIMCBo&#10;CyRFz4osx8JkUZOU2NmvHyU7adrtNOwi86VP5EfSs/umUuQorJOgMzro9SkRmkMu9T6jL9vVl1tK&#10;nGc6Zwq0yOhJOHo///xpVptUDKEElQtLEES7tDYZLb03aZI4XoqKuR4YodFZgK2YR9Xuk9yyGtEr&#10;lQz7/WlSg82NBS6cQ+tD66TziF8UgvunonDCE5VRzM3H08ZzF85kPmPp3jJTSt6lwf4hi4pJjY9e&#10;oB6YZ+Rg5R9QleQWHBS+x6FKoCgkF7EGrGbQ/1DNpmRGxFqQHGcuNLn/B8sfj8+WyDyjY6RHswp7&#10;tBWNJ1+hIWhCfmrjUgzbGAz0Ddqxz2e7Q2MouylsFb5YEEE/Qp0u7AY0Hi5Nh3f92zElHH2j4Wgy&#10;uQkwydttY53/JqAiQcioxe5FUtlx7Xwbeg4JjzlQMl9JpaISJkYslSVHhr1WPuaI4O+ilCZ1Rqej&#10;ST8Cv/MF6Mv9nWL8R5feVRTiKY05B07a2oPkm10TORxciNlBfkK+LLQT5wxfScRfM+efmcURQ4pw&#10;bfwTHoUCTAo6iZIS7K+/2UM8dh69lNQ4shl1Pw/MCkrUd40zcTcYhyb6qIwnN0NU7LVnd+3Rh2oJ&#10;yNQAF9TwKIZ4r85iYaF6xe1ahFfRxTTHtzPqz+LSt4uE28nFYhGDcKoN82u9MTxAh84EXrfNK7Om&#10;66vHiXiE83Cz9EN729hwU8Pi4KGQsfeB6JbVjn/ciDg93faGlbvWY9TbP2b+GwAA//8DAFBLAwQU&#10;AAYACAAAACEAuCPEL9sAAAAIAQAADwAAAGRycy9kb3ducmV2LnhtbEyPwU7DMBBE70j8g7VI3KiT&#10;VKA0jVMBKlw40SLO29i1rcbryHbT8Pe4J7jNalYzb9rN7AY2qRCtJwHlogCmqPfSkhbwtX97qIHF&#10;hCRx8KQE/KgIm+72psVG+gt9qmmXNMshFBsUYFIaG85jb5TDuPCjouwdfXCY8hk0lwEvOdwNvCqK&#10;J+7QUm4wOKpXo/rT7uwEbF/0Svc1BrOtpbXT/H380O9C3N/Nz2tgSc3p7xmu+Bkdusx08GeSkQ0C&#10;qrrK6CmLElj2H5erJbDDVZTAu5b/H9D9AgAA//8DAFBLAQItABQABgAIAAAAIQC2gziS/gAAAOEB&#10;AAATAAAAAAAAAAAAAAAAAAAAAABbQ29udGVudF9UeXBlc10ueG1sUEsBAi0AFAAGAAgAAAAhADj9&#10;If/WAAAAlAEAAAsAAAAAAAAAAAAAAAAALwEAAF9yZWxzLy5yZWxzUEsBAi0AFAAGAAgAAAAhACUr&#10;3jNOAgAAqwQAAA4AAAAAAAAAAAAAAAAALgIAAGRycy9lMm9Eb2MueG1sUEsBAi0AFAAGAAgAAAAh&#10;ALgjxC/bAAAACAEAAA8AAAAAAAAAAAAAAAAAqAQAAGRycy9kb3ducmV2LnhtbFBLBQYAAAAABAAE&#10;APMAAACwBQAAAAA=&#10;" fillcolor="white [3201]" strokeweight=".5pt">
                <v:textbox>
                  <w:txbxContent>
                    <w:p w14:paraId="0EB8033B" w14:textId="77777777" w:rsidR="00307C1C" w:rsidRPr="0009714B" w:rsidRDefault="00307C1C" w:rsidP="0009714B">
                      <w:pPr>
                        <w:pStyle w:val="NoSpacing"/>
                        <w:jc w:val="center"/>
                        <w:rPr>
                          <w:sz w:val="16"/>
                          <w:szCs w:val="16"/>
                          <w:lang w:val="en-GB"/>
                        </w:rPr>
                      </w:pPr>
                      <w:r w:rsidRPr="0009714B">
                        <w:rPr>
                          <w:sz w:val="16"/>
                          <w:szCs w:val="16"/>
                          <w:lang w:val="en-GB"/>
                        </w:rPr>
                        <w:t>Referral / Case identification (n=200)</w:t>
                      </w:r>
                    </w:p>
                    <w:p w14:paraId="4460B8EA" w14:textId="77777777" w:rsidR="00307C1C" w:rsidRDefault="00307C1C"/>
                  </w:txbxContent>
                </v:textbox>
              </v:shape>
            </w:pict>
          </mc:Fallback>
        </mc:AlternateContent>
      </w:r>
    </w:p>
    <w:p w14:paraId="1537E03B" w14:textId="77777777" w:rsidR="00CE2717" w:rsidRDefault="00CE2717" w:rsidP="00A74B4F">
      <w:pPr>
        <w:pStyle w:val="MDPI31text"/>
        <w:rPr>
          <w:rFonts w:eastAsia="SimSun"/>
          <w:color w:val="131413"/>
          <w:lang w:val="en-GB" w:eastAsia="en-GB"/>
        </w:rPr>
      </w:pPr>
    </w:p>
    <w:p w14:paraId="1BA1E524" w14:textId="77777777" w:rsidR="00CE2717" w:rsidRDefault="002B6C1A" w:rsidP="00A74B4F">
      <w:pPr>
        <w:pStyle w:val="MDPI31text"/>
        <w:rPr>
          <w:rFonts w:eastAsia="SimSun"/>
          <w:color w:val="131413"/>
          <w:lang w:val="en-GB" w:eastAsia="en-GB"/>
        </w:rPr>
      </w:pPr>
      <w:r>
        <w:rPr>
          <w:noProof/>
          <w:lang w:val="en-GB" w:eastAsia="en-GB" w:bidi="ar-SA"/>
        </w:rPr>
        <mc:AlternateContent>
          <mc:Choice Requires="wps">
            <w:drawing>
              <wp:anchor distT="0" distB="0" distL="114300" distR="114300" simplePos="0" relativeHeight="251693056" behindDoc="0" locked="0" layoutInCell="1" allowOverlap="1" wp14:anchorId="1ECFCCD3" wp14:editId="2268F0AD">
                <wp:simplePos x="0" y="0"/>
                <wp:positionH relativeFrom="column">
                  <wp:posOffset>2615027</wp:posOffset>
                </wp:positionH>
                <wp:positionV relativeFrom="paragraph">
                  <wp:posOffset>129100</wp:posOffset>
                </wp:positionV>
                <wp:extent cx="0" cy="266700"/>
                <wp:effectExtent l="76200" t="0" r="57150" b="57150"/>
                <wp:wrapNone/>
                <wp:docPr id="34" name="Straight Arrow Connector 3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A342464" id="_x0000_t32" coordsize="21600,21600" o:spt="32" o:oned="t" path="m,l21600,21600e" filled="f">
                <v:path arrowok="t" fillok="f" o:connecttype="none"/>
                <o:lock v:ext="edit" shapetype="t"/>
              </v:shapetype>
              <v:shape id="Straight Arrow Connector 34" o:spid="_x0000_s1026" type="#_x0000_t32" alt="&quot;&quot;" style="position:absolute;margin-left:205.9pt;margin-top:10.15pt;width:0;height:2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1781AEAAAEEAAAOAAAAZHJzL2Uyb0RvYy54bWysU9uO0zAQfUfiHyy/06QFFVQ1XaEu8IKg&#10;YuEDvM64seSbxkPT/j1jp5tFC0IC8TKJ7Tkz5xyPtzdn78QJMNsYOrlctFJA0LG34djJb1/fv3gj&#10;RSYVeuVigE5eIMub3fNn2zFtYBWH6HpAwUVC3oypkwNR2jRN1gN4lRcxQeBDE9Er4iUemx7VyNW9&#10;a1Ztu27GiH3CqCFn3r2dDuWu1jcGNH02JgMJ10nmRjVijfclNrut2hxRpcHqKw31Dyy8soGbzqVu&#10;FSnxHe0vpbzVGHM0tNDRN9EYq6FqYDXL9omau0ElqFrYnJxmm/L/K6s/nQ4obN/Jl6+kCMrzHd0R&#10;KnscSLxFjKPYxxDYx4iCU9ivMeUNw/bhgNdVTgcs4s8GffmyLHGuHl9mj+FMQk+bmndX6/Xrttrf&#10;POISZvoA0Yvy08l85TETWFaL1eljJu7MwAdAaepCiaSsexd6QZfESgitCkcHhTanl5Sm0J8I1z+6&#10;OJjgX8CwEUxxalNHEPYOxUnx8CitIdByrsTZBWasczOwrfz+CLzmFyjU8fwb8IyonWOgGextiPi7&#10;7nR+oGym/AcHJt3FgvvYX+pVVmt4zqpX1zdRBvnndYU/vtzdDwAAAP//AwBQSwMEFAAGAAgAAAAh&#10;APLpIELdAAAACQEAAA8AAABkcnMvZG93bnJldi54bWxMj8FOwzAQRO9I/IO1lbhRJymqIM2mQkj0&#10;CKJwgJsbb+2o8TqK3STw9RhxgOPOjmbeVNvZdWKkIbSeEfJlBoK48bplg/D2+nh9CyJExVp1ngnh&#10;kwJs68uLSpXaT/xC4z4akUI4lArBxtiXUobGklNh6Xvi9Dv6wamYzsFIPagphbtOFlm2lk61nBqs&#10;6unBUnPanx3Cs3kfXcG7Vh7vPr525kmf7BQRrxbz/QZEpDn+meEHP6FDnZgO/sw6iA7hJs8TekQo&#10;shWIZPgVDgjrYgWyruT/BfU3AAAA//8DAFBLAQItABQABgAIAAAAIQC2gziS/gAAAOEBAAATAAAA&#10;AAAAAAAAAAAAAAAAAABbQ29udGVudF9UeXBlc10ueG1sUEsBAi0AFAAGAAgAAAAhADj9If/WAAAA&#10;lAEAAAsAAAAAAAAAAAAAAAAALwEAAF9yZWxzLy5yZWxzUEsBAi0AFAAGAAgAAAAhAKpzXvzUAQAA&#10;AQQAAA4AAAAAAAAAAAAAAAAALgIAAGRycy9lMm9Eb2MueG1sUEsBAi0AFAAGAAgAAAAhAPLpIELd&#10;AAAACQEAAA8AAAAAAAAAAAAAAAAALgQAAGRycy9kb3ducmV2LnhtbFBLBQYAAAAABAAEAPMAAAA4&#10;BQAAAAA=&#10;" strokecolor="#4472c4 [3204]" strokeweight=".5pt">
                <v:stroke endarrow="block" joinstyle="miter"/>
              </v:shape>
            </w:pict>
          </mc:Fallback>
        </mc:AlternateContent>
      </w:r>
    </w:p>
    <w:p w14:paraId="2CE06847" w14:textId="77777777" w:rsidR="00CE2717" w:rsidRDefault="00CE2717" w:rsidP="00A74B4F">
      <w:pPr>
        <w:pStyle w:val="MDPI31text"/>
        <w:rPr>
          <w:rFonts w:eastAsia="SimSun"/>
          <w:color w:val="131413"/>
          <w:lang w:val="en-GB" w:eastAsia="en-GB"/>
        </w:rPr>
      </w:pPr>
    </w:p>
    <w:p w14:paraId="380D293C" w14:textId="77777777" w:rsidR="00CE2717" w:rsidRDefault="002B6C1A" w:rsidP="00A74B4F">
      <w:pPr>
        <w:pStyle w:val="MDPI31text"/>
        <w:rPr>
          <w:rFonts w:eastAsia="SimSun"/>
          <w:color w:val="131413"/>
          <w:lang w:val="en-GB" w:eastAsia="en-GB"/>
        </w:rPr>
      </w:pPr>
      <w:r>
        <w:rPr>
          <w:rFonts w:eastAsia="SimSun"/>
          <w:noProof/>
          <w:snapToGrid/>
          <w:color w:val="131413"/>
          <w:lang w:val="en-GB" w:eastAsia="en-GB" w:bidi="ar-SA"/>
        </w:rPr>
        <mc:AlternateContent>
          <mc:Choice Requires="wps">
            <w:drawing>
              <wp:anchor distT="0" distB="0" distL="114300" distR="114300" simplePos="0" relativeHeight="251688960" behindDoc="0" locked="0" layoutInCell="1" allowOverlap="1" wp14:anchorId="5FACFC0B" wp14:editId="0A4E1AC0">
                <wp:simplePos x="0" y="0"/>
                <wp:positionH relativeFrom="column">
                  <wp:posOffset>1800273</wp:posOffset>
                </wp:positionH>
                <wp:positionV relativeFrom="paragraph">
                  <wp:posOffset>161290</wp:posOffset>
                </wp:positionV>
                <wp:extent cx="1629084" cy="323557"/>
                <wp:effectExtent l="0" t="0" r="9525" b="6985"/>
                <wp:wrapNone/>
                <wp:docPr id="41" name="Text Box 41"/>
                <wp:cNvGraphicFramePr/>
                <a:graphic xmlns:a="http://schemas.openxmlformats.org/drawingml/2006/main">
                  <a:graphicData uri="http://schemas.microsoft.com/office/word/2010/wordprocessingShape">
                    <wps:wsp>
                      <wps:cNvSpPr txBox="1"/>
                      <wps:spPr>
                        <a:xfrm>
                          <a:off x="0" y="0"/>
                          <a:ext cx="1629084" cy="323557"/>
                        </a:xfrm>
                        <a:prstGeom prst="rect">
                          <a:avLst/>
                        </a:prstGeom>
                        <a:solidFill>
                          <a:schemeClr val="lt1"/>
                        </a:solidFill>
                        <a:ln w="6350">
                          <a:solidFill>
                            <a:prstClr val="black"/>
                          </a:solidFill>
                        </a:ln>
                      </wps:spPr>
                      <wps:txbx>
                        <w:txbxContent>
                          <w:p w14:paraId="7584AE3F" w14:textId="77777777" w:rsidR="00307C1C" w:rsidRPr="0009714B" w:rsidRDefault="00307C1C" w:rsidP="0009714B">
                            <w:pPr>
                              <w:pStyle w:val="NoSpacing"/>
                              <w:rPr>
                                <w:sz w:val="16"/>
                                <w:szCs w:val="16"/>
                                <w:lang w:val="en-GB"/>
                              </w:rPr>
                            </w:pPr>
                            <w:r>
                              <w:rPr>
                                <w:sz w:val="16"/>
                                <w:szCs w:val="16"/>
                                <w:lang w:val="en-GB"/>
                              </w:rPr>
                              <w:t>Eligible (Screening/ Consent, n=80)</w:t>
                            </w:r>
                          </w:p>
                          <w:p w14:paraId="7E1D9B66" w14:textId="77777777" w:rsidR="00307C1C" w:rsidRDefault="00307C1C" w:rsidP="0009714B">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CFC0B" id="Text Box 41" o:spid="_x0000_s1039" type="#_x0000_t202" style="position:absolute;left:0;text-align:left;margin-left:141.75pt;margin-top:12.7pt;width:128.25pt;height: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MXFUQIAAKsEAAAOAAAAZHJzL2Uyb0RvYy54bWysVEtv2zAMvg/YfxB0X5w4j7ZGnCJLkWFA&#10;0BZIip4VWY6NyaImKbGzXz9KttO022nYReZLn8iPpOf3TSXJSRhbgkrpaDCkRCgOWakOKX3Zrb/c&#10;UmIdUxmToERKz8LS+8XnT/NaJyKGAmQmDEEQZZNap7RwTidRZHkhKmYHoIVCZw6mYg5Vc4gyw2pE&#10;r2QUD4ezqAaTaQNcWIvWh9ZJFwE/zwV3T3luhSMypZibC6cJ596f0WLOkoNhuih5lwb7hywqVip8&#10;9AL1wBwjR1P+AVWV3ICF3A04VBHkeclFqAGrGQ0/VLMtmBahFiTH6gtN9v/B8sfTsyFlltLJiBLF&#10;KuzRTjSOfIWGoAn5qbVNMGyrMdA1aMc+93aLRl92k5vKf7Eggn5k+nxh16Nxf2kW3w1vJ5Rw9I3j&#10;8XR642Git9vaWPdNQEW8kFKD3QukstPGuja0D/GPWZBlti6lDIqfGLGShpwY9lq6kCOCv4uSitQp&#10;nY2nwwD8zuehL/f3kvEfXXpXUYgnFebsOWlr95Jr9k3gcBT3xOwhOyNfBtqJs5qvS8TfMOuemcER&#10;Q4pwbdwTHrkETAo6iZICzK+/2X08dh69lNQ4sim1P4/MCErkd4UzcTeaTPyMB2UyvYlRMdee/bVH&#10;HasVIFPYdswuiD7eyV7MDVSvuF1L/yq6mOL4dkpdL65cu0i4nVwslyEIp1ozt1FbzT2074zndde8&#10;MqO7vjqciEfoh5slH9rbxvqbCpZHB3kZeu+Jblnt+MeNCNPTba9fuWs9RL39Yxa/AQAA//8DAFBL&#10;AwQUAAYACAAAACEAMnCZhN0AAAAJAQAADwAAAGRycy9kb3ducmV2LnhtbEyPwU7DMAyG70i8Q2Qk&#10;bixltKOUphOgwYUTY9o5a7wkokmqJOvK22NOcLPlT7+/v13PbmATxmSDF3C7KICh74OyXgvYfb7e&#10;1MBSll7JIXgU8I0J1t3lRSsbFc7+A6dt1oxCfGqkAJPz2HCeeoNOpkUY0dPtGKKTmdaouYryTOFu&#10;4MuiWHEnracPRo74YrD/2p6cgM2zftB9LaPZ1Mraad4f3/WbENdX89MjsIxz/oPhV5/UoSOnQzh5&#10;ldggYFnfVYTSUJXACKjKgsodBNyvSuBdy/836H4AAAD//wMAUEsBAi0AFAAGAAgAAAAhALaDOJL+&#10;AAAA4QEAABMAAAAAAAAAAAAAAAAAAAAAAFtDb250ZW50X1R5cGVzXS54bWxQSwECLQAUAAYACAAA&#10;ACEAOP0h/9YAAACUAQAACwAAAAAAAAAAAAAAAAAvAQAAX3JlbHMvLnJlbHNQSwECLQAUAAYACAAA&#10;ACEAo2TFxVECAACrBAAADgAAAAAAAAAAAAAAAAAuAgAAZHJzL2Uyb0RvYy54bWxQSwECLQAUAAYA&#10;CAAAACEAMnCZhN0AAAAJAQAADwAAAAAAAAAAAAAAAACrBAAAZHJzL2Rvd25yZXYueG1sUEsFBgAA&#10;AAAEAAQA8wAAALUFAAAAAA==&#10;" fillcolor="white [3201]" strokeweight=".5pt">
                <v:textbox>
                  <w:txbxContent>
                    <w:p w14:paraId="7584AE3F" w14:textId="77777777" w:rsidR="00307C1C" w:rsidRPr="0009714B" w:rsidRDefault="00307C1C" w:rsidP="0009714B">
                      <w:pPr>
                        <w:pStyle w:val="NoSpacing"/>
                        <w:rPr>
                          <w:sz w:val="16"/>
                          <w:szCs w:val="16"/>
                          <w:lang w:val="en-GB"/>
                        </w:rPr>
                      </w:pPr>
                      <w:r>
                        <w:rPr>
                          <w:sz w:val="16"/>
                          <w:szCs w:val="16"/>
                          <w:lang w:val="en-GB"/>
                        </w:rPr>
                        <w:t>Eligible (Screening/ Consent, n=80)</w:t>
                      </w:r>
                    </w:p>
                    <w:p w14:paraId="7E1D9B66" w14:textId="77777777" w:rsidR="00307C1C" w:rsidRDefault="00307C1C" w:rsidP="0009714B">
                      <w:r>
                        <w:t>/</w:t>
                      </w:r>
                    </w:p>
                  </w:txbxContent>
                </v:textbox>
              </v:shape>
            </w:pict>
          </mc:Fallback>
        </mc:AlternateContent>
      </w:r>
    </w:p>
    <w:p w14:paraId="6BF3BA89" w14:textId="77777777" w:rsidR="00CE2717" w:rsidRDefault="00CE2717" w:rsidP="00A74B4F">
      <w:pPr>
        <w:pStyle w:val="MDPI31text"/>
        <w:rPr>
          <w:rFonts w:eastAsia="SimSun"/>
          <w:color w:val="131413"/>
          <w:lang w:val="en-GB" w:eastAsia="en-GB"/>
        </w:rPr>
      </w:pPr>
    </w:p>
    <w:p w14:paraId="00480E83" w14:textId="77777777" w:rsidR="00CE2717" w:rsidRDefault="00CE2717" w:rsidP="00A74B4F">
      <w:pPr>
        <w:pStyle w:val="MDPI31text"/>
        <w:rPr>
          <w:rFonts w:eastAsia="SimSun"/>
          <w:color w:val="131413"/>
          <w:lang w:val="en-GB" w:eastAsia="en-GB"/>
        </w:rPr>
      </w:pPr>
    </w:p>
    <w:p w14:paraId="67616B10" w14:textId="77777777" w:rsidR="00CE2717" w:rsidRDefault="002B6C1A" w:rsidP="00A74B4F">
      <w:pPr>
        <w:pStyle w:val="MDPI31text"/>
        <w:rPr>
          <w:rFonts w:eastAsia="SimSun"/>
          <w:color w:val="131413"/>
          <w:lang w:val="en-GB" w:eastAsia="en-GB"/>
        </w:rPr>
      </w:pPr>
      <w:r>
        <w:rPr>
          <w:noProof/>
          <w:lang w:val="en-GB" w:eastAsia="en-GB" w:bidi="ar-SA"/>
        </w:rPr>
        <mc:AlternateContent>
          <mc:Choice Requires="wps">
            <w:drawing>
              <wp:anchor distT="0" distB="0" distL="114300" distR="114300" simplePos="0" relativeHeight="251695104" behindDoc="0" locked="0" layoutInCell="1" allowOverlap="1" wp14:anchorId="7164E8AD" wp14:editId="2EE5E621">
                <wp:simplePos x="0" y="0"/>
                <wp:positionH relativeFrom="column">
                  <wp:posOffset>2616200</wp:posOffset>
                </wp:positionH>
                <wp:positionV relativeFrom="paragraph">
                  <wp:posOffset>53779</wp:posOffset>
                </wp:positionV>
                <wp:extent cx="0" cy="266700"/>
                <wp:effectExtent l="76200" t="0" r="57150" b="57150"/>
                <wp:wrapNone/>
                <wp:docPr id="47" name="Straight Arrow Connector 4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F7AF2C" id="Straight Arrow Connector 47" o:spid="_x0000_s1026" type="#_x0000_t32" alt="&quot;&quot;" style="position:absolute;margin-left:206pt;margin-top:4.25pt;width:0;height:2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pOG1AEAAAEEAAAOAAAAZHJzL2Uyb0RvYy54bWysU9uO0zAQfUfiHyy/06QV6qKq6Qp1gRcE&#10;Fbt8gNcZN5Z803ho2r9n7HSzCBASiJdJbM+ZOed4vL09eydOgNnG0MnlopUCgo69DcdOfn14/+qN&#10;FJlU6JWLATp5gSxvdy9fbMe0gVUcousBBRcJeTOmTg5EadM0WQ/gVV7EBIEPTUSviJd4bHpUI1f3&#10;rlm17boZI/YJo4acefduOpS7Wt8Y0PTZmAwkXCeZG9WINT6W2Oy2anNElQarrzTUP7DwygZuOpe6&#10;U6TEN7S/lPJWY8zR0EJH30RjrIaqgdUs25/U3A8qQdXC5uQ025T/X1n96XRAYftOvr6RIijPd3RP&#10;qOxxIPEWMY5iH0NgHyMKTmG/xpQ3DNuHA15XOR2wiD8b9OXLssS5enyZPYYzCT1tat5drdc3bbW/&#10;ecYlzPQBohflp5P5ymMmsKwWq9PHTNyZgU+A0tSFEklZ9y70gi6JlRBaFY4OCm1OLylNoT8Rrn90&#10;cTDBv4BhI5ji1KaOIOwdipPi4VFaQ6DlXImzC8xY52ZgW/n9EXjNL1Co4/k34BlRO8dAM9jbEPF3&#10;3en8RNlM+U8OTLqLBY+xv9SrrNbwnFWvrm+iDPKP6wp/frm77wAAAP//AwBQSwMEFAAGAAgAAAAh&#10;ACs/XezbAAAACAEAAA8AAABkcnMvZG93bnJldi54bWxMj8FOwzAQRO9I/IO1SNyo04igNs2mQkj0&#10;CKJwgJsbb+2o8TqK3STw9RhxgONoRjNvqu3sOjHSEFrPCMtFBoK48bplg/D2+nizAhGiYq06z4Tw&#10;SQG29eVFpUrtJ36hcR+NSCUcSoVgY+xLKUNjyamw8D1x8o5+cComORipBzWlctfJPMvupFMtpwWr&#10;enqw1Jz2Z4fwbN5Hl/Oulcf1x9fOPOmTnSLi9dV8vwERaY5/YfjBT+hQJ6aDP7MOokO4XebpS0RY&#10;FSCS/6sPCEVWgKwr+f9A/Q0AAP//AwBQSwECLQAUAAYACAAAACEAtoM4kv4AAADhAQAAEwAAAAAA&#10;AAAAAAAAAAAAAAAAW0NvbnRlbnRfVHlwZXNdLnhtbFBLAQItABQABgAIAAAAIQA4/SH/1gAAAJQB&#10;AAALAAAAAAAAAAAAAAAAAC8BAABfcmVscy8ucmVsc1BLAQItABQABgAIAAAAIQAxRpOG1AEAAAEE&#10;AAAOAAAAAAAAAAAAAAAAAC4CAABkcnMvZTJvRG9jLnhtbFBLAQItABQABgAIAAAAIQArP13s2wAA&#10;AAgBAAAPAAAAAAAAAAAAAAAAAC4EAABkcnMvZG93bnJldi54bWxQSwUGAAAAAAQABADzAAAANgUA&#10;AAAA&#10;" strokecolor="#4472c4 [3204]" strokeweight=".5pt">
                <v:stroke endarrow="block" joinstyle="miter"/>
              </v:shape>
            </w:pict>
          </mc:Fallback>
        </mc:AlternateContent>
      </w:r>
    </w:p>
    <w:p w14:paraId="1F553CDA" w14:textId="77777777" w:rsidR="00CE2717" w:rsidRDefault="00CE2717" w:rsidP="00A74B4F">
      <w:pPr>
        <w:pStyle w:val="MDPI31text"/>
        <w:rPr>
          <w:rFonts w:eastAsia="SimSun"/>
          <w:color w:val="131413"/>
          <w:lang w:val="en-GB" w:eastAsia="en-GB"/>
        </w:rPr>
      </w:pPr>
    </w:p>
    <w:p w14:paraId="240C389C" w14:textId="77777777" w:rsidR="00CE2717" w:rsidRDefault="00CE2717" w:rsidP="00A74B4F">
      <w:pPr>
        <w:pStyle w:val="MDPI31text"/>
        <w:rPr>
          <w:rFonts w:eastAsia="SimSun"/>
          <w:color w:val="131413"/>
          <w:lang w:val="en-GB" w:eastAsia="en-GB"/>
        </w:rPr>
      </w:pPr>
    </w:p>
    <w:p w14:paraId="03E4821B" w14:textId="77777777" w:rsidR="00CE2717" w:rsidRDefault="002B6C1A" w:rsidP="00A74B4F">
      <w:pPr>
        <w:pStyle w:val="MDPI31text"/>
        <w:rPr>
          <w:rFonts w:eastAsia="SimSun"/>
          <w:color w:val="131413"/>
          <w:lang w:val="en-GB" w:eastAsia="en-GB"/>
        </w:rPr>
      </w:pPr>
      <w:r>
        <w:rPr>
          <w:noProof/>
          <w:lang w:val="en-GB" w:eastAsia="en-GB" w:bidi="ar-SA"/>
        </w:rPr>
        <mc:AlternateContent>
          <mc:Choice Requires="wps">
            <w:drawing>
              <wp:anchor distT="0" distB="0" distL="114300" distR="114300" simplePos="0" relativeHeight="251699200" behindDoc="0" locked="0" layoutInCell="1" allowOverlap="1" wp14:anchorId="5CA6FF21" wp14:editId="44BA4C31">
                <wp:simplePos x="0" y="0"/>
                <wp:positionH relativeFrom="column">
                  <wp:posOffset>3995029</wp:posOffset>
                </wp:positionH>
                <wp:positionV relativeFrom="paragraph">
                  <wp:posOffset>166712</wp:posOffset>
                </wp:positionV>
                <wp:extent cx="5715" cy="850900"/>
                <wp:effectExtent l="63500" t="0" r="57785" b="38100"/>
                <wp:wrapNone/>
                <wp:docPr id="49" name="Straight Arrow Connector 4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5715" cy="850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6D7DC6" id="Straight Arrow Connector 49" o:spid="_x0000_s1026" type="#_x0000_t32" alt="&quot;&quot;" style="position:absolute;margin-left:314.55pt;margin-top:13.15pt;width:.45pt;height:67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Ttq4AEAAA4EAAAOAAAAZHJzL2Uyb0RvYy54bWysU9uO0zAQfUfiHyy/s0lXFHarpivU5fKA&#10;oGLhA7zOuLHkm8ZD0/49Y6cNCBASiBcrtuecOed4sr47eicOgNnG0MnFVSsFBB17G/ad/PL5zbMb&#10;KTKp0CsXA3TyBFnebZ4+WY9pBddxiK4HFEwS8mpMnRyI0qppsh7Aq3wVEwS+NBG9It7ivulRjczu&#10;XXPdti+aMWKfMGrImU/vp0u5qfzGgKaPxmQg4TrJ2qiuWNfHsjabtVrtUaXB6rMM9Q8qvLKBm85U&#10;94qU+Ir2FypvNcYcDV3p6JtojNVQPbCbRfuTm4dBJaheOJyc5pjy/6PVHw47FLbv5PNbKYLy/EYP&#10;hMruBxKvEOMotjEEzjGi4BLOa0x5xbBt2OF5l9MOi/mjQS+Ms+kdj0KNgw2KY037NKcNRxKaD5cv&#10;F0spNF/cLNvbtr5FM5EUsoSZ3kL0onx0Mp9FzWqmBurwPhPLYOAFUMAulJWUda9DL+iU2BahVWHv&#10;oHjg8lLSFC+T+vpFJwcT/BMYToVVTm3qPMLWoTgoniSlNQRazExcXWDGOjcD2xrAH4Hn+gKFOqt/&#10;A54RtXMMNIO9DRF/152OF8lmqr8kMPkuETzG/lTftUbDQ1ezOv8gZap/3Ff499948w0AAP//AwBQ&#10;SwMEFAAGAAgAAAAhACWmq9HgAAAACgEAAA8AAABkcnMvZG93bnJldi54bWxMj8tOwzAQRfdI/IM1&#10;SOyo3USymjROxaNZ0AVSC0JdOvGQBGI7it02/D3DCpajOTr33mIz24GdcQq9dwqWCwEMXeNN71oF&#10;b6/V3QpYiNoZPXiHCr4xwKa8vip0bvzF7fF8iC0jiQu5VtDFOOach6ZDq8PCj+jo9+EnqyOdU8vN&#10;pC8ktwNPhJDc6t5RQqdHfOyw+TqcLFmeq4ds+/lyXO2edva9rmy7zaxStzfz/RpYxDn+wfBbn6pD&#10;SZ1qf3ImsEGBTLIloQoSmQIjQKaCxtVESpECLwv+f0L5AwAA//8DAFBLAQItABQABgAIAAAAIQC2&#10;gziS/gAAAOEBAAATAAAAAAAAAAAAAAAAAAAAAABbQ29udGVudF9UeXBlc10ueG1sUEsBAi0AFAAG&#10;AAgAAAAhADj9If/WAAAAlAEAAAsAAAAAAAAAAAAAAAAALwEAAF9yZWxzLy5yZWxzUEsBAi0AFAAG&#10;AAgAAAAhAPiFO2rgAQAADgQAAA4AAAAAAAAAAAAAAAAALgIAAGRycy9lMm9Eb2MueG1sUEsBAi0A&#10;FAAGAAgAAAAhACWmq9HgAAAACgEAAA8AAAAAAAAAAAAAAAAAOgQAAGRycy9kb3ducmV2LnhtbFBL&#10;BQYAAAAABAAEAPMAAABHBQAAAAA=&#10;" strokecolor="#4472c4 [3204]" strokeweight=".5pt">
                <v:stroke endarrow="block" joinstyle="miter"/>
              </v:shape>
            </w:pict>
          </mc:Fallback>
        </mc:AlternateContent>
      </w:r>
      <w:r>
        <w:rPr>
          <w:noProof/>
          <w:lang w:val="en-GB" w:eastAsia="en-GB" w:bidi="ar-SA"/>
        </w:rPr>
        <mc:AlternateContent>
          <mc:Choice Requires="wps">
            <w:drawing>
              <wp:anchor distT="0" distB="0" distL="114300" distR="114300" simplePos="0" relativeHeight="251703296" behindDoc="0" locked="0" layoutInCell="1" allowOverlap="1" wp14:anchorId="61401480" wp14:editId="3A09C33A">
                <wp:simplePos x="0" y="0"/>
                <wp:positionH relativeFrom="column">
                  <wp:posOffset>3652275</wp:posOffset>
                </wp:positionH>
                <wp:positionV relativeFrom="paragraph">
                  <wp:posOffset>167933</wp:posOffset>
                </wp:positionV>
                <wp:extent cx="351670" cy="0"/>
                <wp:effectExtent l="0" t="0" r="10795" b="19050"/>
                <wp:wrapNone/>
                <wp:docPr id="50" name="Straight Connector 5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35167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4A0E5B" id="Straight Connector 50" o:spid="_x0000_s1026" alt="&quot;&quot;" style="position:absolute;flip:x;z-index:251703296;visibility:visible;mso-wrap-style:square;mso-wrap-distance-left:9pt;mso-wrap-distance-top:0;mso-wrap-distance-right:9pt;mso-wrap-distance-bottom:0;mso-position-horizontal:absolute;mso-position-horizontal-relative:text;mso-position-vertical:absolute;mso-position-vertical-relative:text" from="287.6pt,13.2pt" to="315.3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MVjwQEAAM4DAAAOAAAAZHJzL2Uyb0RvYy54bWysU8GO0zAQvSPxD5bvNO2iXVDUdA9dAQcE&#10;FQsf4HXGjSXbY41Nk/49Y6cNCBASiIvl8cx7M+9lsr2fvBMnoGQxdHKzWksBQWNvw7GTXz6/efFa&#10;ipRV6JXDAJ08Q5L3u+fPtmNs4QYHdD2QYJKQ2jF2csg5tk2T9ABepRVGCJw0SF5lDunY9KRGZveu&#10;uVmv75oRqY+EGlLi14c5KXeV3xjQ+aMxCbJwneTZcj2pnk/lbHZb1R5JxcHqyxjqH6bwygZuulA9&#10;qKzEV7K/UHmrCROavNLoGzTGaqgaWM1m/ZOax0FFqFrYnBQXm9L/o9UfTgcStu/kLdsTlOdv9JhJ&#10;2eOQxR5DYAeRBCfZqTGmlgH7cKBLlOKBiuzJkBfG2fiOl6AawdLEVH0+Lz7DlIXmx5e3m7tX3E5f&#10;U83MUJgipfwW0Ity6aSzoTigWnV6nzJ35dJrCQdlonmGestnB6XYhU9gWBX3mqep+wR7R+KkeBOU&#10;1hDypmhivlpdYMY6twDXte0fgZf6AoW6a38DXhC1M4a8gL0NSL/rnqfryGauvzow6y4WPGF/rl+n&#10;WsNLUxVeFrxs5Y9xhX//DXffAAAA//8DAFBLAwQUAAYACAAAACEATRiNS94AAAAJAQAADwAAAGRy&#10;cy9kb3ducmV2LnhtbEyPwU7DMAyG70i8Q2QkLoilFFZQaTohBBzGaQMkuLmNaas1TlVnXXl7gjjA&#10;0fan399frGbXq4lG6TwbuFgkoIhrbztuDLy+PJ7fgJKAbLH3TAa+SGBVHh8VmFt/4A1N29CoGMKS&#10;o4E2hCHXWuqWHMrCD8Tx9ulHhyGOY6PtiIcY7nqdJkmmHXYcP7Q40H1L9W67dwY+xMvD27qannab&#10;9YxnzyF9r60xpyfz3S2oQHP4g+FHP6pDGZ0qv2crqjewvF6mETWQZlegIpBdJhmo6nehy0L/b1B+&#10;AwAA//8DAFBLAQItABQABgAIAAAAIQC2gziS/gAAAOEBAAATAAAAAAAAAAAAAAAAAAAAAABbQ29u&#10;dGVudF9UeXBlc10ueG1sUEsBAi0AFAAGAAgAAAAhADj9If/WAAAAlAEAAAsAAAAAAAAAAAAAAAAA&#10;LwEAAF9yZWxzLy5yZWxzUEsBAi0AFAAGAAgAAAAhAI3QxWPBAQAAzgMAAA4AAAAAAAAAAAAAAAAA&#10;LgIAAGRycy9lMm9Eb2MueG1sUEsBAi0AFAAGAAgAAAAhAE0YjUveAAAACQEAAA8AAAAAAAAAAAAA&#10;AAAAGwQAAGRycy9kb3ducmV2LnhtbFBLBQYAAAAABAAEAPMAAAAmBQAAAAA=&#10;" strokecolor="#4472c4 [3204]" strokeweight=".5pt">
                <v:stroke joinstyle="miter"/>
              </v:line>
            </w:pict>
          </mc:Fallback>
        </mc:AlternateContent>
      </w:r>
      <w:r>
        <w:rPr>
          <w:noProof/>
          <w:lang w:val="en-GB" w:eastAsia="en-GB" w:bidi="ar-SA"/>
        </w:rPr>
        <mc:AlternateContent>
          <mc:Choice Requires="wps">
            <w:drawing>
              <wp:anchor distT="0" distB="0" distL="114300" distR="114300" simplePos="0" relativeHeight="251701248" behindDoc="0" locked="0" layoutInCell="1" allowOverlap="1" wp14:anchorId="522D9BA8" wp14:editId="2393503A">
                <wp:simplePos x="0" y="0"/>
                <wp:positionH relativeFrom="column">
                  <wp:posOffset>1137968</wp:posOffset>
                </wp:positionH>
                <wp:positionV relativeFrom="paragraph">
                  <wp:posOffset>164074</wp:posOffset>
                </wp:positionV>
                <wp:extent cx="656366" cy="0"/>
                <wp:effectExtent l="0" t="0" r="17145" b="12700"/>
                <wp:wrapNone/>
                <wp:docPr id="37" name="Straight Connector 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65636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4A4536" id="Straight Connector 37" o:spid="_x0000_s1026" alt="&quot;&quot;" style="position:absolute;flip:x;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9.6pt,12.9pt" to="141.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u9owwEAAM4DAAAOAAAAZHJzL2Uyb0RvYy54bWysU01v2zAMvQ/YfxB0X+y0mDcYcXpI0e5Q&#10;dMG6/QBVpmIB+gKlxc6/HyUn3tANAzb0Iogi3yPfM725maxhR8Covev4elVzBk76XrtDx799vXv3&#10;kbOYhOuF8Q46foLIb7Zv32zG0MKVH7zpARmRuNiOoeNDSqGtqigHsCKufABHSeXRikQhHqoexUjs&#10;1lRXdd1Uo8c+oJcQI73ezkm+LfxKgUyflYqQmOk4zZbKieV8zme13Yj2gCIMWp7HEP8xhRXaUdOF&#10;6lYkwb6j/o3Kaok+epVW0tvKK6UlFA2kZl2/UPM0iABFC5kTw2JTfD1a+XjcI9N9x68/cOaEpW/0&#10;lFDow5DYzjtHDnpklCSnxhBbAuzcHs9RDHvMsieFlimjwydagmIESWNT8fm0+AxTYpIem/fNddNw&#10;Ji+pambITAFjugdvWb503GiXHRCtOD7ERF2p9FJCQZ5onqHc0slALjbuCyhSRb3maco+wc4gOwra&#10;BCEluLTOmoivVGeY0sYswLq0/SvwXJ+hUHbtX8ALonT2Li1gq53HP3VP02VkNddfHJh1ZwuefX8q&#10;X6dYQ0tTFJ4XPG/lr3GB//wNtz8AAAD//wMAUEsDBBQABgAIAAAAIQBsmvhu3QAAAAkBAAAPAAAA&#10;ZHJzL2Rvd25yZXYueG1sTI/BTsMwEETvSPyDtUhcEHWwRCkhToUQcCinFpDgtomXJGq8rmI3DX/P&#10;oh7gOLNPszPFcvK9GmmIXWALV7MMFHEdXMeNhbfXp8sFqJiQHfaBycI3RViWpycF5i4ceE3jJjVK&#10;QjjmaKFNaZdrHeuWPMZZ2BHL7SsMHpPIodFuwIOE+16bLJtrjx3LhxZ39NBSvd3svYXPGOLj+6oa&#10;n7fr1YQXL8l81M7a87Pp/g5Uoin9wfBbX6pDKZ2qsGcXVS/65tYIasFcywQBzMLMQVVHQ5eF/r+g&#10;/AEAAP//AwBQSwECLQAUAAYACAAAACEAtoM4kv4AAADhAQAAEwAAAAAAAAAAAAAAAAAAAAAAW0Nv&#10;bnRlbnRfVHlwZXNdLnhtbFBLAQItABQABgAIAAAAIQA4/SH/1gAAAJQBAAALAAAAAAAAAAAAAAAA&#10;AC8BAABfcmVscy8ucmVsc1BLAQItABQABgAIAAAAIQApCu9owwEAAM4DAAAOAAAAAAAAAAAAAAAA&#10;AC4CAABkcnMvZTJvRG9jLnhtbFBLAQItABQABgAIAAAAIQBsmvhu3QAAAAkBAAAPAAAAAAAAAAAA&#10;AAAAAB0EAABkcnMvZG93bnJldi54bWxQSwUGAAAAAAQABADzAAAAJwUAAAAA&#10;" strokecolor="#4472c4 [3204]" strokeweight=".5pt">
                <v:stroke joinstyle="miter"/>
              </v:line>
            </w:pict>
          </mc:Fallback>
        </mc:AlternateContent>
      </w:r>
      <w:r>
        <w:rPr>
          <w:noProof/>
          <w:lang w:val="en-GB" w:eastAsia="en-GB" w:bidi="ar-SA"/>
        </w:rPr>
        <mc:AlternateContent>
          <mc:Choice Requires="wps">
            <w:drawing>
              <wp:anchor distT="0" distB="0" distL="114300" distR="114300" simplePos="0" relativeHeight="251697152" behindDoc="0" locked="0" layoutInCell="1" allowOverlap="1" wp14:anchorId="75D1FEA4" wp14:editId="657997D6">
                <wp:simplePos x="0" y="0"/>
                <wp:positionH relativeFrom="column">
                  <wp:posOffset>1132449</wp:posOffset>
                </wp:positionH>
                <wp:positionV relativeFrom="paragraph">
                  <wp:posOffset>171450</wp:posOffset>
                </wp:positionV>
                <wp:extent cx="5861" cy="851095"/>
                <wp:effectExtent l="63500" t="0" r="57785" b="38100"/>
                <wp:wrapNone/>
                <wp:docPr id="36" name="Straight Arrow Connector 3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5861" cy="8510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E70035" id="Straight Arrow Connector 36" o:spid="_x0000_s1026" type="#_x0000_t32" alt="&quot;&quot;" style="position:absolute;margin-left:89.15pt;margin-top:13.5pt;width:.45pt;height:67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sZa3gEAAA4EAAAOAAAAZHJzL2Uyb0RvYy54bWysU9uO0zAQfUfiHyy/0ySLWpWq6Qp1uTwg&#10;qHbZD/A6dmPJN42Hpv17xk4aEKCVQLyMfJlzZs7xeHt7dpadFCQTfMubRc2Z8jJ0xh9b/vj1/as1&#10;ZwmF74QNXrX8ohK/3b18sR3iRt2EPthOASMSnzZDbHmPGDdVlWSvnEiLEJWnSx3ACaQtHKsOxEDs&#10;zlY3db2qhgBdhCBVSnR6N17yXeHXWkn8onVSyGzLqTcsEUp8yrHabcXmCCL2Rk5tiH/owgnjqehM&#10;dSdQsG9gfqNyRkJIQeNCBlcFrY1URQOpaepf1Dz0IqqihcxJcbYp/T9a+fl0AGa6lr9eceaFozd6&#10;QBDm2CN7CxAGtg/ek48BGKWQX0NMG4Lt/QGmXYoHyOLPGhzT1sSPNArFDhLIzsXty+y2OiOTdLhc&#10;rxrOJF2sl039Zpm5q5Ekk0VI+EEFx/Ki5Wlqau5mLCBOnxKOwCsgg63PEYWx73zH8BJJFoIR/mjV&#10;VCenVFnL2H1Z4cWqEX6vNLlCXY5lyjyqvQV2EjRJQkrlsZmZKDvDtLF2BtbFgGeBU36GqjKrfwOe&#10;EaVy8DiDnfEB/lQdz9eW9Zh/dWDUnS14Ct2lvGuxhoauvMn0QfJU/7wv8B/fePcdAAD//wMAUEsD&#10;BBQABgAIAAAAIQANQpqT4AAAAAoBAAAPAAAAZHJzL2Rvd25yZXYueG1sTI9LT8MwEITvSPwHa5G4&#10;UadBah7EqXg0B3qoREGIoxMvSSBeR7Hbhn/P9gS3He1o5ptiPdtBHHHyvSMFy0UEAqlxpqdWwdtr&#10;dZOC8EGT0YMjVPCDHtbl5UWhc+NO9ILHfWgFh5DPtYIuhDGX0jcdWu0XbkTi36ebrA4sp1aaSZ84&#10;3A4yjqKVtLonbuj0iI8dNt/7g+WU5+oh23ztPtLt09a+15VtN5lV6vpqvr8DEXAOf2Y44zM6lMxU&#10;uwMZLwbWSXrLVgVxwpvOhiSLQdR8rJYRyLKQ/yeUvwAAAP//AwBQSwECLQAUAAYACAAAACEAtoM4&#10;kv4AAADhAQAAEwAAAAAAAAAAAAAAAAAAAAAAW0NvbnRlbnRfVHlwZXNdLnhtbFBLAQItABQABgAI&#10;AAAAIQA4/SH/1gAAAJQBAAALAAAAAAAAAAAAAAAAAC8BAABfcmVscy8ucmVsc1BLAQItABQABgAI&#10;AAAAIQBixsZa3gEAAA4EAAAOAAAAAAAAAAAAAAAAAC4CAABkcnMvZTJvRG9jLnhtbFBLAQItABQA&#10;BgAIAAAAIQANQpqT4AAAAAoBAAAPAAAAAAAAAAAAAAAAADgEAABkcnMvZG93bnJldi54bWxQSwUG&#10;AAAAAAQABADzAAAARQUAAAAA&#10;" strokecolor="#4472c4 [3204]" strokeweight=".5pt">
                <v:stroke endarrow="block" joinstyle="miter"/>
              </v:shape>
            </w:pict>
          </mc:Fallback>
        </mc:AlternateContent>
      </w:r>
      <w:r w:rsidR="00985B30">
        <w:rPr>
          <w:rFonts w:eastAsia="SimSun"/>
          <w:noProof/>
          <w:snapToGrid/>
          <w:color w:val="131413"/>
          <w:lang w:val="en-GB" w:eastAsia="en-GB" w:bidi="ar-SA"/>
        </w:rPr>
        <mc:AlternateContent>
          <mc:Choice Requires="wps">
            <w:drawing>
              <wp:anchor distT="0" distB="0" distL="114300" distR="114300" simplePos="0" relativeHeight="251691008" behindDoc="0" locked="0" layoutInCell="1" allowOverlap="1" wp14:anchorId="193A51B2" wp14:editId="6D5CEB2F">
                <wp:simplePos x="0" y="0"/>
                <wp:positionH relativeFrom="column">
                  <wp:posOffset>4268030</wp:posOffset>
                </wp:positionH>
                <wp:positionV relativeFrom="paragraph">
                  <wp:posOffset>9330</wp:posOffset>
                </wp:positionV>
                <wp:extent cx="1146517" cy="323557"/>
                <wp:effectExtent l="0" t="0" r="9525" b="6985"/>
                <wp:wrapNone/>
                <wp:docPr id="42" name="Text Box 42"/>
                <wp:cNvGraphicFramePr/>
                <a:graphic xmlns:a="http://schemas.openxmlformats.org/drawingml/2006/main">
                  <a:graphicData uri="http://schemas.microsoft.com/office/word/2010/wordprocessingShape">
                    <wps:wsp>
                      <wps:cNvSpPr txBox="1"/>
                      <wps:spPr>
                        <a:xfrm>
                          <a:off x="0" y="0"/>
                          <a:ext cx="1146517" cy="323557"/>
                        </a:xfrm>
                        <a:prstGeom prst="rect">
                          <a:avLst/>
                        </a:prstGeom>
                        <a:solidFill>
                          <a:schemeClr val="lt1"/>
                        </a:solidFill>
                        <a:ln w="6350">
                          <a:solidFill>
                            <a:prstClr val="black"/>
                          </a:solidFill>
                        </a:ln>
                      </wps:spPr>
                      <wps:txbx>
                        <w:txbxContent>
                          <w:p w14:paraId="29BC11F0" w14:textId="77777777" w:rsidR="00307C1C" w:rsidRPr="0009714B" w:rsidRDefault="00307C1C" w:rsidP="00985B30">
                            <w:pPr>
                              <w:pStyle w:val="NoSpacing"/>
                              <w:rPr>
                                <w:sz w:val="16"/>
                                <w:szCs w:val="16"/>
                                <w:lang w:val="en-GB"/>
                              </w:rPr>
                            </w:pPr>
                            <w:r>
                              <w:rPr>
                                <w:sz w:val="16"/>
                                <w:szCs w:val="16"/>
                                <w:lang w:val="en-GB"/>
                              </w:rPr>
                              <w:t>Declined to participate</w:t>
                            </w:r>
                          </w:p>
                          <w:p w14:paraId="2F08E12E" w14:textId="77777777" w:rsidR="00307C1C" w:rsidRDefault="00307C1C" w:rsidP="00985B30">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A51B2" id="Text Box 42" o:spid="_x0000_s1040" type="#_x0000_t202" style="position:absolute;left:0;text-align:left;margin-left:336.05pt;margin-top:.75pt;width:90.3pt;height:2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23UAIAAKsEAAAOAAAAZHJzL2Uyb0RvYy54bWysVEtv2zAMvg/YfxB0Xxzn2RlxiixFhgFB&#10;WyAZelZkOTYmi5qkxM5+/SjZTtNup2EXmS99Ij+SXtw3lSRnYWwJKqXxYEiJUByyUh1T+n2/+XRH&#10;iXVMZUyCEim9CEvvlx8/LGqdiBEUIDNhCIIom9Q6pYVzOokiywtRMTsALRQ6czAVc6iaY5QZViN6&#10;JaPRcDiLajCZNsCFtWh9aJ10GfDzXHD3lOdWOCJTirm5cJpwHvwZLRcsORqmi5J3abB/yKJipcJH&#10;r1APzDFyMuUfUFXJDVjI3YBDFUGel1yEGrCaePiuml3BtAi1IDlWX2my/w+WP56fDSmzlE5GlChW&#10;YY/2onHkCzQETchPrW2CYTuNga5BO/a5t1s0+rKb3FT+iwUR9CPTlyu7Ho37S/FkNo3nlHD0jUfj&#10;6XTuYaLX29pY91VARbyQUoPdC6Sy89a6NrQP8Y9ZkGW2KaUMip8YsZaGnBn2WrqQI4K/iZKK1Cmd&#10;jafDAPzG56Gv9w+S8R9dejdRiCcV5uw5aWv3kmsOTeAwHvfEHCC7IF8G2omzmm9KxN8y656ZwRFD&#10;inBt3BMeuQRMCjqJkgLMr7/ZfTx2Hr2U1DiyKbU/T8wISuQ3hTPxOZ5M/IwHZTKdj1Axt57DrUed&#10;qjUgUzEuqOZB9PFO9mJuoHrB7Vr5V9HFFMe3U+p6ce3aRcLt5GK1CkE41Zq5rdpp7qF9Zzyv++aF&#10;Gd311eFEPEI/3Cx519421t9UsDo5yMvQe090y2rHP25EmJ5ue/3K3eoh6vUfs/wNAAD//wMAUEsD&#10;BBQABgAIAAAAIQD98JA93AAAAAgBAAAPAAAAZHJzL2Rvd25yZXYueG1sTI/BTsMwEETvSPyDtZW4&#10;UaeR0oYQpwJUuHCiRZy38da2GtuR7abh7zEnOK7eaOZtu53twCYK0XgnYLUsgJHrvTROCfg8vN7X&#10;wGJCJ3HwjgR8U4Rtd3vTYiP91X3QtE+K5RIXGxSgUxobzmOvyWJc+pFcZicfLKZ8BsVlwGsutwMv&#10;i2LNLRqXFzSO9KKpP+8vVsDuWT2ovsagd7U0Zpq/Tu/qTYi7xfz0CCzRnP7C8Kuf1aHLTkd/cTKy&#10;QcB6U65yNIMKWOZ1VW6AHQVUZQW8a/n/B7ofAAAA//8DAFBLAQItABQABgAIAAAAIQC2gziS/gAA&#10;AOEBAAATAAAAAAAAAAAAAAAAAAAAAABbQ29udGVudF9UeXBlc10ueG1sUEsBAi0AFAAGAAgAAAAh&#10;ADj9If/WAAAAlAEAAAsAAAAAAAAAAAAAAAAALwEAAF9yZWxzLy5yZWxzUEsBAi0AFAAGAAgAAAAh&#10;AKYL7bdQAgAAqwQAAA4AAAAAAAAAAAAAAAAALgIAAGRycy9lMm9Eb2MueG1sUEsBAi0AFAAGAAgA&#10;AAAhAP3wkD3cAAAACAEAAA8AAAAAAAAAAAAAAAAAqgQAAGRycy9kb3ducmV2LnhtbFBLBQYAAAAA&#10;BAAEAPMAAACzBQAAAAA=&#10;" fillcolor="white [3201]" strokeweight=".5pt">
                <v:textbox>
                  <w:txbxContent>
                    <w:p w14:paraId="29BC11F0" w14:textId="77777777" w:rsidR="00307C1C" w:rsidRPr="0009714B" w:rsidRDefault="00307C1C" w:rsidP="00985B30">
                      <w:pPr>
                        <w:pStyle w:val="NoSpacing"/>
                        <w:rPr>
                          <w:sz w:val="16"/>
                          <w:szCs w:val="16"/>
                          <w:lang w:val="en-GB"/>
                        </w:rPr>
                      </w:pPr>
                      <w:r>
                        <w:rPr>
                          <w:sz w:val="16"/>
                          <w:szCs w:val="16"/>
                          <w:lang w:val="en-GB"/>
                        </w:rPr>
                        <w:t>Declined to participate</w:t>
                      </w:r>
                    </w:p>
                    <w:p w14:paraId="2F08E12E" w14:textId="77777777" w:rsidR="00307C1C" w:rsidRDefault="00307C1C" w:rsidP="00985B30">
                      <w:r>
                        <w:t>/</w:t>
                      </w:r>
                    </w:p>
                  </w:txbxContent>
                </v:textbox>
              </v:shape>
            </w:pict>
          </mc:Fallback>
        </mc:AlternateContent>
      </w:r>
    </w:p>
    <w:p w14:paraId="705FF995" w14:textId="77777777" w:rsidR="00CE2717" w:rsidRDefault="00CE2717" w:rsidP="00A74B4F">
      <w:pPr>
        <w:pStyle w:val="MDPI31text"/>
        <w:rPr>
          <w:rFonts w:eastAsia="SimSun"/>
          <w:color w:val="131413"/>
          <w:lang w:val="en-GB" w:eastAsia="en-GB"/>
        </w:rPr>
      </w:pPr>
    </w:p>
    <w:p w14:paraId="2CF6B6AD" w14:textId="77777777" w:rsidR="00CE2717" w:rsidRDefault="00CE2717" w:rsidP="00A74B4F">
      <w:pPr>
        <w:pStyle w:val="MDPI31text"/>
        <w:rPr>
          <w:rFonts w:eastAsia="SimSun"/>
          <w:color w:val="131413"/>
          <w:lang w:val="en-GB" w:eastAsia="en-GB"/>
        </w:rPr>
      </w:pPr>
    </w:p>
    <w:p w14:paraId="0FCAD3E8" w14:textId="77777777" w:rsidR="00CE2717" w:rsidRDefault="00CE2717" w:rsidP="00A74B4F">
      <w:pPr>
        <w:pStyle w:val="MDPI31text"/>
        <w:rPr>
          <w:rFonts w:eastAsia="SimSun"/>
          <w:color w:val="131413"/>
          <w:lang w:val="en-GB" w:eastAsia="en-GB"/>
        </w:rPr>
      </w:pPr>
    </w:p>
    <w:p w14:paraId="73302293" w14:textId="77777777" w:rsidR="00CE2717" w:rsidRDefault="00CE2717" w:rsidP="00A74B4F">
      <w:pPr>
        <w:pStyle w:val="MDPI31text"/>
        <w:rPr>
          <w:rFonts w:eastAsia="SimSun"/>
          <w:color w:val="131413"/>
          <w:lang w:val="en-GB" w:eastAsia="en-GB"/>
        </w:rPr>
      </w:pPr>
    </w:p>
    <w:p w14:paraId="18AB638E" w14:textId="77777777" w:rsidR="00CE2717" w:rsidRDefault="00CE2717" w:rsidP="00A74B4F">
      <w:pPr>
        <w:pStyle w:val="MDPI31text"/>
        <w:rPr>
          <w:rFonts w:eastAsia="SimSun"/>
          <w:color w:val="131413"/>
          <w:lang w:val="en-GB" w:eastAsia="en-GB"/>
        </w:rPr>
      </w:pPr>
    </w:p>
    <w:p w14:paraId="021705B2" w14:textId="77777777" w:rsidR="00CE2717" w:rsidRDefault="00CE2717" w:rsidP="00A74B4F">
      <w:pPr>
        <w:pStyle w:val="MDPI31text"/>
        <w:rPr>
          <w:rFonts w:eastAsia="SimSun"/>
          <w:color w:val="131413"/>
          <w:lang w:val="en-GB" w:eastAsia="en-GB"/>
        </w:rPr>
      </w:pPr>
    </w:p>
    <w:p w14:paraId="48423F9A" w14:textId="77777777" w:rsidR="00CE2717" w:rsidRDefault="00CE2717" w:rsidP="00A74B4F">
      <w:pPr>
        <w:pStyle w:val="MDPI31text"/>
        <w:rPr>
          <w:rFonts w:eastAsia="SimSun"/>
          <w:color w:val="131413"/>
          <w:lang w:val="en-GB" w:eastAsia="en-GB"/>
        </w:rPr>
      </w:pPr>
    </w:p>
    <w:p w14:paraId="308ECACB" w14:textId="77777777" w:rsidR="00CE2717" w:rsidRDefault="00CE2717" w:rsidP="00A74B4F">
      <w:pPr>
        <w:pStyle w:val="MDPI31text"/>
        <w:rPr>
          <w:rFonts w:eastAsia="SimSun"/>
          <w:color w:val="131413"/>
          <w:lang w:val="en-GB" w:eastAsia="en-GB"/>
        </w:rPr>
      </w:pPr>
    </w:p>
    <w:p w14:paraId="7106A20A" w14:textId="77777777" w:rsidR="00CE2717" w:rsidRDefault="00CE2717" w:rsidP="00A74B4F">
      <w:pPr>
        <w:pStyle w:val="MDPI31text"/>
        <w:rPr>
          <w:rFonts w:eastAsia="SimSun"/>
          <w:color w:val="131413"/>
          <w:lang w:val="en-GB" w:eastAsia="en-GB"/>
        </w:rPr>
      </w:pPr>
    </w:p>
    <w:p w14:paraId="268340BC" w14:textId="77777777" w:rsidR="00CE2717" w:rsidRDefault="00CE2717" w:rsidP="00A74B4F">
      <w:pPr>
        <w:pStyle w:val="MDPI31text"/>
        <w:rPr>
          <w:rFonts w:eastAsia="SimSun"/>
          <w:color w:val="131413"/>
          <w:lang w:val="en-GB" w:eastAsia="en-GB"/>
        </w:rPr>
      </w:pPr>
    </w:p>
    <w:p w14:paraId="145743BE" w14:textId="77777777" w:rsidR="00CE2717" w:rsidRDefault="00CE2717" w:rsidP="00A74B4F">
      <w:pPr>
        <w:pStyle w:val="MDPI31text"/>
        <w:rPr>
          <w:rFonts w:eastAsia="SimSun"/>
          <w:color w:val="131413"/>
          <w:lang w:val="en-GB" w:eastAsia="en-GB"/>
        </w:rPr>
      </w:pPr>
    </w:p>
    <w:p w14:paraId="72CE8286" w14:textId="77777777" w:rsidR="00CE2717" w:rsidRDefault="00CE2717" w:rsidP="00A74B4F">
      <w:pPr>
        <w:pStyle w:val="MDPI31text"/>
        <w:rPr>
          <w:rFonts w:eastAsia="SimSun"/>
          <w:color w:val="131413"/>
          <w:lang w:val="en-GB" w:eastAsia="en-GB"/>
        </w:rPr>
      </w:pPr>
    </w:p>
    <w:p w14:paraId="777238DA" w14:textId="77777777" w:rsidR="00CE2717" w:rsidRDefault="00CE2717" w:rsidP="00A74B4F">
      <w:pPr>
        <w:pStyle w:val="MDPI31text"/>
        <w:rPr>
          <w:rFonts w:eastAsia="SimSun"/>
          <w:color w:val="131413"/>
          <w:lang w:val="en-GB" w:eastAsia="en-GB"/>
        </w:rPr>
      </w:pPr>
    </w:p>
    <w:p w14:paraId="73FBEBDE" w14:textId="77777777" w:rsidR="00CE2717" w:rsidRDefault="00CE2717" w:rsidP="00A74B4F">
      <w:pPr>
        <w:pStyle w:val="MDPI31text"/>
        <w:rPr>
          <w:rFonts w:eastAsia="SimSun"/>
          <w:color w:val="131413"/>
          <w:lang w:val="en-GB" w:eastAsia="en-GB"/>
        </w:rPr>
      </w:pPr>
    </w:p>
    <w:p w14:paraId="22949A69" w14:textId="77777777" w:rsidR="00CE2717" w:rsidRDefault="00CE2717" w:rsidP="00A74B4F">
      <w:pPr>
        <w:pStyle w:val="MDPI31text"/>
        <w:rPr>
          <w:rFonts w:eastAsia="SimSun"/>
          <w:color w:val="131413"/>
          <w:lang w:val="en-GB" w:eastAsia="en-GB"/>
        </w:rPr>
      </w:pPr>
    </w:p>
    <w:p w14:paraId="39F4843D" w14:textId="77777777" w:rsidR="00CE2717" w:rsidRDefault="00CE2717" w:rsidP="00A74B4F">
      <w:pPr>
        <w:pStyle w:val="MDPI31text"/>
        <w:rPr>
          <w:rFonts w:eastAsia="SimSun"/>
          <w:color w:val="131413"/>
          <w:lang w:val="en-GB" w:eastAsia="en-GB"/>
        </w:rPr>
      </w:pPr>
    </w:p>
    <w:p w14:paraId="7481E6AF" w14:textId="77777777" w:rsidR="00CE2717" w:rsidRDefault="00CE2717" w:rsidP="00A74B4F">
      <w:pPr>
        <w:pStyle w:val="MDPI31text"/>
        <w:rPr>
          <w:rFonts w:eastAsia="SimSun"/>
          <w:color w:val="131413"/>
          <w:lang w:val="en-GB" w:eastAsia="en-GB"/>
        </w:rPr>
      </w:pPr>
    </w:p>
    <w:p w14:paraId="367BAF33" w14:textId="77777777" w:rsidR="00CE2717" w:rsidRDefault="00CE2717" w:rsidP="00A74B4F">
      <w:pPr>
        <w:pStyle w:val="MDPI31text"/>
        <w:rPr>
          <w:rFonts w:eastAsia="SimSun"/>
          <w:color w:val="131413"/>
          <w:lang w:val="en-GB" w:eastAsia="en-GB"/>
        </w:rPr>
      </w:pPr>
    </w:p>
    <w:p w14:paraId="41FD1975" w14:textId="77777777" w:rsidR="00CE2717" w:rsidRDefault="00CE2717" w:rsidP="00A74B4F">
      <w:pPr>
        <w:pStyle w:val="MDPI31text"/>
        <w:rPr>
          <w:rFonts w:eastAsia="SimSun"/>
          <w:color w:val="131413"/>
          <w:lang w:val="en-GB" w:eastAsia="en-GB"/>
        </w:rPr>
      </w:pPr>
    </w:p>
    <w:p w14:paraId="25C686DB" w14:textId="77777777" w:rsidR="00CE2717" w:rsidRDefault="00CE2717" w:rsidP="00A74B4F">
      <w:pPr>
        <w:pStyle w:val="MDPI31text"/>
        <w:rPr>
          <w:rFonts w:eastAsia="SimSun"/>
          <w:color w:val="131413"/>
          <w:lang w:val="en-GB" w:eastAsia="en-GB"/>
        </w:rPr>
      </w:pPr>
    </w:p>
    <w:p w14:paraId="4C3041DF" w14:textId="77777777" w:rsidR="00CE2717" w:rsidRDefault="00CE2717" w:rsidP="00A74B4F">
      <w:pPr>
        <w:pStyle w:val="MDPI31text"/>
        <w:rPr>
          <w:rFonts w:eastAsia="SimSun"/>
          <w:color w:val="131413"/>
          <w:lang w:val="en-GB" w:eastAsia="en-GB"/>
        </w:rPr>
      </w:pPr>
    </w:p>
    <w:p w14:paraId="725BD855" w14:textId="77777777" w:rsidR="00CE2717" w:rsidRDefault="00CE2717" w:rsidP="00A74B4F">
      <w:pPr>
        <w:pStyle w:val="MDPI31text"/>
        <w:rPr>
          <w:rFonts w:eastAsia="SimSun"/>
          <w:color w:val="131413"/>
          <w:lang w:val="en-GB" w:eastAsia="en-GB"/>
        </w:rPr>
      </w:pPr>
    </w:p>
    <w:p w14:paraId="48872A4B" w14:textId="77777777" w:rsidR="00CE2717" w:rsidRDefault="00CE2717" w:rsidP="00A74B4F">
      <w:pPr>
        <w:pStyle w:val="MDPI31text"/>
        <w:rPr>
          <w:rFonts w:eastAsia="SimSun"/>
          <w:color w:val="131413"/>
          <w:lang w:val="en-GB" w:eastAsia="en-GB"/>
        </w:rPr>
      </w:pPr>
    </w:p>
    <w:tbl>
      <w:tblPr>
        <w:tblStyle w:val="TableGrid1"/>
        <w:tblpPr w:leftFromText="180" w:rightFromText="180" w:vertAnchor="page" w:horzAnchor="margin" w:tblpY="2149"/>
        <w:tblW w:w="8840" w:type="dxa"/>
        <w:tblLayout w:type="fixed"/>
        <w:tblLook w:val="04A0" w:firstRow="1" w:lastRow="0" w:firstColumn="1" w:lastColumn="0" w:noHBand="0" w:noVBand="1"/>
      </w:tblPr>
      <w:tblGrid>
        <w:gridCol w:w="2728"/>
        <w:gridCol w:w="1447"/>
        <w:gridCol w:w="1607"/>
        <w:gridCol w:w="1286"/>
        <w:gridCol w:w="1772"/>
      </w:tblGrid>
      <w:tr w:rsidR="00876346" w:rsidRPr="00053C42" w14:paraId="78CB73F5" w14:textId="77777777" w:rsidTr="00876346">
        <w:trPr>
          <w:trHeight w:val="827"/>
        </w:trPr>
        <w:tc>
          <w:tcPr>
            <w:tcW w:w="2728" w:type="dxa"/>
          </w:tcPr>
          <w:p w14:paraId="046E4B01"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lastRenderedPageBreak/>
              <w:t>Time point</w:t>
            </w:r>
          </w:p>
        </w:tc>
        <w:tc>
          <w:tcPr>
            <w:tcW w:w="1447" w:type="dxa"/>
          </w:tcPr>
          <w:p w14:paraId="16400AFB"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Enrolment</w:t>
            </w:r>
          </w:p>
        </w:tc>
        <w:tc>
          <w:tcPr>
            <w:tcW w:w="1607" w:type="dxa"/>
          </w:tcPr>
          <w:p w14:paraId="31F1F9B4"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Allocation</w:t>
            </w:r>
          </w:p>
        </w:tc>
        <w:tc>
          <w:tcPr>
            <w:tcW w:w="1286" w:type="dxa"/>
          </w:tcPr>
          <w:p w14:paraId="2B0542E9"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Baseline</w:t>
            </w:r>
          </w:p>
        </w:tc>
        <w:tc>
          <w:tcPr>
            <w:tcW w:w="1772" w:type="dxa"/>
          </w:tcPr>
          <w:p w14:paraId="03E4BA4B"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Follow-up (week 13)</w:t>
            </w:r>
          </w:p>
        </w:tc>
      </w:tr>
      <w:tr w:rsidR="00876346" w:rsidRPr="00053C42" w14:paraId="77AF1540" w14:textId="77777777" w:rsidTr="00876346">
        <w:trPr>
          <w:trHeight w:val="1076"/>
        </w:trPr>
        <w:tc>
          <w:tcPr>
            <w:tcW w:w="2728" w:type="dxa"/>
          </w:tcPr>
          <w:p w14:paraId="302C7E5B"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Eligibility screen</w:t>
            </w:r>
          </w:p>
        </w:tc>
        <w:tc>
          <w:tcPr>
            <w:tcW w:w="1447" w:type="dxa"/>
          </w:tcPr>
          <w:p w14:paraId="35F848BE"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c>
          <w:tcPr>
            <w:tcW w:w="1607" w:type="dxa"/>
          </w:tcPr>
          <w:p w14:paraId="110B7924"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 xml:space="preserve"> </w:t>
            </w:r>
          </w:p>
        </w:tc>
        <w:tc>
          <w:tcPr>
            <w:tcW w:w="1286" w:type="dxa"/>
          </w:tcPr>
          <w:p w14:paraId="003324F0" w14:textId="77777777" w:rsidR="00876346" w:rsidRPr="00053C42" w:rsidRDefault="00876346" w:rsidP="00876346">
            <w:pPr>
              <w:pStyle w:val="MDPI42tablebody"/>
              <w:rPr>
                <w:rFonts w:eastAsiaTheme="minorHAnsi"/>
                <w:sz w:val="20"/>
                <w:szCs w:val="20"/>
              </w:rPr>
            </w:pPr>
          </w:p>
        </w:tc>
        <w:tc>
          <w:tcPr>
            <w:tcW w:w="1772" w:type="dxa"/>
          </w:tcPr>
          <w:p w14:paraId="451CA9E8" w14:textId="77777777" w:rsidR="00876346" w:rsidRPr="00053C42" w:rsidRDefault="00876346" w:rsidP="00876346">
            <w:pPr>
              <w:pStyle w:val="MDPI42tablebody"/>
              <w:rPr>
                <w:rFonts w:eastAsiaTheme="minorHAnsi"/>
                <w:sz w:val="20"/>
                <w:szCs w:val="20"/>
              </w:rPr>
            </w:pPr>
          </w:p>
        </w:tc>
      </w:tr>
      <w:tr w:rsidR="00876346" w:rsidRPr="00053C42" w14:paraId="07DE59B1" w14:textId="77777777" w:rsidTr="00876346">
        <w:trPr>
          <w:trHeight w:val="827"/>
        </w:trPr>
        <w:tc>
          <w:tcPr>
            <w:tcW w:w="2728" w:type="dxa"/>
          </w:tcPr>
          <w:p w14:paraId="12CF3D07"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Informed Consent</w:t>
            </w:r>
          </w:p>
        </w:tc>
        <w:tc>
          <w:tcPr>
            <w:tcW w:w="1447" w:type="dxa"/>
          </w:tcPr>
          <w:p w14:paraId="3364E3ED"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c>
          <w:tcPr>
            <w:tcW w:w="1607" w:type="dxa"/>
          </w:tcPr>
          <w:p w14:paraId="4088BF48"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c>
          <w:tcPr>
            <w:tcW w:w="1286" w:type="dxa"/>
          </w:tcPr>
          <w:p w14:paraId="591F123C"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c>
          <w:tcPr>
            <w:tcW w:w="1772" w:type="dxa"/>
          </w:tcPr>
          <w:p w14:paraId="180B62EA"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r>
      <w:tr w:rsidR="00876346" w:rsidRPr="00053C42" w14:paraId="41D748AC" w14:textId="77777777" w:rsidTr="00876346">
        <w:trPr>
          <w:trHeight w:val="854"/>
        </w:trPr>
        <w:tc>
          <w:tcPr>
            <w:tcW w:w="2728" w:type="dxa"/>
          </w:tcPr>
          <w:p w14:paraId="782394FE"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Baseline measures (listed below under assessments)</w:t>
            </w:r>
          </w:p>
        </w:tc>
        <w:tc>
          <w:tcPr>
            <w:tcW w:w="1447" w:type="dxa"/>
          </w:tcPr>
          <w:p w14:paraId="0817CF3C"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c>
          <w:tcPr>
            <w:tcW w:w="1607" w:type="dxa"/>
          </w:tcPr>
          <w:p w14:paraId="1475E71F" w14:textId="77777777" w:rsidR="00876346" w:rsidRPr="00053C42" w:rsidRDefault="00876346" w:rsidP="00876346">
            <w:pPr>
              <w:pStyle w:val="MDPI42tablebody"/>
              <w:rPr>
                <w:rFonts w:eastAsiaTheme="minorHAnsi"/>
                <w:sz w:val="20"/>
                <w:szCs w:val="20"/>
              </w:rPr>
            </w:pPr>
          </w:p>
        </w:tc>
        <w:tc>
          <w:tcPr>
            <w:tcW w:w="1286" w:type="dxa"/>
          </w:tcPr>
          <w:p w14:paraId="0A305E31" w14:textId="77777777" w:rsidR="00876346" w:rsidRPr="00053C42" w:rsidRDefault="00876346" w:rsidP="00876346">
            <w:pPr>
              <w:pStyle w:val="MDPI42tablebody"/>
              <w:rPr>
                <w:rFonts w:eastAsiaTheme="minorHAnsi"/>
                <w:sz w:val="20"/>
                <w:szCs w:val="20"/>
              </w:rPr>
            </w:pPr>
          </w:p>
        </w:tc>
        <w:tc>
          <w:tcPr>
            <w:tcW w:w="1772" w:type="dxa"/>
          </w:tcPr>
          <w:p w14:paraId="7C9A2DAD" w14:textId="77777777" w:rsidR="00876346" w:rsidRPr="00053C42" w:rsidRDefault="00876346" w:rsidP="00876346">
            <w:pPr>
              <w:pStyle w:val="MDPI42tablebody"/>
              <w:rPr>
                <w:rFonts w:eastAsiaTheme="minorHAnsi"/>
                <w:sz w:val="20"/>
                <w:szCs w:val="20"/>
              </w:rPr>
            </w:pPr>
          </w:p>
        </w:tc>
      </w:tr>
      <w:tr w:rsidR="00876346" w:rsidRPr="00053C42" w14:paraId="2EC59AF5" w14:textId="77777777" w:rsidTr="00876346">
        <w:trPr>
          <w:trHeight w:val="1240"/>
        </w:trPr>
        <w:tc>
          <w:tcPr>
            <w:tcW w:w="2728" w:type="dxa"/>
          </w:tcPr>
          <w:p w14:paraId="7B0BCE04"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Allocation</w:t>
            </w:r>
          </w:p>
        </w:tc>
        <w:tc>
          <w:tcPr>
            <w:tcW w:w="1447" w:type="dxa"/>
          </w:tcPr>
          <w:p w14:paraId="0EEB6000" w14:textId="77777777" w:rsidR="00876346" w:rsidRPr="00053C42" w:rsidRDefault="00876346" w:rsidP="00876346">
            <w:pPr>
              <w:pStyle w:val="MDPI42tablebody"/>
              <w:rPr>
                <w:rFonts w:eastAsiaTheme="minorHAnsi"/>
                <w:sz w:val="20"/>
                <w:szCs w:val="20"/>
              </w:rPr>
            </w:pPr>
          </w:p>
        </w:tc>
        <w:tc>
          <w:tcPr>
            <w:tcW w:w="1607" w:type="dxa"/>
          </w:tcPr>
          <w:p w14:paraId="76CE8CE1"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c>
          <w:tcPr>
            <w:tcW w:w="1286" w:type="dxa"/>
          </w:tcPr>
          <w:p w14:paraId="6CFF8C5F" w14:textId="77777777" w:rsidR="00876346" w:rsidRPr="00053C42" w:rsidRDefault="00876346" w:rsidP="00876346">
            <w:pPr>
              <w:pStyle w:val="MDPI42tablebody"/>
              <w:rPr>
                <w:rFonts w:eastAsiaTheme="minorHAnsi"/>
                <w:sz w:val="20"/>
                <w:szCs w:val="20"/>
              </w:rPr>
            </w:pPr>
          </w:p>
        </w:tc>
        <w:tc>
          <w:tcPr>
            <w:tcW w:w="1772" w:type="dxa"/>
          </w:tcPr>
          <w:p w14:paraId="22B90370" w14:textId="77777777" w:rsidR="00876346" w:rsidRPr="00053C42" w:rsidRDefault="00876346" w:rsidP="00876346">
            <w:pPr>
              <w:pStyle w:val="MDPI42tablebody"/>
              <w:rPr>
                <w:rFonts w:eastAsiaTheme="minorHAnsi"/>
                <w:sz w:val="20"/>
                <w:szCs w:val="20"/>
              </w:rPr>
            </w:pPr>
          </w:p>
        </w:tc>
      </w:tr>
      <w:tr w:rsidR="00876346" w:rsidRPr="00053C42" w14:paraId="578C1F7A" w14:textId="77777777" w:rsidTr="00876346">
        <w:trPr>
          <w:trHeight w:val="521"/>
        </w:trPr>
        <w:tc>
          <w:tcPr>
            <w:tcW w:w="8840" w:type="dxa"/>
            <w:gridSpan w:val="5"/>
          </w:tcPr>
          <w:p w14:paraId="6DD6767A"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INTERVENTIONS</w:t>
            </w:r>
          </w:p>
        </w:tc>
      </w:tr>
      <w:tr w:rsidR="00876346" w:rsidRPr="00053C42" w14:paraId="7C8E4D38" w14:textId="77777777" w:rsidTr="00876346">
        <w:trPr>
          <w:trHeight w:val="413"/>
        </w:trPr>
        <w:tc>
          <w:tcPr>
            <w:tcW w:w="2728" w:type="dxa"/>
          </w:tcPr>
          <w:p w14:paraId="35A08096"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Treatment group</w:t>
            </w:r>
          </w:p>
        </w:tc>
        <w:tc>
          <w:tcPr>
            <w:tcW w:w="1447" w:type="dxa"/>
          </w:tcPr>
          <w:p w14:paraId="6971B83B" w14:textId="77777777" w:rsidR="00876346" w:rsidRPr="00053C42" w:rsidRDefault="00876346" w:rsidP="00876346">
            <w:pPr>
              <w:pStyle w:val="MDPI42tablebody"/>
              <w:rPr>
                <w:rFonts w:eastAsiaTheme="minorHAnsi"/>
                <w:sz w:val="20"/>
                <w:szCs w:val="20"/>
              </w:rPr>
            </w:pPr>
          </w:p>
        </w:tc>
        <w:tc>
          <w:tcPr>
            <w:tcW w:w="1607" w:type="dxa"/>
          </w:tcPr>
          <w:p w14:paraId="4AB5A30C" w14:textId="77777777" w:rsidR="00876346" w:rsidRPr="00053C42" w:rsidRDefault="00876346" w:rsidP="00876346">
            <w:pPr>
              <w:pStyle w:val="MDPI42tablebody"/>
              <w:rPr>
                <w:rFonts w:eastAsiaTheme="minorHAnsi"/>
                <w:sz w:val="20"/>
                <w:szCs w:val="20"/>
              </w:rPr>
            </w:pPr>
          </w:p>
        </w:tc>
        <w:tc>
          <w:tcPr>
            <w:tcW w:w="3058" w:type="dxa"/>
            <w:gridSpan w:val="2"/>
          </w:tcPr>
          <w:p w14:paraId="353CE79D" w14:textId="77777777" w:rsidR="00876346" w:rsidRPr="00053C42" w:rsidRDefault="00876346" w:rsidP="00876346">
            <w:pPr>
              <w:pStyle w:val="MDPI42tablebody"/>
              <w:rPr>
                <w:rFonts w:eastAsiaTheme="minorHAnsi"/>
                <w:sz w:val="20"/>
                <w:szCs w:val="20"/>
              </w:rPr>
            </w:pPr>
            <w:r w:rsidRPr="00053C42">
              <w:rPr>
                <w:rFonts w:eastAsiaTheme="minorHAnsi"/>
                <w:noProof/>
                <w:lang w:val="en-GB" w:eastAsia="en-GB" w:bidi="ar-SA"/>
              </w:rPr>
              <mc:AlternateContent>
                <mc:Choice Requires="wps">
                  <w:drawing>
                    <wp:anchor distT="0" distB="0" distL="114300" distR="114300" simplePos="0" relativeHeight="251705344" behindDoc="0" locked="0" layoutInCell="1" allowOverlap="1" wp14:anchorId="20B75BE4" wp14:editId="28CCE615">
                      <wp:simplePos x="0" y="0"/>
                      <wp:positionH relativeFrom="column">
                        <wp:posOffset>110490</wp:posOffset>
                      </wp:positionH>
                      <wp:positionV relativeFrom="paragraph">
                        <wp:posOffset>76835</wp:posOffset>
                      </wp:positionV>
                      <wp:extent cx="1238250" cy="0"/>
                      <wp:effectExtent l="38100" t="76200" r="19050" b="95250"/>
                      <wp:wrapNone/>
                      <wp:docPr id="43" name="Straight Arrow Connector 4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23825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A18714" id="Straight Arrow Connector 43" o:spid="_x0000_s1026" type="#_x0000_t32" alt="&quot;&quot;" style="position:absolute;margin-left:8.7pt;margin-top:6.05pt;width:97.5pt;height:0;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AqQ2wEAAB4EAAAOAAAAZHJzL2Uyb0RvYy54bWysU9tuEzEQfUfiHyy/k01SQFWUTYVS4AVB&#10;ROEDXO84a8k3jYds8veMvckWlUqIqi+za4/PmTnH4/XN0TtxAMw2hlYuZnMpIOjY2bBv5c8fn95c&#10;S5FJhU65GKCVJ8jyZvP61XpIK1jGProOUDBJyKshtbInSqumyboHr/IsJgicNBG9Il7ivulQDczu&#10;XbOcz983Q8QuYdSQM+/ejkm5qfzGgKZvxmQg4VrJvVGNWON9ic1mrVZ7VKm3+tyGekYXXtnARSeq&#10;W0VK/EL7F5W3GmOOhmY6+iYaYzVUDaxmMX+k5q5XCaoWNienyab8crT662GHwnatfHslRVCe7+iO&#10;UNl9T+IDYhzENobAPkYUfIT9GlJeMWwbdnhe5bTDIv5o0JcvyxLH6vFp8hiOJDRvLpZX18t3fBX6&#10;kmsegAkzfYboRflpZT43MnWwqB6rw5dMXJqBF0Cp6kKJPajuY+gEnRJLIbQq7B2M90zKuqdzTFXg&#10;TdE2qql/dHIwUn8Hwy6V/msLdT5h61AcFE+W0hoCLUqVysSnC8xY5ybg/N/A8/kChTq7/wOeELVy&#10;DDSBvQ0Rn6pOx0vLZjx/cWDUXSy4j92p3nO1hoewKjw/mDLlf64r/OFZb34DAAD//wMAUEsDBBQA&#10;BgAIAAAAIQDS1Rkd2AAAAAgBAAAPAAAAZHJzL2Rvd25yZXYueG1sTE9NS8QwEL0L/ocwgjc3aRF1&#10;a9NFBN2b4O6C17SZbYvNpCTph//eEQ96Gt4Hb94rd6sbxIwh9p40ZBsFAqnxtqdWw+n4cvMAIiZD&#10;1gyeUMMXRthVlxelKaxf6B3nQ2oFh1AsjIYupbGQMjYdOhM3fkRi7eyDM4lhaKUNZuFwN8hcqTvp&#10;TE/8oTMjPnfYfB4mp4E+VnVsR3V+W+Z9HbavaYr7rdbXV+vTI4iEa/ozw099rg4Vd6r9RDaKgfH9&#10;LTv55hkI1vMsZ6L+JWRVyv8Dqm8AAAD//wMAUEsBAi0AFAAGAAgAAAAhALaDOJL+AAAA4QEAABMA&#10;AAAAAAAAAAAAAAAAAAAAAFtDb250ZW50X1R5cGVzXS54bWxQSwECLQAUAAYACAAAACEAOP0h/9YA&#10;AACUAQAACwAAAAAAAAAAAAAAAAAvAQAAX3JlbHMvLnJlbHNQSwECLQAUAAYACAAAACEAwmwKkNsB&#10;AAAeBAAADgAAAAAAAAAAAAAAAAAuAgAAZHJzL2Uyb0RvYy54bWxQSwECLQAUAAYACAAAACEA0tUZ&#10;HdgAAAAIAQAADwAAAAAAAAAAAAAAAAA1BAAAZHJzL2Rvd25yZXYueG1sUEsFBgAAAAAEAAQA8wAA&#10;ADoFAAAAAA==&#10;" strokecolor="#4472c4 [3204]" strokeweight=".5pt">
                      <v:stroke startarrow="block" endarrow="block" joinstyle="miter"/>
                    </v:shape>
                  </w:pict>
                </mc:Fallback>
              </mc:AlternateContent>
            </w:r>
          </w:p>
        </w:tc>
      </w:tr>
      <w:tr w:rsidR="00876346" w:rsidRPr="00053C42" w14:paraId="248AB175" w14:textId="77777777" w:rsidTr="00876346">
        <w:trPr>
          <w:trHeight w:val="413"/>
        </w:trPr>
        <w:tc>
          <w:tcPr>
            <w:tcW w:w="2728" w:type="dxa"/>
          </w:tcPr>
          <w:p w14:paraId="7A355FB7"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Control group</w:t>
            </w:r>
          </w:p>
        </w:tc>
        <w:tc>
          <w:tcPr>
            <w:tcW w:w="1447" w:type="dxa"/>
          </w:tcPr>
          <w:p w14:paraId="6CA5F1C7" w14:textId="77777777" w:rsidR="00876346" w:rsidRPr="00053C42" w:rsidRDefault="00876346" w:rsidP="00876346">
            <w:pPr>
              <w:pStyle w:val="MDPI42tablebody"/>
              <w:rPr>
                <w:rFonts w:eastAsiaTheme="minorHAnsi"/>
                <w:sz w:val="20"/>
                <w:szCs w:val="20"/>
              </w:rPr>
            </w:pPr>
          </w:p>
        </w:tc>
        <w:tc>
          <w:tcPr>
            <w:tcW w:w="1607" w:type="dxa"/>
          </w:tcPr>
          <w:p w14:paraId="35395AB3" w14:textId="77777777" w:rsidR="00876346" w:rsidRPr="00053C42" w:rsidRDefault="00876346" w:rsidP="00876346">
            <w:pPr>
              <w:pStyle w:val="MDPI42tablebody"/>
              <w:rPr>
                <w:rFonts w:eastAsiaTheme="minorHAnsi"/>
                <w:sz w:val="20"/>
                <w:szCs w:val="20"/>
              </w:rPr>
            </w:pPr>
          </w:p>
        </w:tc>
        <w:tc>
          <w:tcPr>
            <w:tcW w:w="3058" w:type="dxa"/>
            <w:gridSpan w:val="2"/>
          </w:tcPr>
          <w:p w14:paraId="74596528" w14:textId="77777777" w:rsidR="00876346" w:rsidRPr="00053C42" w:rsidRDefault="00876346" w:rsidP="00876346">
            <w:pPr>
              <w:pStyle w:val="MDPI42tablebody"/>
              <w:rPr>
                <w:rFonts w:eastAsiaTheme="minorHAnsi"/>
                <w:sz w:val="20"/>
                <w:szCs w:val="20"/>
              </w:rPr>
            </w:pPr>
            <w:r w:rsidRPr="00053C42">
              <w:rPr>
                <w:rFonts w:eastAsiaTheme="minorHAnsi"/>
                <w:noProof/>
                <w:lang w:val="en-GB" w:eastAsia="en-GB" w:bidi="ar-SA"/>
              </w:rPr>
              <mc:AlternateContent>
                <mc:Choice Requires="wps">
                  <w:drawing>
                    <wp:anchor distT="0" distB="0" distL="114300" distR="114300" simplePos="0" relativeHeight="251706368" behindDoc="0" locked="0" layoutInCell="1" allowOverlap="1" wp14:anchorId="6879DE7B" wp14:editId="57A36B00">
                      <wp:simplePos x="0" y="0"/>
                      <wp:positionH relativeFrom="column">
                        <wp:posOffset>109220</wp:posOffset>
                      </wp:positionH>
                      <wp:positionV relativeFrom="paragraph">
                        <wp:posOffset>81280</wp:posOffset>
                      </wp:positionV>
                      <wp:extent cx="1238250" cy="0"/>
                      <wp:effectExtent l="38100" t="76200" r="19050" b="95250"/>
                      <wp:wrapNone/>
                      <wp:docPr id="44" name="Straight Arrow Connector 4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23825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89E115" id="Straight Arrow Connector 44" o:spid="_x0000_s1026" type="#_x0000_t32" alt="&quot;&quot;" style="position:absolute;margin-left:8.6pt;margin-top:6.4pt;width:97.5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nG2wEAAB4EAAAOAAAAZHJzL2Uyb0RvYy54bWysU9tuEzEQfUfiHyy/k01CQVWUTYVS4AVB&#10;ROEDXO84a8k3jYds8veMvckWlUqIqi+za4/PmTnH4/XN0TtxAMw2hlYuZnMpIOjY2bBv5c8fn95c&#10;S5FJhU65GKCVJ8jyZvP61XpIK1jGProOUDBJyKshtbInSqumyboHr/IsJgicNBG9Il7ivulQDczu&#10;XbOcz983Q8QuYdSQM+/ejkm5qfzGgKZvxmQg4VrJvVGNWON9ic1mrVZ7VKm3+tyGekYXXtnARSeq&#10;W0VK/EL7F5W3GmOOhmY6+iYaYzVUDaxmMX+k5q5XCaoWNienyab8crT662GHwnatvLqSIijPd3RH&#10;qOy+J/EBMQ5iG0NgHyMKPsJ+DSmvGLYNOzyvctphEX806MuXZYlj9fg0eQxHEpo3F8u318t3fBX6&#10;kmsegAkzfYboRflpZT43MnWwqB6rw5dMXJqBF0Cp6kKJPajuY+gEnRJLIbQq7B2M90zKuqdzTFXg&#10;TdE2qql/dHIwUn8Hwy6V/msLdT5h61AcFE+W0hoCLUqVysSnC8xY5ybg/N/A8/kChTq7/wOeELVy&#10;DDSBvQ0Rn6pOx0vLZjx/cWDUXSy4j92p3nO1hoewKjw/mDLlf64r/OFZb34DAAD//wMAUEsDBBQA&#10;BgAIAAAAIQA/4SNm1wAAAAgBAAAPAAAAZHJzL2Rvd25yZXYueG1sTE9NS8QwEL0L/ocwgjc32RzU&#10;rU0XEXRvgruC17SZbYvNpCTph//eEQ96Gt4Hb94r96sfxIwx9YEMbDcKBFITXE+tgffT8809iJQt&#10;OTsEQgNfmGBfXV6UtnBhoTecj7kVHEKpsAa6nMdCytR06G3ahBGJtXOI3maGsZUu2oXD/SC1UrfS&#10;2574Q2dHfOqw+TxO3gB9rOrUjur8usyHOu5e8pQOO2Our9bHBxAZ1/xnhp/6XB0q7lSHiVwSA+M7&#10;zU6+mhewrreaifqXkFUp/w+ovgEAAP//AwBQSwECLQAUAAYACAAAACEAtoM4kv4AAADhAQAAEwAA&#10;AAAAAAAAAAAAAAAAAAAAW0NvbnRlbnRfVHlwZXNdLnhtbFBLAQItABQABgAIAAAAIQA4/SH/1gAA&#10;AJQBAAALAAAAAAAAAAAAAAAAAC8BAABfcmVscy8ucmVsc1BLAQItABQABgAIAAAAIQBS4DnG2wEA&#10;AB4EAAAOAAAAAAAAAAAAAAAAAC4CAABkcnMvZTJvRG9jLnhtbFBLAQItABQABgAIAAAAIQA/4SNm&#10;1wAAAAgBAAAPAAAAAAAAAAAAAAAAADUEAABkcnMvZG93bnJldi54bWxQSwUGAAAAAAQABADzAAAA&#10;OQUAAAAA&#10;" strokecolor="#4472c4 [3204]" strokeweight=".5pt">
                      <v:stroke startarrow="block" endarrow="block" joinstyle="miter"/>
                    </v:shape>
                  </w:pict>
                </mc:Fallback>
              </mc:AlternateContent>
            </w:r>
          </w:p>
        </w:tc>
      </w:tr>
      <w:tr w:rsidR="00876346" w:rsidRPr="00053C42" w14:paraId="1C1396B6" w14:textId="77777777" w:rsidTr="00876346">
        <w:trPr>
          <w:trHeight w:val="413"/>
        </w:trPr>
        <w:tc>
          <w:tcPr>
            <w:tcW w:w="8840" w:type="dxa"/>
            <w:gridSpan w:val="5"/>
          </w:tcPr>
          <w:p w14:paraId="77C6AE24"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ASSESSMENTS</w:t>
            </w:r>
          </w:p>
        </w:tc>
      </w:tr>
      <w:tr w:rsidR="00876346" w:rsidRPr="00053C42" w14:paraId="212A6EAC" w14:textId="77777777" w:rsidTr="00876346">
        <w:trPr>
          <w:trHeight w:val="413"/>
        </w:trPr>
        <w:tc>
          <w:tcPr>
            <w:tcW w:w="2728" w:type="dxa"/>
          </w:tcPr>
          <w:p w14:paraId="368992DE"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Demographic</w:t>
            </w:r>
          </w:p>
        </w:tc>
        <w:tc>
          <w:tcPr>
            <w:tcW w:w="1447" w:type="dxa"/>
          </w:tcPr>
          <w:p w14:paraId="56D424D1" w14:textId="77777777" w:rsidR="00876346" w:rsidRPr="00053C42" w:rsidRDefault="00876346" w:rsidP="00876346">
            <w:pPr>
              <w:pStyle w:val="MDPI42tablebody"/>
              <w:rPr>
                <w:rFonts w:eastAsiaTheme="minorHAnsi"/>
                <w:sz w:val="20"/>
                <w:szCs w:val="20"/>
              </w:rPr>
            </w:pPr>
          </w:p>
        </w:tc>
        <w:tc>
          <w:tcPr>
            <w:tcW w:w="1607" w:type="dxa"/>
          </w:tcPr>
          <w:p w14:paraId="23953B6C" w14:textId="77777777" w:rsidR="00876346" w:rsidRPr="00053C42" w:rsidRDefault="00876346" w:rsidP="00876346">
            <w:pPr>
              <w:pStyle w:val="MDPI42tablebody"/>
              <w:rPr>
                <w:rFonts w:eastAsiaTheme="minorHAnsi"/>
                <w:sz w:val="20"/>
                <w:szCs w:val="20"/>
              </w:rPr>
            </w:pPr>
          </w:p>
        </w:tc>
        <w:tc>
          <w:tcPr>
            <w:tcW w:w="1286" w:type="dxa"/>
          </w:tcPr>
          <w:p w14:paraId="2F155B61"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c>
          <w:tcPr>
            <w:tcW w:w="1772" w:type="dxa"/>
          </w:tcPr>
          <w:p w14:paraId="615F541B" w14:textId="77777777" w:rsidR="00876346" w:rsidRPr="00053C42" w:rsidRDefault="00876346" w:rsidP="00876346">
            <w:pPr>
              <w:pStyle w:val="MDPI42tablebody"/>
              <w:rPr>
                <w:rFonts w:eastAsiaTheme="minorHAnsi"/>
                <w:sz w:val="20"/>
                <w:szCs w:val="20"/>
              </w:rPr>
            </w:pPr>
          </w:p>
        </w:tc>
      </w:tr>
      <w:tr w:rsidR="00876346" w:rsidRPr="00053C42" w14:paraId="407A83CE" w14:textId="77777777" w:rsidTr="00876346">
        <w:trPr>
          <w:trHeight w:val="854"/>
        </w:trPr>
        <w:tc>
          <w:tcPr>
            <w:tcW w:w="2728" w:type="dxa"/>
          </w:tcPr>
          <w:p w14:paraId="73E46E4F"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Sedentary behaviour/day (ActivPAL)</w:t>
            </w:r>
          </w:p>
        </w:tc>
        <w:tc>
          <w:tcPr>
            <w:tcW w:w="1447" w:type="dxa"/>
          </w:tcPr>
          <w:p w14:paraId="1D68C4E3" w14:textId="77777777" w:rsidR="00876346" w:rsidRPr="00053C42" w:rsidRDefault="00876346" w:rsidP="00876346">
            <w:pPr>
              <w:pStyle w:val="MDPI42tablebody"/>
              <w:rPr>
                <w:rFonts w:eastAsiaTheme="minorHAnsi"/>
                <w:sz w:val="20"/>
                <w:szCs w:val="20"/>
              </w:rPr>
            </w:pPr>
          </w:p>
        </w:tc>
        <w:tc>
          <w:tcPr>
            <w:tcW w:w="1607" w:type="dxa"/>
          </w:tcPr>
          <w:p w14:paraId="5755F96D" w14:textId="77777777" w:rsidR="00876346" w:rsidRPr="00053C42" w:rsidRDefault="00876346" w:rsidP="00876346">
            <w:pPr>
              <w:pStyle w:val="MDPI42tablebody"/>
              <w:rPr>
                <w:rFonts w:eastAsiaTheme="minorHAnsi"/>
                <w:sz w:val="20"/>
                <w:szCs w:val="20"/>
              </w:rPr>
            </w:pPr>
          </w:p>
        </w:tc>
        <w:tc>
          <w:tcPr>
            <w:tcW w:w="1286" w:type="dxa"/>
          </w:tcPr>
          <w:p w14:paraId="184EB6F2"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c>
          <w:tcPr>
            <w:tcW w:w="1772" w:type="dxa"/>
          </w:tcPr>
          <w:p w14:paraId="1ECD2E6B"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r>
      <w:tr w:rsidR="00876346" w:rsidRPr="00053C42" w14:paraId="4ED066ED" w14:textId="77777777" w:rsidTr="00876346">
        <w:trPr>
          <w:trHeight w:val="854"/>
        </w:trPr>
        <w:tc>
          <w:tcPr>
            <w:tcW w:w="2728" w:type="dxa"/>
          </w:tcPr>
          <w:p w14:paraId="371F53DF"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Self-reported sedentary behaviour (SBQ)</w:t>
            </w:r>
          </w:p>
        </w:tc>
        <w:tc>
          <w:tcPr>
            <w:tcW w:w="1447" w:type="dxa"/>
          </w:tcPr>
          <w:p w14:paraId="47E16A47" w14:textId="77777777" w:rsidR="00876346" w:rsidRPr="00053C42" w:rsidRDefault="00876346" w:rsidP="00876346">
            <w:pPr>
              <w:pStyle w:val="MDPI42tablebody"/>
              <w:rPr>
                <w:rFonts w:eastAsiaTheme="minorHAnsi"/>
                <w:sz w:val="20"/>
                <w:szCs w:val="20"/>
              </w:rPr>
            </w:pPr>
          </w:p>
        </w:tc>
        <w:tc>
          <w:tcPr>
            <w:tcW w:w="1607" w:type="dxa"/>
          </w:tcPr>
          <w:p w14:paraId="2DB6FE96" w14:textId="77777777" w:rsidR="00876346" w:rsidRPr="00053C42" w:rsidRDefault="00876346" w:rsidP="00876346">
            <w:pPr>
              <w:pStyle w:val="MDPI42tablebody"/>
              <w:rPr>
                <w:rFonts w:eastAsiaTheme="minorHAnsi"/>
                <w:sz w:val="20"/>
                <w:szCs w:val="20"/>
              </w:rPr>
            </w:pPr>
          </w:p>
        </w:tc>
        <w:tc>
          <w:tcPr>
            <w:tcW w:w="1286" w:type="dxa"/>
          </w:tcPr>
          <w:p w14:paraId="60517D55"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c>
          <w:tcPr>
            <w:tcW w:w="1772" w:type="dxa"/>
          </w:tcPr>
          <w:p w14:paraId="3142129A"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r>
      <w:tr w:rsidR="00876346" w:rsidRPr="00053C42" w14:paraId="7BC8D010" w14:textId="77777777" w:rsidTr="00876346">
        <w:trPr>
          <w:trHeight w:val="827"/>
        </w:trPr>
        <w:tc>
          <w:tcPr>
            <w:tcW w:w="2728" w:type="dxa"/>
          </w:tcPr>
          <w:p w14:paraId="2C0968CB"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Verbal Fluency (COWAT)</w:t>
            </w:r>
          </w:p>
        </w:tc>
        <w:tc>
          <w:tcPr>
            <w:tcW w:w="1447" w:type="dxa"/>
          </w:tcPr>
          <w:p w14:paraId="0005ED4C" w14:textId="77777777" w:rsidR="00876346" w:rsidRPr="00053C42" w:rsidRDefault="00876346" w:rsidP="00876346">
            <w:pPr>
              <w:pStyle w:val="MDPI42tablebody"/>
              <w:rPr>
                <w:rFonts w:eastAsiaTheme="minorHAnsi"/>
                <w:sz w:val="20"/>
                <w:szCs w:val="20"/>
              </w:rPr>
            </w:pPr>
          </w:p>
        </w:tc>
        <w:tc>
          <w:tcPr>
            <w:tcW w:w="1607" w:type="dxa"/>
          </w:tcPr>
          <w:p w14:paraId="7E6D1CE6" w14:textId="77777777" w:rsidR="00876346" w:rsidRPr="00053C42" w:rsidRDefault="00876346" w:rsidP="00876346">
            <w:pPr>
              <w:pStyle w:val="MDPI42tablebody"/>
              <w:rPr>
                <w:rFonts w:eastAsiaTheme="minorHAnsi"/>
                <w:sz w:val="20"/>
                <w:szCs w:val="20"/>
              </w:rPr>
            </w:pPr>
          </w:p>
        </w:tc>
        <w:tc>
          <w:tcPr>
            <w:tcW w:w="1286" w:type="dxa"/>
          </w:tcPr>
          <w:p w14:paraId="3AFAAEC6"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c>
          <w:tcPr>
            <w:tcW w:w="1772" w:type="dxa"/>
          </w:tcPr>
          <w:p w14:paraId="3E0FB613"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r>
      <w:tr w:rsidR="00876346" w:rsidRPr="00053C42" w14:paraId="79A8C0B9" w14:textId="77777777" w:rsidTr="00876346">
        <w:trPr>
          <w:trHeight w:val="827"/>
        </w:trPr>
        <w:tc>
          <w:tcPr>
            <w:tcW w:w="2728" w:type="dxa"/>
          </w:tcPr>
          <w:p w14:paraId="61E2FBDC"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Self-rated health (EQ-5D)</w:t>
            </w:r>
          </w:p>
        </w:tc>
        <w:tc>
          <w:tcPr>
            <w:tcW w:w="1447" w:type="dxa"/>
          </w:tcPr>
          <w:p w14:paraId="5BE4FF1C" w14:textId="77777777" w:rsidR="00876346" w:rsidRPr="00053C42" w:rsidRDefault="00876346" w:rsidP="00876346">
            <w:pPr>
              <w:pStyle w:val="MDPI42tablebody"/>
              <w:rPr>
                <w:rFonts w:eastAsiaTheme="minorHAnsi"/>
                <w:sz w:val="20"/>
                <w:szCs w:val="20"/>
              </w:rPr>
            </w:pPr>
          </w:p>
        </w:tc>
        <w:tc>
          <w:tcPr>
            <w:tcW w:w="1607" w:type="dxa"/>
          </w:tcPr>
          <w:p w14:paraId="7B1BCD5B" w14:textId="77777777" w:rsidR="00876346" w:rsidRPr="00053C42" w:rsidRDefault="00876346" w:rsidP="00876346">
            <w:pPr>
              <w:pStyle w:val="MDPI42tablebody"/>
              <w:rPr>
                <w:rFonts w:eastAsiaTheme="minorHAnsi"/>
                <w:sz w:val="20"/>
                <w:szCs w:val="20"/>
              </w:rPr>
            </w:pPr>
          </w:p>
        </w:tc>
        <w:tc>
          <w:tcPr>
            <w:tcW w:w="1286" w:type="dxa"/>
          </w:tcPr>
          <w:p w14:paraId="74A20362"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c>
          <w:tcPr>
            <w:tcW w:w="1772" w:type="dxa"/>
          </w:tcPr>
          <w:p w14:paraId="0668B307"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r>
      <w:tr w:rsidR="00876346" w:rsidRPr="00053C42" w14:paraId="3B0E2980" w14:textId="77777777" w:rsidTr="00876346">
        <w:trPr>
          <w:trHeight w:val="1269"/>
        </w:trPr>
        <w:tc>
          <w:tcPr>
            <w:tcW w:w="2728" w:type="dxa"/>
          </w:tcPr>
          <w:p w14:paraId="59F6675A"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Adverse event reporting</w:t>
            </w:r>
          </w:p>
        </w:tc>
        <w:tc>
          <w:tcPr>
            <w:tcW w:w="1447" w:type="dxa"/>
          </w:tcPr>
          <w:p w14:paraId="5CE7C222" w14:textId="77777777" w:rsidR="00876346" w:rsidRPr="00053C42" w:rsidRDefault="00876346" w:rsidP="00876346">
            <w:pPr>
              <w:pStyle w:val="MDPI42tablebody"/>
              <w:rPr>
                <w:rFonts w:eastAsiaTheme="minorHAnsi"/>
                <w:sz w:val="20"/>
                <w:szCs w:val="20"/>
              </w:rPr>
            </w:pPr>
          </w:p>
        </w:tc>
        <w:tc>
          <w:tcPr>
            <w:tcW w:w="1607" w:type="dxa"/>
          </w:tcPr>
          <w:p w14:paraId="420F7568" w14:textId="77777777" w:rsidR="00876346" w:rsidRPr="00053C42" w:rsidRDefault="00876346" w:rsidP="00876346">
            <w:pPr>
              <w:pStyle w:val="MDPI42tablebody"/>
              <w:rPr>
                <w:rFonts w:eastAsiaTheme="minorHAnsi"/>
                <w:sz w:val="20"/>
                <w:szCs w:val="20"/>
              </w:rPr>
            </w:pPr>
          </w:p>
        </w:tc>
        <w:tc>
          <w:tcPr>
            <w:tcW w:w="1286" w:type="dxa"/>
          </w:tcPr>
          <w:p w14:paraId="6617F590" w14:textId="77777777" w:rsidR="00876346" w:rsidRPr="00053C42" w:rsidRDefault="00876346" w:rsidP="00876346">
            <w:pPr>
              <w:pStyle w:val="MDPI42tablebody"/>
              <w:rPr>
                <w:rFonts w:eastAsiaTheme="minorHAnsi"/>
                <w:sz w:val="20"/>
                <w:szCs w:val="20"/>
              </w:rPr>
            </w:pPr>
          </w:p>
        </w:tc>
        <w:tc>
          <w:tcPr>
            <w:tcW w:w="1772" w:type="dxa"/>
          </w:tcPr>
          <w:p w14:paraId="40348CE6"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r>
      <w:tr w:rsidR="00876346" w:rsidRPr="00053C42" w14:paraId="06597F15" w14:textId="77777777" w:rsidTr="00876346">
        <w:trPr>
          <w:trHeight w:val="1269"/>
        </w:trPr>
        <w:tc>
          <w:tcPr>
            <w:tcW w:w="2728" w:type="dxa"/>
          </w:tcPr>
          <w:p w14:paraId="295AD417"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Interview</w:t>
            </w:r>
          </w:p>
        </w:tc>
        <w:tc>
          <w:tcPr>
            <w:tcW w:w="1447" w:type="dxa"/>
          </w:tcPr>
          <w:p w14:paraId="1C873FDD" w14:textId="77777777" w:rsidR="00876346" w:rsidRPr="00053C42" w:rsidRDefault="00876346" w:rsidP="00876346">
            <w:pPr>
              <w:pStyle w:val="MDPI42tablebody"/>
              <w:rPr>
                <w:rFonts w:eastAsiaTheme="minorHAnsi"/>
                <w:sz w:val="20"/>
                <w:szCs w:val="20"/>
              </w:rPr>
            </w:pPr>
          </w:p>
        </w:tc>
        <w:tc>
          <w:tcPr>
            <w:tcW w:w="1607" w:type="dxa"/>
          </w:tcPr>
          <w:p w14:paraId="0BA9BC08" w14:textId="77777777" w:rsidR="00876346" w:rsidRPr="00053C42" w:rsidRDefault="00876346" w:rsidP="00876346">
            <w:pPr>
              <w:pStyle w:val="MDPI42tablebody"/>
              <w:rPr>
                <w:rFonts w:eastAsiaTheme="minorHAnsi"/>
                <w:sz w:val="20"/>
                <w:szCs w:val="20"/>
              </w:rPr>
            </w:pPr>
          </w:p>
        </w:tc>
        <w:tc>
          <w:tcPr>
            <w:tcW w:w="1286" w:type="dxa"/>
          </w:tcPr>
          <w:p w14:paraId="099F41F9" w14:textId="77777777" w:rsidR="00876346" w:rsidRPr="00053C42" w:rsidRDefault="00876346" w:rsidP="00876346">
            <w:pPr>
              <w:pStyle w:val="MDPI42tablebody"/>
              <w:rPr>
                <w:rFonts w:eastAsiaTheme="minorHAnsi"/>
                <w:sz w:val="20"/>
                <w:szCs w:val="20"/>
              </w:rPr>
            </w:pPr>
          </w:p>
        </w:tc>
        <w:tc>
          <w:tcPr>
            <w:tcW w:w="1772" w:type="dxa"/>
          </w:tcPr>
          <w:p w14:paraId="3DB29060" w14:textId="77777777" w:rsidR="00876346" w:rsidRPr="00053C42" w:rsidRDefault="00876346" w:rsidP="00876346">
            <w:pPr>
              <w:pStyle w:val="MDPI42tablebody"/>
              <w:rPr>
                <w:rFonts w:eastAsiaTheme="minorHAnsi"/>
                <w:sz w:val="20"/>
                <w:szCs w:val="20"/>
              </w:rPr>
            </w:pPr>
            <w:r w:rsidRPr="00053C42">
              <w:rPr>
                <w:rFonts w:eastAsiaTheme="minorHAnsi"/>
                <w:sz w:val="20"/>
                <w:szCs w:val="20"/>
              </w:rPr>
              <w:t>√</w:t>
            </w:r>
          </w:p>
        </w:tc>
      </w:tr>
    </w:tbl>
    <w:p w14:paraId="326CF1B1" w14:textId="77777777" w:rsidR="0024654B" w:rsidRDefault="00876346" w:rsidP="00876346">
      <w:pPr>
        <w:pStyle w:val="MDPI41tablecaption"/>
        <w:ind w:left="0"/>
        <w:rPr>
          <w:rFonts w:eastAsia="SimSun"/>
          <w:lang w:val="en-GB" w:eastAsia="en-GB"/>
        </w:rPr>
      </w:pPr>
      <w:r>
        <w:rPr>
          <w:rFonts w:eastAsia="SimSun"/>
          <w:lang w:val="en-GB" w:eastAsia="en-GB"/>
        </w:rPr>
        <w:t>Figure 2: Schedule of enrolment, intervention and assessments. SBQ (Sedentary Behaviour Questionnaire); COWAT (Controlled Oral Word Association Test), EQ-5D (</w:t>
      </w:r>
      <w:proofErr w:type="spellStart"/>
      <w:r>
        <w:rPr>
          <w:rFonts w:eastAsia="SimSun"/>
          <w:lang w:val="en-GB" w:eastAsia="en-GB"/>
        </w:rPr>
        <w:t>Euroqol</w:t>
      </w:r>
      <w:proofErr w:type="spellEnd"/>
      <w:r>
        <w:rPr>
          <w:rFonts w:eastAsia="SimSun"/>
          <w:lang w:val="en-GB" w:eastAsia="en-GB"/>
        </w:rPr>
        <w:t xml:space="preserve"> 5-dimension questionnaire).</w:t>
      </w:r>
    </w:p>
    <w:p w14:paraId="1880DB76" w14:textId="77777777" w:rsidR="00876346" w:rsidRDefault="00876346" w:rsidP="00876346">
      <w:pPr>
        <w:pStyle w:val="MDPI41tablecaption"/>
        <w:ind w:left="0"/>
        <w:rPr>
          <w:rFonts w:eastAsia="SimSun"/>
          <w:lang w:val="en-GB" w:eastAsia="en-GB"/>
        </w:rPr>
      </w:pPr>
    </w:p>
    <w:p w14:paraId="0614856B" w14:textId="77777777" w:rsidR="00DB7120" w:rsidRDefault="00DB7120" w:rsidP="005468B0">
      <w:pPr>
        <w:pStyle w:val="MDPI22heading2"/>
        <w:sectPr w:rsidR="00DB7120" w:rsidSect="00DB7120">
          <w:pgSz w:w="11906" w:h="16838" w:code="9"/>
          <w:pgMar w:top="1418" w:right="1531" w:bottom="1077" w:left="1531" w:header="1021" w:footer="851" w:gutter="0"/>
          <w:pgNumType w:start="1"/>
          <w:cols w:space="425"/>
          <w:titlePg/>
          <w:docGrid w:type="lines" w:linePitch="326"/>
        </w:sectPr>
      </w:pPr>
    </w:p>
    <w:p w14:paraId="226FEE46" w14:textId="37CE72BD" w:rsidR="005468B0" w:rsidRDefault="005468B0" w:rsidP="00DB7120">
      <w:pPr>
        <w:pStyle w:val="MDPI22heading2"/>
      </w:pPr>
      <w:r>
        <w:lastRenderedPageBreak/>
        <w:t>Setting and participants</w:t>
      </w:r>
    </w:p>
    <w:p w14:paraId="3B14B3F2" w14:textId="77777777" w:rsidR="005468B0" w:rsidRDefault="005468B0" w:rsidP="00DB7120">
      <w:pPr>
        <w:pStyle w:val="MDPI31text"/>
      </w:pPr>
      <w:r w:rsidRPr="00D572E9">
        <w:t xml:space="preserve">The study will be conducted </w:t>
      </w:r>
      <w:r>
        <w:t xml:space="preserve">remotely </w:t>
      </w:r>
      <w:r w:rsidRPr="00D572E9">
        <w:t>in the community</w:t>
      </w:r>
      <w:r>
        <w:t xml:space="preserve"> </w:t>
      </w:r>
      <w:r w:rsidRPr="00D572E9">
        <w:t xml:space="preserve">settings of service users from </w:t>
      </w:r>
      <w:proofErr w:type="spellStart"/>
      <w:r w:rsidRPr="00D572E9">
        <w:t>Cambridgeshire</w:t>
      </w:r>
      <w:proofErr w:type="spellEnd"/>
      <w:r w:rsidRPr="00D572E9">
        <w:t xml:space="preserve"> and Peterborough NHS Foundation Trust (CPFT). Eligible patients who attend the memory clinics and / or receive support from the </w:t>
      </w:r>
      <w:r>
        <w:t xml:space="preserve">community teams including </w:t>
      </w:r>
      <w:r w:rsidRPr="00D572E9">
        <w:t xml:space="preserve">older people mental health and healthy ageing services in </w:t>
      </w:r>
      <w:r>
        <w:t>CPFT</w:t>
      </w:r>
      <w:r w:rsidRPr="00D572E9">
        <w:t xml:space="preserve"> will be invited to participate. </w:t>
      </w:r>
      <w:r>
        <w:t>The following eligibility criteria will be used:</w:t>
      </w:r>
    </w:p>
    <w:p w14:paraId="24480D74" w14:textId="77777777" w:rsidR="005468B0" w:rsidRPr="005468B0" w:rsidRDefault="005468B0" w:rsidP="00DB7120">
      <w:pPr>
        <w:pStyle w:val="MDPI31text"/>
        <w:numPr>
          <w:ilvl w:val="0"/>
          <w:numId w:val="6"/>
        </w:numPr>
      </w:pPr>
      <w:r w:rsidRPr="005468B0">
        <w:t>Community dwelling adults aged 50+ years</w:t>
      </w:r>
    </w:p>
    <w:p w14:paraId="7B38DA01" w14:textId="473DEE73" w:rsidR="005468B0" w:rsidRPr="005468B0" w:rsidRDefault="005468B0" w:rsidP="00DB7120">
      <w:pPr>
        <w:pStyle w:val="MDPI31text"/>
        <w:numPr>
          <w:ilvl w:val="0"/>
          <w:numId w:val="6"/>
        </w:numPr>
      </w:pPr>
      <w:r w:rsidRPr="005468B0">
        <w:t xml:space="preserve">Doctor diagnosis of Mild Cognitive Impairment OR MCI diagnosis which meets Petersen Criteria </w:t>
      </w:r>
      <w:r w:rsidR="003A78C5">
        <w:fldChar w:fldCharType="begin" w:fldLock="1"/>
      </w:r>
      <w:r w:rsidR="003A78C5">
        <w:instrText>ADDIN CSL_CITATION {"citationItems":[{"id":"ITEM-1","itemData":{"DOI":"10.1111/j.1365-2796.2004.01388.x","ISSN":"09546820","PMID":"15324362","abstract":"The concept of cognitive impairment intervening between normal ageing and very early dementia has been in the literature for many years. Recently, the construct of mild cognitive impairment (MCI) has been proposed to designate an early, but abnormal, state of cognitive impairment. MCI has generated a great deal of research from both clinical and research perspectives. Numerous epidemiological studies have documented the accelerated rate of progression to dementia and Alzheimer's disease (AD) in MCI subjects and certain predictor variables appear valid. However, there has been controversy regarding the precise definition of the concept and its implementation in various clinical settings. Clinical subtypes of MCI have been proposed to broaden the concept and include prodromal forms of a variety of dementias. It is suggested that the diagnosis of MCI can be made in a fashion similar to the clinical diagnoses of dementia and AD. An algorithm is presented to assist the clinician in identifying subjects and subclassifying them into the various types of MCI. By refining the criteria for MCI, clinical trials can be designed with appropriate inclusion and exclusion restrictions to allow for the investigation of therapeutics tailored for specific targets and populations.","author":[{"dropping-particle":"","family":"Petersen","given":"R. C.","non-dropping-particle":"","parse-names":false,"suffix":""}],"container-title":"Journal of Internal Medicine","id":"ITEM-1","issued":{"date-parts":[["2004"]]},"title":"Mild cognitive impairment as a diagnostic entity","type":"paper-conference"},"uris":["http://www.mendeley.com/documents/?uuid=220c748a-ff2d-4ab5-81d2-e0323ba1e5d9"]}],"mendeley":{"formattedCitation":"(Petersen, 2004)","plainTextFormattedCitation":"(Petersen, 2004)"},"properties":{"noteIndex":0},"schema":"https://github.com/citation-style-language/schema/raw/master/csl-citation.json"}</w:instrText>
      </w:r>
      <w:r w:rsidR="003A78C5">
        <w:fldChar w:fldCharType="separate"/>
      </w:r>
      <w:r w:rsidR="003A78C5" w:rsidRPr="003A78C5">
        <w:rPr>
          <w:noProof/>
        </w:rPr>
        <w:t>(Petersen, 2004)</w:t>
      </w:r>
      <w:r w:rsidR="003A78C5">
        <w:fldChar w:fldCharType="end"/>
      </w:r>
    </w:p>
    <w:p w14:paraId="4F10416A" w14:textId="77777777" w:rsidR="005468B0" w:rsidRPr="005468B0" w:rsidRDefault="005468B0" w:rsidP="00DB7120">
      <w:pPr>
        <w:pStyle w:val="MDPI31text"/>
        <w:numPr>
          <w:ilvl w:val="0"/>
          <w:numId w:val="6"/>
        </w:numPr>
      </w:pPr>
      <w:r w:rsidRPr="005468B0">
        <w:t>Participants must have a working knowledge of English</w:t>
      </w:r>
    </w:p>
    <w:p w14:paraId="3DAA4C76" w14:textId="77777777" w:rsidR="005468B0" w:rsidRDefault="005468B0" w:rsidP="00DB7120">
      <w:pPr>
        <w:pStyle w:val="MDPI31text"/>
        <w:numPr>
          <w:ilvl w:val="0"/>
          <w:numId w:val="6"/>
        </w:numPr>
      </w:pPr>
      <w:r w:rsidRPr="005468B0">
        <w:t>Participants must be able to provide informed consent</w:t>
      </w:r>
    </w:p>
    <w:p w14:paraId="4944133F" w14:textId="0E3DC90E" w:rsidR="005468B0" w:rsidRPr="005468B0" w:rsidRDefault="005468B0" w:rsidP="00DB7120">
      <w:pPr>
        <w:pStyle w:val="MDPI31text"/>
        <w:ind w:firstLine="0"/>
      </w:pPr>
      <w:r>
        <w:t>Participants will be excluded if (a) diagnosed by a doctor with dementia (b) diagnosed with severe mental health conditions and substance use disorders (c) diagnosed with other neurological conditions. We aim to recruit 40 participants and</w:t>
      </w:r>
      <w:r w:rsidR="00205275">
        <w:t xml:space="preserve"> a final target sample of 24 (12 per group) after factoring a 40% attrition. </w:t>
      </w:r>
      <w:r w:rsidR="00F06FC4">
        <w:t>This total sample size is within the range for feasibility study</w:t>
      </w:r>
      <w:r w:rsidR="00550F3F">
        <w:t>.</w:t>
      </w:r>
      <w:r w:rsidR="00F06FC4">
        <w:t xml:space="preserve"> </w:t>
      </w:r>
      <w:r w:rsidR="004B655C">
        <w:fldChar w:fldCharType="begin" w:fldLock="1"/>
      </w:r>
      <w:r w:rsidR="004B655C">
        <w:instrText>ADDIN CSL_CITATION {"citationItems":[{"id":"ITEM-1","itemData":{"DOI":"10.1002/pst.185","ISSN":"15391604","abstract":"When designing a clinical trial an appropriate justification for the sample size should be provided in the protocol. However, there are a number of settings when undertaking a pilot trial when there is no prior information to base a sample size on. For such pilot studies the recommendation is a sample size of 12 per group. The justifications for this sample size are based on rationale about feasibility; precision about the mean and variance; and regulatory considerations. The context of the justifications are that future studies will use the information from the pilot in their design. Copyright © 2005 John Wiley &amp; Sons, Ltd.","author":[{"dropping-particle":"","family":"Julious","given":"Steven A.","non-dropping-particle":"","parse-names":false,"suffix":""}],"container-title":"Pharmaceutical Statistics","id":"ITEM-1","issued":{"date-parts":[["2005"]]},"title":"Sample size of 12 per group rule of thumb for a pilot study","type":"article-journal"},"uris":["http://www.mendeley.com/documents/?uuid=ee81f380-4183-479a-aa65-560927f98130"]}],"mendeley":{"formattedCitation":"(Julious, 2005)","plainTextFormattedCitation":"(Julious, 2005)","previouslyFormattedCitation":"(Julious, 2005)"},"properties":{"noteIndex":0},"schema":"https://github.com/citation-style-language/schema/raw/master/csl-citation.json"}</w:instrText>
      </w:r>
      <w:r w:rsidR="004B655C">
        <w:fldChar w:fldCharType="separate"/>
      </w:r>
      <w:r w:rsidR="004B655C" w:rsidRPr="004B655C">
        <w:rPr>
          <w:noProof/>
        </w:rPr>
        <w:t>(Julious, 2005)</w:t>
      </w:r>
      <w:r w:rsidR="004B655C">
        <w:fldChar w:fldCharType="end"/>
      </w:r>
      <w:r w:rsidR="004B655C">
        <w:fldChar w:fldCharType="begin" w:fldLock="1"/>
      </w:r>
      <w:r w:rsidR="0009714B">
        <w:instrText>ADDIN CSL_CITATION {"citationItems":[{"id":"ITEM-1","itemData":{"DOI":"10.1111/j..2002.384.doc.x","ISSN":"13561294","abstract":"Pilot studies play an important role in health research, but they can be misused, mistreated and misrepresented. In this paper we focus on pilot studies that are used specifically to plan a randomized controlled trial (RCT). Citing examples from the literature, we provide a methodological framework in which to work, and discuss reasons why a pilot study might be undertaken. A well-conducted pilot study, giving a clear list of aims and objectives within a formal framework will encourage methodological rigour, ensure that the work is scientifically valid and publishable, and will lead to higher quality RCTs. It will also safeguard against pilot studies being conducted simply because of small numbers of available patients.","author":[{"dropping-particle":"","family":"Lancaster","given":"Gillian A.","non-dropping-particle":"","parse-names":false,"suffix":""},{"dropping-particle":"","family":"Dodd","given":"Susanna","non-dropping-particle":"","parse-names":false,"suffix":""},{"dropping-particle":"","family":"Williamson","given":"Paula R.","non-dropping-particle":"","parse-names":false,"suffix":""}],"container-title":"Journal of Evaluation in Clinical Practice","id":"ITEM-1","issued":{"date-parts":[["2004"]]},"title":"Design and analysis of pilot studies: Recommendations for good practice","type":"article"},"uris":["http://www.mendeley.com/documents/?uuid=437daf45-9cbe-40d9-baf3-9be5222ebdc7"]}],"mendeley":{"formattedCitation":"(Lancaster, Dodd, &amp; Williamson, 2004)","plainTextFormattedCitation":"(Lancaster, Dodd, &amp; Williamson, 2004)","previouslyFormattedCitation":"(Lancaster, Dodd, &amp; Williamson, 2004)"},"properties":{"noteIndex":0},"schema":"https://github.com/citation-style-language/schema/raw/master/csl-citation.json"}</w:instrText>
      </w:r>
      <w:r w:rsidR="004B655C">
        <w:fldChar w:fldCharType="separate"/>
      </w:r>
      <w:r w:rsidR="004B655C" w:rsidRPr="004B655C">
        <w:rPr>
          <w:noProof/>
        </w:rPr>
        <w:t>(Lancaster, Dodd, &amp; Williamson, 2004)</w:t>
      </w:r>
      <w:r w:rsidR="004B655C">
        <w:fldChar w:fldCharType="end"/>
      </w:r>
      <w:r w:rsidR="00205275">
        <w:t>.</w:t>
      </w:r>
    </w:p>
    <w:p w14:paraId="53A3438F" w14:textId="77777777" w:rsidR="005468B0" w:rsidRDefault="005468B0" w:rsidP="00DB7120">
      <w:pPr>
        <w:pStyle w:val="MDPI31text"/>
      </w:pPr>
    </w:p>
    <w:p w14:paraId="39639F77" w14:textId="77777777" w:rsidR="004B655C" w:rsidRDefault="004B655C" w:rsidP="00DB7120">
      <w:pPr>
        <w:pStyle w:val="MDPI22heading2"/>
      </w:pPr>
      <w:r>
        <w:t>Recruitment and Screening</w:t>
      </w:r>
    </w:p>
    <w:p w14:paraId="3DE95BE4" w14:textId="3E323DC5" w:rsidR="001219F0" w:rsidRDefault="00CB571A" w:rsidP="00DB7120">
      <w:pPr>
        <w:pStyle w:val="MDPI31text"/>
      </w:pPr>
      <w:r>
        <w:t>The study will be conducted remotely in the community settings and p</w:t>
      </w:r>
      <w:r w:rsidR="004B655C" w:rsidRPr="00D572E9">
        <w:t xml:space="preserve">otential participants </w:t>
      </w:r>
      <w:r w:rsidR="00F06FC4">
        <w:t>will</w:t>
      </w:r>
      <w:r>
        <w:t xml:space="preserve"> </w:t>
      </w:r>
      <w:r w:rsidR="00F06FC4">
        <w:t>be</w:t>
      </w:r>
      <w:r w:rsidR="004B655C" w:rsidRPr="00D572E9">
        <w:t xml:space="preserve"> sought from the community </w:t>
      </w:r>
      <w:r w:rsidR="009A0D17">
        <w:t xml:space="preserve">services including </w:t>
      </w:r>
      <w:r w:rsidR="004B655C" w:rsidRPr="00D572E9">
        <w:t>mental health</w:t>
      </w:r>
      <w:r w:rsidR="00F06FC4">
        <w:t xml:space="preserve"> team</w:t>
      </w:r>
      <w:r w:rsidR="009A0D17">
        <w:t>s</w:t>
      </w:r>
      <w:r w:rsidR="004B655C" w:rsidRPr="00D572E9">
        <w:t xml:space="preserve"> </w:t>
      </w:r>
      <w:r w:rsidR="00550F3F">
        <w:t xml:space="preserve">and </w:t>
      </w:r>
      <w:r w:rsidR="004B655C" w:rsidRPr="00D572E9">
        <w:t xml:space="preserve">memory services </w:t>
      </w:r>
      <w:r>
        <w:t>nation-wide</w:t>
      </w:r>
      <w:r w:rsidR="004B655C" w:rsidRPr="00D572E9">
        <w:t xml:space="preserve">. </w:t>
      </w:r>
      <w:r w:rsidR="004B655C">
        <w:t>A member of the clinical team will</w:t>
      </w:r>
      <w:r w:rsidR="004B655C" w:rsidRPr="00D572E9">
        <w:t xml:space="preserve"> screen potential participants for initial eligibility (from medical notes, clinic records and/or clinical consultations) and, if appropriate, given information about the trial. Th</w:t>
      </w:r>
      <w:r w:rsidR="004B655C">
        <w:t>e clinician</w:t>
      </w:r>
      <w:r w:rsidR="004B655C" w:rsidRPr="00D572E9">
        <w:t xml:space="preserve"> will then arrange an appointment to discuss the trial, along with the opportunity to ask any questions. We will give people 24 h</w:t>
      </w:r>
      <w:r w:rsidR="004B655C">
        <w:t>ours</w:t>
      </w:r>
      <w:r w:rsidR="004B655C" w:rsidRPr="00D572E9">
        <w:t xml:space="preserve"> to decide if they would like to participate. If they are happy with the information they receive, they will be </w:t>
      </w:r>
      <w:r w:rsidR="004B655C">
        <w:t xml:space="preserve">contacted by a member of the research team </w:t>
      </w:r>
      <w:r w:rsidR="004B655C" w:rsidRPr="00D572E9">
        <w:t>to give informed consent</w:t>
      </w:r>
      <w:r w:rsidR="004B655C">
        <w:t xml:space="preserve">. </w:t>
      </w:r>
      <w:r w:rsidR="004B655C" w:rsidRPr="00330002">
        <w:t xml:space="preserve">This study proposes to recruit patients with mild cognitive impairment. </w:t>
      </w:r>
      <w:r w:rsidR="00F06FC4" w:rsidRPr="00330002">
        <w:t>Therefore,</w:t>
      </w:r>
      <w:r w:rsidR="004B655C" w:rsidRPr="00330002">
        <w:t xml:space="preserve"> a mental capacity test will be conducted during the process of consent to ensure that participants understand, </w:t>
      </w:r>
      <w:proofErr w:type="gramStart"/>
      <w:r w:rsidR="004B655C" w:rsidRPr="00330002">
        <w:t>retain</w:t>
      </w:r>
      <w:proofErr w:type="gramEnd"/>
      <w:r w:rsidR="004B655C" w:rsidRPr="00330002">
        <w:t xml:space="preserve"> and weigh up the information available to make a decision about consenting. </w:t>
      </w:r>
      <w:r w:rsidR="004B655C" w:rsidRPr="00D572E9">
        <w:t xml:space="preserve">Participants’ general practitioners will be informed about their enrolment onto the study. Once enrolled, participants will be asked to wear an accelerometer for </w:t>
      </w:r>
      <w:r w:rsidR="004B655C">
        <w:t xml:space="preserve">7 </w:t>
      </w:r>
      <w:r w:rsidR="004B655C" w:rsidRPr="00D572E9">
        <w:t>days</w:t>
      </w:r>
      <w:r w:rsidR="009A0D17">
        <w:t xml:space="preserve"> at baseline and follow-up</w:t>
      </w:r>
      <w:r w:rsidR="004B655C" w:rsidRPr="00D572E9">
        <w:t>. Each participant will be reimbursed £10 for wearing the accelerometer</w:t>
      </w:r>
      <w:r w:rsidR="009A0D17">
        <w:t xml:space="preserve"> at each time-point</w:t>
      </w:r>
      <w:r w:rsidR="004B655C" w:rsidRPr="00D572E9">
        <w:t>. After completion of the baseline measures, the participants will be informed of their allocation status.</w:t>
      </w:r>
    </w:p>
    <w:p w14:paraId="3C77147E" w14:textId="77777777" w:rsidR="004D552B" w:rsidRPr="004D552B" w:rsidRDefault="004D552B" w:rsidP="00DB7120">
      <w:pPr>
        <w:pStyle w:val="MDPI31text"/>
      </w:pPr>
    </w:p>
    <w:p w14:paraId="3F59F75F" w14:textId="77777777" w:rsidR="004B655C" w:rsidRDefault="004B655C" w:rsidP="00DB7120">
      <w:pPr>
        <w:pStyle w:val="MDPI22heading2"/>
      </w:pPr>
      <w:r w:rsidRPr="00D572E9">
        <w:t>Randomization, Post-randomization withdrawals and exclusions</w:t>
      </w:r>
    </w:p>
    <w:p w14:paraId="7973C9EE" w14:textId="77777777" w:rsidR="004B655C" w:rsidRDefault="004B655C" w:rsidP="00DB7120">
      <w:pPr>
        <w:pStyle w:val="MDPI31text"/>
      </w:pPr>
      <w:r w:rsidRPr="00DC7FE8">
        <w:t xml:space="preserve">This study proposes a simple randomization of participants into intervention and control arms. Randomization process will be overseen by the researcher using freely available software from Sealed Envelope: </w:t>
      </w:r>
      <w:hyperlink r:id="rId18" w:history="1">
        <w:r w:rsidRPr="00DC7FE8">
          <w:rPr>
            <w:rStyle w:val="Hyperlink"/>
            <w:rFonts w:ascii="Arial" w:hAnsi="Arial"/>
            <w:sz w:val="24"/>
            <w:szCs w:val="24"/>
            <w:bdr w:val="none" w:sz="0" w:space="0" w:color="auto" w:frame="1"/>
            <w:lang w:val="en-GB" w:eastAsia="en-GB"/>
          </w:rPr>
          <w:t>htt</w:t>
        </w:r>
        <w:r w:rsidRPr="00DC7FE8">
          <w:rPr>
            <w:rStyle w:val="Hyperlink"/>
            <w:rFonts w:ascii="Arial" w:hAnsi="Arial"/>
            <w:lang w:val="en-GB" w:eastAsia="en-GB"/>
          </w:rPr>
          <w:t>ps://www.sealedenvelope.com/help/simple-randomiser/students/</w:t>
        </w:r>
      </w:hyperlink>
      <w:r>
        <w:rPr>
          <w:sz w:val="24"/>
          <w:szCs w:val="24"/>
          <w:lang w:val="en-GB" w:eastAsia="en-GB"/>
        </w:rPr>
        <w:t xml:space="preserve">. </w:t>
      </w:r>
      <w:r w:rsidRPr="00DC7FE8">
        <w:t xml:space="preserve">Participants will be randomly allocated to receive either ‘WALC-R’ (intervention group) or information on recommended physical activity for </w:t>
      </w:r>
      <w:r>
        <w:t xml:space="preserve">older adults </w:t>
      </w:r>
      <w:r w:rsidRPr="00DC7FE8">
        <w:t>(control group). Approximately 5 participants will be randomized each month over 8 months. Subjects may discontinue participation in the trial intervention and/or the trial at any time. Unless a subject explicitly withdraws their consent, they will be followed-up wherever possible and data collected as per the protocol until the end of the trial. Documentation will be completed on withdrawal to confirm the date and reason for withdrawal.</w:t>
      </w:r>
    </w:p>
    <w:p w14:paraId="6A16A82B" w14:textId="77777777" w:rsidR="004B655C" w:rsidRDefault="004B655C" w:rsidP="00DB7120">
      <w:pPr>
        <w:pStyle w:val="MDPI31text"/>
      </w:pPr>
    </w:p>
    <w:p w14:paraId="023E6B71" w14:textId="77777777" w:rsidR="004D552B" w:rsidRDefault="004D552B" w:rsidP="00DB7120">
      <w:pPr>
        <w:pStyle w:val="MDPI31text"/>
      </w:pPr>
    </w:p>
    <w:p w14:paraId="2FAC7E28" w14:textId="77777777" w:rsidR="004D552B" w:rsidRDefault="004D552B" w:rsidP="00DB7120">
      <w:pPr>
        <w:pStyle w:val="MDPI31text"/>
      </w:pPr>
    </w:p>
    <w:p w14:paraId="0F0A9A6A" w14:textId="77777777" w:rsidR="004D552B" w:rsidRDefault="004D552B" w:rsidP="003A78C5">
      <w:pPr>
        <w:pStyle w:val="MDPI31text"/>
        <w:ind w:firstLine="0"/>
      </w:pPr>
    </w:p>
    <w:p w14:paraId="24D27FBE" w14:textId="77777777" w:rsidR="00160A9C" w:rsidRDefault="004B655C" w:rsidP="00DB7120">
      <w:pPr>
        <w:pStyle w:val="MDPI22heading2"/>
      </w:pPr>
      <w:r>
        <w:lastRenderedPageBreak/>
        <w:t>Summary of interventions</w:t>
      </w:r>
    </w:p>
    <w:p w14:paraId="3A7B6E72" w14:textId="401A0899" w:rsidR="00160A9C" w:rsidRPr="00DE3026" w:rsidRDefault="00160A9C" w:rsidP="004C3B7C">
      <w:pPr>
        <w:pStyle w:val="MDPI31text"/>
        <w:rPr>
          <w:rFonts w:cs="Arial"/>
          <w:shd w:val="clear" w:color="auto" w:fill="FFFFFF"/>
          <w:lang w:eastAsia="en-GB"/>
        </w:rPr>
      </w:pPr>
      <w:r w:rsidRPr="00DE3026">
        <w:t xml:space="preserve">The WALC-R (Walk, Address sensation, </w:t>
      </w:r>
      <w:proofErr w:type="gramStart"/>
      <w:r w:rsidRPr="00DE3026">
        <w:t>Learn</w:t>
      </w:r>
      <w:proofErr w:type="gramEnd"/>
      <w:r w:rsidRPr="00DE3026">
        <w:t xml:space="preserve"> exercise, Cue-Remote) intervention is not a walking/physical activity group, rather, a forum where the concept of sedentary behavior and strategies to reduce these </w:t>
      </w:r>
      <w:proofErr w:type="spellStart"/>
      <w:r w:rsidRPr="00DE3026">
        <w:t>behaviours</w:t>
      </w:r>
      <w:proofErr w:type="spellEnd"/>
      <w:r w:rsidRPr="00DE3026">
        <w:t xml:space="preserve"> are coached. The WALC intervention has been validated in several studies for use in the older population and people living with schizophrenia and more recently with serious mental illness </w:t>
      </w:r>
      <w:r w:rsidRPr="00DE3026">
        <w:fldChar w:fldCharType="begin" w:fldLock="1"/>
      </w:r>
      <w:r w:rsidRPr="00DE3026">
        <w:instrText>ADDIN CSL_CITATION {"citationItems":[{"id":"ITEM-1","itemData":{"DOI":"10.1016/j.apnu.2009.03.001","ISSN":"08839417","PMID":"20117689","abstract":"The WALC intervention was designed to motivate exercise in the elderly. Persons with schizophrenia spectrum disorders (SSDs) face similar exercise barriers. We described theoritical underpinnings of the WALC intervention and how we adapted it for SSDs. We conducted a feasibility study of the adapted intervention in 17 persons with SSDs. The adapted intervention incorporated low intensity stretches, exercise education and exercise cues. The intervention was feasible and acceptable to participants; approximately two-thirds of all groups were attended and nearly half of participants attended at least 75% of groups. Follow up studies should examine the effect of the intervention upon future exercise behavior, with the goal of identifying evidence based interventions to increase exercise in this group. © 2009 Elsevier Inc. All rights reserved.","author":[{"dropping-particle":"","family":"Beebe","given":"Lora Humphrey","non-dropping-particle":"","parse-names":false,"suffix":""},{"dropping-particle":"","family":"Smith","given":"Kathlene","non-dropping-particle":"","parse-names":false,"suffix":""}],"container-title":"Archives of Psychiatric Nursing","id":"ITEM-1","issued":{"date-parts":[["2010"]]},"title":"Feasibility of the Walk, Address, Learn and Cue (WALC) Intervention for Schizophrenia Spectrum Disorders","type":"article-journal"},"uris":["http://www.mendeley.com/documents/?uuid=efb17766-cc03-4d98-82e4-c69d58cd165a"]},{"id":"ITEM-2","itemData":{"DOI":"10.1007/BF02879922","ISSN":"08836612","abstract":"Background: Exercise is an important strategy with potential to improve recovery in older adults following a hip fracture. Purpose: The purpose of this study was to test the impact of a self-efficacy based intervention, the Exercise Plus Program, and the different components of the intervention, on self-efficacy, outcome expectations, and exercise behavior among older women post-hip fracture. Methods: Participants were randomized to one of four groups: exercise plus, exercise only, plus only (i.e., motivation), or routine care. Data collection was done at baseline (within 22 days of fracture), 2, 6, and 12 months post-hip fracture. Results: A total of 209 women were recruited with an average age of 81.0 years (SD = 6.9). The majority was White (97.1%), was widowed (57.2%), and had a high school education (66.7%). Generalized Estimating Equations were used to perform repeated measures analyses. No differences in trajectories of recovery were observed for self-efficacy or outcome expectations. A statistically significant difference in the overall trajectory of time in exercise was seen (p &lt; .001), with more time spent exercising in all three treatment groups. Conclusions: The study demonstrated that it was possible to engage these women in a home-based exercise program and that the plus only, exercise only, and the exercise plus groups all increased exercise. © 2007 by The Society of Behavioral Medicine.","author":[{"dropping-particle":"","family":"Resnick","given":"Barbara","non-dropping-particle":"","parse-names":false,"suffix":""},{"dropping-particle":"","family":"Orwig","given":"Denise","non-dropping-particle":"","parse-names":false,"suffix":""},{"dropping-particle":"","family":"Yu-Yahiro","given":"Janet","non-dropping-particle":"","parse-names":false,"suffix":""},{"dropping-particle":"","family":"Hawkes","given":"William","non-dropping-particle":"","parse-names":false,"suffix":""},{"dropping-particle":"","family":"Shardell","given":"Michelle","non-dropping-particle":"","parse-names":false,"suffix":""},{"dropping-particle":"","family":"Hebel","given":"J. Richard","non-dropping-particle":"","parse-names":false,"suffix":""},{"dropping-particle":"","family":"Zimmerman","given":"Sheryl","non-dropping-particle":"","parse-names":false,"suffix":""},{"dropping-particle":"","family":"Golden","given":"Justine","non-dropping-particle":"","parse-names":false,"suffix":""},{"dropping-particle":"","family":"Werner","given":"Michele","non-dropping-particle":"","parse-names":false,"suffix":""},{"dropping-particle":"","family":"Magaziner","given":"Jay","non-dropping-particle":"","parse-names":false,"suffix":""}],"container-title":"Annals of Behavioral Medicine","id":"ITEM-2","issued":{"date-parts":[["2007"]]},"title":"Testing the effectiveness of the exercise plus program in older women post-hip fracture","type":"article-journal"},"uris":["http://www.mendeley.com/documents/?uuid=1d0c26ac-0397-4bd0-ba6f-3611910ddb83"]},{"id":"ITEM-3","itemData":{"DOI":"10.1186/s12888-019-2274-5","ISSN":"1471244X","PMID":"31533686","abstract":"Background: Cardiovascular disease (CVD) is the leading cause of premature death among people with serious mental illness (SMI). Sedentary behaviour (SB) is an independent risk factor for CVD and mortality and people with SMI are highly sedentary. We developed a health coaching intervention called 'Walk this Way' to reduce SB and increase physical activity (PA) in people with SMI and conducted a pilot randomised controlled trial (RCT) to test its feasibility and acceptability. Methods: We randomised people with SMI from three community mental health teams into either the WTW intervention or treatment as usual. The WTW intervention lasted 17 weeks and included an initial education session, fortnightly coaching, provision of pedometers and access to a weekly walking group. Objective SB and PA were measured with accelerometers. Cardiometabolic risk factors and wellbeing measures were collected. Results: We recruited 40 people of whom 33 (82.5%) were followed up. 13/20 (65%) of participants allocated to the coaching intervention completed it. In the intervention group SB decreased by 56 min and total PA increased by 32 min per day on average which was sustained 6 months later. There was no change in PA or SB in the control group. When interviewed, participants in the intervention found the intervention helpful and acceptable. No adverse events were reported from the intervention. Conclusions: The intervention was feasible and acceptable to participants. Preliminary results were encouraging with improvement seen in both SB and PA. A larger study is needed to assess the effectiveness of the intervention and address any implementation challenges. Trial registration: ISRCTN Registry identifier: ISRCTN37724980, retrospectively registered 25 September 2015.","author":[{"dropping-particle":"","family":"Williams","given":"Julie","non-dropping-particle":"","parse-names":false,"suffix":""},{"dropping-particle":"","family":"Stubbs","given":"Brendon","non-dropping-particle":"","parse-names":false,"suffix":""},{"dropping-particle":"","family":"Richardson","given":"Sol","non-dropping-particle":"","parse-names":false,"suffix":""},{"dropping-particle":"","family":"Flower","given":"Cathy","non-dropping-particle":"","parse-names":false,"suffix":""},{"dropping-particle":"","family":"Barr-Hamilton","given":"Lucy","non-dropping-particle":"","parse-names":false,"suffix":""},{"dropping-particle":"","family":"Grey","given":"Barbara","non-dropping-particle":"","parse-names":false,"suffix":""},{"dropping-particle":"","family":"Hubbard","given":"Kathryn","non-dropping-particle":"","parse-names":false,"suffix":""},{"dropping-particle":"","family":"Spaducci","given":"Gilda","non-dropping-particle":"","parse-names":false,"suffix":""},{"dropping-particle":"","family":"Gaughran","given":"Fiona","non-dropping-particle":"","parse-names":false,"suffix":""},{"dropping-particle":"","family":"Craig","given":"Tom","non-dropping-particle":"","parse-names":false,"suffix":""}],"container-title":"BMC Psychiatry","id":"ITEM-3","issued":{"date-parts":[["2019"]]},"title":"'Walk this way': Results from a pilot randomised controlled trial of a health coaching intervention to reduce sedentary behaviour and increase physical activity in people with serious mental illness","type":"article-journal"},"uris":["http://www.mendeley.com/documents/?uuid=458a3360-45c5-4b01-a920-441bc622a869"]}],"mendeley":{"formattedCitation":"(Beebe &amp; Smith, 2010; Resnick et al., 2007; Williams et al., 2019)","plainTextFormattedCitation":"(Beebe &amp; Smith, 2010; Resnick et al., 2007; Williams et al., 2019)","previouslyFormattedCitation":"(Beebe &amp; Smith, 2010; Resnick et al., 2007; Williams et al., 2019)"},"properties":{"noteIndex":0},"schema":"https://github.com/citation-style-language/schema/raw/master/csl-citation.json"}</w:instrText>
      </w:r>
      <w:r w:rsidRPr="00DE3026">
        <w:fldChar w:fldCharType="separate"/>
      </w:r>
      <w:r w:rsidRPr="00DE3026">
        <w:rPr>
          <w:noProof/>
        </w:rPr>
        <w:t>(Beebe &amp; Smith, 2010; Resnick et al., 2007; Williams et al., 2019)</w:t>
      </w:r>
      <w:r w:rsidRPr="00DE3026">
        <w:fldChar w:fldCharType="end"/>
      </w:r>
      <w:r w:rsidRPr="00DE3026">
        <w:t xml:space="preserve">. This study proposes to adopt the WALC intervention, which incorporates elements of the COM-B behavioral change model to address capability, opportunity, and motivational barriers to reduce sedentary behavior </w:t>
      </w:r>
      <w:r w:rsidRPr="00DE3026">
        <w:fldChar w:fldCharType="begin" w:fldLock="1"/>
      </w:r>
      <w:r w:rsidRPr="00DE3026">
        <w:instrText>ADDIN CSL_CITATION {"citationItems":[{"id":"ITEM-1","itemData":{"DOI":"10.1186/1748-5908-6-42","ISSN":"17485908","PMID":"21513547","abstract":"Background: Improving the design and implementation of evidence-based practice depends on successful behaviour change interventions. This requires an appropriate method for characterising interventions and linking them to an analysis of the targeted behaviour. There exists a plethora of frameworks of behaviour change interventions, but it is not clear how well they serve this purpose. This paper evaluates these frameworks, and develops and evaluates a new framework aimed at overcoming their limitations.Methods: A systematic search of electronic databases and consultation with behaviour change experts were used to identify frameworks of behaviour change interventions. These were evaluated according to three criteria: comprehensiveness, coherence, and a clear link to an overarching model of behaviour. A new framework was developed to meet these criteria. The reliability with which it could be applied was examined in two domains of behaviour change: tobacco control and obesity.Results: Nineteen frameworks were identified covering nine intervention functions and seven policy categories that could enable those interventions. None of the frameworks reviewed covered the full range of intervention functions or policies, and only a minority met the criteria of coherence or linkage to a model of behaviour. At the centre of a proposed new framework is a 'behaviour system' involving three essential conditions: capability, opportunity, and motivation (what we term the 'COM-B system'). This forms the hub of a 'behaviour change wheel' (BCW) around which are positioned the nine intervention functions aimed at addressing deficits in one or more of these conditions; around this are placed seven categories of policy that could enable those interventions to occur. The BCW was used reliably to characterise interventions within the English Department of Health's 2010 tobacco control strategy and the National Institute of Health and Clinical Excellence's guidance on reducing obesity.Conclusions: Interventions and policies to change behaviour can be usefully characterised by means of a BCW comprising: a 'behaviour system' at the hub, encircled by intervention functions and then by policy categories. Research is needed to establish how far the BCW can lead to more efficient design of effective interventions. © 2011 Michie et al; licensee BioMed Central Ltd.","author":[{"dropping-particle":"","family":"Michie","given":"Susan","non-dropping-particle":"","parse-names":false,"suffix":""},{"dropping-particle":"","family":"Stralen","given":"Maartje M.","non-dropping-particle":"van","parse-names":false,"suffix":""},{"dropping-particle":"","family":"West","given":"Robert","non-dropping-particle":"","parse-names":false,"suffix":""}],"container-title":"Implementation Science","id":"ITEM-1","issued":{"date-parts":[["2011"]]},"title":"The behaviour change wheel: A new method for characterising and designing behaviour change interventions","type":"article-journal"},"uris":["http://www.mendeley.com/documents/?uuid=73d22fd5-bbcb-49d9-9921-58ae10d7d071"]}],"mendeley":{"formattedCitation":"(Michie, van Stralen, &amp; West, 2011)","plainTextFormattedCitation":"(Michie, van Stralen, &amp; West, 2011)","previouslyFormattedCitation":"(Michie, van Stralen, &amp; West, 2011)"},"properties":{"noteIndex":0},"schema":"https://github.com/citation-style-language/schema/raw/master/csl-citation.json"}</w:instrText>
      </w:r>
      <w:r w:rsidRPr="00DE3026">
        <w:fldChar w:fldCharType="separate"/>
      </w:r>
      <w:r w:rsidRPr="00DE3026">
        <w:rPr>
          <w:noProof/>
        </w:rPr>
        <w:t>(Michie, van Stralen, &amp; West, 2011)</w:t>
      </w:r>
      <w:r w:rsidRPr="00DE3026">
        <w:fldChar w:fldCharType="end"/>
      </w:r>
      <w:r w:rsidRPr="00DE3026">
        <w:t xml:space="preserve">. Unlike original and previous versions of the WALC intervention, </w:t>
      </w:r>
      <w:r w:rsidR="005E2118" w:rsidRPr="00DE3026">
        <w:rPr>
          <w:rFonts w:cs="Arial"/>
          <w:shd w:val="clear" w:color="auto" w:fill="FFFFFF"/>
          <w:lang w:eastAsia="en-GB"/>
        </w:rPr>
        <w:t>individualized coaching sessions will be delivered remotely, hence the ‘R’ in WALC-R. The principle is same as in the original WALC, but unlike a face to face-delivered coaching session, sessions will be held in real time using a video-conferencing interface such as Zoom, Skype, and Microsoft TEAMS.</w:t>
      </w:r>
      <w:r w:rsidR="00DE3026" w:rsidRPr="00DE3026">
        <w:rPr>
          <w:rFonts w:cs="Arial"/>
          <w:shd w:val="clear" w:color="auto" w:fill="FFFFFF"/>
          <w:lang w:eastAsia="en-GB"/>
        </w:rPr>
        <w:t xml:space="preserve"> The level of computer skills required by the participants will be to be able to check and write an email. Following initial discussions with a researcher/coach via telephone, a link to the video calls for baseline/follow-up and coaching sessions will be attached to emails sent to participants. Participants will only need to click the link to access the relevant sessions. Participants with difficulty in accessing video chat applications will be able to speak with a researcher, who will be able to guide them over the telephone. </w:t>
      </w:r>
      <w:r w:rsidRPr="00DE3026">
        <w:t>The WALC-R will consist of a group initial education session, fortnightly health coaching sessions, and self-monitoring of daily activity levels using pedometer and diary.</w:t>
      </w:r>
    </w:p>
    <w:p w14:paraId="2C48DDC3" w14:textId="77777777" w:rsidR="004B655C" w:rsidRDefault="004B655C" w:rsidP="00DB7120">
      <w:pPr>
        <w:pStyle w:val="MDPI23heading3"/>
        <w:rPr>
          <w:lang w:val="en-GB" w:eastAsia="en-GB"/>
        </w:rPr>
      </w:pPr>
      <w:r>
        <w:rPr>
          <w:lang w:val="en-GB" w:eastAsia="en-GB"/>
        </w:rPr>
        <w:t>Initial group education session (online)</w:t>
      </w:r>
    </w:p>
    <w:p w14:paraId="02704D39" w14:textId="77777777" w:rsidR="001219F0" w:rsidRDefault="004B655C" w:rsidP="00DB7120">
      <w:pPr>
        <w:pStyle w:val="MDPI31text"/>
      </w:pPr>
      <w:r w:rsidRPr="00D572E9">
        <w:t xml:space="preserve">Participants assigned to the </w:t>
      </w:r>
      <w:r>
        <w:t>WALC-R</w:t>
      </w:r>
      <w:r w:rsidRPr="00D572E9">
        <w:t xml:space="preserve"> intervention will attend a </w:t>
      </w:r>
      <w:r>
        <w:t xml:space="preserve">virtual </w:t>
      </w:r>
      <w:r w:rsidRPr="00D572E9">
        <w:t>baseline educational group session which will include a m</w:t>
      </w:r>
      <w:r>
        <w:t>aximum</w:t>
      </w:r>
      <w:r w:rsidRPr="00D572E9">
        <w:t xml:space="preserve"> of five people. The aim of the sessions will be to introduce the basics of the benefits of walking for exercise and why exercise is beneficial, as well as to give information, </w:t>
      </w:r>
      <w:proofErr w:type="gramStart"/>
      <w:r w:rsidRPr="00D572E9">
        <w:t>support</w:t>
      </w:r>
      <w:proofErr w:type="gramEnd"/>
      <w:r w:rsidRPr="00D572E9">
        <w:t xml:space="preserve"> and motivation to help participants to independently walk more in their daily routines. In the group sessions, we will also introduce the concept of sedentary behaviour and the harms and strategies to sit less and move more, including disrupting prolonged periods of sitting. At the educational session, researchers will have information on the participants’ habitual levels of physical activity obtained from baseline data collection. The group session will also include goal setting, in which participants will be encouraged to set their own daily walking targets to increase their habitual levels of walking. All participants will be given a pedometer to self-monitor how far they walk and a diary to record activity context throughout the intervention daily.</w:t>
      </w:r>
    </w:p>
    <w:p w14:paraId="294F2CD8" w14:textId="77777777" w:rsidR="001219F0" w:rsidRDefault="001219F0" w:rsidP="00DB7120">
      <w:pPr>
        <w:pStyle w:val="MDPI23heading3"/>
      </w:pPr>
      <w:r w:rsidRPr="00D572E9">
        <w:t>Continuing support and coaching</w:t>
      </w:r>
      <w:r>
        <w:t xml:space="preserve"> (online)</w:t>
      </w:r>
    </w:p>
    <w:p w14:paraId="0A5CD77F" w14:textId="06D81025" w:rsidR="004C3B7C" w:rsidRPr="004C3B7C" w:rsidRDefault="001219F0" w:rsidP="004C3B7C">
      <w:pPr>
        <w:pStyle w:val="MDPI31text"/>
        <w:rPr>
          <w:rFonts w:cs="Arial"/>
          <w:sz w:val="22"/>
          <w:shd w:val="clear" w:color="auto" w:fill="FFFFFF"/>
          <w:lang w:eastAsia="en-GB"/>
        </w:rPr>
      </w:pPr>
      <w:r w:rsidRPr="00D572E9">
        <w:t xml:space="preserve">Participants will meet briefly (20-30 minutes) </w:t>
      </w:r>
      <w:r>
        <w:t>via the internet</w:t>
      </w:r>
      <w:r w:rsidR="00307C1C">
        <w:t xml:space="preserve"> </w:t>
      </w:r>
      <w:r w:rsidR="007B5DE0">
        <w:t>videoconferencing</w:t>
      </w:r>
      <w:r w:rsidR="00307C1C">
        <w:t>,</w:t>
      </w:r>
      <w:r>
        <w:t xml:space="preserve"> </w:t>
      </w:r>
      <w:r w:rsidRPr="00D572E9">
        <w:t xml:space="preserve">with an assigned </w:t>
      </w:r>
      <w:r w:rsidR="00307C1C">
        <w:t xml:space="preserve">coach </w:t>
      </w:r>
      <w:r w:rsidRPr="00D572E9">
        <w:t xml:space="preserve">every 2 weeks. The participant and coach will review the participant’s walking </w:t>
      </w:r>
      <w:r w:rsidRPr="00A8021F">
        <w:t xml:space="preserve">calendar and address any barriers to and facilitators of engaging in physical activity and reducing sedentary behaviour. </w:t>
      </w:r>
      <w:r w:rsidR="004C3B7C" w:rsidRPr="00A8021F">
        <w:t>Participants will receive a pedometer (Fitbit watch) in adjunct with coaching sessions. In addition to instruction manual and paper diary sent out with the pedometer, a researcher will be available to discuss and assist with any issues encountered with its operation.</w:t>
      </w:r>
      <w:r w:rsidR="004C3B7C" w:rsidRPr="004C3B7C">
        <w:rPr>
          <w:rFonts w:cs="Arial"/>
          <w:sz w:val="22"/>
          <w:shd w:val="clear" w:color="auto" w:fill="FFFFFF"/>
          <w:lang w:eastAsia="en-GB"/>
        </w:rPr>
        <w:t xml:space="preserve"> </w:t>
      </w:r>
    </w:p>
    <w:p w14:paraId="65E095DE" w14:textId="77777777" w:rsidR="001219F0" w:rsidRDefault="001219F0" w:rsidP="00485FCF">
      <w:pPr>
        <w:pStyle w:val="MDPI31text"/>
        <w:ind w:firstLine="0"/>
      </w:pPr>
    </w:p>
    <w:p w14:paraId="73E243D5" w14:textId="334A42D0" w:rsidR="001219F0" w:rsidRDefault="001219F0" w:rsidP="00DB7120">
      <w:pPr>
        <w:pStyle w:val="MDPI22heading2"/>
      </w:pPr>
      <w:r w:rsidRPr="00D572E9">
        <w:t>Con</w:t>
      </w:r>
      <w:r w:rsidR="00485FCF">
        <w:t>t</w:t>
      </w:r>
      <w:r w:rsidRPr="00D572E9">
        <w:t xml:space="preserve">rol </w:t>
      </w:r>
      <w:r>
        <w:t>group</w:t>
      </w:r>
    </w:p>
    <w:p w14:paraId="4A512895" w14:textId="77777777" w:rsidR="001219F0" w:rsidRDefault="001219F0" w:rsidP="00DB7120">
      <w:pPr>
        <w:pStyle w:val="MDPI31text"/>
      </w:pPr>
      <w:r w:rsidRPr="00D572E9">
        <w:t>Participants in the control group will complete baseline measures, and then they will receive written information on the benefits of increasing activity levels. This advice will be given in accordance with NHS guide on physical health.</w:t>
      </w:r>
    </w:p>
    <w:p w14:paraId="268EACAE" w14:textId="30EF3414" w:rsidR="001219F0" w:rsidRDefault="001219F0" w:rsidP="00DB7120">
      <w:pPr>
        <w:rPr>
          <w:lang w:eastAsia="ja-JP"/>
        </w:rPr>
      </w:pPr>
    </w:p>
    <w:p w14:paraId="63ADBF80" w14:textId="66240081" w:rsidR="00485FCF" w:rsidRDefault="00485FCF" w:rsidP="00DB7120">
      <w:pPr>
        <w:rPr>
          <w:lang w:eastAsia="ja-JP"/>
        </w:rPr>
      </w:pPr>
    </w:p>
    <w:p w14:paraId="0E34420A" w14:textId="77777777" w:rsidR="00485FCF" w:rsidRPr="001219F0" w:rsidRDefault="00485FCF" w:rsidP="00DB7120">
      <w:pPr>
        <w:rPr>
          <w:lang w:eastAsia="ja-JP"/>
        </w:rPr>
      </w:pPr>
    </w:p>
    <w:p w14:paraId="4A834CCD" w14:textId="77777777" w:rsidR="001219F0" w:rsidRPr="00D572E9" w:rsidRDefault="001219F0" w:rsidP="00DB7120">
      <w:pPr>
        <w:pStyle w:val="MDPI22heading2"/>
      </w:pPr>
      <w:r w:rsidRPr="00D572E9">
        <w:lastRenderedPageBreak/>
        <w:t>Follow-up assessment</w:t>
      </w:r>
    </w:p>
    <w:p w14:paraId="5152AD94" w14:textId="5AEEA848" w:rsidR="004D552B" w:rsidRDefault="001219F0" w:rsidP="00485FCF">
      <w:pPr>
        <w:pStyle w:val="MDPI31text"/>
      </w:pPr>
      <w:r w:rsidRPr="00D572E9">
        <w:t>The follow-up assessment will be undertaken at the end of the intervention after 13 weeks. At follow-up, all measures</w:t>
      </w:r>
      <w:r>
        <w:t xml:space="preserve"> </w:t>
      </w:r>
      <w:r w:rsidRPr="00D572E9">
        <w:t xml:space="preserve">will be repeated (apart from sociodemographic information). Each participant will </w:t>
      </w:r>
      <w:r w:rsidR="00F06FC4">
        <w:t xml:space="preserve">again </w:t>
      </w:r>
      <w:r w:rsidRPr="00D572E9">
        <w:t xml:space="preserve">receive a £10 voucher for wearing </w:t>
      </w:r>
      <w:r>
        <w:t>an</w:t>
      </w:r>
      <w:r w:rsidRPr="00D572E9">
        <w:t xml:space="preserve"> accelerometer. </w:t>
      </w:r>
    </w:p>
    <w:p w14:paraId="6BD9F2E3" w14:textId="77777777" w:rsidR="001219F0" w:rsidRDefault="001219F0" w:rsidP="00DB7120">
      <w:pPr>
        <w:pStyle w:val="MDPI22heading2"/>
      </w:pPr>
      <w:r>
        <w:t>Data Collection</w:t>
      </w:r>
    </w:p>
    <w:p w14:paraId="2347CC6D" w14:textId="77777777" w:rsidR="001219F0" w:rsidRPr="00D572E9" w:rsidRDefault="001219F0" w:rsidP="00DB7120">
      <w:pPr>
        <w:pStyle w:val="MDPI23heading3"/>
      </w:pPr>
      <w:r w:rsidRPr="00D572E9">
        <w:t>Primary Outcome: Acceptability and Feasibility</w:t>
      </w:r>
    </w:p>
    <w:p w14:paraId="147A430C" w14:textId="7E580F5F" w:rsidR="001219F0" w:rsidRPr="00D572E9" w:rsidRDefault="001219F0" w:rsidP="00DB7120">
      <w:pPr>
        <w:pStyle w:val="MDPI31text"/>
      </w:pPr>
      <w:r w:rsidRPr="00D572E9">
        <w:t xml:space="preserve">The primary outcomes of this study are the acceptability and feasibility of intervention for delivery in the community settings and for a </w:t>
      </w:r>
      <w:r w:rsidR="00492638" w:rsidRPr="00D572E9">
        <w:t>full-scale</w:t>
      </w:r>
      <w:r w:rsidRPr="00D572E9">
        <w:t xml:space="preserve"> RCT. Acceptability will be qualitatively assessed at the end of week 13 via</w:t>
      </w:r>
      <w:r>
        <w:t xml:space="preserve"> </w:t>
      </w:r>
      <w:r w:rsidRPr="00D572E9">
        <w:t>semi-structured interviews with study participants. Feasibility will be tested by measuring (1) whether it was possible to recruit sufficient participants into the study within a particular time frame and (2) how many people who were recruited into the study completed the intervention (3) cost of delivering the intervention and (4) how many people who received intervention sustained adverse events.</w:t>
      </w:r>
    </w:p>
    <w:p w14:paraId="316AE7D8" w14:textId="77777777" w:rsidR="001219F0" w:rsidRPr="00D572E9" w:rsidRDefault="001219F0" w:rsidP="00DB7120">
      <w:pPr>
        <w:pStyle w:val="MDPI23heading3"/>
      </w:pPr>
      <w:r w:rsidRPr="00D572E9">
        <w:t>Secondary Outcomes</w:t>
      </w:r>
    </w:p>
    <w:p w14:paraId="6D4D240E" w14:textId="77777777" w:rsidR="001219F0" w:rsidRPr="00D572E9" w:rsidRDefault="001219F0" w:rsidP="00DB7120">
      <w:pPr>
        <w:pStyle w:val="MDPI31text"/>
      </w:pPr>
      <w:r w:rsidRPr="00D572E9">
        <w:t xml:space="preserve">Sedentary behaviour and physical activity time per day will be recorded using ActivPAL inclinometer. </w:t>
      </w:r>
      <w:r>
        <w:t xml:space="preserve">ActivPAL devices, water-proofing material and adhesive dressings will be mailed to participants using paid self-return postage. </w:t>
      </w:r>
      <w:r w:rsidRPr="00D572E9">
        <w:t xml:space="preserve">All participants will be required to wear the ActivPAL </w:t>
      </w:r>
      <w:r>
        <w:t xml:space="preserve">continuously </w:t>
      </w:r>
      <w:r w:rsidRPr="00D572E9">
        <w:t xml:space="preserve">for at least </w:t>
      </w:r>
      <w:r>
        <w:t>7</w:t>
      </w:r>
      <w:r w:rsidRPr="00D572E9">
        <w:t xml:space="preserve"> days at baseline that will measure habitual sedentary behaviour and walking activity each day</w:t>
      </w:r>
      <w:r>
        <w:t xml:space="preserve"> </w:t>
      </w:r>
      <w:r>
        <w:fldChar w:fldCharType="begin" w:fldLock="1"/>
      </w:r>
      <w:r>
        <w:instrText>ADDIN CSL_CITATION {"citationItems":[{"id":"ITEM-1","itemData":{"DOI":"10.1016/j.jshs.2016.02.002","ISSN":"22132961","abstract":"Research indicates that high levels of sedentary behavior (sitting or lying with low energy expenditure) are adversely associated with health. A key factor in improving our understanding of the impact of sedentary behavior (and patterns of sedentary time accumulation) on health is the use of objective measurement tools that collect date and time-stamped activity information. One such tool is the activPAL monitor. This thigh-worn device uses accelerometer-derived information about thigh position to determine the start and end of each period spent sitting/lying, standing, and stepping, as well as stepping speed, step counts, and postural transitions. The activPAL is increasingly being used within field-based research for its ability to measure sitting/lying via posture. We summarise key issues to consider when using the activPAL in physical activity and sedentary behavior field-based research with adult populations. It is intended that the findings and discussion points be informative for researchers who are currently using activPAL monitors or are intending to use them. Pre-data collection decisions, monitor preparation and distribution, data collection considerations, and manual and automated data processing possibilities are presented using examples from current literature and experiences from 2 research groups from the UK and Australia.","author":[{"dropping-particle":"","family":"Edwardson","given":"Charlotte L.","non-dropping-particle":"","parse-names":false,"suffix":""},{"dropping-particle":"","family":"Winkler","given":"Elisabeth A.H.","non-dropping-particle":"","parse-names":false,"suffix":""},{"dropping-particle":"","family":"Bodicoat","given":"Danielle H.","non-dropping-particle":"","parse-names":false,"suffix":""},{"dropping-particle":"","family":"Yates","given":"Tom","non-dropping-particle":"","parse-names":false,"suffix":""},{"dropping-particle":"","family":"Davies","given":"Melanie J.","non-dropping-particle":"","parse-names":false,"suffix":""},{"dropping-particle":"","family":"Dunstan","given":"David W.","non-dropping-particle":"","parse-names":false,"suffix":""},{"dropping-particle":"","family":"Healy","given":"Genevieve N.","non-dropping-particle":"","parse-names":false,"suffix":""}],"container-title":"Journal of Sport and Health Science","id":"ITEM-1","issued":{"date-parts":[["2017"]]},"title":"Considerations when using the activPAL monitor in field-based research with adult populations","type":"article"},"uris":["http://www.mendeley.com/documents/?uuid=4aa159c2-78b7-4f85-af3d-3e6758cbdfbc"]}],"mendeley":{"formattedCitation":"(Edwardson et al., 2017)","plainTextFormattedCitation":"(Edwardson et al., 2017)","previouslyFormattedCitation":"(Edwardson et al., 2017)"},"properties":{"noteIndex":0},"schema":"https://github.com/citation-style-language/schema/raw/master/csl-citation.json"}</w:instrText>
      </w:r>
      <w:r>
        <w:fldChar w:fldCharType="separate"/>
      </w:r>
      <w:r w:rsidRPr="00A9360D">
        <w:rPr>
          <w:noProof/>
        </w:rPr>
        <w:t>(Edwardson et al., 2017)</w:t>
      </w:r>
      <w:r>
        <w:fldChar w:fldCharType="end"/>
      </w:r>
      <w:r w:rsidRPr="00D572E9">
        <w:t xml:space="preserve">. The inclinometer will record how many minutes per day each participant is sedentary and engages in light, moderate and vigorous physical activities. A recording is made of each 60-second period (called an ‘epoch’), and this is classified as being sedentary or light, moderate or vigorous physical activity. The cut-off points </w:t>
      </w:r>
      <w:r>
        <w:t>are</w:t>
      </w:r>
      <w:r w:rsidRPr="00D572E9">
        <w:t xml:space="preserve"> defined according to metabolic equivalents (METs) of sedentary (&lt;1.5 METs), light (1.5–3.99 METs), moderate (4.00–6.99 METs) and vigorous (&gt;7+ METs). We will collect data on the total minutes of sedentary behaviour per day, number of disruptions in sedentary behaviour and total time spent in physical activity (minutes per day in light, moderate and vigorous activity). We will measure if the </w:t>
      </w:r>
      <w:r>
        <w:t>WALC-R</w:t>
      </w:r>
      <w:r w:rsidRPr="00D572E9">
        <w:t xml:space="preserve"> intervention group changes pre- and post-intervention in sedentary behaviour and physical activity </w:t>
      </w:r>
      <w:proofErr w:type="gramStart"/>
      <w:r w:rsidRPr="00D572E9">
        <w:t>and also</w:t>
      </w:r>
      <w:proofErr w:type="gramEnd"/>
      <w:r w:rsidRPr="00D572E9">
        <w:t xml:space="preserve"> measure if this differs from the control group. In addition, the following will be measured at baseline and follow-up:</w:t>
      </w:r>
    </w:p>
    <w:p w14:paraId="436D1E14" w14:textId="669479F8" w:rsidR="001219F0" w:rsidRDefault="001219F0" w:rsidP="00DB7120">
      <w:pPr>
        <w:pStyle w:val="MDPI31text"/>
        <w:numPr>
          <w:ilvl w:val="0"/>
          <w:numId w:val="10"/>
        </w:numPr>
      </w:pPr>
      <w:r w:rsidRPr="00D572E9">
        <w:t>Self-report sedentar</w:t>
      </w:r>
      <w:r>
        <w:t>y behavior</w:t>
      </w:r>
      <w:r w:rsidR="00E618A3">
        <w:t>:</w:t>
      </w:r>
      <w:r>
        <w:t xml:space="preserve"> </w:t>
      </w:r>
      <w:r w:rsidR="00E618A3">
        <w:t>The</w:t>
      </w:r>
      <w:r>
        <w:t xml:space="preserve"> Sedentary Behaviour Questionnaire (SBQ)</w:t>
      </w:r>
      <w:r w:rsidR="00D97032">
        <w:t xml:space="preserve"> </w:t>
      </w:r>
      <w:r>
        <w:fldChar w:fldCharType="begin" w:fldLock="1"/>
      </w:r>
      <w:r>
        <w:instrText>ADDIN CSL_CITATION {"citationItems":[{"id":"ITEM-1","itemData":{"DOI":"10.1123/jpah.7.6.697","ISSN":"15435476","PMID":"21088299","abstract":"Background: Sedentary behavior is related to obesity, but measures of sedentary behaviors are lacking for adults. The purpose of this study was to examine the reliability and validity of the Sedentary Behavior Questionnaire (SBQ) among overweight adults. Methods: Participants were 49 adults for the 2 week test-retest reliability study (67% female, 53% white, mean age = 20) and 401 overweight women (mean age = 41, 61% white) and 441 overweight men (mean age = 44, 81% white) for the validity study. The SBQ consisted of reports of time spent in 9 sedentary behaviors. Outcomes for validity included accelerometer measured inactivity, sitting time (International Physical Activity Questionnaire), and BMI. Intraclass correlation coefficients (ICCs) assessed reliability and partial correlations assessed validity. Results: ICCs were acceptable for all items and the total scale (range = .51-.93). For men, there were significant relationships of SBQ items with IPAQ sitting time and BMI. For women, there were relationships between the SBQ and accelerometer inactivity minutes, IPAQ sitting time, and BMI. Conclusions: The SBQ has acceptable measurement properties for use among overweight adults. Specific measures of sedentary behavior should be included in studies and population surveillance. © 2010 Human Kinetics, Inc.","author":[{"dropping-particle":"","family":"Rosenberg","given":"Dori E.","non-dropping-particle":"","parse-names":false,"suffix":""},{"dropping-particle":"","family":"Norman","given":"Gregory J.","non-dropping-particle":"","parse-names":false,"suffix":""},{"dropping-particle":"","family":"Wagner","given":"Nicole","non-dropping-particle":"","parse-names":false,"suffix":""},{"dropping-particle":"","family":"Patrick","given":"Kevin","non-dropping-particle":"","parse-names":false,"suffix":""},{"dropping-particle":"","family":"Calfas","given":"Karen J.","non-dropping-particle":"","parse-names":false,"suffix":""},{"dropping-particle":"","family":"Sallis","given":"James F.","non-dropping-particle":"","parse-names":false,"suffix":""}],"container-title":"Journal of Physical Activity and Health","id":"ITEM-1","issued":{"date-parts":[["2010"]]},"title":"Reliability and validity of the sedentary behavior questionnaire (SBQ) for adults","type":"article-journal"},"uris":["http://www.mendeley.com/documents/?uuid=ee50de7f-b46e-4a92-aae9-2f29f42de410"]}],"mendeley":{"formattedCitation":"(Rosenberg et al., 2010)","plainTextFormattedCitation":"(Rosenberg et al., 2010)","previouslyFormattedCitation":"(Rosenberg et al., 2010)"},"properties":{"noteIndex":0},"schema":"https://github.com/citation-style-language/schema/raw/master/csl-citation.json"}</w:instrText>
      </w:r>
      <w:r>
        <w:fldChar w:fldCharType="separate"/>
      </w:r>
      <w:r w:rsidRPr="004C29D0">
        <w:rPr>
          <w:noProof/>
        </w:rPr>
        <w:t>(Rosenberg et al., 2010)</w:t>
      </w:r>
      <w:r>
        <w:fldChar w:fldCharType="end"/>
      </w:r>
      <w:r w:rsidR="00E618A3">
        <w:t xml:space="preserve"> will be used to capture self-reported sedentary behaviour. Participants will respond to the question ‘on a typical weekend day/ </w:t>
      </w:r>
      <w:r w:rsidR="00492638">
        <w:t>weekday</w:t>
      </w:r>
      <w:r w:rsidR="00E618A3">
        <w:t xml:space="preserve">, how much time do you spend doing the following?’. Nine activities are listed including television viewing, playing video </w:t>
      </w:r>
      <w:proofErr w:type="gramStart"/>
      <w:r w:rsidR="00E618A3">
        <w:t>games</w:t>
      </w:r>
      <w:proofErr w:type="gramEnd"/>
      <w:r w:rsidR="00E618A3">
        <w:t xml:space="preserve"> and sitting reading a book. Response are grouped into the categories: ‘None’, &lt;=15 mins, 30, 1 hours, 2 hours, 3 hours, 4 hours, 5 hours, 6+ hours. </w:t>
      </w:r>
    </w:p>
    <w:p w14:paraId="4C27BBCF" w14:textId="77777777" w:rsidR="00454996" w:rsidRPr="005F3BF7" w:rsidRDefault="001219F0" w:rsidP="00DB7120">
      <w:pPr>
        <w:pStyle w:val="MDPI31text"/>
        <w:numPr>
          <w:ilvl w:val="0"/>
          <w:numId w:val="10"/>
        </w:numPr>
      </w:pPr>
      <w:r>
        <w:t xml:space="preserve">Verbal fluency: </w:t>
      </w:r>
      <w:r w:rsidR="00E618A3">
        <w:t xml:space="preserve">Participants’ verbal ability will be tested using the </w:t>
      </w:r>
      <w:r>
        <w:t xml:space="preserve">Controlled and </w:t>
      </w:r>
      <w:r w:rsidRPr="00974DED">
        <w:t xml:space="preserve">Oral Word Association Test </w:t>
      </w:r>
      <w:r>
        <w:t>:</w:t>
      </w:r>
      <w:r w:rsidRPr="00974DED">
        <w:t>COWAT</w:t>
      </w:r>
      <w:r w:rsidR="00DD2316">
        <w:t xml:space="preserve"> </w:t>
      </w:r>
      <w:r>
        <w:fldChar w:fldCharType="begin" w:fldLock="1"/>
      </w:r>
      <w:r w:rsidR="0009714B">
        <w:instrText>ADDIN CSL_CITATION {"citationItems":[{"id":"ITEM-1","itemData":{"DOI":"10.1007/978-3-319-57111-9_876","abstract":"The Controlled Oral Word Association Test (COWAT) is a measure of verbal fluency and is a subtest of the Multilingual Aphasia Examination (MAE; Benton, Hamsher, &amp; Sivan, 1994). The COWAT uses the three letter set of C, F, and L to assess phonemic fluency. Individuals are given 1 min to name as many words as possible beginning with one of the letters. The procedure is then repeated for the remaining two letters (see Strauss, Sherman, &amp; Spreen, 2006 and Benton, Hamsher, Rey, &amp; Sivan, 1994 for specific administration instructions). Several tests of phonemic fluency exist, some of which are part of larger test batteries (e.g., the MAE or the Neurosensory Center Comprehensive Examination for Aphasia; Spreen &amp; Benton, 1977) and others that can be administered independently (e.g., the F-A-S Test).","author":[{"dropping-particle":"","family":"Patterson","given":"Janet","non-dropping-particle":"","parse-names":false,"suffix":""}],"container-title":"Encyclopedia of Clinical Neuropsychology","id":"ITEM-1","issued":{"date-parts":[["2018"]]},"title":"Controlled Oral Word Association Test","type":"chapter"},"uris":["http://www.mendeley.com/documents/?uuid=5e34e2a1-4e8d-4d39-98c0-4eb6b90fb503"]}],"mendeley":{"formattedCitation":"(Patterson, 2018)","plainTextFormattedCitation":"(Patterson, 2018)","previouslyFormattedCitation":"(Patterson, 2018)"},"properties":{"noteIndex":0},"schema":"https://github.com/citation-style-language/schema/raw/master/csl-citation.json"}</w:instrText>
      </w:r>
      <w:r>
        <w:fldChar w:fldCharType="separate"/>
      </w:r>
      <w:r w:rsidRPr="000D0DE5">
        <w:rPr>
          <w:noProof/>
        </w:rPr>
        <w:t>(Patterson, 2018)</w:t>
      </w:r>
      <w:r>
        <w:fldChar w:fldCharType="end"/>
      </w:r>
      <w:r w:rsidR="00E618A3">
        <w:t xml:space="preserve">. </w:t>
      </w:r>
      <w:r w:rsidR="00DD2316">
        <w:t>P</w:t>
      </w:r>
      <w:r w:rsidR="00E618A3">
        <w:t>articipant</w:t>
      </w:r>
      <w:r w:rsidR="00DD2316">
        <w:t>s</w:t>
      </w:r>
      <w:r w:rsidR="00E618A3">
        <w:t xml:space="preserve"> </w:t>
      </w:r>
      <w:r w:rsidR="00DD2316">
        <w:t xml:space="preserve">will be </w:t>
      </w:r>
      <w:r w:rsidR="00E618A3">
        <w:t>required to make verbal associations to different letters of the alphabet by saying all the words</w:t>
      </w:r>
      <w:r w:rsidR="00DD2316">
        <w:t>, which they can think of beginning with a given letter. Participants are scored based on how many words they can provide in 60 seconds.</w:t>
      </w:r>
    </w:p>
    <w:p w14:paraId="2B5CC62C" w14:textId="11412F03" w:rsidR="001219F0" w:rsidRPr="00974DED" w:rsidRDefault="001219F0" w:rsidP="00DB7120">
      <w:pPr>
        <w:pStyle w:val="MDPI31text"/>
        <w:numPr>
          <w:ilvl w:val="0"/>
          <w:numId w:val="10"/>
        </w:numPr>
      </w:pPr>
      <w:r>
        <w:t xml:space="preserve">Pre-morbid Intelligence: </w:t>
      </w:r>
      <w:r w:rsidR="00DD2316">
        <w:t xml:space="preserve">This will be tested using the </w:t>
      </w:r>
      <w:r>
        <w:t xml:space="preserve">National Adult Reading Test </w:t>
      </w:r>
      <w:r>
        <w:fldChar w:fldCharType="begin" w:fldLock="1"/>
      </w:r>
      <w:r w:rsidR="00B90334">
        <w:instrText>ADDIN CSL_CITATION {"citationItems":[{"id":"ITEM-1","itemData":{"DOI":"10.1017/S1355617702860131","ISSN":"13556177","PMID":"12240749","abstract":"Since its publication in 1982, the National Adult Reading Test (NART; Revised Version, NART-R) has become a widely accepted method for estimating premorbid levels of intelligence in neuropsychological research. However, the assumption that NART/NART-R performance is relatively independent of brain damage has been increasingly challenged in recent years. In a number of conditions, including Alzheimer dementia and Korsakoff's syndrome, studies have indicated a deterioration in reading ability, leading to an underestimated premorbid IQ. In a reaction to these studies, some researchers have advocated the use of demographic variables as a more suitable foundation for accurately predicting premorbid intelligence. We addressed this issue by calculating IQ estimates on the basis of NART/NART-R, demographic variables, and a combination of the two approaches and by comparing these with current WAIS/WAIS-R IQ in patients with Korsakoff's syndrome, Alzheimer dementia, frontal or temporal lobe lesions, and in healthy controls. Estimated premorbid IQs did not differ across groups, whether derived from NART/NART-R or demographic variables. Those based on NART/NART-R demonstrated higher correlations with current WAIS/WAIS-R IQ in controls and patients than those derived from demographic variables. An equation combining NART scores with demographic variables did not significantly increase the amount of variance in IQ explained by NART only, either in patients or controls. The data offer reassurance regarding the continued use of NART as a valid estimate of premorbid intelligence in a number of conditions.","author":[{"dropping-particle":"","family":"Bright","given":"Peter","non-dropping-particle":"","parse-names":false,"suffix":""},{"dropping-particle":"","family":"Jaldow","given":"Eli","non-dropping-particle":"","parse-names":false,"suffix":""},{"dropping-particle":"","family":"Kopelman","given":"Michael D.","non-dropping-particle":"","parse-names":false,"suffix":""}],"container-title":"Journal of the International Neuropsychological Society","id":"ITEM-1","issued":{"date-parts":[["2002"]]},"title":"The National Adult Reading Test as a measure of premorbid intelligence: A comparison with estimates derived from demographic variables","type":"article-journal"},"uris":["http://www.mendeley.com/documents/?uuid=abd705ec-c396-48b5-a20f-32da5b1e0da7"]}],"mendeley":{"formattedCitation":"(Bright, Jaldow, &amp; Kopelman, 2002)","plainTextFormattedCitation":"(Bright, Jaldow, &amp; Kopelman, 2002)","previouslyFormattedCitation":"(Bright, Jaldow, &amp; Kopelman, 2002)"},"properties":{"noteIndex":0},"schema":"https://github.com/citation-style-language/schema/raw/master/csl-citation.json"}</w:instrText>
      </w:r>
      <w:r>
        <w:fldChar w:fldCharType="separate"/>
      </w:r>
      <w:r w:rsidR="0009714B" w:rsidRPr="0009714B">
        <w:rPr>
          <w:noProof/>
        </w:rPr>
        <w:t>(Bright, Jaldow, &amp; Kopelman, 2002)</w:t>
      </w:r>
      <w:r>
        <w:fldChar w:fldCharType="end"/>
      </w:r>
      <w:r w:rsidR="00DD2316">
        <w:t xml:space="preserve">. Participants will be asked to read form a list of 50 </w:t>
      </w:r>
      <w:r w:rsidR="00492638">
        <w:t>words,</w:t>
      </w:r>
      <w:r w:rsidR="00DD2316">
        <w:t xml:space="preserve"> and they will be scored based on </w:t>
      </w:r>
      <w:proofErr w:type="gramStart"/>
      <w:r w:rsidR="00DD2316">
        <w:t>whether or not</w:t>
      </w:r>
      <w:proofErr w:type="gramEnd"/>
      <w:r w:rsidR="00DD2316">
        <w:t xml:space="preserve"> they pronounce each word correctly.</w:t>
      </w:r>
    </w:p>
    <w:p w14:paraId="56FA7701" w14:textId="62BC12EB" w:rsidR="004D552B" w:rsidRDefault="001219F0" w:rsidP="00485FCF">
      <w:pPr>
        <w:pStyle w:val="MDPI31text"/>
        <w:numPr>
          <w:ilvl w:val="0"/>
          <w:numId w:val="10"/>
        </w:numPr>
      </w:pPr>
      <w:r w:rsidRPr="00D572E9">
        <w:t xml:space="preserve">Health Related Quality of Life </w:t>
      </w:r>
      <w:r w:rsidR="00DD2316">
        <w:t xml:space="preserve">: </w:t>
      </w:r>
      <w:r w:rsidR="000F50DE" w:rsidRPr="000F50DE">
        <w:t>The participants will self- rate their health using</w:t>
      </w:r>
      <w:r w:rsidR="004764AB">
        <w:t xml:space="preserve"> the EQ-5D-5L.</w:t>
      </w:r>
      <w:r w:rsidR="000F50DE" w:rsidRPr="000F50DE">
        <w:t xml:space="preserve"> </w:t>
      </w:r>
      <w:r w:rsidR="004764AB">
        <w:t>F</w:t>
      </w:r>
      <w:r w:rsidR="000F50DE" w:rsidRPr="000F50DE">
        <w:t xml:space="preserve">ive dimensions </w:t>
      </w:r>
      <w:r w:rsidR="004764AB">
        <w:t xml:space="preserve">are </w:t>
      </w:r>
      <w:r w:rsidR="000F50DE" w:rsidRPr="000F50DE">
        <w:t>provided (mobility, self-care, usual activities, pain/discomfort and anxiety/depression) and five response levels: no problems, slight, moderate, severe, unable to/extreme problems.</w:t>
      </w:r>
      <w:r w:rsidR="004D7926">
        <w:fldChar w:fldCharType="begin" w:fldLock="1"/>
      </w:r>
      <w:r w:rsidR="00815337">
        <w:instrText>ADDIN CSL_CITATION {"citationItems":[{"id":"ITEM-1","itemData":{"DOI":"10.1007/s11136-012-0322-4","ISSN":"1573-2649 (Electronic)","PMID":"23184421","abstract":"PURPOSE: The aim of this study was to assess the measurement properties of the  5-level classification system of the EQ-5D (5L), in comparison with the 3-level EQ-5D (3L). METHODS: Participants (n = 3,919) from six countries, including eight patient groups with chronic conditions (cardiovascular disease, respiratory disease, depression, diabetes, liver disease, personality disorders, arthritis, and stroke) and a student cohort, completed the 3L and 5L and, for most participants, also dimension-specific rating scales. The 3L and 5L were compared in terms of feasibility (missing values), redistribution properties, ceiling, discriminatory power, convergent validity, and known-groups validity. RESULTS: Missing values were on average 0.8% for 5L and 1.3% for 3L. In total, 2.9% of responses were inconsistent between 5L and 3L. Redistribution from 3L to 5L using EQ dimension-specific rating scales as reference was validated for all 35 3L-5L-level combinations. For 5L, 683 unique health states were observed versus 124 for 3L. The ceiling was reduced from 20.2% (3L) to 16.0% (5L). Absolute discriminatory power (Shannon index) improved considerably with 5L (mean 1.87 for 5L versus 1.24 for 3L), and relative discriminatory power (Shannon Evenness index) improved slightly (mean 0.81 for 5L versus 0.78 for 3L). Convergent validity with WHO-5 was demonstrated and improved slightly with 5L. Known-groups validity was confirmed for both 5L and 3L. CONCLUSIONS: The EQ-5D-5L appears to be a valid extension of the 3-level system which improves upon the measurement properties, reducing the ceiling while improving discriminatory power and establishing convergent and known-groups validity.","author":[{"dropping-particle":"","family":"Janssen","given":"M F","non-dropping-particle":"","parse-names":false,"suffix":""},{"dropping-particle":"","family":"Pickard","given":"A Simon","non-dropping-particle":"","parse-names":false,"suffix":""},{"dropping-particle":"","family":"Golicki","given":"Dominik","non-dropping-particle":"","parse-names":false,"suffix":""},{"dropping-particle":"","family":"Gudex","given":"Claire","non-dropping-particle":"","parse-names":false,"suffix":""},{"dropping-particle":"","family":"Niewada","given":"Maciej","non-dropping-particle":"","parse-names":false,"suffix":""},{"dropping-particle":"","family":"Scalone","given":"Luciana","non-dropping-particle":"","parse-names":false,"suffix":""},{"dropping-particle":"","family":"Swinburn","given":"Paul","non-dropping-particle":"","parse-names":false,"suffix":""},{"dropping-particle":"","family":"Busschbach","given":"Jan","non-dropping-particle":"","parse-names":false,"suffix":""}],"container-title":"Quality of life research : an international journal of quality of life aspects of  treatment, care and rehabilitation","id":"ITEM-1","issue":"7","issued":{"date-parts":[["2013","9"]]},"language":"eng","page":"1717-1727","title":"Measurement properties of the EQ-5D-5L compared to the EQ-5D-3L across eight patient  groups: a multi-country study.","type":"article-journal","volume":"22"},"uris":["http://www.mendeley.com/documents/?uuid=67e30f64-5144-449b-a485-94bfb7608db7"]}],"mendeley":{"formattedCitation":"(Janssen et al., 2013)","plainTextFormattedCitation":"(Janssen et al., 2013)","previouslyFormattedCitation":"(Janssen et al., 2013)"},"properties":{"noteIndex":0},"schema":"https://github.com/citation-style-language/schema/raw/master/csl-citation.json"}</w:instrText>
      </w:r>
      <w:r w:rsidR="004D7926">
        <w:fldChar w:fldCharType="separate"/>
      </w:r>
      <w:r w:rsidR="004D7926" w:rsidRPr="004D7926">
        <w:rPr>
          <w:noProof/>
        </w:rPr>
        <w:t>(Janssen et al., 2013)</w:t>
      </w:r>
      <w:r w:rsidR="004D7926">
        <w:fldChar w:fldCharType="end"/>
      </w:r>
      <w:r w:rsidR="000F50DE" w:rsidRPr="000F50DE">
        <w:t xml:space="preserve"> </w:t>
      </w:r>
      <w:r w:rsidR="004764AB">
        <w:t>In addition, t</w:t>
      </w:r>
      <w:r w:rsidR="000F50DE" w:rsidRPr="000F50DE">
        <w:t>he EQ- Visual Analogue Scale</w:t>
      </w:r>
      <w:r w:rsidR="00D97032">
        <w:t xml:space="preserve"> </w:t>
      </w:r>
      <w:r w:rsidR="000F50DE" w:rsidRPr="000F50DE">
        <w:t xml:space="preserve">(VAS) </w:t>
      </w:r>
      <w:r w:rsidR="000F50DE" w:rsidRPr="000F50DE">
        <w:lastRenderedPageBreak/>
        <w:t>records the respondent's overall current health (0-100). Higher VAS scores represent best perceived health and vice versa.</w:t>
      </w:r>
    </w:p>
    <w:p w14:paraId="61B43D4C" w14:textId="20ABB45B" w:rsidR="001219F0" w:rsidRPr="00D572E9" w:rsidRDefault="001219F0" w:rsidP="00DB7120">
      <w:pPr>
        <w:pStyle w:val="MDPI23heading3"/>
      </w:pPr>
      <w:r w:rsidRPr="00D572E9">
        <w:t>Cost</w:t>
      </w:r>
      <w:r w:rsidR="00F666E5">
        <w:t xml:space="preserve"> of delivering intervention.</w:t>
      </w:r>
    </w:p>
    <w:p w14:paraId="5AA087F1" w14:textId="347E7FB0" w:rsidR="001219F0" w:rsidRPr="00D572E9" w:rsidRDefault="001219F0" w:rsidP="00DB7120">
      <w:pPr>
        <w:pStyle w:val="MDPI31text"/>
      </w:pPr>
      <w:r w:rsidRPr="00D572E9">
        <w:t>All costs associated with the intervention and delivery of intervention (</w:t>
      </w:r>
      <w:r w:rsidR="00492638" w:rsidRPr="00D572E9">
        <w:t>e.g.,</w:t>
      </w:r>
      <w:r w:rsidRPr="00D572E9">
        <w:t xml:space="preserve"> research time, travel cost, equipment, I.T. support and training) will be estimated. However, </w:t>
      </w:r>
      <w:r w:rsidR="004764AB">
        <w:t>we</w:t>
      </w:r>
      <w:r w:rsidRPr="00D572E9">
        <w:t xml:space="preserve"> plan to evaluate the cost-effectiveness of proposed intervention in the full trial. The EQ-5D</w:t>
      </w:r>
      <w:r w:rsidR="004764AB">
        <w:t>-5L</w:t>
      </w:r>
      <w:r w:rsidRPr="00D572E9">
        <w:t xml:space="preserve"> will be used to measure the </w:t>
      </w:r>
      <w:r w:rsidR="00492638" w:rsidRPr="00D572E9">
        <w:t>Health-Related</w:t>
      </w:r>
      <w:r w:rsidRPr="00D572E9">
        <w:t xml:space="preserve"> Quality of Life (HR-QoL) status in the participants pre- and post-treatment. </w:t>
      </w:r>
    </w:p>
    <w:p w14:paraId="5B8C01A4" w14:textId="77777777" w:rsidR="001219F0" w:rsidRPr="00D572E9" w:rsidRDefault="001219F0" w:rsidP="00DB7120">
      <w:pPr>
        <w:pStyle w:val="MDPI23heading3"/>
      </w:pPr>
      <w:r w:rsidRPr="00D572E9">
        <w:t>Data Analysis-Quantitative</w:t>
      </w:r>
    </w:p>
    <w:p w14:paraId="2527C94C" w14:textId="2873FB00" w:rsidR="001219F0" w:rsidRPr="001219F0" w:rsidRDefault="001219F0" w:rsidP="00DB7120">
      <w:pPr>
        <w:pStyle w:val="MDPI31text"/>
      </w:pPr>
      <w:r>
        <w:t xml:space="preserve">We </w:t>
      </w:r>
      <w:r w:rsidRPr="00D572E9">
        <w:t xml:space="preserve">will summarize all data by treatment group. Statistical measures of central tendency and dispersion such as mean, standard deviation (continuous variables), frequency distribution, interquartile range (IQR) and median (categorical variables) will be used in descriptive statistics. </w:t>
      </w:r>
      <w:r w:rsidR="00691E6A">
        <w:t xml:space="preserve">Characteristics of follow-up and lost-to-follow-up participants will be compared. </w:t>
      </w:r>
      <w:r w:rsidRPr="00D572E9">
        <w:t>Non-parametric statistical methods will be used for bivariate analysis</w:t>
      </w:r>
      <w:r w:rsidR="00F666E5">
        <w:t xml:space="preserve">. </w:t>
      </w:r>
      <w:r w:rsidRPr="00D572E9">
        <w:t>Stata version 16 software will be used to perform the analysis. Accelerometer data will be processed using activPAL3 software (version 7.2.28)</w:t>
      </w:r>
    </w:p>
    <w:p w14:paraId="02621E7D" w14:textId="77777777" w:rsidR="001219F0" w:rsidRPr="00D572E9" w:rsidRDefault="001219F0" w:rsidP="00DB7120">
      <w:pPr>
        <w:pStyle w:val="MDPI23heading3"/>
      </w:pPr>
      <w:r w:rsidRPr="00D572E9">
        <w:t>Data Analysis-Qualitative</w:t>
      </w:r>
    </w:p>
    <w:p w14:paraId="09384587" w14:textId="72680741" w:rsidR="001219F0" w:rsidRPr="00454996" w:rsidRDefault="001219F0" w:rsidP="00B457B8">
      <w:pPr>
        <w:pStyle w:val="MDPI31text"/>
      </w:pPr>
      <w:r w:rsidRPr="00D572E9">
        <w:t>A topic guide will be created with open-ended interviews and this topic guide will be submitted for ethical approval. With the consent of participants, semi- interviews will be conducted. We anticipate that each interview will take approximately 30-45 minutes. Interviews will be digitally recorded, and transcripts will be anonymized for identifiable information. Co</w:t>
      </w:r>
      <w:r w:rsidR="00BE781B">
        <w:t>nceptual co</w:t>
      </w:r>
      <w:r w:rsidRPr="00D572E9">
        <w:t xml:space="preserve">ntent analysis will be </w:t>
      </w:r>
      <w:r w:rsidR="00F666E5">
        <w:t xml:space="preserve">utilized. </w:t>
      </w:r>
      <w:r w:rsidR="00BE781B">
        <w:t xml:space="preserve">Themes </w:t>
      </w:r>
      <w:r w:rsidR="00B457B8">
        <w:t xml:space="preserve">related to the (non)acceptability of our intervention </w:t>
      </w:r>
      <w:r w:rsidR="00BE781B">
        <w:t>will be extracted and coded. We will adopt a flexible approach to identify</w:t>
      </w:r>
      <w:r w:rsidR="00B457B8">
        <w:t>ing</w:t>
      </w:r>
      <w:r w:rsidR="00BE781B">
        <w:t xml:space="preserve"> and cod</w:t>
      </w:r>
      <w:r w:rsidR="00B457B8">
        <w:t>ing</w:t>
      </w:r>
      <w:r w:rsidR="00BE781B">
        <w:t xml:space="preserve"> for concepts as they arise during the process. </w:t>
      </w:r>
      <w:r w:rsidR="007B5DE0">
        <w:t>Finally,</w:t>
      </w:r>
      <w:r w:rsidR="00BE781B">
        <w:t xml:space="preserve"> the frequency of the concepts identified will be analyzed using </w:t>
      </w:r>
      <w:r w:rsidRPr="00D572E9">
        <w:t>QSR Nvivo software</w:t>
      </w:r>
      <w:r w:rsidR="00BE781B">
        <w:t>.</w:t>
      </w:r>
    </w:p>
    <w:p w14:paraId="4ED014A6" w14:textId="77777777" w:rsidR="001219F0" w:rsidRPr="00EC2BC7" w:rsidRDefault="001219F0" w:rsidP="00DB7120">
      <w:pPr>
        <w:pStyle w:val="MDPI23heading3"/>
      </w:pPr>
      <w:r w:rsidRPr="00EC2BC7">
        <w:t>How will results be used?</w:t>
      </w:r>
    </w:p>
    <w:p w14:paraId="1FB51584" w14:textId="53440B0A" w:rsidR="00454996" w:rsidRPr="00D572E9" w:rsidRDefault="001219F0" w:rsidP="00DB7120">
      <w:pPr>
        <w:pStyle w:val="MDPI31text"/>
      </w:pPr>
      <w:r w:rsidRPr="00D572E9">
        <w:t xml:space="preserve">At the feasibility stage, the research will evaluate the acceptability of proposed health intervention to participants (2020-2022). Results from the present feasibility study will be presented at national conferences </w:t>
      </w:r>
      <w:proofErr w:type="gramStart"/>
      <w:r w:rsidRPr="00D572E9">
        <w:t>in order to</w:t>
      </w:r>
      <w:proofErr w:type="gramEnd"/>
      <w:r w:rsidRPr="00D572E9">
        <w:t xml:space="preserve"> stimulate enthusiasm for </w:t>
      </w:r>
      <w:proofErr w:type="spellStart"/>
      <w:r w:rsidRPr="00D572E9">
        <w:t>centres</w:t>
      </w:r>
      <w:proofErr w:type="spellEnd"/>
      <w:r w:rsidRPr="00D572E9">
        <w:t xml:space="preserve"> to participate in the intended future trial, where the effectiveness of the intervention will be tested (2022-2025). If found effective, the results will be disseminated to relevant stakeholders in advocacy, academia, research, health and social care professional groups (Chartered Society of Physiotherapists) and patient groups (Alzheimer’s society). The researcher hopes that dissemination of findings would create opportunities for collaboration with the stakeholders to inform local and national guidelines on the use of non-exercise, sedentary reducing interventions in older adults with </w:t>
      </w:r>
      <w:r w:rsidR="00492638" w:rsidRPr="00D572E9">
        <w:t>early-stage</w:t>
      </w:r>
      <w:r w:rsidRPr="00D572E9">
        <w:t xml:space="preserve"> dementia. It is hoped that these guidelines will inform clinical / health practices within primary and secondary care.</w:t>
      </w:r>
    </w:p>
    <w:p w14:paraId="01071EC1" w14:textId="77777777" w:rsidR="001219F0" w:rsidRDefault="00A74B4F" w:rsidP="00DB7120">
      <w:pPr>
        <w:pStyle w:val="MDPI23heading3"/>
      </w:pPr>
      <w:r>
        <w:t>Other e</w:t>
      </w:r>
      <w:r w:rsidR="001219F0">
        <w:t>thical consideration</w:t>
      </w:r>
    </w:p>
    <w:p w14:paraId="093395A1" w14:textId="54264F19" w:rsidR="001219F0" w:rsidRPr="00454996" w:rsidRDefault="001219F0" w:rsidP="00DB7120">
      <w:pPr>
        <w:pStyle w:val="MDPI31text"/>
        <w:rPr>
          <w:rFonts w:eastAsiaTheme="minorHAnsi"/>
        </w:rPr>
      </w:pPr>
      <w:r w:rsidRPr="00454996">
        <w:t>The researcher is GCP trained. Participants will be reminded that their involvement in the study is voluntary and they have the right to withdraw from the study at any time.</w:t>
      </w:r>
      <w:r w:rsidR="00454996" w:rsidRPr="00454996">
        <w:t xml:space="preserve"> </w:t>
      </w:r>
      <w:r w:rsidR="00454996">
        <w:rPr>
          <w:rFonts w:eastAsiaTheme="minorHAnsi"/>
        </w:rPr>
        <w:t xml:space="preserve">Although unlikely, cognitive difficulty in </w:t>
      </w:r>
      <w:r w:rsidRPr="00454996">
        <w:rPr>
          <w:rFonts w:eastAsiaTheme="minorHAnsi"/>
        </w:rPr>
        <w:t>people with mild cognitive impairment</w:t>
      </w:r>
      <w:r w:rsidR="00454996">
        <w:rPr>
          <w:rFonts w:eastAsiaTheme="minorHAnsi"/>
        </w:rPr>
        <w:t xml:space="preserve"> </w:t>
      </w:r>
      <w:r w:rsidRPr="00454996">
        <w:t>m</w:t>
      </w:r>
      <w:r w:rsidR="00454996">
        <w:t>ight</w:t>
      </w:r>
      <w:r w:rsidRPr="00454996">
        <w:t xml:space="preserve"> impact </w:t>
      </w:r>
      <w:r w:rsidRPr="00454996">
        <w:rPr>
          <w:rFonts w:eastAsiaTheme="minorHAnsi"/>
        </w:rPr>
        <w:t xml:space="preserve">consent capacity. </w:t>
      </w:r>
      <w:r w:rsidR="00492638" w:rsidRPr="00454996">
        <w:rPr>
          <w:rFonts w:eastAsiaTheme="minorHAnsi"/>
        </w:rPr>
        <w:t>Also,</w:t>
      </w:r>
      <w:r w:rsidRPr="00454996">
        <w:rPr>
          <w:rFonts w:eastAsiaTheme="minorHAnsi"/>
        </w:rPr>
        <w:t xml:space="preserve"> the rate of cognitive decline in people with MCI is hard to</w:t>
      </w:r>
      <w:r w:rsidRPr="00454996">
        <w:t xml:space="preserve"> </w:t>
      </w:r>
      <w:r w:rsidRPr="00454996">
        <w:rPr>
          <w:rFonts w:eastAsiaTheme="minorHAnsi"/>
        </w:rPr>
        <w:t>predict. As i</w:t>
      </w:r>
      <w:r w:rsidR="00454996">
        <w:rPr>
          <w:rFonts w:eastAsiaTheme="minorHAnsi"/>
        </w:rPr>
        <w:t>n</w:t>
      </w:r>
      <w:r w:rsidRPr="00454996">
        <w:rPr>
          <w:rFonts w:eastAsiaTheme="minorHAnsi"/>
        </w:rPr>
        <w:t xml:space="preserve"> routine dementia trials, patients who lack capacity to consent can agree to participate</w:t>
      </w:r>
      <w:r w:rsidRPr="00454996">
        <w:t xml:space="preserve"> </w:t>
      </w:r>
      <w:r w:rsidRPr="00454996">
        <w:rPr>
          <w:rFonts w:eastAsiaTheme="minorHAnsi"/>
        </w:rPr>
        <w:t>and, in compliance with the Mental Capacity Act (2005), advice will be obtained from a personal consultee. For</w:t>
      </w:r>
      <w:r w:rsidRPr="00454996">
        <w:t xml:space="preserve"> </w:t>
      </w:r>
      <w:r w:rsidRPr="00454996">
        <w:rPr>
          <w:rFonts w:eastAsiaTheme="minorHAnsi"/>
        </w:rPr>
        <w:t>those relatively few participants unable to give informed consent, and for whom no personal consultee is</w:t>
      </w:r>
      <w:r w:rsidRPr="00454996">
        <w:t xml:space="preserve"> </w:t>
      </w:r>
      <w:r w:rsidRPr="00454996">
        <w:rPr>
          <w:rFonts w:eastAsiaTheme="minorHAnsi"/>
        </w:rPr>
        <w:t>available, an attempt will be made to find a nominated consultee. The most common route for a nominated</w:t>
      </w:r>
      <w:r w:rsidRPr="00454996">
        <w:t xml:space="preserve"> </w:t>
      </w:r>
      <w:r w:rsidRPr="00454996">
        <w:rPr>
          <w:rFonts w:eastAsiaTheme="minorHAnsi"/>
        </w:rPr>
        <w:t>consultee might be an independent mental capacity advocate (IMCA). Experience in other trials suggests IMCAs</w:t>
      </w:r>
      <w:r w:rsidRPr="00454996">
        <w:t xml:space="preserve"> </w:t>
      </w:r>
      <w:r w:rsidRPr="00454996">
        <w:rPr>
          <w:rFonts w:eastAsiaTheme="minorHAnsi"/>
        </w:rPr>
        <w:t xml:space="preserve">are rarely willing to consider this role. If this is the case, an alternative professional </w:t>
      </w:r>
      <w:r w:rsidRPr="00454996">
        <w:rPr>
          <w:rFonts w:eastAsiaTheme="minorHAnsi"/>
        </w:rPr>
        <w:lastRenderedPageBreak/>
        <w:t>(</w:t>
      </w:r>
      <w:r w:rsidR="00492638" w:rsidRPr="00454996">
        <w:rPr>
          <w:rFonts w:eastAsiaTheme="minorHAnsi"/>
        </w:rPr>
        <w:t>e.g.,</w:t>
      </w:r>
      <w:r w:rsidRPr="00454996">
        <w:rPr>
          <w:rFonts w:eastAsiaTheme="minorHAnsi"/>
        </w:rPr>
        <w:t xml:space="preserve"> GP) who is entirely</w:t>
      </w:r>
      <w:r w:rsidRPr="00454996">
        <w:t xml:space="preserve"> </w:t>
      </w:r>
      <w:r w:rsidRPr="00454996">
        <w:rPr>
          <w:rFonts w:eastAsiaTheme="minorHAnsi"/>
        </w:rPr>
        <w:t>independent of the trial may be approached. If one attempt to find a nominated consultee is unsuccessful, we</w:t>
      </w:r>
      <w:r w:rsidRPr="00454996">
        <w:t xml:space="preserve"> </w:t>
      </w:r>
      <w:r w:rsidRPr="00454996">
        <w:rPr>
          <w:rFonts w:eastAsiaTheme="minorHAnsi"/>
        </w:rPr>
        <w:t>will not attempt further to recruit the participant.</w:t>
      </w:r>
    </w:p>
    <w:p w14:paraId="1AFFE7DB" w14:textId="77777777" w:rsidR="001219F0" w:rsidRPr="00454996" w:rsidRDefault="001219F0" w:rsidP="00DB7120">
      <w:pPr>
        <w:pStyle w:val="MDPI31text"/>
        <w:rPr>
          <w:rFonts w:eastAsiaTheme="minorHAnsi"/>
        </w:rPr>
      </w:pPr>
    </w:p>
    <w:p w14:paraId="666E7B89" w14:textId="5F55EECB" w:rsidR="001219F0" w:rsidRPr="00454996" w:rsidRDefault="001219F0" w:rsidP="00DB7120">
      <w:pPr>
        <w:pStyle w:val="MDPI31text"/>
      </w:pPr>
      <w:r w:rsidRPr="00454996">
        <w:t xml:space="preserve">It is possible that during individual coaching sessions, participants may raise issues that are sensitive or are a source of anxiety or concern about their activity, </w:t>
      </w:r>
      <w:proofErr w:type="gramStart"/>
      <w:r w:rsidRPr="00454996">
        <w:t>condition</w:t>
      </w:r>
      <w:proofErr w:type="gramEnd"/>
      <w:r w:rsidRPr="00454996">
        <w:t xml:space="preserve"> or health care. If this happens, the coaches are trained to respond to the situation, which might involve taking a break, stopping the </w:t>
      </w:r>
      <w:proofErr w:type="gramStart"/>
      <w:r w:rsidRPr="00454996">
        <w:t>session</w:t>
      </w:r>
      <w:proofErr w:type="gramEnd"/>
      <w:r w:rsidRPr="00454996">
        <w:t xml:space="preserve"> or referring to your GP. </w:t>
      </w:r>
      <w:r w:rsidRPr="00454996">
        <w:rPr>
          <w:rFonts w:eastAsiaTheme="minorHAnsi"/>
        </w:rPr>
        <w:t>All adverse events will be</w:t>
      </w:r>
      <w:r w:rsidRPr="00454996">
        <w:t xml:space="preserve"> </w:t>
      </w:r>
      <w:r w:rsidRPr="00454996">
        <w:rPr>
          <w:rFonts w:eastAsiaTheme="minorHAnsi"/>
        </w:rPr>
        <w:t>documented, while severe events and adverse reactions will be documented and reported to the steering</w:t>
      </w:r>
      <w:r w:rsidRPr="00454996">
        <w:t xml:space="preserve"> </w:t>
      </w:r>
      <w:r w:rsidRPr="00454996">
        <w:rPr>
          <w:rFonts w:eastAsiaTheme="minorHAnsi"/>
        </w:rPr>
        <w:t>committee and REC. Documentation and records will be maintained and regularly updated on the trial master</w:t>
      </w:r>
      <w:r w:rsidRPr="00454996">
        <w:t xml:space="preserve"> </w:t>
      </w:r>
      <w:r w:rsidRPr="00454996">
        <w:rPr>
          <w:rFonts w:eastAsiaTheme="minorHAnsi"/>
        </w:rPr>
        <w:t xml:space="preserve">file and case report forms. Participants will be rewarded with £10 vouchers for wearing their activity monitors continuously for 7 days at baseline and follow-up. Data collected from patients will be secured and kept safe. </w:t>
      </w:r>
      <w:proofErr w:type="gramStart"/>
      <w:r w:rsidRPr="00454996">
        <w:rPr>
          <w:rFonts w:eastAsiaTheme="minorHAnsi"/>
        </w:rPr>
        <w:t>In order to</w:t>
      </w:r>
      <w:proofErr w:type="gramEnd"/>
      <w:r w:rsidRPr="00454996">
        <w:rPr>
          <w:rFonts w:eastAsiaTheme="minorHAnsi"/>
        </w:rPr>
        <w:t xml:space="preserve"> achieve this,</w:t>
      </w:r>
      <w:r w:rsidRPr="00454996">
        <w:t xml:space="preserve"> </w:t>
      </w:r>
      <w:r w:rsidRPr="00454996">
        <w:rPr>
          <w:rFonts w:eastAsiaTheme="minorHAnsi"/>
        </w:rPr>
        <w:t>measures such as securing documents and hardware in safe storage, encoding information, encrypting data will</w:t>
      </w:r>
      <w:r w:rsidRPr="00454996">
        <w:t xml:space="preserve"> </w:t>
      </w:r>
      <w:r w:rsidRPr="00454996">
        <w:rPr>
          <w:rFonts w:eastAsiaTheme="minorHAnsi"/>
        </w:rPr>
        <w:t>be taken. Informed consent will be sourced and received from participants before including them in the study.</w:t>
      </w:r>
      <w:r w:rsidRPr="00454996">
        <w:t xml:space="preserve"> </w:t>
      </w:r>
      <w:r w:rsidRPr="00454996">
        <w:rPr>
          <w:rFonts w:eastAsiaTheme="minorHAnsi"/>
        </w:rPr>
        <w:t>Their GPs will be informed of their participation once included in the study.</w:t>
      </w:r>
      <w:r w:rsidRPr="00454996">
        <w:t xml:space="preserve"> </w:t>
      </w:r>
      <w:r w:rsidRPr="00454996">
        <w:rPr>
          <w:rFonts w:eastAsiaTheme="minorHAnsi"/>
        </w:rPr>
        <w:t>Participants will be assured of</w:t>
      </w:r>
      <w:r w:rsidRPr="00454996">
        <w:t xml:space="preserve"> </w:t>
      </w:r>
      <w:r w:rsidRPr="00454996">
        <w:rPr>
          <w:rFonts w:eastAsiaTheme="minorHAnsi"/>
        </w:rPr>
        <w:t>confidentiality / anonymity and safety of information and data received. They will be assured that any information</w:t>
      </w:r>
      <w:r w:rsidRPr="00454996">
        <w:t xml:space="preserve"> </w:t>
      </w:r>
      <w:r w:rsidRPr="00454996">
        <w:rPr>
          <w:rFonts w:eastAsiaTheme="minorHAnsi"/>
        </w:rPr>
        <w:t xml:space="preserve">divulged (opinions, </w:t>
      </w:r>
      <w:proofErr w:type="gramStart"/>
      <w:r w:rsidRPr="00454996">
        <w:rPr>
          <w:rFonts w:eastAsiaTheme="minorHAnsi"/>
        </w:rPr>
        <w:t>experiences</w:t>
      </w:r>
      <w:proofErr w:type="gramEnd"/>
      <w:r w:rsidRPr="00454996">
        <w:rPr>
          <w:rFonts w:eastAsiaTheme="minorHAnsi"/>
        </w:rPr>
        <w:t xml:space="preserve"> and perception) will in no way affect their health entitlements and access to</w:t>
      </w:r>
      <w:r w:rsidRPr="00454996">
        <w:t xml:space="preserve"> </w:t>
      </w:r>
      <w:r w:rsidRPr="00454996">
        <w:rPr>
          <w:rFonts w:eastAsiaTheme="minorHAnsi"/>
        </w:rPr>
        <w:t xml:space="preserve">health services. </w:t>
      </w:r>
      <w:r w:rsidR="00492638" w:rsidRPr="00454996">
        <w:rPr>
          <w:rFonts w:eastAsiaTheme="minorHAnsi"/>
        </w:rPr>
        <w:t>Finally,</w:t>
      </w:r>
      <w:r w:rsidRPr="00454996">
        <w:rPr>
          <w:rFonts w:eastAsiaTheme="minorHAnsi"/>
        </w:rPr>
        <w:t xml:space="preserve"> study results will be disseminated to all participants at the end of the project.</w:t>
      </w:r>
    </w:p>
    <w:p w14:paraId="37861717" w14:textId="77777777" w:rsidR="001219F0" w:rsidRPr="00454996" w:rsidRDefault="001219F0" w:rsidP="00DB7120">
      <w:pPr>
        <w:pStyle w:val="MDPI31text"/>
      </w:pPr>
    </w:p>
    <w:p w14:paraId="2E30A71F" w14:textId="77777777" w:rsidR="001219F0" w:rsidRPr="00D572E9" w:rsidRDefault="001219F0" w:rsidP="00DB7120">
      <w:pPr>
        <w:pStyle w:val="MDPI23heading3"/>
      </w:pPr>
      <w:r w:rsidRPr="00D572E9">
        <w:t>Patient and Public Involvement</w:t>
      </w:r>
    </w:p>
    <w:p w14:paraId="1B881AF8" w14:textId="72ED4C09" w:rsidR="001219F0" w:rsidRDefault="00F666E5" w:rsidP="00DB7120">
      <w:pPr>
        <w:pStyle w:val="MDPI31text"/>
      </w:pPr>
      <w:r>
        <w:t>Thi</w:t>
      </w:r>
      <w:r w:rsidR="001219F0" w:rsidRPr="00D572E9">
        <w:t>s study proposes to set up an advisory group with support from the Service User and Carer Involvement team in CPFT to inform the design of participants' information sheet, and consent forms. PPI will also help with recruitment and retention strategies. In addition, PPI will be involved in the dissemination throughout the study using social media, conference and co-writing repor</w:t>
      </w:r>
      <w:r w:rsidR="001219F0">
        <w:t>ts / peer-reviewed publication.</w:t>
      </w:r>
    </w:p>
    <w:p w14:paraId="4F7F533E" w14:textId="77777777" w:rsidR="001219F0" w:rsidRPr="00D572E9" w:rsidRDefault="001219F0" w:rsidP="00DB7120">
      <w:pPr>
        <w:spacing w:line="360" w:lineRule="auto"/>
        <w:rPr>
          <w:rFonts w:ascii="Arial" w:hAnsi="Arial"/>
        </w:rPr>
      </w:pPr>
    </w:p>
    <w:p w14:paraId="62A93F5F" w14:textId="77777777" w:rsidR="001219F0" w:rsidRDefault="00876346" w:rsidP="00DB7120">
      <w:pPr>
        <w:pStyle w:val="MDPI21heading1"/>
      </w:pPr>
      <w:r>
        <w:t xml:space="preserve">3.  </w:t>
      </w:r>
      <w:r w:rsidR="004F02D7" w:rsidRPr="00876346">
        <w:t>Discussion</w:t>
      </w:r>
    </w:p>
    <w:p w14:paraId="68C53363" w14:textId="69E0F731" w:rsidR="00876346" w:rsidRDefault="00ED6FC1" w:rsidP="008262F9">
      <w:pPr>
        <w:pStyle w:val="MDPI31text"/>
      </w:pPr>
      <w:r>
        <w:t>Th</w:t>
      </w:r>
      <w:r w:rsidR="0021275E">
        <w:t xml:space="preserve">is </w:t>
      </w:r>
      <w:r>
        <w:t>st</w:t>
      </w:r>
      <w:r w:rsidR="0009714B">
        <w:t>udy</w:t>
      </w:r>
      <w:r w:rsidR="0009714B" w:rsidRPr="00D572E9">
        <w:t xml:space="preserve"> aims</w:t>
      </w:r>
      <w:r w:rsidR="0009714B">
        <w:t xml:space="preserve"> to test the feasibility and acceptability of online coaching as an intervention to reduce sedentary activity in older people living with mild cognitive impairment. If successful, a larger </w:t>
      </w:r>
      <w:r w:rsidR="0009714B" w:rsidRPr="00D572E9">
        <w:t>trial will be</w:t>
      </w:r>
      <w:r w:rsidR="0009714B">
        <w:t xml:space="preserve"> conducted to ascertain </w:t>
      </w:r>
      <w:proofErr w:type="gramStart"/>
      <w:r w:rsidR="0009714B" w:rsidRPr="00D572E9">
        <w:t>whether</w:t>
      </w:r>
      <w:r w:rsidR="0009714B">
        <w:t xml:space="preserve"> or not</w:t>
      </w:r>
      <w:proofErr w:type="gramEnd"/>
      <w:r w:rsidR="0009714B" w:rsidRPr="00D572E9">
        <w:t xml:space="preserve"> </w:t>
      </w:r>
      <w:r w:rsidR="0009714B">
        <w:t>the WALC-R</w:t>
      </w:r>
      <w:r w:rsidR="0009714B" w:rsidRPr="00D572E9">
        <w:t xml:space="preserve"> intervention compared with providing information about physical activity c</w:t>
      </w:r>
      <w:r w:rsidR="0009714B">
        <w:t>ould</w:t>
      </w:r>
      <w:r w:rsidR="0009714B" w:rsidRPr="00D572E9">
        <w:t xml:space="preserve"> improve </w:t>
      </w:r>
      <w:r w:rsidR="0009714B">
        <w:t xml:space="preserve">the </w:t>
      </w:r>
      <w:r w:rsidR="0009714B" w:rsidRPr="00D572E9">
        <w:t xml:space="preserve">cognitive function in older </w:t>
      </w:r>
      <w:r w:rsidR="0009714B">
        <w:t>adults with Mild Cognitive Impairment</w:t>
      </w:r>
      <w:r w:rsidR="0009714B" w:rsidRPr="00D572E9">
        <w:t>.</w:t>
      </w:r>
      <w:r w:rsidR="0009714B">
        <w:t xml:space="preserve"> </w:t>
      </w:r>
      <w:r w:rsidR="00B16167">
        <w:t xml:space="preserve">The use of digital </w:t>
      </w:r>
      <w:proofErr w:type="spellStart"/>
      <w:r w:rsidR="00B16167">
        <w:t>behavioural</w:t>
      </w:r>
      <w:proofErr w:type="spellEnd"/>
      <w:r w:rsidR="00B16167">
        <w:t xml:space="preserve"> change intervention (DBCI) has become pertinent, given the COVID pandemic and distancing rules society is facing. However, digital health interventions are not without challenges such as inequality of access and complexity of delivery. Our intervention addresses some of these challenges by delivering a simple, tried and tested intervention (WALC) using personalized coaching via internet video chat. Although we cannot totally ameliorate the issue of digital exclusion, participants who have access to digital device and internet will only require basic skills such as checking and writing an email to be able to participate. Support will be available for participants </w:t>
      </w:r>
      <w:r w:rsidR="007B5DE0">
        <w:t>interested but</w:t>
      </w:r>
      <w:r w:rsidR="00B16167">
        <w:t xml:space="preserve"> have difficulty with the minimum required computer skills. Finally, s</w:t>
      </w:r>
      <w:r w:rsidR="0009714B">
        <w:t xml:space="preserve">tudies on the potentially modifiable risk factors for cognitive decline are important given the challenge presented by the rise in dementia prevalence in most regions of the globe </w:t>
      </w:r>
      <w:r w:rsidR="0009714B">
        <w:fldChar w:fldCharType="begin" w:fldLock="1"/>
      </w:r>
      <w:r w:rsidR="0009714B">
        <w:instrText>ADDIN CSL_CITATION {"citationItems":[{"id":"ITEM-1","itemData":{"DOI":"10.1371/journal.pmed.1002275","ISSN":"15491676","author":[{"dropping-particle":"","family":"Brayne","given":"Carol","non-dropping-particle":"","parse-names":false,"suffix":""},{"dropping-particle":"","family":"Miller","given":"Bruce","non-dropping-particle":"","parse-names":false,"suffix":""}],"container-title":"PLoS Medicine","id":"ITEM-1","issued":{"date-parts":[["2017"]]},"title":"Dementia and aging populations—A global priority for contextualized research and health policy","type":"article"},"uris":["http://www.mendeley.com/documents/?uuid=3f8957b3-60a6-4e65-bdcf-174376939c0b"]}],"mendeley":{"formattedCitation":"(Brayne &amp; Miller, 2017)","plainTextFormattedCitation":"(Brayne &amp; Miller, 2017)","previouslyFormattedCitation":"(Brayne &amp; Miller, 2017)"},"properties":{"noteIndex":0},"schema":"https://github.com/citation-style-language/schema/raw/master/csl-citation.json"}</w:instrText>
      </w:r>
      <w:r w:rsidR="0009714B">
        <w:fldChar w:fldCharType="separate"/>
      </w:r>
      <w:r w:rsidR="0009714B" w:rsidRPr="00DD5CF6">
        <w:rPr>
          <w:noProof/>
        </w:rPr>
        <w:t>(Brayne &amp; Miller, 2017)</w:t>
      </w:r>
      <w:r w:rsidR="0009714B">
        <w:fldChar w:fldCharType="end"/>
      </w:r>
      <w:r w:rsidR="0009714B">
        <w:t xml:space="preserve">. </w:t>
      </w:r>
      <w:proofErr w:type="spellStart"/>
      <w:r w:rsidR="00B16167">
        <w:t>B</w:t>
      </w:r>
      <w:r w:rsidR="0009714B">
        <w:t>ehavioural</w:t>
      </w:r>
      <w:proofErr w:type="spellEnd"/>
      <w:r w:rsidR="0009714B">
        <w:t xml:space="preserve"> risk reduction has an important role to play in dementia prevention research and public health agenda </w:t>
      </w:r>
      <w:r w:rsidR="0009714B">
        <w:fldChar w:fldCharType="begin" w:fldLock="1"/>
      </w:r>
      <w:r w:rsidR="00B90334">
        <w:instrText>ADDIN CSL_CITATION {"citationItems":[{"id":"ITEM-1","itemData":{"DOI":"10.1016/j.trci.2015.08.003","ISSN":"23528737","abstract":"© 2015 The Authors. Published by Elsevier Inc. Introduction Globally, dementia is the most frequent form of degenerative condition in the older adult population and poses a major health burden with high socioeconomic costs. So far, attempts to find pharmacologic interventions that can change the onset or progression of dementia have been largely unsuccessful, prompting a shift to focus on interventions aimed at modifying risk factors that occur throughout the life course. Methods The Cognitive Function and Ageing Studies, funded by the Medical Research Council, UK, convened three multidisciplinary groups of experts, expert witnesses, and advocates to discuss the state of evidence on primary, secondary, and tertiary dementia prevention and recommend future direction for intervention studies. Results Using the United Kingdom Parliamentary Select Committees' approach to gathering evidence, the primary prevention working group focused their deliberation on risk factors strongly associated with dementia. The group highlighted the need for high-quality studies to assess the effects of behavioral intervention on the delay of cognitive decline and dementia onset. Discussion The working group recommended that the development of a future dementia prevention trial should use a multimodal, multifactor, multilevel, community and individually tailored approach.","author":[{"dropping-particle":"","family":"Olanrewaju","given":"O.","non-dropping-particle":"","parse-names":false,"suffix":""},{"dropping-particle":"","family":"Clare","given":"L.","non-dropping-particle":"","parse-names":false,"suffix":""},{"dropping-particle":"","family":"Barnes","given":"L.","non-dropping-particle":"","parse-names":false,"suffix":""},{"dropping-particle":"","family":"Brayne","given":"C.","non-dropping-particle":"","parse-names":false,"suffix":""}],"container-title":"Alzheimer's and Dementia: Translational Research and Clinical Interventions","id":"ITEM-1","issue":"3","issued":{"date-parts":[["2015"]]},"title":"A multimodal approach to dementia prevention: A report from the Cambridge Institute of Public Health","type":"article-journal","volume":"1"},"uris":["http://www.mendeley.com/documents/?uuid=0e7bfedd-3fcb-37b3-b92e-6ca3c135b410"]}],"mendeley":{"formattedCitation":"(O. Olanrewaju, Clare, Barnes, &amp; Brayne, 2015)","plainTextFormattedCitation":"(O. Olanrewaju, Clare, Barnes, &amp; Brayne, 2015)","previouslyFormattedCitation":"(O. Olanrewaju, Clare, Barnes, &amp; Brayne, 2015)"},"properties":{"noteIndex":0},"schema":"https://github.com/citation-style-language/schema/raw/master/csl-citation.json"}</w:instrText>
      </w:r>
      <w:r w:rsidR="0009714B">
        <w:fldChar w:fldCharType="separate"/>
      </w:r>
      <w:r w:rsidR="0009714B" w:rsidRPr="0009714B">
        <w:rPr>
          <w:noProof/>
        </w:rPr>
        <w:t>(O. Olanrewaju, Clare, Barnes, &amp; Brayne, 2015)</w:t>
      </w:r>
      <w:r w:rsidR="0009714B">
        <w:fldChar w:fldCharType="end"/>
      </w:r>
      <w:r w:rsidR="0009714B">
        <w:t>.</w:t>
      </w:r>
    </w:p>
    <w:p w14:paraId="70513BF9" w14:textId="51EC7AAB" w:rsidR="00876346" w:rsidRDefault="001707F0" w:rsidP="00DB7120">
      <w:pPr>
        <w:pStyle w:val="MDPI21heading1"/>
      </w:pPr>
      <w:r>
        <w:t>Acknowledgment</w:t>
      </w:r>
    </w:p>
    <w:p w14:paraId="782AC07E" w14:textId="3D54F053" w:rsidR="001707F0" w:rsidRDefault="001707F0" w:rsidP="00DB7120">
      <w:pPr>
        <w:pStyle w:val="MDPI31text"/>
      </w:pPr>
      <w:r>
        <w:t xml:space="preserve">Pedometers used in this study were purchased with grant awarded to the primary author by the Addenbrookes Charitable Trust (900279). </w:t>
      </w:r>
      <w:r w:rsidR="00510B08">
        <w:t>Small pump priming grant was awarded by the Alzheimer’s Research UK-East Network Centre to assist with other research costs.</w:t>
      </w:r>
    </w:p>
    <w:p w14:paraId="481C11F4" w14:textId="002E765C" w:rsidR="001707F0" w:rsidRDefault="001707F0" w:rsidP="00DB7120">
      <w:pPr>
        <w:pStyle w:val="MDPI21heading1"/>
      </w:pPr>
    </w:p>
    <w:p w14:paraId="7776A595" w14:textId="77777777" w:rsidR="00876346" w:rsidRDefault="00876346" w:rsidP="00DB7120">
      <w:pPr>
        <w:pStyle w:val="MDPI21heading1"/>
      </w:pPr>
    </w:p>
    <w:p w14:paraId="1DBB3526" w14:textId="77777777" w:rsidR="00876346" w:rsidRDefault="00876346" w:rsidP="00DB7120">
      <w:pPr>
        <w:pStyle w:val="MDPI21heading1"/>
      </w:pPr>
    </w:p>
    <w:p w14:paraId="31F2BB90" w14:textId="77777777" w:rsidR="00876346" w:rsidRDefault="00876346" w:rsidP="00DB7120">
      <w:pPr>
        <w:pStyle w:val="MDPI21heading1"/>
      </w:pPr>
    </w:p>
    <w:p w14:paraId="48124519" w14:textId="77777777" w:rsidR="00876346" w:rsidRDefault="00876346" w:rsidP="00DB7120">
      <w:pPr>
        <w:pStyle w:val="MDPI21heading1"/>
      </w:pPr>
    </w:p>
    <w:p w14:paraId="7FF1BC5A" w14:textId="0290E35E" w:rsidR="00876346" w:rsidRDefault="00876346" w:rsidP="00DB7120">
      <w:pPr>
        <w:pStyle w:val="MDPI21heading1"/>
      </w:pPr>
    </w:p>
    <w:p w14:paraId="484BD190" w14:textId="77777777" w:rsidR="00F666E5" w:rsidRDefault="00F666E5" w:rsidP="00DB7120">
      <w:pPr>
        <w:pStyle w:val="MDPI21heading1"/>
      </w:pPr>
    </w:p>
    <w:p w14:paraId="77D3B497" w14:textId="77777777" w:rsidR="0046726B" w:rsidRPr="00D80609" w:rsidRDefault="0046726B" w:rsidP="00DB7120">
      <w:pPr>
        <w:pStyle w:val="MDPI21heading1"/>
        <w:numPr>
          <w:ilvl w:val="0"/>
          <w:numId w:val="11"/>
        </w:numPr>
      </w:pPr>
      <w:r w:rsidRPr="00876346">
        <w:t>References</w:t>
      </w:r>
    </w:p>
    <w:p w14:paraId="17B76A0A" w14:textId="5BF88A65" w:rsidR="003A78C5" w:rsidRPr="003A78C5" w:rsidRDefault="00274AEF" w:rsidP="003A78C5">
      <w:pPr>
        <w:widowControl w:val="0"/>
        <w:autoSpaceDE w:val="0"/>
        <w:autoSpaceDN w:val="0"/>
        <w:adjustRightInd w:val="0"/>
        <w:spacing w:line="240" w:lineRule="atLeast"/>
        <w:ind w:left="480" w:hanging="480"/>
        <w:rPr>
          <w:rFonts w:ascii="Palatino Linotype" w:hAnsi="Palatino Linotype"/>
          <w:noProof/>
          <w:sz w:val="18"/>
        </w:rPr>
      </w:pPr>
      <w:r>
        <w:fldChar w:fldCharType="begin" w:fldLock="1"/>
      </w:r>
      <w:r>
        <w:instrText xml:space="preserve">ADDIN Mendeley Bibliography CSL_BIBLIOGRAPHY </w:instrText>
      </w:r>
      <w:r>
        <w:fldChar w:fldCharType="separate"/>
      </w:r>
      <w:r w:rsidR="003A78C5" w:rsidRPr="003A78C5">
        <w:rPr>
          <w:rFonts w:ascii="Palatino Linotype" w:hAnsi="Palatino Linotype"/>
          <w:noProof/>
          <w:sz w:val="18"/>
        </w:rPr>
        <w:t xml:space="preserve">Aunger, J. A., Doody, P., &amp; Greig, C. A. (2018). Interventions targeting sedentary behavior in non-working older adults: a systematic review. </w:t>
      </w:r>
      <w:r w:rsidR="003A78C5" w:rsidRPr="003A78C5">
        <w:rPr>
          <w:rFonts w:ascii="Palatino Linotype" w:hAnsi="Palatino Linotype"/>
          <w:i/>
          <w:iCs/>
          <w:noProof/>
          <w:sz w:val="18"/>
        </w:rPr>
        <w:t>MATURITAS</w:t>
      </w:r>
      <w:r w:rsidR="003A78C5" w:rsidRPr="003A78C5">
        <w:rPr>
          <w:rFonts w:ascii="Palatino Linotype" w:hAnsi="Palatino Linotype"/>
          <w:noProof/>
          <w:sz w:val="18"/>
        </w:rPr>
        <w:t xml:space="preserve">, </w:t>
      </w:r>
      <w:r w:rsidR="003A78C5" w:rsidRPr="003A78C5">
        <w:rPr>
          <w:rFonts w:ascii="Palatino Linotype" w:hAnsi="Palatino Linotype"/>
          <w:i/>
          <w:iCs/>
          <w:noProof/>
          <w:sz w:val="18"/>
        </w:rPr>
        <w:t>116</w:t>
      </w:r>
      <w:r w:rsidR="003A78C5" w:rsidRPr="003A78C5">
        <w:rPr>
          <w:rFonts w:ascii="Palatino Linotype" w:hAnsi="Palatino Linotype"/>
          <w:noProof/>
          <w:sz w:val="18"/>
        </w:rPr>
        <w:t>, 89–99. https://doi.org/10.1016/j.maturitas.2018.08.002</w:t>
      </w:r>
    </w:p>
    <w:p w14:paraId="726BB33C"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Beebe, L. H., &amp; Smith, K. (2010). Feasibility of the Walk, Address, Learn and Cue (WALC) Intervention for Schizophrenia Spectrum Disorders. </w:t>
      </w:r>
      <w:r w:rsidRPr="003A78C5">
        <w:rPr>
          <w:rFonts w:ascii="Palatino Linotype" w:hAnsi="Palatino Linotype"/>
          <w:i/>
          <w:iCs/>
          <w:noProof/>
          <w:sz w:val="18"/>
        </w:rPr>
        <w:t>Archives of Psychiatric Nursing</w:t>
      </w:r>
      <w:r w:rsidRPr="003A78C5">
        <w:rPr>
          <w:rFonts w:ascii="Palatino Linotype" w:hAnsi="Palatino Linotype"/>
          <w:noProof/>
          <w:sz w:val="18"/>
        </w:rPr>
        <w:t>. https://doi.org/10.1016/j.apnu.2009.03.001</w:t>
      </w:r>
    </w:p>
    <w:p w14:paraId="28C7E814"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Biswas, A., &amp; Alter, D. A. (2015, June). Sedentary Time and Risk for Mortality. </w:t>
      </w:r>
      <w:r w:rsidRPr="003A78C5">
        <w:rPr>
          <w:rFonts w:ascii="Palatino Linotype" w:hAnsi="Palatino Linotype"/>
          <w:i/>
          <w:iCs/>
          <w:noProof/>
          <w:sz w:val="18"/>
        </w:rPr>
        <w:t>Annals of Internal Medicine</w:t>
      </w:r>
      <w:r w:rsidRPr="003A78C5">
        <w:rPr>
          <w:rFonts w:ascii="Palatino Linotype" w:hAnsi="Palatino Linotype"/>
          <w:noProof/>
          <w:sz w:val="18"/>
        </w:rPr>
        <w:t>. United States. https://doi.org/10.7326/L15-5060-2</w:t>
      </w:r>
    </w:p>
    <w:p w14:paraId="181F14AB"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Blackburn, N. E., Wilson, J. J., McMullan, I. I., Caserotti, P., Giné-Garriga, M., Wirth, K., … Tully, M. A. (2020). The effectiveness and complexity of interventions targeting sedentary behaviour across the lifespan: A systematic review and meta-analysis. </w:t>
      </w:r>
      <w:r w:rsidRPr="003A78C5">
        <w:rPr>
          <w:rFonts w:ascii="Palatino Linotype" w:hAnsi="Palatino Linotype"/>
          <w:i/>
          <w:iCs/>
          <w:noProof/>
          <w:sz w:val="18"/>
        </w:rPr>
        <w:t>International Journal of Behavioral Nutrition and Physical Activity</w:t>
      </w:r>
      <w:r w:rsidRPr="003A78C5">
        <w:rPr>
          <w:rFonts w:ascii="Palatino Linotype" w:hAnsi="Palatino Linotype"/>
          <w:noProof/>
          <w:sz w:val="18"/>
        </w:rPr>
        <w:t>. https://doi.org/10.1186/s12966-020-00957-0</w:t>
      </w:r>
    </w:p>
    <w:p w14:paraId="7B68AFF2"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Brayne, C., &amp; Miller, B. (2017). Dementia and aging populations—A global priority for contextualized research and health policy. </w:t>
      </w:r>
      <w:r w:rsidRPr="003A78C5">
        <w:rPr>
          <w:rFonts w:ascii="Palatino Linotype" w:hAnsi="Palatino Linotype"/>
          <w:i/>
          <w:iCs/>
          <w:noProof/>
          <w:sz w:val="18"/>
        </w:rPr>
        <w:t>PLoS Medicine</w:t>
      </w:r>
      <w:r w:rsidRPr="003A78C5">
        <w:rPr>
          <w:rFonts w:ascii="Palatino Linotype" w:hAnsi="Palatino Linotype"/>
          <w:noProof/>
          <w:sz w:val="18"/>
        </w:rPr>
        <w:t>. https://doi.org/10.1371/journal.pmed.1002275</w:t>
      </w:r>
    </w:p>
    <w:p w14:paraId="7A32D038"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Bright, P., Jaldow, E., &amp; Kopelman, M. D. (2002). The National Adult Reading Test as a measure of premorbid intelligence: A comparison with estimates derived from demographic variables. </w:t>
      </w:r>
      <w:r w:rsidRPr="003A78C5">
        <w:rPr>
          <w:rFonts w:ascii="Palatino Linotype" w:hAnsi="Palatino Linotype"/>
          <w:i/>
          <w:iCs/>
          <w:noProof/>
          <w:sz w:val="18"/>
        </w:rPr>
        <w:t>Journal of the International Neuropsychological Society</w:t>
      </w:r>
      <w:r w:rsidRPr="003A78C5">
        <w:rPr>
          <w:rFonts w:ascii="Palatino Linotype" w:hAnsi="Palatino Linotype"/>
          <w:noProof/>
          <w:sz w:val="18"/>
        </w:rPr>
        <w:t>. https://doi.org/10.1017/S1355617702860131</w:t>
      </w:r>
    </w:p>
    <w:p w14:paraId="0A6AF78C"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Edwardson, C. L., Winkler, E. A. H., Bodicoat, D. H., Yates, T., Davies, M. J., Dunstan, D. W., &amp; Healy, G. N. (2017). Considerations when using the activPAL monitor in field-based research with adult populations. </w:t>
      </w:r>
      <w:r w:rsidRPr="003A78C5">
        <w:rPr>
          <w:rFonts w:ascii="Palatino Linotype" w:hAnsi="Palatino Linotype"/>
          <w:i/>
          <w:iCs/>
          <w:noProof/>
          <w:sz w:val="18"/>
        </w:rPr>
        <w:t>Journal of Sport and Health Science</w:t>
      </w:r>
      <w:r w:rsidRPr="003A78C5">
        <w:rPr>
          <w:rFonts w:ascii="Palatino Linotype" w:hAnsi="Palatino Linotype"/>
          <w:noProof/>
          <w:sz w:val="18"/>
        </w:rPr>
        <w:t>. https://doi.org/10.1016/j.jshs.2016.02.002</w:t>
      </w:r>
    </w:p>
    <w:p w14:paraId="44A76B6F"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Eldridge, S. M., Chan, C. L., Campbell, M. J., Bond, C. M., Hopewell, S., Thabane, L., … Tugwell, P. (2016). CONSORT 2010 statement: Extension to randomised pilot and feasibility trials. </w:t>
      </w:r>
      <w:r w:rsidRPr="003A78C5">
        <w:rPr>
          <w:rFonts w:ascii="Palatino Linotype" w:hAnsi="Palatino Linotype"/>
          <w:i/>
          <w:iCs/>
          <w:noProof/>
          <w:sz w:val="18"/>
        </w:rPr>
        <w:t>Pilot and Feasibility Studies</w:t>
      </w:r>
      <w:r w:rsidRPr="003A78C5">
        <w:rPr>
          <w:rFonts w:ascii="Palatino Linotype" w:hAnsi="Palatino Linotype"/>
          <w:noProof/>
          <w:sz w:val="18"/>
        </w:rPr>
        <w:t>. https://doi.org/10.1186/s40814-016-0105-8</w:t>
      </w:r>
    </w:p>
    <w:p w14:paraId="65D1564A"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Falck, R. S., Landry, G. J., Best, J. R., Davis, J. C., Chiu, B. K., &amp; Liu-Ambrose, T. (2017). Cross-Sectional Relationships of Physical Activity and Sedentary Behavior With Cognitive Function in Older Adults With Probable Mild Cognitive Impairment. </w:t>
      </w:r>
      <w:r w:rsidRPr="003A78C5">
        <w:rPr>
          <w:rFonts w:ascii="Palatino Linotype" w:hAnsi="Palatino Linotype"/>
          <w:i/>
          <w:iCs/>
          <w:noProof/>
          <w:sz w:val="18"/>
        </w:rPr>
        <w:t>Phys Ther</w:t>
      </w:r>
      <w:r w:rsidRPr="003A78C5">
        <w:rPr>
          <w:rFonts w:ascii="Palatino Linotype" w:hAnsi="Palatino Linotype"/>
          <w:noProof/>
          <w:sz w:val="18"/>
        </w:rPr>
        <w:t xml:space="preserve">, </w:t>
      </w:r>
      <w:r w:rsidRPr="003A78C5">
        <w:rPr>
          <w:rFonts w:ascii="Palatino Linotype" w:hAnsi="Palatino Linotype"/>
          <w:i/>
          <w:iCs/>
          <w:noProof/>
          <w:sz w:val="18"/>
        </w:rPr>
        <w:t>97</w:t>
      </w:r>
      <w:r w:rsidRPr="003A78C5">
        <w:rPr>
          <w:rFonts w:ascii="Palatino Linotype" w:hAnsi="Palatino Linotype"/>
          <w:noProof/>
          <w:sz w:val="18"/>
        </w:rPr>
        <w:t>(10), 975–984. https://doi.org/10.1093/ptj/pzx074</w:t>
      </w:r>
    </w:p>
    <w:p w14:paraId="2AE85456"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French, D. P., Olander, E. K., Chisholm, A., &amp; Mc Sharry, J. (2014). Which Behaviour Change Techniques Are Most Effective at Increasing Older Adults’ Self-Efficacy and Physical Activity Behaviour? A Systematic Review. </w:t>
      </w:r>
      <w:r w:rsidRPr="003A78C5">
        <w:rPr>
          <w:rFonts w:ascii="Palatino Linotype" w:hAnsi="Palatino Linotype"/>
          <w:i/>
          <w:iCs/>
          <w:noProof/>
          <w:sz w:val="18"/>
        </w:rPr>
        <w:t>Annals of Behavioral Medicine</w:t>
      </w:r>
      <w:r w:rsidRPr="003A78C5">
        <w:rPr>
          <w:rFonts w:ascii="Palatino Linotype" w:hAnsi="Palatino Linotype"/>
          <w:noProof/>
          <w:sz w:val="18"/>
        </w:rPr>
        <w:t>. https://doi.org/10.1007/s12160-014-9593-z</w:t>
      </w:r>
    </w:p>
    <w:p w14:paraId="2DF83FF5"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Gardner, B., Smith, L., Lorencatto, F., Hamer, M., &amp; Biddle, S. J. H. (2016). How to reduce sitting time? A review of behaviour change strategies used in sedentary behaviour reduction interventions among adults. </w:t>
      </w:r>
      <w:r w:rsidRPr="003A78C5">
        <w:rPr>
          <w:rFonts w:ascii="Palatino Linotype" w:hAnsi="Palatino Linotype"/>
          <w:i/>
          <w:iCs/>
          <w:noProof/>
          <w:sz w:val="18"/>
        </w:rPr>
        <w:t>Health Psychology Review</w:t>
      </w:r>
      <w:r w:rsidRPr="003A78C5">
        <w:rPr>
          <w:rFonts w:ascii="Palatino Linotype" w:hAnsi="Palatino Linotype"/>
          <w:noProof/>
          <w:sz w:val="18"/>
        </w:rPr>
        <w:t xml:space="preserve">, </w:t>
      </w:r>
      <w:r w:rsidRPr="003A78C5">
        <w:rPr>
          <w:rFonts w:ascii="Palatino Linotype" w:hAnsi="Palatino Linotype"/>
          <w:i/>
          <w:iCs/>
          <w:noProof/>
          <w:sz w:val="18"/>
        </w:rPr>
        <w:t>10</w:t>
      </w:r>
      <w:r w:rsidRPr="003A78C5">
        <w:rPr>
          <w:rFonts w:ascii="Palatino Linotype" w:hAnsi="Palatino Linotype"/>
          <w:noProof/>
          <w:sz w:val="18"/>
        </w:rPr>
        <w:t>(1). https://doi.org/10.1080/17437199.2015.1082146</w:t>
      </w:r>
    </w:p>
    <w:p w14:paraId="27BA763E"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lastRenderedPageBreak/>
        <w:t xml:space="preserve">Giné-Garriga, M., Sansano-Nadal, O., Tully, M. A., Caserotti, P., Coll-Planas, L., Rothenbacher, D., … Roqué-i-Figuls, M. (2020). Accelerometer-Measured Sedentary and Physical Activity Time and Their Correlates in European Older Adults: The SITLESS Study. </w:t>
      </w:r>
      <w:r w:rsidRPr="003A78C5">
        <w:rPr>
          <w:rFonts w:ascii="Palatino Linotype" w:hAnsi="Palatino Linotype"/>
          <w:i/>
          <w:iCs/>
          <w:noProof/>
          <w:sz w:val="18"/>
        </w:rPr>
        <w:t>The Journals of Gerontology: Series A</w:t>
      </w:r>
      <w:r w:rsidRPr="003A78C5">
        <w:rPr>
          <w:rFonts w:ascii="Palatino Linotype" w:hAnsi="Palatino Linotype"/>
          <w:noProof/>
          <w:sz w:val="18"/>
        </w:rPr>
        <w:t>. https://doi.org/10.1093/gerona/glaa016</w:t>
      </w:r>
    </w:p>
    <w:p w14:paraId="3756F301"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Green, M., &amp; Rossall, P. (2018). Digital inclusion evidence review. </w:t>
      </w:r>
      <w:r w:rsidRPr="003A78C5">
        <w:rPr>
          <w:rFonts w:ascii="Palatino Linotype" w:hAnsi="Palatino Linotype"/>
          <w:i/>
          <w:iCs/>
          <w:noProof/>
          <w:sz w:val="18"/>
        </w:rPr>
        <w:t>Age UK Digital Inclusion Evidence Report</w:t>
      </w:r>
      <w:r w:rsidRPr="003A78C5">
        <w:rPr>
          <w:rFonts w:ascii="Palatino Linotype" w:hAnsi="Palatino Linotype"/>
          <w:noProof/>
          <w:sz w:val="18"/>
        </w:rPr>
        <w:t>.</w:t>
      </w:r>
    </w:p>
    <w:p w14:paraId="1DB535F9"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Gulliford, M., &amp; Alageel, S. (2019). Digital health intervention at older ages. </w:t>
      </w:r>
      <w:r w:rsidRPr="003A78C5">
        <w:rPr>
          <w:rFonts w:ascii="Palatino Linotype" w:hAnsi="Palatino Linotype"/>
          <w:i/>
          <w:iCs/>
          <w:noProof/>
          <w:sz w:val="18"/>
        </w:rPr>
        <w:t>The Lancet Digital Health</w:t>
      </w:r>
      <w:r w:rsidRPr="003A78C5">
        <w:rPr>
          <w:rFonts w:ascii="Palatino Linotype" w:hAnsi="Palatino Linotype"/>
          <w:noProof/>
          <w:sz w:val="18"/>
        </w:rPr>
        <w:t>. https://doi.org/10.1016/S2589-7500(19)30194-3</w:t>
      </w:r>
    </w:p>
    <w:p w14:paraId="4BE4454F"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Harvey, J. A., Chastin, S. F. M., &amp; Skelton, D. A. (2015). How sedentary are older people? A systematic review of the amount of sedentary behavior. </w:t>
      </w:r>
      <w:r w:rsidRPr="003A78C5">
        <w:rPr>
          <w:rFonts w:ascii="Palatino Linotype" w:hAnsi="Palatino Linotype"/>
          <w:i/>
          <w:iCs/>
          <w:noProof/>
          <w:sz w:val="18"/>
        </w:rPr>
        <w:t>Journal of Aging and Physical Activity</w:t>
      </w:r>
      <w:r w:rsidRPr="003A78C5">
        <w:rPr>
          <w:rFonts w:ascii="Palatino Linotype" w:hAnsi="Palatino Linotype"/>
          <w:noProof/>
          <w:sz w:val="18"/>
        </w:rPr>
        <w:t>. https://doi.org/10.1123/japa.2014-0164</w:t>
      </w:r>
    </w:p>
    <w:p w14:paraId="0F43B5DA"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Janssen, M. F., Pickard, A. S., Golicki, D., Gudex, C., Niewada, M., Scalone, L., … Busschbach, J. (2013). Measurement properties of the EQ-5D-5L compared to the EQ-5D-3L across eight patient  groups: a multi-country study. </w:t>
      </w:r>
      <w:r w:rsidRPr="003A78C5">
        <w:rPr>
          <w:rFonts w:ascii="Palatino Linotype" w:hAnsi="Palatino Linotype"/>
          <w:i/>
          <w:iCs/>
          <w:noProof/>
          <w:sz w:val="18"/>
        </w:rPr>
        <w:t>Quality of Life Research</w:t>
      </w:r>
      <w:r w:rsidRPr="003A78C5">
        <w:rPr>
          <w:i/>
          <w:iCs/>
          <w:noProof/>
          <w:sz w:val="18"/>
        </w:rPr>
        <w:t> </w:t>
      </w:r>
      <w:r w:rsidRPr="003A78C5">
        <w:rPr>
          <w:rFonts w:ascii="Palatino Linotype" w:hAnsi="Palatino Linotype"/>
          <w:i/>
          <w:iCs/>
          <w:noProof/>
          <w:sz w:val="18"/>
        </w:rPr>
        <w:t>: An International Journal of Quality of Life Aspects of  Treatment, Care and Rehabilitation</w:t>
      </w:r>
      <w:r w:rsidRPr="003A78C5">
        <w:rPr>
          <w:rFonts w:ascii="Palatino Linotype" w:hAnsi="Palatino Linotype"/>
          <w:noProof/>
          <w:sz w:val="18"/>
        </w:rPr>
        <w:t xml:space="preserve">, </w:t>
      </w:r>
      <w:r w:rsidRPr="003A78C5">
        <w:rPr>
          <w:rFonts w:ascii="Palatino Linotype" w:hAnsi="Palatino Linotype"/>
          <w:i/>
          <w:iCs/>
          <w:noProof/>
          <w:sz w:val="18"/>
        </w:rPr>
        <w:t>22</w:t>
      </w:r>
      <w:r w:rsidRPr="003A78C5">
        <w:rPr>
          <w:rFonts w:ascii="Palatino Linotype" w:hAnsi="Palatino Linotype"/>
          <w:noProof/>
          <w:sz w:val="18"/>
        </w:rPr>
        <w:t>(7), 1717–1727. https://doi.org/10.1007/s11136-012-0322-4</w:t>
      </w:r>
    </w:p>
    <w:p w14:paraId="33A430FB"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Julious, S. A. (2005). Sample size of 12 per group rule of thumb for a pilot study. </w:t>
      </w:r>
      <w:r w:rsidRPr="003A78C5">
        <w:rPr>
          <w:rFonts w:ascii="Palatino Linotype" w:hAnsi="Palatino Linotype"/>
          <w:i/>
          <w:iCs/>
          <w:noProof/>
          <w:sz w:val="18"/>
        </w:rPr>
        <w:t>Pharmaceutical Statistics</w:t>
      </w:r>
      <w:r w:rsidRPr="003A78C5">
        <w:rPr>
          <w:rFonts w:ascii="Palatino Linotype" w:hAnsi="Palatino Linotype"/>
          <w:noProof/>
          <w:sz w:val="18"/>
        </w:rPr>
        <w:t>. https://doi.org/10.1002/pst.185</w:t>
      </w:r>
    </w:p>
    <w:p w14:paraId="3CF7DD48"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Lancaster, G. A., Dodd, S., &amp; Williamson, P. R. (2004). Design and analysis of pilot studies: Recommendations for good practice. </w:t>
      </w:r>
      <w:r w:rsidRPr="003A78C5">
        <w:rPr>
          <w:rFonts w:ascii="Palatino Linotype" w:hAnsi="Palatino Linotype"/>
          <w:i/>
          <w:iCs/>
          <w:noProof/>
          <w:sz w:val="18"/>
        </w:rPr>
        <w:t>Journal of Evaluation in Clinical Practice</w:t>
      </w:r>
      <w:r w:rsidRPr="003A78C5">
        <w:rPr>
          <w:rFonts w:ascii="Palatino Linotype" w:hAnsi="Palatino Linotype"/>
          <w:noProof/>
          <w:sz w:val="18"/>
        </w:rPr>
        <w:t>. https://doi.org/10.1111/j..2002.384.doc.x</w:t>
      </w:r>
    </w:p>
    <w:p w14:paraId="0BF0F3AB"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Langa, K. M., &amp; Levine, D. A. (2014). The diagnosis and management of mild cognitive impairment: A clinical review. </w:t>
      </w:r>
      <w:r w:rsidRPr="003A78C5">
        <w:rPr>
          <w:rFonts w:ascii="Palatino Linotype" w:hAnsi="Palatino Linotype"/>
          <w:i/>
          <w:iCs/>
          <w:noProof/>
          <w:sz w:val="18"/>
        </w:rPr>
        <w:t>JAMA - Journal of the American Medical Association</w:t>
      </w:r>
      <w:r w:rsidRPr="003A78C5">
        <w:rPr>
          <w:rFonts w:ascii="Palatino Linotype" w:hAnsi="Palatino Linotype"/>
          <w:noProof/>
          <w:sz w:val="18"/>
        </w:rPr>
        <w:t>. https://doi.org/10.1001/jama.2014.13806</w:t>
      </w:r>
    </w:p>
    <w:p w14:paraId="35C098CD"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Michie, S., van Stralen, M. M., &amp; West, R. (2011). The behaviour change wheel: A new method for characterising and designing behaviour change interventions. </w:t>
      </w:r>
      <w:r w:rsidRPr="003A78C5">
        <w:rPr>
          <w:rFonts w:ascii="Palatino Linotype" w:hAnsi="Palatino Linotype"/>
          <w:i/>
          <w:iCs/>
          <w:noProof/>
          <w:sz w:val="18"/>
        </w:rPr>
        <w:t>Implementation Science</w:t>
      </w:r>
      <w:r w:rsidRPr="003A78C5">
        <w:rPr>
          <w:rFonts w:ascii="Palatino Linotype" w:hAnsi="Palatino Linotype"/>
          <w:noProof/>
          <w:sz w:val="18"/>
        </w:rPr>
        <w:t>. https://doi.org/10.1186/1748-5908-6-42</w:t>
      </w:r>
    </w:p>
    <w:p w14:paraId="38B2B45C"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Morris, J. C., Storandt, M., Miller, J. P., McKeel, D. W., Price, J. L., Rubin, E. H., &amp; Berg, L. (2001). Mild cognitive impairment represents early-stage Alzheimer disease. </w:t>
      </w:r>
      <w:r w:rsidRPr="003A78C5">
        <w:rPr>
          <w:rFonts w:ascii="Palatino Linotype" w:hAnsi="Palatino Linotype"/>
          <w:i/>
          <w:iCs/>
          <w:noProof/>
          <w:sz w:val="18"/>
        </w:rPr>
        <w:t>Archives of Neurology</w:t>
      </w:r>
      <w:r w:rsidRPr="003A78C5">
        <w:rPr>
          <w:rFonts w:ascii="Palatino Linotype" w:hAnsi="Palatino Linotype"/>
          <w:noProof/>
          <w:sz w:val="18"/>
        </w:rPr>
        <w:t>. https://doi.org/10.1001/archneur.58.3.397</w:t>
      </w:r>
    </w:p>
    <w:p w14:paraId="3ABDF6A1"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Ofcom. (2020). UK’s internet use surges to record levels.</w:t>
      </w:r>
    </w:p>
    <w:p w14:paraId="24AB43B9"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Office for National Statistics. (2020). Internet Access Households and Individuals, Great Britain: 2020. </w:t>
      </w:r>
      <w:r w:rsidRPr="003A78C5">
        <w:rPr>
          <w:rFonts w:ascii="Palatino Linotype" w:hAnsi="Palatino Linotype"/>
          <w:i/>
          <w:iCs/>
          <w:noProof/>
          <w:sz w:val="18"/>
        </w:rPr>
        <w:t>Purchasing</w:t>
      </w:r>
      <w:r w:rsidRPr="003A78C5">
        <w:rPr>
          <w:rFonts w:ascii="Palatino Linotype" w:hAnsi="Palatino Linotype"/>
          <w:noProof/>
          <w:sz w:val="18"/>
        </w:rPr>
        <w:t>.</w:t>
      </w:r>
    </w:p>
    <w:p w14:paraId="5951E3C0"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Olanrewaju, O., Clare, L., Barnes, L., &amp; Brayne, C. (2015). A multimodal approach to dementia prevention: A report from the Cambridge Institute of Public Health. </w:t>
      </w:r>
      <w:r w:rsidRPr="003A78C5">
        <w:rPr>
          <w:rFonts w:ascii="Palatino Linotype" w:hAnsi="Palatino Linotype"/>
          <w:i/>
          <w:iCs/>
          <w:noProof/>
          <w:sz w:val="18"/>
        </w:rPr>
        <w:t>Alzheimer’s and Dementia: Translational Research and Clinical Interventions</w:t>
      </w:r>
      <w:r w:rsidRPr="003A78C5">
        <w:rPr>
          <w:rFonts w:ascii="Palatino Linotype" w:hAnsi="Palatino Linotype"/>
          <w:noProof/>
          <w:sz w:val="18"/>
        </w:rPr>
        <w:t xml:space="preserve">, </w:t>
      </w:r>
      <w:r w:rsidRPr="003A78C5">
        <w:rPr>
          <w:rFonts w:ascii="Palatino Linotype" w:hAnsi="Palatino Linotype"/>
          <w:i/>
          <w:iCs/>
          <w:noProof/>
          <w:sz w:val="18"/>
        </w:rPr>
        <w:t>1</w:t>
      </w:r>
      <w:r w:rsidRPr="003A78C5">
        <w:rPr>
          <w:rFonts w:ascii="Palatino Linotype" w:hAnsi="Palatino Linotype"/>
          <w:noProof/>
          <w:sz w:val="18"/>
        </w:rPr>
        <w:t>(3). https://doi.org/10.1016/j.trci.2015.08.003</w:t>
      </w:r>
    </w:p>
    <w:p w14:paraId="359B2AE5"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Olanrewaju, O, Koyanagi, A., Tully, M., Veronese, N., &amp; Smith, L. (2020). Sedentary behaviours and cognitive function among community dwelling adults aged 50+ years: Results from the Irish longitudinal study of ageing. </w:t>
      </w:r>
      <w:r w:rsidRPr="003A78C5">
        <w:rPr>
          <w:rFonts w:ascii="Palatino Linotype" w:hAnsi="Palatino Linotype"/>
          <w:i/>
          <w:iCs/>
          <w:noProof/>
          <w:sz w:val="18"/>
        </w:rPr>
        <w:t>Mental Health and Physical Activity</w:t>
      </w:r>
      <w:r w:rsidRPr="003A78C5">
        <w:rPr>
          <w:rFonts w:ascii="Palatino Linotype" w:hAnsi="Palatino Linotype"/>
          <w:noProof/>
          <w:sz w:val="18"/>
        </w:rPr>
        <w:t xml:space="preserve">, </w:t>
      </w:r>
      <w:r w:rsidRPr="003A78C5">
        <w:rPr>
          <w:rFonts w:ascii="Palatino Linotype" w:hAnsi="Palatino Linotype"/>
          <w:i/>
          <w:iCs/>
          <w:noProof/>
          <w:sz w:val="18"/>
        </w:rPr>
        <w:t>19</w:t>
      </w:r>
      <w:r w:rsidRPr="003A78C5">
        <w:rPr>
          <w:rFonts w:ascii="Palatino Linotype" w:hAnsi="Palatino Linotype"/>
          <w:noProof/>
          <w:sz w:val="18"/>
        </w:rPr>
        <w:t>, 100344. https://doi.org/https://doi.org/10.1016/j.mhpa.2020.100344</w:t>
      </w:r>
    </w:p>
    <w:p w14:paraId="1CC96D7C"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Olanrewaju, Olawale, Stockwell, S., Stubbs, B., &amp; Smith, L. (2020). Sedentary behaviours, cognitive function, and possible mechanisms in older adults: a systematic review. </w:t>
      </w:r>
      <w:r w:rsidRPr="003A78C5">
        <w:rPr>
          <w:rFonts w:ascii="Palatino Linotype" w:hAnsi="Palatino Linotype"/>
          <w:i/>
          <w:iCs/>
          <w:noProof/>
          <w:sz w:val="18"/>
        </w:rPr>
        <w:t>Aging Clinical and Experimental Research</w:t>
      </w:r>
      <w:r w:rsidRPr="003A78C5">
        <w:rPr>
          <w:rFonts w:ascii="Palatino Linotype" w:hAnsi="Palatino Linotype"/>
          <w:noProof/>
          <w:sz w:val="18"/>
        </w:rPr>
        <w:t>. https://doi.org/10.1007/s40520-019-01457-3.</w:t>
      </w:r>
    </w:p>
    <w:p w14:paraId="7679DCCD"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Patterson, J. (2018). Controlled Oral Word Association Test. In </w:t>
      </w:r>
      <w:r w:rsidRPr="003A78C5">
        <w:rPr>
          <w:rFonts w:ascii="Palatino Linotype" w:hAnsi="Palatino Linotype"/>
          <w:i/>
          <w:iCs/>
          <w:noProof/>
          <w:sz w:val="18"/>
        </w:rPr>
        <w:t>Encyclopedia of Clinical Neuropsychology</w:t>
      </w:r>
      <w:r w:rsidRPr="003A78C5">
        <w:rPr>
          <w:rFonts w:ascii="Palatino Linotype" w:hAnsi="Palatino Linotype"/>
          <w:noProof/>
          <w:sz w:val="18"/>
        </w:rPr>
        <w:t>. https://doi.org/10.1007/978-3-319-57111-9_876</w:t>
      </w:r>
    </w:p>
    <w:p w14:paraId="3C188B80"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Petersen, R. C. (2004). Mild cognitive impairment as a diagnostic entity. In </w:t>
      </w:r>
      <w:r w:rsidRPr="003A78C5">
        <w:rPr>
          <w:rFonts w:ascii="Palatino Linotype" w:hAnsi="Palatino Linotype"/>
          <w:i/>
          <w:iCs/>
          <w:noProof/>
          <w:sz w:val="18"/>
        </w:rPr>
        <w:t>Journal of Internal Medicine</w:t>
      </w:r>
      <w:r w:rsidRPr="003A78C5">
        <w:rPr>
          <w:rFonts w:ascii="Palatino Linotype" w:hAnsi="Palatino Linotype"/>
          <w:noProof/>
          <w:sz w:val="18"/>
        </w:rPr>
        <w:t>. https://doi.org/10.1111/j.1365-2796.2004.01388.x</w:t>
      </w:r>
    </w:p>
    <w:p w14:paraId="14AC7E0D"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Resnick, B. (2001). Testing a model of exercise behavior in older adults. </w:t>
      </w:r>
      <w:r w:rsidRPr="003A78C5">
        <w:rPr>
          <w:rFonts w:ascii="Palatino Linotype" w:hAnsi="Palatino Linotype"/>
          <w:i/>
          <w:iCs/>
          <w:noProof/>
          <w:sz w:val="18"/>
        </w:rPr>
        <w:t>Research in Nursing and Health</w:t>
      </w:r>
      <w:r w:rsidRPr="003A78C5">
        <w:rPr>
          <w:rFonts w:ascii="Palatino Linotype" w:hAnsi="Palatino Linotype"/>
          <w:noProof/>
          <w:sz w:val="18"/>
        </w:rPr>
        <w:t xml:space="preserve">. </w:t>
      </w:r>
      <w:r w:rsidRPr="003A78C5">
        <w:rPr>
          <w:rFonts w:ascii="Palatino Linotype" w:hAnsi="Palatino Linotype"/>
          <w:noProof/>
          <w:sz w:val="18"/>
        </w:rPr>
        <w:lastRenderedPageBreak/>
        <w:t>https://doi.org/10.1002/nur.1011</w:t>
      </w:r>
    </w:p>
    <w:p w14:paraId="386C7651"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Resnick, B., Orwig, D., Yu-Yahiro, J., Hawkes, W., Shardell, M., Hebel, J. R., … Magaziner, J. (2007). Testing the effectiveness of the exercise plus program in older women post-hip fracture. </w:t>
      </w:r>
      <w:r w:rsidRPr="003A78C5">
        <w:rPr>
          <w:rFonts w:ascii="Palatino Linotype" w:hAnsi="Palatino Linotype"/>
          <w:i/>
          <w:iCs/>
          <w:noProof/>
          <w:sz w:val="18"/>
        </w:rPr>
        <w:t>Annals of Behavioral Medicine</w:t>
      </w:r>
      <w:r w:rsidRPr="003A78C5">
        <w:rPr>
          <w:rFonts w:ascii="Palatino Linotype" w:hAnsi="Palatino Linotype"/>
          <w:noProof/>
          <w:sz w:val="18"/>
        </w:rPr>
        <w:t>. https://doi.org/10.1007/BF02879922</w:t>
      </w:r>
    </w:p>
    <w:p w14:paraId="3403C0BE"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Rosenberg, D. E., Norman, G. J., Wagner, N., Patrick, K., Calfas, K. J., &amp; Sallis, J. F. (2010). Reliability and validity of the sedentary behavior questionnaire (SBQ) for adults. </w:t>
      </w:r>
      <w:r w:rsidRPr="003A78C5">
        <w:rPr>
          <w:rFonts w:ascii="Palatino Linotype" w:hAnsi="Palatino Linotype"/>
          <w:i/>
          <w:iCs/>
          <w:noProof/>
          <w:sz w:val="18"/>
        </w:rPr>
        <w:t>Journal of Physical Activity and Health</w:t>
      </w:r>
      <w:r w:rsidRPr="003A78C5">
        <w:rPr>
          <w:rFonts w:ascii="Palatino Linotype" w:hAnsi="Palatino Linotype"/>
          <w:noProof/>
          <w:sz w:val="18"/>
        </w:rPr>
        <w:t>. https://doi.org/10.1123/jpah.7.6.697</w:t>
      </w:r>
    </w:p>
    <w:p w14:paraId="0F05FF29"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Sallis, J. F., Owen, N., &amp; Fotheringham, M. J. (2000). Behavioral epidemiology: A systematic framework to classify phases of research on health promotion and disease prevention. </w:t>
      </w:r>
      <w:r w:rsidRPr="003A78C5">
        <w:rPr>
          <w:rFonts w:ascii="Palatino Linotype" w:hAnsi="Palatino Linotype"/>
          <w:i/>
          <w:iCs/>
          <w:noProof/>
          <w:sz w:val="18"/>
        </w:rPr>
        <w:t>Annals of Behavioral Medicine</w:t>
      </w:r>
      <w:r w:rsidRPr="003A78C5">
        <w:rPr>
          <w:rFonts w:ascii="Palatino Linotype" w:hAnsi="Palatino Linotype"/>
          <w:noProof/>
          <w:sz w:val="18"/>
        </w:rPr>
        <w:t>. https://doi.org/10.1007/BF02895665</w:t>
      </w:r>
    </w:p>
    <w:p w14:paraId="741A7BF8"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Stockwell, S., Schofield, P., Fisher, A., Firth, J., Jackson, S. E., Stubbs, B., &amp; Smith, L. (2019). Digital behavior change interventions to promote physical activity and/or reduce sedentary behavior in older adults: A systematic review and meta-analysis. </w:t>
      </w:r>
      <w:r w:rsidRPr="003A78C5">
        <w:rPr>
          <w:rFonts w:ascii="Palatino Linotype" w:hAnsi="Palatino Linotype"/>
          <w:i/>
          <w:iCs/>
          <w:noProof/>
          <w:sz w:val="18"/>
        </w:rPr>
        <w:t>EXPERIMENTAL GERONTOLOGY</w:t>
      </w:r>
      <w:r w:rsidRPr="003A78C5">
        <w:rPr>
          <w:rFonts w:ascii="Palatino Linotype" w:hAnsi="Palatino Linotype"/>
          <w:noProof/>
          <w:sz w:val="18"/>
        </w:rPr>
        <w:t xml:space="preserve">, </w:t>
      </w:r>
      <w:r w:rsidRPr="003A78C5">
        <w:rPr>
          <w:rFonts w:ascii="Palatino Linotype" w:hAnsi="Palatino Linotype"/>
          <w:i/>
          <w:iCs/>
          <w:noProof/>
          <w:sz w:val="18"/>
        </w:rPr>
        <w:t>120</w:t>
      </w:r>
      <w:r w:rsidRPr="003A78C5">
        <w:rPr>
          <w:rFonts w:ascii="Palatino Linotype" w:hAnsi="Palatino Linotype"/>
          <w:noProof/>
          <w:sz w:val="18"/>
        </w:rPr>
        <w:t>, 68–87. https://doi.org/10.1016/j.exger.2019.02.020</w:t>
      </w:r>
    </w:p>
    <w:p w14:paraId="3712BC26"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Tremblay, M. S., Aubert, S., Barnes, J. D., Saunders, T. J., Carson, V., Latimer-Cheung, A. E., … Chinapaw, M. J. M. (2017). Sedentary Behavior Research Network (SBRN) - Terminology Consensus Project process and outcome. </w:t>
      </w:r>
      <w:r w:rsidRPr="003A78C5">
        <w:rPr>
          <w:rFonts w:ascii="Palatino Linotype" w:hAnsi="Palatino Linotype"/>
          <w:i/>
          <w:iCs/>
          <w:noProof/>
          <w:sz w:val="18"/>
        </w:rPr>
        <w:t>Int J Behav Nutr Phys Act</w:t>
      </w:r>
      <w:r w:rsidRPr="003A78C5">
        <w:rPr>
          <w:rFonts w:ascii="Palatino Linotype" w:hAnsi="Palatino Linotype"/>
          <w:noProof/>
          <w:sz w:val="18"/>
        </w:rPr>
        <w:t xml:space="preserve">, </w:t>
      </w:r>
      <w:r w:rsidRPr="003A78C5">
        <w:rPr>
          <w:rFonts w:ascii="Palatino Linotype" w:hAnsi="Palatino Linotype"/>
          <w:i/>
          <w:iCs/>
          <w:noProof/>
          <w:sz w:val="18"/>
        </w:rPr>
        <w:t>14</w:t>
      </w:r>
      <w:r w:rsidRPr="003A78C5">
        <w:rPr>
          <w:rFonts w:ascii="Palatino Linotype" w:hAnsi="Palatino Linotype"/>
          <w:noProof/>
          <w:sz w:val="18"/>
        </w:rPr>
        <w:t>(1), 75. https://doi.org/10.1186/s12966-017-0525-8</w:t>
      </w:r>
    </w:p>
    <w:p w14:paraId="64C8DCBD"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Vancampfort, D., Stubbs, B., Lara, E., Vandenbulcke, M., Swinnen, N., Smith, L., … M., H. (2018). Mild cognitive impairment and sedentary behavior: A multinational study. </w:t>
      </w:r>
      <w:r w:rsidRPr="003A78C5">
        <w:rPr>
          <w:rFonts w:ascii="Palatino Linotype" w:hAnsi="Palatino Linotype"/>
          <w:i/>
          <w:iCs/>
          <w:noProof/>
          <w:sz w:val="18"/>
        </w:rPr>
        <w:t>Experimental Gerontology</w:t>
      </w:r>
      <w:r w:rsidRPr="003A78C5">
        <w:rPr>
          <w:rFonts w:ascii="Palatino Linotype" w:hAnsi="Palatino Linotype"/>
          <w:noProof/>
          <w:sz w:val="18"/>
        </w:rPr>
        <w:t xml:space="preserve">, </w:t>
      </w:r>
      <w:r w:rsidRPr="003A78C5">
        <w:rPr>
          <w:rFonts w:ascii="Palatino Linotype" w:hAnsi="Palatino Linotype"/>
          <w:i/>
          <w:iCs/>
          <w:noProof/>
          <w:sz w:val="18"/>
        </w:rPr>
        <w:t>108</w:t>
      </w:r>
      <w:r w:rsidRPr="003A78C5">
        <w:rPr>
          <w:rFonts w:ascii="Palatino Linotype" w:hAnsi="Palatino Linotype"/>
          <w:noProof/>
          <w:sz w:val="18"/>
        </w:rPr>
        <w:t>, 174–180. https://doi.org/http://dx.doi.org/10.1016/j.exger.2018.04.017</w:t>
      </w:r>
    </w:p>
    <w:p w14:paraId="08C91DD3"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Wichmann, F., Wichmann, F., Pischke, C. R., Jürgens, D., Darmann-Finck, I., Koppelin, F., … Muellmann, S. (2020). Requirements for (web-based) physical activity interventions targeting adults above the age of 65 years - Qualitative results regarding acceptance and needs of participants and non-participants. </w:t>
      </w:r>
      <w:r w:rsidRPr="003A78C5">
        <w:rPr>
          <w:rFonts w:ascii="Palatino Linotype" w:hAnsi="Palatino Linotype"/>
          <w:i/>
          <w:iCs/>
          <w:noProof/>
          <w:sz w:val="18"/>
        </w:rPr>
        <w:t>BMC Public Health</w:t>
      </w:r>
      <w:r w:rsidRPr="003A78C5">
        <w:rPr>
          <w:rFonts w:ascii="Palatino Linotype" w:hAnsi="Palatino Linotype"/>
          <w:noProof/>
          <w:sz w:val="18"/>
        </w:rPr>
        <w:t>. https://doi.org/10.1186/s12889-020-08927-8</w:t>
      </w:r>
    </w:p>
    <w:p w14:paraId="2689CEFE" w14:textId="77777777" w:rsidR="003A78C5" w:rsidRPr="003A78C5" w:rsidRDefault="003A78C5" w:rsidP="003A78C5">
      <w:pPr>
        <w:widowControl w:val="0"/>
        <w:autoSpaceDE w:val="0"/>
        <w:autoSpaceDN w:val="0"/>
        <w:adjustRightInd w:val="0"/>
        <w:spacing w:line="240" w:lineRule="atLeast"/>
        <w:ind w:left="480" w:hanging="480"/>
        <w:rPr>
          <w:rFonts w:ascii="Palatino Linotype" w:hAnsi="Palatino Linotype"/>
          <w:noProof/>
          <w:sz w:val="18"/>
        </w:rPr>
      </w:pPr>
      <w:r w:rsidRPr="003A78C5">
        <w:rPr>
          <w:rFonts w:ascii="Palatino Linotype" w:hAnsi="Palatino Linotype"/>
          <w:noProof/>
          <w:sz w:val="18"/>
        </w:rPr>
        <w:t xml:space="preserve">Williams, J., Stubbs, B., Richardson, S., Flower, C., Barr-Hamilton, L., Grey, B., … Craig, T. (2019). “Walk this way”: Results from a pilot randomised controlled trial of a health coaching intervention to reduce sedentary behaviour and increase physical activity in people with serious mental illness. </w:t>
      </w:r>
      <w:r w:rsidRPr="003A78C5">
        <w:rPr>
          <w:rFonts w:ascii="Palatino Linotype" w:hAnsi="Palatino Linotype"/>
          <w:i/>
          <w:iCs/>
          <w:noProof/>
          <w:sz w:val="18"/>
        </w:rPr>
        <w:t>BMC Psychiatry</w:t>
      </w:r>
      <w:r w:rsidRPr="003A78C5">
        <w:rPr>
          <w:rFonts w:ascii="Palatino Linotype" w:hAnsi="Palatino Linotype"/>
          <w:noProof/>
          <w:sz w:val="18"/>
        </w:rPr>
        <w:t>. https://doi.org/10.1186/s12888-019-2274-5</w:t>
      </w:r>
    </w:p>
    <w:p w14:paraId="63CCB31B" w14:textId="0FD6A79D" w:rsidR="002B05C6" w:rsidRDefault="00274AEF" w:rsidP="003A78C5">
      <w:pPr>
        <w:widowControl w:val="0"/>
        <w:autoSpaceDE w:val="0"/>
        <w:autoSpaceDN w:val="0"/>
        <w:adjustRightInd w:val="0"/>
        <w:spacing w:line="240" w:lineRule="atLeast"/>
        <w:ind w:left="480" w:hanging="480"/>
        <w:sectPr w:rsidR="002B05C6" w:rsidSect="002B05C6">
          <w:pgSz w:w="11906" w:h="16838" w:code="9"/>
          <w:pgMar w:top="1418" w:right="1531" w:bottom="1077" w:left="1531" w:header="1021" w:footer="851" w:gutter="0"/>
          <w:lnNumType w:countBy="1" w:restart="continuous"/>
          <w:pgNumType w:start="1"/>
          <w:cols w:space="425"/>
          <w:titlePg/>
          <w:docGrid w:type="lines" w:linePitch="326"/>
        </w:sectPr>
      </w:pPr>
      <w:r>
        <w:fldChar w:fldCharType="end"/>
      </w:r>
    </w:p>
    <w:p w14:paraId="4FAF4068" w14:textId="3D1EDB37" w:rsidR="003B1CD1" w:rsidRDefault="003B1CD1" w:rsidP="00073B9F">
      <w:pPr>
        <w:widowControl w:val="0"/>
        <w:autoSpaceDE w:val="0"/>
        <w:autoSpaceDN w:val="0"/>
        <w:adjustRightInd w:val="0"/>
        <w:spacing w:line="240" w:lineRule="atLeast"/>
        <w:ind w:left="480" w:hanging="480"/>
      </w:pPr>
    </w:p>
    <w:p w14:paraId="1D459DEB" w14:textId="77777777" w:rsidR="00DB7120" w:rsidRDefault="00DB7120" w:rsidP="003B1CD1">
      <w:pPr>
        <w:widowControl w:val="0"/>
        <w:autoSpaceDE w:val="0"/>
        <w:autoSpaceDN w:val="0"/>
        <w:adjustRightInd w:val="0"/>
        <w:spacing w:line="240" w:lineRule="atLeast"/>
        <w:ind w:left="480" w:hanging="480"/>
        <w:sectPr w:rsidR="00DB7120" w:rsidSect="00DB7120">
          <w:pgSz w:w="11906" w:h="16838" w:code="9"/>
          <w:pgMar w:top="1418" w:right="1531" w:bottom="1077" w:left="1531" w:header="1021" w:footer="851" w:gutter="0"/>
          <w:lnNumType w:countBy="1" w:restart="continuous"/>
          <w:pgNumType w:start="1"/>
          <w:cols w:space="425"/>
          <w:titlePg/>
          <w:docGrid w:type="lines" w:linePitch="326"/>
        </w:sectPr>
      </w:pPr>
    </w:p>
    <w:p w14:paraId="1146B8FD" w14:textId="5442AF22" w:rsidR="003B1CD1" w:rsidRDefault="003B1CD1" w:rsidP="003B1CD1">
      <w:pPr>
        <w:widowControl w:val="0"/>
        <w:autoSpaceDE w:val="0"/>
        <w:autoSpaceDN w:val="0"/>
        <w:adjustRightInd w:val="0"/>
        <w:spacing w:line="240" w:lineRule="atLeast"/>
        <w:ind w:left="480" w:hanging="480"/>
      </w:pPr>
    </w:p>
    <w:p w14:paraId="61338844" w14:textId="77777777" w:rsidR="00AE348C" w:rsidRDefault="00AE348C" w:rsidP="003B1CD1">
      <w:pPr>
        <w:widowControl w:val="0"/>
        <w:autoSpaceDE w:val="0"/>
        <w:autoSpaceDN w:val="0"/>
        <w:adjustRightInd w:val="0"/>
        <w:spacing w:line="240" w:lineRule="atLeast"/>
        <w:ind w:left="480" w:hanging="480"/>
      </w:pPr>
    </w:p>
    <w:tbl>
      <w:tblPr>
        <w:tblW w:w="0" w:type="auto"/>
        <w:jc w:val="center"/>
        <w:tblLook w:val="04A0" w:firstRow="1" w:lastRow="0" w:firstColumn="1" w:lastColumn="0" w:noHBand="0" w:noVBand="1"/>
      </w:tblPr>
      <w:tblGrid>
        <w:gridCol w:w="222"/>
      </w:tblGrid>
      <w:tr w:rsidR="001707F0" w:rsidRPr="00FA6084" w14:paraId="139BD1A2" w14:textId="77777777" w:rsidTr="001707F0">
        <w:trPr>
          <w:trHeight w:val="316"/>
          <w:jc w:val="center"/>
        </w:trPr>
        <w:tc>
          <w:tcPr>
            <w:tcW w:w="0" w:type="auto"/>
            <w:shd w:val="clear" w:color="auto" w:fill="auto"/>
            <w:vAlign w:val="center"/>
          </w:tcPr>
          <w:p w14:paraId="10FF880D" w14:textId="5BD5D2C7" w:rsidR="001707F0" w:rsidRPr="00FA6084" w:rsidRDefault="001707F0" w:rsidP="001707F0">
            <w:pPr>
              <w:pStyle w:val="MDPI71References"/>
              <w:numPr>
                <w:ilvl w:val="0"/>
                <w:numId w:val="0"/>
              </w:numPr>
              <w:rPr>
                <w:rFonts w:eastAsia="SimSun"/>
                <w:bCs/>
              </w:rPr>
            </w:pPr>
          </w:p>
        </w:tc>
      </w:tr>
    </w:tbl>
    <w:p w14:paraId="5BC5FA82" w14:textId="77777777" w:rsidR="0046726B" w:rsidRPr="00991BB0" w:rsidRDefault="0046726B" w:rsidP="00AE348C">
      <w:pPr>
        <w:pStyle w:val="MDPI71References"/>
        <w:numPr>
          <w:ilvl w:val="0"/>
          <w:numId w:val="0"/>
        </w:numPr>
        <w:spacing w:after="240"/>
        <w:rPr>
          <w:rFonts w:eastAsia="SimSun"/>
        </w:rPr>
      </w:pPr>
    </w:p>
    <w:sectPr w:rsidR="0046726B" w:rsidRPr="00991BB0" w:rsidSect="00DB7120">
      <w:pgSz w:w="11906" w:h="16838" w:code="9"/>
      <w:pgMar w:top="1418" w:right="1531" w:bottom="1077" w:left="1531" w:header="1021" w:footer="851"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E7B18D" w14:textId="77777777" w:rsidR="00F36A4D" w:rsidRDefault="00F36A4D">
      <w:pPr>
        <w:spacing w:line="240" w:lineRule="auto"/>
      </w:pPr>
      <w:r>
        <w:separator/>
      </w:r>
    </w:p>
  </w:endnote>
  <w:endnote w:type="continuationSeparator" w:id="0">
    <w:p w14:paraId="7F689DAC" w14:textId="77777777" w:rsidR="00F36A4D" w:rsidRDefault="00F36A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altName w:val="Arial Narrow"/>
    <w:panose1 w:val="020B0606020202030204"/>
    <w:charset w:val="00"/>
    <w:family w:val="swiss"/>
    <w:pitch w:val="variable"/>
    <w:sig w:usb0="00000287" w:usb1="00000800" w:usb2="00000000" w:usb3="00000000" w:csb0="0000009F" w:csb1="00000000"/>
  </w:font>
  <w:font w:name="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altName w:val="Book Antiqua"/>
    <w:charset w:val="4D"/>
    <w:family w:val="auto"/>
    <w:pitch w:val="variable"/>
    <w:sig w:usb0="A00002FF" w:usb1="7800205A" w:usb2="146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0F327" w14:textId="77777777" w:rsidR="00307C1C" w:rsidRPr="00590BF9" w:rsidRDefault="00307C1C"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147F1" w14:textId="527D1339" w:rsidR="00307C1C" w:rsidRPr="008B308E" w:rsidRDefault="00307C1C" w:rsidP="00070BC3">
    <w:pPr>
      <w:pStyle w:val="MDPIfooterfirstpage"/>
      <w:spacing w:line="240" w:lineRule="auto"/>
      <w:jc w:val="both"/>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FAFC8" w14:textId="77777777" w:rsidR="00F36A4D" w:rsidRDefault="00F36A4D">
      <w:pPr>
        <w:spacing w:line="240" w:lineRule="auto"/>
      </w:pPr>
      <w:r>
        <w:separator/>
      </w:r>
    </w:p>
  </w:footnote>
  <w:footnote w:type="continuationSeparator" w:id="0">
    <w:p w14:paraId="0B2634D4" w14:textId="77777777" w:rsidR="00F36A4D" w:rsidRDefault="00F36A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CD7AC" w14:textId="77777777" w:rsidR="00307C1C" w:rsidRDefault="00307C1C"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A0840" w14:textId="5D13F0F8" w:rsidR="00307C1C" w:rsidRPr="00305CED" w:rsidRDefault="00307C1C" w:rsidP="00070BC3">
    <w:pPr>
      <w:tabs>
        <w:tab w:val="right" w:pos="8844"/>
      </w:tabs>
      <w:adjustRightInd w:val="0"/>
      <w:snapToGrid w:val="0"/>
      <w:spacing w:after="240" w:line="240" w:lineRule="auto"/>
      <w:rPr>
        <w:rFonts w:ascii="Palatino Linotype" w:hAnsi="Palatino Linotype"/>
        <w:sz w:val="16"/>
      </w:rPr>
    </w:pP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A6354D">
      <w:rPr>
        <w:rFonts w:ascii="Palatino Linotype" w:hAnsi="Palatino Linotype"/>
        <w:noProof/>
        <w:sz w:val="16"/>
      </w:rPr>
      <w:t>8</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A6354D">
      <w:rPr>
        <w:rFonts w:ascii="Palatino Linotype" w:hAnsi="Palatino Linotype"/>
        <w:noProof/>
        <w:sz w:val="16"/>
      </w:rPr>
      <w:t>15</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DA818" w14:textId="3E9C585A" w:rsidR="00307C1C" w:rsidRDefault="00307C1C" w:rsidP="00E90986">
    <w:pPr>
      <w:pStyle w:val="MDPIheaderjournallogo"/>
    </w:pPr>
    <w:r w:rsidRPr="00C860AA">
      <w:rPr>
        <w:i w:val="0"/>
        <w:noProof/>
        <w:szCs w:val="16"/>
        <w:lang w:val="en-GB" w:eastAsia="en-GB"/>
      </w:rPr>
      <mc:AlternateContent>
        <mc:Choice Requires="wps">
          <w:drawing>
            <wp:anchor distT="45720" distB="45720" distL="114300" distR="114300" simplePos="0" relativeHeight="251657728" behindDoc="1" locked="0" layoutInCell="1" allowOverlap="1" wp14:anchorId="5EDD8BE6" wp14:editId="1C953041">
              <wp:simplePos x="0" y="0"/>
              <wp:positionH relativeFrom="page">
                <wp:posOffset>6029960</wp:posOffset>
              </wp:positionH>
              <wp:positionV relativeFrom="page">
                <wp:posOffset>647700</wp:posOffset>
              </wp:positionV>
              <wp:extent cx="553085" cy="709295"/>
              <wp:effectExtent l="0" t="0" r="0"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3085" cy="709295"/>
                      </a:xfrm>
                      <a:prstGeom prst="rect">
                        <a:avLst/>
                      </a:prstGeom>
                      <a:solidFill>
                        <a:srgbClr val="FFFFFF"/>
                      </a:solidFill>
                      <a:ln w="9525">
                        <a:noFill/>
                        <a:miter lim="800000"/>
                        <a:headEnd/>
                        <a:tailEnd/>
                      </a:ln>
                    </wps:spPr>
                    <wps:txbx>
                      <w:txbxContent>
                        <w:p w14:paraId="05D00BAE" w14:textId="31B8679F" w:rsidR="00307C1C" w:rsidRDefault="00307C1C" w:rsidP="00E90986">
                          <w:pPr>
                            <w:pStyle w:val="MDPIheaderjournallogo"/>
                            <w:jc w:val="center"/>
                            <w:textboxTightWrap w:val="allLines"/>
                            <w:rPr>
                              <w:i w:val="0"/>
                              <w:szCs w:val="16"/>
                            </w:rPr>
                          </w:pP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DD8BE6" id="_x0000_t202" coordsize="21600,21600" o:spt="202" path="m,l,21600r21600,l21600,xe">
              <v:stroke joinstyle="miter"/>
              <v:path gradientshapeok="t" o:connecttype="rect"/>
            </v:shapetype>
            <v:shape id="Text Box 2" o:spid="_x0000_s1041" type="#_x0000_t202" alt="&quot;&quot;" style="position:absolute;margin-left:474.8pt;margin-top:51pt;width:43.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MRfBgIAAPMDAAAOAAAAZHJzL2Uyb0RvYy54bWysU1Fv0zAQfkfiP1h+p0mDwtqo7gQbRUhj&#10;IG38AMdxGgvbZ9lek/LrOTttN+AN4QfrbH/3+e67u831ZDQ5SB8UWEaXi5ISaQV0yu4Z/f64e7Oi&#10;JERuO67BSkaPMtDr7etXm9E1soIBdCc9QRIbmtExOsTomqIIYpCGhwU4afGxB294xKPfF53nI7Ib&#10;XVRl+a4YwXfOg5Ah4O3t/Ei3mb/vpYhf+z7ISDSjGFvMu897m/Ziu+HN3nM3KHEKg/9DFIYri59e&#10;qG555OTJq7+ojBIeAvRxIcAU0PdKyJwDZrMs/8jmYeBO5lxQnOAuMoX/RyvuD988UR2j1fKKEssN&#10;FulRTpF8gIlUSZ/RhQZhDw6BccJrrHPONbg7ED8CQooXmNkhJHQ7foEO+fhThOwx9d4klTBvgjRY&#10;kOOlCOlPgZd1/bZc1ZQIfLoq19W6TkEUvDk7Ox/iJwmGJINRjzXO5PxwF+IMPUPSXwG06nZK63zw&#10;+/ZGe3Lg2A+7vE7sv8G0JSOj67qqM7OF5I/UvDEqYr9qZRhdlWnNHTRI3n20XYZErvRsY9DantRJ&#10;gszSxKmdEJgka6E7ok4e5r7EOUJjAP+TkhF7klGLQ0OJ/myx5Kl9z4Y/G+3Z4FagI6ORktm8ibnN&#10;U9AW3mMFepXVef73FBl2Vtb3NAWpdV+eM+p5Vre/AAAA//8DAFBLAwQUAAYACAAAACEAzXkkwOAA&#10;AAAMAQAADwAAAGRycy9kb3ducmV2LnhtbEyPy07DMBBF90j8gzVI7KjdlCZtiFOhSjzEriUf4MbT&#10;JMKP1HYe/D3uqixH9+jOucVu1oqM6HxnDYflggFBU1vZmYZD9f32tAHigzBSKGuQwy962JX3d4XI&#10;pZ3MAcdjaEgsMT4XHNoQ+pxSX7eohV/YHk3MztZpEeLpGiqdmGK5VjRhLKVadCZ+aEWP+xbrn+Og&#10;OQz+PKnDZvzC6nO/rt4v2frj4jh/fJhfX4AEnMMNhqt+VIcyOp3sYKQnisP2eZtGNAYsiaOuBFul&#10;GZATh2S5yoCWBf0/ovwDAAD//wMAUEsBAi0AFAAGAAgAAAAhALaDOJL+AAAA4QEAABMAAAAAAAAA&#10;AAAAAAAAAAAAAFtDb250ZW50X1R5cGVzXS54bWxQSwECLQAUAAYACAAAACEAOP0h/9YAAACUAQAA&#10;CwAAAAAAAAAAAAAAAAAvAQAAX3JlbHMvLnJlbHNQSwECLQAUAAYACAAAACEA5FTEXwYCAADzAwAA&#10;DgAAAAAAAAAAAAAAAAAuAgAAZHJzL2Uyb0RvYy54bWxQSwECLQAUAAYACAAAACEAzXkkwOAAAAAM&#10;AQAADwAAAAAAAAAAAAAAAABgBAAAZHJzL2Rvd25yZXYueG1sUEsFBgAAAAAEAAQA8wAAAG0FAAAA&#10;AA==&#10;" stroked="f">
              <v:textbox inset="0,0,0,0">
                <w:txbxContent>
                  <w:p w14:paraId="05D00BAE" w14:textId="31B8679F" w:rsidR="00307C1C" w:rsidRDefault="00307C1C" w:rsidP="00E90986">
                    <w:pPr>
                      <w:pStyle w:val="MDPIheaderjournallogo"/>
                      <w:jc w:val="center"/>
                      <w:textboxTightWrap w:val="allLines"/>
                      <w:rPr>
                        <w:i w:val="0"/>
                        <w:szCs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315FD"/>
    <w:multiLevelType w:val="hybridMultilevel"/>
    <w:tmpl w:val="6CD24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6F6FB8"/>
    <w:multiLevelType w:val="hybridMultilevel"/>
    <w:tmpl w:val="48869A28"/>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CA20302"/>
    <w:multiLevelType w:val="hybridMultilevel"/>
    <w:tmpl w:val="137836A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446F20"/>
    <w:multiLevelType w:val="hybridMultilevel"/>
    <w:tmpl w:val="018835B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3D19182D"/>
    <w:multiLevelType w:val="hybridMultilevel"/>
    <w:tmpl w:val="4508992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8" w15:restartNumberingAfterBreak="0">
    <w:nsid w:val="52704CD9"/>
    <w:multiLevelType w:val="hybridMultilevel"/>
    <w:tmpl w:val="B3F41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7993347"/>
    <w:multiLevelType w:val="hybridMultilevel"/>
    <w:tmpl w:val="D64E21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29C14FF"/>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
  </w:num>
  <w:num w:numId="2">
    <w:abstractNumId w:val="6"/>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5"/>
  </w:num>
  <w:num w:numId="7">
    <w:abstractNumId w:val="10"/>
  </w:num>
  <w:num w:numId="8">
    <w:abstractNumId w:val="7"/>
  </w:num>
  <w:num w:numId="9">
    <w:abstractNumId w:val="0"/>
  </w:num>
  <w:num w:numId="10">
    <w:abstractNumId w:val="4"/>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66E"/>
    <w:rsid w:val="0002554A"/>
    <w:rsid w:val="0003183D"/>
    <w:rsid w:val="00041937"/>
    <w:rsid w:val="00053C42"/>
    <w:rsid w:val="00056030"/>
    <w:rsid w:val="00062D64"/>
    <w:rsid w:val="00070BC3"/>
    <w:rsid w:val="00073B9F"/>
    <w:rsid w:val="00093ECE"/>
    <w:rsid w:val="0009714B"/>
    <w:rsid w:val="000D4CAC"/>
    <w:rsid w:val="000E6B4B"/>
    <w:rsid w:val="000F50DE"/>
    <w:rsid w:val="00113A18"/>
    <w:rsid w:val="00117D0D"/>
    <w:rsid w:val="001219F0"/>
    <w:rsid w:val="001228BC"/>
    <w:rsid w:val="001377AC"/>
    <w:rsid w:val="001417DC"/>
    <w:rsid w:val="00160A9C"/>
    <w:rsid w:val="001707F0"/>
    <w:rsid w:val="00177995"/>
    <w:rsid w:val="00182386"/>
    <w:rsid w:val="00192990"/>
    <w:rsid w:val="001957FA"/>
    <w:rsid w:val="001A110F"/>
    <w:rsid w:val="001C2D72"/>
    <w:rsid w:val="001D0918"/>
    <w:rsid w:val="001D41F9"/>
    <w:rsid w:val="001E0D58"/>
    <w:rsid w:val="001E2AEB"/>
    <w:rsid w:val="001F0C32"/>
    <w:rsid w:val="001F53CA"/>
    <w:rsid w:val="001F6D18"/>
    <w:rsid w:val="00205275"/>
    <w:rsid w:val="00205AC7"/>
    <w:rsid w:val="0021275E"/>
    <w:rsid w:val="00240C29"/>
    <w:rsid w:val="00240EEE"/>
    <w:rsid w:val="0024654B"/>
    <w:rsid w:val="00257BA9"/>
    <w:rsid w:val="002702E6"/>
    <w:rsid w:val="00272DB1"/>
    <w:rsid w:val="00274AEF"/>
    <w:rsid w:val="002B05C6"/>
    <w:rsid w:val="002B1858"/>
    <w:rsid w:val="002B6C1A"/>
    <w:rsid w:val="002C7203"/>
    <w:rsid w:val="002D57A5"/>
    <w:rsid w:val="002F0FB9"/>
    <w:rsid w:val="00307C1C"/>
    <w:rsid w:val="003167CD"/>
    <w:rsid w:val="00320B13"/>
    <w:rsid w:val="00326141"/>
    <w:rsid w:val="003663D4"/>
    <w:rsid w:val="003938DA"/>
    <w:rsid w:val="00394E4D"/>
    <w:rsid w:val="0039786A"/>
    <w:rsid w:val="003A78C5"/>
    <w:rsid w:val="003B1CD1"/>
    <w:rsid w:val="003B2F9E"/>
    <w:rsid w:val="003C29A3"/>
    <w:rsid w:val="003D0966"/>
    <w:rsid w:val="00401B3A"/>
    <w:rsid w:val="00401D30"/>
    <w:rsid w:val="00407587"/>
    <w:rsid w:val="00416B1B"/>
    <w:rsid w:val="00417958"/>
    <w:rsid w:val="0042106E"/>
    <w:rsid w:val="004404E5"/>
    <w:rsid w:val="00454996"/>
    <w:rsid w:val="00464A8B"/>
    <w:rsid w:val="0046726B"/>
    <w:rsid w:val="004764AB"/>
    <w:rsid w:val="00485FCF"/>
    <w:rsid w:val="00492638"/>
    <w:rsid w:val="004A751A"/>
    <w:rsid w:val="004A7EB3"/>
    <w:rsid w:val="004B5280"/>
    <w:rsid w:val="004B655C"/>
    <w:rsid w:val="004B711F"/>
    <w:rsid w:val="004C3B7C"/>
    <w:rsid w:val="004D0B90"/>
    <w:rsid w:val="004D21BA"/>
    <w:rsid w:val="004D552B"/>
    <w:rsid w:val="004D5A80"/>
    <w:rsid w:val="004D6B8D"/>
    <w:rsid w:val="004D7926"/>
    <w:rsid w:val="004F02D7"/>
    <w:rsid w:val="00503E77"/>
    <w:rsid w:val="0051056F"/>
    <w:rsid w:val="00510B08"/>
    <w:rsid w:val="00514646"/>
    <w:rsid w:val="00540F04"/>
    <w:rsid w:val="005468B0"/>
    <w:rsid w:val="00550F3F"/>
    <w:rsid w:val="00556B23"/>
    <w:rsid w:val="00562DDC"/>
    <w:rsid w:val="005647E2"/>
    <w:rsid w:val="005940DE"/>
    <w:rsid w:val="005A311A"/>
    <w:rsid w:val="005B0E8A"/>
    <w:rsid w:val="005C158E"/>
    <w:rsid w:val="005D7651"/>
    <w:rsid w:val="005E2118"/>
    <w:rsid w:val="006211DD"/>
    <w:rsid w:val="00633815"/>
    <w:rsid w:val="00635462"/>
    <w:rsid w:val="00657C09"/>
    <w:rsid w:val="00662E41"/>
    <w:rsid w:val="00691E6A"/>
    <w:rsid w:val="00692393"/>
    <w:rsid w:val="006E5A59"/>
    <w:rsid w:val="00700D3F"/>
    <w:rsid w:val="00700E89"/>
    <w:rsid w:val="00703B0B"/>
    <w:rsid w:val="00735179"/>
    <w:rsid w:val="00770BA5"/>
    <w:rsid w:val="0079793A"/>
    <w:rsid w:val="007A0755"/>
    <w:rsid w:val="007B3E14"/>
    <w:rsid w:val="007B5DE0"/>
    <w:rsid w:val="007C3F9A"/>
    <w:rsid w:val="007C437A"/>
    <w:rsid w:val="007D1435"/>
    <w:rsid w:val="007D43E0"/>
    <w:rsid w:val="007D771F"/>
    <w:rsid w:val="007E5A5B"/>
    <w:rsid w:val="0081495C"/>
    <w:rsid w:val="00815337"/>
    <w:rsid w:val="008262F9"/>
    <w:rsid w:val="0084331F"/>
    <w:rsid w:val="008726A0"/>
    <w:rsid w:val="00875561"/>
    <w:rsid w:val="00876346"/>
    <w:rsid w:val="008C5CBF"/>
    <w:rsid w:val="008E3B5E"/>
    <w:rsid w:val="0094266E"/>
    <w:rsid w:val="00985B30"/>
    <w:rsid w:val="009941A3"/>
    <w:rsid w:val="00994F84"/>
    <w:rsid w:val="009A0D17"/>
    <w:rsid w:val="009A52C8"/>
    <w:rsid w:val="009F274E"/>
    <w:rsid w:val="009F2A67"/>
    <w:rsid w:val="009F70E6"/>
    <w:rsid w:val="00A0136F"/>
    <w:rsid w:val="00A02301"/>
    <w:rsid w:val="00A146C0"/>
    <w:rsid w:val="00A404CA"/>
    <w:rsid w:val="00A41EC8"/>
    <w:rsid w:val="00A43E35"/>
    <w:rsid w:val="00A6354D"/>
    <w:rsid w:val="00A64950"/>
    <w:rsid w:val="00A74B4F"/>
    <w:rsid w:val="00A8021F"/>
    <w:rsid w:val="00AA067A"/>
    <w:rsid w:val="00AE348C"/>
    <w:rsid w:val="00AF44C1"/>
    <w:rsid w:val="00B00E09"/>
    <w:rsid w:val="00B06823"/>
    <w:rsid w:val="00B16167"/>
    <w:rsid w:val="00B457B8"/>
    <w:rsid w:val="00B540E2"/>
    <w:rsid w:val="00B5679C"/>
    <w:rsid w:val="00B8379E"/>
    <w:rsid w:val="00B90334"/>
    <w:rsid w:val="00B93F26"/>
    <w:rsid w:val="00B959DE"/>
    <w:rsid w:val="00BE781B"/>
    <w:rsid w:val="00BF437C"/>
    <w:rsid w:val="00C13470"/>
    <w:rsid w:val="00C243C9"/>
    <w:rsid w:val="00C313CC"/>
    <w:rsid w:val="00C621BC"/>
    <w:rsid w:val="00C639EA"/>
    <w:rsid w:val="00C76393"/>
    <w:rsid w:val="00C82596"/>
    <w:rsid w:val="00C873F4"/>
    <w:rsid w:val="00C90664"/>
    <w:rsid w:val="00CB571A"/>
    <w:rsid w:val="00CC57CC"/>
    <w:rsid w:val="00CD1310"/>
    <w:rsid w:val="00CE2717"/>
    <w:rsid w:val="00D2048A"/>
    <w:rsid w:val="00D223C7"/>
    <w:rsid w:val="00D26163"/>
    <w:rsid w:val="00D412C1"/>
    <w:rsid w:val="00D75394"/>
    <w:rsid w:val="00D870C7"/>
    <w:rsid w:val="00D965D1"/>
    <w:rsid w:val="00D97032"/>
    <w:rsid w:val="00DB1512"/>
    <w:rsid w:val="00DB3979"/>
    <w:rsid w:val="00DB7120"/>
    <w:rsid w:val="00DD2316"/>
    <w:rsid w:val="00DD5900"/>
    <w:rsid w:val="00DD6CF4"/>
    <w:rsid w:val="00DE3026"/>
    <w:rsid w:val="00DE3E27"/>
    <w:rsid w:val="00DF633D"/>
    <w:rsid w:val="00E01B4A"/>
    <w:rsid w:val="00E0307E"/>
    <w:rsid w:val="00E04E7D"/>
    <w:rsid w:val="00E47C23"/>
    <w:rsid w:val="00E618A3"/>
    <w:rsid w:val="00E66088"/>
    <w:rsid w:val="00E755FF"/>
    <w:rsid w:val="00E90986"/>
    <w:rsid w:val="00ED6FC1"/>
    <w:rsid w:val="00F005AA"/>
    <w:rsid w:val="00F06693"/>
    <w:rsid w:val="00F06FC4"/>
    <w:rsid w:val="00F35C92"/>
    <w:rsid w:val="00F36A4D"/>
    <w:rsid w:val="00F636C5"/>
    <w:rsid w:val="00F666E5"/>
    <w:rsid w:val="00F76C28"/>
    <w:rsid w:val="00FA6084"/>
    <w:rsid w:val="00FB0D48"/>
    <w:rsid w:val="00FC66C8"/>
    <w:rsid w:val="00FF17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F73F56"/>
  <w15:chartTrackingRefBased/>
  <w15:docId w15:val="{68A31E94-8957-424C-90D7-6F298EDDD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B4F"/>
    <w:pPr>
      <w:spacing w:line="340" w:lineRule="atLeast"/>
      <w:jc w:val="both"/>
    </w:pPr>
    <w:rPr>
      <w:rFonts w:ascii="Times New Roman" w:eastAsia="Times New Roman" w:hAnsi="Times New Roman"/>
      <w:color w:val="000000"/>
      <w:sz w:val="24"/>
      <w:lang w:val="en-US" w:eastAsia="de-DE"/>
    </w:rPr>
  </w:style>
  <w:style w:type="paragraph" w:styleId="Heading1">
    <w:name w:val="heading 1"/>
    <w:basedOn w:val="Normal"/>
    <w:next w:val="Normal"/>
    <w:link w:val="Heading1Char"/>
    <w:uiPriority w:val="9"/>
    <w:qFormat/>
    <w:rsid w:val="004B655C"/>
    <w:pPr>
      <w:keepNext/>
      <w:keepLines/>
      <w:numPr>
        <w:numId w:val="7"/>
      </w:numPr>
      <w:spacing w:before="360" w:line="120" w:lineRule="auto"/>
      <w:jc w:val="left"/>
      <w:outlineLvl w:val="0"/>
    </w:pPr>
    <w:rPr>
      <w:rFonts w:ascii="Arial Narrow" w:eastAsia="Meiryo" w:hAnsi="Arial Narrow" w:cs="Arial"/>
      <w:color w:val="B01513"/>
      <w:sz w:val="22"/>
      <w:szCs w:val="22"/>
      <w:lang w:eastAsia="ja-JP"/>
    </w:rPr>
  </w:style>
  <w:style w:type="paragraph" w:styleId="Heading2">
    <w:name w:val="heading 2"/>
    <w:basedOn w:val="Normal"/>
    <w:next w:val="Normal"/>
    <w:link w:val="Heading2Char"/>
    <w:uiPriority w:val="9"/>
    <w:unhideWhenUsed/>
    <w:qFormat/>
    <w:rsid w:val="004B655C"/>
    <w:pPr>
      <w:keepNext/>
      <w:keepLines/>
      <w:numPr>
        <w:ilvl w:val="1"/>
        <w:numId w:val="7"/>
      </w:numPr>
      <w:spacing w:before="160" w:line="240" w:lineRule="auto"/>
      <w:jc w:val="left"/>
      <w:outlineLvl w:val="1"/>
    </w:pPr>
    <w:rPr>
      <w:rFonts w:ascii="Century Gothic" w:eastAsia="Meiryo" w:hAnsi="Century Gothic"/>
      <w:color w:val="404040"/>
      <w:szCs w:val="24"/>
      <w:lang w:eastAsia="ja-JP"/>
    </w:rPr>
  </w:style>
  <w:style w:type="paragraph" w:styleId="Heading3">
    <w:name w:val="heading 3"/>
    <w:basedOn w:val="Normal"/>
    <w:next w:val="Normal"/>
    <w:link w:val="Heading3Char"/>
    <w:uiPriority w:val="9"/>
    <w:unhideWhenUsed/>
    <w:qFormat/>
    <w:rsid w:val="004B655C"/>
    <w:pPr>
      <w:keepNext/>
      <w:keepLines/>
      <w:numPr>
        <w:ilvl w:val="2"/>
        <w:numId w:val="7"/>
      </w:numPr>
      <w:spacing w:before="40" w:line="240" w:lineRule="auto"/>
      <w:jc w:val="left"/>
      <w:outlineLvl w:val="2"/>
    </w:pPr>
    <w:rPr>
      <w:rFonts w:ascii="Century Gothic" w:eastAsia="Meiryo" w:hAnsi="Century Gothic"/>
      <w:color w:val="B01513"/>
      <w:sz w:val="22"/>
      <w:szCs w:val="22"/>
      <w:lang w:eastAsia="ja-JP"/>
    </w:rPr>
  </w:style>
  <w:style w:type="paragraph" w:styleId="Heading4">
    <w:name w:val="heading 4"/>
    <w:basedOn w:val="Normal"/>
    <w:next w:val="Normal"/>
    <w:link w:val="Heading4Char"/>
    <w:uiPriority w:val="9"/>
    <w:semiHidden/>
    <w:unhideWhenUsed/>
    <w:qFormat/>
    <w:rsid w:val="004B655C"/>
    <w:pPr>
      <w:keepNext/>
      <w:keepLines/>
      <w:numPr>
        <w:ilvl w:val="3"/>
        <w:numId w:val="7"/>
      </w:numPr>
      <w:spacing w:before="160" w:line="300" w:lineRule="auto"/>
      <w:jc w:val="left"/>
      <w:outlineLvl w:val="3"/>
    </w:pPr>
    <w:rPr>
      <w:rFonts w:ascii="Century Gothic" w:eastAsia="Meiryo" w:hAnsi="Century Gothic"/>
      <w:b/>
      <w:bCs/>
      <w:sz w:val="20"/>
      <w:lang w:eastAsia="ja-JP"/>
    </w:rPr>
  </w:style>
  <w:style w:type="paragraph" w:styleId="Heading5">
    <w:name w:val="heading 5"/>
    <w:basedOn w:val="Normal"/>
    <w:next w:val="Normal"/>
    <w:link w:val="Heading5Char"/>
    <w:uiPriority w:val="9"/>
    <w:semiHidden/>
    <w:unhideWhenUsed/>
    <w:qFormat/>
    <w:rsid w:val="004B655C"/>
    <w:pPr>
      <w:keepNext/>
      <w:keepLines/>
      <w:numPr>
        <w:ilvl w:val="4"/>
        <w:numId w:val="7"/>
      </w:numPr>
      <w:spacing w:before="40" w:line="300" w:lineRule="auto"/>
      <w:jc w:val="left"/>
      <w:outlineLvl w:val="4"/>
    </w:pPr>
    <w:rPr>
      <w:rFonts w:ascii="Century Gothic" w:eastAsia="Meiryo" w:hAnsi="Century Gothic"/>
      <w:color w:val="auto"/>
      <w:sz w:val="20"/>
      <w:lang w:eastAsia="ja-JP"/>
    </w:rPr>
  </w:style>
  <w:style w:type="paragraph" w:styleId="Heading6">
    <w:name w:val="heading 6"/>
    <w:basedOn w:val="Normal"/>
    <w:next w:val="Normal"/>
    <w:link w:val="Heading6Char"/>
    <w:uiPriority w:val="9"/>
    <w:semiHidden/>
    <w:unhideWhenUsed/>
    <w:qFormat/>
    <w:rsid w:val="004B655C"/>
    <w:pPr>
      <w:keepNext/>
      <w:keepLines/>
      <w:numPr>
        <w:ilvl w:val="5"/>
        <w:numId w:val="7"/>
      </w:numPr>
      <w:spacing w:before="160" w:line="300" w:lineRule="auto"/>
      <w:jc w:val="left"/>
      <w:outlineLvl w:val="5"/>
    </w:pPr>
    <w:rPr>
      <w:rFonts w:ascii="Century Gothic" w:eastAsia="Meiryo" w:hAnsi="Century Gothic"/>
      <w:b/>
      <w:bCs/>
      <w:i/>
      <w:iCs/>
      <w:color w:val="auto"/>
      <w:sz w:val="20"/>
      <w:lang w:eastAsia="ja-JP"/>
    </w:rPr>
  </w:style>
  <w:style w:type="paragraph" w:styleId="Heading7">
    <w:name w:val="heading 7"/>
    <w:basedOn w:val="Normal"/>
    <w:next w:val="Normal"/>
    <w:link w:val="Heading7Char"/>
    <w:uiPriority w:val="9"/>
    <w:semiHidden/>
    <w:unhideWhenUsed/>
    <w:qFormat/>
    <w:rsid w:val="004B655C"/>
    <w:pPr>
      <w:keepNext/>
      <w:keepLines/>
      <w:numPr>
        <w:ilvl w:val="6"/>
        <w:numId w:val="7"/>
      </w:numPr>
      <w:spacing w:before="40" w:line="300" w:lineRule="auto"/>
      <w:jc w:val="left"/>
      <w:outlineLvl w:val="6"/>
    </w:pPr>
    <w:rPr>
      <w:rFonts w:ascii="Century Gothic" w:eastAsia="Meiryo" w:hAnsi="Century Gothic"/>
      <w:i/>
      <w:iCs/>
      <w:sz w:val="20"/>
      <w:lang w:eastAsia="ja-JP"/>
    </w:rPr>
  </w:style>
  <w:style w:type="paragraph" w:styleId="Heading8">
    <w:name w:val="heading 8"/>
    <w:basedOn w:val="Normal"/>
    <w:next w:val="Normal"/>
    <w:link w:val="Heading8Char"/>
    <w:uiPriority w:val="9"/>
    <w:semiHidden/>
    <w:unhideWhenUsed/>
    <w:qFormat/>
    <w:rsid w:val="004B655C"/>
    <w:pPr>
      <w:keepNext/>
      <w:keepLines/>
      <w:numPr>
        <w:ilvl w:val="7"/>
        <w:numId w:val="7"/>
      </w:numPr>
      <w:spacing w:before="120" w:line="300" w:lineRule="auto"/>
      <w:jc w:val="left"/>
      <w:outlineLvl w:val="7"/>
    </w:pPr>
    <w:rPr>
      <w:rFonts w:ascii="Century Gothic" w:eastAsia="Meiryo" w:hAnsi="Century Gothic"/>
      <w:b/>
      <w:bCs/>
      <w:sz w:val="22"/>
      <w:szCs w:val="22"/>
      <w:lang w:eastAsia="ja-JP"/>
    </w:rPr>
  </w:style>
  <w:style w:type="paragraph" w:styleId="Heading9">
    <w:name w:val="heading 9"/>
    <w:basedOn w:val="Normal"/>
    <w:next w:val="Normal"/>
    <w:link w:val="Heading9Char"/>
    <w:uiPriority w:val="9"/>
    <w:semiHidden/>
    <w:unhideWhenUsed/>
    <w:qFormat/>
    <w:rsid w:val="004B655C"/>
    <w:pPr>
      <w:keepNext/>
      <w:keepLines/>
      <w:numPr>
        <w:ilvl w:val="8"/>
        <w:numId w:val="7"/>
      </w:numPr>
      <w:spacing w:before="40" w:line="300" w:lineRule="auto"/>
      <w:jc w:val="left"/>
      <w:outlineLvl w:val="8"/>
    </w:pPr>
    <w:rPr>
      <w:rFonts w:ascii="Century Gothic" w:eastAsia="Meiryo" w:hAnsi="Century Gothic"/>
      <w:b/>
      <w:bCs/>
      <w:i/>
      <w:iCs/>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6726B"/>
    <w:pPr>
      <w:spacing w:before="240" w:line="240" w:lineRule="auto"/>
      <w:ind w:firstLine="0"/>
      <w:jc w:val="left"/>
    </w:pPr>
    <w:rPr>
      <w:i/>
    </w:rPr>
  </w:style>
  <w:style w:type="paragraph" w:customStyle="1" w:styleId="MDPI12title">
    <w:name w:val="MDPI_1.2_title"/>
    <w:next w:val="MDPI13authornames"/>
    <w:qFormat/>
    <w:rsid w:val="0046726B"/>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46726B"/>
    <w:pPr>
      <w:spacing w:after="120"/>
      <w:ind w:firstLine="0"/>
      <w:jc w:val="left"/>
    </w:pPr>
    <w:rPr>
      <w:b/>
      <w:snapToGrid/>
    </w:rPr>
  </w:style>
  <w:style w:type="paragraph" w:customStyle="1" w:styleId="MDPI14history">
    <w:name w:val="MDPI_1.4_history"/>
    <w:basedOn w:val="MDPI62Acknowledgments"/>
    <w:next w:val="Normal"/>
    <w:qFormat/>
    <w:rsid w:val="0046726B"/>
    <w:pPr>
      <w:ind w:left="113"/>
      <w:jc w:val="left"/>
    </w:pPr>
    <w:rPr>
      <w:snapToGrid/>
    </w:rPr>
  </w:style>
  <w:style w:type="paragraph" w:customStyle="1" w:styleId="MDPI16affiliation">
    <w:name w:val="MDPI_1.6_affiliation"/>
    <w:basedOn w:val="MDPI62Acknowledgments"/>
    <w:qFormat/>
    <w:rsid w:val="0046726B"/>
    <w:pPr>
      <w:spacing w:before="0"/>
      <w:ind w:left="311" w:hanging="198"/>
      <w:jc w:val="left"/>
    </w:pPr>
    <w:rPr>
      <w:snapToGrid/>
      <w:szCs w:val="18"/>
    </w:rPr>
  </w:style>
  <w:style w:type="paragraph" w:customStyle="1" w:styleId="MDPI17abstract">
    <w:name w:val="MDPI_1.7_abstract"/>
    <w:basedOn w:val="MDPI31text"/>
    <w:next w:val="MDPI18keywords"/>
    <w:qFormat/>
    <w:rsid w:val="0046726B"/>
    <w:pPr>
      <w:spacing w:before="240"/>
      <w:ind w:left="113" w:firstLine="0"/>
    </w:pPr>
    <w:rPr>
      <w:snapToGrid/>
    </w:rPr>
  </w:style>
  <w:style w:type="paragraph" w:customStyle="1" w:styleId="MDPI18keywords">
    <w:name w:val="MDPI_1.8_keywords"/>
    <w:basedOn w:val="MDPI31text"/>
    <w:next w:val="Normal"/>
    <w:qFormat/>
    <w:rsid w:val="0046726B"/>
    <w:pPr>
      <w:spacing w:before="240"/>
      <w:ind w:left="113" w:firstLine="0"/>
    </w:pPr>
  </w:style>
  <w:style w:type="paragraph" w:customStyle="1" w:styleId="MDPI19line">
    <w:name w:val="MDPI_1.9_line"/>
    <w:basedOn w:val="MDPI31text"/>
    <w:qFormat/>
    <w:rsid w:val="0046726B"/>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46726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46726B"/>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46726B"/>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46726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6726B"/>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6726B"/>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46726B"/>
    <w:pPr>
      <w:ind w:firstLine="0"/>
    </w:pPr>
  </w:style>
  <w:style w:type="paragraph" w:customStyle="1" w:styleId="MDPI33textspaceafter">
    <w:name w:val="MDPI_3.3_text_space_after"/>
    <w:basedOn w:val="MDPI31text"/>
    <w:qFormat/>
    <w:rsid w:val="0046726B"/>
    <w:pPr>
      <w:spacing w:after="240"/>
    </w:pPr>
  </w:style>
  <w:style w:type="paragraph" w:customStyle="1" w:styleId="MDPI34textspacebefore">
    <w:name w:val="MDPI_3.4_text_space_before"/>
    <w:basedOn w:val="MDPI31text"/>
    <w:qFormat/>
    <w:rsid w:val="0046726B"/>
    <w:pPr>
      <w:spacing w:before="240"/>
    </w:pPr>
  </w:style>
  <w:style w:type="paragraph" w:customStyle="1" w:styleId="MDPI35textbeforelist">
    <w:name w:val="MDPI_3.5_text_before_list"/>
    <w:basedOn w:val="MDPI31text"/>
    <w:qFormat/>
    <w:rsid w:val="0046726B"/>
    <w:pPr>
      <w:spacing w:after="120"/>
    </w:pPr>
  </w:style>
  <w:style w:type="paragraph" w:customStyle="1" w:styleId="MDPI36textafterlist">
    <w:name w:val="MDPI_3.6_text_after_list"/>
    <w:basedOn w:val="MDPI31text"/>
    <w:qFormat/>
    <w:rsid w:val="0046726B"/>
    <w:pPr>
      <w:spacing w:before="120"/>
    </w:pPr>
  </w:style>
  <w:style w:type="paragraph" w:customStyle="1" w:styleId="MDPI37itemize">
    <w:name w:val="MDPI_3.7_itemize"/>
    <w:basedOn w:val="MDPI31text"/>
    <w:qFormat/>
    <w:rsid w:val="0046726B"/>
    <w:pPr>
      <w:numPr>
        <w:numId w:val="1"/>
      </w:numPr>
      <w:ind w:left="425" w:hanging="425"/>
    </w:pPr>
  </w:style>
  <w:style w:type="paragraph" w:customStyle="1" w:styleId="MDPI38bullet">
    <w:name w:val="MDPI_3.8_bullet"/>
    <w:basedOn w:val="MDPI31text"/>
    <w:qFormat/>
    <w:rsid w:val="0046726B"/>
    <w:pPr>
      <w:numPr>
        <w:numId w:val="2"/>
      </w:numPr>
      <w:ind w:left="425" w:hanging="425"/>
    </w:pPr>
  </w:style>
  <w:style w:type="paragraph" w:customStyle="1" w:styleId="MDPI39equation">
    <w:name w:val="MDPI_3.9_equation"/>
    <w:basedOn w:val="MDPI31text"/>
    <w:qFormat/>
    <w:rsid w:val="0046726B"/>
    <w:pPr>
      <w:spacing w:before="120" w:after="120"/>
      <w:ind w:left="709" w:firstLine="0"/>
      <w:jc w:val="center"/>
    </w:pPr>
  </w:style>
  <w:style w:type="paragraph" w:customStyle="1" w:styleId="MDPI3aequationnumber">
    <w:name w:val="MDPI_3.a_equation_number"/>
    <w:basedOn w:val="MDPI31text"/>
    <w:qFormat/>
    <w:rsid w:val="0046726B"/>
    <w:pPr>
      <w:spacing w:before="120" w:after="120" w:line="240" w:lineRule="auto"/>
      <w:ind w:firstLine="0"/>
      <w:jc w:val="right"/>
    </w:pPr>
  </w:style>
  <w:style w:type="paragraph" w:customStyle="1" w:styleId="MDPI62Acknowledgments">
    <w:name w:val="MDPI_6.2_Acknowledgments"/>
    <w:qFormat/>
    <w:rsid w:val="0046726B"/>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46726B"/>
    <w:pPr>
      <w:spacing w:before="240" w:after="120" w:line="260" w:lineRule="atLeast"/>
      <w:ind w:left="425" w:right="425"/>
    </w:pPr>
    <w:rPr>
      <w:snapToGrid/>
      <w:szCs w:val="22"/>
    </w:rPr>
  </w:style>
  <w:style w:type="paragraph" w:customStyle="1" w:styleId="MDPI42tablebody">
    <w:name w:val="MDPI_4.2_table_body"/>
    <w:qFormat/>
    <w:rsid w:val="007D1435"/>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46726B"/>
    <w:pPr>
      <w:spacing w:before="0"/>
      <w:ind w:left="0" w:right="0"/>
    </w:pPr>
  </w:style>
  <w:style w:type="paragraph" w:customStyle="1" w:styleId="MDPI51figurecaption">
    <w:name w:val="MDPI_5.1_figure_caption"/>
    <w:basedOn w:val="MDPI62Acknowledgments"/>
    <w:qFormat/>
    <w:rsid w:val="0046726B"/>
    <w:pPr>
      <w:spacing w:after="240" w:line="260" w:lineRule="atLeast"/>
      <w:ind w:left="425" w:right="425"/>
    </w:pPr>
    <w:rPr>
      <w:snapToGrid/>
    </w:rPr>
  </w:style>
  <w:style w:type="paragraph" w:customStyle="1" w:styleId="MDPI52figure">
    <w:name w:val="MDPI_5.2_figure"/>
    <w:qFormat/>
    <w:rsid w:val="0046726B"/>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46726B"/>
    <w:pPr>
      <w:spacing w:before="240"/>
    </w:pPr>
    <w:rPr>
      <w:lang w:eastAsia="en-US"/>
    </w:rPr>
  </w:style>
  <w:style w:type="paragraph" w:customStyle="1" w:styleId="MDPI63AuthorContributions">
    <w:name w:val="MDPI_6.3_AuthorContributions"/>
    <w:basedOn w:val="MDPI62Acknowledgments"/>
    <w:qFormat/>
    <w:rsid w:val="0046726B"/>
    <w:rPr>
      <w:rFonts w:eastAsia="SimSun"/>
      <w:color w:val="auto"/>
      <w:lang w:eastAsia="en-US"/>
    </w:rPr>
  </w:style>
  <w:style w:type="paragraph" w:customStyle="1" w:styleId="MDPI64CoI">
    <w:name w:val="MDPI_6.4_CoI"/>
    <w:basedOn w:val="MDPI62Acknowledgments"/>
    <w:qFormat/>
    <w:rsid w:val="0046726B"/>
  </w:style>
  <w:style w:type="paragraph" w:customStyle="1" w:styleId="MDPI81theorem">
    <w:name w:val="MDPI_8.1_theorem"/>
    <w:basedOn w:val="MDPI32textnoindent"/>
    <w:qFormat/>
    <w:rsid w:val="0046726B"/>
    <w:rPr>
      <w:i/>
    </w:rPr>
  </w:style>
  <w:style w:type="paragraph" w:customStyle="1" w:styleId="MDPI82proof">
    <w:name w:val="MDPI_8.2_proof"/>
    <w:basedOn w:val="MDPI32textnoindent"/>
    <w:qFormat/>
    <w:rsid w:val="0046726B"/>
  </w:style>
  <w:style w:type="paragraph" w:customStyle="1" w:styleId="MDPIfooterfirstpage">
    <w:name w:val="MDPI_footer_firstpage"/>
    <w:basedOn w:val="Normal"/>
    <w:qFormat/>
    <w:rsid w:val="0046726B"/>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46726B"/>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6726B"/>
    <w:pPr>
      <w:spacing w:before="240" w:after="120"/>
      <w:ind w:firstLine="0"/>
      <w:jc w:val="left"/>
      <w:outlineLvl w:val="2"/>
    </w:pPr>
  </w:style>
  <w:style w:type="paragraph" w:customStyle="1" w:styleId="MDPI21heading1">
    <w:name w:val="MDPI_2.1_heading1"/>
    <w:basedOn w:val="MDPI23heading3"/>
    <w:qFormat/>
    <w:rsid w:val="0046726B"/>
    <w:pPr>
      <w:outlineLvl w:val="0"/>
    </w:pPr>
    <w:rPr>
      <w:b/>
    </w:rPr>
  </w:style>
  <w:style w:type="paragraph" w:customStyle="1" w:styleId="MDPI22heading2">
    <w:name w:val="MDPI_2.2_heading2"/>
    <w:basedOn w:val="Normal"/>
    <w:qFormat/>
    <w:rsid w:val="0046726B"/>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6726B"/>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6726B"/>
    <w:pPr>
      <w:spacing w:line="240" w:lineRule="auto"/>
    </w:pPr>
    <w:rPr>
      <w:sz w:val="18"/>
      <w:szCs w:val="18"/>
    </w:rPr>
  </w:style>
  <w:style w:type="character" w:customStyle="1" w:styleId="BalloonTextChar">
    <w:name w:val="Balloon Text Char"/>
    <w:link w:val="BalloonText"/>
    <w:uiPriority w:val="99"/>
    <w:semiHidden/>
    <w:rsid w:val="0046726B"/>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6726B"/>
  </w:style>
  <w:style w:type="table" w:customStyle="1" w:styleId="MDPI41threelinetable">
    <w:name w:val="MDPI_4.1_three_line_table"/>
    <w:basedOn w:val="TableNormal"/>
    <w:uiPriority w:val="99"/>
    <w:rsid w:val="007D1435"/>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FB0D48"/>
    <w:rPr>
      <w:color w:val="0563C1"/>
      <w:u w:val="single"/>
    </w:rPr>
  </w:style>
  <w:style w:type="character" w:customStyle="1" w:styleId="UnresolvedMention1">
    <w:name w:val="Unresolved Mention1"/>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ListParagraph">
    <w:name w:val="List Paragraph"/>
    <w:basedOn w:val="Normal"/>
    <w:uiPriority w:val="34"/>
    <w:qFormat/>
    <w:rsid w:val="005468B0"/>
    <w:pPr>
      <w:spacing w:after="160" w:line="300" w:lineRule="auto"/>
      <w:ind w:left="720"/>
      <w:contextualSpacing/>
      <w:jc w:val="left"/>
    </w:pPr>
    <w:rPr>
      <w:rFonts w:ascii="Arial Narrow" w:eastAsia="Meiryo" w:hAnsi="Arial Narrow" w:cs="Arial"/>
      <w:color w:val="auto"/>
      <w:sz w:val="22"/>
      <w:szCs w:val="22"/>
      <w:lang w:eastAsia="ja-JP"/>
    </w:rPr>
  </w:style>
  <w:style w:type="character" w:customStyle="1" w:styleId="Heading1Char">
    <w:name w:val="Heading 1 Char"/>
    <w:basedOn w:val="DefaultParagraphFont"/>
    <w:link w:val="Heading1"/>
    <w:uiPriority w:val="9"/>
    <w:rsid w:val="004B655C"/>
    <w:rPr>
      <w:rFonts w:ascii="Arial Narrow" w:eastAsia="Meiryo" w:hAnsi="Arial Narrow" w:cs="Arial"/>
      <w:color w:val="B01513"/>
      <w:sz w:val="22"/>
      <w:szCs w:val="22"/>
      <w:lang w:val="en-US" w:eastAsia="ja-JP"/>
    </w:rPr>
  </w:style>
  <w:style w:type="character" w:customStyle="1" w:styleId="Heading2Char">
    <w:name w:val="Heading 2 Char"/>
    <w:basedOn w:val="DefaultParagraphFont"/>
    <w:link w:val="Heading2"/>
    <w:uiPriority w:val="9"/>
    <w:rsid w:val="004B655C"/>
    <w:rPr>
      <w:rFonts w:ascii="Century Gothic" w:eastAsia="Meiryo" w:hAnsi="Century Gothic"/>
      <w:color w:val="404040"/>
      <w:sz w:val="24"/>
      <w:szCs w:val="24"/>
      <w:lang w:val="en-US" w:eastAsia="ja-JP"/>
    </w:rPr>
  </w:style>
  <w:style w:type="character" w:customStyle="1" w:styleId="Heading3Char">
    <w:name w:val="Heading 3 Char"/>
    <w:basedOn w:val="DefaultParagraphFont"/>
    <w:link w:val="Heading3"/>
    <w:uiPriority w:val="9"/>
    <w:rsid w:val="004B655C"/>
    <w:rPr>
      <w:rFonts w:ascii="Century Gothic" w:eastAsia="Meiryo" w:hAnsi="Century Gothic"/>
      <w:color w:val="B01513"/>
      <w:sz w:val="22"/>
      <w:szCs w:val="22"/>
      <w:lang w:val="en-US" w:eastAsia="ja-JP"/>
    </w:rPr>
  </w:style>
  <w:style w:type="character" w:customStyle="1" w:styleId="Heading4Char">
    <w:name w:val="Heading 4 Char"/>
    <w:basedOn w:val="DefaultParagraphFont"/>
    <w:link w:val="Heading4"/>
    <w:uiPriority w:val="9"/>
    <w:semiHidden/>
    <w:rsid w:val="004B655C"/>
    <w:rPr>
      <w:rFonts w:ascii="Century Gothic" w:eastAsia="Meiryo" w:hAnsi="Century Gothic"/>
      <w:b/>
      <w:bCs/>
      <w:color w:val="000000"/>
      <w:lang w:val="en-US" w:eastAsia="ja-JP"/>
    </w:rPr>
  </w:style>
  <w:style w:type="character" w:customStyle="1" w:styleId="Heading5Char">
    <w:name w:val="Heading 5 Char"/>
    <w:basedOn w:val="DefaultParagraphFont"/>
    <w:link w:val="Heading5"/>
    <w:uiPriority w:val="9"/>
    <w:semiHidden/>
    <w:rsid w:val="004B655C"/>
    <w:rPr>
      <w:rFonts w:ascii="Century Gothic" w:eastAsia="Meiryo" w:hAnsi="Century Gothic"/>
      <w:lang w:val="en-US" w:eastAsia="ja-JP"/>
    </w:rPr>
  </w:style>
  <w:style w:type="character" w:customStyle="1" w:styleId="Heading6Char">
    <w:name w:val="Heading 6 Char"/>
    <w:basedOn w:val="DefaultParagraphFont"/>
    <w:link w:val="Heading6"/>
    <w:uiPriority w:val="9"/>
    <w:semiHidden/>
    <w:rsid w:val="004B655C"/>
    <w:rPr>
      <w:rFonts w:ascii="Century Gothic" w:eastAsia="Meiryo" w:hAnsi="Century Gothic"/>
      <w:b/>
      <w:bCs/>
      <w:i/>
      <w:iCs/>
      <w:lang w:val="en-US" w:eastAsia="ja-JP"/>
    </w:rPr>
  </w:style>
  <w:style w:type="character" w:customStyle="1" w:styleId="Heading7Char">
    <w:name w:val="Heading 7 Char"/>
    <w:basedOn w:val="DefaultParagraphFont"/>
    <w:link w:val="Heading7"/>
    <w:uiPriority w:val="9"/>
    <w:semiHidden/>
    <w:rsid w:val="004B655C"/>
    <w:rPr>
      <w:rFonts w:ascii="Century Gothic" w:eastAsia="Meiryo" w:hAnsi="Century Gothic"/>
      <w:i/>
      <w:iCs/>
      <w:color w:val="000000"/>
      <w:lang w:val="en-US" w:eastAsia="ja-JP"/>
    </w:rPr>
  </w:style>
  <w:style w:type="character" w:customStyle="1" w:styleId="Heading8Char">
    <w:name w:val="Heading 8 Char"/>
    <w:basedOn w:val="DefaultParagraphFont"/>
    <w:link w:val="Heading8"/>
    <w:uiPriority w:val="9"/>
    <w:semiHidden/>
    <w:rsid w:val="004B655C"/>
    <w:rPr>
      <w:rFonts w:ascii="Century Gothic" w:eastAsia="Meiryo" w:hAnsi="Century Gothic"/>
      <w:b/>
      <w:bCs/>
      <w:color w:val="000000"/>
      <w:sz w:val="22"/>
      <w:szCs w:val="22"/>
      <w:lang w:val="en-US" w:eastAsia="ja-JP"/>
    </w:rPr>
  </w:style>
  <w:style w:type="character" w:customStyle="1" w:styleId="Heading9Char">
    <w:name w:val="Heading 9 Char"/>
    <w:basedOn w:val="DefaultParagraphFont"/>
    <w:link w:val="Heading9"/>
    <w:uiPriority w:val="9"/>
    <w:semiHidden/>
    <w:rsid w:val="004B655C"/>
    <w:rPr>
      <w:rFonts w:ascii="Century Gothic" w:eastAsia="Meiryo" w:hAnsi="Century Gothic"/>
      <w:b/>
      <w:bCs/>
      <w:i/>
      <w:iCs/>
      <w:color w:val="000000"/>
      <w:sz w:val="22"/>
      <w:szCs w:val="22"/>
      <w:lang w:val="en-US" w:eastAsia="ja-JP"/>
    </w:rPr>
  </w:style>
  <w:style w:type="paragraph" w:styleId="BodyTextIndent">
    <w:name w:val="Body Text Indent"/>
    <w:basedOn w:val="Normal"/>
    <w:link w:val="BodyTextIndentChar"/>
    <w:rsid w:val="001219F0"/>
    <w:pPr>
      <w:spacing w:line="240" w:lineRule="auto"/>
      <w:ind w:left="720"/>
      <w:jc w:val="left"/>
    </w:pPr>
    <w:rPr>
      <w:i/>
      <w:color w:val="auto"/>
      <w:lang w:val="en-GB" w:eastAsia="en-US"/>
    </w:rPr>
  </w:style>
  <w:style w:type="character" w:customStyle="1" w:styleId="BodyTextIndentChar">
    <w:name w:val="Body Text Indent Char"/>
    <w:basedOn w:val="DefaultParagraphFont"/>
    <w:link w:val="BodyTextIndent"/>
    <w:rsid w:val="001219F0"/>
    <w:rPr>
      <w:rFonts w:ascii="Times New Roman" w:eastAsia="Times New Roman" w:hAnsi="Times New Roman"/>
      <w:i/>
      <w:sz w:val="24"/>
      <w:lang w:eastAsia="en-US"/>
    </w:rPr>
  </w:style>
  <w:style w:type="table" w:customStyle="1" w:styleId="TableGrid1">
    <w:name w:val="Table Grid1"/>
    <w:basedOn w:val="TableNormal"/>
    <w:next w:val="TableGrid"/>
    <w:uiPriority w:val="39"/>
    <w:rsid w:val="00CE27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4654B"/>
    <w:rPr>
      <w:rFonts w:ascii="Arial Narrow" w:eastAsiaTheme="minorEastAsia" w:hAnsi="Arial Narrow" w:cs="Arial"/>
      <w:sz w:val="22"/>
      <w:szCs w:val="22"/>
      <w:lang w:val="en-US" w:eastAsia="ja-JP"/>
    </w:rPr>
  </w:style>
  <w:style w:type="character" w:styleId="CommentReference">
    <w:name w:val="annotation reference"/>
    <w:basedOn w:val="DefaultParagraphFont"/>
    <w:uiPriority w:val="99"/>
    <w:semiHidden/>
    <w:unhideWhenUsed/>
    <w:rsid w:val="00DE3E27"/>
    <w:rPr>
      <w:sz w:val="16"/>
      <w:szCs w:val="16"/>
    </w:rPr>
  </w:style>
  <w:style w:type="paragraph" w:styleId="CommentText">
    <w:name w:val="annotation text"/>
    <w:basedOn w:val="Normal"/>
    <w:link w:val="CommentTextChar"/>
    <w:uiPriority w:val="99"/>
    <w:semiHidden/>
    <w:unhideWhenUsed/>
    <w:rsid w:val="00DE3E27"/>
    <w:pPr>
      <w:spacing w:line="240" w:lineRule="auto"/>
    </w:pPr>
    <w:rPr>
      <w:sz w:val="20"/>
    </w:rPr>
  </w:style>
  <w:style w:type="character" w:customStyle="1" w:styleId="CommentTextChar">
    <w:name w:val="Comment Text Char"/>
    <w:basedOn w:val="DefaultParagraphFont"/>
    <w:link w:val="CommentText"/>
    <w:uiPriority w:val="99"/>
    <w:semiHidden/>
    <w:rsid w:val="00DE3E27"/>
    <w:rPr>
      <w:rFonts w:ascii="Times New Roman" w:eastAsia="Times New Roman" w:hAnsi="Times New Roman"/>
      <w:color w:val="000000"/>
      <w:lang w:val="en-US" w:eastAsia="de-DE"/>
    </w:rPr>
  </w:style>
  <w:style w:type="paragraph" w:styleId="CommentSubject">
    <w:name w:val="annotation subject"/>
    <w:basedOn w:val="CommentText"/>
    <w:next w:val="CommentText"/>
    <w:link w:val="CommentSubjectChar"/>
    <w:uiPriority w:val="99"/>
    <w:semiHidden/>
    <w:unhideWhenUsed/>
    <w:rsid w:val="00DE3E27"/>
    <w:rPr>
      <w:b/>
      <w:bCs/>
    </w:rPr>
  </w:style>
  <w:style w:type="character" w:customStyle="1" w:styleId="CommentSubjectChar">
    <w:name w:val="Comment Subject Char"/>
    <w:basedOn w:val="CommentTextChar"/>
    <w:link w:val="CommentSubject"/>
    <w:uiPriority w:val="99"/>
    <w:semiHidden/>
    <w:rsid w:val="00DE3E27"/>
    <w:rPr>
      <w:rFonts w:ascii="Times New Roman" w:eastAsia="Times New Roman" w:hAnsi="Times New Roman"/>
      <w:b/>
      <w:bCs/>
      <w:color w:val="000000"/>
      <w:lang w:val="en-US" w:eastAsia="de-DE"/>
    </w:rPr>
  </w:style>
  <w:style w:type="character" w:styleId="FollowedHyperlink">
    <w:name w:val="FollowedHyperlink"/>
    <w:basedOn w:val="DefaultParagraphFont"/>
    <w:uiPriority w:val="99"/>
    <w:semiHidden/>
    <w:unhideWhenUsed/>
    <w:rsid w:val="00B90334"/>
    <w:rPr>
      <w:color w:val="954F72" w:themeColor="followedHyperlink"/>
      <w:u w:val="single"/>
    </w:rPr>
  </w:style>
  <w:style w:type="character" w:customStyle="1" w:styleId="UnresolvedMention2">
    <w:name w:val="Unresolved Mention2"/>
    <w:basedOn w:val="DefaultParagraphFont"/>
    <w:uiPriority w:val="99"/>
    <w:semiHidden/>
    <w:unhideWhenUsed/>
    <w:rsid w:val="00117D0D"/>
    <w:rPr>
      <w:color w:val="605E5C"/>
      <w:shd w:val="clear" w:color="auto" w:fill="E1DFDD"/>
    </w:rPr>
  </w:style>
  <w:style w:type="paragraph" w:customStyle="1" w:styleId="Default">
    <w:name w:val="Default"/>
    <w:rsid w:val="00CB571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to116@pgr.aru.ac.uk" TargetMode="External"/><Relationship Id="rId13" Type="http://schemas.openxmlformats.org/officeDocument/2006/relationships/header" Target="header1.xml"/><Relationship Id="rId18" Type="http://schemas.openxmlformats.org/officeDocument/2006/relationships/hyperlink" Target="https://www.sealedenvelope.com/help/simple-randomiser/studen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mes.johnstone@aru.ac.u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endon.stubbs@kcl.ac.u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ee.smith@aru.ac.u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tully@ulster.ac.uk"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3845B-4345-42EE-BF93-C482A9025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23006</Words>
  <Characters>131139</Characters>
  <Application>Microsoft Office Word</Application>
  <DocSecurity>0</DocSecurity>
  <Lines>1092</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153838</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Blanshard, Lisa</cp:lastModifiedBy>
  <cp:revision>3</cp:revision>
  <dcterms:created xsi:type="dcterms:W3CDTF">2021-02-28T21:28:00Z</dcterms:created>
  <dcterms:modified xsi:type="dcterms:W3CDTF">2021-03-01T11:02:00Z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http://www.zotero.org/styles/ageing-research-reviews</vt:lpwstr>
  </property>
  <property fmtid="{D5CDD505-2E9C-101B-9397-08002B2CF9AE}" pid="3" name="Mendeley Recent Style Name 0_1">
    <vt:lpwstr>Ageing Research Reviews</vt:lpwstr>
  </property>
  <property fmtid="{D5CDD505-2E9C-101B-9397-08002B2CF9AE}" pid="4" name="Mendeley Recent Style Id 1_1">
    <vt:lpwstr>http://www.zotero.org/styles/american-medical-association</vt:lpwstr>
  </property>
  <property fmtid="{D5CDD505-2E9C-101B-9397-08002B2CF9AE}" pid="5" name="Mendeley Recent Style Name 1_1">
    <vt:lpwstr>American Medical Association</vt:lpwstr>
  </property>
  <property fmtid="{D5CDD505-2E9C-101B-9397-08002B2CF9AE}" pid="6" name="Mendeley Recent Style Id 2_1">
    <vt:lpwstr>http://www.zotero.org/styles/american-political-science-association</vt:lpwstr>
  </property>
  <property fmtid="{D5CDD505-2E9C-101B-9397-08002B2CF9AE}" pid="7" name="Mendeley Recent Style Name 2_1">
    <vt:lpwstr>American Political Science Association</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6th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64a84f80-4d5e-3617-9af7-6531aa613869</vt:lpwstr>
  </property>
  <property fmtid="{D5CDD505-2E9C-101B-9397-08002B2CF9AE}" pid="24" name="Mendeley Citation Style_1">
    <vt:lpwstr>http://www.zotero.org/styles/apa</vt:lpwstr>
  </property>
</Properties>
</file>