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7B826" w14:textId="77777777" w:rsidR="00C54AAC" w:rsidRDefault="001536CF" w:rsidP="00C34938">
      <w:pPr>
        <w:pStyle w:val="Title"/>
      </w:pPr>
      <w:r>
        <w:t>Micro-thin Descemet stripping automated endothelial keratoplasty versus Descemet membrane endothelial keratoplasty: A randomized clinical trial</w:t>
      </w:r>
      <w:r>
        <w:br/>
      </w:r>
    </w:p>
    <w:p w14:paraId="28D06871" w14:textId="21393BBC" w:rsidR="00C54AAC" w:rsidRDefault="001536CF">
      <w:pPr>
        <w:pStyle w:val="BodyA"/>
        <w:spacing w:line="360" w:lineRule="auto"/>
        <w:jc w:val="both"/>
        <w:rPr>
          <w:u w:val="single"/>
          <w:vertAlign w:val="superscript"/>
        </w:rPr>
      </w:pPr>
      <w:r>
        <w:t xml:space="preserve">Artemis </w:t>
      </w:r>
      <w:proofErr w:type="spellStart"/>
      <w:r>
        <w:t>Matsou</w:t>
      </w:r>
      <w:proofErr w:type="spellEnd"/>
      <w:r>
        <w:t xml:space="preserve"> MD, FEBO</w:t>
      </w:r>
      <w:r>
        <w:rPr>
          <w:vertAlign w:val="superscript"/>
        </w:rPr>
        <w:t>1*</w:t>
      </w:r>
      <w:r>
        <w:t xml:space="preserve">, </w:t>
      </w:r>
      <w:proofErr w:type="spellStart"/>
      <w:r>
        <w:t>Rathin</w:t>
      </w:r>
      <w:proofErr w:type="spellEnd"/>
      <w:r>
        <w:t xml:space="preserve"> Pujari MA(</w:t>
      </w:r>
      <w:proofErr w:type="spellStart"/>
      <w:r>
        <w:t>Cantab</w:t>
      </w:r>
      <w:proofErr w:type="spellEnd"/>
      <w:r>
        <w:t>), MBBChir</w:t>
      </w:r>
      <w:r>
        <w:rPr>
          <w:vertAlign w:val="superscript"/>
        </w:rPr>
        <w:t>1*</w:t>
      </w:r>
      <w:r>
        <w:t>, Hammad Sarwar FCPS(Pak), FRCS(</w:t>
      </w:r>
      <w:proofErr w:type="spellStart"/>
      <w:r>
        <w:t>Glasg</w:t>
      </w:r>
      <w:proofErr w:type="spellEnd"/>
      <w:r>
        <w:t>)</w:t>
      </w:r>
      <w:r>
        <w:rPr>
          <w:vertAlign w:val="superscript"/>
        </w:rPr>
        <w:t>1</w:t>
      </w:r>
      <w:r>
        <w:t xml:space="preserve">, Mrinal Rana </w:t>
      </w:r>
      <w:proofErr w:type="spellStart"/>
      <w:r>
        <w:t>MRCOphth</w:t>
      </w:r>
      <w:proofErr w:type="spellEnd"/>
      <w:r>
        <w:t>, FRCOphth</w:t>
      </w:r>
      <w:r>
        <w:rPr>
          <w:vertAlign w:val="superscript"/>
        </w:rPr>
        <w:t>1</w:t>
      </w:r>
      <w:r>
        <w:t>, James Myerscough MSc, FRCOphth</w:t>
      </w:r>
      <w:r>
        <w:rPr>
          <w:vertAlign w:val="superscript"/>
        </w:rPr>
        <w:t>1</w:t>
      </w:r>
      <w:r>
        <w:t xml:space="preserve">, Susan M Thomson </w:t>
      </w:r>
      <w:proofErr w:type="gramStart"/>
      <w:r>
        <w:t>BSc(</w:t>
      </w:r>
      <w:proofErr w:type="gramEnd"/>
      <w:r>
        <w:t>Hons), MCOptom</w:t>
      </w:r>
      <w:r>
        <w:rPr>
          <w:vertAlign w:val="superscript"/>
        </w:rPr>
        <w:t>1</w:t>
      </w:r>
      <w:r>
        <w:t xml:space="preserve">, </w:t>
      </w:r>
      <w:proofErr w:type="spellStart"/>
      <w:r>
        <w:t>Girinath</w:t>
      </w:r>
      <w:proofErr w:type="spellEnd"/>
      <w:r>
        <w:t xml:space="preserve"> Nandakumar BA(</w:t>
      </w:r>
      <w:proofErr w:type="spellStart"/>
      <w:r>
        <w:t>Cantab</w:t>
      </w:r>
      <w:proofErr w:type="spellEnd"/>
      <w:r>
        <w:t>)</w:t>
      </w:r>
      <w:r>
        <w:rPr>
          <w:vertAlign w:val="superscript"/>
        </w:rPr>
        <w:t>1</w:t>
      </w:r>
      <w:r>
        <w:t xml:space="preserve"> , Jufen Zhang PhD</w:t>
      </w:r>
      <w:r>
        <w:rPr>
          <w:vertAlign w:val="superscript"/>
        </w:rPr>
        <w:t>2</w:t>
      </w:r>
      <w:r>
        <w:t xml:space="preserve">, </w:t>
      </w:r>
      <w:proofErr w:type="spellStart"/>
      <w:r>
        <w:t>Madhavan</w:t>
      </w:r>
      <w:proofErr w:type="spellEnd"/>
      <w:r>
        <w:t xml:space="preserve"> S </w:t>
      </w:r>
      <w:proofErr w:type="spellStart"/>
      <w:r>
        <w:t>Rajan</w:t>
      </w:r>
      <w:proofErr w:type="spellEnd"/>
      <w:r>
        <w:t xml:space="preserve"> MD, FRCOphth</w:t>
      </w:r>
      <w:r>
        <w:rPr>
          <w:vertAlign w:val="superscript"/>
        </w:rPr>
        <w:t>1,2</w:t>
      </w:r>
    </w:p>
    <w:p w14:paraId="5E439156" w14:textId="77777777" w:rsidR="00C54AAC" w:rsidRDefault="00C54AAC">
      <w:pPr>
        <w:pStyle w:val="BodyA"/>
      </w:pPr>
    </w:p>
    <w:p w14:paraId="612B8BB9" w14:textId="77777777" w:rsidR="00C54AAC" w:rsidRDefault="001536CF">
      <w:pPr>
        <w:pStyle w:val="BodyA"/>
      </w:pPr>
      <w:r>
        <w:rPr>
          <w:vertAlign w:val="superscript"/>
        </w:rPr>
        <w:t>1</w:t>
      </w:r>
      <w:r>
        <w:t xml:space="preserve"> Department of Ophthalmology, Cambridge University Hospitals and Cambridge Eye Research Centre, Cambridge, UK</w:t>
      </w:r>
    </w:p>
    <w:p w14:paraId="5E9C1F3B" w14:textId="77777777" w:rsidR="00C54AAC" w:rsidRDefault="001536CF">
      <w:pPr>
        <w:pStyle w:val="BodyA"/>
      </w:pPr>
      <w:r>
        <w:rPr>
          <w:vertAlign w:val="superscript"/>
        </w:rPr>
        <w:t>2</w:t>
      </w:r>
      <w:r>
        <w:t xml:space="preserve"> Vision and Eye Research Institute, School of Medicine, Faculty of Health, Education, Medicine and Social Care, Anglia Ruskin University</w:t>
      </w:r>
    </w:p>
    <w:p w14:paraId="26671146" w14:textId="77777777" w:rsidR="00C54AAC" w:rsidRDefault="001536CF">
      <w:pPr>
        <w:pStyle w:val="BodyA"/>
      </w:pPr>
      <w:r>
        <w:rPr>
          <w:vertAlign w:val="superscript"/>
        </w:rPr>
        <w:t>*</w:t>
      </w:r>
      <w:r>
        <w:t xml:space="preserve">Dr Artemis </w:t>
      </w:r>
      <w:proofErr w:type="spellStart"/>
      <w:r>
        <w:t>Matsou</w:t>
      </w:r>
      <w:proofErr w:type="spellEnd"/>
      <w:r>
        <w:t xml:space="preserve"> and Dr </w:t>
      </w:r>
      <w:proofErr w:type="spellStart"/>
      <w:r>
        <w:t>Rathin</w:t>
      </w:r>
      <w:proofErr w:type="spellEnd"/>
      <w:r>
        <w:t xml:space="preserve"> Pujari are joint first authors of this paper</w:t>
      </w:r>
    </w:p>
    <w:p w14:paraId="5B0E610D" w14:textId="77777777" w:rsidR="00C54AAC" w:rsidRDefault="00C54AAC">
      <w:pPr>
        <w:pStyle w:val="BodyA"/>
      </w:pPr>
    </w:p>
    <w:p w14:paraId="51AE1985" w14:textId="77777777" w:rsidR="00C54AAC" w:rsidRDefault="001536CF">
      <w:pPr>
        <w:pStyle w:val="BodyA"/>
      </w:pPr>
      <w:r>
        <w:rPr>
          <w:u w:val="single"/>
        </w:rPr>
        <w:t>Corresponding author</w:t>
      </w:r>
      <w:r>
        <w:t>:</w:t>
      </w:r>
    </w:p>
    <w:p w14:paraId="1F15EF71" w14:textId="77777777" w:rsidR="00C54AAC" w:rsidRDefault="001536CF">
      <w:pPr>
        <w:pStyle w:val="BodyA"/>
      </w:pPr>
      <w:r>
        <w:t xml:space="preserve">Artemis </w:t>
      </w:r>
      <w:proofErr w:type="spellStart"/>
      <w:r>
        <w:t>Matsou</w:t>
      </w:r>
      <w:proofErr w:type="spellEnd"/>
      <w:r>
        <w:t xml:space="preserve"> MD, FEBO, MRCP(UK)</w:t>
      </w:r>
    </w:p>
    <w:p w14:paraId="278F79A6" w14:textId="77777777" w:rsidR="00C54AAC" w:rsidRDefault="001536CF">
      <w:pPr>
        <w:pStyle w:val="BodyA"/>
      </w:pPr>
      <w:r>
        <w:t>Department of Ophthalmology</w:t>
      </w:r>
    </w:p>
    <w:p w14:paraId="463AA69A" w14:textId="77777777" w:rsidR="00C54AAC" w:rsidRDefault="001536CF">
      <w:pPr>
        <w:pStyle w:val="BodyA"/>
      </w:pPr>
      <w:r>
        <w:t xml:space="preserve">Cambridge University Hospitals </w:t>
      </w:r>
    </w:p>
    <w:p w14:paraId="53163EDB" w14:textId="77777777" w:rsidR="00C54AAC" w:rsidRDefault="001536CF">
      <w:pPr>
        <w:pStyle w:val="BodyA"/>
      </w:pPr>
      <w:r>
        <w:t>Cambridge, UK</w:t>
      </w:r>
    </w:p>
    <w:p w14:paraId="17763A64" w14:textId="77777777" w:rsidR="00C54AAC" w:rsidRDefault="001536CF">
      <w:pPr>
        <w:pStyle w:val="BodyA"/>
      </w:pPr>
      <w:r>
        <w:t>artemis.matsou1@nhs.net</w:t>
      </w:r>
    </w:p>
    <w:p w14:paraId="2238CDBE" w14:textId="3B85113F" w:rsidR="00C54AAC" w:rsidRDefault="00C54AAC">
      <w:pPr>
        <w:pStyle w:val="BodyA"/>
      </w:pPr>
    </w:p>
    <w:p w14:paraId="7AF36CDC" w14:textId="3E87C259" w:rsidR="00DC4C69" w:rsidRDefault="00DC4C69">
      <w:pPr>
        <w:pStyle w:val="BodyA"/>
      </w:pPr>
    </w:p>
    <w:p w14:paraId="7937AAFE" w14:textId="77777777" w:rsidR="00DC4C69" w:rsidRDefault="00DC4C69">
      <w:pPr>
        <w:pStyle w:val="BodyA"/>
      </w:pPr>
    </w:p>
    <w:p w14:paraId="7839C38B" w14:textId="77777777" w:rsidR="00C54AAC" w:rsidRDefault="00C54AAC">
      <w:pPr>
        <w:pStyle w:val="BodyA"/>
      </w:pPr>
    </w:p>
    <w:p w14:paraId="3932B10F" w14:textId="77777777" w:rsidR="00C54AAC" w:rsidRDefault="00C54AAC">
      <w:pPr>
        <w:pStyle w:val="BodyA"/>
      </w:pPr>
    </w:p>
    <w:p w14:paraId="68BF55A7" w14:textId="77777777" w:rsidR="00C54AAC" w:rsidRDefault="00C54AAC">
      <w:pPr>
        <w:pStyle w:val="BodyA"/>
      </w:pPr>
    </w:p>
    <w:p w14:paraId="0F45D345" w14:textId="77777777" w:rsidR="00C54AAC" w:rsidRDefault="001536CF">
      <w:pPr>
        <w:pStyle w:val="BodyA"/>
      </w:pPr>
      <w:r>
        <w:rPr>
          <w:u w:val="single"/>
        </w:rPr>
        <w:t>Conflict of interest</w:t>
      </w:r>
      <w:r>
        <w:t>: No conflicting relationship exists for any author</w:t>
      </w:r>
    </w:p>
    <w:p w14:paraId="04C6AB41" w14:textId="77777777" w:rsidR="00C54AAC" w:rsidRDefault="00C54AAC">
      <w:pPr>
        <w:pStyle w:val="BodyA"/>
      </w:pPr>
    </w:p>
    <w:p w14:paraId="54A47E08" w14:textId="77777777" w:rsidR="00C54AAC" w:rsidRDefault="00C54AAC">
      <w:pPr>
        <w:pStyle w:val="BodyA"/>
      </w:pPr>
    </w:p>
    <w:p w14:paraId="4583D332" w14:textId="77777777" w:rsidR="00C54AAC" w:rsidRDefault="001536CF">
      <w:pPr>
        <w:pStyle w:val="BodyA"/>
      </w:pPr>
      <w:r>
        <w:rPr>
          <w:u w:val="single"/>
        </w:rPr>
        <w:t>Running head:</w:t>
      </w:r>
      <w:r>
        <w:t xml:space="preserve"> </w:t>
      </w:r>
      <w:proofErr w:type="spellStart"/>
      <w:r>
        <w:t>Microthin</w:t>
      </w:r>
      <w:proofErr w:type="spellEnd"/>
      <w:r>
        <w:t xml:space="preserve"> DSAEK versus DMEK Clinical Trial</w:t>
      </w:r>
      <w:r>
        <w:rPr>
          <w:b/>
          <w:bCs/>
        </w:rPr>
        <w:t xml:space="preserve"> </w:t>
      </w:r>
    </w:p>
    <w:p w14:paraId="6D49FA48" w14:textId="77777777" w:rsidR="00C54AAC" w:rsidRDefault="00C54AAC">
      <w:pPr>
        <w:pStyle w:val="BodyA"/>
      </w:pPr>
    </w:p>
    <w:p w14:paraId="4A13832F" w14:textId="77777777" w:rsidR="00C54AAC" w:rsidRDefault="00C54AAC">
      <w:pPr>
        <w:pStyle w:val="BodyA"/>
      </w:pPr>
    </w:p>
    <w:p w14:paraId="699C729F" w14:textId="77777777" w:rsidR="00C54AAC" w:rsidRDefault="001536CF">
      <w:pPr>
        <w:pStyle w:val="BodyA"/>
        <w:spacing w:line="360" w:lineRule="auto"/>
        <w:jc w:val="both"/>
        <w:rPr>
          <w:u w:val="single"/>
        </w:rPr>
      </w:pPr>
      <w:r>
        <w:rPr>
          <w:u w:val="single"/>
        </w:rPr>
        <w:t>Address for reprints:</w:t>
      </w:r>
    </w:p>
    <w:p w14:paraId="31E621B8" w14:textId="77777777" w:rsidR="00C54AAC" w:rsidRDefault="001536CF">
      <w:pPr>
        <w:pStyle w:val="BodyA"/>
        <w:spacing w:line="360" w:lineRule="auto"/>
        <w:jc w:val="both"/>
      </w:pPr>
      <w:r>
        <w:t xml:space="preserve">Prof </w:t>
      </w:r>
      <w:proofErr w:type="spellStart"/>
      <w:r>
        <w:t>Madhavan</w:t>
      </w:r>
      <w:proofErr w:type="spellEnd"/>
      <w:r>
        <w:t xml:space="preserve"> S </w:t>
      </w:r>
      <w:proofErr w:type="spellStart"/>
      <w:r>
        <w:t>Rajan</w:t>
      </w:r>
      <w:proofErr w:type="spellEnd"/>
    </w:p>
    <w:p w14:paraId="64A84F28" w14:textId="77777777" w:rsidR="00C54AAC" w:rsidRDefault="001536CF">
      <w:pPr>
        <w:pStyle w:val="BodyA"/>
        <w:spacing w:line="360" w:lineRule="auto"/>
        <w:jc w:val="both"/>
      </w:pPr>
      <w:r>
        <w:t>Department of Ophthalmology</w:t>
      </w:r>
    </w:p>
    <w:p w14:paraId="27F19E07" w14:textId="77777777" w:rsidR="00C54AAC" w:rsidRDefault="001536CF">
      <w:pPr>
        <w:pStyle w:val="BodyA"/>
        <w:spacing w:line="360" w:lineRule="auto"/>
        <w:jc w:val="both"/>
      </w:pPr>
      <w:r>
        <w:t xml:space="preserve">Cambridge University Hospitals </w:t>
      </w:r>
    </w:p>
    <w:p w14:paraId="7B484CFA" w14:textId="77777777" w:rsidR="00C54AAC" w:rsidRDefault="001536CF">
      <w:pPr>
        <w:pStyle w:val="BodyA"/>
        <w:spacing w:line="360" w:lineRule="auto"/>
        <w:jc w:val="both"/>
      </w:pPr>
      <w:r>
        <w:t>Cambridge. UK</w:t>
      </w:r>
    </w:p>
    <w:p w14:paraId="1FBE1C3E" w14:textId="77777777" w:rsidR="00C54AAC" w:rsidRDefault="001536CF">
      <w:pPr>
        <w:pStyle w:val="BodyA"/>
        <w:spacing w:line="360" w:lineRule="auto"/>
        <w:jc w:val="both"/>
      </w:pPr>
      <w:r>
        <w:t>Email: Madhavan.rajan@addenbrookes.nhs.uk</w:t>
      </w:r>
    </w:p>
    <w:p w14:paraId="5B4E2F18" w14:textId="77777777" w:rsidR="00C54AAC" w:rsidRDefault="00C54AAC">
      <w:pPr>
        <w:pStyle w:val="BodyA"/>
      </w:pPr>
    </w:p>
    <w:p w14:paraId="1E7A949D" w14:textId="77777777" w:rsidR="00DC4C69" w:rsidRDefault="00DC4C69">
      <w:pPr>
        <w:pStyle w:val="BodyA"/>
        <w:rPr>
          <w:u w:val="single"/>
        </w:rPr>
      </w:pPr>
    </w:p>
    <w:p w14:paraId="4AEE53AD" w14:textId="77777777" w:rsidR="00DC4C69" w:rsidRDefault="00DC4C69">
      <w:pPr>
        <w:pStyle w:val="BodyA"/>
        <w:rPr>
          <w:u w:val="single"/>
        </w:rPr>
      </w:pPr>
    </w:p>
    <w:p w14:paraId="18E416A3" w14:textId="77777777" w:rsidR="00DC4C69" w:rsidRDefault="00DC4C69">
      <w:pPr>
        <w:pStyle w:val="BodyA"/>
        <w:rPr>
          <w:u w:val="single"/>
        </w:rPr>
      </w:pPr>
    </w:p>
    <w:p w14:paraId="61718AE0" w14:textId="1CCDA949" w:rsidR="00C54AAC" w:rsidRDefault="001536CF">
      <w:pPr>
        <w:pStyle w:val="BodyA"/>
        <w:rPr>
          <w:u w:val="single"/>
        </w:rPr>
      </w:pPr>
      <w:r>
        <w:rPr>
          <w:u w:val="single"/>
        </w:rPr>
        <w:t>Abbreviations and Acronyms</w:t>
      </w:r>
    </w:p>
    <w:p w14:paraId="5BE9A770" w14:textId="77777777" w:rsidR="00C54AAC" w:rsidRDefault="00C54AAC">
      <w:pPr>
        <w:pStyle w:val="BodyA"/>
      </w:pPr>
    </w:p>
    <w:p w14:paraId="2DC95B64" w14:textId="77777777" w:rsidR="00C54AAC" w:rsidRDefault="001536CF">
      <w:pPr>
        <w:pStyle w:val="BodyA"/>
        <w:spacing w:line="276" w:lineRule="auto"/>
      </w:pPr>
      <w:r>
        <w:t>BSCVA: best spectacle-corrected visual acuity</w:t>
      </w:r>
    </w:p>
    <w:p w14:paraId="20C3CDCB" w14:textId="77777777" w:rsidR="00C54AAC" w:rsidRDefault="001536CF">
      <w:pPr>
        <w:pStyle w:val="BodyA"/>
        <w:spacing w:line="276" w:lineRule="auto"/>
      </w:pPr>
      <w:r>
        <w:t>BSS: balanced salt solution</w:t>
      </w:r>
    </w:p>
    <w:p w14:paraId="12BA9CA5" w14:textId="77777777" w:rsidR="00C54AAC" w:rsidRDefault="001536CF">
      <w:pPr>
        <w:pStyle w:val="BodyA"/>
        <w:spacing w:line="276" w:lineRule="auto"/>
      </w:pPr>
      <w:r>
        <w:t>CI: confidence interval</w:t>
      </w:r>
    </w:p>
    <w:p w14:paraId="1C182CC0" w14:textId="77777777" w:rsidR="00C54AAC" w:rsidRDefault="001536CF">
      <w:pPr>
        <w:pStyle w:val="BodyA"/>
        <w:spacing w:line="276" w:lineRule="auto"/>
      </w:pPr>
      <w:r>
        <w:t>CCT: central corneal thickness</w:t>
      </w:r>
    </w:p>
    <w:p w14:paraId="66798E2D" w14:textId="77777777" w:rsidR="00C54AAC" w:rsidRDefault="001536CF">
      <w:pPr>
        <w:pStyle w:val="BodyA"/>
        <w:spacing w:line="276" w:lineRule="auto"/>
      </w:pPr>
      <w:r>
        <w:t>CGT: central graft thickness</w:t>
      </w:r>
    </w:p>
    <w:p w14:paraId="605038AD" w14:textId="77777777" w:rsidR="00C54AAC" w:rsidRDefault="001536CF">
      <w:pPr>
        <w:pStyle w:val="BodyA"/>
        <w:spacing w:line="276" w:lineRule="auto"/>
      </w:pPr>
      <w:r>
        <w:t>DMEK: Descemet’s membrane endothelial keratoplasty</w:t>
      </w:r>
    </w:p>
    <w:p w14:paraId="009B2702" w14:textId="77777777" w:rsidR="00C54AAC" w:rsidRDefault="001536CF">
      <w:pPr>
        <w:pStyle w:val="BodyA"/>
        <w:spacing w:line="276" w:lineRule="auto"/>
      </w:pPr>
      <w:r>
        <w:t>DSAEK: Descemet stripping automated endothelial keratoplasty</w:t>
      </w:r>
    </w:p>
    <w:p w14:paraId="5B342941" w14:textId="77777777" w:rsidR="00C54AAC" w:rsidRDefault="001536CF">
      <w:pPr>
        <w:pStyle w:val="BodyA"/>
        <w:spacing w:line="276" w:lineRule="auto"/>
      </w:pPr>
      <w:r>
        <w:t>ECC: endothelial cell count</w:t>
      </w:r>
    </w:p>
    <w:p w14:paraId="7B1F7EEC" w14:textId="77777777" w:rsidR="00C54AAC" w:rsidRDefault="001536CF">
      <w:pPr>
        <w:pStyle w:val="BodyA"/>
        <w:spacing w:line="276" w:lineRule="auto"/>
      </w:pPr>
      <w:r>
        <w:t>EDTRS: Early Treatment Diabetic Retinopathy Study</w:t>
      </w:r>
    </w:p>
    <w:p w14:paraId="02552703" w14:textId="77777777" w:rsidR="00C54AAC" w:rsidRDefault="001536CF">
      <w:pPr>
        <w:pStyle w:val="BodyA"/>
        <w:spacing w:line="276" w:lineRule="auto"/>
      </w:pPr>
      <w:r>
        <w:t xml:space="preserve">EK: endothelial keratoplasty </w:t>
      </w:r>
    </w:p>
    <w:p w14:paraId="17C65A8F" w14:textId="77777777" w:rsidR="00C54AAC" w:rsidRDefault="001536CF">
      <w:pPr>
        <w:pStyle w:val="BodyA"/>
        <w:spacing w:line="276" w:lineRule="auto"/>
        <w:rPr>
          <w:lang w:val="es-ES_tradnl"/>
        </w:rPr>
      </w:pPr>
      <w:r>
        <w:rPr>
          <w:lang w:val="es-ES_tradnl"/>
        </w:rPr>
        <w:t xml:space="preserve">IOL: intraocular </w:t>
      </w:r>
      <w:proofErr w:type="spellStart"/>
      <w:r>
        <w:rPr>
          <w:lang w:val="es-ES_tradnl"/>
        </w:rPr>
        <w:t>lens</w:t>
      </w:r>
      <w:proofErr w:type="spellEnd"/>
    </w:p>
    <w:p w14:paraId="2F8CE9D5" w14:textId="77777777" w:rsidR="00C54AAC" w:rsidRDefault="001536CF">
      <w:pPr>
        <w:pStyle w:val="BodyA"/>
        <w:spacing w:line="276" w:lineRule="auto"/>
      </w:pPr>
      <w:proofErr w:type="spellStart"/>
      <w:r>
        <w:t>logMAR</w:t>
      </w:r>
      <w:proofErr w:type="spellEnd"/>
      <w:r>
        <w:t>: logarithm of the minimum angle of resolution</w:t>
      </w:r>
    </w:p>
    <w:p w14:paraId="4BF35E9B" w14:textId="77777777" w:rsidR="00C54AAC" w:rsidRDefault="001536CF">
      <w:pPr>
        <w:pStyle w:val="BodyA"/>
        <w:spacing w:line="276" w:lineRule="auto"/>
      </w:pPr>
      <w:r>
        <w:t>MT-DSAEK: micro-thin Descemet stripping automated endothelial keratoplasty</w:t>
      </w:r>
    </w:p>
    <w:p w14:paraId="52812C0F" w14:textId="77777777" w:rsidR="00C54AAC" w:rsidRDefault="001536CF">
      <w:pPr>
        <w:pStyle w:val="BodyA"/>
        <w:spacing w:line="276" w:lineRule="auto"/>
      </w:pPr>
      <w:r>
        <w:t xml:space="preserve">QoL: quality of life </w:t>
      </w:r>
    </w:p>
    <w:p w14:paraId="40842DCA" w14:textId="77777777" w:rsidR="00C54AAC" w:rsidRDefault="001536CF">
      <w:pPr>
        <w:pStyle w:val="BodyA"/>
        <w:spacing w:line="276" w:lineRule="auto"/>
      </w:pPr>
      <w:r>
        <w:rPr>
          <w:lang w:val="fr-FR"/>
        </w:rPr>
        <w:t>VFQ</w:t>
      </w:r>
      <w:proofErr w:type="gramStart"/>
      <w:r>
        <w:rPr>
          <w:lang w:val="fr-FR"/>
        </w:rPr>
        <w:t>14:</w:t>
      </w:r>
      <w:proofErr w:type="gramEnd"/>
      <w:r>
        <w:rPr>
          <w:lang w:val="fr-FR"/>
        </w:rPr>
        <w:t xml:space="preserve"> </w:t>
      </w:r>
      <w:r>
        <w:t>visual function questionnaire 14</w:t>
      </w:r>
    </w:p>
    <w:p w14:paraId="29DD7F44" w14:textId="77777777" w:rsidR="00C54AAC" w:rsidRDefault="00C54AAC">
      <w:pPr>
        <w:pStyle w:val="BodyA"/>
        <w:spacing w:line="276" w:lineRule="auto"/>
      </w:pPr>
    </w:p>
    <w:p w14:paraId="31682839" w14:textId="77777777" w:rsidR="00C54AAC" w:rsidRDefault="00C54AAC">
      <w:pPr>
        <w:pStyle w:val="BodyA"/>
        <w:spacing w:line="276" w:lineRule="auto"/>
      </w:pPr>
    </w:p>
    <w:p w14:paraId="03DBE85B" w14:textId="77777777" w:rsidR="00C54AAC" w:rsidRDefault="00C54AAC">
      <w:pPr>
        <w:pStyle w:val="BodyA"/>
      </w:pPr>
    </w:p>
    <w:p w14:paraId="266D8FC6" w14:textId="77777777" w:rsidR="00C54AAC" w:rsidRDefault="00C54AAC">
      <w:pPr>
        <w:pStyle w:val="BodyA"/>
      </w:pPr>
    </w:p>
    <w:p w14:paraId="543178EB" w14:textId="77777777" w:rsidR="00C54AAC" w:rsidRDefault="00C54AAC">
      <w:pPr>
        <w:pStyle w:val="BodyA"/>
      </w:pPr>
    </w:p>
    <w:p w14:paraId="08F8AEFC" w14:textId="77777777" w:rsidR="00C54AAC" w:rsidRDefault="00C54AAC">
      <w:pPr>
        <w:pStyle w:val="BodyA"/>
      </w:pPr>
    </w:p>
    <w:p w14:paraId="475DA455" w14:textId="77777777" w:rsidR="00C54AAC" w:rsidRDefault="00C54AAC">
      <w:pPr>
        <w:pStyle w:val="BodyA"/>
      </w:pPr>
    </w:p>
    <w:p w14:paraId="6E761FDA" w14:textId="77777777" w:rsidR="00C54AAC" w:rsidRDefault="00C54AAC">
      <w:pPr>
        <w:pStyle w:val="BodyA"/>
      </w:pPr>
    </w:p>
    <w:p w14:paraId="44B0D945" w14:textId="77777777" w:rsidR="00C54AAC" w:rsidRDefault="00C54AAC">
      <w:pPr>
        <w:pStyle w:val="BodyA"/>
      </w:pPr>
    </w:p>
    <w:p w14:paraId="4F8BF545" w14:textId="77777777" w:rsidR="00C54AAC" w:rsidRDefault="00C54AAC">
      <w:pPr>
        <w:pStyle w:val="BodyA"/>
      </w:pPr>
    </w:p>
    <w:p w14:paraId="474D43AA" w14:textId="77777777" w:rsidR="00C54AAC" w:rsidRDefault="00C54AAC">
      <w:pPr>
        <w:pStyle w:val="BodyA"/>
      </w:pPr>
    </w:p>
    <w:p w14:paraId="7A29A44D" w14:textId="77777777" w:rsidR="00C54AAC" w:rsidRDefault="00C54AAC">
      <w:pPr>
        <w:pStyle w:val="BodyA"/>
      </w:pPr>
    </w:p>
    <w:p w14:paraId="2A910C1E" w14:textId="77777777" w:rsidR="00C54AAC" w:rsidRDefault="00C54AAC">
      <w:pPr>
        <w:pStyle w:val="BodyA"/>
      </w:pPr>
    </w:p>
    <w:p w14:paraId="198AB557" w14:textId="77777777" w:rsidR="00C54AAC" w:rsidRDefault="00C54AAC">
      <w:pPr>
        <w:pStyle w:val="BodyA"/>
      </w:pPr>
    </w:p>
    <w:p w14:paraId="795B874B" w14:textId="77777777" w:rsidR="00C54AAC" w:rsidRDefault="00C54AAC">
      <w:pPr>
        <w:pStyle w:val="BodyA"/>
      </w:pPr>
    </w:p>
    <w:p w14:paraId="47624D65" w14:textId="77777777" w:rsidR="00C54AAC" w:rsidRDefault="00C54AAC">
      <w:pPr>
        <w:pStyle w:val="BodyA"/>
      </w:pPr>
    </w:p>
    <w:p w14:paraId="213FECFE" w14:textId="77777777" w:rsidR="00C54AAC" w:rsidRDefault="00C54AAC">
      <w:pPr>
        <w:pStyle w:val="BodyA"/>
      </w:pPr>
    </w:p>
    <w:p w14:paraId="2C7382D3" w14:textId="77777777" w:rsidR="00C54AAC" w:rsidRDefault="00C54AAC">
      <w:pPr>
        <w:pStyle w:val="BodyA"/>
      </w:pPr>
    </w:p>
    <w:p w14:paraId="666E951E" w14:textId="77777777" w:rsidR="00C54AAC" w:rsidRDefault="00C54AAC">
      <w:pPr>
        <w:pStyle w:val="BodyA"/>
      </w:pPr>
    </w:p>
    <w:p w14:paraId="3B5B9024" w14:textId="77777777" w:rsidR="00C54AAC" w:rsidRDefault="00C54AAC">
      <w:pPr>
        <w:pStyle w:val="BodyA"/>
      </w:pPr>
    </w:p>
    <w:p w14:paraId="42B592AA" w14:textId="77777777" w:rsidR="00C54AAC" w:rsidRDefault="00C54AAC">
      <w:pPr>
        <w:pStyle w:val="BodyA"/>
      </w:pPr>
    </w:p>
    <w:p w14:paraId="4AC85894" w14:textId="77777777" w:rsidR="00C54AAC" w:rsidRDefault="00C54AAC">
      <w:pPr>
        <w:pStyle w:val="BodyA"/>
      </w:pPr>
    </w:p>
    <w:p w14:paraId="02FAF0EC" w14:textId="77777777" w:rsidR="00C54AAC" w:rsidRDefault="00C54AAC">
      <w:pPr>
        <w:pStyle w:val="BodyA"/>
      </w:pPr>
    </w:p>
    <w:p w14:paraId="6FF94853" w14:textId="77777777" w:rsidR="00C54AAC" w:rsidRDefault="00C54AAC">
      <w:pPr>
        <w:pStyle w:val="BodyA"/>
        <w:rPr>
          <w:lang w:val="de-DE"/>
        </w:rPr>
      </w:pPr>
    </w:p>
    <w:p w14:paraId="6BC95121" w14:textId="77777777" w:rsidR="00D56433" w:rsidRDefault="00D56433">
      <w:pPr>
        <w:pStyle w:val="BodyA"/>
        <w:rPr>
          <w:lang w:val="de-DE"/>
        </w:rPr>
      </w:pPr>
    </w:p>
    <w:p w14:paraId="14293D0B" w14:textId="77777777" w:rsidR="00D56433" w:rsidRDefault="00D56433">
      <w:pPr>
        <w:pStyle w:val="BodyA"/>
        <w:rPr>
          <w:lang w:val="de-DE"/>
        </w:rPr>
      </w:pPr>
    </w:p>
    <w:p w14:paraId="10034B6F" w14:textId="77777777" w:rsidR="00D56433" w:rsidRDefault="00D56433">
      <w:pPr>
        <w:pStyle w:val="BodyA"/>
        <w:rPr>
          <w:lang w:val="de-DE"/>
        </w:rPr>
      </w:pPr>
    </w:p>
    <w:p w14:paraId="4970540C" w14:textId="77777777" w:rsidR="00D56433" w:rsidRDefault="00D56433">
      <w:pPr>
        <w:pStyle w:val="BodyA"/>
        <w:rPr>
          <w:lang w:val="de-DE"/>
        </w:rPr>
      </w:pPr>
    </w:p>
    <w:p w14:paraId="49589A01" w14:textId="6B1CC2F6" w:rsidR="00C54AAC" w:rsidRDefault="001536CF" w:rsidP="00C34938">
      <w:pPr>
        <w:pStyle w:val="Heading1"/>
        <w:rPr>
          <w:lang w:val="de-DE"/>
        </w:rPr>
      </w:pPr>
      <w:r>
        <w:rPr>
          <w:lang w:val="de-DE"/>
        </w:rPr>
        <w:t>Abstract</w:t>
      </w:r>
    </w:p>
    <w:p w14:paraId="671900E3" w14:textId="77777777" w:rsidR="00C54AAC" w:rsidRDefault="00C54AAC">
      <w:pPr>
        <w:pStyle w:val="BodyA"/>
      </w:pPr>
    </w:p>
    <w:p w14:paraId="4543ED37" w14:textId="77777777" w:rsidR="00C54AAC" w:rsidRDefault="001536CF">
      <w:pPr>
        <w:pStyle w:val="BodyA"/>
        <w:spacing w:line="360" w:lineRule="auto"/>
        <w:jc w:val="both"/>
        <w:rPr>
          <w:b/>
          <w:bCs/>
          <w:sz w:val="21"/>
          <w:szCs w:val="21"/>
        </w:rPr>
      </w:pPr>
      <w:r>
        <w:rPr>
          <w:b/>
          <w:bCs/>
          <w:sz w:val="21"/>
          <w:szCs w:val="21"/>
        </w:rPr>
        <w:t xml:space="preserve">Purpose: </w:t>
      </w:r>
      <w:r>
        <w:rPr>
          <w:sz w:val="21"/>
          <w:szCs w:val="21"/>
          <w:lang w:val="it-IT"/>
        </w:rPr>
        <w:t>To compare visual outcomes</w:t>
      </w:r>
      <w:r>
        <w:rPr>
          <w:sz w:val="21"/>
          <w:szCs w:val="21"/>
        </w:rPr>
        <w:t xml:space="preserve">, </w:t>
      </w:r>
      <w:proofErr w:type="gramStart"/>
      <w:r>
        <w:rPr>
          <w:sz w:val="21"/>
          <w:szCs w:val="21"/>
        </w:rPr>
        <w:t>complications</w:t>
      </w:r>
      <w:proofErr w:type="gramEnd"/>
      <w:r>
        <w:rPr>
          <w:sz w:val="21"/>
          <w:szCs w:val="21"/>
        </w:rPr>
        <w:t xml:space="preserve"> and vision-related quality</w:t>
      </w:r>
      <w:r w:rsidR="00A242C5">
        <w:rPr>
          <w:sz w:val="21"/>
          <w:szCs w:val="21"/>
        </w:rPr>
        <w:t>-</w:t>
      </w:r>
      <w:r>
        <w:rPr>
          <w:sz w:val="21"/>
          <w:szCs w:val="21"/>
        </w:rPr>
        <w:t>of</w:t>
      </w:r>
      <w:r w:rsidR="00A242C5">
        <w:rPr>
          <w:sz w:val="21"/>
          <w:szCs w:val="21"/>
        </w:rPr>
        <w:t>-</w:t>
      </w:r>
      <w:r>
        <w:rPr>
          <w:sz w:val="21"/>
          <w:szCs w:val="21"/>
        </w:rPr>
        <w:t>life (QoL) following micro-thin</w:t>
      </w:r>
      <w:r w:rsidR="00FF5FEB">
        <w:rPr>
          <w:sz w:val="21"/>
          <w:szCs w:val="21"/>
        </w:rPr>
        <w:t xml:space="preserve"> </w:t>
      </w:r>
      <w:r>
        <w:rPr>
          <w:sz w:val="21"/>
          <w:szCs w:val="21"/>
        </w:rPr>
        <w:t xml:space="preserve">Descemet stripping automated endothelial keratoplasty (MT-DSAEK) versus Descemet membrane endothelial keratoplasty (DMEK) for the management of corneal endothelial dysfunction in Fuchs dystrophy. </w:t>
      </w:r>
    </w:p>
    <w:p w14:paraId="59F02E45" w14:textId="77777777" w:rsidR="00C54AAC" w:rsidRDefault="001536CF">
      <w:pPr>
        <w:pStyle w:val="BodyA"/>
        <w:spacing w:line="360" w:lineRule="auto"/>
        <w:jc w:val="both"/>
        <w:rPr>
          <w:sz w:val="21"/>
          <w:szCs w:val="21"/>
        </w:rPr>
      </w:pPr>
      <w:r>
        <w:rPr>
          <w:b/>
          <w:bCs/>
          <w:sz w:val="21"/>
          <w:szCs w:val="21"/>
        </w:rPr>
        <w:t xml:space="preserve">Design: </w:t>
      </w:r>
      <w:r>
        <w:rPr>
          <w:sz w:val="21"/>
          <w:szCs w:val="21"/>
        </w:rPr>
        <w:t xml:space="preserve">Prospective, double-blinded randomized controlled clinical trial </w:t>
      </w:r>
    </w:p>
    <w:p w14:paraId="6E2BFE5B" w14:textId="77777777" w:rsidR="00C54AAC" w:rsidRDefault="001536CF">
      <w:pPr>
        <w:pStyle w:val="BodyA"/>
        <w:spacing w:line="360" w:lineRule="auto"/>
        <w:jc w:val="both"/>
        <w:rPr>
          <w:sz w:val="21"/>
          <w:szCs w:val="21"/>
        </w:rPr>
      </w:pPr>
      <w:r>
        <w:rPr>
          <w:b/>
          <w:bCs/>
          <w:sz w:val="21"/>
          <w:szCs w:val="21"/>
        </w:rPr>
        <w:t xml:space="preserve">Methods: </w:t>
      </w:r>
      <w:r>
        <w:rPr>
          <w:sz w:val="21"/>
          <w:szCs w:val="21"/>
        </w:rPr>
        <w:t xml:space="preserve">Patients with visually significant endothelial decompensation </w:t>
      </w:r>
      <w:r w:rsidR="00FF5FEB">
        <w:rPr>
          <w:sz w:val="21"/>
          <w:szCs w:val="21"/>
        </w:rPr>
        <w:t>from</w:t>
      </w:r>
      <w:r>
        <w:rPr>
          <w:sz w:val="21"/>
          <w:szCs w:val="21"/>
        </w:rPr>
        <w:t xml:space="preserve"> Fuchs dystrophy were prospectively randomized to </w:t>
      </w:r>
      <w:r w:rsidR="00EC3F86">
        <w:rPr>
          <w:sz w:val="21"/>
          <w:szCs w:val="21"/>
        </w:rPr>
        <w:t>receive</w:t>
      </w:r>
      <w:r>
        <w:rPr>
          <w:sz w:val="21"/>
          <w:szCs w:val="21"/>
        </w:rPr>
        <w:t xml:space="preserve"> MT-DSAEK or DMEK </w:t>
      </w:r>
      <w:r w:rsidR="00EC3F86">
        <w:rPr>
          <w:sz w:val="21"/>
          <w:szCs w:val="21"/>
        </w:rPr>
        <w:t>surgery</w:t>
      </w:r>
      <w:r>
        <w:rPr>
          <w:sz w:val="21"/>
          <w:szCs w:val="21"/>
        </w:rPr>
        <w:t xml:space="preserve">. </w:t>
      </w:r>
      <w:r w:rsidR="00A242C5">
        <w:rPr>
          <w:sz w:val="21"/>
          <w:szCs w:val="21"/>
        </w:rPr>
        <w:t>The primary outcome was b</w:t>
      </w:r>
      <w:r>
        <w:rPr>
          <w:sz w:val="21"/>
          <w:szCs w:val="21"/>
        </w:rPr>
        <w:t xml:space="preserve">est spectacle-corrected visual acuity (BSCVA) at 12 months. Secondary outcomes included refraction, keratometry, endothelial cell count, complications and </w:t>
      </w:r>
      <w:proofErr w:type="gramStart"/>
      <w:r>
        <w:rPr>
          <w:sz w:val="21"/>
          <w:szCs w:val="21"/>
        </w:rPr>
        <w:t>vision-related</w:t>
      </w:r>
      <w:proofErr w:type="gramEnd"/>
      <w:r>
        <w:rPr>
          <w:sz w:val="21"/>
          <w:szCs w:val="21"/>
        </w:rPr>
        <w:t xml:space="preserve"> QoL at 6 and 12 months </w:t>
      </w:r>
      <w:r w:rsidR="00EC3F86">
        <w:rPr>
          <w:sz w:val="21"/>
          <w:szCs w:val="21"/>
        </w:rPr>
        <w:t>post-operatively</w:t>
      </w:r>
      <w:r>
        <w:rPr>
          <w:sz w:val="21"/>
          <w:szCs w:val="21"/>
        </w:rPr>
        <w:t xml:space="preserve">. </w:t>
      </w:r>
    </w:p>
    <w:p w14:paraId="28C9DB7A" w14:textId="77777777" w:rsidR="00C54AAC" w:rsidRDefault="001536CF">
      <w:pPr>
        <w:pStyle w:val="BodyA"/>
        <w:spacing w:line="360" w:lineRule="auto"/>
        <w:jc w:val="both"/>
        <w:rPr>
          <w:b/>
          <w:bCs/>
          <w:sz w:val="21"/>
          <w:szCs w:val="21"/>
        </w:rPr>
      </w:pPr>
      <w:r>
        <w:rPr>
          <w:b/>
          <w:bCs/>
          <w:sz w:val="21"/>
          <w:szCs w:val="21"/>
        </w:rPr>
        <w:t xml:space="preserve">Results: </w:t>
      </w:r>
      <w:r>
        <w:rPr>
          <w:sz w:val="21"/>
          <w:szCs w:val="21"/>
        </w:rPr>
        <w:t>A total of 56 eyes of 56 patients were enrolled, 28 in each group. Post</w:t>
      </w:r>
      <w:r w:rsidR="00EC3F86">
        <w:rPr>
          <w:sz w:val="21"/>
          <w:szCs w:val="21"/>
        </w:rPr>
        <w:t>-</w:t>
      </w:r>
      <w:r>
        <w:rPr>
          <w:sz w:val="21"/>
          <w:szCs w:val="21"/>
        </w:rPr>
        <w:t xml:space="preserve">operatively, </w:t>
      </w:r>
      <w:proofErr w:type="spellStart"/>
      <w:r>
        <w:rPr>
          <w:sz w:val="21"/>
          <w:szCs w:val="21"/>
        </w:rPr>
        <w:t>LogMAR</w:t>
      </w:r>
      <w:proofErr w:type="spellEnd"/>
      <w:r>
        <w:rPr>
          <w:sz w:val="21"/>
          <w:szCs w:val="21"/>
        </w:rPr>
        <w:t xml:space="preserve"> mean BSCVA in the MT-DSAEK group was 0.17±0.08 and 0.11±0.09 at 6 and 12 months compared to 0.09±0.13 and 0.04±0.13 following</w:t>
      </w:r>
      <w:r>
        <w:rPr>
          <w:sz w:val="21"/>
          <w:szCs w:val="21"/>
          <w:lang w:val="nl-NL"/>
        </w:rPr>
        <w:t xml:space="preserve"> DMEK </w:t>
      </w:r>
      <w:r>
        <w:rPr>
          <w:sz w:val="21"/>
          <w:szCs w:val="21"/>
        </w:rPr>
        <w:t xml:space="preserve">(p=0.03, p=0.002 respectively) with the DMEK cohort achieving 3.5logMAR letters better BSCVA at 1 year compared to MT-DSAEK. </w:t>
      </w:r>
      <w:r w:rsidR="00EC3F86">
        <w:rPr>
          <w:sz w:val="21"/>
          <w:szCs w:val="21"/>
        </w:rPr>
        <w:t>C</w:t>
      </w:r>
      <w:r>
        <w:rPr>
          <w:sz w:val="21"/>
          <w:szCs w:val="21"/>
        </w:rPr>
        <w:t xml:space="preserve">omplication </w:t>
      </w:r>
      <w:r w:rsidR="00EC3F86">
        <w:rPr>
          <w:sz w:val="21"/>
          <w:szCs w:val="21"/>
        </w:rPr>
        <w:t>rates</w:t>
      </w:r>
      <w:r>
        <w:rPr>
          <w:sz w:val="21"/>
          <w:szCs w:val="21"/>
        </w:rPr>
        <w:t xml:space="preserve"> </w:t>
      </w:r>
      <w:r w:rsidR="00FF5FEB">
        <w:rPr>
          <w:sz w:val="21"/>
          <w:szCs w:val="21"/>
        </w:rPr>
        <w:t>w</w:t>
      </w:r>
      <w:r w:rsidR="00EC3F86">
        <w:rPr>
          <w:sz w:val="21"/>
          <w:szCs w:val="21"/>
        </w:rPr>
        <w:t>ere</w:t>
      </w:r>
      <w:r w:rsidR="00FF5FEB">
        <w:rPr>
          <w:sz w:val="21"/>
          <w:szCs w:val="21"/>
        </w:rPr>
        <w:t xml:space="preserve"> similar </w:t>
      </w:r>
      <w:r>
        <w:rPr>
          <w:sz w:val="21"/>
          <w:szCs w:val="21"/>
        </w:rPr>
        <w:t xml:space="preserve">with 3.5% re-bubbling rate in both groups, 1 primary graft failure in DMEK and a single endothelial rejection in the MT-DSAEK </w:t>
      </w:r>
      <w:r w:rsidR="00EC3F86">
        <w:rPr>
          <w:sz w:val="21"/>
          <w:szCs w:val="21"/>
        </w:rPr>
        <w:t>arm</w:t>
      </w:r>
      <w:r>
        <w:rPr>
          <w:sz w:val="21"/>
          <w:szCs w:val="21"/>
        </w:rPr>
        <w:t>. Vis</w:t>
      </w:r>
      <w:r w:rsidR="00EC3F86">
        <w:rPr>
          <w:sz w:val="21"/>
          <w:szCs w:val="21"/>
        </w:rPr>
        <w:t>ion</w:t>
      </w:r>
      <w:r>
        <w:rPr>
          <w:sz w:val="21"/>
          <w:szCs w:val="21"/>
        </w:rPr>
        <w:t xml:space="preserve">-related QoL was </w:t>
      </w:r>
      <w:r w:rsidR="00FF5FEB">
        <w:rPr>
          <w:sz w:val="21"/>
          <w:szCs w:val="21"/>
        </w:rPr>
        <w:t>comparable</w:t>
      </w:r>
      <w:r>
        <w:rPr>
          <w:sz w:val="21"/>
          <w:szCs w:val="21"/>
        </w:rPr>
        <w:t xml:space="preserve"> at 6 and 12 months post</w:t>
      </w:r>
      <w:r w:rsidR="00A242C5">
        <w:rPr>
          <w:sz w:val="21"/>
          <w:szCs w:val="21"/>
        </w:rPr>
        <w:t>-</w:t>
      </w:r>
      <w:r>
        <w:rPr>
          <w:sz w:val="21"/>
          <w:szCs w:val="21"/>
        </w:rPr>
        <w:t>operatively</w:t>
      </w:r>
      <w:r w:rsidR="00FF5FEB">
        <w:rPr>
          <w:sz w:val="21"/>
          <w:szCs w:val="21"/>
        </w:rPr>
        <w:t xml:space="preserve"> </w:t>
      </w:r>
      <w:r w:rsidR="00A242C5">
        <w:rPr>
          <w:sz w:val="21"/>
          <w:szCs w:val="21"/>
        </w:rPr>
        <w:t>and</w:t>
      </w:r>
      <w:r>
        <w:rPr>
          <w:sz w:val="21"/>
          <w:szCs w:val="21"/>
        </w:rPr>
        <w:t xml:space="preserve"> no eyes </w:t>
      </w:r>
      <w:r w:rsidR="00FF5FEB">
        <w:rPr>
          <w:sz w:val="21"/>
          <w:szCs w:val="21"/>
        </w:rPr>
        <w:t>demonstrat</w:t>
      </w:r>
      <w:r w:rsidR="00A242C5">
        <w:rPr>
          <w:sz w:val="21"/>
          <w:szCs w:val="21"/>
        </w:rPr>
        <w:t>ed</w:t>
      </w:r>
      <w:r>
        <w:rPr>
          <w:sz w:val="21"/>
          <w:szCs w:val="21"/>
        </w:rPr>
        <w:t xml:space="preserve"> loss of </w:t>
      </w:r>
      <w:r w:rsidR="00A242C5">
        <w:rPr>
          <w:sz w:val="21"/>
          <w:szCs w:val="21"/>
        </w:rPr>
        <w:t>vision</w:t>
      </w:r>
      <w:r>
        <w:rPr>
          <w:sz w:val="21"/>
          <w:szCs w:val="21"/>
        </w:rPr>
        <w:t xml:space="preserve"> </w:t>
      </w:r>
      <w:r w:rsidR="006F0E76">
        <w:rPr>
          <w:sz w:val="21"/>
          <w:szCs w:val="21"/>
        </w:rPr>
        <w:t>from</w:t>
      </w:r>
      <w:r>
        <w:rPr>
          <w:sz w:val="21"/>
          <w:szCs w:val="21"/>
        </w:rPr>
        <w:t xml:space="preserve"> pre-operative BSCVA.</w:t>
      </w:r>
    </w:p>
    <w:p w14:paraId="62F598E1" w14:textId="77777777" w:rsidR="00C54AAC" w:rsidRDefault="001536CF">
      <w:pPr>
        <w:pStyle w:val="BodyA"/>
        <w:spacing w:line="360" w:lineRule="auto"/>
        <w:jc w:val="both"/>
        <w:rPr>
          <w:b/>
          <w:bCs/>
          <w:sz w:val="21"/>
          <w:szCs w:val="21"/>
        </w:rPr>
      </w:pPr>
      <w:r>
        <w:rPr>
          <w:b/>
          <w:bCs/>
          <w:sz w:val="21"/>
          <w:szCs w:val="21"/>
          <w:lang w:val="it-IT"/>
        </w:rPr>
        <w:t xml:space="preserve">Conclusion: </w:t>
      </w:r>
      <w:r>
        <w:rPr>
          <w:sz w:val="21"/>
          <w:szCs w:val="21"/>
        </w:rPr>
        <w:t xml:space="preserve">DMEK surgery resulted in </w:t>
      </w:r>
      <w:r w:rsidR="00A242C5">
        <w:rPr>
          <w:sz w:val="21"/>
          <w:szCs w:val="21"/>
        </w:rPr>
        <w:t xml:space="preserve">significantly </w:t>
      </w:r>
      <w:r>
        <w:rPr>
          <w:sz w:val="21"/>
          <w:szCs w:val="21"/>
        </w:rPr>
        <w:t xml:space="preserve">better </w:t>
      </w:r>
      <w:r w:rsidR="00A242C5">
        <w:rPr>
          <w:sz w:val="21"/>
          <w:szCs w:val="21"/>
        </w:rPr>
        <w:t>BSCVA</w:t>
      </w:r>
      <w:r>
        <w:rPr>
          <w:sz w:val="21"/>
          <w:szCs w:val="21"/>
        </w:rPr>
        <w:t xml:space="preserve"> at 1, 3, 6 and 12 months post-operatively compared to MT-DSAEK. </w:t>
      </w:r>
      <w:r w:rsidR="00EC3F86">
        <w:rPr>
          <w:sz w:val="21"/>
          <w:szCs w:val="21"/>
        </w:rPr>
        <w:t>P</w:t>
      </w:r>
      <w:r>
        <w:rPr>
          <w:sz w:val="21"/>
          <w:szCs w:val="21"/>
        </w:rPr>
        <w:t xml:space="preserve">atient satisfaction was similar with no differences reported in </w:t>
      </w:r>
      <w:proofErr w:type="gramStart"/>
      <w:r>
        <w:rPr>
          <w:sz w:val="21"/>
          <w:szCs w:val="21"/>
        </w:rPr>
        <w:t>vis</w:t>
      </w:r>
      <w:r w:rsidR="00EC3F86">
        <w:rPr>
          <w:sz w:val="21"/>
          <w:szCs w:val="21"/>
        </w:rPr>
        <w:t>ion</w:t>
      </w:r>
      <w:r>
        <w:rPr>
          <w:sz w:val="21"/>
          <w:szCs w:val="21"/>
        </w:rPr>
        <w:t>-related</w:t>
      </w:r>
      <w:proofErr w:type="gramEnd"/>
      <w:r>
        <w:rPr>
          <w:sz w:val="21"/>
          <w:szCs w:val="21"/>
        </w:rPr>
        <w:t xml:space="preserve"> QoL scores</w:t>
      </w:r>
      <w:r w:rsidR="00A242C5">
        <w:rPr>
          <w:sz w:val="21"/>
          <w:szCs w:val="21"/>
        </w:rPr>
        <w:t>, as was</w:t>
      </w:r>
      <w:r>
        <w:rPr>
          <w:sz w:val="21"/>
          <w:szCs w:val="21"/>
        </w:rPr>
        <w:t xml:space="preserve"> the complications profile between groups. Thus, our results favor </w:t>
      </w:r>
      <w:r>
        <w:rPr>
          <w:sz w:val="21"/>
          <w:szCs w:val="21"/>
          <w:lang w:val="nl-NL"/>
        </w:rPr>
        <w:t xml:space="preserve">DMEK </w:t>
      </w:r>
      <w:r>
        <w:rPr>
          <w:sz w:val="21"/>
          <w:szCs w:val="21"/>
        </w:rPr>
        <w:t>as the better choice procedure for eyes with Fuchs</w:t>
      </w:r>
      <w:r w:rsidR="00FF5FEB">
        <w:rPr>
          <w:sz w:val="21"/>
          <w:szCs w:val="21"/>
        </w:rPr>
        <w:t>-</w:t>
      </w:r>
      <w:r>
        <w:rPr>
          <w:sz w:val="21"/>
          <w:szCs w:val="21"/>
        </w:rPr>
        <w:t>related corneal decompensation without ocular comorbidit</w:t>
      </w:r>
      <w:r w:rsidR="00FF5FEB">
        <w:rPr>
          <w:sz w:val="21"/>
          <w:szCs w:val="21"/>
        </w:rPr>
        <w:t>ies</w:t>
      </w:r>
      <w:r>
        <w:rPr>
          <w:sz w:val="21"/>
          <w:szCs w:val="21"/>
        </w:rPr>
        <w:t xml:space="preserve">.  </w:t>
      </w:r>
    </w:p>
    <w:p w14:paraId="02F6ED79" w14:textId="77777777" w:rsidR="00C54AAC" w:rsidRDefault="00C54AAC">
      <w:pPr>
        <w:pStyle w:val="BodyA"/>
      </w:pPr>
    </w:p>
    <w:p w14:paraId="5600E67D" w14:textId="77777777" w:rsidR="00C54AAC" w:rsidRDefault="001536CF">
      <w:pPr>
        <w:pStyle w:val="BodyA"/>
        <w:rPr>
          <w:sz w:val="21"/>
          <w:szCs w:val="21"/>
        </w:rPr>
      </w:pPr>
      <w:r>
        <w:rPr>
          <w:sz w:val="21"/>
          <w:szCs w:val="21"/>
        </w:rPr>
        <w:t>key words: DMEK, thin DSAEK, ultra-thin DSAEK, micro-thin DSAEK, endothelial keratoplasty</w:t>
      </w:r>
    </w:p>
    <w:p w14:paraId="7B9737B4" w14:textId="77777777" w:rsidR="00C54AAC" w:rsidRDefault="00C54AAC">
      <w:pPr>
        <w:pStyle w:val="BodyA"/>
      </w:pPr>
    </w:p>
    <w:p w14:paraId="7340F39E" w14:textId="77777777" w:rsidR="00C54AAC" w:rsidRDefault="00C54AAC">
      <w:pPr>
        <w:pStyle w:val="BodyA"/>
      </w:pPr>
    </w:p>
    <w:p w14:paraId="1DCEDEB9" w14:textId="77777777" w:rsidR="00C54AAC" w:rsidRDefault="00C54AAC">
      <w:pPr>
        <w:pStyle w:val="BodyA"/>
      </w:pPr>
    </w:p>
    <w:p w14:paraId="24432F75" w14:textId="77777777" w:rsidR="00C54AAC" w:rsidRDefault="00C54AAC">
      <w:pPr>
        <w:pStyle w:val="BodyA"/>
      </w:pPr>
    </w:p>
    <w:p w14:paraId="40806396" w14:textId="77777777" w:rsidR="00C54AAC" w:rsidRDefault="00C54AAC">
      <w:pPr>
        <w:pStyle w:val="BodyA"/>
      </w:pPr>
    </w:p>
    <w:p w14:paraId="1879414B" w14:textId="77777777" w:rsidR="00C54AAC" w:rsidRDefault="00C54AAC">
      <w:pPr>
        <w:pStyle w:val="BodyA"/>
      </w:pPr>
    </w:p>
    <w:p w14:paraId="7ECA9EE0" w14:textId="77777777" w:rsidR="00C54AAC" w:rsidRDefault="00C54AAC">
      <w:pPr>
        <w:pStyle w:val="BodyA"/>
      </w:pPr>
    </w:p>
    <w:p w14:paraId="3E3E0644" w14:textId="77777777" w:rsidR="00C54AAC" w:rsidRDefault="00C54AAC">
      <w:pPr>
        <w:pStyle w:val="BodyA"/>
      </w:pPr>
    </w:p>
    <w:p w14:paraId="6C83212A" w14:textId="77777777" w:rsidR="00C54AAC" w:rsidRDefault="00C54AAC">
      <w:pPr>
        <w:pStyle w:val="BodyA"/>
      </w:pPr>
    </w:p>
    <w:p w14:paraId="7D9C2684" w14:textId="77777777" w:rsidR="00C54AAC" w:rsidRDefault="00C54AAC">
      <w:pPr>
        <w:pStyle w:val="BodyA"/>
      </w:pPr>
    </w:p>
    <w:p w14:paraId="6A7E8345" w14:textId="77777777" w:rsidR="00C54AAC" w:rsidRDefault="00C54AAC">
      <w:pPr>
        <w:pStyle w:val="BodyA"/>
      </w:pPr>
    </w:p>
    <w:p w14:paraId="127EEEDF" w14:textId="77777777" w:rsidR="00EA5E1C" w:rsidRDefault="00EA5E1C">
      <w:pPr>
        <w:pStyle w:val="BodyA"/>
      </w:pPr>
    </w:p>
    <w:p w14:paraId="2A9E9DB5" w14:textId="77777777" w:rsidR="00EA5E1C" w:rsidRDefault="00EA5E1C">
      <w:pPr>
        <w:pStyle w:val="BodyA"/>
      </w:pPr>
    </w:p>
    <w:p w14:paraId="2214E12D" w14:textId="77777777" w:rsidR="00EA5E1C" w:rsidRDefault="00EA5E1C">
      <w:pPr>
        <w:pStyle w:val="BodyA"/>
      </w:pPr>
    </w:p>
    <w:p w14:paraId="160F4C93" w14:textId="77777777" w:rsidR="00EA5E1C" w:rsidRDefault="00EA5E1C">
      <w:pPr>
        <w:pStyle w:val="BodyA"/>
      </w:pPr>
    </w:p>
    <w:p w14:paraId="63F952FB" w14:textId="77777777" w:rsidR="00C54AAC" w:rsidRDefault="00C54AAC">
      <w:pPr>
        <w:pStyle w:val="BodyA"/>
        <w:rPr>
          <w:b/>
          <w:bCs/>
          <w:u w:val="single"/>
          <w:lang w:val="fr-FR"/>
        </w:rPr>
      </w:pPr>
    </w:p>
    <w:p w14:paraId="6EF14E22" w14:textId="77777777" w:rsidR="00C54AAC" w:rsidRDefault="001536CF" w:rsidP="00C34938">
      <w:pPr>
        <w:pStyle w:val="Heading1"/>
        <w:rPr>
          <w:b w:val="0"/>
          <w:lang w:val="fr-FR"/>
        </w:rPr>
      </w:pPr>
      <w:r>
        <w:rPr>
          <w:lang w:val="fr-FR"/>
        </w:rPr>
        <w:t>Introduction</w:t>
      </w:r>
    </w:p>
    <w:p w14:paraId="3A4F5E38" w14:textId="77777777" w:rsidR="00C54AAC" w:rsidRDefault="00C54AAC">
      <w:pPr>
        <w:pStyle w:val="BodyA"/>
        <w:spacing w:line="360" w:lineRule="auto"/>
        <w:jc w:val="both"/>
      </w:pPr>
    </w:p>
    <w:p w14:paraId="11DE6B87" w14:textId="1611F01E" w:rsidR="00C54AAC" w:rsidRDefault="001536CF">
      <w:pPr>
        <w:pStyle w:val="BodyA"/>
        <w:spacing w:line="360" w:lineRule="auto"/>
        <w:jc w:val="both"/>
      </w:pPr>
      <w:r>
        <w:t xml:space="preserve">Corneal endothelial keratoplasty has by far superseded penetrating keratoplasty (PK) as the procedure of choice for endothelial decompensation [1]. It is widely acknowledged and proven that endothelial keratoplasty (EK) results in better visual outcomes, faster recovery time and fewer complications [2, 3]. Descemet stripping automated endothelial keratoplasty (DSAEK) and Descemet membrane endothelial keratoplasty (DMEK) are the two </w:t>
      </w:r>
      <w:proofErr w:type="gramStart"/>
      <w:r>
        <w:t>most commonly used</w:t>
      </w:r>
      <w:proofErr w:type="gramEnd"/>
      <w:r>
        <w:t xml:space="preserve"> EK techniques worldwide, with DMEK being the newer iteration of EK. Each has its own advantages and disadvantages, with </w:t>
      </w:r>
      <w:proofErr w:type="gramStart"/>
      <w:r>
        <w:t>a number of</w:t>
      </w:r>
      <w:proofErr w:type="gramEnd"/>
      <w:r>
        <w:t xml:space="preserve"> studies investigating and comparing visual, anatomical and surgical outcomes between the two methods [4- 7]. DSAEK has an easier learning curve and is favored over DMEK in relation to reduced post-operative complication rate. However the larger and variable thickness of the transplanted lamella in DSAEK grafts seems to contribute to increased higher order aberrations and hyperopic shift, leading to degradation of the </w:t>
      </w:r>
      <w:proofErr w:type="gramStart"/>
      <w:r>
        <w:t>visual  and</w:t>
      </w:r>
      <w:proofErr w:type="gramEnd"/>
      <w:r>
        <w:t xml:space="preserve"> refractive quality compared to DMEK [8, 9]. DMEK on the other hand has gained significant ground in corneal endothelial transplantation </w:t>
      </w:r>
      <w:proofErr w:type="gramStart"/>
      <w:r>
        <w:t>with  faster</w:t>
      </w:r>
      <w:proofErr w:type="gramEnd"/>
      <w:r>
        <w:t xml:space="preserve"> and superior visual rehabilitation over DSAEK. However, increased graft dislocations, primary graft failures, the need for repeated postoperative interventions</w:t>
      </w:r>
      <w:r w:rsidR="009D24DB">
        <w:t>,</w:t>
      </w:r>
      <w:r w:rsidR="007574CA">
        <w:t xml:space="preserve"> higher rates of</w:t>
      </w:r>
      <w:r w:rsidR="009D24DB">
        <w:t xml:space="preserve"> operative complications (tissue loss during graft </w:t>
      </w:r>
      <w:r w:rsidR="00D04EB3">
        <w:t>preparation</w:t>
      </w:r>
      <w:r w:rsidR="009D24DB">
        <w:t xml:space="preserve">, </w:t>
      </w:r>
      <w:r w:rsidR="00B61BAD">
        <w:t xml:space="preserve">endothelial trauma during </w:t>
      </w:r>
      <w:r w:rsidR="009D24DB">
        <w:t xml:space="preserve">graft positioning and </w:t>
      </w:r>
      <w:proofErr w:type="gramStart"/>
      <w:r w:rsidR="009D24DB">
        <w:t>attachment)</w:t>
      </w:r>
      <w:r w:rsidR="00C20DD9">
        <w:t xml:space="preserve"> </w:t>
      </w:r>
      <w:r w:rsidR="00256527">
        <w:t xml:space="preserve"> [</w:t>
      </w:r>
      <w:proofErr w:type="gramEnd"/>
      <w:r w:rsidR="00256527">
        <w:t>10]</w:t>
      </w:r>
      <w:r w:rsidR="008E68A5">
        <w:t>, longer intraoperative time</w:t>
      </w:r>
      <w:r w:rsidR="009D24DB">
        <w:t xml:space="preserve"> </w:t>
      </w:r>
      <w:r>
        <w:t xml:space="preserve">and a steep learning curve in DMEK has contributed to the delayed wide spread adoption of this technique over DSAEK that continues to influence patient’s satisfaction and </w:t>
      </w:r>
      <w:r>
        <w:rPr>
          <w:lang w:val="fr-FR"/>
        </w:rPr>
        <w:t>surgeon</w:t>
      </w:r>
      <w:r>
        <w:t>’s preference in EK</w:t>
      </w:r>
      <w:r w:rsidR="0018006A">
        <w:t xml:space="preserve"> [1</w:t>
      </w:r>
      <w:r w:rsidR="00256527">
        <w:t>1</w:t>
      </w:r>
      <w:r w:rsidR="0018006A">
        <w:t>]</w:t>
      </w:r>
      <w:r>
        <w:t xml:space="preserve">. In the UK, EK contributed to 49% of all corneal transplant procedures </w:t>
      </w:r>
      <w:proofErr w:type="gramStart"/>
      <w:r>
        <w:t>under taken</w:t>
      </w:r>
      <w:proofErr w:type="gramEnd"/>
      <w:r>
        <w:t xml:space="preserve"> in 2015 of which the uptake of DMEK was only 18.7% compared to 81.3% still undergoing DSAEK as the preferred surgery for endothelial decompensation</w:t>
      </w:r>
      <w:r w:rsidR="00561F84">
        <w:t xml:space="preserve"> [1</w:t>
      </w:r>
      <w:r w:rsidR="00256527">
        <w:t>2</w:t>
      </w:r>
      <w:r w:rsidR="00561F84">
        <w:t>]</w:t>
      </w:r>
      <w:r>
        <w:t>. Recent years have shown an increasing trend in DMEK uptake with 38.1% of all EK procedures comprising of DMEK in 2019 [1</w:t>
      </w:r>
      <w:r w:rsidR="00256527">
        <w:t>2</w:t>
      </w:r>
      <w:r>
        <w:t>, 1</w:t>
      </w:r>
      <w:r w:rsidR="00256527">
        <w:t>3</w:t>
      </w:r>
      <w:r>
        <w:t>].</w:t>
      </w:r>
    </w:p>
    <w:p w14:paraId="1CCFE413" w14:textId="62F448C1" w:rsidR="00C54AAC" w:rsidRDefault="001536CF">
      <w:pPr>
        <w:pStyle w:val="BodyA"/>
        <w:spacing w:line="360" w:lineRule="auto"/>
        <w:jc w:val="both"/>
      </w:pPr>
      <w:r>
        <w:t xml:space="preserve"> The development </w:t>
      </w:r>
      <w:proofErr w:type="gramStart"/>
      <w:r>
        <w:t>of  thin</w:t>
      </w:r>
      <w:proofErr w:type="gramEnd"/>
      <w:r>
        <w:t xml:space="preserve"> DSAEK techniques (graft thickness </w:t>
      </w:r>
      <w:r w:rsidR="005A11DC">
        <w:t>&lt;</w:t>
      </w:r>
      <w:r>
        <w:t xml:space="preserve"> 1</w:t>
      </w:r>
      <w:r w:rsidR="005A11DC">
        <w:t>3</w:t>
      </w:r>
      <w:r>
        <w:t>0μm) has been reported to provide better visual outcomes compared to conventional DSAEK in recent literature</w:t>
      </w:r>
      <w:r w:rsidR="00AF0828">
        <w:t xml:space="preserve"> </w:t>
      </w:r>
      <w:r w:rsidR="009D24DB">
        <w:t xml:space="preserve">by way </w:t>
      </w:r>
      <w:r w:rsidR="009D24DB">
        <w:lastRenderedPageBreak/>
        <w:t>of achieving a thinner stromal interface</w:t>
      </w:r>
      <w:r w:rsidR="00605B7B">
        <w:t xml:space="preserve">, </w:t>
      </w:r>
      <w:r w:rsidR="009D24DB">
        <w:t>more regular posterior corneal surface</w:t>
      </w:r>
      <w:r w:rsidR="00605B7B">
        <w:t xml:space="preserve">, fewer higher order aberrations and </w:t>
      </w:r>
      <w:r w:rsidR="00451F79">
        <w:t>lower hyperopic shift</w:t>
      </w:r>
      <w:r>
        <w:t xml:space="preserve"> [1</w:t>
      </w:r>
      <w:r w:rsidR="00256527">
        <w:t>4</w:t>
      </w:r>
      <w:r>
        <w:t>- 1</w:t>
      </w:r>
      <w:r w:rsidR="00256527">
        <w:t>6</w:t>
      </w:r>
      <w:r>
        <w:t xml:space="preserve">]. Therefore the Micro-thin (MT-DSAEK) or Ultra-thin DSAEK (UT-DSAEK) surgery </w:t>
      </w:r>
      <w:proofErr w:type="gramStart"/>
      <w:r w:rsidR="00321CD4">
        <w:t>( graft</w:t>
      </w:r>
      <w:proofErr w:type="gramEnd"/>
      <w:r w:rsidR="00321CD4">
        <w:t xml:space="preserve"> thickness &lt;130</w:t>
      </w:r>
      <w:r w:rsidR="00321CD4">
        <w:rPr>
          <w:lang w:val="el-GR"/>
        </w:rPr>
        <w:t>μ</w:t>
      </w:r>
      <w:r w:rsidR="00321CD4">
        <w:rPr>
          <w:lang w:val="en-GB"/>
        </w:rPr>
        <w:t xml:space="preserve">m) </w:t>
      </w:r>
      <w:r>
        <w:t xml:space="preserve">could possibly provide the solution to achieve good visual quality with low operative complications, thereby balancing the benefits and risks in conventional DSAEK and DMEK procedures. Recently, two prospective randomized controlled clinical </w:t>
      </w:r>
      <w:proofErr w:type="gramStart"/>
      <w:r>
        <w:t>trials  provided</w:t>
      </w:r>
      <w:proofErr w:type="gramEnd"/>
      <w:r>
        <w:t xml:space="preserve"> a head-to-head comparison of visual outcomes between thin DSAEK versus DMEK surgery [1</w:t>
      </w:r>
      <w:r w:rsidR="00256527">
        <w:t>7</w:t>
      </w:r>
      <w:r>
        <w:t>, 1</w:t>
      </w:r>
      <w:r w:rsidR="00256527">
        <w:t>8</w:t>
      </w:r>
      <w:r>
        <w:t>]. The results are equivocal with one trial supporting the superiority of DMEK [1</w:t>
      </w:r>
      <w:r w:rsidR="00256527">
        <w:t>7</w:t>
      </w:r>
      <w:r>
        <w:t>] and the other advocating similar visual outcomes between the techniques [1</w:t>
      </w:r>
      <w:r w:rsidR="00256527">
        <w:t>8</w:t>
      </w:r>
      <w:r>
        <w:t xml:space="preserve">]. Previously, we had published the 12 months outcomes following MT-DSAEK with good visual outcomes of =/&lt; 0.18 </w:t>
      </w:r>
      <w:proofErr w:type="spellStart"/>
      <w:r>
        <w:t>logMAR</w:t>
      </w:r>
      <w:proofErr w:type="spellEnd"/>
      <w:r>
        <w:t xml:space="preserve"> acuity and 2% graft detachment rate, in eyes with no other ocular comorbidity. These results </w:t>
      </w:r>
      <w:r w:rsidR="00212CD1">
        <w:t xml:space="preserve">were </w:t>
      </w:r>
      <w:r>
        <w:t xml:space="preserve">shown to be better than conventional </w:t>
      </w:r>
      <w:proofErr w:type="gramStart"/>
      <w:r>
        <w:t>DSAEK</w:t>
      </w:r>
      <w:proofErr w:type="gramEnd"/>
      <w:r>
        <w:t xml:space="preserve"> but this was not compared to DMEK surgery [1</w:t>
      </w:r>
      <w:r w:rsidR="00256527">
        <w:t>9</w:t>
      </w:r>
      <w:r>
        <w:t xml:space="preserve">, </w:t>
      </w:r>
      <w:r w:rsidR="00256527">
        <w:t>20</w:t>
      </w:r>
      <w:r>
        <w:t xml:space="preserve">]. To address this requirement, we conducted a randomized clinical trial to </w:t>
      </w:r>
      <w:r>
        <w:rPr>
          <w:lang w:val="it-IT"/>
        </w:rPr>
        <w:t>compare</w:t>
      </w:r>
      <w:r>
        <w:t xml:space="preserve"> the visual outcomes, complication rates and vision-related quality of life (QoL) of patients undergoing micro-thin DSAEK and DMEK surgery.</w:t>
      </w:r>
    </w:p>
    <w:p w14:paraId="6E6D720F" w14:textId="77777777" w:rsidR="00C54AAC" w:rsidRDefault="00C54AAC">
      <w:pPr>
        <w:pStyle w:val="BodyA"/>
      </w:pPr>
    </w:p>
    <w:p w14:paraId="77BD9C63" w14:textId="77777777" w:rsidR="00C54AAC" w:rsidRDefault="001536CF" w:rsidP="00C34938">
      <w:pPr>
        <w:pStyle w:val="Heading1"/>
      </w:pPr>
      <w:r>
        <w:t>Materials &amp; Methods</w:t>
      </w:r>
    </w:p>
    <w:p w14:paraId="40257461" w14:textId="77777777" w:rsidR="00C54AAC" w:rsidRDefault="00C54AAC">
      <w:pPr>
        <w:pStyle w:val="BodyA"/>
        <w:spacing w:line="360" w:lineRule="auto"/>
        <w:jc w:val="both"/>
      </w:pPr>
    </w:p>
    <w:p w14:paraId="77EE9529" w14:textId="74D1BEC9" w:rsidR="00C54AAC" w:rsidRDefault="001536CF">
      <w:pPr>
        <w:pStyle w:val="BodyA"/>
        <w:spacing w:line="360" w:lineRule="auto"/>
        <w:jc w:val="both"/>
      </w:pPr>
      <w:r>
        <w:t xml:space="preserve">We conducted a prospective, randomized, double-blinded clinical trial, comparing clinical outcomes, complication rates and patient-reported vision related quality-of-life impact between two methods of corneal endothelial replacement </w:t>
      </w:r>
      <w:proofErr w:type="gramStart"/>
      <w:r>
        <w:t>surgery;</w:t>
      </w:r>
      <w:proofErr w:type="gramEnd"/>
      <w:r>
        <w:t xml:space="preserve"> micro-thin DSAEK and DMEK. Although we acknowledge that different terms have been adopted to characterize thin DSAEK grafts, we selected the term “micro-thin DSAEK” following our previous published standardized technique on preparing micro-thin DSAEK grafts, nevertheless implying the same range of graft thickness as ultra-thin or nano thin DSAEK [1</w:t>
      </w:r>
      <w:r w:rsidR="00256527">
        <w:t>9</w:t>
      </w:r>
      <w:r>
        <w:t xml:space="preserve">]. </w:t>
      </w:r>
      <w:r w:rsidR="009476DC">
        <w:t xml:space="preserve">In this study, our technique of stromal dehydration followed by microkeratome single pass </w:t>
      </w:r>
      <w:r w:rsidR="006F1C44">
        <w:t xml:space="preserve">had </w:t>
      </w:r>
      <w:r w:rsidR="009476DC">
        <w:t xml:space="preserve">achieved </w:t>
      </w:r>
      <w:r w:rsidR="006F1C44">
        <w:t>a thickness of &lt;130</w:t>
      </w:r>
      <w:r w:rsidR="006F1C44">
        <w:rPr>
          <w:lang w:val="el-GR"/>
        </w:rPr>
        <w:t>μ</w:t>
      </w:r>
      <w:r w:rsidR="006F1C44">
        <w:rPr>
          <w:lang w:val="en-GB"/>
        </w:rPr>
        <w:t>m</w:t>
      </w:r>
      <w:r w:rsidR="006F1C44">
        <w:t xml:space="preserve"> in </w:t>
      </w:r>
      <w:r w:rsidR="00A164AD">
        <w:t>100</w:t>
      </w:r>
      <w:r w:rsidR="009476DC">
        <w:t xml:space="preserve">% of grafts </w:t>
      </w:r>
      <w:r w:rsidR="006F1C44">
        <w:t xml:space="preserve">and </w:t>
      </w:r>
      <w:r w:rsidR="006F1C44">
        <w:rPr>
          <w:lang w:val="en-GB"/>
        </w:rPr>
        <w:t>&lt;100</w:t>
      </w:r>
      <w:r w:rsidR="006F1C44">
        <w:rPr>
          <w:lang w:val="el-GR"/>
        </w:rPr>
        <w:t>μ</w:t>
      </w:r>
      <w:r w:rsidR="006F1C44">
        <w:rPr>
          <w:lang w:val="en-GB"/>
        </w:rPr>
        <w:t xml:space="preserve">m </w:t>
      </w:r>
      <w:r w:rsidR="006F1C44">
        <w:t>in</w:t>
      </w:r>
      <w:r w:rsidR="009476DC">
        <w:rPr>
          <w:lang w:val="en-GB"/>
        </w:rPr>
        <w:t xml:space="preserve"> 71%. </w:t>
      </w:r>
      <w:r>
        <w:t xml:space="preserve">The primary outcome measure investigated in this trial was visual outcomes at 12 months. Ethical approval was obtained prior to the commencement of the study from the Fulham Research Ethics Committee, Health Research Authority, England. The study was registered in the ISRCTN registry. </w:t>
      </w:r>
    </w:p>
    <w:p w14:paraId="16DD43A1" w14:textId="77777777" w:rsidR="00C54AAC" w:rsidRDefault="001536CF">
      <w:pPr>
        <w:pStyle w:val="BodyA"/>
        <w:spacing w:line="360" w:lineRule="auto"/>
        <w:jc w:val="both"/>
      </w:pPr>
      <w:r>
        <w:lastRenderedPageBreak/>
        <w:t xml:space="preserve">All patients presenting or referred to the Corneal transplant services at Addenbrookes Hospital (Cambridge University Hospitals NHS Trust) between October 2016 and October 2018 with symptomatic corneal endothelial dysfunction secondary to Fuchs endothelial dystrophy and no other ocular comorbidity, were prospectively evaluated and recruited to the trial. 56 eyes of 56 participants conformed to the eligibility criteria of the trial. </w:t>
      </w:r>
    </w:p>
    <w:p w14:paraId="4178232C" w14:textId="2D911A49" w:rsidR="00C54AAC" w:rsidRDefault="001536CF">
      <w:pPr>
        <w:pStyle w:val="BodyA"/>
        <w:spacing w:line="360" w:lineRule="auto"/>
        <w:jc w:val="both"/>
      </w:pPr>
      <w:r>
        <w:t xml:space="preserve">One eye per patient was randomized to either undergo MT-DSAEK or DMEK based on a </w:t>
      </w:r>
      <w:proofErr w:type="gramStart"/>
      <w:r>
        <w:t>paper based</w:t>
      </w:r>
      <w:proofErr w:type="gramEnd"/>
      <w:r>
        <w:t xml:space="preserve"> randomization process led by the clinical trials unit, with an independent statistician preparing the concealment/randomization list and sealed envelope preparation.</w:t>
      </w:r>
      <w:r w:rsidR="00126711">
        <w:t xml:space="preserve"> </w:t>
      </w:r>
      <w:r>
        <w:t>We calculated that 28 patients in each arm would give at least 80% power to detect a 0.1 logarithm of the minimum angle of resolution (</w:t>
      </w:r>
      <w:proofErr w:type="spellStart"/>
      <w:r>
        <w:t>logMAR</w:t>
      </w:r>
      <w:proofErr w:type="spellEnd"/>
      <w:r>
        <w:t xml:space="preserve">) difference (around 1 line difference or 5 letters).  The trial was a </w:t>
      </w:r>
      <w:proofErr w:type="gramStart"/>
      <w:r>
        <w:t>double blind</w:t>
      </w:r>
      <w:proofErr w:type="gramEnd"/>
      <w:r>
        <w:t xml:space="preserve"> trial where patients were unaware of the type of endothelial keratoplasty, as were the optometrists, data analysts and technicians taking measurements of Best Spectacle Corrected Visual Acuity (BSCVA), refraction, keratometry, endothelial cell count and central corneal thickness. Only the surgeon (MSR) performing the surgery was aware of the type of EK procedure assigned to the patient.</w:t>
      </w:r>
    </w:p>
    <w:p w14:paraId="38EA24DA" w14:textId="77777777" w:rsidR="00C54AAC" w:rsidRDefault="001536CF">
      <w:pPr>
        <w:pStyle w:val="BodyA"/>
        <w:spacing w:line="360" w:lineRule="auto"/>
        <w:jc w:val="both"/>
      </w:pPr>
      <w:r>
        <w:t xml:space="preserve">Sample size was calculated using data from previously reported results supported by the literature. The convention power was taken at 0.8 and a two tailed type I error was assumed for 0.05. Minimum clinically significant difference was estimated at 1 line on EDTRS chart (which is equivalent to 0.1 </w:t>
      </w:r>
      <w:proofErr w:type="spellStart"/>
      <w:r>
        <w:t>LogMAR</w:t>
      </w:r>
      <w:proofErr w:type="spellEnd"/>
      <w:r>
        <w:t xml:space="preserve"> or 5 letters). The two groups were independent. All 56 participants received the treatment intervention.       </w:t>
      </w:r>
    </w:p>
    <w:p w14:paraId="09949F2F" w14:textId="77777777" w:rsidR="00C54AAC" w:rsidRDefault="001536CF">
      <w:pPr>
        <w:pStyle w:val="BodyA"/>
        <w:spacing w:line="360" w:lineRule="auto"/>
        <w:jc w:val="both"/>
      </w:pPr>
      <w:r>
        <w:t xml:space="preserve">Written informed consent was obtained from all participants, and the trial conformed to the tenants of the Declaration of Helsinki. All consented patients underwent a comprehensive eye examination. Best Spectacle Corrected Visual Acuity (BSCVA), slit lamp examination, dilated fundoscopy and retinal optical Coherence Tomography (OCT), were conducted to assess for any ocular co morbidities. The primary outcome of the trial was BSCVA at 12 months following the intervention. Secondary outcomes included change in spherical equivalent, central corneal thickness, endothelial cell count (ECC), keratometry, intraoperative and postoperative complication rates at </w:t>
      </w:r>
      <w:proofErr w:type="gramStart"/>
      <w:r>
        <w:t>6 and 12 months</w:t>
      </w:r>
      <w:proofErr w:type="gramEnd"/>
      <w:r>
        <w:t xml:space="preserve"> following surgery. Vision related QoL was assessed using the Visual Function Questionnaire (VFQ-14) at baseline, </w:t>
      </w:r>
      <w:proofErr w:type="gramStart"/>
      <w:r>
        <w:t>6 and 12 months</w:t>
      </w:r>
      <w:proofErr w:type="gramEnd"/>
      <w:r>
        <w:t xml:space="preserve"> post-surgery. Exclusion criteria were ocular comorbidity other than corneal decompensation that could lead to poor visual prognosis such as retinal or macula disorders, aphakia, abnormal anterior chamber, loss of iris or capsular diaphragm, previous glaucoma </w:t>
      </w:r>
      <w:r>
        <w:lastRenderedPageBreak/>
        <w:t xml:space="preserve">procedures including laser interventions. In addition, patients unable to posture after the procedure for 1-2 hours on their back, patients unable to position on the slit lamp interfering with post-operative assessments and inability to complete self-reported patient </w:t>
      </w:r>
      <w:proofErr w:type="gramStart"/>
      <w:r>
        <w:t>questionnaires  were</w:t>
      </w:r>
      <w:proofErr w:type="gramEnd"/>
      <w:r>
        <w:t xml:space="preserve"> also excluded from our study. Patients with dementia and unable to provide informed consent were not included. </w:t>
      </w:r>
    </w:p>
    <w:p w14:paraId="25AB7557" w14:textId="77777777" w:rsidR="00C54AAC" w:rsidRDefault="00C54AAC">
      <w:pPr>
        <w:pStyle w:val="BodyA"/>
        <w:spacing w:line="360" w:lineRule="auto"/>
        <w:jc w:val="both"/>
      </w:pPr>
    </w:p>
    <w:p w14:paraId="3DC144FA" w14:textId="77777777" w:rsidR="00C54AAC" w:rsidRDefault="001536CF" w:rsidP="00C34938">
      <w:pPr>
        <w:pStyle w:val="Heading2"/>
      </w:pPr>
      <w:r>
        <w:t>Surgical intervention</w:t>
      </w:r>
    </w:p>
    <w:p w14:paraId="3A7FF167" w14:textId="764CA1E5" w:rsidR="00C54AAC" w:rsidRDefault="001536CF">
      <w:pPr>
        <w:pStyle w:val="BodyA"/>
        <w:spacing w:line="360" w:lineRule="auto"/>
        <w:jc w:val="both"/>
      </w:pPr>
      <w:r>
        <w:t>A standardized surgical technique was adopted for both MT-DSAEK and DMEK procedures. There were 20/28 patients in the MT-DSAEK group and 24/28 in the DMEK cohort who underwent simultaneous, combined phacoemulsification surgery with intraocular lens (IOL) implantation with endothelial keratoplasty</w:t>
      </w:r>
      <w:r w:rsidR="00E76E5E">
        <w:t xml:space="preserve"> and remaining were all </w:t>
      </w:r>
      <w:proofErr w:type="spellStart"/>
      <w:r w:rsidR="00E76E5E">
        <w:t>pseudophakic</w:t>
      </w:r>
      <w:proofErr w:type="spellEnd"/>
      <w:r w:rsidR="00E76E5E">
        <w:t xml:space="preserve"> and underwent</w:t>
      </w:r>
      <w:r w:rsidR="00561F84">
        <w:t xml:space="preserve"> </w:t>
      </w:r>
      <w:r w:rsidR="00E76E5E">
        <w:t xml:space="preserve">only the </w:t>
      </w:r>
      <w:r w:rsidR="00561F84">
        <w:t xml:space="preserve">endothelial keratoplasty </w:t>
      </w:r>
      <w:r w:rsidR="00E76E5E">
        <w:t>procedure.</w:t>
      </w:r>
      <w:r w:rsidR="00561F84">
        <w:t xml:space="preserve"> </w:t>
      </w:r>
      <w:r>
        <w:t xml:space="preserve"> All patients received a peribulbar anesthetic block with 5ml of a 1:1 mixture of 2% lignocaine and hyaluronidase 300IU. The phacoemulsification procedure was completed in all cases successfully (Bausch + Lomb's Stellaris) with a posterior chamber IOL in the </w:t>
      </w:r>
      <w:proofErr w:type="gramStart"/>
      <w:r>
        <w:t>bag  (</w:t>
      </w:r>
      <w:proofErr w:type="spellStart"/>
      <w:proofErr w:type="gramEnd"/>
      <w:r>
        <w:t>EyeCee</w:t>
      </w:r>
      <w:proofErr w:type="spellEnd"/>
      <w:r>
        <w:t xml:space="preserve">® One Preloaded IOL - Bausch + Lomb, UK) based on biometry measurements. Target refraction was emmetropia for DMEK eyes, while a myopic target (-1.0 </w:t>
      </w:r>
      <w:proofErr w:type="spellStart"/>
      <w:r>
        <w:t>Dioptre</w:t>
      </w:r>
      <w:proofErr w:type="spellEnd"/>
      <w:r>
        <w:t>) was selected to counteract the anticipated hyperopic shift and achieve emmetropia for the MT-DSAEK eyes. This was based on our previously published results on MT-DSAEK where a mean spherical equivalent deviation of +0.85D from prediction was observed [</w:t>
      </w:r>
      <w:r w:rsidR="00FC445C">
        <w:t>20</w:t>
      </w:r>
      <w:r>
        <w:t xml:space="preserve">]. Host </w:t>
      </w:r>
      <w:proofErr w:type="spellStart"/>
      <w:r>
        <w:t>descemetorhexis</w:t>
      </w:r>
      <w:proofErr w:type="spellEnd"/>
      <w:r>
        <w:t xml:space="preserve"> was performed in all patients at an 8.25mm area under </w:t>
      </w:r>
      <w:proofErr w:type="spellStart"/>
      <w:r>
        <w:t>ProVisc</w:t>
      </w:r>
      <w:proofErr w:type="spellEnd"/>
      <w:r>
        <w:t xml:space="preserve">® </w:t>
      </w:r>
      <w:r>
        <w:rPr>
          <w:lang w:val="it-IT"/>
        </w:rPr>
        <w:t>(Alcon Laboratories, Inc.)</w:t>
      </w:r>
      <w:r>
        <w:t xml:space="preserve"> viscoelastic in the case of combined phacoemulsification or BSS infusion via anterior chamber maintainer in standalone EK, using a reverse </w:t>
      </w:r>
      <w:proofErr w:type="spellStart"/>
      <w:r>
        <w:t>Sinskey</w:t>
      </w:r>
      <w:proofErr w:type="spellEnd"/>
      <w:r>
        <w:t xml:space="preserve"> hook and a Descemet stripper. In the case of DMEK surgery, an inferior peripheral iridotomy was also performed via 20G vitrector in all patients.</w:t>
      </w:r>
    </w:p>
    <w:p w14:paraId="595CDA4D" w14:textId="115D5847" w:rsidR="00C54AAC" w:rsidRDefault="001536CF">
      <w:pPr>
        <w:pStyle w:val="BodyA"/>
        <w:spacing w:line="360" w:lineRule="auto"/>
        <w:jc w:val="both"/>
      </w:pPr>
      <w:r>
        <w:t xml:space="preserve">All donor corneas were supplied by British eye banks using organ culture for storage. For patients undergoing MT-DSAEK surgery, an artificial anterior chamber (ALTK system, </w:t>
      </w:r>
      <w:proofErr w:type="spellStart"/>
      <w:r>
        <w:t>Moria</w:t>
      </w:r>
      <w:proofErr w:type="spellEnd"/>
      <w:r>
        <w:t>, Antony, France) connected to balanced salt solution (BSS) infusion was used to mount and prepare the donor cornea. The preparation and thinning was achieved by our custom airflow device (</w:t>
      </w:r>
      <w:proofErr w:type="spellStart"/>
      <w:r>
        <w:t>CamFlow</w:t>
      </w:r>
      <w:proofErr w:type="spellEnd"/>
      <w:r>
        <w:t xml:space="preserve">, Network Medicals Ltd, United Kingdom) as </w:t>
      </w:r>
      <w:proofErr w:type="gramStart"/>
      <w:r>
        <w:t>described  by</w:t>
      </w:r>
      <w:proofErr w:type="gramEnd"/>
      <w:r>
        <w:t xml:space="preserve"> Roberts et al in 2015 [</w:t>
      </w:r>
      <w:r w:rsidR="00FC445C">
        <w:t>20</w:t>
      </w:r>
      <w:r>
        <w:t xml:space="preserve">]. This airflow device delivers air through a 4mm x 10cm sterile tubing and 0.2mm micropore filter (High Flow Filter, </w:t>
      </w:r>
      <w:proofErr w:type="spellStart"/>
      <w:r>
        <w:t>Surgistar</w:t>
      </w:r>
      <w:proofErr w:type="spellEnd"/>
      <w:r>
        <w:t xml:space="preserve">, United Kingdom) while held at 15mm above the </w:t>
      </w:r>
      <w:r>
        <w:lastRenderedPageBreak/>
        <w:t xml:space="preserve">corneal apex. Stromal thinning was deemed adequate when consecutive ultrasound pachymetry (P2000 Palm Scan, </w:t>
      </w:r>
      <w:proofErr w:type="spellStart"/>
      <w:r>
        <w:t>MicroMedical</w:t>
      </w:r>
      <w:proofErr w:type="spellEnd"/>
      <w:r>
        <w:t xml:space="preserve"> Devices Inc) measurements confirmed a donor corneal thickness at a target range of</w:t>
      </w:r>
      <w:r>
        <w:rPr>
          <w:lang w:val="pt-PT"/>
        </w:rPr>
        <w:t xml:space="preserve"> 530</w:t>
      </w:r>
      <w:r>
        <w:t>μ</w:t>
      </w:r>
      <w:r>
        <w:rPr>
          <w:lang w:val="pt-PT"/>
        </w:rPr>
        <w:t xml:space="preserve">m </w:t>
      </w:r>
      <w:r>
        <w:t xml:space="preserve">±10μm. Subsequently, pressure of the artificial chamber was </w:t>
      </w:r>
      <w:proofErr w:type="gramStart"/>
      <w:r>
        <w:t>increased</w:t>
      </w:r>
      <w:proofErr w:type="gramEnd"/>
      <w:r>
        <w:t xml:space="preserve"> and microkeratome dissection of the thinned graft was performed using a CB2000 automated microkeratome (</w:t>
      </w:r>
      <w:proofErr w:type="spellStart"/>
      <w:r>
        <w:t>Moria</w:t>
      </w:r>
      <w:proofErr w:type="spellEnd"/>
      <w:r>
        <w:t xml:space="preserve">, St Anthony, France) with a 350μm cutting head. Post-cut thickness was then checked and recorded. Finally, the graft was trephined at 8mm using a manual trephine (Coronet donor punch, Network Medical Products, United Kingdom). The graft was then implanted through a temporal 4.5mm scleral tunnel using the Tan </w:t>
      </w:r>
      <w:proofErr w:type="spellStart"/>
      <w:r>
        <w:t>EndoGlide</w:t>
      </w:r>
      <w:proofErr w:type="spellEnd"/>
      <w:r>
        <w:t xml:space="preserve"> (Coronet, Network Medical Products, United Kingdom). </w:t>
      </w:r>
    </w:p>
    <w:p w14:paraId="5A2FACAA" w14:textId="45105410" w:rsidR="00C54AAC" w:rsidRDefault="001536CF">
      <w:pPr>
        <w:pStyle w:val="BodyA"/>
        <w:spacing w:line="360" w:lineRule="auto"/>
        <w:jc w:val="both"/>
      </w:pPr>
      <w:r>
        <w:t xml:space="preserve">In the DMEK cohort, the grafts were prepared using the SCUBA (Submerged Cornea Using Backgrounds Away) technique under BSS after staining the endothelium with trypan blue and scoring just inside the trabecular meshwork with a </w:t>
      </w:r>
      <w:proofErr w:type="spellStart"/>
      <w:r>
        <w:t>Sinskey</w:t>
      </w:r>
      <w:proofErr w:type="spellEnd"/>
      <w:r>
        <w:t xml:space="preserve"> hook in a full circle [</w:t>
      </w:r>
      <w:r w:rsidR="00126711">
        <w:t>2</w:t>
      </w:r>
      <w:r w:rsidR="00FC445C">
        <w:t>1</w:t>
      </w:r>
      <w:r>
        <w:t xml:space="preserve">]. The Descemet’s was then lifted from posterior stroma with forceps and stripped in four quadrants, then trephined at 8mm using the Coronet manual trephine, and the scroll was stained with membrane blue dual for 50 seconds prior to implantation (endothelium- out) via the </w:t>
      </w:r>
      <w:proofErr w:type="spellStart"/>
      <w:r>
        <w:t>Geuder</w:t>
      </w:r>
      <w:proofErr w:type="spellEnd"/>
      <w:r>
        <w:t xml:space="preserve"> Glass Cannula (</w:t>
      </w:r>
      <w:proofErr w:type="spellStart"/>
      <w:r>
        <w:t>Geuder</w:t>
      </w:r>
      <w:proofErr w:type="spellEnd"/>
      <w:r>
        <w:t xml:space="preserve"> AG, Heidelberg, Germany) using a 2.2mm temporal corneal incision</w:t>
      </w:r>
      <w:r w:rsidR="00EA5E1C">
        <w:t>.</w:t>
      </w:r>
    </w:p>
    <w:p w14:paraId="71FFD6CA" w14:textId="1E75D377" w:rsidR="00C54AAC" w:rsidRDefault="001536CF">
      <w:pPr>
        <w:pStyle w:val="BodyA"/>
        <w:spacing w:line="360" w:lineRule="auto"/>
        <w:jc w:val="both"/>
      </w:pPr>
      <w:r>
        <w:t xml:space="preserve">Following positioning of the grafts, MT-DSAEK patients had complete air </w:t>
      </w:r>
      <w:proofErr w:type="gramStart"/>
      <w:r>
        <w:t>fill</w:t>
      </w:r>
      <w:proofErr w:type="gramEnd"/>
      <w:r>
        <w:t xml:space="preserve"> which was maintained for 10 minutes intraoperatively, then reduced to a bubble of 80% of anterior chamber volume for 1 hour postoperatively, while DMEK patients received sulfur hexafluoride (SF6) 20% gas tamponade with 100% fill for 10 minutes intraoperatively, then reduced to a bubble of 80% of anterior chamber volume for 1 hour post-operatively. All incisions were secured with 10-0 nylon sutures. All patients were reviewed at 1 hour post-operatively and after having maintained the supine position. Further reduction of air/gas fill through a paracentesis was decided at that point </w:t>
      </w:r>
      <w:proofErr w:type="gramStart"/>
      <w:r>
        <w:t>in order to</w:t>
      </w:r>
      <w:proofErr w:type="gramEnd"/>
      <w:r>
        <w:t xml:space="preserve"> achieve a 60-70% air fill in the anterior chamber. The patients were subsequently instructed to assume a 65</w:t>
      </w:r>
      <w:r>
        <w:rPr>
          <w:lang w:val="it-IT"/>
        </w:rPr>
        <w:t xml:space="preserve">° </w:t>
      </w:r>
      <w:r>
        <w:t xml:space="preserve">back recline in supine position at </w:t>
      </w:r>
      <w:proofErr w:type="gramStart"/>
      <w:r>
        <w:t>bed times</w:t>
      </w:r>
      <w:proofErr w:type="gramEnd"/>
      <w:r>
        <w:t xml:space="preserve">. </w:t>
      </w:r>
      <w:r w:rsidR="00561F84">
        <w:t xml:space="preserve">Subjects in both groups received the same post-operative positioning instructions. </w:t>
      </w:r>
      <w:r>
        <w:t>Paracentesis corneal sutures were removed at 1 month for both groups and the corneal incision suture at 10 weeks for the DMEK cohort.</w:t>
      </w:r>
    </w:p>
    <w:p w14:paraId="7EDFE5D6" w14:textId="77777777" w:rsidR="00C54AAC" w:rsidRDefault="001536CF">
      <w:pPr>
        <w:pStyle w:val="BodyA"/>
        <w:spacing w:line="360" w:lineRule="auto"/>
        <w:jc w:val="both"/>
      </w:pPr>
      <w:r>
        <w:t xml:space="preserve">Post-operative treatment comprised Dexamethasone 0.1% drops and chloramphenicol 0.5% drops in the operated eye four times a day tapered over 4 weeks and </w:t>
      </w:r>
      <w:proofErr w:type="gramStart"/>
      <w:r>
        <w:t>continued on</w:t>
      </w:r>
      <w:proofErr w:type="gramEnd"/>
      <w:r>
        <w:t xml:space="preserve"> Dexamethasone eye drops through the course of 12 months. </w:t>
      </w:r>
    </w:p>
    <w:p w14:paraId="6E8136A7" w14:textId="525FBCED" w:rsidR="00C54AAC" w:rsidRDefault="001536CF">
      <w:pPr>
        <w:pStyle w:val="BodyA"/>
        <w:spacing w:line="360" w:lineRule="auto"/>
        <w:jc w:val="both"/>
      </w:pPr>
      <w:r>
        <w:lastRenderedPageBreak/>
        <w:t>All patients enrolled in the study were examined at baseline and post-operative day 1, week 1, months 3, 6 and 12. BSCVA was assessed at baseline, month 3, 6 and 12 as was intraocular pressure and manifest refraction (performed by trained optometrists blinded to the type of EK performed). The endothelial cell count (</w:t>
      </w:r>
      <w:proofErr w:type="spellStart"/>
      <w:r>
        <w:t>Tomey</w:t>
      </w:r>
      <w:proofErr w:type="spellEnd"/>
      <w:r>
        <w:t xml:space="preserve"> EM 3000, UK specular microscope), central corneal thickness, DSAEK graft thickness (</w:t>
      </w:r>
      <w:proofErr w:type="spellStart"/>
      <w:r>
        <w:t>Visante</w:t>
      </w:r>
      <w:proofErr w:type="spellEnd"/>
      <w:r>
        <w:t xml:space="preserve"> AS OCT, Carl Zeiss </w:t>
      </w:r>
      <w:proofErr w:type="spellStart"/>
      <w:r>
        <w:t>Meditec</w:t>
      </w:r>
      <w:proofErr w:type="spellEnd"/>
      <w:r>
        <w:t xml:space="preserve">, CA USA), keratometry (Oculus </w:t>
      </w:r>
      <w:proofErr w:type="spellStart"/>
      <w:r>
        <w:t>Pentacam</w:t>
      </w:r>
      <w:proofErr w:type="spellEnd"/>
      <w:r>
        <w:t>) assessments and analysis were undertaken as per protocol described previously [1</w:t>
      </w:r>
      <w:r w:rsidR="00FC445C">
        <w:t>9</w:t>
      </w:r>
      <w:r>
        <w:t>].  The visual function questionnaires (VFQ-14) were completed at 6 and 12 months. The original VF-14 questionnaire was used. Each question is scored on a scale of 0 (unable to perform an activity at all) to four (able to engage in activity fully). The average score is multiplied by 25 to give an overall score ranging from 0 to 100 points.  Zero implies inability to do any of the activities, whereas a score of 100 denotes ability to perform all activities without any difficulty [2</w:t>
      </w:r>
      <w:r w:rsidR="00FC445C">
        <w:t>2</w:t>
      </w:r>
      <w:r>
        <w:t xml:space="preserve">]. Intra and post-operative complications were recorded and analyzed. The trials monitoring committee monitored the recruitment process, progress, </w:t>
      </w:r>
      <w:proofErr w:type="gramStart"/>
      <w:r>
        <w:t>safety</w:t>
      </w:r>
      <w:proofErr w:type="gramEnd"/>
      <w:r>
        <w:t xml:space="preserve"> and data collection in this study.</w:t>
      </w:r>
    </w:p>
    <w:p w14:paraId="6E1AA4DE" w14:textId="77777777" w:rsidR="00C54AAC" w:rsidRDefault="00C54AAC">
      <w:pPr>
        <w:pStyle w:val="BodyA"/>
        <w:spacing w:line="360" w:lineRule="auto"/>
        <w:jc w:val="both"/>
        <w:rPr>
          <w:u w:val="single"/>
        </w:rPr>
      </w:pPr>
    </w:p>
    <w:p w14:paraId="0F33D0C3" w14:textId="77777777" w:rsidR="00C54AAC" w:rsidRDefault="001536CF" w:rsidP="00C34938">
      <w:pPr>
        <w:pStyle w:val="Heading2"/>
      </w:pPr>
      <w:r>
        <w:t>Statistical Analysis</w:t>
      </w:r>
    </w:p>
    <w:p w14:paraId="51DC82E9" w14:textId="1B574071" w:rsidR="00C54AAC" w:rsidRDefault="001536CF">
      <w:pPr>
        <w:pStyle w:val="BodyA"/>
        <w:spacing w:line="360" w:lineRule="auto"/>
        <w:jc w:val="both"/>
      </w:pPr>
      <w:r>
        <w:t>For the purposes of statistical analysis, the measured Snellen visual acuity was converted to logarithm of the minimum angle of resolution (</w:t>
      </w:r>
      <w:proofErr w:type="spellStart"/>
      <w:r>
        <w:t>logMAR</w:t>
      </w:r>
      <w:proofErr w:type="spellEnd"/>
      <w:r>
        <w:t xml:space="preserve">) visual acuity. Data are presented as mean ± SD. The Shapiro-Wilk test was used to test for normality. Chi-square or Fisher exact tests were used for categorical variables. To compare continuous variables between groups, the independent t test or Mann–Whitney U test were used based on data normality. Comparisons between the pre- and postoperative values in each study group were performed using the paired t-test or Wilcoxon signed rank test. The simple linear regression models were initially used to study the relationships between visual acuity and other study parameters. The potential predictors with a p&lt;0.2 according to the simple linear regression models were included in the multiple regression models with 1000 bootstrap </w:t>
      </w:r>
      <w:proofErr w:type="gramStart"/>
      <w:r>
        <w:t>samples.</w:t>
      </w:r>
      <w:r w:rsidR="00B30C68">
        <w:t>.</w:t>
      </w:r>
      <w:proofErr w:type="gramEnd"/>
      <w:r w:rsidR="00B30C68">
        <w:t xml:space="preserve"> </w:t>
      </w:r>
      <w:r>
        <w:t>Statistical analysis was performed using Stata statistics software version 14.2. The level of significance was considered as p&lt;0.05 with two tails.</w:t>
      </w:r>
    </w:p>
    <w:p w14:paraId="1396F5B8" w14:textId="77777777" w:rsidR="00C54AAC" w:rsidRDefault="00C54AAC">
      <w:pPr>
        <w:pStyle w:val="BodyA"/>
        <w:spacing w:line="360" w:lineRule="auto"/>
      </w:pPr>
    </w:p>
    <w:p w14:paraId="215D5BDA" w14:textId="77777777" w:rsidR="00C54AAC" w:rsidRDefault="001536CF" w:rsidP="00C34938">
      <w:pPr>
        <w:pStyle w:val="Heading1"/>
      </w:pPr>
      <w:r>
        <w:lastRenderedPageBreak/>
        <w:t>Results</w:t>
      </w:r>
    </w:p>
    <w:p w14:paraId="15998307" w14:textId="77777777" w:rsidR="00C54AAC" w:rsidRDefault="00C54AAC">
      <w:pPr>
        <w:pStyle w:val="BodyA"/>
        <w:rPr>
          <w:b/>
          <w:bCs/>
          <w:u w:val="single"/>
        </w:rPr>
      </w:pPr>
    </w:p>
    <w:p w14:paraId="3D446C4D" w14:textId="77777777" w:rsidR="00C54AAC" w:rsidRDefault="001536CF" w:rsidP="00C34938">
      <w:pPr>
        <w:pStyle w:val="Heading2"/>
      </w:pPr>
      <w:r>
        <w:t>Pre-operative characteristics</w:t>
      </w:r>
    </w:p>
    <w:p w14:paraId="04FB87C3" w14:textId="77777777" w:rsidR="00C54AAC" w:rsidRDefault="001536CF">
      <w:pPr>
        <w:pStyle w:val="BodyA"/>
        <w:spacing w:line="360" w:lineRule="auto"/>
        <w:jc w:val="both"/>
      </w:pPr>
      <w:r>
        <w:t xml:space="preserve">Baseline clinical characteristics did not differ significantly between groups in terms of age, gender, pre-operative BSCVA and baseline SE as outlined in table 1. </w:t>
      </w:r>
      <w:proofErr w:type="gramStart"/>
      <w:r>
        <w:t>A majority of</w:t>
      </w:r>
      <w:proofErr w:type="gramEnd"/>
      <w:r>
        <w:t xml:space="preserve"> patients in both groups underwent simultaneous, combined phacoemulsification with IOL implantation at the time of endothelial keratoplasty (71% MT-DSAEK Vs 86% DMEK, p=0.19). The underlying cause of endothelial decompensation in all patients was Fuchs endothelial dystrophy. Donor characteristics were similar between groups. In the MT-DSAEK group the mean central DSAEK graft thickness was 63 ± </w:t>
      </w:r>
      <w:r>
        <w:rPr>
          <w:lang w:val="pt-PT"/>
        </w:rPr>
        <w:t xml:space="preserve">12.9 </w:t>
      </w:r>
      <w:r>
        <w:t>μ</w:t>
      </w:r>
      <w:r>
        <w:rPr>
          <w:lang w:val="pt-PT"/>
        </w:rPr>
        <w:t xml:space="preserve">m. </w:t>
      </w:r>
    </w:p>
    <w:p w14:paraId="409409C0" w14:textId="77777777" w:rsidR="00C54AAC" w:rsidRDefault="00C54AAC">
      <w:pPr>
        <w:pStyle w:val="BodyA"/>
        <w:spacing w:line="360" w:lineRule="auto"/>
        <w:jc w:val="both"/>
        <w:rPr>
          <w:i/>
          <w:iCs/>
          <w:u w:val="single"/>
        </w:rPr>
      </w:pPr>
    </w:p>
    <w:p w14:paraId="0A46D049" w14:textId="77777777" w:rsidR="00C54AAC" w:rsidRDefault="001536CF" w:rsidP="00C34938">
      <w:pPr>
        <w:pStyle w:val="Heading2"/>
      </w:pPr>
      <w:r>
        <w:t>Visual and refractive outcomes</w:t>
      </w:r>
    </w:p>
    <w:p w14:paraId="59B14993" w14:textId="7D4FEAD7" w:rsidR="00C54AAC" w:rsidRDefault="001536CF">
      <w:pPr>
        <w:pStyle w:val="BodyA"/>
        <w:spacing w:line="360" w:lineRule="auto"/>
        <w:jc w:val="both"/>
      </w:pPr>
      <w:r>
        <w:t xml:space="preserve">Eyes in the DMEK group achieved a significantly better </w:t>
      </w:r>
      <w:proofErr w:type="gramStart"/>
      <w:r>
        <w:t>BSCVA  compared</w:t>
      </w:r>
      <w:proofErr w:type="gramEnd"/>
      <w:r>
        <w:t xml:space="preserve"> to MT-DSAEK eyes as early as the 4th post-operative week (p=0.04). At 6 months, DMEK patients had a mean BSCVA of 0.09 ±0.13 compared to 0.17 ±0.08 in the MT-</w:t>
      </w:r>
      <w:proofErr w:type="gramStart"/>
      <w:r>
        <w:t>DSAEK  (</w:t>
      </w:r>
      <w:proofErr w:type="gramEnd"/>
      <w:r>
        <w:t xml:space="preserve">p=0.03) and at 12 months the DMEK cohort achieved a mean BSCVA of 0.04 ±0.13 compared to mean BSCVA of 0.11 ±0.09 in the MT-DSAEK arm (p=0.002). Overall, both groups achieved significant improvement of vision compared to baseline and no loss/ reduction of VA was recorded in either group. Visual acuity outcomes between groups at all timepoints are demonstrated in table 2. Refractive outcomes, as demonstrated in table 3, were similar between groups at 6 and 12 months of follow up, with no significant differences in mean spherical equivalent. Anterior and posterior </w:t>
      </w:r>
      <w:proofErr w:type="spellStart"/>
      <w:r>
        <w:t>keratometric</w:t>
      </w:r>
      <w:proofErr w:type="spellEnd"/>
      <w:r>
        <w:t xml:space="preserve"> astigmatism did not change significantly from baseline to 12 months in either group (p=0.44 MT-DSAEK, p=0.35 DMEK), nor was it different between groups at 6 and 12 </w:t>
      </w:r>
      <w:proofErr w:type="gramStart"/>
      <w:r>
        <w:t>months  (</w:t>
      </w:r>
      <w:proofErr w:type="gramEnd"/>
      <w:r>
        <w:t xml:space="preserve">p=0.79, p=0.95 respectively).  </w:t>
      </w:r>
    </w:p>
    <w:p w14:paraId="01606A11" w14:textId="77777777" w:rsidR="00C54AAC" w:rsidRDefault="00C54AAC">
      <w:pPr>
        <w:pStyle w:val="BodyA"/>
        <w:widowControl w:val="0"/>
        <w:ind w:left="324" w:hanging="324"/>
        <w:jc w:val="both"/>
      </w:pPr>
    </w:p>
    <w:p w14:paraId="6AD1C399" w14:textId="77777777" w:rsidR="00C54AAC" w:rsidRDefault="001536CF" w:rsidP="00C34938">
      <w:pPr>
        <w:pStyle w:val="Heading2"/>
      </w:pPr>
      <w:r>
        <w:t>Endothelial cell count (ECC) and central corneal thickness (CCT)</w:t>
      </w:r>
    </w:p>
    <w:p w14:paraId="0C49B1FB" w14:textId="77777777" w:rsidR="00C54AAC" w:rsidRDefault="001536CF">
      <w:pPr>
        <w:pStyle w:val="BodyA"/>
        <w:spacing w:line="360" w:lineRule="auto"/>
        <w:jc w:val="both"/>
        <w:rPr>
          <w:i/>
          <w:iCs/>
          <w:u w:val="single"/>
        </w:rPr>
      </w:pPr>
      <w:r>
        <w:t xml:space="preserve">Endothelial cell counts did not differ at baseline, month 6 and 12 between groups, as shown in table 3. Both groups </w:t>
      </w:r>
      <w:proofErr w:type="gramStart"/>
      <w:r>
        <w:t>demonstrated  endothelial</w:t>
      </w:r>
      <w:proofErr w:type="gramEnd"/>
      <w:r>
        <w:t xml:space="preserve"> cell drop from baseline to 6 months after surgery (p&lt;0.0001 in both groups, Wilcoxon test), with 39% loss for MT-DSAEK and 37.1% for DMEK grafts (p=0.36). A further 5.2% average loss for MT</w:t>
      </w:r>
      <w:r w:rsidR="0077634A">
        <w:t>-</w:t>
      </w:r>
      <w:r>
        <w:t xml:space="preserve">DSAEK and 2.2% for DMEK was observed between 6 and 12 months follow up. The total average loss from </w:t>
      </w:r>
      <w:r>
        <w:rPr>
          <w:lang w:val="da-DK"/>
        </w:rPr>
        <w:t>baseline</w:t>
      </w:r>
      <w:r>
        <w:t xml:space="preserve"> to 12 </w:t>
      </w:r>
      <w:r>
        <w:lastRenderedPageBreak/>
        <w:t xml:space="preserve">months was 44.2% for MT-DSAEK and 39.3% for DMEK. Central corneal thickness was significantly higher in the MT-DSAEK group at both the 6th and 12th month follow-up visit as compared to DMEK (p=0.0028, p=0.0048 respectively) (table 3). The mean central graft thickness (CGT) in the MT-DSAEK arm at 3 and 12 months was recorded as 82.85±17.84μm (95% CI 75.64- 90.05) </w:t>
      </w:r>
      <w:proofErr w:type="gramStart"/>
      <w:r>
        <w:t>and  75</w:t>
      </w:r>
      <w:proofErr w:type="gramEnd"/>
      <w:r>
        <w:t xml:space="preserve">.43±18.44μm (95% CI 68.28- 82.58) respectively (p=0.02). </w:t>
      </w:r>
    </w:p>
    <w:p w14:paraId="023DB0B2" w14:textId="77777777" w:rsidR="00C54AAC" w:rsidRDefault="00C54AAC">
      <w:pPr>
        <w:pStyle w:val="BodyA"/>
        <w:spacing w:line="360" w:lineRule="auto"/>
        <w:jc w:val="both"/>
        <w:rPr>
          <w:i/>
          <w:iCs/>
          <w:u w:val="single"/>
          <w:lang w:val="fr-FR"/>
        </w:rPr>
      </w:pPr>
    </w:p>
    <w:p w14:paraId="13B04D38" w14:textId="77777777" w:rsidR="00C54AAC" w:rsidRDefault="001536CF" w:rsidP="00C34938">
      <w:pPr>
        <w:pStyle w:val="Heading2"/>
      </w:pPr>
      <w:r>
        <w:t>Visual function questionnaire (VFQ-14)</w:t>
      </w:r>
    </w:p>
    <w:p w14:paraId="6D8F2BCB" w14:textId="77777777" w:rsidR="00C54AAC" w:rsidRDefault="001536CF">
      <w:pPr>
        <w:pStyle w:val="BodyA"/>
        <w:spacing w:line="360" w:lineRule="auto"/>
        <w:jc w:val="both"/>
      </w:pPr>
      <w:r>
        <w:t xml:space="preserve">Baseline median and IQR of visual function questionnaire 14 composite scores did not differ significantly between groups (table 4, figure 2). There was a significant improvement in patient </w:t>
      </w:r>
      <w:proofErr w:type="gramStart"/>
      <w:r>
        <w:t>reported  VFQ</w:t>
      </w:r>
      <w:proofErr w:type="gramEnd"/>
      <w:r>
        <w:t xml:space="preserve">14 scores from baseline to 6 and 12 months for both groups (p&lt;0.0001). Compared to baseline, MT-DSAEK patients had approximately a </w:t>
      </w:r>
      <w:proofErr w:type="gramStart"/>
      <w:r>
        <w:t>19 point</w:t>
      </w:r>
      <w:proofErr w:type="gramEnd"/>
      <w:r>
        <w:t xml:space="preserve"> improvement in their mean scores at 6 months while the DMEK arm showed a 24-point improvement. The composite score results remained equal between groups at 6 and 12 months, although more DMEK patients had a score of &gt;95 at 12 months (17/28) compared to MT-DSAEK (13/28), however this was not statistically</w:t>
      </w:r>
      <w:r>
        <w:rPr>
          <w:lang w:val="pt-PT"/>
        </w:rPr>
        <w:t xml:space="preserve"> </w:t>
      </w:r>
      <w:r>
        <w:t>significant.</w:t>
      </w:r>
    </w:p>
    <w:p w14:paraId="28900269" w14:textId="77777777" w:rsidR="00C54AAC" w:rsidRDefault="00C54AAC">
      <w:pPr>
        <w:pStyle w:val="BodyA"/>
        <w:spacing w:line="360" w:lineRule="auto"/>
        <w:jc w:val="both"/>
      </w:pPr>
    </w:p>
    <w:p w14:paraId="37B92CC5" w14:textId="77777777" w:rsidR="00C54AAC" w:rsidRDefault="001536CF" w:rsidP="00C34938">
      <w:pPr>
        <w:pStyle w:val="Heading2"/>
      </w:pPr>
      <w:r>
        <w:t xml:space="preserve">Complications </w:t>
      </w:r>
    </w:p>
    <w:p w14:paraId="55F74500" w14:textId="7DF143DC" w:rsidR="00C54AAC" w:rsidRDefault="001536CF">
      <w:pPr>
        <w:pStyle w:val="BodyA"/>
        <w:spacing w:line="360" w:lineRule="auto"/>
        <w:jc w:val="both"/>
      </w:pPr>
      <w:r>
        <w:t>Complications and adverse events are presented in table 5. No intra-operative complications were recorded in either group. Re-bubbling rate was equal in both arms, with 1 patient in each one requiring 1</w:t>
      </w:r>
      <w:r>
        <w:rPr>
          <w:vertAlign w:val="superscript"/>
        </w:rPr>
        <w:t>st</w:t>
      </w:r>
      <w:r>
        <w:t xml:space="preserve"> day</w:t>
      </w:r>
      <w:r w:rsidR="000012C7">
        <w:t xml:space="preserve"> </w:t>
      </w:r>
      <w:r>
        <w:t xml:space="preserve">post-operative graft re-attachment with re-bubbling. </w:t>
      </w:r>
      <w:proofErr w:type="gramStart"/>
      <w:r>
        <w:t>In</w:t>
      </w:r>
      <w:proofErr w:type="gramEnd"/>
      <w:r>
        <w:t xml:space="preserve"> both occasions this was managed successfully with no further sequelae. There was one case of graft rejection in the MT-DSAEK group at 9 months which was treated promptly with increased topical steroid drops and resolved gradually while the patient remained under close follow-up. One case of </w:t>
      </w:r>
      <w:r>
        <w:rPr>
          <w:u w:color="FF0000"/>
        </w:rPr>
        <w:t xml:space="preserve">primary graft failure </w:t>
      </w:r>
      <w:r>
        <w:t xml:space="preserve">was recorded in the DMEK cohort. The patient subsequently underwent a MT-DSAEK procedure, recovered successfully to achieve 0.2 </w:t>
      </w:r>
      <w:proofErr w:type="spellStart"/>
      <w:r>
        <w:t>logMAR</w:t>
      </w:r>
      <w:proofErr w:type="spellEnd"/>
      <w:r>
        <w:t xml:space="preserve"> BSCVA and therefore not included in the DMEK visual outcome analysis at</w:t>
      </w:r>
      <w:r w:rsidR="002C4874">
        <w:t xml:space="preserve"> all</w:t>
      </w:r>
      <w:r w:rsidR="00FC445C">
        <w:t xml:space="preserve"> subsequent</w:t>
      </w:r>
      <w:r w:rsidR="002C4874">
        <w:t xml:space="preserve"> time points following </w:t>
      </w:r>
      <w:r w:rsidR="007128C0">
        <w:t xml:space="preserve">the </w:t>
      </w:r>
      <w:r w:rsidR="002C4874">
        <w:t>diagnosis</w:t>
      </w:r>
      <w:r>
        <w:t xml:space="preserve">. Steroid-induced ocular hypertension occurred in 8 (29%) subjects of the MT-DSAEK and 6 (21%) of the DMEK arm. These cases were managed with topical IOP lowering eye drops, with 7/28 of the MT-DSAEK and 5/28 of the DMEK arm showing no evidence of glaucomatous optic neuropathy on subsequent visits and visual field testing, with IOP normalizing upon gradual tapering of topical steroids. </w:t>
      </w:r>
      <w:r>
        <w:lastRenderedPageBreak/>
        <w:t xml:space="preserve">However, 1 patient in each group developed persistent rise in IOP with evidence of early visual field defects, hence topical anti-glaucoma treatment was </w:t>
      </w:r>
      <w:proofErr w:type="gramStart"/>
      <w:r>
        <w:t>continued</w:t>
      </w:r>
      <w:proofErr w:type="gramEnd"/>
      <w:r>
        <w:t xml:space="preserve"> and the patients were co-managed with the glaucoma specialist team without surgical or laser intervention. Overall, there were 10 reported complications/adverse events in the MT-DSAEK arm and 8 in DMEK with no significant difference between groups (p=0.78).</w:t>
      </w:r>
    </w:p>
    <w:p w14:paraId="0A1EFD20" w14:textId="77777777" w:rsidR="00C54AAC" w:rsidRDefault="00C54AAC">
      <w:pPr>
        <w:pStyle w:val="BodyA"/>
        <w:spacing w:line="360" w:lineRule="auto"/>
        <w:jc w:val="both"/>
      </w:pPr>
    </w:p>
    <w:p w14:paraId="61E16C38" w14:textId="77777777" w:rsidR="00C54AAC" w:rsidRDefault="001536CF" w:rsidP="00C34938">
      <w:pPr>
        <w:pStyle w:val="Heading2"/>
      </w:pPr>
      <w:r>
        <w:t>Linear regression analysis</w:t>
      </w:r>
    </w:p>
    <w:p w14:paraId="20019802" w14:textId="484EB4D7" w:rsidR="00C54AAC" w:rsidRDefault="001536CF">
      <w:pPr>
        <w:pStyle w:val="BodyA"/>
        <w:spacing w:line="360" w:lineRule="auto"/>
        <w:jc w:val="both"/>
      </w:pPr>
      <w:r>
        <w:t xml:space="preserve">The simple and multiple linear regression model using </w:t>
      </w:r>
      <w:proofErr w:type="spellStart"/>
      <w:r>
        <w:t>logMAR</w:t>
      </w:r>
      <w:proofErr w:type="spellEnd"/>
      <w:r>
        <w:t xml:space="preserve"> VA as the dependent variable was analyzed at </w:t>
      </w:r>
      <w:proofErr w:type="gramStart"/>
      <w:r>
        <w:t>6 and 12 months</w:t>
      </w:r>
      <w:proofErr w:type="gramEnd"/>
      <w:r>
        <w:t xml:space="preserve"> following surgery (table 6). The simple linear regression analysis revealed that at 6 months, posterior corneal astigmatism, total corneal </w:t>
      </w:r>
      <w:proofErr w:type="gramStart"/>
      <w:r>
        <w:t>thickness</w:t>
      </w:r>
      <w:proofErr w:type="gramEnd"/>
      <w:r>
        <w:t xml:space="preserve"> and the type of the EK were significantly associated with visual acuity. At 12 months, total corneal thickness, endothelial cell count and type of EK</w:t>
      </w:r>
      <w:r w:rsidR="002C4874">
        <w:t xml:space="preserve"> were significantly associated with </w:t>
      </w:r>
      <w:r w:rsidR="00410C7C">
        <w:t>visual acuity</w:t>
      </w:r>
      <w:r>
        <w:t xml:space="preserve">. </w:t>
      </w:r>
      <w:r w:rsidR="00410C7C" w:rsidRPr="00410C7C">
        <w:t xml:space="preserve">We examined the correlations between the explanatory variables before doing the multiple linear regression by plotting the scatter plots to observe the correlations between the variables and calculating the correlation coefficients. In addition, the variance inflation factor (VIF) was used to access the </w:t>
      </w:r>
      <w:proofErr w:type="spellStart"/>
      <w:r w:rsidR="00410C7C" w:rsidRPr="00410C7C">
        <w:t>multicolinearity</w:t>
      </w:r>
      <w:proofErr w:type="spellEnd"/>
      <w:r w:rsidR="00410C7C" w:rsidRPr="00410C7C">
        <w:t xml:space="preserve">. The results showed that the value of VIF=1.12 for both the multiple regressions, which suggested that there is no </w:t>
      </w:r>
      <w:proofErr w:type="spellStart"/>
      <w:r w:rsidR="00410C7C" w:rsidRPr="00410C7C">
        <w:t>mult</w:t>
      </w:r>
      <w:r w:rsidR="00FE76D7">
        <w:t>i</w:t>
      </w:r>
      <w:r w:rsidR="00410C7C" w:rsidRPr="00410C7C">
        <w:t>colinearity</w:t>
      </w:r>
      <w:proofErr w:type="spellEnd"/>
      <w:r w:rsidR="00410C7C" w:rsidRPr="00410C7C">
        <w:t>.</w:t>
      </w:r>
      <w:r w:rsidR="00410C7C">
        <w:t xml:space="preserve"> </w:t>
      </w:r>
      <w:r>
        <w:t xml:space="preserve">Using the multiple regression model, only the type of EK was significantly associated with visual acuity at 6 and 12 months (p=0.035 and p=0.026 respectively, R-squared= 0.24, based on 1000 bootstrap replicates). </w:t>
      </w:r>
    </w:p>
    <w:p w14:paraId="78313B45" w14:textId="77777777" w:rsidR="00C54AAC" w:rsidRDefault="00C54AAC">
      <w:pPr>
        <w:pStyle w:val="BodyA"/>
        <w:rPr>
          <w:i/>
          <w:iCs/>
        </w:rPr>
      </w:pPr>
    </w:p>
    <w:p w14:paraId="13BBCF43" w14:textId="77777777" w:rsidR="00C54AAC" w:rsidRDefault="001536CF" w:rsidP="00C34938">
      <w:pPr>
        <w:pStyle w:val="Heading1"/>
      </w:pPr>
      <w:r>
        <w:t>Discussion</w:t>
      </w:r>
    </w:p>
    <w:p w14:paraId="270B074C" w14:textId="77777777" w:rsidR="00C54AAC" w:rsidRDefault="00C54AAC">
      <w:pPr>
        <w:pStyle w:val="BodyA"/>
      </w:pPr>
    </w:p>
    <w:p w14:paraId="6D23ACCC" w14:textId="2B0E9F09" w:rsidR="00C54AAC" w:rsidRDefault="001536CF">
      <w:pPr>
        <w:pStyle w:val="BodyA"/>
        <w:spacing w:line="360" w:lineRule="auto"/>
        <w:jc w:val="both"/>
      </w:pPr>
      <w:r>
        <w:t xml:space="preserve">In this randomized clinical trial we compared the visual outcomes between MT-DSAEK and DMEK surgery in eyes with Fuchs </w:t>
      </w:r>
      <w:proofErr w:type="gramStart"/>
      <w:r>
        <w:t>related  endothelial</w:t>
      </w:r>
      <w:proofErr w:type="gramEnd"/>
      <w:r>
        <w:t xml:space="preserve"> dysfunction and no other ocular co-morbidities. Our results corroborate that DMEK outperforms MT-DSAEK, with best corrected visual acuity improving faster and significantly better in the DMEK cohort from as early as the 4</w:t>
      </w:r>
      <w:r>
        <w:rPr>
          <w:vertAlign w:val="superscript"/>
        </w:rPr>
        <w:t>th</w:t>
      </w:r>
      <w:r>
        <w:t xml:space="preserve"> post-operative week </w:t>
      </w:r>
      <w:proofErr w:type="gramStart"/>
      <w:r>
        <w:t>and  at</w:t>
      </w:r>
      <w:proofErr w:type="gramEnd"/>
      <w:r>
        <w:t xml:space="preserve"> all time points of follow up. At 12 months, DMEK patients could see on average 3.5 </w:t>
      </w:r>
      <w:proofErr w:type="spellStart"/>
      <w:r>
        <w:t>logMAR</w:t>
      </w:r>
      <w:proofErr w:type="spellEnd"/>
      <w:r>
        <w:t xml:space="preserve"> letters more compared to the MT-DSAEK arm (0.04 ± </w:t>
      </w:r>
      <w:r>
        <w:rPr>
          <w:lang w:val="pt-PT"/>
        </w:rPr>
        <w:t xml:space="preserve">0.13 Vs 0.11 </w:t>
      </w:r>
      <w:r>
        <w:t xml:space="preserve">± 0.09, p=0.002). Our primary endpoint results (BSCVA </w:t>
      </w:r>
      <w:proofErr w:type="gramStart"/>
      <w:r>
        <w:t>at  12</w:t>
      </w:r>
      <w:proofErr w:type="gramEnd"/>
      <w:r>
        <w:t xml:space="preserve"> months) are in agreement with Chamberlain et al [1</w:t>
      </w:r>
      <w:r w:rsidR="00FC445C">
        <w:t>7</w:t>
      </w:r>
      <w:r>
        <w:t xml:space="preserve">] trial, who also reported more rapid visual acuity </w:t>
      </w:r>
      <w:r>
        <w:lastRenderedPageBreak/>
        <w:t>improvement in DMEK eyes compared to ultrathin-DSAEK (UT-DSAEK), with 1.5 lines difference in BSCVA at 12 months of follow-up (0.16±0.18 UT-DSAEK Vs 0.04±0.12 in DMEK, p&lt;0.001). Their thin DSAEK visual outcomes were slightly poorer compared to that reported in our trial, thereby widening the visual acuity differences between the groups. Dunker et al [1</w:t>
      </w:r>
      <w:r w:rsidR="00FC445C">
        <w:t>8</w:t>
      </w:r>
      <w:r>
        <w:t xml:space="preserve">] reported no such differences in the visual outcomes between UT-DSAEK and DMEK groups at all time points of follow up with a concluding difference of 0.15±0.11 Vs 0.08±0.14 (p=0.06) at 12 months. Yet a significantly higher number of DMEK eyes were reported to have achieved a Snellen BSCVA of 20/25 or better compared to their thin DSAEK eyes (19/29 [66%] Vs 8/24 [33%], p = 0.02), </w:t>
      </w:r>
      <w:proofErr w:type="spellStart"/>
      <w:r>
        <w:t>Kurji</w:t>
      </w:r>
      <w:proofErr w:type="spellEnd"/>
      <w:r>
        <w:t xml:space="preserve"> et al [2</w:t>
      </w:r>
      <w:r w:rsidR="00FC445C">
        <w:t>3</w:t>
      </w:r>
      <w:r>
        <w:t xml:space="preserve">], in their prospective comparative case series of </w:t>
      </w:r>
      <w:proofErr w:type="spellStart"/>
      <w:r>
        <w:t>nanothin</w:t>
      </w:r>
      <w:proofErr w:type="spellEnd"/>
      <w:r>
        <w:t>-DSAEK (NT-DSAEK) Vs DMEK, reported that mean BSCVA was significantly better in the DMEK group at 1 month but by 3 months it was comparable between groups, with no significant difference throughout the remainder of the study. A few more studies have also reported lack of significant differences between NT-DSAEK/ UT-DSAEK and DMEK visual outcomes but these are non-RCTs, retrospective series with varying protocols [2</w:t>
      </w:r>
      <w:r w:rsidR="00FC445C">
        <w:t>4</w:t>
      </w:r>
      <w:r>
        <w:t>- 2</w:t>
      </w:r>
      <w:r w:rsidR="00FC445C">
        <w:t>7</w:t>
      </w:r>
      <w:r>
        <w:t>]. Thus, the thin DSAEK techniques overall demonstrate significantly better visual results compared to the suboptimal vision (</w:t>
      </w:r>
      <w:proofErr w:type="spellStart"/>
      <w:r>
        <w:t>logMAR</w:t>
      </w:r>
      <w:proofErr w:type="spellEnd"/>
      <w:r>
        <w:t xml:space="preserve"> 0.2-0.3) reported in earlier conventional </w:t>
      </w:r>
      <w:proofErr w:type="gramStart"/>
      <w:r>
        <w:t>DSAEK  techniques</w:t>
      </w:r>
      <w:proofErr w:type="gramEnd"/>
      <w:r>
        <w:t xml:space="preserve"> [1</w:t>
      </w:r>
      <w:r w:rsidR="00FC445C">
        <w:t>4</w:t>
      </w:r>
      <w:r>
        <w:t>, 1</w:t>
      </w:r>
      <w:r w:rsidR="00FC445C">
        <w:t>5</w:t>
      </w:r>
      <w:r>
        <w:t>]. So, in general, recent literature shows improving visual standards in thin DSAEK techniques not too dissimilar to DMEK, closely trailing behind but not totally matching it. Our RCT results</w:t>
      </w:r>
      <w:r w:rsidR="000012C7">
        <w:t xml:space="preserve"> </w:t>
      </w:r>
      <w:r>
        <w:t>seem to confirm this notion [1</w:t>
      </w:r>
      <w:r w:rsidR="00FC445C">
        <w:t>7</w:t>
      </w:r>
      <w:r>
        <w:t xml:space="preserve">]. </w:t>
      </w:r>
    </w:p>
    <w:p w14:paraId="0CA9052D" w14:textId="3A97B67E" w:rsidR="00C54AAC" w:rsidRDefault="009E54FC">
      <w:pPr>
        <w:pStyle w:val="BodyA"/>
        <w:spacing w:line="360" w:lineRule="auto"/>
        <w:jc w:val="both"/>
      </w:pPr>
      <w:r>
        <w:t>T</w:t>
      </w:r>
      <w:r w:rsidRPr="009E54FC">
        <w:t>he VFQ-14 was used to assess the vision related quality, the validity of which has been previously tested in patients undergoing corneal transplantation [22]</w:t>
      </w:r>
      <w:r>
        <w:t xml:space="preserve">. </w:t>
      </w:r>
      <w:r w:rsidR="001536CF">
        <w:t xml:space="preserve">Albeit the </w:t>
      </w:r>
      <w:proofErr w:type="gramStart"/>
      <w:r w:rsidR="001536CF">
        <w:t>advantage  of</w:t>
      </w:r>
      <w:proofErr w:type="gramEnd"/>
      <w:r w:rsidR="001536CF">
        <w:t xml:space="preserve"> DMEK in terms of measured visual acuity at 6 and 12 months, we detected no significant difference in vision-related quality of life (QoL). Both groups reported a substantial improvement in their </w:t>
      </w:r>
      <w:proofErr w:type="gramStart"/>
      <w:r w:rsidR="001536CF">
        <w:t>vision-related</w:t>
      </w:r>
      <w:proofErr w:type="gramEnd"/>
      <w:r w:rsidR="001536CF">
        <w:t xml:space="preserve"> QoL from baseline to 6 and 12 months, with mean composite scores &gt;90 in both arms, indicating that all participants enjoyed a significant gain in their QoL as a consequence of EK surgery, irrespective of the type of EK. Our findings are in keeping with those reported by Ang et al [2</w:t>
      </w:r>
      <w:r w:rsidR="00FC445C">
        <w:t>8</w:t>
      </w:r>
      <w:r w:rsidR="001536CF">
        <w:t>] who also failed to identify a difference in vision-related QoL outcomes between the UT-DSAEK and DMEK groups in the DETECT trial using the VFQ-39, concluding that both techniques are equally effective in improving QoL. This dissociation or lack of correlation between visual acuity and patient reported outcomes on quality of life has been recognized by other investigators as well [2</w:t>
      </w:r>
      <w:r w:rsidR="00FC445C">
        <w:t>9</w:t>
      </w:r>
      <w:r w:rsidR="001536CF">
        <w:t xml:space="preserve">, </w:t>
      </w:r>
      <w:r w:rsidR="00FC445C">
        <w:t>30</w:t>
      </w:r>
      <w:r w:rsidR="001536CF">
        <w:t xml:space="preserve">]. The patient’s self-reported ability or disability following EK surgery is an important outcome measure and has </w:t>
      </w:r>
      <w:r w:rsidR="001536CF">
        <w:lastRenderedPageBreak/>
        <w:t xml:space="preserve">value. The fact that it didn’t differ in our study or that published by Ang et al would indicate that DMEK and MT-DSAEK are both equally effective to visually </w:t>
      </w:r>
      <w:proofErr w:type="gramStart"/>
      <w:r w:rsidR="001536CF">
        <w:t>rehabilitate  patients</w:t>
      </w:r>
      <w:proofErr w:type="gramEnd"/>
      <w:r w:rsidR="001536CF">
        <w:t xml:space="preserve"> with simple Fuchs related corneal decompensation to recover normal daily vision related activities.</w:t>
      </w:r>
      <w:r w:rsidR="00561F84">
        <w:t xml:space="preserve"> </w:t>
      </w:r>
      <w:r w:rsidRPr="009E54FC">
        <w:t xml:space="preserve">VFQ-14 is easier to administer and has a high rate of patient compliance, while meeting the criteria of </w:t>
      </w:r>
      <w:proofErr w:type="spellStart"/>
      <w:r w:rsidRPr="009E54FC">
        <w:t>unidimensionality</w:t>
      </w:r>
      <w:proofErr w:type="spellEnd"/>
      <w:r w:rsidRPr="009E54FC">
        <w:t xml:space="preserve"> and interval-level measurement [37].</w:t>
      </w:r>
      <w:r w:rsidR="001536CF">
        <w:t>By norm, the</w:t>
      </w:r>
      <w:r w:rsidR="001536CF">
        <w:rPr>
          <w:lang w:val="it-IT"/>
        </w:rPr>
        <w:t xml:space="preserve"> QoL </w:t>
      </w:r>
      <w:r w:rsidR="001536CF">
        <w:t xml:space="preserve">score improves along with improvement in BSCVA, but it is possible  that VF 14 as an instrument  is not sufficiently sensitive  to ascertain a  difference in QoL within the visual acuity range of 0.1 or 0.2 </w:t>
      </w:r>
      <w:proofErr w:type="spellStart"/>
      <w:r w:rsidR="001536CF">
        <w:t>logMAR</w:t>
      </w:r>
      <w:proofErr w:type="spellEnd"/>
      <w:r w:rsidR="001536CF">
        <w:t xml:space="preserve"> as encountered in the MT-DSAEK and DMEK groups in our trial (threshold phenomenon) [</w:t>
      </w:r>
      <w:r w:rsidR="00126711">
        <w:t>3</w:t>
      </w:r>
      <w:r w:rsidR="00FC445C">
        <w:t>1</w:t>
      </w:r>
      <w:r w:rsidR="001536CF">
        <w:t>].</w:t>
      </w:r>
      <w:r w:rsidR="00E27441">
        <w:t xml:space="preserve"> We acknowledge that perhaps the evaluation of higher order aberrations between the groups might have added value to our study.  </w:t>
      </w:r>
    </w:p>
    <w:p w14:paraId="4B383496" w14:textId="3D230BD1" w:rsidR="00C54AAC" w:rsidRDefault="001536CF">
      <w:pPr>
        <w:pStyle w:val="BodyA"/>
        <w:spacing w:line="360" w:lineRule="auto"/>
        <w:jc w:val="both"/>
      </w:pPr>
      <w:r>
        <w:t xml:space="preserve">Regarding differences in refractive outcomes, our study revealed that mean spherical equivalent, posterior and anterior corneal astigmatism did not differ significantly between groups at any time point. This is </w:t>
      </w:r>
      <w:proofErr w:type="gramStart"/>
      <w:r>
        <w:t>similar to</w:t>
      </w:r>
      <w:proofErr w:type="gramEnd"/>
      <w:r>
        <w:t xml:space="preserve"> the refractive results published by Dunker et al [1</w:t>
      </w:r>
      <w:r w:rsidR="00FC445C">
        <w:t>8</w:t>
      </w:r>
      <w:r>
        <w:t>]. Endothelial cell (EC) loss in the MT-DSAEK group at 12 months in our trial was 44.2</w:t>
      </w:r>
      <w:proofErr w:type="gramStart"/>
      <w:r>
        <w:t>%  compared</w:t>
      </w:r>
      <w:proofErr w:type="gramEnd"/>
      <w:r>
        <w:t xml:space="preserve"> to 39.3% for the DMEK arm. This loss seemed to stabilize earlier in DMEK eyes with no further significant reduction of mean endothelial cell count after the 6</w:t>
      </w:r>
      <w:r>
        <w:rPr>
          <w:vertAlign w:val="superscript"/>
        </w:rPr>
        <w:t>th</w:t>
      </w:r>
      <w:r>
        <w:t xml:space="preserve"> month of follow up. Dickman et al reported a similar 40% ECC loss both in UT-DSAEK and conventional DSAEK at 3 months after surgery with stabilization thereafter [1</w:t>
      </w:r>
      <w:r w:rsidR="00FC445C">
        <w:t>5</w:t>
      </w:r>
      <w:r>
        <w:t xml:space="preserve">], while </w:t>
      </w:r>
      <w:proofErr w:type="spellStart"/>
      <w:r>
        <w:t>Busin</w:t>
      </w:r>
      <w:proofErr w:type="spellEnd"/>
      <w:r>
        <w:t xml:space="preserve"> et al [2</w:t>
      </w:r>
      <w:r w:rsidR="00FC445C">
        <w:t>4</w:t>
      </w:r>
      <w:r>
        <w:t>] described a 35.6± 20.2% ECC loss at 12 months in their UT-DSAEK cohort with stabilization of cell loss at 1 year post-operatively. Dunker et al [1</w:t>
      </w:r>
      <w:r w:rsidR="00FC445C">
        <w:t>8</w:t>
      </w:r>
      <w:r>
        <w:t xml:space="preserve">] reported a 38.7% ECC loss in the UT-DSAEK and 39.3% in the DMEK group at 12 months of follow up. </w:t>
      </w:r>
      <w:proofErr w:type="gramStart"/>
      <w:r>
        <w:t>Further  follow</w:t>
      </w:r>
      <w:proofErr w:type="gramEnd"/>
      <w:r>
        <w:t xml:space="preserve"> up would be needed to ascertain the effect of EC loss during the early recovery period on  long term graft survival. However, a recent study by Price et al [3</w:t>
      </w:r>
      <w:r w:rsidR="00FC445C">
        <w:t>2</w:t>
      </w:r>
      <w:r>
        <w:t xml:space="preserve">] found that DMEK and DSAEK had similar 5-year graft survival rates (both 93%) and endothelial cell loss (48% vs. 47%, respectively; P = 0.22). </w:t>
      </w:r>
    </w:p>
    <w:p w14:paraId="39CD7B5D" w14:textId="698DFD2C" w:rsidR="00E668CE" w:rsidRDefault="001536CF">
      <w:pPr>
        <w:pStyle w:val="BodyA"/>
        <w:spacing w:line="360" w:lineRule="auto"/>
        <w:jc w:val="both"/>
      </w:pPr>
      <w:r>
        <w:t>We did not detect a statistically significant discrepancy in complication rates between the 2 groups. Both groups had a low</w:t>
      </w:r>
      <w:r>
        <w:rPr>
          <w:lang w:val="fr-FR"/>
        </w:rPr>
        <w:t xml:space="preserve"> complication </w:t>
      </w:r>
      <w:proofErr w:type="gramStart"/>
      <w:r>
        <w:rPr>
          <w:lang w:val="fr-FR"/>
        </w:rPr>
        <w:t>profile</w:t>
      </w:r>
      <w:proofErr w:type="gramEnd"/>
      <w:r>
        <w:t xml:space="preserve"> and our re-bubbling rate was significantly less (3.5% in each group) than that reported in DMEK and DSAEK trials in literature [1</w:t>
      </w:r>
      <w:r w:rsidR="00FC445C">
        <w:t>2</w:t>
      </w:r>
      <w:r>
        <w:t xml:space="preserve">, </w:t>
      </w:r>
      <w:r w:rsidR="00126711">
        <w:t>2</w:t>
      </w:r>
      <w:r w:rsidR="00FC445C">
        <w:t>1</w:t>
      </w:r>
      <w:r>
        <w:t>, 2</w:t>
      </w:r>
      <w:r w:rsidR="00FC445C">
        <w:t>4</w:t>
      </w:r>
      <w:r>
        <w:t>, 2</w:t>
      </w:r>
      <w:r w:rsidR="00FC445C">
        <w:t>5</w:t>
      </w:r>
      <w:r>
        <w:t>]. Chamberlain et al [1</w:t>
      </w:r>
      <w:r w:rsidR="00FC445C">
        <w:t>7</w:t>
      </w:r>
      <w:r>
        <w:t>] reported that 6/25 (24%) DMEK patients required re-bubbling compared to only 1/25 (3.5%) in the UT-DSAEK arm. Dunker et al [1</w:t>
      </w:r>
      <w:r w:rsidR="00FC445C">
        <w:t>8</w:t>
      </w:r>
      <w:r>
        <w:t xml:space="preserve">] recorded a significantly higher total number of complications after DMEK Vs UT-DSAEK (17/29 vs. 6/24, p= 0.01) with a 24% (7/29) re-bubbling rate in their DMEK cohort. Of note, this was a multicenter study across 6 surgical centers </w:t>
      </w:r>
      <w:proofErr w:type="gramStart"/>
      <w:r>
        <w:t>with  surgeons</w:t>
      </w:r>
      <w:proofErr w:type="gramEnd"/>
      <w:r>
        <w:t xml:space="preserve"> who had performed at least 25 DMEK procedures. In </w:t>
      </w:r>
      <w:r>
        <w:lastRenderedPageBreak/>
        <w:t xml:space="preserve">contrast, our study included a single experienced surgeon who had completed over 100 DMEK and 350 DSAEK procedures and passed the learning curve. Endothelial rejection rate at 1 year was 0% in the DMEK arm and 3.5% (1 patient) in the MT-DSAEK group which was treated successfully with topical corticosteroids and did not necessitate re-grafting. There was a single case of primary graft failure in the DMEK group and none in the MT-DSAEK cohort. </w:t>
      </w:r>
    </w:p>
    <w:p w14:paraId="464642E5" w14:textId="7702E492" w:rsidR="00C54AAC" w:rsidRDefault="001536CF" w:rsidP="00D62015">
      <w:pPr>
        <w:pStyle w:val="BodyA"/>
        <w:spacing w:line="360" w:lineRule="auto"/>
        <w:jc w:val="both"/>
      </w:pPr>
      <w:r>
        <w:t>Limitations of this study include the small sample size and inclusion of eyes without other ocular co-morbidities.</w:t>
      </w:r>
      <w:r w:rsidR="0077634A">
        <w:t xml:space="preserve"> </w:t>
      </w:r>
      <w:r>
        <w:t xml:space="preserve">Additionally, all procedures were performed by a single surgeon, using a </w:t>
      </w:r>
      <w:r w:rsidR="000012C7">
        <w:t>standardized</w:t>
      </w:r>
      <w:r>
        <w:t xml:space="preserve"> technique in eyes with simple corneal decompensation all these factors could account for the lower number of complications compared to other published studies. A similar study involving multiple surgeons or sites at varying stages of the learning curve might not necessarily reproduce the results encountered in our trial [3</w:t>
      </w:r>
      <w:r w:rsidR="00FC445C">
        <w:t>3</w:t>
      </w:r>
      <w:r>
        <w:t xml:space="preserve">].  The surgical challenges are far greater in eyes with complex anterior segment pathology such as aphakia, lens–iris abnormalities, previous glaucoma filtering surgery (such as trabeculectomy or glaucoma drainage devices- GDD), </w:t>
      </w:r>
      <w:proofErr w:type="spellStart"/>
      <w:r>
        <w:t>vitrectomized</w:t>
      </w:r>
      <w:proofErr w:type="spellEnd"/>
      <w:r>
        <w:t xml:space="preserve"> </w:t>
      </w:r>
      <w:proofErr w:type="gramStart"/>
      <w:r>
        <w:t>eyes,  anterior</w:t>
      </w:r>
      <w:proofErr w:type="gramEnd"/>
      <w:r>
        <w:t xml:space="preserve"> chamber intraocular lenses (AC-IOL) and previously failed cornea grafts. DSAEK has been favored for these cases over DMEK [3</w:t>
      </w:r>
      <w:r w:rsidR="00FC445C">
        <w:t>4</w:t>
      </w:r>
      <w:r>
        <w:t xml:space="preserve">] </w:t>
      </w:r>
      <w:proofErr w:type="gramStart"/>
      <w:r>
        <w:t>in order to</w:t>
      </w:r>
      <w:proofErr w:type="gramEnd"/>
      <w:r>
        <w:t xml:space="preserve"> avoid difficulties in graft introduction, attachment and post op dislocation. MT-DSAEK and other thin DSAEK methods could hold an important role in the management of these eyes and a trial investigating the role of thin </w:t>
      </w:r>
      <w:proofErr w:type="gramStart"/>
      <w:r>
        <w:t>DSAEK  vs</w:t>
      </w:r>
      <w:proofErr w:type="gramEnd"/>
      <w:r>
        <w:t xml:space="preserve"> DMEK in such complex eyes would be a valuable addition to available literature [3</w:t>
      </w:r>
      <w:r w:rsidR="00FC445C">
        <w:t>5</w:t>
      </w:r>
      <w:r>
        <w:t>, 3</w:t>
      </w:r>
      <w:r w:rsidR="00FC445C">
        <w:t>6</w:t>
      </w:r>
      <w:r>
        <w:t xml:space="preserve">].  Other limitation to this study is the follow-up period, as longer term data could offer more insight on graft survival differences </w:t>
      </w:r>
      <w:proofErr w:type="gramStart"/>
      <w:r>
        <w:t>and  graft</w:t>
      </w:r>
      <w:proofErr w:type="gramEnd"/>
      <w:r>
        <w:t xml:space="preserve"> rejection. This is already being addressed as our patients will remain under observation and reported accordingly.</w:t>
      </w:r>
    </w:p>
    <w:p w14:paraId="10813452" w14:textId="4507B671" w:rsidR="00C54AAC" w:rsidRDefault="001536CF">
      <w:pPr>
        <w:pStyle w:val="BodyA"/>
        <w:spacing w:line="360" w:lineRule="auto"/>
        <w:jc w:val="both"/>
      </w:pPr>
      <w:r>
        <w:t xml:space="preserve">In conclusion, our randomized clinical trial shows that DMEK results in superior visual outcomes to MT-DSAEK at 12 months in eyes with </w:t>
      </w:r>
      <w:proofErr w:type="gramStart"/>
      <w:r>
        <w:t>Fuchs  corneal</w:t>
      </w:r>
      <w:proofErr w:type="gramEnd"/>
      <w:r>
        <w:t xml:space="preserve"> decompensation with no other ocular co-morbidities. Although the visual acuity advantages in DMEK was statistically significant, </w:t>
      </w:r>
      <w:proofErr w:type="gramStart"/>
      <w:r>
        <w:t>the  vision</w:t>
      </w:r>
      <w:proofErr w:type="gramEnd"/>
      <w:r>
        <w:t xml:space="preserve"> related quality of life outcomes supports  the equivocal efficacy of DMEK and MT-DSAEK  from the patient’s perspective and their daily vision related activities. The study also demonstrated that low complications rates could be achieved with improved surgeon experience in both techniques. Longer term follow up is being planned to report on risk of allograft rejection and graft survival at 2 and 5 years. </w:t>
      </w:r>
    </w:p>
    <w:p w14:paraId="47C0DB32" w14:textId="77777777" w:rsidR="00C54AAC" w:rsidRDefault="00C54AAC">
      <w:pPr>
        <w:pStyle w:val="BodyA"/>
        <w:spacing w:line="360" w:lineRule="auto"/>
        <w:jc w:val="both"/>
      </w:pPr>
    </w:p>
    <w:p w14:paraId="4CA5E9DA" w14:textId="4574CAD1" w:rsidR="00C54AAC" w:rsidRDefault="001536CF">
      <w:pPr>
        <w:pStyle w:val="BodyA"/>
        <w:spacing w:line="360" w:lineRule="auto"/>
        <w:jc w:val="both"/>
        <w:rPr>
          <w:u w:val="single"/>
        </w:rPr>
      </w:pPr>
      <w:r w:rsidRPr="00C34938">
        <w:rPr>
          <w:rStyle w:val="Heading1Char"/>
        </w:rPr>
        <w:lastRenderedPageBreak/>
        <w:t>Acknowledgments</w:t>
      </w:r>
      <w:r>
        <w:rPr>
          <w:u w:val="single"/>
        </w:rPr>
        <w:br/>
      </w:r>
      <w:r>
        <w:t>The authors would like to acknowledge all the staff at the Cambridge Eye Research Centre, Cambridge University Hospitals and the Fight for Sight Eye Research Charity for their dedication and support in conducting this trial.</w:t>
      </w:r>
      <w:r>
        <w:rPr>
          <w:u w:val="single"/>
        </w:rPr>
        <w:t xml:space="preserve"> </w:t>
      </w:r>
    </w:p>
    <w:p w14:paraId="14091E20" w14:textId="77777777" w:rsidR="00C54AAC" w:rsidRDefault="00C54AAC">
      <w:pPr>
        <w:pStyle w:val="BodyA"/>
        <w:spacing w:line="360" w:lineRule="auto"/>
        <w:jc w:val="both"/>
      </w:pPr>
    </w:p>
    <w:p w14:paraId="610A6E53" w14:textId="77777777" w:rsidR="00C54AAC" w:rsidRDefault="00C54AAC">
      <w:pPr>
        <w:pStyle w:val="BodyA"/>
      </w:pPr>
    </w:p>
    <w:p w14:paraId="68374589" w14:textId="3FAB17A3" w:rsidR="00C54AAC" w:rsidRDefault="001536CF" w:rsidP="00C34938">
      <w:pPr>
        <w:pStyle w:val="Heading1"/>
        <w:rPr>
          <w:lang w:val="fr-FR"/>
        </w:rPr>
      </w:pPr>
      <w:proofErr w:type="spellStart"/>
      <w:r>
        <w:rPr>
          <w:lang w:val="fr-FR"/>
        </w:rPr>
        <w:t>References</w:t>
      </w:r>
      <w:proofErr w:type="spellEnd"/>
    </w:p>
    <w:p w14:paraId="2B737B60" w14:textId="77777777" w:rsidR="00C54AAC" w:rsidRDefault="001536CF">
      <w:pPr>
        <w:pStyle w:val="ListParagraph"/>
        <w:numPr>
          <w:ilvl w:val="0"/>
          <w:numId w:val="2"/>
        </w:numPr>
        <w:spacing w:line="276" w:lineRule="auto"/>
        <w:jc w:val="both"/>
        <w:rPr>
          <w:sz w:val="22"/>
          <w:szCs w:val="22"/>
        </w:rPr>
      </w:pPr>
      <w:proofErr w:type="spellStart"/>
      <w:r>
        <w:rPr>
          <w:sz w:val="22"/>
          <w:szCs w:val="22"/>
        </w:rPr>
        <w:t>Melles</w:t>
      </w:r>
      <w:proofErr w:type="spellEnd"/>
      <w:r>
        <w:rPr>
          <w:sz w:val="22"/>
          <w:szCs w:val="22"/>
        </w:rPr>
        <w:t xml:space="preserve"> GR, </w:t>
      </w:r>
      <w:proofErr w:type="spellStart"/>
      <w:r>
        <w:rPr>
          <w:sz w:val="22"/>
          <w:szCs w:val="22"/>
        </w:rPr>
        <w:t>Eggink</w:t>
      </w:r>
      <w:proofErr w:type="spellEnd"/>
      <w:r>
        <w:rPr>
          <w:sz w:val="22"/>
          <w:szCs w:val="22"/>
        </w:rPr>
        <w:t xml:space="preserve"> FA, Lander F, et al. A surgical technique for posterior lamellar keratoplasty. Cornea 1998; 17:618–626. </w:t>
      </w:r>
    </w:p>
    <w:p w14:paraId="0850ED37" w14:textId="77777777" w:rsidR="00C54AAC" w:rsidRDefault="001536CF">
      <w:pPr>
        <w:pStyle w:val="ListParagraph"/>
        <w:numPr>
          <w:ilvl w:val="0"/>
          <w:numId w:val="2"/>
        </w:numPr>
        <w:spacing w:line="276" w:lineRule="auto"/>
        <w:jc w:val="both"/>
        <w:rPr>
          <w:sz w:val="22"/>
          <w:szCs w:val="22"/>
        </w:rPr>
      </w:pPr>
      <w:r>
        <w:rPr>
          <w:sz w:val="22"/>
          <w:szCs w:val="22"/>
        </w:rPr>
        <w:t>Price Jr FW, Price MO. Evolution of endothelial keratoplasty. Cornea. 2013;32 (Suppl 1</w:t>
      </w:r>
      <w:proofErr w:type="gramStart"/>
      <w:r>
        <w:rPr>
          <w:sz w:val="22"/>
          <w:szCs w:val="22"/>
        </w:rPr>
        <w:t>):S</w:t>
      </w:r>
      <w:proofErr w:type="gramEnd"/>
      <w:r>
        <w:rPr>
          <w:sz w:val="22"/>
          <w:szCs w:val="22"/>
        </w:rPr>
        <w:t xml:space="preserve">28eS32. </w:t>
      </w:r>
    </w:p>
    <w:p w14:paraId="23A91A91" w14:textId="77777777" w:rsidR="00C54AAC" w:rsidRDefault="001536CF">
      <w:pPr>
        <w:pStyle w:val="ListParagraph"/>
        <w:numPr>
          <w:ilvl w:val="0"/>
          <w:numId w:val="2"/>
        </w:numPr>
        <w:spacing w:line="276" w:lineRule="auto"/>
        <w:jc w:val="both"/>
        <w:rPr>
          <w:sz w:val="22"/>
          <w:szCs w:val="22"/>
        </w:rPr>
      </w:pPr>
      <w:proofErr w:type="spellStart"/>
      <w:r>
        <w:rPr>
          <w:sz w:val="22"/>
          <w:szCs w:val="22"/>
        </w:rPr>
        <w:t>Rajan</w:t>
      </w:r>
      <w:proofErr w:type="spellEnd"/>
      <w:r>
        <w:rPr>
          <w:sz w:val="22"/>
          <w:szCs w:val="22"/>
        </w:rPr>
        <w:t xml:space="preserve"> MS. Surgical strategies to improve visual outcomes in corneal transplantation. Eye (</w:t>
      </w:r>
      <w:proofErr w:type="spellStart"/>
      <w:r>
        <w:rPr>
          <w:sz w:val="22"/>
          <w:szCs w:val="22"/>
        </w:rPr>
        <w:t>Lond</w:t>
      </w:r>
      <w:proofErr w:type="spellEnd"/>
      <w:r>
        <w:rPr>
          <w:sz w:val="22"/>
          <w:szCs w:val="22"/>
        </w:rPr>
        <w:t>). 2014 Feb;28(2):196-201.</w:t>
      </w:r>
    </w:p>
    <w:p w14:paraId="296D005F" w14:textId="77777777" w:rsidR="00C54AAC" w:rsidRDefault="001536CF">
      <w:pPr>
        <w:pStyle w:val="ListParagraph"/>
        <w:numPr>
          <w:ilvl w:val="0"/>
          <w:numId w:val="2"/>
        </w:numPr>
        <w:spacing w:line="276" w:lineRule="auto"/>
        <w:jc w:val="both"/>
        <w:rPr>
          <w:sz w:val="22"/>
          <w:szCs w:val="22"/>
        </w:rPr>
      </w:pPr>
      <w:r>
        <w:rPr>
          <w:sz w:val="22"/>
          <w:szCs w:val="22"/>
        </w:rPr>
        <w:t xml:space="preserve">Singh A, </w:t>
      </w:r>
      <w:proofErr w:type="spellStart"/>
      <w:r>
        <w:rPr>
          <w:sz w:val="22"/>
          <w:szCs w:val="22"/>
        </w:rPr>
        <w:t>Zarei-Ghanavati</w:t>
      </w:r>
      <w:proofErr w:type="spellEnd"/>
      <w:r>
        <w:rPr>
          <w:sz w:val="22"/>
          <w:szCs w:val="22"/>
        </w:rPr>
        <w:t xml:space="preserve"> M, </w:t>
      </w:r>
      <w:proofErr w:type="spellStart"/>
      <w:r>
        <w:rPr>
          <w:sz w:val="22"/>
          <w:szCs w:val="22"/>
        </w:rPr>
        <w:t>Avadhanam</w:t>
      </w:r>
      <w:proofErr w:type="spellEnd"/>
      <w:r>
        <w:rPr>
          <w:sz w:val="22"/>
          <w:szCs w:val="22"/>
        </w:rPr>
        <w:t xml:space="preserve"> V, Liu C. Systematic Review and Meta-Analysis of Clinical Outcomes of Descemet Membrane Endothelial Keratoplasty Versus Descemet Stripping Endothelial Keratoplasty/Descemet Stripping Automated Endothelial Keratoplasty. Cornea. 2017 Nov;36(11):1437-1443. </w:t>
      </w:r>
    </w:p>
    <w:p w14:paraId="55B4123B" w14:textId="77777777" w:rsidR="00C54AAC" w:rsidRDefault="001536CF">
      <w:pPr>
        <w:pStyle w:val="ListParagraph"/>
        <w:numPr>
          <w:ilvl w:val="0"/>
          <w:numId w:val="2"/>
        </w:numPr>
        <w:spacing w:line="276" w:lineRule="auto"/>
        <w:jc w:val="both"/>
        <w:rPr>
          <w:sz w:val="22"/>
          <w:szCs w:val="22"/>
        </w:rPr>
      </w:pPr>
      <w:r>
        <w:rPr>
          <w:sz w:val="22"/>
          <w:szCs w:val="22"/>
        </w:rPr>
        <w:t xml:space="preserve">Pavlovic I, </w:t>
      </w:r>
      <w:proofErr w:type="spellStart"/>
      <w:r>
        <w:rPr>
          <w:sz w:val="22"/>
          <w:szCs w:val="22"/>
        </w:rPr>
        <w:t>Shajari</w:t>
      </w:r>
      <w:proofErr w:type="spellEnd"/>
      <w:r>
        <w:rPr>
          <w:sz w:val="22"/>
          <w:szCs w:val="22"/>
        </w:rPr>
        <w:t xml:space="preserve"> M, Herrmann E, et al. Meta-Analysis of Postoperative Outcome Parameters Comparing Descemet Membrane Endothelial Keratoplasty Versus Descemet Stripping Automated Endothelial Keratoplasty. Cornea. 2017 Dec;36(12):1445-1451. </w:t>
      </w:r>
    </w:p>
    <w:p w14:paraId="782C337A" w14:textId="77777777" w:rsidR="00C54AAC" w:rsidRDefault="001536CF">
      <w:pPr>
        <w:pStyle w:val="ListParagraph"/>
        <w:numPr>
          <w:ilvl w:val="0"/>
          <w:numId w:val="2"/>
        </w:numPr>
        <w:spacing w:line="276" w:lineRule="auto"/>
        <w:jc w:val="both"/>
        <w:rPr>
          <w:sz w:val="22"/>
          <w:szCs w:val="22"/>
        </w:rPr>
      </w:pPr>
      <w:r>
        <w:rPr>
          <w:sz w:val="22"/>
          <w:szCs w:val="22"/>
        </w:rPr>
        <w:t xml:space="preserve">Stuart AJ, Romano V, </w:t>
      </w:r>
      <w:proofErr w:type="spellStart"/>
      <w:r>
        <w:rPr>
          <w:sz w:val="22"/>
          <w:szCs w:val="22"/>
        </w:rPr>
        <w:t>Virgili</w:t>
      </w:r>
      <w:proofErr w:type="spellEnd"/>
      <w:r>
        <w:rPr>
          <w:sz w:val="22"/>
          <w:szCs w:val="22"/>
        </w:rPr>
        <w:t xml:space="preserve"> G, </w:t>
      </w:r>
      <w:proofErr w:type="spellStart"/>
      <w:r>
        <w:rPr>
          <w:sz w:val="22"/>
          <w:szCs w:val="22"/>
        </w:rPr>
        <w:t>Shortt</w:t>
      </w:r>
      <w:proofErr w:type="spellEnd"/>
      <w:r>
        <w:rPr>
          <w:sz w:val="22"/>
          <w:szCs w:val="22"/>
        </w:rPr>
        <w:t xml:space="preserve"> AJ.</w:t>
      </w:r>
      <w:r>
        <w:t xml:space="preserve"> </w:t>
      </w:r>
      <w:r>
        <w:rPr>
          <w:sz w:val="22"/>
          <w:szCs w:val="22"/>
        </w:rPr>
        <w:t xml:space="preserve">Descemet's membrane endothelial keratoplasty (DMEK) versus Descemet's stripping automated endothelial keratoplasty (DSAEK) for corneal endothelial failure. Cochrane Database Syst Rev. 2018 Jun 25;6:CD012097. </w:t>
      </w:r>
    </w:p>
    <w:p w14:paraId="52BFCB8D" w14:textId="77777777" w:rsidR="00C54AAC" w:rsidRDefault="001536CF">
      <w:pPr>
        <w:pStyle w:val="ListParagraph"/>
        <w:numPr>
          <w:ilvl w:val="0"/>
          <w:numId w:val="2"/>
        </w:numPr>
        <w:spacing w:line="276" w:lineRule="auto"/>
        <w:jc w:val="both"/>
        <w:rPr>
          <w:sz w:val="22"/>
          <w:szCs w:val="22"/>
        </w:rPr>
      </w:pPr>
      <w:r>
        <w:rPr>
          <w:sz w:val="22"/>
          <w:szCs w:val="22"/>
        </w:rPr>
        <w:t xml:space="preserve">Yin J, </w:t>
      </w:r>
      <w:proofErr w:type="spellStart"/>
      <w:r>
        <w:rPr>
          <w:sz w:val="22"/>
          <w:szCs w:val="22"/>
        </w:rPr>
        <w:t>Veldman</w:t>
      </w:r>
      <w:proofErr w:type="spellEnd"/>
      <w:r>
        <w:rPr>
          <w:sz w:val="22"/>
          <w:szCs w:val="22"/>
        </w:rPr>
        <w:t xml:space="preserve"> PB. Endothelial Keratoplasty: Descemet's Stripping Automated Endothelial Keratoplasty Versus Descemet's Membrane Endothelial Keratoplasty. Int </w:t>
      </w:r>
      <w:proofErr w:type="spellStart"/>
      <w:r>
        <w:rPr>
          <w:sz w:val="22"/>
          <w:szCs w:val="22"/>
        </w:rPr>
        <w:t>Ophthalmol</w:t>
      </w:r>
      <w:proofErr w:type="spellEnd"/>
      <w:r>
        <w:rPr>
          <w:sz w:val="22"/>
          <w:szCs w:val="22"/>
        </w:rPr>
        <w:t xml:space="preserve"> Clin. 2016 Summer;56(3):167-83.</w:t>
      </w:r>
    </w:p>
    <w:p w14:paraId="22F0C05C" w14:textId="77777777" w:rsidR="00C54AAC" w:rsidRDefault="001536CF">
      <w:pPr>
        <w:pStyle w:val="ListParagraph"/>
        <w:numPr>
          <w:ilvl w:val="0"/>
          <w:numId w:val="2"/>
        </w:numPr>
        <w:spacing w:line="276" w:lineRule="auto"/>
        <w:jc w:val="both"/>
        <w:rPr>
          <w:sz w:val="22"/>
          <w:szCs w:val="22"/>
        </w:rPr>
      </w:pPr>
      <w:proofErr w:type="spellStart"/>
      <w:r>
        <w:rPr>
          <w:sz w:val="22"/>
          <w:szCs w:val="22"/>
        </w:rPr>
        <w:t>Hamzaoglu</w:t>
      </w:r>
      <w:proofErr w:type="spellEnd"/>
      <w:r>
        <w:rPr>
          <w:sz w:val="22"/>
          <w:szCs w:val="22"/>
        </w:rPr>
        <w:t xml:space="preserve"> EC, </w:t>
      </w:r>
      <w:proofErr w:type="spellStart"/>
      <w:r>
        <w:rPr>
          <w:sz w:val="22"/>
          <w:szCs w:val="22"/>
        </w:rPr>
        <w:t>Straiko</w:t>
      </w:r>
      <w:proofErr w:type="spellEnd"/>
      <w:r>
        <w:rPr>
          <w:sz w:val="22"/>
          <w:szCs w:val="22"/>
        </w:rPr>
        <w:t xml:space="preserve"> MD, </w:t>
      </w:r>
      <w:proofErr w:type="spellStart"/>
      <w:r>
        <w:rPr>
          <w:sz w:val="22"/>
          <w:szCs w:val="22"/>
        </w:rPr>
        <w:t>Mayko</w:t>
      </w:r>
      <w:proofErr w:type="spellEnd"/>
      <w:r>
        <w:rPr>
          <w:sz w:val="22"/>
          <w:szCs w:val="22"/>
        </w:rPr>
        <w:t xml:space="preserve"> ZM, et al. The first 100 eyes of standardized Descemet stripping automated endothelial keratoplasty versus standardized </w:t>
      </w:r>
      <w:proofErr w:type="spellStart"/>
      <w:r>
        <w:rPr>
          <w:sz w:val="22"/>
          <w:szCs w:val="22"/>
        </w:rPr>
        <w:t>descemet</w:t>
      </w:r>
      <w:proofErr w:type="spellEnd"/>
      <w:r>
        <w:rPr>
          <w:sz w:val="22"/>
          <w:szCs w:val="22"/>
        </w:rPr>
        <w:t xml:space="preserve"> membrane endothelial keratoplasty. Ophthalmology 122:2193–2199.</w:t>
      </w:r>
    </w:p>
    <w:p w14:paraId="09103EA0" w14:textId="53115B99" w:rsidR="00C54AAC" w:rsidRDefault="001536CF">
      <w:pPr>
        <w:pStyle w:val="ListParagraph"/>
        <w:numPr>
          <w:ilvl w:val="0"/>
          <w:numId w:val="2"/>
        </w:numPr>
        <w:spacing w:line="276" w:lineRule="auto"/>
        <w:jc w:val="both"/>
        <w:rPr>
          <w:sz w:val="22"/>
          <w:szCs w:val="22"/>
        </w:rPr>
      </w:pPr>
      <w:r>
        <w:rPr>
          <w:sz w:val="22"/>
          <w:szCs w:val="22"/>
        </w:rPr>
        <w:t xml:space="preserve">Green M, Wilkins MR. Comparison of early surgical experience and visual outcomes of DSAEK and DMEK. </w:t>
      </w:r>
      <w:proofErr w:type="gramStart"/>
      <w:r>
        <w:rPr>
          <w:sz w:val="22"/>
          <w:szCs w:val="22"/>
        </w:rPr>
        <w:t>Cornea  2015</w:t>
      </w:r>
      <w:proofErr w:type="gramEnd"/>
      <w:r>
        <w:rPr>
          <w:sz w:val="22"/>
          <w:szCs w:val="22"/>
        </w:rPr>
        <w:t>, 34:1341–1344.</w:t>
      </w:r>
      <w:r w:rsidR="00256527">
        <w:rPr>
          <w:sz w:val="22"/>
          <w:szCs w:val="22"/>
        </w:rPr>
        <w:t xml:space="preserve"> </w:t>
      </w:r>
    </w:p>
    <w:p w14:paraId="5BF3DE83" w14:textId="7F3C41CD" w:rsidR="00256527" w:rsidRDefault="00256527">
      <w:pPr>
        <w:pStyle w:val="ListParagraph"/>
        <w:numPr>
          <w:ilvl w:val="0"/>
          <w:numId w:val="2"/>
        </w:numPr>
        <w:spacing w:line="276" w:lineRule="auto"/>
        <w:jc w:val="both"/>
        <w:rPr>
          <w:sz w:val="22"/>
          <w:szCs w:val="22"/>
        </w:rPr>
      </w:pPr>
      <w:r w:rsidRPr="00256527">
        <w:rPr>
          <w:sz w:val="22"/>
          <w:szCs w:val="22"/>
        </w:rPr>
        <w:t>Terry MA. Endothelial keratoplasty: why aren’t we all doing</w:t>
      </w:r>
      <w:r>
        <w:rPr>
          <w:sz w:val="22"/>
          <w:szCs w:val="22"/>
        </w:rPr>
        <w:t xml:space="preserve"> </w:t>
      </w:r>
      <w:r w:rsidRPr="00256527">
        <w:rPr>
          <w:sz w:val="22"/>
          <w:szCs w:val="22"/>
        </w:rPr>
        <w:t>Descemet membrane endothelial keratoplasty? Cornea 2012</w:t>
      </w:r>
      <w:r>
        <w:rPr>
          <w:sz w:val="22"/>
          <w:szCs w:val="22"/>
        </w:rPr>
        <w:t xml:space="preserve">; </w:t>
      </w:r>
      <w:r w:rsidRPr="00256527">
        <w:rPr>
          <w:sz w:val="22"/>
          <w:szCs w:val="22"/>
        </w:rPr>
        <w:t>31:469 –71.</w:t>
      </w:r>
    </w:p>
    <w:p w14:paraId="7A73F95B" w14:textId="4B282EEC" w:rsidR="0018006A" w:rsidRPr="00227B3D" w:rsidRDefault="0018006A">
      <w:pPr>
        <w:pStyle w:val="ListParagraph"/>
        <w:numPr>
          <w:ilvl w:val="0"/>
          <w:numId w:val="2"/>
        </w:numPr>
        <w:spacing w:line="276" w:lineRule="auto"/>
        <w:jc w:val="both"/>
        <w:rPr>
          <w:sz w:val="21"/>
          <w:szCs w:val="22"/>
        </w:rPr>
      </w:pPr>
      <w:r w:rsidRPr="00227B3D">
        <w:rPr>
          <w:rFonts w:eastAsia="Times New Roman"/>
          <w:sz w:val="22"/>
          <w:lang w:eastAsia="en-GB"/>
        </w:rPr>
        <w:t xml:space="preserve">Koo EH, Pineda R, </w:t>
      </w:r>
      <w:proofErr w:type="spellStart"/>
      <w:r w:rsidRPr="00227B3D">
        <w:rPr>
          <w:rFonts w:eastAsia="Times New Roman"/>
          <w:sz w:val="22"/>
          <w:lang w:eastAsia="en-GB"/>
        </w:rPr>
        <w:t>Afshari</w:t>
      </w:r>
      <w:proofErr w:type="spellEnd"/>
      <w:r w:rsidRPr="00227B3D">
        <w:rPr>
          <w:rFonts w:eastAsia="Times New Roman"/>
          <w:sz w:val="22"/>
          <w:lang w:eastAsia="en-GB"/>
        </w:rPr>
        <w:t xml:space="preserve"> N, </w:t>
      </w:r>
      <w:proofErr w:type="spellStart"/>
      <w:r w:rsidRPr="00227B3D">
        <w:rPr>
          <w:rFonts w:eastAsia="Times New Roman"/>
          <w:sz w:val="22"/>
          <w:lang w:eastAsia="en-GB"/>
        </w:rPr>
        <w:t>Eghrari</w:t>
      </w:r>
      <w:proofErr w:type="spellEnd"/>
      <w:r w:rsidRPr="00227B3D">
        <w:rPr>
          <w:rFonts w:eastAsia="Times New Roman"/>
          <w:sz w:val="22"/>
          <w:lang w:eastAsia="en-GB"/>
        </w:rPr>
        <w:t xml:space="preserve"> A. Learning Descemet Membrane Endothelial Keratoplasty: A Survey of U.S. Corneal Surgeons. Cornea. 2020;39(5):590-593</w:t>
      </w:r>
      <w:r w:rsidR="00126711" w:rsidRPr="00227B3D">
        <w:rPr>
          <w:rFonts w:eastAsia="Times New Roman"/>
          <w:sz w:val="22"/>
          <w:lang w:eastAsia="en-GB"/>
        </w:rPr>
        <w:t>.</w:t>
      </w:r>
    </w:p>
    <w:p w14:paraId="4F3F3240" w14:textId="77777777" w:rsidR="00561F84" w:rsidRDefault="00561F84" w:rsidP="00561F84">
      <w:pPr>
        <w:pStyle w:val="ListParagraph"/>
        <w:numPr>
          <w:ilvl w:val="0"/>
          <w:numId w:val="2"/>
        </w:numPr>
        <w:spacing w:line="276" w:lineRule="auto"/>
        <w:jc w:val="both"/>
        <w:rPr>
          <w:sz w:val="22"/>
          <w:szCs w:val="22"/>
        </w:rPr>
      </w:pPr>
      <w:r>
        <w:rPr>
          <w:sz w:val="22"/>
          <w:szCs w:val="22"/>
        </w:rPr>
        <w:t>NHS Blood and transplant NHSBT https://www.nhsbt.nhs.uk</w:t>
      </w:r>
    </w:p>
    <w:p w14:paraId="4677AEF2" w14:textId="77777777" w:rsidR="00C54AAC" w:rsidRDefault="001536CF">
      <w:pPr>
        <w:pStyle w:val="ListParagraph"/>
        <w:numPr>
          <w:ilvl w:val="0"/>
          <w:numId w:val="2"/>
        </w:numPr>
        <w:spacing w:line="276" w:lineRule="auto"/>
        <w:jc w:val="both"/>
        <w:rPr>
          <w:sz w:val="22"/>
          <w:szCs w:val="22"/>
        </w:rPr>
      </w:pPr>
      <w:proofErr w:type="spellStart"/>
      <w:r>
        <w:rPr>
          <w:sz w:val="22"/>
          <w:szCs w:val="22"/>
        </w:rPr>
        <w:t>Tourtas</w:t>
      </w:r>
      <w:proofErr w:type="spellEnd"/>
      <w:r>
        <w:rPr>
          <w:sz w:val="22"/>
          <w:szCs w:val="22"/>
        </w:rPr>
        <w:t xml:space="preserve"> T, </w:t>
      </w:r>
      <w:proofErr w:type="spellStart"/>
      <w:r>
        <w:rPr>
          <w:sz w:val="22"/>
          <w:szCs w:val="22"/>
        </w:rPr>
        <w:t>Laaser</w:t>
      </w:r>
      <w:proofErr w:type="spellEnd"/>
      <w:r>
        <w:rPr>
          <w:sz w:val="22"/>
          <w:szCs w:val="22"/>
        </w:rPr>
        <w:t xml:space="preserve"> K, Bachmann BO, et al. Descemet membrane endothelial keratoplasty versus </w:t>
      </w:r>
      <w:proofErr w:type="spellStart"/>
      <w:r>
        <w:rPr>
          <w:sz w:val="22"/>
          <w:szCs w:val="22"/>
        </w:rPr>
        <w:t>descemet</w:t>
      </w:r>
      <w:proofErr w:type="spellEnd"/>
      <w:r>
        <w:rPr>
          <w:sz w:val="22"/>
          <w:szCs w:val="22"/>
        </w:rPr>
        <w:t xml:space="preserve"> stripping automated endothelial keratoplasty. Am J </w:t>
      </w:r>
      <w:proofErr w:type="spellStart"/>
      <w:r>
        <w:rPr>
          <w:sz w:val="22"/>
          <w:szCs w:val="22"/>
        </w:rPr>
        <w:t>Ophthalmol</w:t>
      </w:r>
      <w:proofErr w:type="spellEnd"/>
      <w:r>
        <w:rPr>
          <w:sz w:val="22"/>
          <w:szCs w:val="22"/>
        </w:rPr>
        <w:t xml:space="preserve">. </w:t>
      </w:r>
      <w:proofErr w:type="gramStart"/>
      <w:r>
        <w:rPr>
          <w:sz w:val="22"/>
          <w:szCs w:val="22"/>
        </w:rPr>
        <w:t>2012;153:1082</w:t>
      </w:r>
      <w:proofErr w:type="gramEnd"/>
      <w:r>
        <w:rPr>
          <w:sz w:val="22"/>
          <w:szCs w:val="22"/>
        </w:rPr>
        <w:t>–1090.e2.</w:t>
      </w:r>
    </w:p>
    <w:p w14:paraId="4749E9F5" w14:textId="77777777" w:rsidR="00C54AAC" w:rsidRDefault="001536CF">
      <w:pPr>
        <w:pStyle w:val="ListParagraph"/>
        <w:numPr>
          <w:ilvl w:val="0"/>
          <w:numId w:val="2"/>
        </w:numPr>
        <w:spacing w:line="276" w:lineRule="auto"/>
        <w:jc w:val="both"/>
        <w:rPr>
          <w:sz w:val="22"/>
          <w:szCs w:val="22"/>
        </w:rPr>
      </w:pPr>
      <w:r>
        <w:rPr>
          <w:sz w:val="22"/>
          <w:szCs w:val="22"/>
        </w:rPr>
        <w:t>Madi S, Leon P, Nahum Y, et al.</w:t>
      </w:r>
      <w:r>
        <w:t xml:space="preserve"> </w:t>
      </w:r>
      <w:r>
        <w:rPr>
          <w:sz w:val="22"/>
          <w:szCs w:val="22"/>
        </w:rPr>
        <w:t>Five-Year Outcomes of Ultrathin Descemet Stripping Automated Endothelial Keratoplasty. Cornea. 2019 Sep;38(9):1192-1197.</w:t>
      </w:r>
      <w:r>
        <w:t xml:space="preserve"> </w:t>
      </w:r>
    </w:p>
    <w:p w14:paraId="79A140EE" w14:textId="77777777" w:rsidR="00C54AAC" w:rsidRDefault="001536CF">
      <w:pPr>
        <w:pStyle w:val="ListParagraph"/>
        <w:numPr>
          <w:ilvl w:val="0"/>
          <w:numId w:val="2"/>
        </w:numPr>
        <w:spacing w:line="276" w:lineRule="auto"/>
        <w:jc w:val="both"/>
        <w:rPr>
          <w:sz w:val="22"/>
          <w:szCs w:val="22"/>
        </w:rPr>
      </w:pPr>
      <w:r>
        <w:rPr>
          <w:sz w:val="22"/>
          <w:szCs w:val="22"/>
        </w:rPr>
        <w:lastRenderedPageBreak/>
        <w:t xml:space="preserve">Dickman MM, </w:t>
      </w:r>
      <w:proofErr w:type="spellStart"/>
      <w:r>
        <w:rPr>
          <w:sz w:val="22"/>
          <w:szCs w:val="22"/>
        </w:rPr>
        <w:t>Kruit</w:t>
      </w:r>
      <w:proofErr w:type="spellEnd"/>
      <w:r>
        <w:rPr>
          <w:sz w:val="22"/>
          <w:szCs w:val="22"/>
        </w:rPr>
        <w:t xml:space="preserve"> PJ, </w:t>
      </w:r>
      <w:proofErr w:type="spellStart"/>
      <w:r>
        <w:rPr>
          <w:sz w:val="22"/>
          <w:szCs w:val="22"/>
        </w:rPr>
        <w:t>Remeijer</w:t>
      </w:r>
      <w:proofErr w:type="spellEnd"/>
      <w:r>
        <w:rPr>
          <w:sz w:val="22"/>
          <w:szCs w:val="22"/>
        </w:rPr>
        <w:t xml:space="preserve"> L, et al. A Randomized Multicenter Clinical Trial of Ultrathin Descemet Stripping Automated Endothelial Keratoplasty (DSAEK) versus DSAEK. Ophthalmology. 2016 Nov;123(11):2276-2284.</w:t>
      </w:r>
    </w:p>
    <w:p w14:paraId="3A44DE00" w14:textId="77777777" w:rsidR="00C54AAC" w:rsidRDefault="001536CF">
      <w:pPr>
        <w:pStyle w:val="ListParagraph"/>
        <w:numPr>
          <w:ilvl w:val="0"/>
          <w:numId w:val="2"/>
        </w:numPr>
        <w:spacing w:line="276" w:lineRule="auto"/>
        <w:jc w:val="both"/>
        <w:rPr>
          <w:sz w:val="22"/>
          <w:szCs w:val="22"/>
        </w:rPr>
      </w:pPr>
      <w:r>
        <w:rPr>
          <w:sz w:val="22"/>
          <w:szCs w:val="22"/>
        </w:rPr>
        <w:t xml:space="preserve">Neff KD, </w:t>
      </w:r>
      <w:proofErr w:type="spellStart"/>
      <w:r>
        <w:rPr>
          <w:sz w:val="22"/>
          <w:szCs w:val="22"/>
        </w:rPr>
        <w:t>Biber</w:t>
      </w:r>
      <w:proofErr w:type="spellEnd"/>
      <w:r>
        <w:rPr>
          <w:sz w:val="22"/>
          <w:szCs w:val="22"/>
        </w:rPr>
        <w:t xml:space="preserve"> JM, Holland EJ. Comparison of central corneal graft thickness to visual acuity outcomes in endothelial keratoplasty. Cornea. 2011;30(4):388-391. </w:t>
      </w:r>
    </w:p>
    <w:p w14:paraId="7F05836F" w14:textId="77777777" w:rsidR="00C54AAC" w:rsidRDefault="001536CF">
      <w:pPr>
        <w:pStyle w:val="ListParagraph"/>
        <w:numPr>
          <w:ilvl w:val="0"/>
          <w:numId w:val="2"/>
        </w:numPr>
        <w:spacing w:line="276" w:lineRule="auto"/>
        <w:jc w:val="both"/>
        <w:rPr>
          <w:sz w:val="22"/>
          <w:szCs w:val="22"/>
        </w:rPr>
      </w:pPr>
      <w:r>
        <w:rPr>
          <w:sz w:val="22"/>
          <w:szCs w:val="22"/>
        </w:rPr>
        <w:t xml:space="preserve">Chamberlain W, Lin CC, Austin A, et al. Descemet Endothelial Thickness Comparison Trial: A Randomized Trial Comparing Ultrathin Descemet Stripping Automated Endothelial Keratoplasty with Descemet Membrane Endothelial Keratoplasty. Ophthalmology. 2019 Jan;126(1):19-26. </w:t>
      </w:r>
    </w:p>
    <w:p w14:paraId="11902693" w14:textId="77777777" w:rsidR="00C54AAC" w:rsidRDefault="001536CF">
      <w:pPr>
        <w:pStyle w:val="ListParagraph"/>
        <w:numPr>
          <w:ilvl w:val="0"/>
          <w:numId w:val="2"/>
        </w:numPr>
        <w:spacing w:line="276" w:lineRule="auto"/>
        <w:jc w:val="both"/>
        <w:rPr>
          <w:sz w:val="22"/>
          <w:szCs w:val="22"/>
        </w:rPr>
      </w:pPr>
      <w:r>
        <w:rPr>
          <w:sz w:val="22"/>
          <w:szCs w:val="22"/>
        </w:rPr>
        <w:t xml:space="preserve">Dunker SL, Dickman MM, </w:t>
      </w:r>
      <w:proofErr w:type="spellStart"/>
      <w:r>
        <w:rPr>
          <w:sz w:val="22"/>
          <w:szCs w:val="22"/>
        </w:rPr>
        <w:t>Wisse</w:t>
      </w:r>
      <w:proofErr w:type="spellEnd"/>
      <w:r>
        <w:rPr>
          <w:sz w:val="22"/>
          <w:szCs w:val="22"/>
        </w:rPr>
        <w:t xml:space="preserve"> RPL, et al. Descemet Membrane Endothelial Keratoplasty Versus Ultrathin Descemet Stripping Automated Endothelial Keratoplasty: A Multicenter Randomized Controlled Clinical Trial. Ophthalmology. 2020 Mar </w:t>
      </w:r>
      <w:proofErr w:type="gramStart"/>
      <w:r>
        <w:rPr>
          <w:sz w:val="22"/>
          <w:szCs w:val="22"/>
        </w:rPr>
        <w:t>2;S</w:t>
      </w:r>
      <w:proofErr w:type="gramEnd"/>
      <w:r>
        <w:rPr>
          <w:sz w:val="22"/>
          <w:szCs w:val="22"/>
        </w:rPr>
        <w:t>0161-6420(20)30215-3.</w:t>
      </w:r>
    </w:p>
    <w:p w14:paraId="62248295" w14:textId="77777777" w:rsidR="00C54AAC" w:rsidRDefault="001536CF">
      <w:pPr>
        <w:pStyle w:val="ListParagraph"/>
        <w:numPr>
          <w:ilvl w:val="0"/>
          <w:numId w:val="2"/>
        </w:numPr>
        <w:spacing w:line="276" w:lineRule="auto"/>
        <w:jc w:val="both"/>
        <w:rPr>
          <w:sz w:val="22"/>
          <w:szCs w:val="22"/>
        </w:rPr>
      </w:pPr>
      <w:r>
        <w:rPr>
          <w:sz w:val="22"/>
          <w:szCs w:val="22"/>
        </w:rPr>
        <w:t xml:space="preserve">Thomas PB, Mukherjee AN, O'Donovan D, </w:t>
      </w:r>
      <w:proofErr w:type="spellStart"/>
      <w:r>
        <w:rPr>
          <w:sz w:val="22"/>
          <w:szCs w:val="22"/>
        </w:rPr>
        <w:t>Rajan</w:t>
      </w:r>
      <w:proofErr w:type="spellEnd"/>
      <w:r>
        <w:rPr>
          <w:sz w:val="22"/>
          <w:szCs w:val="22"/>
        </w:rPr>
        <w:t xml:space="preserve"> MS. Preconditioned donor corneal thickness for </w:t>
      </w:r>
      <w:proofErr w:type="spellStart"/>
      <w:r>
        <w:rPr>
          <w:sz w:val="22"/>
          <w:szCs w:val="22"/>
        </w:rPr>
        <w:t>microthin</w:t>
      </w:r>
      <w:proofErr w:type="spellEnd"/>
      <w:r>
        <w:rPr>
          <w:sz w:val="22"/>
          <w:szCs w:val="22"/>
        </w:rPr>
        <w:t xml:space="preserve"> endothelial keratoplasty. Cornea. 2013 Jul;32(7</w:t>
      </w:r>
      <w:proofErr w:type="gramStart"/>
      <w:r>
        <w:rPr>
          <w:sz w:val="22"/>
          <w:szCs w:val="22"/>
        </w:rPr>
        <w:t>):e</w:t>
      </w:r>
      <w:proofErr w:type="gramEnd"/>
      <w:r>
        <w:rPr>
          <w:sz w:val="22"/>
          <w:szCs w:val="22"/>
        </w:rPr>
        <w:t>173-8.</w:t>
      </w:r>
    </w:p>
    <w:p w14:paraId="2DB27C46" w14:textId="77777777" w:rsidR="00C54AAC" w:rsidRDefault="001536CF">
      <w:pPr>
        <w:pStyle w:val="ListParagraph"/>
        <w:numPr>
          <w:ilvl w:val="0"/>
          <w:numId w:val="2"/>
        </w:numPr>
        <w:spacing w:line="276" w:lineRule="auto"/>
        <w:jc w:val="both"/>
        <w:rPr>
          <w:sz w:val="22"/>
          <w:szCs w:val="22"/>
        </w:rPr>
      </w:pPr>
      <w:r>
        <w:rPr>
          <w:sz w:val="22"/>
          <w:szCs w:val="22"/>
        </w:rPr>
        <w:t xml:space="preserve">Roberts HW, Mukherjee A, </w:t>
      </w:r>
      <w:proofErr w:type="spellStart"/>
      <w:r>
        <w:rPr>
          <w:sz w:val="22"/>
          <w:szCs w:val="22"/>
        </w:rPr>
        <w:t>Aichner</w:t>
      </w:r>
      <w:proofErr w:type="spellEnd"/>
      <w:r>
        <w:rPr>
          <w:sz w:val="22"/>
          <w:szCs w:val="22"/>
        </w:rPr>
        <w:t xml:space="preserve"> H, </w:t>
      </w:r>
      <w:proofErr w:type="spellStart"/>
      <w:r>
        <w:rPr>
          <w:sz w:val="22"/>
          <w:szCs w:val="22"/>
        </w:rPr>
        <w:t>Rajan</w:t>
      </w:r>
      <w:proofErr w:type="spellEnd"/>
      <w:r>
        <w:rPr>
          <w:sz w:val="22"/>
          <w:szCs w:val="22"/>
        </w:rPr>
        <w:t xml:space="preserve"> MS. Visual Outcomes and Graft Thickness in </w:t>
      </w:r>
      <w:proofErr w:type="spellStart"/>
      <w:r>
        <w:rPr>
          <w:sz w:val="22"/>
          <w:szCs w:val="22"/>
        </w:rPr>
        <w:t>Microthin</w:t>
      </w:r>
      <w:proofErr w:type="spellEnd"/>
      <w:r>
        <w:rPr>
          <w:sz w:val="22"/>
          <w:szCs w:val="22"/>
        </w:rPr>
        <w:t xml:space="preserve"> DSAEK--One-Year Results. Cornea. 2015 Nov;34(11):1345-50. </w:t>
      </w:r>
    </w:p>
    <w:p w14:paraId="335663B8" w14:textId="77777777" w:rsidR="00C54AAC" w:rsidRDefault="001536CF">
      <w:pPr>
        <w:pStyle w:val="ListParagraph"/>
        <w:numPr>
          <w:ilvl w:val="0"/>
          <w:numId w:val="2"/>
        </w:numPr>
        <w:spacing w:line="276" w:lineRule="auto"/>
        <w:jc w:val="both"/>
        <w:rPr>
          <w:sz w:val="22"/>
          <w:szCs w:val="22"/>
        </w:rPr>
      </w:pPr>
      <w:r>
        <w:rPr>
          <w:sz w:val="22"/>
          <w:szCs w:val="22"/>
        </w:rPr>
        <w:t xml:space="preserve">Price MO, </w:t>
      </w:r>
      <w:proofErr w:type="spellStart"/>
      <w:r>
        <w:rPr>
          <w:sz w:val="22"/>
          <w:szCs w:val="22"/>
        </w:rPr>
        <w:t>Giebel</w:t>
      </w:r>
      <w:proofErr w:type="spellEnd"/>
      <w:r>
        <w:rPr>
          <w:sz w:val="22"/>
          <w:szCs w:val="22"/>
        </w:rPr>
        <w:t xml:space="preserve"> AW, Fairchild KM, Price Jr FW. 556 Descemet’s membrane endothelial keratoplasty: prospective multicenter study of visual and refractive outcomes and endothelial survival. Ophthalmology. </w:t>
      </w:r>
      <w:proofErr w:type="gramStart"/>
      <w:r>
        <w:rPr>
          <w:sz w:val="22"/>
          <w:szCs w:val="22"/>
        </w:rPr>
        <w:t>2009;116:2361</w:t>
      </w:r>
      <w:proofErr w:type="gramEnd"/>
      <w:r>
        <w:rPr>
          <w:sz w:val="22"/>
          <w:szCs w:val="22"/>
        </w:rPr>
        <w:t>e2368.</w:t>
      </w:r>
    </w:p>
    <w:p w14:paraId="143C5EF7" w14:textId="77777777" w:rsidR="00C54AAC" w:rsidRDefault="001536CF">
      <w:pPr>
        <w:pStyle w:val="ListParagraph"/>
        <w:numPr>
          <w:ilvl w:val="0"/>
          <w:numId w:val="2"/>
        </w:numPr>
        <w:spacing w:line="276" w:lineRule="auto"/>
        <w:jc w:val="both"/>
        <w:rPr>
          <w:sz w:val="22"/>
          <w:szCs w:val="22"/>
        </w:rPr>
      </w:pPr>
      <w:proofErr w:type="spellStart"/>
      <w:r>
        <w:rPr>
          <w:sz w:val="22"/>
          <w:szCs w:val="22"/>
        </w:rPr>
        <w:t>Boisjoly</w:t>
      </w:r>
      <w:proofErr w:type="spellEnd"/>
      <w:r>
        <w:rPr>
          <w:sz w:val="22"/>
          <w:szCs w:val="22"/>
        </w:rPr>
        <w:t xml:space="preserve"> H, </w:t>
      </w:r>
      <w:proofErr w:type="spellStart"/>
      <w:r>
        <w:rPr>
          <w:sz w:val="22"/>
          <w:szCs w:val="22"/>
        </w:rPr>
        <w:t>Gresset</w:t>
      </w:r>
      <w:proofErr w:type="spellEnd"/>
      <w:r>
        <w:rPr>
          <w:sz w:val="22"/>
          <w:szCs w:val="22"/>
        </w:rPr>
        <w:t xml:space="preserve"> J, Charest M, et al. The VF-14 index of visual function in recipients of a corneal graft: a 2-year follow-up study. Am J </w:t>
      </w:r>
      <w:proofErr w:type="spellStart"/>
      <w:r>
        <w:rPr>
          <w:sz w:val="22"/>
          <w:szCs w:val="22"/>
        </w:rPr>
        <w:t>Ophthalmol</w:t>
      </w:r>
      <w:proofErr w:type="spellEnd"/>
      <w:r>
        <w:rPr>
          <w:sz w:val="22"/>
          <w:szCs w:val="22"/>
        </w:rPr>
        <w:t>. 2002 Aug;134(2):166-71.</w:t>
      </w:r>
    </w:p>
    <w:p w14:paraId="6B13EA64" w14:textId="77777777" w:rsidR="00C54AAC" w:rsidRDefault="001536CF">
      <w:pPr>
        <w:pStyle w:val="ListParagraph"/>
        <w:numPr>
          <w:ilvl w:val="0"/>
          <w:numId w:val="2"/>
        </w:numPr>
        <w:spacing w:line="276" w:lineRule="auto"/>
        <w:jc w:val="both"/>
        <w:rPr>
          <w:sz w:val="22"/>
          <w:szCs w:val="22"/>
        </w:rPr>
      </w:pPr>
      <w:proofErr w:type="spellStart"/>
      <w:r>
        <w:rPr>
          <w:sz w:val="22"/>
          <w:szCs w:val="22"/>
        </w:rPr>
        <w:t>Kurji</w:t>
      </w:r>
      <w:proofErr w:type="spellEnd"/>
      <w:r>
        <w:rPr>
          <w:sz w:val="22"/>
          <w:szCs w:val="22"/>
        </w:rPr>
        <w:t xml:space="preserve"> KH, Cheung AY, </w:t>
      </w:r>
      <w:proofErr w:type="spellStart"/>
      <w:r>
        <w:rPr>
          <w:sz w:val="22"/>
          <w:szCs w:val="22"/>
        </w:rPr>
        <w:t>Eslani</w:t>
      </w:r>
      <w:proofErr w:type="spellEnd"/>
      <w:r>
        <w:rPr>
          <w:sz w:val="22"/>
          <w:szCs w:val="22"/>
        </w:rPr>
        <w:t xml:space="preserve"> M, et al. Comparison of Visual Acuity Outcomes Between </w:t>
      </w:r>
      <w:proofErr w:type="spellStart"/>
      <w:r>
        <w:rPr>
          <w:sz w:val="22"/>
          <w:szCs w:val="22"/>
        </w:rPr>
        <w:t>Nanothin</w:t>
      </w:r>
      <w:proofErr w:type="spellEnd"/>
      <w:r>
        <w:rPr>
          <w:sz w:val="22"/>
          <w:szCs w:val="22"/>
        </w:rPr>
        <w:t xml:space="preserve"> Descemet Stripping Automated Endothelial Keratoplasty and Descemet Membrane Endothelial Keratoplasty. Cornea. 2018 Oct;37(10):1226-1231.</w:t>
      </w:r>
    </w:p>
    <w:p w14:paraId="7613F529" w14:textId="77777777" w:rsidR="00C54AAC" w:rsidRDefault="001536CF">
      <w:pPr>
        <w:pStyle w:val="ListParagraph"/>
        <w:numPr>
          <w:ilvl w:val="0"/>
          <w:numId w:val="2"/>
        </w:numPr>
        <w:spacing w:line="276" w:lineRule="auto"/>
        <w:jc w:val="both"/>
        <w:rPr>
          <w:sz w:val="22"/>
          <w:szCs w:val="22"/>
        </w:rPr>
      </w:pPr>
      <w:proofErr w:type="spellStart"/>
      <w:r>
        <w:rPr>
          <w:sz w:val="22"/>
          <w:szCs w:val="22"/>
        </w:rPr>
        <w:t>Busin</w:t>
      </w:r>
      <w:proofErr w:type="spellEnd"/>
      <w:r>
        <w:rPr>
          <w:sz w:val="22"/>
          <w:szCs w:val="22"/>
        </w:rPr>
        <w:t xml:space="preserve"> M, Madi S, Santorum P, et al. Ultrathin Descemet’s stripping automated endothelial keratoplasty with the microkeratome double-pass technique: two-year outcomes. Ophthalmology. </w:t>
      </w:r>
      <w:proofErr w:type="gramStart"/>
      <w:r>
        <w:rPr>
          <w:sz w:val="22"/>
          <w:szCs w:val="22"/>
        </w:rPr>
        <w:t>2013;120:1186</w:t>
      </w:r>
      <w:proofErr w:type="gramEnd"/>
      <w:r>
        <w:rPr>
          <w:sz w:val="22"/>
          <w:szCs w:val="22"/>
        </w:rPr>
        <w:t xml:space="preserve">–1194. </w:t>
      </w:r>
    </w:p>
    <w:p w14:paraId="76B12964" w14:textId="77777777" w:rsidR="00C54AAC" w:rsidRDefault="001536CF">
      <w:pPr>
        <w:pStyle w:val="ListParagraph"/>
        <w:numPr>
          <w:ilvl w:val="0"/>
          <w:numId w:val="2"/>
        </w:numPr>
        <w:spacing w:line="276" w:lineRule="auto"/>
        <w:jc w:val="both"/>
        <w:rPr>
          <w:sz w:val="22"/>
          <w:szCs w:val="22"/>
        </w:rPr>
      </w:pPr>
      <w:proofErr w:type="spellStart"/>
      <w:r>
        <w:rPr>
          <w:sz w:val="22"/>
          <w:szCs w:val="22"/>
          <w:shd w:val="clear" w:color="auto" w:fill="FFFFFF"/>
        </w:rPr>
        <w:t>Busin</w:t>
      </w:r>
      <w:proofErr w:type="spellEnd"/>
      <w:r>
        <w:rPr>
          <w:sz w:val="22"/>
          <w:szCs w:val="22"/>
          <w:shd w:val="clear" w:color="auto" w:fill="FFFFFF"/>
        </w:rPr>
        <w:t xml:space="preserve"> M, </w:t>
      </w:r>
      <w:proofErr w:type="spellStart"/>
      <w:r>
        <w:rPr>
          <w:sz w:val="22"/>
          <w:szCs w:val="22"/>
          <w:shd w:val="clear" w:color="auto" w:fill="FFFFFF"/>
        </w:rPr>
        <w:t>Albe</w:t>
      </w:r>
      <w:proofErr w:type="spellEnd"/>
      <w:r>
        <w:rPr>
          <w:sz w:val="22"/>
          <w:szCs w:val="22"/>
          <w:shd w:val="clear" w:color="auto" w:fill="FFFFFF"/>
        </w:rPr>
        <w:t xml:space="preserve"> E. Does thickness matter: ultrathin Descemet stripping automated endothelial keratoplasty. Current opinion in ophthalmology. 2014;25(4):312-8. </w:t>
      </w:r>
    </w:p>
    <w:p w14:paraId="058DD924" w14:textId="77777777" w:rsidR="00C54AAC" w:rsidRDefault="001536CF">
      <w:pPr>
        <w:pStyle w:val="ListParagraph"/>
        <w:numPr>
          <w:ilvl w:val="0"/>
          <w:numId w:val="2"/>
        </w:numPr>
        <w:spacing w:line="276" w:lineRule="auto"/>
        <w:jc w:val="both"/>
        <w:rPr>
          <w:sz w:val="22"/>
          <w:szCs w:val="22"/>
        </w:rPr>
      </w:pPr>
      <w:r>
        <w:rPr>
          <w:sz w:val="22"/>
          <w:szCs w:val="22"/>
          <w:shd w:val="clear" w:color="auto" w:fill="FFFFFF"/>
        </w:rPr>
        <w:t xml:space="preserve">Goldich Y, </w:t>
      </w:r>
      <w:proofErr w:type="spellStart"/>
      <w:r>
        <w:rPr>
          <w:sz w:val="22"/>
          <w:szCs w:val="22"/>
          <w:shd w:val="clear" w:color="auto" w:fill="FFFFFF"/>
        </w:rPr>
        <w:t>Showail</w:t>
      </w:r>
      <w:proofErr w:type="spellEnd"/>
      <w:r>
        <w:rPr>
          <w:sz w:val="22"/>
          <w:szCs w:val="22"/>
          <w:shd w:val="clear" w:color="auto" w:fill="FFFFFF"/>
        </w:rPr>
        <w:t xml:space="preserve"> M, Avni-</w:t>
      </w:r>
      <w:proofErr w:type="spellStart"/>
      <w:r>
        <w:rPr>
          <w:sz w:val="22"/>
          <w:szCs w:val="22"/>
          <w:shd w:val="clear" w:color="auto" w:fill="FFFFFF"/>
        </w:rPr>
        <w:t>Zauberman</w:t>
      </w:r>
      <w:proofErr w:type="spellEnd"/>
      <w:r>
        <w:rPr>
          <w:sz w:val="22"/>
          <w:szCs w:val="22"/>
          <w:shd w:val="clear" w:color="auto" w:fill="FFFFFF"/>
        </w:rPr>
        <w:t xml:space="preserve"> N, et al. Contralateral eye comparison of Descemet membrane endothelial keratoplasty and Descemet stripping automated endothelial keratoplasty. Am J </w:t>
      </w:r>
      <w:proofErr w:type="spellStart"/>
      <w:r>
        <w:rPr>
          <w:sz w:val="22"/>
          <w:szCs w:val="22"/>
          <w:shd w:val="clear" w:color="auto" w:fill="FFFFFF"/>
        </w:rPr>
        <w:t>Ophthalmol</w:t>
      </w:r>
      <w:proofErr w:type="spellEnd"/>
      <w:r>
        <w:rPr>
          <w:sz w:val="22"/>
          <w:szCs w:val="22"/>
          <w:shd w:val="clear" w:color="auto" w:fill="FFFFFF"/>
        </w:rPr>
        <w:t xml:space="preserve">. </w:t>
      </w:r>
      <w:proofErr w:type="gramStart"/>
      <w:r>
        <w:rPr>
          <w:sz w:val="22"/>
          <w:szCs w:val="22"/>
          <w:shd w:val="clear" w:color="auto" w:fill="FFFFFF"/>
        </w:rPr>
        <w:t>2015;159:155</w:t>
      </w:r>
      <w:proofErr w:type="gramEnd"/>
      <w:r>
        <w:rPr>
          <w:sz w:val="22"/>
          <w:szCs w:val="22"/>
          <w:shd w:val="clear" w:color="auto" w:fill="FFFFFF"/>
        </w:rPr>
        <w:t xml:space="preserve">–159.e1. </w:t>
      </w:r>
    </w:p>
    <w:p w14:paraId="2DCFFEA4" w14:textId="77777777" w:rsidR="00C54AAC" w:rsidRDefault="001536CF">
      <w:pPr>
        <w:pStyle w:val="ListParagraph"/>
        <w:numPr>
          <w:ilvl w:val="0"/>
          <w:numId w:val="2"/>
        </w:numPr>
        <w:spacing w:line="276" w:lineRule="auto"/>
        <w:jc w:val="both"/>
        <w:rPr>
          <w:sz w:val="22"/>
          <w:szCs w:val="22"/>
        </w:rPr>
      </w:pPr>
      <w:r>
        <w:rPr>
          <w:sz w:val="22"/>
          <w:szCs w:val="22"/>
          <w:shd w:val="clear" w:color="auto" w:fill="FFFFFF"/>
        </w:rPr>
        <w:t xml:space="preserve">Guerra FP, </w:t>
      </w:r>
      <w:proofErr w:type="spellStart"/>
      <w:r>
        <w:rPr>
          <w:sz w:val="22"/>
          <w:szCs w:val="22"/>
          <w:shd w:val="clear" w:color="auto" w:fill="FFFFFF"/>
        </w:rPr>
        <w:t>Anshu</w:t>
      </w:r>
      <w:proofErr w:type="spellEnd"/>
      <w:r>
        <w:rPr>
          <w:sz w:val="22"/>
          <w:szCs w:val="22"/>
          <w:shd w:val="clear" w:color="auto" w:fill="FFFFFF"/>
        </w:rPr>
        <w:t xml:space="preserve"> A, Price MO, et al. Endothelial keratoplasty: fellow eyes comparison of Descemet stripping automated endothelial keratoplasty and Descemet membrane endothelial keratoplasty. Cornea. 2011; 30:1382–1386. </w:t>
      </w:r>
    </w:p>
    <w:p w14:paraId="1F6894C6" w14:textId="77777777" w:rsidR="00C54AAC" w:rsidRDefault="001536CF">
      <w:pPr>
        <w:pStyle w:val="ListParagraph"/>
        <w:numPr>
          <w:ilvl w:val="0"/>
          <w:numId w:val="2"/>
        </w:numPr>
        <w:spacing w:line="276" w:lineRule="auto"/>
        <w:jc w:val="both"/>
        <w:rPr>
          <w:sz w:val="22"/>
          <w:szCs w:val="22"/>
        </w:rPr>
      </w:pPr>
      <w:r>
        <w:rPr>
          <w:sz w:val="22"/>
          <w:szCs w:val="22"/>
          <w:shd w:val="clear" w:color="auto" w:fill="FFFFFF"/>
        </w:rPr>
        <w:t xml:space="preserve">Ang MJ, Chamberlain W, Lin CC, et al. Effect of Unilateral Endothelial Keratoplasty on Vision-Related Quality-of-Life Outcomes in the Descemet Endothelial Thickness Comparison Trial (DETECT): A Secondary Analysis of a Randomized Clinical Trial. JAMA </w:t>
      </w:r>
      <w:proofErr w:type="spellStart"/>
      <w:r>
        <w:rPr>
          <w:sz w:val="22"/>
          <w:szCs w:val="22"/>
          <w:shd w:val="clear" w:color="auto" w:fill="FFFFFF"/>
        </w:rPr>
        <w:t>Ophthalmol</w:t>
      </w:r>
      <w:proofErr w:type="spellEnd"/>
      <w:r>
        <w:rPr>
          <w:sz w:val="22"/>
          <w:szCs w:val="22"/>
          <w:shd w:val="clear" w:color="auto" w:fill="FFFFFF"/>
        </w:rPr>
        <w:t xml:space="preserve">. 2019 Jul 1;137(7):747-754. </w:t>
      </w:r>
    </w:p>
    <w:p w14:paraId="0A203671" w14:textId="77777777" w:rsidR="00C54AAC" w:rsidRDefault="001536CF">
      <w:pPr>
        <w:pStyle w:val="ListParagraph"/>
        <w:numPr>
          <w:ilvl w:val="0"/>
          <w:numId w:val="2"/>
        </w:numPr>
        <w:spacing w:line="276" w:lineRule="auto"/>
        <w:jc w:val="both"/>
        <w:rPr>
          <w:sz w:val="22"/>
          <w:szCs w:val="22"/>
        </w:rPr>
      </w:pPr>
      <w:r>
        <w:rPr>
          <w:sz w:val="22"/>
          <w:szCs w:val="22"/>
          <w:shd w:val="clear" w:color="auto" w:fill="FFFFFF"/>
        </w:rPr>
        <w:t xml:space="preserve">Trousdale ER, Hodge DO, </w:t>
      </w:r>
      <w:proofErr w:type="spellStart"/>
      <w:r>
        <w:rPr>
          <w:sz w:val="22"/>
          <w:szCs w:val="22"/>
          <w:shd w:val="clear" w:color="auto" w:fill="FFFFFF"/>
        </w:rPr>
        <w:t>Baratz</w:t>
      </w:r>
      <w:proofErr w:type="spellEnd"/>
      <w:r>
        <w:rPr>
          <w:sz w:val="22"/>
          <w:szCs w:val="22"/>
          <w:shd w:val="clear" w:color="auto" w:fill="FFFFFF"/>
        </w:rPr>
        <w:t xml:space="preserve"> KH, et al. Vision-related quality of life before and after keratoplasty for Fuchs' endothelial dystrophy. Ophthalmology. 2014 Nov;121(11):2147-52. </w:t>
      </w:r>
    </w:p>
    <w:p w14:paraId="10D53D9C" w14:textId="77777777" w:rsidR="00C54AAC" w:rsidRDefault="001536CF">
      <w:pPr>
        <w:pStyle w:val="ListParagraph"/>
        <w:numPr>
          <w:ilvl w:val="0"/>
          <w:numId w:val="2"/>
        </w:numPr>
        <w:spacing w:line="276" w:lineRule="auto"/>
        <w:jc w:val="both"/>
        <w:rPr>
          <w:sz w:val="22"/>
          <w:szCs w:val="22"/>
        </w:rPr>
      </w:pPr>
      <w:proofErr w:type="spellStart"/>
      <w:r>
        <w:rPr>
          <w:sz w:val="22"/>
          <w:szCs w:val="22"/>
          <w:shd w:val="clear" w:color="auto" w:fill="FFFFFF"/>
        </w:rPr>
        <w:t>Ziakas</w:t>
      </w:r>
      <w:proofErr w:type="spellEnd"/>
      <w:r>
        <w:rPr>
          <w:sz w:val="22"/>
          <w:szCs w:val="22"/>
          <w:shd w:val="clear" w:color="auto" w:fill="FFFFFF"/>
        </w:rPr>
        <w:t xml:space="preserve"> N, </w:t>
      </w:r>
      <w:proofErr w:type="spellStart"/>
      <w:r>
        <w:rPr>
          <w:sz w:val="22"/>
          <w:szCs w:val="22"/>
          <w:shd w:val="clear" w:color="auto" w:fill="FFFFFF"/>
        </w:rPr>
        <w:t>Kanonidou</w:t>
      </w:r>
      <w:proofErr w:type="spellEnd"/>
      <w:r>
        <w:rPr>
          <w:sz w:val="22"/>
          <w:szCs w:val="22"/>
          <w:shd w:val="clear" w:color="auto" w:fill="FFFFFF"/>
        </w:rPr>
        <w:t xml:space="preserve"> E, </w:t>
      </w:r>
      <w:proofErr w:type="spellStart"/>
      <w:r>
        <w:rPr>
          <w:sz w:val="22"/>
          <w:szCs w:val="22"/>
          <w:shd w:val="clear" w:color="auto" w:fill="FFFFFF"/>
        </w:rPr>
        <w:t>Mikropoulos</w:t>
      </w:r>
      <w:proofErr w:type="spellEnd"/>
      <w:r>
        <w:rPr>
          <w:sz w:val="22"/>
          <w:szCs w:val="22"/>
          <w:shd w:val="clear" w:color="auto" w:fill="FFFFFF"/>
        </w:rPr>
        <w:t xml:space="preserve"> D, Georgiadis N. The impact of penetrating keratoplasty in patients with keratoconus using the VF-14 questionnaire. Int </w:t>
      </w:r>
      <w:proofErr w:type="spellStart"/>
      <w:r>
        <w:rPr>
          <w:sz w:val="22"/>
          <w:szCs w:val="22"/>
          <w:shd w:val="clear" w:color="auto" w:fill="FFFFFF"/>
        </w:rPr>
        <w:t>Ophthalmol</w:t>
      </w:r>
      <w:proofErr w:type="spellEnd"/>
      <w:r>
        <w:rPr>
          <w:sz w:val="22"/>
          <w:szCs w:val="22"/>
          <w:shd w:val="clear" w:color="auto" w:fill="FFFFFF"/>
        </w:rPr>
        <w:t xml:space="preserve">. 2011 Apr;31(2):89-92. </w:t>
      </w:r>
    </w:p>
    <w:p w14:paraId="5FA931C2" w14:textId="77777777" w:rsidR="00C54AAC" w:rsidRDefault="001536CF">
      <w:pPr>
        <w:pStyle w:val="ListParagraph"/>
        <w:numPr>
          <w:ilvl w:val="0"/>
          <w:numId w:val="2"/>
        </w:numPr>
        <w:spacing w:line="276" w:lineRule="auto"/>
        <w:jc w:val="both"/>
        <w:rPr>
          <w:sz w:val="22"/>
          <w:szCs w:val="22"/>
        </w:rPr>
      </w:pPr>
      <w:r>
        <w:rPr>
          <w:sz w:val="22"/>
          <w:szCs w:val="22"/>
          <w:shd w:val="clear" w:color="auto" w:fill="FFFFFF"/>
        </w:rPr>
        <w:lastRenderedPageBreak/>
        <w:t>Dean S, Mathers JM, Calvert M, et a</w:t>
      </w:r>
      <w:r w:rsidR="0045176B">
        <w:rPr>
          <w:sz w:val="22"/>
          <w:szCs w:val="22"/>
          <w:shd w:val="clear" w:color="auto" w:fill="FFFFFF"/>
        </w:rPr>
        <w:t>l</w:t>
      </w:r>
      <w:r>
        <w:rPr>
          <w:sz w:val="22"/>
          <w:szCs w:val="22"/>
          <w:shd w:val="clear" w:color="auto" w:fill="FFFFFF"/>
        </w:rPr>
        <w:t xml:space="preserve">. The patient is speaking": discovering the patient voice in ophthalmology. Br J </w:t>
      </w:r>
      <w:proofErr w:type="spellStart"/>
      <w:r>
        <w:rPr>
          <w:sz w:val="22"/>
          <w:szCs w:val="22"/>
          <w:shd w:val="clear" w:color="auto" w:fill="FFFFFF"/>
        </w:rPr>
        <w:t>Ophthalmol</w:t>
      </w:r>
      <w:proofErr w:type="spellEnd"/>
      <w:r>
        <w:rPr>
          <w:sz w:val="22"/>
          <w:szCs w:val="22"/>
          <w:shd w:val="clear" w:color="auto" w:fill="FFFFFF"/>
        </w:rPr>
        <w:t xml:space="preserve">. 2017 Jun;101(6):700-708. </w:t>
      </w:r>
    </w:p>
    <w:p w14:paraId="78E6C022" w14:textId="77777777" w:rsidR="00C54AAC" w:rsidRDefault="001536CF">
      <w:pPr>
        <w:pStyle w:val="ListParagraph"/>
        <w:numPr>
          <w:ilvl w:val="0"/>
          <w:numId w:val="2"/>
        </w:numPr>
        <w:spacing w:line="276" w:lineRule="auto"/>
        <w:jc w:val="both"/>
        <w:rPr>
          <w:sz w:val="22"/>
          <w:szCs w:val="22"/>
        </w:rPr>
      </w:pPr>
      <w:r>
        <w:rPr>
          <w:sz w:val="22"/>
          <w:szCs w:val="22"/>
          <w:shd w:val="clear" w:color="auto" w:fill="FFFFFF"/>
        </w:rPr>
        <w:t xml:space="preserve">Price DA, Kelley M, Price FW Jr, Price, MO. Five-year graft survival of Descemet membrane </w:t>
      </w:r>
      <w:r>
        <w:rPr>
          <w:sz w:val="22"/>
          <w:szCs w:val="22"/>
        </w:rPr>
        <w:t>endothelial keratoplasty (EK) versus Descemet stripping EK and the effect of donor sex matching. Ophthalmology. 2018; 125: 1508–1514.</w:t>
      </w:r>
    </w:p>
    <w:p w14:paraId="4765BE54" w14:textId="77777777" w:rsidR="00C54AAC" w:rsidRDefault="001536CF">
      <w:pPr>
        <w:pStyle w:val="ListParagraph"/>
        <w:numPr>
          <w:ilvl w:val="0"/>
          <w:numId w:val="2"/>
        </w:numPr>
        <w:spacing w:line="276" w:lineRule="auto"/>
        <w:jc w:val="both"/>
        <w:rPr>
          <w:sz w:val="22"/>
          <w:szCs w:val="22"/>
        </w:rPr>
      </w:pPr>
      <w:proofErr w:type="spellStart"/>
      <w:r>
        <w:rPr>
          <w:sz w:val="22"/>
          <w:szCs w:val="22"/>
          <w:shd w:val="clear" w:color="auto" w:fill="FFFFFF"/>
        </w:rPr>
        <w:t>Oellerich</w:t>
      </w:r>
      <w:proofErr w:type="spellEnd"/>
      <w:r>
        <w:rPr>
          <w:sz w:val="22"/>
          <w:szCs w:val="22"/>
          <w:shd w:val="clear" w:color="auto" w:fill="FFFFFF"/>
        </w:rPr>
        <w:t xml:space="preserve"> S, </w:t>
      </w:r>
      <w:proofErr w:type="spellStart"/>
      <w:r>
        <w:rPr>
          <w:sz w:val="22"/>
          <w:szCs w:val="22"/>
          <w:shd w:val="clear" w:color="auto" w:fill="FFFFFF"/>
        </w:rPr>
        <w:t>Baydoun</w:t>
      </w:r>
      <w:proofErr w:type="spellEnd"/>
      <w:r>
        <w:rPr>
          <w:sz w:val="22"/>
          <w:szCs w:val="22"/>
          <w:shd w:val="clear" w:color="auto" w:fill="FFFFFF"/>
        </w:rPr>
        <w:t xml:space="preserve"> L, Peraza-Nieves J, et al. Multicenter Study of 6-Month Clinical Outcomes After Descemet Membrane Endothelial Keratoplasty. Cornea. 2017 Dec;36(12):1467-1476.</w:t>
      </w:r>
    </w:p>
    <w:p w14:paraId="25437E99" w14:textId="77777777" w:rsidR="00C54AAC" w:rsidRDefault="001536CF">
      <w:pPr>
        <w:pStyle w:val="ListParagraph"/>
        <w:numPr>
          <w:ilvl w:val="0"/>
          <w:numId w:val="2"/>
        </w:numPr>
        <w:spacing w:line="276" w:lineRule="auto"/>
        <w:jc w:val="both"/>
        <w:rPr>
          <w:sz w:val="22"/>
          <w:szCs w:val="22"/>
        </w:rPr>
      </w:pPr>
      <w:r>
        <w:rPr>
          <w:sz w:val="22"/>
          <w:szCs w:val="22"/>
          <w:shd w:val="clear" w:color="auto" w:fill="FFFFFF"/>
        </w:rPr>
        <w:t xml:space="preserve">Khor WB, Teo KY, Mehta JS, Tan DT. Descemet stripping automated endothelial keratoplasty in complex eyes: results with a donor insertion device. Cornea. 2013 Aug;32(8):1063-8. </w:t>
      </w:r>
    </w:p>
    <w:p w14:paraId="295C8482" w14:textId="77777777" w:rsidR="00C54AAC" w:rsidRDefault="001536CF">
      <w:pPr>
        <w:pStyle w:val="ListParagraph"/>
        <w:numPr>
          <w:ilvl w:val="0"/>
          <w:numId w:val="2"/>
        </w:numPr>
        <w:spacing w:line="276" w:lineRule="auto"/>
        <w:jc w:val="both"/>
        <w:rPr>
          <w:sz w:val="22"/>
          <w:szCs w:val="22"/>
        </w:rPr>
      </w:pPr>
      <w:r>
        <w:rPr>
          <w:sz w:val="22"/>
          <w:szCs w:val="22"/>
          <w:shd w:val="clear" w:color="auto" w:fill="FFFFFF"/>
        </w:rPr>
        <w:t xml:space="preserve">Lin SR, </w:t>
      </w:r>
      <w:proofErr w:type="spellStart"/>
      <w:r>
        <w:rPr>
          <w:sz w:val="22"/>
          <w:szCs w:val="22"/>
          <w:shd w:val="clear" w:color="auto" w:fill="FFFFFF"/>
        </w:rPr>
        <w:t>Prapaipanich</w:t>
      </w:r>
      <w:proofErr w:type="spellEnd"/>
      <w:r>
        <w:rPr>
          <w:sz w:val="22"/>
          <w:szCs w:val="22"/>
          <w:shd w:val="clear" w:color="auto" w:fill="FFFFFF"/>
        </w:rPr>
        <w:t xml:space="preserve"> P, Yu F,</w:t>
      </w:r>
      <w:r w:rsidR="0045176B">
        <w:rPr>
          <w:sz w:val="22"/>
          <w:szCs w:val="22"/>
          <w:shd w:val="clear" w:color="auto" w:fill="FFFFFF"/>
        </w:rPr>
        <w:t xml:space="preserve"> </w:t>
      </w:r>
      <w:r>
        <w:rPr>
          <w:sz w:val="22"/>
          <w:szCs w:val="22"/>
          <w:shd w:val="clear" w:color="auto" w:fill="FFFFFF"/>
        </w:rPr>
        <w:t xml:space="preserve">et al. Comparison of Endothelial Keratoplasty Techniques in Patients </w:t>
      </w:r>
      <w:proofErr w:type="gramStart"/>
      <w:r>
        <w:rPr>
          <w:sz w:val="22"/>
          <w:szCs w:val="22"/>
          <w:shd w:val="clear" w:color="auto" w:fill="FFFFFF"/>
        </w:rPr>
        <w:t>With</w:t>
      </w:r>
      <w:proofErr w:type="gramEnd"/>
      <w:r>
        <w:rPr>
          <w:sz w:val="22"/>
          <w:szCs w:val="22"/>
          <w:shd w:val="clear" w:color="auto" w:fill="FFFFFF"/>
        </w:rPr>
        <w:t xml:space="preserve"> Prior Glaucoma Surgery: A Case-Matched Study. Am J </w:t>
      </w:r>
      <w:proofErr w:type="spellStart"/>
      <w:r>
        <w:rPr>
          <w:sz w:val="22"/>
          <w:szCs w:val="22"/>
          <w:shd w:val="clear" w:color="auto" w:fill="FFFFFF"/>
        </w:rPr>
        <w:t>Ophthalmol</w:t>
      </w:r>
      <w:proofErr w:type="spellEnd"/>
      <w:r>
        <w:rPr>
          <w:sz w:val="22"/>
          <w:szCs w:val="22"/>
          <w:shd w:val="clear" w:color="auto" w:fill="FFFFFF"/>
        </w:rPr>
        <w:t xml:space="preserve">. 2019 </w:t>
      </w:r>
      <w:proofErr w:type="gramStart"/>
      <w:r>
        <w:rPr>
          <w:sz w:val="22"/>
          <w:szCs w:val="22"/>
          <w:shd w:val="clear" w:color="auto" w:fill="FFFFFF"/>
        </w:rPr>
        <w:t>Oct;206:94</w:t>
      </w:r>
      <w:proofErr w:type="gramEnd"/>
      <w:r>
        <w:rPr>
          <w:sz w:val="22"/>
          <w:szCs w:val="22"/>
          <w:shd w:val="clear" w:color="auto" w:fill="FFFFFF"/>
        </w:rPr>
        <w:t xml:space="preserve">-101. </w:t>
      </w:r>
    </w:p>
    <w:p w14:paraId="2AD1FBBD" w14:textId="77777777" w:rsidR="00141DD6" w:rsidRPr="00227B3D" w:rsidRDefault="001536CF" w:rsidP="00342999">
      <w:pPr>
        <w:pStyle w:val="ListParagraph"/>
        <w:numPr>
          <w:ilvl w:val="0"/>
          <w:numId w:val="2"/>
        </w:numPr>
        <w:spacing w:line="276" w:lineRule="auto"/>
        <w:jc w:val="both"/>
        <w:rPr>
          <w:sz w:val="22"/>
          <w:szCs w:val="22"/>
        </w:rPr>
      </w:pPr>
      <w:r>
        <w:rPr>
          <w:sz w:val="22"/>
          <w:szCs w:val="22"/>
          <w:shd w:val="clear" w:color="auto" w:fill="FFFFFF"/>
        </w:rPr>
        <w:t xml:space="preserve">Birbal RS, Tong CM, </w:t>
      </w:r>
      <w:proofErr w:type="spellStart"/>
      <w:r>
        <w:rPr>
          <w:sz w:val="22"/>
          <w:szCs w:val="22"/>
          <w:shd w:val="clear" w:color="auto" w:fill="FFFFFF"/>
        </w:rPr>
        <w:t>Dapena</w:t>
      </w:r>
      <w:proofErr w:type="spellEnd"/>
      <w:r>
        <w:rPr>
          <w:sz w:val="22"/>
          <w:szCs w:val="22"/>
          <w:shd w:val="clear" w:color="auto" w:fill="FFFFFF"/>
        </w:rPr>
        <w:t xml:space="preserve"> I, et al. Clinical Outcomes of Descemet Membrane Endothelial Keratoplasty in Eyes </w:t>
      </w:r>
      <w:proofErr w:type="gramStart"/>
      <w:r>
        <w:rPr>
          <w:sz w:val="22"/>
          <w:szCs w:val="22"/>
          <w:shd w:val="clear" w:color="auto" w:fill="FFFFFF"/>
        </w:rPr>
        <w:t>With</w:t>
      </w:r>
      <w:proofErr w:type="gramEnd"/>
      <w:r>
        <w:rPr>
          <w:sz w:val="22"/>
          <w:szCs w:val="22"/>
          <w:shd w:val="clear" w:color="auto" w:fill="FFFFFF"/>
        </w:rPr>
        <w:t xml:space="preserve"> a Glaucoma Drainage Device. Am J </w:t>
      </w:r>
      <w:proofErr w:type="spellStart"/>
      <w:r>
        <w:rPr>
          <w:sz w:val="22"/>
          <w:szCs w:val="22"/>
          <w:shd w:val="clear" w:color="auto" w:fill="FFFFFF"/>
        </w:rPr>
        <w:t>Ophthalmol</w:t>
      </w:r>
      <w:proofErr w:type="spellEnd"/>
      <w:r>
        <w:rPr>
          <w:sz w:val="22"/>
          <w:szCs w:val="22"/>
          <w:shd w:val="clear" w:color="auto" w:fill="FFFFFF"/>
        </w:rPr>
        <w:t xml:space="preserve">. 2019 </w:t>
      </w:r>
      <w:proofErr w:type="gramStart"/>
      <w:r>
        <w:rPr>
          <w:sz w:val="22"/>
          <w:szCs w:val="22"/>
          <w:shd w:val="clear" w:color="auto" w:fill="FFFFFF"/>
        </w:rPr>
        <w:t>Mar;199:150</w:t>
      </w:r>
      <w:proofErr w:type="gramEnd"/>
      <w:r>
        <w:rPr>
          <w:sz w:val="22"/>
          <w:szCs w:val="22"/>
          <w:shd w:val="clear" w:color="auto" w:fill="FFFFFF"/>
        </w:rPr>
        <w:t>-158.</w:t>
      </w:r>
      <w:r w:rsidR="00141DD6">
        <w:rPr>
          <w:sz w:val="22"/>
          <w:szCs w:val="22"/>
          <w:shd w:val="clear" w:color="auto" w:fill="FFFFFF"/>
        </w:rPr>
        <w:t xml:space="preserve"> </w:t>
      </w:r>
    </w:p>
    <w:p w14:paraId="5D54294B" w14:textId="55E278F0" w:rsidR="002211F8" w:rsidRDefault="00141DD6" w:rsidP="00342999">
      <w:pPr>
        <w:pStyle w:val="ListParagraph"/>
        <w:numPr>
          <w:ilvl w:val="0"/>
          <w:numId w:val="2"/>
        </w:numPr>
        <w:spacing w:line="276" w:lineRule="auto"/>
        <w:jc w:val="both"/>
        <w:rPr>
          <w:sz w:val="22"/>
          <w:szCs w:val="22"/>
          <w:shd w:val="clear" w:color="auto" w:fill="FFFFFF"/>
        </w:rPr>
      </w:pPr>
      <w:r w:rsidRPr="00141DD6">
        <w:rPr>
          <w:sz w:val="22"/>
          <w:szCs w:val="22"/>
          <w:shd w:val="clear" w:color="auto" w:fill="FFFFFF"/>
        </w:rPr>
        <w:t xml:space="preserve">Chiang PP, Fenwick E, Marella M, </w:t>
      </w:r>
      <w:r>
        <w:rPr>
          <w:sz w:val="22"/>
          <w:szCs w:val="22"/>
          <w:shd w:val="clear" w:color="auto" w:fill="FFFFFF"/>
        </w:rPr>
        <w:t>et al</w:t>
      </w:r>
      <w:r w:rsidRPr="00141DD6">
        <w:rPr>
          <w:sz w:val="22"/>
          <w:szCs w:val="22"/>
          <w:shd w:val="clear" w:color="auto" w:fill="FFFFFF"/>
        </w:rPr>
        <w:t>.</w:t>
      </w:r>
      <w:r>
        <w:rPr>
          <w:sz w:val="22"/>
          <w:szCs w:val="22"/>
          <w:shd w:val="clear" w:color="auto" w:fill="FFFFFF"/>
        </w:rPr>
        <w:t xml:space="preserve"> </w:t>
      </w:r>
      <w:r w:rsidRPr="00141DD6">
        <w:rPr>
          <w:sz w:val="22"/>
          <w:szCs w:val="22"/>
          <w:shd w:val="clear" w:color="auto" w:fill="FFFFFF"/>
        </w:rPr>
        <w:t>Validation and Reliability of the VF-14 Questionnaire in</w:t>
      </w:r>
      <w:r>
        <w:rPr>
          <w:sz w:val="22"/>
          <w:szCs w:val="22"/>
          <w:shd w:val="clear" w:color="auto" w:fill="FFFFFF"/>
        </w:rPr>
        <w:t xml:space="preserve"> </w:t>
      </w:r>
      <w:r w:rsidRPr="00141DD6">
        <w:rPr>
          <w:sz w:val="22"/>
          <w:szCs w:val="22"/>
          <w:shd w:val="clear" w:color="auto" w:fill="FFFFFF"/>
        </w:rPr>
        <w:t>a German Population</w:t>
      </w:r>
      <w:r>
        <w:rPr>
          <w:sz w:val="22"/>
          <w:szCs w:val="22"/>
          <w:shd w:val="clear" w:color="auto" w:fill="FFFFFF"/>
        </w:rPr>
        <w:t>. I</w:t>
      </w:r>
      <w:r w:rsidRPr="00141DD6">
        <w:rPr>
          <w:sz w:val="22"/>
          <w:szCs w:val="22"/>
          <w:shd w:val="clear" w:color="auto" w:fill="FFFFFF"/>
        </w:rPr>
        <w:t xml:space="preserve">nvest </w:t>
      </w:r>
      <w:proofErr w:type="spellStart"/>
      <w:r w:rsidRPr="00141DD6">
        <w:rPr>
          <w:sz w:val="22"/>
          <w:szCs w:val="22"/>
          <w:shd w:val="clear" w:color="auto" w:fill="FFFFFF"/>
        </w:rPr>
        <w:t>Ophthalmol</w:t>
      </w:r>
      <w:proofErr w:type="spellEnd"/>
      <w:r w:rsidRPr="00141DD6">
        <w:rPr>
          <w:sz w:val="22"/>
          <w:szCs w:val="22"/>
          <w:shd w:val="clear" w:color="auto" w:fill="FFFFFF"/>
        </w:rPr>
        <w:t xml:space="preserve"> Vis Sci. 2011 Nov 21;52(12):8919-26</w:t>
      </w:r>
      <w:r>
        <w:rPr>
          <w:sz w:val="22"/>
          <w:szCs w:val="22"/>
          <w:shd w:val="clear" w:color="auto" w:fill="FFFFFF"/>
        </w:rPr>
        <w:t>.</w:t>
      </w:r>
    </w:p>
    <w:p w14:paraId="6C466AD3" w14:textId="77777777" w:rsidR="002211F8" w:rsidRDefault="002211F8">
      <w:pPr>
        <w:rPr>
          <w:rFonts w:ascii="Calibri" w:eastAsia="Calibri" w:hAnsi="Calibri" w:cs="Calibri"/>
          <w:color w:val="000000"/>
          <w:sz w:val="22"/>
          <w:szCs w:val="22"/>
          <w:u w:color="000000"/>
          <w:shd w:val="clear" w:color="auto" w:fill="FFFFFF"/>
        </w:rPr>
      </w:pPr>
      <w:r>
        <w:rPr>
          <w:sz w:val="22"/>
          <w:szCs w:val="22"/>
          <w:shd w:val="clear" w:color="auto" w:fill="FFFFFF"/>
        </w:rPr>
        <w:br w:type="page"/>
      </w:r>
    </w:p>
    <w:p w14:paraId="04C4FF34" w14:textId="77777777" w:rsidR="002211F8" w:rsidRDefault="002211F8" w:rsidP="002211F8">
      <w:pPr>
        <w:pStyle w:val="Heading1"/>
      </w:pPr>
      <w:r>
        <w:lastRenderedPageBreak/>
        <w:t>Tables</w:t>
      </w:r>
    </w:p>
    <w:p w14:paraId="647D001C" w14:textId="7566D34C" w:rsidR="002211F8" w:rsidRPr="00F23386" w:rsidRDefault="002211F8" w:rsidP="002211F8">
      <w:r w:rsidRPr="00F23386">
        <w:t>Table</w:t>
      </w:r>
      <w:r>
        <w:t xml:space="preserve"> 1</w:t>
      </w:r>
      <w:r w:rsidRPr="00F23386">
        <w:rPr>
          <w:rFonts w:ascii="Calibri" w:eastAsia="Calibri" w:hAnsi="Calibri" w:cs="Calibri"/>
          <w:b/>
          <w:bCs/>
          <w:u w:val="single"/>
          <w:lang w:val="fr-FR"/>
        </w:rPr>
        <w:t>:</w:t>
      </w:r>
      <w:r w:rsidRPr="00F23386">
        <w:t xml:space="preserve"> Baseline patient and donor characteristics</w:t>
      </w:r>
    </w:p>
    <w:tbl>
      <w:tblPr>
        <w:tblW w:w="9020" w:type="dxa"/>
        <w:tblInd w:w="106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939"/>
        <w:gridCol w:w="1692"/>
        <w:gridCol w:w="1694"/>
        <w:gridCol w:w="1695"/>
      </w:tblGrid>
      <w:tr w:rsidR="002211F8" w:rsidRPr="00F23386" w14:paraId="32E4AFF3" w14:textId="77777777" w:rsidTr="00B87181">
        <w:trPr>
          <w:trHeight w:val="520"/>
        </w:trPr>
        <w:tc>
          <w:tcPr>
            <w:tcW w:w="3939" w:type="dxa"/>
            <w:tcBorders>
              <w:top w:val="single" w:sz="8" w:space="0" w:color="4472C4"/>
              <w:left w:val="nil"/>
              <w:bottom w:val="single" w:sz="8" w:space="0" w:color="4472C4"/>
              <w:right w:val="nil"/>
            </w:tcBorders>
            <w:shd w:val="clear" w:color="auto" w:fill="auto"/>
            <w:tcMar>
              <w:top w:w="80" w:type="dxa"/>
              <w:left w:w="80" w:type="dxa"/>
              <w:bottom w:w="80" w:type="dxa"/>
              <w:right w:w="80" w:type="dxa"/>
            </w:tcMar>
          </w:tcPr>
          <w:p w14:paraId="2A7A1BE6" w14:textId="77777777" w:rsidR="002211F8" w:rsidRPr="00F23386" w:rsidRDefault="002211F8" w:rsidP="00B87181"/>
        </w:tc>
        <w:tc>
          <w:tcPr>
            <w:tcW w:w="1692" w:type="dxa"/>
            <w:tcBorders>
              <w:top w:val="single" w:sz="8" w:space="0" w:color="4472C4"/>
              <w:left w:val="nil"/>
              <w:bottom w:val="single" w:sz="8" w:space="0" w:color="4472C4"/>
              <w:right w:val="nil"/>
            </w:tcBorders>
            <w:shd w:val="clear" w:color="auto" w:fill="auto"/>
            <w:tcMar>
              <w:top w:w="80" w:type="dxa"/>
              <w:left w:w="80" w:type="dxa"/>
              <w:bottom w:w="80" w:type="dxa"/>
              <w:right w:w="80" w:type="dxa"/>
            </w:tcMar>
          </w:tcPr>
          <w:p w14:paraId="298D0559" w14:textId="77777777" w:rsidR="002211F8" w:rsidRPr="00F23386" w:rsidRDefault="002211F8" w:rsidP="00B87181">
            <w:pPr>
              <w:pStyle w:val="BodyA"/>
              <w:jc w:val="center"/>
              <w:rPr>
                <w:color w:val="auto"/>
                <w:bdr w:val="none" w:sz="0" w:space="0" w:color="auto"/>
              </w:rPr>
            </w:pPr>
            <w:r w:rsidRPr="00F23386">
              <w:rPr>
                <w:b/>
                <w:bCs/>
                <w:color w:val="auto"/>
                <w:sz w:val="22"/>
                <w:szCs w:val="22"/>
                <w:u w:color="2F5496"/>
                <w:bdr w:val="none" w:sz="0" w:space="0" w:color="auto"/>
              </w:rPr>
              <w:t>MT-DSEAK (n=28)</w:t>
            </w:r>
          </w:p>
        </w:tc>
        <w:tc>
          <w:tcPr>
            <w:tcW w:w="1694" w:type="dxa"/>
            <w:tcBorders>
              <w:top w:val="single" w:sz="8" w:space="0" w:color="4472C4"/>
              <w:left w:val="nil"/>
              <w:bottom w:val="single" w:sz="8" w:space="0" w:color="4472C4"/>
              <w:right w:val="nil"/>
            </w:tcBorders>
            <w:shd w:val="clear" w:color="auto" w:fill="auto"/>
            <w:tcMar>
              <w:top w:w="80" w:type="dxa"/>
              <w:left w:w="80" w:type="dxa"/>
              <w:bottom w:w="80" w:type="dxa"/>
              <w:right w:w="80" w:type="dxa"/>
            </w:tcMar>
          </w:tcPr>
          <w:p w14:paraId="2212E30D" w14:textId="77777777" w:rsidR="002211F8" w:rsidRPr="00F23386" w:rsidRDefault="002211F8" w:rsidP="00B87181">
            <w:pPr>
              <w:pStyle w:val="BodyA"/>
              <w:jc w:val="center"/>
              <w:rPr>
                <w:color w:val="auto"/>
                <w:sz w:val="22"/>
                <w:szCs w:val="22"/>
                <w:u w:color="2F5496"/>
                <w:bdr w:val="none" w:sz="0" w:space="0" w:color="auto"/>
              </w:rPr>
            </w:pPr>
            <w:r w:rsidRPr="00F23386">
              <w:rPr>
                <w:b/>
                <w:bCs/>
                <w:color w:val="auto"/>
                <w:sz w:val="22"/>
                <w:szCs w:val="22"/>
                <w:u w:color="2F5496"/>
                <w:bdr w:val="none" w:sz="0" w:space="0" w:color="auto"/>
              </w:rPr>
              <w:t xml:space="preserve">DMEK </w:t>
            </w:r>
          </w:p>
          <w:p w14:paraId="499D3AA5" w14:textId="77777777" w:rsidR="002211F8" w:rsidRPr="00F23386" w:rsidRDefault="002211F8" w:rsidP="00B87181">
            <w:pPr>
              <w:pStyle w:val="BodyA"/>
              <w:jc w:val="center"/>
              <w:rPr>
                <w:color w:val="auto"/>
                <w:bdr w:val="none" w:sz="0" w:space="0" w:color="auto"/>
              </w:rPr>
            </w:pPr>
            <w:r w:rsidRPr="00F23386">
              <w:rPr>
                <w:b/>
                <w:bCs/>
                <w:color w:val="auto"/>
                <w:sz w:val="22"/>
                <w:szCs w:val="22"/>
                <w:u w:color="2F5496"/>
                <w:bdr w:val="none" w:sz="0" w:space="0" w:color="auto"/>
              </w:rPr>
              <w:t>(n=28)</w:t>
            </w:r>
          </w:p>
        </w:tc>
        <w:tc>
          <w:tcPr>
            <w:tcW w:w="1695" w:type="dxa"/>
            <w:tcBorders>
              <w:top w:val="single" w:sz="8" w:space="0" w:color="4472C4"/>
              <w:left w:val="nil"/>
              <w:bottom w:val="single" w:sz="8" w:space="0" w:color="4472C4"/>
              <w:right w:val="nil"/>
            </w:tcBorders>
            <w:shd w:val="clear" w:color="auto" w:fill="auto"/>
            <w:tcMar>
              <w:top w:w="80" w:type="dxa"/>
              <w:left w:w="80" w:type="dxa"/>
              <w:bottom w:w="80" w:type="dxa"/>
              <w:right w:w="80" w:type="dxa"/>
            </w:tcMar>
          </w:tcPr>
          <w:p w14:paraId="2FDFAC60" w14:textId="77777777" w:rsidR="002211F8" w:rsidRPr="00F23386" w:rsidRDefault="002211F8" w:rsidP="00B87181">
            <w:pPr>
              <w:pStyle w:val="BodyA"/>
              <w:jc w:val="center"/>
              <w:rPr>
                <w:color w:val="auto"/>
                <w:bdr w:val="none" w:sz="0" w:space="0" w:color="auto"/>
              </w:rPr>
            </w:pPr>
            <w:r w:rsidRPr="00F23386">
              <w:rPr>
                <w:b/>
                <w:bCs/>
                <w:color w:val="auto"/>
                <w:sz w:val="22"/>
                <w:szCs w:val="22"/>
                <w:u w:color="2F5496"/>
                <w:bdr w:val="none" w:sz="0" w:space="0" w:color="auto"/>
              </w:rPr>
              <w:t>p</w:t>
            </w:r>
          </w:p>
        </w:tc>
      </w:tr>
      <w:tr w:rsidR="002211F8" w:rsidRPr="00F23386" w14:paraId="5F66C65E" w14:textId="77777777" w:rsidTr="00B87181">
        <w:trPr>
          <w:trHeight w:val="310"/>
        </w:trPr>
        <w:tc>
          <w:tcPr>
            <w:tcW w:w="3939" w:type="dxa"/>
            <w:tcBorders>
              <w:top w:val="single" w:sz="8" w:space="0" w:color="4472C4"/>
              <w:left w:val="nil"/>
              <w:bottom w:val="nil"/>
              <w:right w:val="nil"/>
            </w:tcBorders>
            <w:shd w:val="clear" w:color="auto" w:fill="auto"/>
            <w:tcMar>
              <w:top w:w="80" w:type="dxa"/>
              <w:left w:w="80" w:type="dxa"/>
              <w:bottom w:w="80" w:type="dxa"/>
              <w:right w:w="80" w:type="dxa"/>
            </w:tcMar>
          </w:tcPr>
          <w:p w14:paraId="0A3EC549" w14:textId="77777777" w:rsidR="002211F8" w:rsidRPr="00F23386" w:rsidRDefault="002211F8" w:rsidP="00B87181">
            <w:pPr>
              <w:pStyle w:val="BodyA"/>
              <w:rPr>
                <w:color w:val="auto"/>
              </w:rPr>
            </w:pPr>
            <w:r w:rsidRPr="00F23386">
              <w:rPr>
                <w:b/>
                <w:bCs/>
                <w:color w:val="auto"/>
                <w:sz w:val="22"/>
                <w:szCs w:val="22"/>
                <w:u w:val="single" w:color="2F5496"/>
              </w:rPr>
              <w:t>Baseline Patient Characteristics</w:t>
            </w:r>
          </w:p>
        </w:tc>
        <w:tc>
          <w:tcPr>
            <w:tcW w:w="1692" w:type="dxa"/>
            <w:tcBorders>
              <w:top w:val="single" w:sz="8" w:space="0" w:color="4472C4"/>
              <w:left w:val="nil"/>
              <w:bottom w:val="nil"/>
              <w:right w:val="nil"/>
            </w:tcBorders>
            <w:shd w:val="clear" w:color="auto" w:fill="auto"/>
            <w:tcMar>
              <w:top w:w="80" w:type="dxa"/>
              <w:left w:w="80" w:type="dxa"/>
              <w:bottom w:w="80" w:type="dxa"/>
              <w:right w:w="80" w:type="dxa"/>
            </w:tcMar>
          </w:tcPr>
          <w:p w14:paraId="25234A5A" w14:textId="77777777" w:rsidR="002211F8" w:rsidRPr="00F23386" w:rsidRDefault="002211F8" w:rsidP="00B87181"/>
        </w:tc>
        <w:tc>
          <w:tcPr>
            <w:tcW w:w="1694" w:type="dxa"/>
            <w:tcBorders>
              <w:top w:val="single" w:sz="8" w:space="0" w:color="4472C4"/>
              <w:left w:val="nil"/>
              <w:bottom w:val="nil"/>
              <w:right w:val="nil"/>
            </w:tcBorders>
            <w:shd w:val="clear" w:color="auto" w:fill="auto"/>
            <w:tcMar>
              <w:top w:w="80" w:type="dxa"/>
              <w:left w:w="80" w:type="dxa"/>
              <w:bottom w:w="80" w:type="dxa"/>
              <w:right w:w="80" w:type="dxa"/>
            </w:tcMar>
          </w:tcPr>
          <w:p w14:paraId="55E82773" w14:textId="77777777" w:rsidR="002211F8" w:rsidRPr="00F23386" w:rsidRDefault="002211F8" w:rsidP="00B87181"/>
        </w:tc>
        <w:tc>
          <w:tcPr>
            <w:tcW w:w="1695" w:type="dxa"/>
            <w:tcBorders>
              <w:top w:val="single" w:sz="8" w:space="0" w:color="4472C4"/>
              <w:left w:val="nil"/>
              <w:bottom w:val="nil"/>
              <w:right w:val="nil"/>
            </w:tcBorders>
            <w:shd w:val="clear" w:color="auto" w:fill="auto"/>
            <w:tcMar>
              <w:top w:w="80" w:type="dxa"/>
              <w:left w:w="80" w:type="dxa"/>
              <w:bottom w:w="80" w:type="dxa"/>
              <w:right w:w="80" w:type="dxa"/>
            </w:tcMar>
          </w:tcPr>
          <w:p w14:paraId="463E4EED" w14:textId="77777777" w:rsidR="002211F8" w:rsidRPr="00F23386" w:rsidRDefault="002211F8" w:rsidP="00B87181"/>
        </w:tc>
      </w:tr>
      <w:tr w:rsidR="002211F8" w:rsidRPr="00F23386" w14:paraId="3E78BBE2" w14:textId="77777777" w:rsidTr="00B87181">
        <w:trPr>
          <w:trHeight w:val="960"/>
        </w:trPr>
        <w:tc>
          <w:tcPr>
            <w:tcW w:w="3939" w:type="dxa"/>
            <w:tcBorders>
              <w:top w:val="nil"/>
              <w:left w:val="nil"/>
              <w:bottom w:val="nil"/>
              <w:right w:val="nil"/>
            </w:tcBorders>
            <w:shd w:val="clear" w:color="auto" w:fill="auto"/>
            <w:tcMar>
              <w:top w:w="80" w:type="dxa"/>
              <w:left w:w="80" w:type="dxa"/>
              <w:bottom w:w="80" w:type="dxa"/>
              <w:right w:w="80" w:type="dxa"/>
            </w:tcMar>
          </w:tcPr>
          <w:p w14:paraId="04D4F00D" w14:textId="77777777" w:rsidR="002211F8" w:rsidRPr="00F23386" w:rsidRDefault="002211F8" w:rsidP="00B87181">
            <w:pPr>
              <w:pStyle w:val="NormalWeb"/>
              <w:spacing w:before="0" w:after="0"/>
              <w:rPr>
                <w:rFonts w:ascii="Calibri" w:eastAsia="Calibri" w:hAnsi="Calibri" w:cs="Calibri"/>
                <w:sz w:val="22"/>
                <w:szCs w:val="22"/>
                <w:u w:color="2F5496"/>
              </w:rPr>
            </w:pPr>
            <w:r w:rsidRPr="00F23386">
              <w:rPr>
                <w:rFonts w:ascii="Calibri" w:eastAsia="Calibri" w:hAnsi="Calibri" w:cs="Calibri"/>
                <w:sz w:val="22"/>
                <w:szCs w:val="22"/>
                <w:u w:color="2F5496"/>
              </w:rPr>
              <w:t>Age</w:t>
            </w:r>
          </w:p>
          <w:p w14:paraId="7809C569" w14:textId="77777777" w:rsidR="002211F8" w:rsidRPr="00F23386" w:rsidRDefault="002211F8" w:rsidP="00B87181">
            <w:pPr>
              <w:pStyle w:val="NormalWeb"/>
              <w:spacing w:before="0" w:after="0"/>
              <w:ind w:left="540"/>
              <w:rPr>
                <w:rFonts w:ascii="Calibri" w:eastAsia="Calibri" w:hAnsi="Calibri" w:cs="Calibri"/>
                <w:sz w:val="22"/>
                <w:szCs w:val="22"/>
                <w:u w:color="2F5496"/>
              </w:rPr>
            </w:pPr>
            <w:r w:rsidRPr="00F23386">
              <w:rPr>
                <w:rFonts w:ascii="Calibri" w:eastAsia="Calibri" w:hAnsi="Calibri" w:cs="Calibri"/>
                <w:sz w:val="22"/>
                <w:szCs w:val="22"/>
                <w:u w:color="2F5496"/>
              </w:rPr>
              <w:t>Mean ± SD</w:t>
            </w:r>
          </w:p>
          <w:p w14:paraId="29E7512B" w14:textId="77777777" w:rsidR="002211F8" w:rsidRPr="00F23386" w:rsidRDefault="002211F8" w:rsidP="00B87181">
            <w:pPr>
              <w:pStyle w:val="NormalWeb"/>
              <w:spacing w:before="0" w:after="0"/>
              <w:ind w:left="540"/>
            </w:pPr>
            <w:r w:rsidRPr="00F23386">
              <w:rPr>
                <w:rFonts w:ascii="Calibri" w:eastAsia="Calibri" w:hAnsi="Calibri" w:cs="Calibri"/>
                <w:sz w:val="22"/>
                <w:szCs w:val="22"/>
                <w:u w:color="2F5496"/>
              </w:rPr>
              <w:t>Range</w:t>
            </w:r>
          </w:p>
        </w:tc>
        <w:tc>
          <w:tcPr>
            <w:tcW w:w="1692" w:type="dxa"/>
            <w:tcBorders>
              <w:top w:val="nil"/>
              <w:left w:val="nil"/>
              <w:bottom w:val="nil"/>
              <w:right w:val="nil"/>
            </w:tcBorders>
            <w:shd w:val="clear" w:color="auto" w:fill="auto"/>
            <w:tcMar>
              <w:top w:w="80" w:type="dxa"/>
              <w:left w:w="80" w:type="dxa"/>
              <w:bottom w:w="80" w:type="dxa"/>
              <w:right w:w="80" w:type="dxa"/>
            </w:tcMar>
          </w:tcPr>
          <w:p w14:paraId="2A21BA8F" w14:textId="77777777" w:rsidR="002211F8" w:rsidRPr="00F23386" w:rsidRDefault="002211F8" w:rsidP="00B87181">
            <w:pPr>
              <w:pStyle w:val="DecimalAligned"/>
              <w:spacing w:after="0" w:line="240" w:lineRule="auto"/>
              <w:jc w:val="center"/>
              <w:rPr>
                <w:u w:color="2F5496"/>
              </w:rPr>
            </w:pPr>
          </w:p>
          <w:p w14:paraId="6AFED4EA" w14:textId="77777777" w:rsidR="002211F8" w:rsidRPr="00F23386" w:rsidRDefault="002211F8" w:rsidP="00B87181">
            <w:pPr>
              <w:pStyle w:val="DecimalAligned"/>
              <w:spacing w:after="0" w:line="240" w:lineRule="auto"/>
              <w:jc w:val="center"/>
              <w:rPr>
                <w:u w:color="2F5496"/>
                <w:shd w:val="clear" w:color="auto" w:fill="FFFFFF"/>
              </w:rPr>
            </w:pPr>
            <w:r w:rsidRPr="00F23386">
              <w:rPr>
                <w:u w:color="2F5496"/>
                <w:shd w:val="clear" w:color="auto" w:fill="FFFFFF"/>
              </w:rPr>
              <w:t>72 ± 10.32</w:t>
            </w:r>
          </w:p>
          <w:p w14:paraId="4D3B1476" w14:textId="77777777" w:rsidR="002211F8" w:rsidRPr="00F23386" w:rsidRDefault="002211F8" w:rsidP="00B87181">
            <w:pPr>
              <w:pStyle w:val="DecimalAligned"/>
              <w:spacing w:after="0" w:line="240" w:lineRule="auto"/>
              <w:jc w:val="center"/>
            </w:pPr>
            <w:r w:rsidRPr="00F23386">
              <w:rPr>
                <w:u w:color="2F5496"/>
              </w:rPr>
              <w:t>54-91</w:t>
            </w:r>
          </w:p>
        </w:tc>
        <w:tc>
          <w:tcPr>
            <w:tcW w:w="1694" w:type="dxa"/>
            <w:tcBorders>
              <w:top w:val="nil"/>
              <w:left w:val="nil"/>
              <w:bottom w:val="nil"/>
              <w:right w:val="nil"/>
            </w:tcBorders>
            <w:shd w:val="clear" w:color="auto" w:fill="auto"/>
            <w:tcMar>
              <w:top w:w="80" w:type="dxa"/>
              <w:left w:w="80" w:type="dxa"/>
              <w:bottom w:w="80" w:type="dxa"/>
              <w:right w:w="80" w:type="dxa"/>
            </w:tcMar>
          </w:tcPr>
          <w:p w14:paraId="6E8CCBA8" w14:textId="77777777" w:rsidR="002211F8" w:rsidRPr="00F23386" w:rsidRDefault="002211F8" w:rsidP="00B87181">
            <w:pPr>
              <w:pStyle w:val="DecimalAligned"/>
              <w:spacing w:after="0" w:line="240" w:lineRule="auto"/>
              <w:jc w:val="center"/>
              <w:rPr>
                <w:u w:color="2F5496"/>
              </w:rPr>
            </w:pPr>
          </w:p>
          <w:p w14:paraId="2A6DCF3D" w14:textId="77777777" w:rsidR="002211F8" w:rsidRPr="00F23386" w:rsidRDefault="002211F8" w:rsidP="00B87181">
            <w:pPr>
              <w:pStyle w:val="DecimalAligned"/>
              <w:spacing w:after="0" w:line="240" w:lineRule="auto"/>
              <w:jc w:val="center"/>
              <w:rPr>
                <w:u w:color="2F5496"/>
              </w:rPr>
            </w:pPr>
            <w:r w:rsidRPr="00F23386">
              <w:rPr>
                <w:u w:color="2F5496"/>
              </w:rPr>
              <w:t xml:space="preserve">73 </w:t>
            </w:r>
            <w:r w:rsidRPr="00F23386">
              <w:rPr>
                <w:u w:color="2F5496"/>
                <w:shd w:val="clear" w:color="auto" w:fill="FFFFFF"/>
              </w:rPr>
              <w:t xml:space="preserve">± </w:t>
            </w:r>
            <w:r w:rsidRPr="00F23386">
              <w:rPr>
                <w:u w:color="2F5496"/>
              </w:rPr>
              <w:t>7.5</w:t>
            </w:r>
          </w:p>
          <w:p w14:paraId="51B41D84" w14:textId="77777777" w:rsidR="002211F8" w:rsidRPr="00F23386" w:rsidRDefault="002211F8" w:rsidP="00B87181">
            <w:pPr>
              <w:pStyle w:val="DecimalAligned"/>
              <w:spacing w:after="0" w:line="240" w:lineRule="auto"/>
              <w:jc w:val="center"/>
            </w:pPr>
            <w:r w:rsidRPr="00F23386">
              <w:rPr>
                <w:u w:color="2F5496"/>
              </w:rPr>
              <w:t>51-85</w:t>
            </w:r>
          </w:p>
        </w:tc>
        <w:tc>
          <w:tcPr>
            <w:tcW w:w="1695" w:type="dxa"/>
            <w:tcBorders>
              <w:top w:val="nil"/>
              <w:left w:val="nil"/>
              <w:bottom w:val="nil"/>
              <w:right w:val="nil"/>
            </w:tcBorders>
            <w:shd w:val="clear" w:color="auto" w:fill="auto"/>
            <w:tcMar>
              <w:top w:w="80" w:type="dxa"/>
              <w:left w:w="80" w:type="dxa"/>
              <w:bottom w:w="80" w:type="dxa"/>
              <w:right w:w="80" w:type="dxa"/>
            </w:tcMar>
          </w:tcPr>
          <w:p w14:paraId="05DD404D" w14:textId="77777777" w:rsidR="002211F8" w:rsidRPr="00F23386" w:rsidRDefault="002211F8" w:rsidP="00B87181">
            <w:pPr>
              <w:pStyle w:val="DecimalAligned"/>
              <w:spacing w:after="0" w:line="240" w:lineRule="auto"/>
              <w:jc w:val="center"/>
              <w:rPr>
                <w:u w:color="2F5496"/>
              </w:rPr>
            </w:pPr>
          </w:p>
          <w:p w14:paraId="13F87A4E" w14:textId="77777777" w:rsidR="002211F8" w:rsidRPr="00F23386" w:rsidRDefault="002211F8" w:rsidP="00B87181">
            <w:pPr>
              <w:pStyle w:val="BodyA"/>
              <w:jc w:val="center"/>
              <w:rPr>
                <w:color w:val="auto"/>
              </w:rPr>
            </w:pPr>
            <w:r w:rsidRPr="00F23386">
              <w:rPr>
                <w:color w:val="auto"/>
                <w:sz w:val="22"/>
                <w:szCs w:val="22"/>
                <w:u w:color="2F5496"/>
              </w:rPr>
              <w:t>0.64^</w:t>
            </w:r>
          </w:p>
        </w:tc>
      </w:tr>
      <w:tr w:rsidR="002211F8" w:rsidRPr="00F23386" w14:paraId="70E6E561" w14:textId="77777777" w:rsidTr="00B87181">
        <w:trPr>
          <w:trHeight w:val="740"/>
        </w:trPr>
        <w:tc>
          <w:tcPr>
            <w:tcW w:w="3939" w:type="dxa"/>
            <w:tcBorders>
              <w:top w:val="nil"/>
              <w:left w:val="nil"/>
              <w:bottom w:val="nil"/>
              <w:right w:val="nil"/>
            </w:tcBorders>
            <w:shd w:val="clear" w:color="auto" w:fill="auto"/>
            <w:tcMar>
              <w:top w:w="80" w:type="dxa"/>
              <w:left w:w="80" w:type="dxa"/>
              <w:bottom w:w="80" w:type="dxa"/>
              <w:right w:w="80" w:type="dxa"/>
            </w:tcMar>
          </w:tcPr>
          <w:p w14:paraId="38CC93C2" w14:textId="77777777" w:rsidR="002211F8" w:rsidRPr="00F23386" w:rsidRDefault="002211F8" w:rsidP="00B87181">
            <w:pPr>
              <w:pStyle w:val="NormalWeb"/>
              <w:spacing w:before="0" w:after="0"/>
              <w:rPr>
                <w:rFonts w:ascii="Calibri" w:eastAsia="Calibri" w:hAnsi="Calibri" w:cs="Calibri"/>
                <w:sz w:val="22"/>
                <w:szCs w:val="22"/>
                <w:u w:color="2F5496"/>
              </w:rPr>
            </w:pPr>
            <w:r w:rsidRPr="00F23386">
              <w:rPr>
                <w:rFonts w:ascii="Calibri" w:eastAsia="Calibri" w:hAnsi="Calibri" w:cs="Calibri"/>
                <w:sz w:val="22"/>
                <w:szCs w:val="22"/>
                <w:u w:color="2F5496"/>
              </w:rPr>
              <w:t>Gender</w:t>
            </w:r>
          </w:p>
          <w:p w14:paraId="1B4D5E55" w14:textId="77777777" w:rsidR="002211F8" w:rsidRPr="00F23386" w:rsidRDefault="002211F8" w:rsidP="00B87181">
            <w:pPr>
              <w:pStyle w:val="NormalWeb"/>
              <w:spacing w:before="0" w:after="0"/>
              <w:ind w:left="540"/>
              <w:rPr>
                <w:rFonts w:ascii="Calibri" w:eastAsia="Calibri" w:hAnsi="Calibri" w:cs="Calibri"/>
                <w:sz w:val="22"/>
                <w:szCs w:val="22"/>
                <w:u w:color="2F5496"/>
              </w:rPr>
            </w:pPr>
            <w:r w:rsidRPr="00F23386">
              <w:rPr>
                <w:rFonts w:ascii="Calibri" w:eastAsia="Calibri" w:hAnsi="Calibri" w:cs="Calibri"/>
                <w:sz w:val="22"/>
                <w:szCs w:val="22"/>
                <w:u w:color="2F5496"/>
              </w:rPr>
              <w:t xml:space="preserve">Male </w:t>
            </w:r>
          </w:p>
          <w:p w14:paraId="0228A917" w14:textId="77777777" w:rsidR="002211F8" w:rsidRPr="00F23386" w:rsidRDefault="002211F8" w:rsidP="00B87181">
            <w:pPr>
              <w:pStyle w:val="NormalWeb"/>
              <w:spacing w:before="0" w:after="0"/>
              <w:ind w:left="540"/>
            </w:pPr>
            <w:r w:rsidRPr="00F23386">
              <w:rPr>
                <w:rFonts w:ascii="Calibri" w:eastAsia="Calibri" w:hAnsi="Calibri" w:cs="Calibri"/>
                <w:sz w:val="22"/>
                <w:szCs w:val="22"/>
                <w:u w:color="2F5496"/>
              </w:rPr>
              <w:t xml:space="preserve">Female </w:t>
            </w:r>
          </w:p>
        </w:tc>
        <w:tc>
          <w:tcPr>
            <w:tcW w:w="1692" w:type="dxa"/>
            <w:tcBorders>
              <w:top w:val="nil"/>
              <w:left w:val="nil"/>
              <w:bottom w:val="nil"/>
              <w:right w:val="nil"/>
            </w:tcBorders>
            <w:shd w:val="clear" w:color="auto" w:fill="auto"/>
            <w:tcMar>
              <w:top w:w="80" w:type="dxa"/>
              <w:left w:w="80" w:type="dxa"/>
              <w:bottom w:w="80" w:type="dxa"/>
              <w:right w:w="80" w:type="dxa"/>
            </w:tcMar>
          </w:tcPr>
          <w:p w14:paraId="6CEB9266" w14:textId="77777777" w:rsidR="002211F8" w:rsidRPr="00F23386" w:rsidRDefault="002211F8" w:rsidP="00B87181">
            <w:pPr>
              <w:pStyle w:val="DecimalAligned"/>
              <w:spacing w:after="0" w:line="240" w:lineRule="auto"/>
              <w:jc w:val="center"/>
              <w:rPr>
                <w:u w:color="2F5496"/>
              </w:rPr>
            </w:pPr>
          </w:p>
          <w:p w14:paraId="245C31FE" w14:textId="77777777" w:rsidR="002211F8" w:rsidRPr="00F23386" w:rsidRDefault="002211F8" w:rsidP="00B87181">
            <w:pPr>
              <w:pStyle w:val="DecimalAligned"/>
              <w:spacing w:after="0" w:line="240" w:lineRule="auto"/>
              <w:jc w:val="center"/>
              <w:rPr>
                <w:u w:color="2F5496"/>
              </w:rPr>
            </w:pPr>
            <w:r w:rsidRPr="00F23386">
              <w:rPr>
                <w:u w:color="2F5496"/>
              </w:rPr>
              <w:t>14 (50%)</w:t>
            </w:r>
          </w:p>
          <w:p w14:paraId="7FF6AD12" w14:textId="77777777" w:rsidR="002211F8" w:rsidRPr="00F23386" w:rsidRDefault="002211F8" w:rsidP="00B87181">
            <w:pPr>
              <w:pStyle w:val="DecimalAligned"/>
              <w:spacing w:after="0" w:line="240" w:lineRule="auto"/>
              <w:jc w:val="center"/>
            </w:pPr>
            <w:r w:rsidRPr="00F23386">
              <w:rPr>
                <w:u w:color="2F5496"/>
              </w:rPr>
              <w:t>14 (50%)</w:t>
            </w:r>
          </w:p>
        </w:tc>
        <w:tc>
          <w:tcPr>
            <w:tcW w:w="1694" w:type="dxa"/>
            <w:tcBorders>
              <w:top w:val="nil"/>
              <w:left w:val="nil"/>
              <w:bottom w:val="nil"/>
              <w:right w:val="nil"/>
            </w:tcBorders>
            <w:shd w:val="clear" w:color="auto" w:fill="auto"/>
            <w:tcMar>
              <w:top w:w="80" w:type="dxa"/>
              <w:left w:w="80" w:type="dxa"/>
              <w:bottom w:w="80" w:type="dxa"/>
              <w:right w:w="80" w:type="dxa"/>
            </w:tcMar>
          </w:tcPr>
          <w:p w14:paraId="355A768A" w14:textId="77777777" w:rsidR="002211F8" w:rsidRPr="00F23386" w:rsidRDefault="002211F8" w:rsidP="00B87181">
            <w:pPr>
              <w:pStyle w:val="DecimalAligned"/>
              <w:spacing w:after="0" w:line="240" w:lineRule="auto"/>
              <w:jc w:val="center"/>
              <w:rPr>
                <w:u w:color="2F5496"/>
              </w:rPr>
            </w:pPr>
          </w:p>
          <w:p w14:paraId="6A824E4B" w14:textId="77777777" w:rsidR="002211F8" w:rsidRPr="00F23386" w:rsidRDefault="002211F8" w:rsidP="00B87181">
            <w:pPr>
              <w:pStyle w:val="DecimalAligned"/>
              <w:spacing w:after="0" w:line="240" w:lineRule="auto"/>
              <w:jc w:val="center"/>
              <w:rPr>
                <w:u w:color="2F5496"/>
              </w:rPr>
            </w:pPr>
            <w:r w:rsidRPr="00F23386">
              <w:rPr>
                <w:u w:color="2F5496"/>
              </w:rPr>
              <w:t>9 (32%)</w:t>
            </w:r>
          </w:p>
          <w:p w14:paraId="24027BFF" w14:textId="77777777" w:rsidR="002211F8" w:rsidRPr="00F23386" w:rsidRDefault="002211F8" w:rsidP="00B87181">
            <w:pPr>
              <w:pStyle w:val="DecimalAligned"/>
              <w:spacing w:after="0" w:line="240" w:lineRule="auto"/>
              <w:jc w:val="center"/>
            </w:pPr>
            <w:r w:rsidRPr="00F23386">
              <w:rPr>
                <w:u w:color="2F5496"/>
              </w:rPr>
              <w:t>19 (68%)</w:t>
            </w:r>
          </w:p>
        </w:tc>
        <w:tc>
          <w:tcPr>
            <w:tcW w:w="1695" w:type="dxa"/>
            <w:tcBorders>
              <w:top w:val="nil"/>
              <w:left w:val="nil"/>
              <w:bottom w:val="nil"/>
              <w:right w:val="nil"/>
            </w:tcBorders>
            <w:shd w:val="clear" w:color="auto" w:fill="auto"/>
            <w:tcMar>
              <w:top w:w="80" w:type="dxa"/>
              <w:left w:w="80" w:type="dxa"/>
              <w:bottom w:w="80" w:type="dxa"/>
              <w:right w:w="80" w:type="dxa"/>
            </w:tcMar>
          </w:tcPr>
          <w:p w14:paraId="0E5BBCEE" w14:textId="77777777" w:rsidR="002211F8" w:rsidRPr="00F23386" w:rsidRDefault="002211F8" w:rsidP="00B87181">
            <w:pPr>
              <w:pStyle w:val="DecimalAligned"/>
              <w:spacing w:after="0" w:line="240" w:lineRule="auto"/>
              <w:jc w:val="center"/>
              <w:rPr>
                <w:u w:color="2F5496"/>
              </w:rPr>
            </w:pPr>
          </w:p>
          <w:p w14:paraId="706BC163" w14:textId="77777777" w:rsidR="002211F8" w:rsidRPr="00F23386" w:rsidRDefault="002211F8" w:rsidP="00B87181">
            <w:pPr>
              <w:pStyle w:val="BodyA"/>
              <w:jc w:val="center"/>
              <w:rPr>
                <w:color w:val="auto"/>
              </w:rPr>
            </w:pPr>
            <w:r w:rsidRPr="00F23386">
              <w:rPr>
                <w:color w:val="auto"/>
                <w:sz w:val="22"/>
                <w:szCs w:val="22"/>
                <w:u w:color="2F5496"/>
              </w:rPr>
              <w:t>0.17~</w:t>
            </w:r>
          </w:p>
        </w:tc>
      </w:tr>
      <w:tr w:rsidR="002211F8" w:rsidRPr="00F23386" w14:paraId="4B09FF6A" w14:textId="77777777" w:rsidTr="00B87181">
        <w:trPr>
          <w:trHeight w:val="740"/>
        </w:trPr>
        <w:tc>
          <w:tcPr>
            <w:tcW w:w="3939" w:type="dxa"/>
            <w:tcBorders>
              <w:top w:val="nil"/>
              <w:left w:val="nil"/>
              <w:bottom w:val="nil"/>
              <w:right w:val="nil"/>
            </w:tcBorders>
            <w:shd w:val="clear" w:color="auto" w:fill="auto"/>
            <w:tcMar>
              <w:top w:w="80" w:type="dxa"/>
              <w:left w:w="80" w:type="dxa"/>
              <w:bottom w:w="80" w:type="dxa"/>
              <w:right w:w="80" w:type="dxa"/>
            </w:tcMar>
          </w:tcPr>
          <w:p w14:paraId="64FAA229" w14:textId="77777777" w:rsidR="002211F8" w:rsidRPr="00F23386" w:rsidRDefault="002211F8" w:rsidP="00B87181">
            <w:pPr>
              <w:pStyle w:val="BodyA"/>
              <w:rPr>
                <w:color w:val="auto"/>
                <w:sz w:val="22"/>
                <w:szCs w:val="22"/>
                <w:u w:color="2F5496"/>
              </w:rPr>
            </w:pPr>
            <w:r w:rsidRPr="00F23386">
              <w:rPr>
                <w:color w:val="auto"/>
                <w:sz w:val="22"/>
                <w:szCs w:val="22"/>
                <w:u w:color="2F5496"/>
              </w:rPr>
              <w:t xml:space="preserve">Pre-operative </w:t>
            </w:r>
            <w:proofErr w:type="spellStart"/>
            <w:r w:rsidRPr="00F23386">
              <w:rPr>
                <w:color w:val="auto"/>
                <w:sz w:val="22"/>
                <w:szCs w:val="22"/>
                <w:u w:color="2F5496"/>
              </w:rPr>
              <w:t>logMAR</w:t>
            </w:r>
            <w:proofErr w:type="spellEnd"/>
            <w:r w:rsidRPr="00F23386">
              <w:rPr>
                <w:color w:val="auto"/>
                <w:sz w:val="22"/>
                <w:szCs w:val="22"/>
                <w:u w:color="2F5496"/>
              </w:rPr>
              <w:t xml:space="preserve"> BSCVA</w:t>
            </w:r>
          </w:p>
          <w:p w14:paraId="7E2BFCB2" w14:textId="77777777" w:rsidR="002211F8" w:rsidRPr="00F23386" w:rsidRDefault="002211F8" w:rsidP="00B87181">
            <w:pPr>
              <w:pStyle w:val="NormalWeb"/>
              <w:spacing w:before="0" w:after="0"/>
              <w:ind w:left="540"/>
              <w:rPr>
                <w:rFonts w:ascii="Calibri" w:eastAsia="Calibri" w:hAnsi="Calibri" w:cs="Calibri"/>
                <w:sz w:val="22"/>
                <w:szCs w:val="22"/>
                <w:u w:color="2F5496"/>
              </w:rPr>
            </w:pPr>
            <w:r w:rsidRPr="00F23386">
              <w:rPr>
                <w:rFonts w:ascii="Calibri" w:eastAsia="Calibri" w:hAnsi="Calibri" w:cs="Calibri"/>
                <w:sz w:val="22"/>
                <w:szCs w:val="22"/>
                <w:u w:color="2F5496"/>
              </w:rPr>
              <w:t xml:space="preserve">Mean ± SD </w:t>
            </w:r>
          </w:p>
          <w:p w14:paraId="788A37E4" w14:textId="77777777" w:rsidR="002211F8" w:rsidRPr="00F23386" w:rsidRDefault="002211F8" w:rsidP="00B87181">
            <w:pPr>
              <w:pStyle w:val="BodyA"/>
              <w:rPr>
                <w:color w:val="auto"/>
              </w:rPr>
            </w:pPr>
            <w:r w:rsidRPr="00F23386">
              <w:rPr>
                <w:color w:val="auto"/>
                <w:sz w:val="22"/>
                <w:szCs w:val="22"/>
                <w:u w:color="2F5496"/>
              </w:rPr>
              <w:t xml:space="preserve">           Range</w:t>
            </w:r>
          </w:p>
        </w:tc>
        <w:tc>
          <w:tcPr>
            <w:tcW w:w="1692" w:type="dxa"/>
            <w:tcBorders>
              <w:top w:val="nil"/>
              <w:left w:val="nil"/>
              <w:bottom w:val="nil"/>
              <w:right w:val="nil"/>
            </w:tcBorders>
            <w:shd w:val="clear" w:color="auto" w:fill="auto"/>
            <w:tcMar>
              <w:top w:w="80" w:type="dxa"/>
              <w:left w:w="80" w:type="dxa"/>
              <w:bottom w:w="80" w:type="dxa"/>
              <w:right w:w="80" w:type="dxa"/>
            </w:tcMar>
          </w:tcPr>
          <w:p w14:paraId="698F1026" w14:textId="77777777" w:rsidR="002211F8" w:rsidRPr="00F23386" w:rsidRDefault="002211F8" w:rsidP="00B87181">
            <w:pPr>
              <w:pStyle w:val="BodyA"/>
              <w:jc w:val="center"/>
              <w:rPr>
                <w:color w:val="auto"/>
                <w:sz w:val="22"/>
                <w:szCs w:val="22"/>
                <w:u w:color="2F5496"/>
              </w:rPr>
            </w:pPr>
          </w:p>
          <w:p w14:paraId="306B786B"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 xml:space="preserve">0.38 </w:t>
            </w:r>
            <w:r w:rsidRPr="00F23386">
              <w:rPr>
                <w:color w:val="auto"/>
                <w:sz w:val="22"/>
                <w:szCs w:val="22"/>
                <w:u w:color="2F5496"/>
                <w:shd w:val="clear" w:color="auto" w:fill="FFFFFF"/>
              </w:rPr>
              <w:t xml:space="preserve">± </w:t>
            </w:r>
            <w:r w:rsidRPr="00F23386">
              <w:rPr>
                <w:color w:val="auto"/>
                <w:sz w:val="22"/>
                <w:szCs w:val="22"/>
                <w:u w:color="2F5496"/>
              </w:rPr>
              <w:t>0.23</w:t>
            </w:r>
          </w:p>
          <w:p w14:paraId="25F768F4" w14:textId="77777777" w:rsidR="002211F8" w:rsidRPr="00F23386" w:rsidRDefault="002211F8" w:rsidP="00B87181">
            <w:pPr>
              <w:pStyle w:val="BodyA"/>
              <w:jc w:val="center"/>
              <w:rPr>
                <w:color w:val="auto"/>
              </w:rPr>
            </w:pPr>
            <w:r w:rsidRPr="00F23386">
              <w:rPr>
                <w:color w:val="auto"/>
                <w:sz w:val="22"/>
                <w:szCs w:val="22"/>
                <w:u w:color="2F5496"/>
              </w:rPr>
              <w:t>0.1-1.2</w:t>
            </w:r>
          </w:p>
        </w:tc>
        <w:tc>
          <w:tcPr>
            <w:tcW w:w="1694" w:type="dxa"/>
            <w:tcBorders>
              <w:top w:val="nil"/>
              <w:left w:val="nil"/>
              <w:bottom w:val="nil"/>
              <w:right w:val="nil"/>
            </w:tcBorders>
            <w:shd w:val="clear" w:color="auto" w:fill="auto"/>
            <w:tcMar>
              <w:top w:w="80" w:type="dxa"/>
              <w:left w:w="80" w:type="dxa"/>
              <w:bottom w:w="80" w:type="dxa"/>
              <w:right w:w="80" w:type="dxa"/>
            </w:tcMar>
          </w:tcPr>
          <w:p w14:paraId="1F822871" w14:textId="77777777" w:rsidR="002211F8" w:rsidRPr="00F23386" w:rsidRDefault="002211F8" w:rsidP="00B87181">
            <w:pPr>
              <w:pStyle w:val="BodyA"/>
              <w:jc w:val="center"/>
              <w:rPr>
                <w:color w:val="auto"/>
                <w:sz w:val="22"/>
                <w:szCs w:val="22"/>
                <w:u w:color="2F5496"/>
              </w:rPr>
            </w:pPr>
          </w:p>
          <w:p w14:paraId="5F563BAF"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 xml:space="preserve">0.38 </w:t>
            </w:r>
            <w:r w:rsidRPr="00F23386">
              <w:rPr>
                <w:color w:val="auto"/>
                <w:sz w:val="22"/>
                <w:szCs w:val="22"/>
                <w:u w:color="2F5496"/>
                <w:shd w:val="clear" w:color="auto" w:fill="FFFFFF"/>
              </w:rPr>
              <w:t xml:space="preserve">± </w:t>
            </w:r>
            <w:r w:rsidRPr="00F23386">
              <w:rPr>
                <w:color w:val="auto"/>
                <w:sz w:val="22"/>
                <w:szCs w:val="22"/>
                <w:u w:color="2F5496"/>
              </w:rPr>
              <w:t>0.15</w:t>
            </w:r>
          </w:p>
          <w:p w14:paraId="0A3C911A" w14:textId="77777777" w:rsidR="002211F8" w:rsidRPr="00F23386" w:rsidRDefault="002211F8" w:rsidP="00B87181">
            <w:pPr>
              <w:pStyle w:val="BodyA"/>
              <w:jc w:val="center"/>
              <w:rPr>
                <w:color w:val="auto"/>
              </w:rPr>
            </w:pPr>
            <w:r w:rsidRPr="00F23386">
              <w:rPr>
                <w:color w:val="auto"/>
                <w:sz w:val="22"/>
                <w:szCs w:val="22"/>
                <w:u w:color="2F5496"/>
              </w:rPr>
              <w:t>0.2-0.6</w:t>
            </w:r>
          </w:p>
        </w:tc>
        <w:tc>
          <w:tcPr>
            <w:tcW w:w="1695" w:type="dxa"/>
            <w:tcBorders>
              <w:top w:val="nil"/>
              <w:left w:val="nil"/>
              <w:bottom w:val="nil"/>
              <w:right w:val="nil"/>
            </w:tcBorders>
            <w:shd w:val="clear" w:color="auto" w:fill="auto"/>
            <w:tcMar>
              <w:top w:w="80" w:type="dxa"/>
              <w:left w:w="80" w:type="dxa"/>
              <w:bottom w:w="80" w:type="dxa"/>
              <w:right w:w="80" w:type="dxa"/>
            </w:tcMar>
          </w:tcPr>
          <w:p w14:paraId="509754D5" w14:textId="77777777" w:rsidR="002211F8" w:rsidRPr="00F23386" w:rsidRDefault="002211F8" w:rsidP="00B87181">
            <w:pPr>
              <w:pStyle w:val="BodyA"/>
              <w:jc w:val="center"/>
              <w:rPr>
                <w:i/>
                <w:iCs/>
                <w:color w:val="auto"/>
                <w:sz w:val="22"/>
                <w:szCs w:val="22"/>
                <w:u w:color="2F5496"/>
              </w:rPr>
            </w:pPr>
          </w:p>
          <w:p w14:paraId="589E46AB" w14:textId="77777777" w:rsidR="002211F8" w:rsidRPr="00F23386" w:rsidRDefault="002211F8" w:rsidP="00B87181">
            <w:pPr>
              <w:pStyle w:val="BodyA"/>
              <w:jc w:val="center"/>
              <w:rPr>
                <w:color w:val="auto"/>
              </w:rPr>
            </w:pPr>
            <w:r w:rsidRPr="00F23386">
              <w:rPr>
                <w:color w:val="auto"/>
                <w:sz w:val="22"/>
                <w:szCs w:val="22"/>
                <w:u w:color="2F5496"/>
              </w:rPr>
              <w:t>0.48*</w:t>
            </w:r>
          </w:p>
        </w:tc>
      </w:tr>
      <w:tr w:rsidR="002211F8" w:rsidRPr="00F23386" w14:paraId="417DA899" w14:textId="77777777" w:rsidTr="00B87181">
        <w:trPr>
          <w:trHeight w:val="500"/>
        </w:trPr>
        <w:tc>
          <w:tcPr>
            <w:tcW w:w="3939" w:type="dxa"/>
            <w:tcBorders>
              <w:top w:val="nil"/>
              <w:left w:val="nil"/>
              <w:bottom w:val="nil"/>
              <w:right w:val="nil"/>
            </w:tcBorders>
            <w:shd w:val="clear" w:color="auto" w:fill="auto"/>
            <w:tcMar>
              <w:top w:w="80" w:type="dxa"/>
              <w:left w:w="80" w:type="dxa"/>
              <w:bottom w:w="80" w:type="dxa"/>
              <w:right w:w="80" w:type="dxa"/>
            </w:tcMar>
          </w:tcPr>
          <w:p w14:paraId="5998518F" w14:textId="77777777" w:rsidR="002211F8" w:rsidRPr="00F23386" w:rsidRDefault="002211F8" w:rsidP="00B87181">
            <w:pPr>
              <w:pStyle w:val="BodyA"/>
              <w:rPr>
                <w:color w:val="auto"/>
                <w:sz w:val="22"/>
                <w:szCs w:val="22"/>
                <w:u w:color="2F5496"/>
              </w:rPr>
            </w:pPr>
            <w:r w:rsidRPr="00F23386">
              <w:rPr>
                <w:color w:val="auto"/>
                <w:sz w:val="22"/>
                <w:szCs w:val="22"/>
                <w:u w:color="2F5496"/>
              </w:rPr>
              <w:t xml:space="preserve">Spherical equivalent pre op </w:t>
            </w:r>
          </w:p>
          <w:p w14:paraId="437DC2CD" w14:textId="77777777" w:rsidR="002211F8" w:rsidRPr="00F23386" w:rsidRDefault="002211F8" w:rsidP="00B87181">
            <w:pPr>
              <w:pStyle w:val="BodyA"/>
              <w:rPr>
                <w:color w:val="auto"/>
              </w:rPr>
            </w:pPr>
            <w:r w:rsidRPr="00F23386">
              <w:rPr>
                <w:color w:val="auto"/>
                <w:sz w:val="22"/>
                <w:szCs w:val="22"/>
                <w:u w:color="2F5496"/>
              </w:rPr>
              <w:t>(mean ± SD)</w:t>
            </w:r>
          </w:p>
        </w:tc>
        <w:tc>
          <w:tcPr>
            <w:tcW w:w="1692" w:type="dxa"/>
            <w:tcBorders>
              <w:top w:val="nil"/>
              <w:left w:val="nil"/>
              <w:bottom w:val="nil"/>
              <w:right w:val="nil"/>
            </w:tcBorders>
            <w:shd w:val="clear" w:color="auto" w:fill="auto"/>
            <w:tcMar>
              <w:top w:w="80" w:type="dxa"/>
              <w:left w:w="80" w:type="dxa"/>
              <w:bottom w:w="80" w:type="dxa"/>
              <w:right w:w="80" w:type="dxa"/>
            </w:tcMar>
          </w:tcPr>
          <w:p w14:paraId="4AA702DF" w14:textId="77777777" w:rsidR="002211F8" w:rsidRPr="00F23386" w:rsidRDefault="002211F8" w:rsidP="00B87181">
            <w:pPr>
              <w:pStyle w:val="BodyA"/>
              <w:jc w:val="center"/>
              <w:rPr>
                <w:color w:val="auto"/>
                <w:sz w:val="22"/>
                <w:szCs w:val="22"/>
                <w:u w:color="2F5496"/>
              </w:rPr>
            </w:pPr>
          </w:p>
          <w:p w14:paraId="0425FB09" w14:textId="77777777" w:rsidR="002211F8" w:rsidRPr="00F23386" w:rsidRDefault="002211F8" w:rsidP="00B87181">
            <w:pPr>
              <w:pStyle w:val="BodyA"/>
              <w:jc w:val="center"/>
              <w:rPr>
                <w:color w:val="auto"/>
              </w:rPr>
            </w:pPr>
            <w:r w:rsidRPr="00F23386">
              <w:rPr>
                <w:color w:val="auto"/>
                <w:sz w:val="22"/>
                <w:szCs w:val="22"/>
                <w:u w:color="2F5496"/>
              </w:rPr>
              <w:t>-0.65 ± 5.65</w:t>
            </w:r>
          </w:p>
        </w:tc>
        <w:tc>
          <w:tcPr>
            <w:tcW w:w="1694" w:type="dxa"/>
            <w:tcBorders>
              <w:top w:val="nil"/>
              <w:left w:val="nil"/>
              <w:bottom w:val="nil"/>
              <w:right w:val="nil"/>
            </w:tcBorders>
            <w:shd w:val="clear" w:color="auto" w:fill="auto"/>
            <w:tcMar>
              <w:top w:w="80" w:type="dxa"/>
              <w:left w:w="80" w:type="dxa"/>
              <w:bottom w:w="80" w:type="dxa"/>
              <w:right w:w="80" w:type="dxa"/>
            </w:tcMar>
          </w:tcPr>
          <w:p w14:paraId="401C2977" w14:textId="77777777" w:rsidR="002211F8" w:rsidRPr="00F23386" w:rsidRDefault="002211F8" w:rsidP="00B87181">
            <w:pPr>
              <w:pStyle w:val="BodyA"/>
              <w:jc w:val="center"/>
              <w:rPr>
                <w:color w:val="auto"/>
                <w:sz w:val="22"/>
                <w:szCs w:val="22"/>
                <w:u w:color="2F5496"/>
              </w:rPr>
            </w:pPr>
          </w:p>
          <w:p w14:paraId="136F7F9E" w14:textId="77777777" w:rsidR="002211F8" w:rsidRPr="00F23386" w:rsidRDefault="002211F8" w:rsidP="00B87181">
            <w:pPr>
              <w:pStyle w:val="BodyA"/>
              <w:jc w:val="center"/>
              <w:rPr>
                <w:color w:val="auto"/>
              </w:rPr>
            </w:pPr>
            <w:r w:rsidRPr="00F23386">
              <w:rPr>
                <w:color w:val="auto"/>
                <w:sz w:val="22"/>
                <w:szCs w:val="22"/>
                <w:u w:color="2F5496"/>
              </w:rPr>
              <w:t>0.89 ± 2.6</w:t>
            </w:r>
          </w:p>
        </w:tc>
        <w:tc>
          <w:tcPr>
            <w:tcW w:w="1695" w:type="dxa"/>
            <w:tcBorders>
              <w:top w:val="nil"/>
              <w:left w:val="nil"/>
              <w:bottom w:val="nil"/>
              <w:right w:val="nil"/>
            </w:tcBorders>
            <w:shd w:val="clear" w:color="auto" w:fill="auto"/>
            <w:tcMar>
              <w:top w:w="80" w:type="dxa"/>
              <w:left w:w="80" w:type="dxa"/>
              <w:bottom w:w="80" w:type="dxa"/>
              <w:right w:w="80" w:type="dxa"/>
            </w:tcMar>
          </w:tcPr>
          <w:p w14:paraId="377F8B85" w14:textId="77777777" w:rsidR="002211F8" w:rsidRPr="00F23386" w:rsidRDefault="002211F8" w:rsidP="00B87181">
            <w:pPr>
              <w:pStyle w:val="BodyA"/>
              <w:jc w:val="center"/>
              <w:rPr>
                <w:i/>
                <w:iCs/>
                <w:color w:val="auto"/>
                <w:sz w:val="22"/>
                <w:szCs w:val="22"/>
                <w:u w:color="2F5496"/>
              </w:rPr>
            </w:pPr>
          </w:p>
          <w:p w14:paraId="33182CDB" w14:textId="77777777" w:rsidR="002211F8" w:rsidRPr="00F23386" w:rsidRDefault="002211F8" w:rsidP="00B87181">
            <w:pPr>
              <w:pStyle w:val="BodyA"/>
              <w:jc w:val="center"/>
              <w:rPr>
                <w:color w:val="auto"/>
              </w:rPr>
            </w:pPr>
            <w:r w:rsidRPr="00F23386">
              <w:rPr>
                <w:color w:val="auto"/>
                <w:sz w:val="22"/>
                <w:szCs w:val="22"/>
                <w:u w:color="2F5496"/>
              </w:rPr>
              <w:t>0.29*</w:t>
            </w:r>
          </w:p>
        </w:tc>
      </w:tr>
      <w:tr w:rsidR="002211F8" w:rsidRPr="00F23386" w14:paraId="1960360F" w14:textId="77777777" w:rsidTr="00B87181">
        <w:trPr>
          <w:trHeight w:val="1200"/>
        </w:trPr>
        <w:tc>
          <w:tcPr>
            <w:tcW w:w="3939" w:type="dxa"/>
            <w:tcBorders>
              <w:top w:val="nil"/>
              <w:left w:val="nil"/>
              <w:bottom w:val="nil"/>
              <w:right w:val="nil"/>
            </w:tcBorders>
            <w:shd w:val="clear" w:color="auto" w:fill="auto"/>
            <w:tcMar>
              <w:top w:w="80" w:type="dxa"/>
              <w:left w:w="80" w:type="dxa"/>
              <w:bottom w:w="80" w:type="dxa"/>
              <w:right w:w="80" w:type="dxa"/>
            </w:tcMar>
          </w:tcPr>
          <w:p w14:paraId="0CB9C3A9" w14:textId="77777777" w:rsidR="002211F8" w:rsidRPr="00F23386" w:rsidRDefault="002211F8" w:rsidP="00B87181">
            <w:pPr>
              <w:pStyle w:val="NormalWeb"/>
              <w:spacing w:before="0" w:after="0"/>
              <w:rPr>
                <w:rFonts w:ascii="Calibri" w:eastAsia="Calibri" w:hAnsi="Calibri" w:cs="Calibri"/>
                <w:sz w:val="22"/>
                <w:szCs w:val="22"/>
                <w:u w:color="2F5496"/>
              </w:rPr>
            </w:pPr>
            <w:r w:rsidRPr="00F23386">
              <w:rPr>
                <w:rFonts w:ascii="Calibri" w:eastAsia="Calibri" w:hAnsi="Calibri" w:cs="Calibri"/>
                <w:sz w:val="22"/>
                <w:szCs w:val="22"/>
                <w:u w:color="2F5496"/>
              </w:rPr>
              <w:t>Surgery</w:t>
            </w:r>
          </w:p>
          <w:p w14:paraId="4D93E836" w14:textId="77777777" w:rsidR="002211F8" w:rsidRPr="00F23386" w:rsidRDefault="002211F8" w:rsidP="00B87181">
            <w:pPr>
              <w:pStyle w:val="NormalWeb"/>
              <w:spacing w:before="0" w:after="0"/>
              <w:ind w:left="540"/>
              <w:rPr>
                <w:rFonts w:ascii="Calibri" w:eastAsia="Calibri" w:hAnsi="Calibri" w:cs="Calibri"/>
                <w:sz w:val="22"/>
                <w:szCs w:val="22"/>
                <w:u w:color="2F5496"/>
              </w:rPr>
            </w:pPr>
            <w:r w:rsidRPr="00F23386">
              <w:rPr>
                <w:rFonts w:ascii="Calibri" w:eastAsia="Calibri" w:hAnsi="Calibri" w:cs="Calibri"/>
                <w:sz w:val="22"/>
                <w:szCs w:val="22"/>
                <w:u w:color="2F5496"/>
              </w:rPr>
              <w:t xml:space="preserve">Combined </w:t>
            </w:r>
            <w:proofErr w:type="spellStart"/>
            <w:r w:rsidRPr="00F23386">
              <w:rPr>
                <w:rFonts w:ascii="Calibri" w:eastAsia="Calibri" w:hAnsi="Calibri" w:cs="Calibri"/>
                <w:sz w:val="22"/>
                <w:szCs w:val="22"/>
                <w:u w:color="2F5496"/>
              </w:rPr>
              <w:t>Phaco</w:t>
            </w:r>
            <w:proofErr w:type="spellEnd"/>
            <w:r w:rsidRPr="00F23386">
              <w:rPr>
                <w:rFonts w:ascii="Calibri" w:eastAsia="Calibri" w:hAnsi="Calibri" w:cs="Calibri"/>
                <w:sz w:val="22"/>
                <w:szCs w:val="22"/>
                <w:u w:color="2F5496"/>
              </w:rPr>
              <w:t>- EK</w:t>
            </w:r>
          </w:p>
          <w:p w14:paraId="3E4033D6" w14:textId="77777777" w:rsidR="002211F8" w:rsidRPr="00F23386" w:rsidRDefault="002211F8" w:rsidP="00B87181">
            <w:pPr>
              <w:pStyle w:val="NormalWeb"/>
              <w:spacing w:before="0" w:after="0"/>
              <w:ind w:left="540"/>
            </w:pPr>
            <w:r w:rsidRPr="00F23386">
              <w:rPr>
                <w:rFonts w:ascii="Calibri" w:eastAsia="Calibri" w:hAnsi="Calibri" w:cs="Calibri"/>
                <w:sz w:val="22"/>
                <w:szCs w:val="22"/>
                <w:u w:color="2F5496"/>
              </w:rPr>
              <w:t>Endothelial Keratoplasty alone</w:t>
            </w:r>
          </w:p>
        </w:tc>
        <w:tc>
          <w:tcPr>
            <w:tcW w:w="1692" w:type="dxa"/>
            <w:tcBorders>
              <w:top w:val="nil"/>
              <w:left w:val="nil"/>
              <w:bottom w:val="nil"/>
              <w:right w:val="nil"/>
            </w:tcBorders>
            <w:shd w:val="clear" w:color="auto" w:fill="auto"/>
            <w:tcMar>
              <w:top w:w="80" w:type="dxa"/>
              <w:left w:w="80" w:type="dxa"/>
              <w:bottom w:w="80" w:type="dxa"/>
              <w:right w:w="80" w:type="dxa"/>
            </w:tcMar>
          </w:tcPr>
          <w:p w14:paraId="401178E0" w14:textId="77777777" w:rsidR="002211F8" w:rsidRPr="00F23386" w:rsidRDefault="002211F8" w:rsidP="00B87181">
            <w:pPr>
              <w:pStyle w:val="BodyA"/>
              <w:jc w:val="center"/>
              <w:rPr>
                <w:color w:val="auto"/>
                <w:sz w:val="22"/>
                <w:szCs w:val="22"/>
                <w:u w:color="2F5496"/>
              </w:rPr>
            </w:pPr>
          </w:p>
          <w:p w14:paraId="795704EF"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20 (71%)</w:t>
            </w:r>
          </w:p>
          <w:p w14:paraId="1A6543AE" w14:textId="77777777" w:rsidR="002211F8" w:rsidRPr="00F23386" w:rsidRDefault="002211F8" w:rsidP="00B87181">
            <w:pPr>
              <w:pStyle w:val="BodyA"/>
              <w:jc w:val="center"/>
              <w:rPr>
                <w:color w:val="auto"/>
              </w:rPr>
            </w:pPr>
            <w:r w:rsidRPr="00F23386">
              <w:rPr>
                <w:color w:val="auto"/>
                <w:sz w:val="22"/>
                <w:szCs w:val="22"/>
                <w:u w:color="2F5496"/>
              </w:rPr>
              <w:t>8</w:t>
            </w:r>
          </w:p>
        </w:tc>
        <w:tc>
          <w:tcPr>
            <w:tcW w:w="1694" w:type="dxa"/>
            <w:tcBorders>
              <w:top w:val="nil"/>
              <w:left w:val="nil"/>
              <w:bottom w:val="nil"/>
              <w:right w:val="nil"/>
            </w:tcBorders>
            <w:shd w:val="clear" w:color="auto" w:fill="auto"/>
            <w:tcMar>
              <w:top w:w="80" w:type="dxa"/>
              <w:left w:w="80" w:type="dxa"/>
              <w:bottom w:w="80" w:type="dxa"/>
              <w:right w:w="80" w:type="dxa"/>
            </w:tcMar>
          </w:tcPr>
          <w:p w14:paraId="39E2319E" w14:textId="77777777" w:rsidR="002211F8" w:rsidRPr="00F23386" w:rsidRDefault="002211F8" w:rsidP="00B87181">
            <w:pPr>
              <w:pStyle w:val="BodyA"/>
              <w:jc w:val="center"/>
              <w:rPr>
                <w:color w:val="auto"/>
                <w:sz w:val="22"/>
                <w:szCs w:val="22"/>
                <w:u w:color="2F5496"/>
              </w:rPr>
            </w:pPr>
          </w:p>
          <w:p w14:paraId="35965836"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24 (86%)</w:t>
            </w:r>
          </w:p>
          <w:p w14:paraId="63C2D2FA" w14:textId="77777777" w:rsidR="002211F8" w:rsidRPr="00F23386" w:rsidRDefault="002211F8" w:rsidP="00B87181">
            <w:pPr>
              <w:pStyle w:val="BodyA"/>
              <w:jc w:val="center"/>
              <w:rPr>
                <w:color w:val="auto"/>
              </w:rPr>
            </w:pPr>
            <w:r w:rsidRPr="00F23386">
              <w:rPr>
                <w:color w:val="auto"/>
                <w:sz w:val="22"/>
                <w:szCs w:val="22"/>
                <w:u w:color="2F5496"/>
              </w:rPr>
              <w:t>4</w:t>
            </w:r>
          </w:p>
        </w:tc>
        <w:tc>
          <w:tcPr>
            <w:tcW w:w="1695" w:type="dxa"/>
            <w:tcBorders>
              <w:top w:val="nil"/>
              <w:left w:val="nil"/>
              <w:bottom w:val="nil"/>
              <w:right w:val="nil"/>
            </w:tcBorders>
            <w:shd w:val="clear" w:color="auto" w:fill="auto"/>
            <w:tcMar>
              <w:top w:w="80" w:type="dxa"/>
              <w:left w:w="80" w:type="dxa"/>
              <w:bottom w:w="80" w:type="dxa"/>
              <w:right w:w="80" w:type="dxa"/>
            </w:tcMar>
          </w:tcPr>
          <w:p w14:paraId="4424A5F9" w14:textId="77777777" w:rsidR="002211F8" w:rsidRPr="00F23386" w:rsidRDefault="002211F8" w:rsidP="00B87181">
            <w:pPr>
              <w:pStyle w:val="BodyA"/>
              <w:jc w:val="center"/>
              <w:rPr>
                <w:i/>
                <w:iCs/>
                <w:color w:val="auto"/>
                <w:sz w:val="22"/>
                <w:szCs w:val="22"/>
                <w:u w:color="2F5496"/>
              </w:rPr>
            </w:pPr>
          </w:p>
          <w:p w14:paraId="4D00238A" w14:textId="77777777" w:rsidR="002211F8" w:rsidRPr="00F23386" w:rsidRDefault="002211F8" w:rsidP="00B87181">
            <w:pPr>
              <w:pStyle w:val="BodyA"/>
              <w:jc w:val="center"/>
              <w:rPr>
                <w:color w:val="auto"/>
              </w:rPr>
            </w:pPr>
            <w:r w:rsidRPr="00F23386">
              <w:rPr>
                <w:color w:val="auto"/>
                <w:sz w:val="22"/>
                <w:szCs w:val="22"/>
                <w:u w:color="2F5496"/>
              </w:rPr>
              <w:t>0.19~</w:t>
            </w:r>
          </w:p>
        </w:tc>
      </w:tr>
      <w:tr w:rsidR="002211F8" w:rsidRPr="00F23386" w14:paraId="686A03A8" w14:textId="77777777" w:rsidTr="00B87181">
        <w:trPr>
          <w:trHeight w:val="310"/>
        </w:trPr>
        <w:tc>
          <w:tcPr>
            <w:tcW w:w="3939" w:type="dxa"/>
            <w:tcBorders>
              <w:top w:val="nil"/>
              <w:left w:val="nil"/>
              <w:bottom w:val="nil"/>
              <w:right w:val="nil"/>
            </w:tcBorders>
            <w:shd w:val="clear" w:color="auto" w:fill="auto"/>
            <w:tcMar>
              <w:top w:w="80" w:type="dxa"/>
              <w:left w:w="80" w:type="dxa"/>
              <w:bottom w:w="80" w:type="dxa"/>
              <w:right w:w="80" w:type="dxa"/>
            </w:tcMar>
          </w:tcPr>
          <w:p w14:paraId="1B069785" w14:textId="77777777" w:rsidR="002211F8" w:rsidRPr="00F23386" w:rsidRDefault="002211F8" w:rsidP="00B87181"/>
        </w:tc>
        <w:tc>
          <w:tcPr>
            <w:tcW w:w="1692" w:type="dxa"/>
            <w:tcBorders>
              <w:top w:val="nil"/>
              <w:left w:val="nil"/>
              <w:bottom w:val="nil"/>
              <w:right w:val="nil"/>
            </w:tcBorders>
            <w:shd w:val="clear" w:color="auto" w:fill="auto"/>
            <w:tcMar>
              <w:top w:w="80" w:type="dxa"/>
              <w:left w:w="80" w:type="dxa"/>
              <w:bottom w:w="80" w:type="dxa"/>
              <w:right w:w="80" w:type="dxa"/>
            </w:tcMar>
          </w:tcPr>
          <w:p w14:paraId="66EF9A63" w14:textId="77777777" w:rsidR="002211F8" w:rsidRPr="00F23386" w:rsidRDefault="002211F8" w:rsidP="00B87181"/>
        </w:tc>
        <w:tc>
          <w:tcPr>
            <w:tcW w:w="1694" w:type="dxa"/>
            <w:tcBorders>
              <w:top w:val="nil"/>
              <w:left w:val="nil"/>
              <w:bottom w:val="nil"/>
              <w:right w:val="nil"/>
            </w:tcBorders>
            <w:shd w:val="clear" w:color="auto" w:fill="auto"/>
            <w:tcMar>
              <w:top w:w="80" w:type="dxa"/>
              <w:left w:w="80" w:type="dxa"/>
              <w:bottom w:w="80" w:type="dxa"/>
              <w:right w:w="80" w:type="dxa"/>
            </w:tcMar>
          </w:tcPr>
          <w:p w14:paraId="1102B656" w14:textId="77777777" w:rsidR="002211F8" w:rsidRPr="00F23386" w:rsidRDefault="002211F8" w:rsidP="00B87181"/>
        </w:tc>
        <w:tc>
          <w:tcPr>
            <w:tcW w:w="1695" w:type="dxa"/>
            <w:tcBorders>
              <w:top w:val="nil"/>
              <w:left w:val="nil"/>
              <w:bottom w:val="nil"/>
              <w:right w:val="nil"/>
            </w:tcBorders>
            <w:shd w:val="clear" w:color="auto" w:fill="auto"/>
            <w:tcMar>
              <w:top w:w="80" w:type="dxa"/>
              <w:left w:w="80" w:type="dxa"/>
              <w:bottom w:w="80" w:type="dxa"/>
              <w:right w:w="80" w:type="dxa"/>
            </w:tcMar>
          </w:tcPr>
          <w:p w14:paraId="3019CA13" w14:textId="77777777" w:rsidR="002211F8" w:rsidRPr="00F23386" w:rsidRDefault="002211F8" w:rsidP="00B87181"/>
        </w:tc>
      </w:tr>
      <w:tr w:rsidR="002211F8" w:rsidRPr="00F23386" w14:paraId="4ADD1A3C" w14:textId="77777777" w:rsidTr="00B87181">
        <w:trPr>
          <w:trHeight w:val="310"/>
        </w:trPr>
        <w:tc>
          <w:tcPr>
            <w:tcW w:w="3939" w:type="dxa"/>
            <w:tcBorders>
              <w:top w:val="nil"/>
              <w:left w:val="nil"/>
              <w:bottom w:val="nil"/>
              <w:right w:val="nil"/>
            </w:tcBorders>
            <w:shd w:val="clear" w:color="auto" w:fill="auto"/>
            <w:tcMar>
              <w:top w:w="80" w:type="dxa"/>
              <w:left w:w="80" w:type="dxa"/>
              <w:bottom w:w="80" w:type="dxa"/>
              <w:right w:w="80" w:type="dxa"/>
            </w:tcMar>
          </w:tcPr>
          <w:p w14:paraId="461B2C2E" w14:textId="77777777" w:rsidR="002211F8" w:rsidRPr="00F23386" w:rsidRDefault="002211F8" w:rsidP="00B87181">
            <w:pPr>
              <w:pStyle w:val="BodyA"/>
              <w:rPr>
                <w:color w:val="auto"/>
              </w:rPr>
            </w:pPr>
            <w:r w:rsidRPr="00F23386">
              <w:rPr>
                <w:b/>
                <w:bCs/>
                <w:color w:val="auto"/>
                <w:sz w:val="22"/>
                <w:szCs w:val="22"/>
                <w:u w:val="single" w:color="2F5496"/>
              </w:rPr>
              <w:t>Donor Characteristics</w:t>
            </w:r>
          </w:p>
        </w:tc>
        <w:tc>
          <w:tcPr>
            <w:tcW w:w="1692" w:type="dxa"/>
            <w:tcBorders>
              <w:top w:val="nil"/>
              <w:left w:val="nil"/>
              <w:bottom w:val="nil"/>
              <w:right w:val="nil"/>
            </w:tcBorders>
            <w:shd w:val="clear" w:color="auto" w:fill="auto"/>
            <w:tcMar>
              <w:top w:w="80" w:type="dxa"/>
              <w:left w:w="80" w:type="dxa"/>
              <w:bottom w:w="80" w:type="dxa"/>
              <w:right w:w="80" w:type="dxa"/>
            </w:tcMar>
          </w:tcPr>
          <w:p w14:paraId="1B7ACCFC" w14:textId="77777777" w:rsidR="002211F8" w:rsidRPr="00F23386" w:rsidRDefault="002211F8" w:rsidP="00B87181"/>
        </w:tc>
        <w:tc>
          <w:tcPr>
            <w:tcW w:w="1694" w:type="dxa"/>
            <w:tcBorders>
              <w:top w:val="nil"/>
              <w:left w:val="nil"/>
              <w:bottom w:val="nil"/>
              <w:right w:val="nil"/>
            </w:tcBorders>
            <w:shd w:val="clear" w:color="auto" w:fill="auto"/>
            <w:tcMar>
              <w:top w:w="80" w:type="dxa"/>
              <w:left w:w="80" w:type="dxa"/>
              <w:bottom w:w="80" w:type="dxa"/>
              <w:right w:w="80" w:type="dxa"/>
            </w:tcMar>
          </w:tcPr>
          <w:p w14:paraId="5116A514" w14:textId="77777777" w:rsidR="002211F8" w:rsidRPr="00F23386" w:rsidRDefault="002211F8" w:rsidP="00B87181"/>
        </w:tc>
        <w:tc>
          <w:tcPr>
            <w:tcW w:w="1695" w:type="dxa"/>
            <w:tcBorders>
              <w:top w:val="nil"/>
              <w:left w:val="nil"/>
              <w:bottom w:val="nil"/>
              <w:right w:val="nil"/>
            </w:tcBorders>
            <w:shd w:val="clear" w:color="auto" w:fill="auto"/>
            <w:tcMar>
              <w:top w:w="80" w:type="dxa"/>
              <w:left w:w="80" w:type="dxa"/>
              <w:bottom w:w="80" w:type="dxa"/>
              <w:right w:w="80" w:type="dxa"/>
            </w:tcMar>
          </w:tcPr>
          <w:p w14:paraId="6CC7DFAE" w14:textId="77777777" w:rsidR="002211F8" w:rsidRPr="00F23386" w:rsidRDefault="002211F8" w:rsidP="00B87181"/>
        </w:tc>
      </w:tr>
      <w:tr w:rsidR="002211F8" w:rsidRPr="00F23386" w14:paraId="282C901B" w14:textId="77777777" w:rsidTr="00B87181">
        <w:trPr>
          <w:trHeight w:val="260"/>
        </w:trPr>
        <w:tc>
          <w:tcPr>
            <w:tcW w:w="3939" w:type="dxa"/>
            <w:tcBorders>
              <w:top w:val="nil"/>
              <w:left w:val="nil"/>
              <w:bottom w:val="nil"/>
              <w:right w:val="nil"/>
            </w:tcBorders>
            <w:shd w:val="clear" w:color="auto" w:fill="auto"/>
            <w:tcMar>
              <w:top w:w="80" w:type="dxa"/>
              <w:left w:w="80" w:type="dxa"/>
              <w:bottom w:w="80" w:type="dxa"/>
              <w:right w:w="80" w:type="dxa"/>
            </w:tcMar>
          </w:tcPr>
          <w:p w14:paraId="1F444BBC" w14:textId="77777777" w:rsidR="002211F8" w:rsidRPr="00F23386" w:rsidRDefault="002211F8" w:rsidP="00B87181">
            <w:pPr>
              <w:pStyle w:val="BodyA"/>
              <w:rPr>
                <w:color w:val="auto"/>
              </w:rPr>
            </w:pPr>
            <w:r w:rsidRPr="00F23386">
              <w:rPr>
                <w:color w:val="auto"/>
                <w:sz w:val="22"/>
                <w:szCs w:val="22"/>
                <w:u w:color="2F5496"/>
              </w:rPr>
              <w:t>Age of donor (±SD)</w:t>
            </w:r>
          </w:p>
        </w:tc>
        <w:tc>
          <w:tcPr>
            <w:tcW w:w="1692" w:type="dxa"/>
            <w:tcBorders>
              <w:top w:val="nil"/>
              <w:left w:val="nil"/>
              <w:bottom w:val="nil"/>
              <w:right w:val="nil"/>
            </w:tcBorders>
            <w:shd w:val="clear" w:color="auto" w:fill="auto"/>
            <w:tcMar>
              <w:top w:w="80" w:type="dxa"/>
              <w:left w:w="80" w:type="dxa"/>
              <w:bottom w:w="80" w:type="dxa"/>
              <w:right w:w="80" w:type="dxa"/>
            </w:tcMar>
          </w:tcPr>
          <w:p w14:paraId="1A1A4045" w14:textId="77777777" w:rsidR="002211F8" w:rsidRPr="00F23386" w:rsidRDefault="002211F8" w:rsidP="00B87181">
            <w:pPr>
              <w:pStyle w:val="BodyA"/>
              <w:jc w:val="center"/>
              <w:rPr>
                <w:color w:val="auto"/>
              </w:rPr>
            </w:pPr>
            <w:r w:rsidRPr="00F23386">
              <w:rPr>
                <w:color w:val="auto"/>
                <w:sz w:val="22"/>
                <w:szCs w:val="22"/>
                <w:u w:color="2F5496"/>
              </w:rPr>
              <w:t>68 (±10)</w:t>
            </w:r>
          </w:p>
        </w:tc>
        <w:tc>
          <w:tcPr>
            <w:tcW w:w="1694" w:type="dxa"/>
            <w:tcBorders>
              <w:top w:val="nil"/>
              <w:left w:val="nil"/>
              <w:bottom w:val="nil"/>
              <w:right w:val="nil"/>
            </w:tcBorders>
            <w:shd w:val="clear" w:color="auto" w:fill="auto"/>
            <w:tcMar>
              <w:top w:w="80" w:type="dxa"/>
              <w:left w:w="80" w:type="dxa"/>
              <w:bottom w:w="80" w:type="dxa"/>
              <w:right w:w="80" w:type="dxa"/>
            </w:tcMar>
          </w:tcPr>
          <w:p w14:paraId="7C2049CA" w14:textId="77777777" w:rsidR="002211F8" w:rsidRPr="00F23386" w:rsidRDefault="002211F8" w:rsidP="00B87181">
            <w:pPr>
              <w:pStyle w:val="BodyA"/>
              <w:jc w:val="center"/>
              <w:rPr>
                <w:color w:val="auto"/>
              </w:rPr>
            </w:pPr>
            <w:r w:rsidRPr="00F23386">
              <w:rPr>
                <w:color w:val="auto"/>
                <w:sz w:val="22"/>
                <w:szCs w:val="22"/>
                <w:u w:color="2F5496"/>
              </w:rPr>
              <w:t>69 (±6.8)</w:t>
            </w:r>
          </w:p>
        </w:tc>
        <w:tc>
          <w:tcPr>
            <w:tcW w:w="1695" w:type="dxa"/>
            <w:tcBorders>
              <w:top w:val="nil"/>
              <w:left w:val="nil"/>
              <w:bottom w:val="nil"/>
              <w:right w:val="nil"/>
            </w:tcBorders>
            <w:shd w:val="clear" w:color="auto" w:fill="auto"/>
            <w:tcMar>
              <w:top w:w="80" w:type="dxa"/>
              <w:left w:w="80" w:type="dxa"/>
              <w:bottom w:w="80" w:type="dxa"/>
              <w:right w:w="80" w:type="dxa"/>
            </w:tcMar>
          </w:tcPr>
          <w:p w14:paraId="7DBBC975" w14:textId="77777777" w:rsidR="002211F8" w:rsidRPr="00F23386" w:rsidRDefault="002211F8" w:rsidP="00B87181">
            <w:pPr>
              <w:pStyle w:val="BodyA"/>
              <w:jc w:val="center"/>
              <w:rPr>
                <w:color w:val="auto"/>
              </w:rPr>
            </w:pPr>
            <w:r w:rsidRPr="00F23386">
              <w:rPr>
                <w:color w:val="auto"/>
                <w:sz w:val="22"/>
                <w:szCs w:val="22"/>
                <w:u w:color="2F5496"/>
              </w:rPr>
              <w:t>0.9^</w:t>
            </w:r>
          </w:p>
        </w:tc>
      </w:tr>
      <w:tr w:rsidR="002211F8" w:rsidRPr="00F23386" w14:paraId="7B4A795C" w14:textId="77777777" w:rsidTr="00B87181">
        <w:trPr>
          <w:trHeight w:val="980"/>
        </w:trPr>
        <w:tc>
          <w:tcPr>
            <w:tcW w:w="3939" w:type="dxa"/>
            <w:tcBorders>
              <w:top w:val="nil"/>
              <w:left w:val="nil"/>
              <w:bottom w:val="nil"/>
              <w:right w:val="nil"/>
            </w:tcBorders>
            <w:shd w:val="clear" w:color="auto" w:fill="auto"/>
            <w:tcMar>
              <w:top w:w="80" w:type="dxa"/>
              <w:left w:w="80" w:type="dxa"/>
              <w:bottom w:w="80" w:type="dxa"/>
              <w:right w:w="80" w:type="dxa"/>
            </w:tcMar>
          </w:tcPr>
          <w:p w14:paraId="50A1265D" w14:textId="77777777" w:rsidR="002211F8" w:rsidRPr="00F23386" w:rsidRDefault="002211F8" w:rsidP="00B87181">
            <w:pPr>
              <w:pStyle w:val="BodyA"/>
              <w:rPr>
                <w:color w:val="auto"/>
                <w:sz w:val="22"/>
                <w:szCs w:val="22"/>
                <w:u w:color="2F5496"/>
              </w:rPr>
            </w:pPr>
            <w:r w:rsidRPr="00F23386">
              <w:rPr>
                <w:color w:val="auto"/>
                <w:sz w:val="22"/>
                <w:szCs w:val="22"/>
                <w:u w:color="2F5496"/>
              </w:rPr>
              <w:t>Endothelial Cell count of the graft</w:t>
            </w:r>
          </w:p>
          <w:p w14:paraId="51498D5C" w14:textId="77777777" w:rsidR="002211F8" w:rsidRPr="00F23386" w:rsidRDefault="002211F8" w:rsidP="00B87181">
            <w:pPr>
              <w:pStyle w:val="NormalWeb"/>
              <w:spacing w:before="0" w:after="0"/>
              <w:ind w:left="540"/>
              <w:rPr>
                <w:rFonts w:ascii="Calibri" w:eastAsia="Calibri" w:hAnsi="Calibri" w:cs="Calibri"/>
                <w:sz w:val="22"/>
                <w:szCs w:val="22"/>
                <w:u w:color="2F5496"/>
              </w:rPr>
            </w:pPr>
            <w:r w:rsidRPr="00F23386">
              <w:rPr>
                <w:rFonts w:ascii="Calibri" w:eastAsia="Calibri" w:hAnsi="Calibri" w:cs="Calibri"/>
                <w:sz w:val="22"/>
                <w:szCs w:val="22"/>
                <w:u w:color="2F5496"/>
              </w:rPr>
              <w:t>Mean ± SD</w:t>
            </w:r>
          </w:p>
          <w:p w14:paraId="0DC0D885" w14:textId="77777777" w:rsidR="002211F8" w:rsidRPr="00F23386" w:rsidRDefault="002211F8" w:rsidP="00B87181">
            <w:pPr>
              <w:pStyle w:val="BodyA"/>
              <w:rPr>
                <w:color w:val="auto"/>
              </w:rPr>
            </w:pPr>
            <w:r w:rsidRPr="00F23386">
              <w:rPr>
                <w:color w:val="auto"/>
                <w:sz w:val="22"/>
                <w:szCs w:val="22"/>
                <w:u w:color="2F5496"/>
              </w:rPr>
              <w:t xml:space="preserve">           Range</w:t>
            </w:r>
          </w:p>
        </w:tc>
        <w:tc>
          <w:tcPr>
            <w:tcW w:w="1692" w:type="dxa"/>
            <w:tcBorders>
              <w:top w:val="nil"/>
              <w:left w:val="nil"/>
              <w:bottom w:val="nil"/>
              <w:right w:val="nil"/>
            </w:tcBorders>
            <w:shd w:val="clear" w:color="auto" w:fill="auto"/>
            <w:tcMar>
              <w:top w:w="80" w:type="dxa"/>
              <w:left w:w="80" w:type="dxa"/>
              <w:bottom w:w="80" w:type="dxa"/>
              <w:right w:w="80" w:type="dxa"/>
            </w:tcMar>
          </w:tcPr>
          <w:p w14:paraId="3A3F0E7B" w14:textId="77777777" w:rsidR="002211F8" w:rsidRPr="00F23386" w:rsidRDefault="002211F8" w:rsidP="00B87181">
            <w:pPr>
              <w:pStyle w:val="BodyA"/>
              <w:jc w:val="center"/>
              <w:rPr>
                <w:color w:val="auto"/>
                <w:sz w:val="22"/>
                <w:szCs w:val="22"/>
                <w:u w:color="2F5496"/>
              </w:rPr>
            </w:pPr>
          </w:p>
          <w:p w14:paraId="201B45F3"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 xml:space="preserve">2632 </w:t>
            </w:r>
            <w:r w:rsidRPr="00F23386">
              <w:rPr>
                <w:color w:val="auto"/>
                <w:sz w:val="22"/>
                <w:szCs w:val="22"/>
                <w:u w:color="2F5496"/>
                <w:shd w:val="clear" w:color="auto" w:fill="FFFFFF"/>
              </w:rPr>
              <w:t xml:space="preserve">± </w:t>
            </w:r>
            <w:r w:rsidRPr="00F23386">
              <w:rPr>
                <w:color w:val="auto"/>
                <w:sz w:val="22"/>
                <w:szCs w:val="22"/>
                <w:u w:color="2F5496"/>
              </w:rPr>
              <w:t>160.47</w:t>
            </w:r>
          </w:p>
          <w:p w14:paraId="515736C5" w14:textId="77777777" w:rsidR="002211F8" w:rsidRPr="00F23386" w:rsidRDefault="002211F8" w:rsidP="00B87181">
            <w:pPr>
              <w:pStyle w:val="BodyA"/>
              <w:jc w:val="center"/>
              <w:rPr>
                <w:color w:val="auto"/>
              </w:rPr>
            </w:pPr>
            <w:r w:rsidRPr="00F23386">
              <w:rPr>
                <w:color w:val="auto"/>
                <w:sz w:val="22"/>
                <w:szCs w:val="22"/>
                <w:u w:color="2F5496"/>
              </w:rPr>
              <w:t>2400-3000</w:t>
            </w:r>
          </w:p>
        </w:tc>
        <w:tc>
          <w:tcPr>
            <w:tcW w:w="1694" w:type="dxa"/>
            <w:tcBorders>
              <w:top w:val="nil"/>
              <w:left w:val="nil"/>
              <w:bottom w:val="nil"/>
              <w:right w:val="nil"/>
            </w:tcBorders>
            <w:shd w:val="clear" w:color="auto" w:fill="auto"/>
            <w:tcMar>
              <w:top w:w="80" w:type="dxa"/>
              <w:left w:w="80" w:type="dxa"/>
              <w:bottom w:w="80" w:type="dxa"/>
              <w:right w:w="80" w:type="dxa"/>
            </w:tcMar>
          </w:tcPr>
          <w:p w14:paraId="19DD05F3" w14:textId="77777777" w:rsidR="002211F8" w:rsidRPr="00F23386" w:rsidRDefault="002211F8" w:rsidP="00B87181">
            <w:pPr>
              <w:pStyle w:val="BodyA"/>
              <w:jc w:val="center"/>
              <w:rPr>
                <w:color w:val="auto"/>
                <w:sz w:val="22"/>
                <w:szCs w:val="22"/>
                <w:u w:color="2F5496"/>
              </w:rPr>
            </w:pPr>
          </w:p>
          <w:p w14:paraId="4F3A01B6"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 xml:space="preserve">2682 </w:t>
            </w:r>
            <w:r w:rsidRPr="00F23386">
              <w:rPr>
                <w:color w:val="auto"/>
                <w:sz w:val="22"/>
                <w:szCs w:val="22"/>
                <w:u w:color="2F5496"/>
                <w:shd w:val="clear" w:color="auto" w:fill="FFFFFF"/>
              </w:rPr>
              <w:t xml:space="preserve">± </w:t>
            </w:r>
            <w:r w:rsidRPr="00F23386">
              <w:rPr>
                <w:color w:val="auto"/>
                <w:sz w:val="22"/>
                <w:szCs w:val="22"/>
                <w:u w:color="2F5496"/>
              </w:rPr>
              <w:t>201.42</w:t>
            </w:r>
          </w:p>
          <w:p w14:paraId="7F607310" w14:textId="77777777" w:rsidR="002211F8" w:rsidRPr="00F23386" w:rsidRDefault="002211F8" w:rsidP="00B87181">
            <w:pPr>
              <w:pStyle w:val="BodyA"/>
              <w:jc w:val="center"/>
              <w:rPr>
                <w:color w:val="auto"/>
              </w:rPr>
            </w:pPr>
            <w:r w:rsidRPr="00F23386">
              <w:rPr>
                <w:color w:val="auto"/>
                <w:sz w:val="22"/>
                <w:szCs w:val="22"/>
                <w:u w:color="2F5496"/>
              </w:rPr>
              <w:t>2300-3150</w:t>
            </w:r>
          </w:p>
        </w:tc>
        <w:tc>
          <w:tcPr>
            <w:tcW w:w="1695" w:type="dxa"/>
            <w:tcBorders>
              <w:top w:val="nil"/>
              <w:left w:val="nil"/>
              <w:bottom w:val="nil"/>
              <w:right w:val="nil"/>
            </w:tcBorders>
            <w:shd w:val="clear" w:color="auto" w:fill="auto"/>
            <w:tcMar>
              <w:top w:w="80" w:type="dxa"/>
              <w:left w:w="80" w:type="dxa"/>
              <w:bottom w:w="80" w:type="dxa"/>
              <w:right w:w="80" w:type="dxa"/>
            </w:tcMar>
          </w:tcPr>
          <w:p w14:paraId="322B25BF" w14:textId="77777777" w:rsidR="002211F8" w:rsidRPr="00F23386" w:rsidRDefault="002211F8" w:rsidP="00B87181">
            <w:pPr>
              <w:pStyle w:val="BodyA"/>
              <w:jc w:val="center"/>
              <w:rPr>
                <w:i/>
                <w:iCs/>
                <w:color w:val="auto"/>
                <w:sz w:val="22"/>
                <w:szCs w:val="22"/>
                <w:u w:color="2F5496"/>
              </w:rPr>
            </w:pPr>
          </w:p>
          <w:p w14:paraId="3C53F0D2" w14:textId="77777777" w:rsidR="002211F8" w:rsidRPr="00F23386" w:rsidRDefault="002211F8" w:rsidP="00B87181">
            <w:pPr>
              <w:pStyle w:val="BodyA"/>
              <w:jc w:val="center"/>
              <w:rPr>
                <w:color w:val="auto"/>
              </w:rPr>
            </w:pPr>
            <w:r w:rsidRPr="00F23386">
              <w:rPr>
                <w:color w:val="auto"/>
                <w:sz w:val="22"/>
                <w:szCs w:val="22"/>
                <w:u w:color="2F5496"/>
              </w:rPr>
              <w:t>0.36*</w:t>
            </w:r>
          </w:p>
        </w:tc>
      </w:tr>
      <w:tr w:rsidR="002211F8" w:rsidRPr="00F23386" w14:paraId="67BCFA32" w14:textId="77777777" w:rsidTr="00B87181">
        <w:trPr>
          <w:trHeight w:val="980"/>
        </w:trPr>
        <w:tc>
          <w:tcPr>
            <w:tcW w:w="3939" w:type="dxa"/>
            <w:tcBorders>
              <w:top w:val="nil"/>
              <w:left w:val="nil"/>
              <w:bottom w:val="nil"/>
              <w:right w:val="nil"/>
            </w:tcBorders>
            <w:shd w:val="clear" w:color="auto" w:fill="auto"/>
            <w:tcMar>
              <w:top w:w="80" w:type="dxa"/>
              <w:left w:w="80" w:type="dxa"/>
              <w:bottom w:w="80" w:type="dxa"/>
              <w:right w:w="80" w:type="dxa"/>
            </w:tcMar>
          </w:tcPr>
          <w:p w14:paraId="731EACCA" w14:textId="77777777" w:rsidR="002211F8" w:rsidRPr="00F23386" w:rsidRDefault="002211F8" w:rsidP="00B87181">
            <w:pPr>
              <w:pStyle w:val="BodyA"/>
              <w:rPr>
                <w:color w:val="auto"/>
                <w:sz w:val="22"/>
                <w:szCs w:val="22"/>
                <w:u w:color="2F5496"/>
              </w:rPr>
            </w:pPr>
            <w:r w:rsidRPr="00F23386">
              <w:rPr>
                <w:color w:val="auto"/>
                <w:sz w:val="22"/>
                <w:szCs w:val="22"/>
                <w:u w:color="2F5496"/>
              </w:rPr>
              <w:t>Central Graft Thickness post cut (um)</w:t>
            </w:r>
          </w:p>
          <w:p w14:paraId="7AD7B0A6" w14:textId="77777777" w:rsidR="002211F8" w:rsidRPr="00F23386" w:rsidRDefault="002211F8" w:rsidP="00B87181">
            <w:pPr>
              <w:pStyle w:val="NormalWeb"/>
              <w:spacing w:before="0" w:after="0"/>
              <w:ind w:left="540"/>
              <w:rPr>
                <w:rFonts w:ascii="Calibri" w:eastAsia="Calibri" w:hAnsi="Calibri" w:cs="Calibri"/>
                <w:sz w:val="22"/>
                <w:szCs w:val="22"/>
                <w:u w:color="2F5496"/>
              </w:rPr>
            </w:pPr>
            <w:r w:rsidRPr="00F23386">
              <w:rPr>
                <w:rFonts w:ascii="Calibri" w:eastAsia="Calibri" w:hAnsi="Calibri" w:cs="Calibri"/>
                <w:sz w:val="22"/>
                <w:szCs w:val="22"/>
                <w:u w:color="2F5496"/>
              </w:rPr>
              <w:t xml:space="preserve">Mean ± SD </w:t>
            </w:r>
          </w:p>
          <w:p w14:paraId="3FA0C678" w14:textId="77777777" w:rsidR="002211F8" w:rsidRPr="00F23386" w:rsidRDefault="002211F8" w:rsidP="00B87181">
            <w:pPr>
              <w:pStyle w:val="BodyA"/>
              <w:rPr>
                <w:color w:val="auto"/>
              </w:rPr>
            </w:pPr>
            <w:r w:rsidRPr="00F23386">
              <w:rPr>
                <w:color w:val="auto"/>
                <w:sz w:val="22"/>
                <w:szCs w:val="22"/>
                <w:u w:color="2F5496"/>
              </w:rPr>
              <w:t xml:space="preserve">           Range </w:t>
            </w:r>
          </w:p>
        </w:tc>
        <w:tc>
          <w:tcPr>
            <w:tcW w:w="1692" w:type="dxa"/>
            <w:tcBorders>
              <w:top w:val="nil"/>
              <w:left w:val="nil"/>
              <w:bottom w:val="nil"/>
              <w:right w:val="nil"/>
            </w:tcBorders>
            <w:shd w:val="clear" w:color="auto" w:fill="auto"/>
            <w:tcMar>
              <w:top w:w="80" w:type="dxa"/>
              <w:left w:w="80" w:type="dxa"/>
              <w:bottom w:w="80" w:type="dxa"/>
              <w:right w:w="80" w:type="dxa"/>
            </w:tcMar>
          </w:tcPr>
          <w:p w14:paraId="15EAAE4E" w14:textId="77777777" w:rsidR="002211F8" w:rsidRPr="00F23386" w:rsidRDefault="002211F8" w:rsidP="00B87181">
            <w:pPr>
              <w:pStyle w:val="BodyA"/>
              <w:jc w:val="center"/>
              <w:rPr>
                <w:color w:val="auto"/>
                <w:sz w:val="22"/>
                <w:szCs w:val="22"/>
                <w:u w:color="2F5496"/>
              </w:rPr>
            </w:pPr>
          </w:p>
          <w:p w14:paraId="672DAF77"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 xml:space="preserve">63 </w:t>
            </w:r>
            <w:r w:rsidRPr="00F23386">
              <w:rPr>
                <w:color w:val="auto"/>
                <w:sz w:val="22"/>
                <w:szCs w:val="22"/>
                <w:u w:color="2F5496"/>
                <w:shd w:val="clear" w:color="auto" w:fill="FFFFFF"/>
              </w:rPr>
              <w:t xml:space="preserve">± </w:t>
            </w:r>
            <w:r w:rsidRPr="00F23386">
              <w:rPr>
                <w:color w:val="auto"/>
                <w:sz w:val="22"/>
                <w:szCs w:val="22"/>
                <w:u w:color="2F5496"/>
              </w:rPr>
              <w:t>12.9</w:t>
            </w:r>
          </w:p>
          <w:p w14:paraId="5EB14CDC" w14:textId="77777777" w:rsidR="002211F8" w:rsidRPr="00F23386" w:rsidRDefault="002211F8" w:rsidP="00B87181">
            <w:pPr>
              <w:pStyle w:val="BodyA"/>
              <w:jc w:val="center"/>
              <w:rPr>
                <w:color w:val="auto"/>
              </w:rPr>
            </w:pPr>
            <w:r w:rsidRPr="00F23386">
              <w:rPr>
                <w:color w:val="auto"/>
                <w:sz w:val="22"/>
                <w:szCs w:val="22"/>
                <w:u w:color="2F5496"/>
              </w:rPr>
              <w:t>42-95</w:t>
            </w:r>
          </w:p>
        </w:tc>
        <w:tc>
          <w:tcPr>
            <w:tcW w:w="1694" w:type="dxa"/>
            <w:tcBorders>
              <w:top w:val="nil"/>
              <w:left w:val="nil"/>
              <w:bottom w:val="nil"/>
              <w:right w:val="nil"/>
            </w:tcBorders>
            <w:shd w:val="clear" w:color="auto" w:fill="auto"/>
            <w:tcMar>
              <w:top w:w="80" w:type="dxa"/>
              <w:left w:w="80" w:type="dxa"/>
              <w:bottom w:w="80" w:type="dxa"/>
              <w:right w:w="80" w:type="dxa"/>
            </w:tcMar>
          </w:tcPr>
          <w:p w14:paraId="52DE6B96" w14:textId="77777777" w:rsidR="002211F8" w:rsidRPr="00F23386" w:rsidRDefault="002211F8" w:rsidP="00B87181">
            <w:pPr>
              <w:pStyle w:val="BodyA"/>
              <w:jc w:val="center"/>
              <w:rPr>
                <w:color w:val="auto"/>
                <w:sz w:val="22"/>
                <w:szCs w:val="22"/>
                <w:u w:color="2F5496"/>
              </w:rPr>
            </w:pPr>
          </w:p>
          <w:p w14:paraId="39D24743"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NA</w:t>
            </w:r>
          </w:p>
          <w:p w14:paraId="5304B326" w14:textId="77777777" w:rsidR="002211F8" w:rsidRPr="00F23386" w:rsidRDefault="002211F8" w:rsidP="00B87181">
            <w:pPr>
              <w:pStyle w:val="BodyA"/>
              <w:jc w:val="center"/>
              <w:rPr>
                <w:color w:val="auto"/>
              </w:rPr>
            </w:pPr>
            <w:r w:rsidRPr="00F23386">
              <w:rPr>
                <w:color w:val="auto"/>
                <w:sz w:val="22"/>
                <w:szCs w:val="22"/>
                <w:u w:color="2F5496"/>
              </w:rPr>
              <w:t>NA</w:t>
            </w:r>
          </w:p>
        </w:tc>
        <w:tc>
          <w:tcPr>
            <w:tcW w:w="1695" w:type="dxa"/>
            <w:tcBorders>
              <w:top w:val="nil"/>
              <w:left w:val="nil"/>
              <w:bottom w:val="nil"/>
              <w:right w:val="nil"/>
            </w:tcBorders>
            <w:shd w:val="clear" w:color="auto" w:fill="auto"/>
            <w:tcMar>
              <w:top w:w="80" w:type="dxa"/>
              <w:left w:w="80" w:type="dxa"/>
              <w:bottom w:w="80" w:type="dxa"/>
              <w:right w:w="80" w:type="dxa"/>
            </w:tcMar>
          </w:tcPr>
          <w:p w14:paraId="7659A287" w14:textId="77777777" w:rsidR="002211F8" w:rsidRPr="00F23386" w:rsidRDefault="002211F8" w:rsidP="00B87181"/>
        </w:tc>
      </w:tr>
      <w:tr w:rsidR="002211F8" w:rsidRPr="00F23386" w14:paraId="0B1061D5" w14:textId="77777777" w:rsidTr="00B87181">
        <w:trPr>
          <w:trHeight w:val="740"/>
        </w:trPr>
        <w:tc>
          <w:tcPr>
            <w:tcW w:w="3939" w:type="dxa"/>
            <w:tcBorders>
              <w:top w:val="nil"/>
              <w:left w:val="nil"/>
              <w:bottom w:val="nil"/>
              <w:right w:val="nil"/>
            </w:tcBorders>
            <w:shd w:val="clear" w:color="auto" w:fill="auto"/>
            <w:tcMar>
              <w:top w:w="80" w:type="dxa"/>
              <w:left w:w="80" w:type="dxa"/>
              <w:bottom w:w="80" w:type="dxa"/>
              <w:right w:w="80" w:type="dxa"/>
            </w:tcMar>
          </w:tcPr>
          <w:p w14:paraId="57D73265" w14:textId="77777777" w:rsidR="002211F8" w:rsidRPr="00F23386" w:rsidRDefault="002211F8" w:rsidP="00B87181">
            <w:pPr>
              <w:pStyle w:val="NormalWeb"/>
              <w:spacing w:before="0" w:after="0"/>
              <w:rPr>
                <w:rFonts w:ascii="Calibri" w:eastAsia="Calibri" w:hAnsi="Calibri" w:cs="Calibri"/>
                <w:sz w:val="22"/>
                <w:szCs w:val="22"/>
                <w:u w:color="2F5496"/>
              </w:rPr>
            </w:pPr>
            <w:r w:rsidRPr="00F23386">
              <w:rPr>
                <w:rFonts w:ascii="Calibri" w:eastAsia="Calibri" w:hAnsi="Calibri" w:cs="Calibri"/>
                <w:sz w:val="22"/>
                <w:szCs w:val="22"/>
                <w:u w:color="2F5496"/>
              </w:rPr>
              <w:lastRenderedPageBreak/>
              <w:t>Gender</w:t>
            </w:r>
          </w:p>
          <w:p w14:paraId="75B52B8C" w14:textId="77777777" w:rsidR="002211F8" w:rsidRPr="00F23386" w:rsidRDefault="002211F8" w:rsidP="00B87181">
            <w:pPr>
              <w:pStyle w:val="NormalWeb"/>
              <w:spacing w:before="0" w:after="0"/>
              <w:ind w:left="540"/>
              <w:rPr>
                <w:rFonts w:ascii="Calibri" w:eastAsia="Calibri" w:hAnsi="Calibri" w:cs="Calibri"/>
                <w:sz w:val="22"/>
                <w:szCs w:val="22"/>
                <w:u w:color="2F5496"/>
              </w:rPr>
            </w:pPr>
            <w:r w:rsidRPr="00F23386">
              <w:rPr>
                <w:rFonts w:ascii="Calibri" w:eastAsia="Calibri" w:hAnsi="Calibri" w:cs="Calibri"/>
                <w:sz w:val="22"/>
                <w:szCs w:val="22"/>
                <w:u w:color="2F5496"/>
              </w:rPr>
              <w:t>Male%</w:t>
            </w:r>
          </w:p>
          <w:p w14:paraId="4254986A" w14:textId="77777777" w:rsidR="002211F8" w:rsidRPr="00F23386" w:rsidRDefault="002211F8" w:rsidP="00B87181">
            <w:pPr>
              <w:pStyle w:val="NormalWeb"/>
              <w:spacing w:before="0" w:after="0"/>
              <w:ind w:left="540"/>
            </w:pPr>
            <w:r w:rsidRPr="00F23386">
              <w:rPr>
                <w:rFonts w:ascii="Calibri" w:eastAsia="Calibri" w:hAnsi="Calibri" w:cs="Calibri"/>
                <w:sz w:val="22"/>
                <w:szCs w:val="22"/>
                <w:u w:color="2F5496"/>
              </w:rPr>
              <w:t>Female%</w:t>
            </w:r>
          </w:p>
        </w:tc>
        <w:tc>
          <w:tcPr>
            <w:tcW w:w="1692" w:type="dxa"/>
            <w:tcBorders>
              <w:top w:val="nil"/>
              <w:left w:val="nil"/>
              <w:bottom w:val="nil"/>
              <w:right w:val="nil"/>
            </w:tcBorders>
            <w:shd w:val="clear" w:color="auto" w:fill="auto"/>
            <w:tcMar>
              <w:top w:w="80" w:type="dxa"/>
              <w:left w:w="80" w:type="dxa"/>
              <w:bottom w:w="80" w:type="dxa"/>
              <w:right w:w="80" w:type="dxa"/>
            </w:tcMar>
          </w:tcPr>
          <w:p w14:paraId="4267EC68" w14:textId="77777777" w:rsidR="002211F8" w:rsidRPr="00F23386" w:rsidRDefault="002211F8" w:rsidP="00B87181">
            <w:pPr>
              <w:pStyle w:val="BodyA"/>
              <w:jc w:val="center"/>
              <w:rPr>
                <w:color w:val="auto"/>
                <w:sz w:val="22"/>
                <w:szCs w:val="22"/>
                <w:u w:color="2F5496"/>
              </w:rPr>
            </w:pPr>
          </w:p>
          <w:p w14:paraId="27E519B7"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46%</w:t>
            </w:r>
          </w:p>
          <w:p w14:paraId="1B184358" w14:textId="77777777" w:rsidR="002211F8" w:rsidRPr="00F23386" w:rsidRDefault="002211F8" w:rsidP="00B87181">
            <w:pPr>
              <w:pStyle w:val="BodyA"/>
              <w:jc w:val="center"/>
              <w:rPr>
                <w:color w:val="auto"/>
              </w:rPr>
            </w:pPr>
            <w:r w:rsidRPr="00F23386">
              <w:rPr>
                <w:color w:val="auto"/>
                <w:sz w:val="22"/>
                <w:szCs w:val="22"/>
                <w:u w:color="2F5496"/>
              </w:rPr>
              <w:t>54%</w:t>
            </w:r>
          </w:p>
        </w:tc>
        <w:tc>
          <w:tcPr>
            <w:tcW w:w="1694" w:type="dxa"/>
            <w:tcBorders>
              <w:top w:val="nil"/>
              <w:left w:val="nil"/>
              <w:bottom w:val="nil"/>
              <w:right w:val="nil"/>
            </w:tcBorders>
            <w:shd w:val="clear" w:color="auto" w:fill="auto"/>
            <w:tcMar>
              <w:top w:w="80" w:type="dxa"/>
              <w:left w:w="80" w:type="dxa"/>
              <w:bottom w:w="80" w:type="dxa"/>
              <w:right w:w="80" w:type="dxa"/>
            </w:tcMar>
          </w:tcPr>
          <w:p w14:paraId="0CDC53D9" w14:textId="77777777" w:rsidR="002211F8" w:rsidRPr="00F23386" w:rsidRDefault="002211F8" w:rsidP="00B87181">
            <w:pPr>
              <w:pStyle w:val="BodyA"/>
              <w:jc w:val="center"/>
              <w:rPr>
                <w:color w:val="auto"/>
                <w:sz w:val="22"/>
                <w:szCs w:val="22"/>
                <w:u w:color="2F5496"/>
              </w:rPr>
            </w:pPr>
          </w:p>
          <w:p w14:paraId="7B896D3E" w14:textId="77777777" w:rsidR="002211F8" w:rsidRPr="00F23386" w:rsidRDefault="002211F8" w:rsidP="00B87181">
            <w:pPr>
              <w:pStyle w:val="BodyA"/>
              <w:jc w:val="center"/>
              <w:rPr>
                <w:color w:val="auto"/>
                <w:sz w:val="22"/>
                <w:szCs w:val="22"/>
                <w:u w:color="2F5496"/>
              </w:rPr>
            </w:pPr>
            <w:r w:rsidRPr="00F23386">
              <w:rPr>
                <w:color w:val="auto"/>
                <w:sz w:val="22"/>
                <w:szCs w:val="22"/>
                <w:u w:color="2F5496"/>
              </w:rPr>
              <w:t>57%</w:t>
            </w:r>
          </w:p>
          <w:p w14:paraId="6230D351" w14:textId="77777777" w:rsidR="002211F8" w:rsidRPr="00F23386" w:rsidRDefault="002211F8" w:rsidP="00B87181">
            <w:pPr>
              <w:pStyle w:val="BodyA"/>
              <w:jc w:val="center"/>
              <w:rPr>
                <w:color w:val="auto"/>
              </w:rPr>
            </w:pPr>
            <w:r w:rsidRPr="00F23386">
              <w:rPr>
                <w:color w:val="auto"/>
                <w:sz w:val="22"/>
                <w:szCs w:val="22"/>
                <w:u w:color="2F5496"/>
              </w:rPr>
              <w:t>43%</w:t>
            </w:r>
          </w:p>
        </w:tc>
        <w:tc>
          <w:tcPr>
            <w:tcW w:w="1695" w:type="dxa"/>
            <w:tcBorders>
              <w:top w:val="nil"/>
              <w:left w:val="nil"/>
              <w:bottom w:val="nil"/>
              <w:right w:val="nil"/>
            </w:tcBorders>
            <w:shd w:val="clear" w:color="auto" w:fill="auto"/>
            <w:tcMar>
              <w:top w:w="80" w:type="dxa"/>
              <w:left w:w="80" w:type="dxa"/>
              <w:bottom w:w="80" w:type="dxa"/>
              <w:right w:w="80" w:type="dxa"/>
            </w:tcMar>
          </w:tcPr>
          <w:p w14:paraId="0627A492" w14:textId="77777777" w:rsidR="002211F8" w:rsidRPr="00F23386" w:rsidRDefault="002211F8" w:rsidP="00B87181">
            <w:pPr>
              <w:pStyle w:val="BodyA"/>
              <w:jc w:val="center"/>
              <w:rPr>
                <w:i/>
                <w:iCs/>
                <w:color w:val="auto"/>
                <w:sz w:val="22"/>
                <w:szCs w:val="22"/>
                <w:u w:color="2F5496"/>
              </w:rPr>
            </w:pPr>
          </w:p>
          <w:p w14:paraId="39E115DC" w14:textId="77777777" w:rsidR="002211F8" w:rsidRPr="00F23386" w:rsidRDefault="002211F8" w:rsidP="00B87181">
            <w:pPr>
              <w:pStyle w:val="BodyA"/>
              <w:jc w:val="center"/>
              <w:rPr>
                <w:color w:val="auto"/>
              </w:rPr>
            </w:pPr>
            <w:r w:rsidRPr="00F23386">
              <w:rPr>
                <w:color w:val="auto"/>
                <w:sz w:val="22"/>
                <w:szCs w:val="22"/>
                <w:u w:color="2F5496"/>
              </w:rPr>
              <w:t>0.42~</w:t>
            </w:r>
          </w:p>
        </w:tc>
      </w:tr>
      <w:tr w:rsidR="002211F8" w:rsidRPr="00F23386" w14:paraId="492056AD" w14:textId="77777777" w:rsidTr="00B87181">
        <w:trPr>
          <w:trHeight w:val="310"/>
        </w:trPr>
        <w:tc>
          <w:tcPr>
            <w:tcW w:w="3939" w:type="dxa"/>
            <w:tcBorders>
              <w:top w:val="nil"/>
              <w:left w:val="nil"/>
              <w:bottom w:val="single" w:sz="8" w:space="0" w:color="4472C4"/>
              <w:right w:val="nil"/>
            </w:tcBorders>
            <w:shd w:val="clear" w:color="auto" w:fill="auto"/>
            <w:tcMar>
              <w:top w:w="80" w:type="dxa"/>
              <w:left w:w="80" w:type="dxa"/>
              <w:bottom w:w="80" w:type="dxa"/>
              <w:right w:w="80" w:type="dxa"/>
            </w:tcMar>
          </w:tcPr>
          <w:p w14:paraId="0E85D1BE" w14:textId="77777777" w:rsidR="002211F8" w:rsidRPr="00F23386" w:rsidRDefault="002211F8" w:rsidP="00B87181"/>
        </w:tc>
        <w:tc>
          <w:tcPr>
            <w:tcW w:w="1692" w:type="dxa"/>
            <w:tcBorders>
              <w:top w:val="nil"/>
              <w:left w:val="nil"/>
              <w:bottom w:val="single" w:sz="8" w:space="0" w:color="4472C4"/>
              <w:right w:val="nil"/>
            </w:tcBorders>
            <w:shd w:val="clear" w:color="auto" w:fill="auto"/>
            <w:tcMar>
              <w:top w:w="80" w:type="dxa"/>
              <w:left w:w="80" w:type="dxa"/>
              <w:bottom w:w="80" w:type="dxa"/>
              <w:right w:w="80" w:type="dxa"/>
            </w:tcMar>
          </w:tcPr>
          <w:p w14:paraId="3ECC23B1" w14:textId="77777777" w:rsidR="002211F8" w:rsidRPr="00F23386" w:rsidRDefault="002211F8" w:rsidP="00B87181"/>
        </w:tc>
        <w:tc>
          <w:tcPr>
            <w:tcW w:w="1694" w:type="dxa"/>
            <w:tcBorders>
              <w:top w:val="nil"/>
              <w:left w:val="nil"/>
              <w:bottom w:val="single" w:sz="8" w:space="0" w:color="4472C4"/>
              <w:right w:val="nil"/>
            </w:tcBorders>
            <w:shd w:val="clear" w:color="auto" w:fill="auto"/>
            <w:tcMar>
              <w:top w:w="80" w:type="dxa"/>
              <w:left w:w="80" w:type="dxa"/>
              <w:bottom w:w="80" w:type="dxa"/>
              <w:right w:w="80" w:type="dxa"/>
            </w:tcMar>
          </w:tcPr>
          <w:p w14:paraId="38820396" w14:textId="77777777" w:rsidR="002211F8" w:rsidRPr="00F23386" w:rsidRDefault="002211F8" w:rsidP="00B87181"/>
        </w:tc>
        <w:tc>
          <w:tcPr>
            <w:tcW w:w="1695" w:type="dxa"/>
            <w:tcBorders>
              <w:top w:val="nil"/>
              <w:left w:val="nil"/>
              <w:bottom w:val="single" w:sz="8" w:space="0" w:color="4472C4"/>
              <w:right w:val="nil"/>
            </w:tcBorders>
            <w:shd w:val="clear" w:color="auto" w:fill="auto"/>
            <w:tcMar>
              <w:top w:w="80" w:type="dxa"/>
              <w:left w:w="80" w:type="dxa"/>
              <w:bottom w:w="80" w:type="dxa"/>
              <w:right w:w="80" w:type="dxa"/>
            </w:tcMar>
          </w:tcPr>
          <w:p w14:paraId="6ED05380" w14:textId="77777777" w:rsidR="002211F8" w:rsidRPr="00F23386" w:rsidRDefault="002211F8" w:rsidP="00B87181"/>
        </w:tc>
      </w:tr>
      <w:tr w:rsidR="002211F8" w:rsidRPr="00F23386" w14:paraId="52C8093D" w14:textId="77777777" w:rsidTr="00B87181">
        <w:trPr>
          <w:trHeight w:val="1140"/>
        </w:trPr>
        <w:tc>
          <w:tcPr>
            <w:tcW w:w="9020" w:type="dxa"/>
            <w:gridSpan w:val="4"/>
            <w:tcBorders>
              <w:top w:val="single" w:sz="8" w:space="0" w:color="4472C4"/>
              <w:left w:val="nil"/>
              <w:bottom w:val="single" w:sz="8" w:space="0" w:color="4472C4"/>
              <w:right w:val="nil"/>
            </w:tcBorders>
            <w:shd w:val="clear" w:color="auto" w:fill="auto"/>
            <w:tcMar>
              <w:top w:w="80" w:type="dxa"/>
              <w:left w:w="80" w:type="dxa"/>
              <w:bottom w:w="80" w:type="dxa"/>
              <w:right w:w="80" w:type="dxa"/>
            </w:tcMar>
          </w:tcPr>
          <w:p w14:paraId="78AA0A61" w14:textId="77777777" w:rsidR="002211F8" w:rsidRPr="00F23386" w:rsidRDefault="002211F8" w:rsidP="00B87181">
            <w:pPr>
              <w:pStyle w:val="DecimalAligned"/>
              <w:spacing w:after="0" w:line="240" w:lineRule="auto"/>
              <w:rPr>
                <w:sz w:val="20"/>
                <w:szCs w:val="20"/>
                <w:u w:color="2F5496"/>
              </w:rPr>
            </w:pPr>
            <w:r w:rsidRPr="00F23386">
              <w:rPr>
                <w:sz w:val="20"/>
                <w:szCs w:val="20"/>
                <w:u w:color="2F5496"/>
              </w:rPr>
              <w:t xml:space="preserve">^unpaired t test    ~chi-square test     </w:t>
            </w:r>
            <w:r w:rsidRPr="00F23386">
              <w:rPr>
                <w:b/>
                <w:bCs/>
                <w:sz w:val="20"/>
                <w:szCs w:val="20"/>
                <w:u w:color="2F5496"/>
              </w:rPr>
              <w:t>*Mann-Whitney test</w:t>
            </w:r>
          </w:p>
          <w:p w14:paraId="2E5D1BC8" w14:textId="77777777" w:rsidR="002211F8" w:rsidRPr="00F23386" w:rsidRDefault="002211F8" w:rsidP="00B87181">
            <w:pPr>
              <w:pStyle w:val="DecimalAligned"/>
              <w:spacing w:after="0" w:line="240" w:lineRule="auto"/>
              <w:rPr>
                <w:b/>
                <w:bCs/>
                <w:sz w:val="20"/>
                <w:szCs w:val="20"/>
                <w:u w:color="2F5496"/>
              </w:rPr>
            </w:pPr>
            <w:r w:rsidRPr="00F23386">
              <w:rPr>
                <w:sz w:val="20"/>
                <w:szCs w:val="20"/>
                <w:u w:color="2F5496"/>
              </w:rPr>
              <w:t>MT-DSAEK: micro-thin Descemet stripping automated endothelial keratoplasty</w:t>
            </w:r>
          </w:p>
          <w:p w14:paraId="44FF9AE7" w14:textId="77777777" w:rsidR="002211F8" w:rsidRPr="00F23386" w:rsidRDefault="002211F8" w:rsidP="00B87181">
            <w:pPr>
              <w:pStyle w:val="DecimalAligned"/>
              <w:spacing w:after="0" w:line="240" w:lineRule="auto"/>
              <w:rPr>
                <w:b/>
                <w:bCs/>
                <w:sz w:val="20"/>
                <w:szCs w:val="20"/>
                <w:u w:color="2F5496"/>
              </w:rPr>
            </w:pPr>
            <w:r w:rsidRPr="00F23386">
              <w:rPr>
                <w:sz w:val="20"/>
                <w:szCs w:val="20"/>
                <w:u w:color="2F5496"/>
              </w:rPr>
              <w:t>DMEK: Descemet’s membrane endothelial keratoplasty</w:t>
            </w:r>
          </w:p>
          <w:p w14:paraId="1CE66231" w14:textId="77777777" w:rsidR="002211F8" w:rsidRPr="00F23386" w:rsidRDefault="002211F8" w:rsidP="00B87181">
            <w:pPr>
              <w:pStyle w:val="DecimalAligned"/>
              <w:spacing w:after="0" w:line="240" w:lineRule="auto"/>
              <w:rPr>
                <w:b/>
                <w:bCs/>
                <w:sz w:val="20"/>
                <w:szCs w:val="20"/>
                <w:u w:color="2F5496"/>
              </w:rPr>
            </w:pPr>
            <w:proofErr w:type="spellStart"/>
            <w:r w:rsidRPr="00F23386">
              <w:rPr>
                <w:sz w:val="20"/>
                <w:szCs w:val="20"/>
                <w:u w:color="2F5496"/>
              </w:rPr>
              <w:t>logMAR</w:t>
            </w:r>
            <w:proofErr w:type="spellEnd"/>
            <w:r w:rsidRPr="00F23386">
              <w:rPr>
                <w:sz w:val="20"/>
                <w:szCs w:val="20"/>
                <w:u w:color="2F5496"/>
              </w:rPr>
              <w:t>: logarithm of the minimum angle of resolution</w:t>
            </w:r>
          </w:p>
          <w:p w14:paraId="4D51B636" w14:textId="77777777" w:rsidR="002211F8" w:rsidRPr="00F23386" w:rsidRDefault="002211F8" w:rsidP="00B87181">
            <w:pPr>
              <w:pStyle w:val="DecimalAligned"/>
              <w:spacing w:after="0" w:line="240" w:lineRule="auto"/>
            </w:pPr>
            <w:r w:rsidRPr="00F23386">
              <w:rPr>
                <w:sz w:val="20"/>
                <w:szCs w:val="20"/>
                <w:u w:color="2F5496"/>
              </w:rPr>
              <w:t>BSCVA: best spectacle-corrected visual acuity</w:t>
            </w:r>
          </w:p>
        </w:tc>
      </w:tr>
    </w:tbl>
    <w:p w14:paraId="5F1737E9" w14:textId="77777777" w:rsidR="002211F8" w:rsidRDefault="002211F8" w:rsidP="002211F8"/>
    <w:p w14:paraId="18C8BBD1" w14:textId="77777777" w:rsidR="002211F8" w:rsidRDefault="002211F8" w:rsidP="002211F8">
      <w:r>
        <w:t xml:space="preserve">Table 2: Primary outcome: post-operative </w:t>
      </w:r>
      <w:proofErr w:type="spellStart"/>
      <w:r>
        <w:t>logMAR</w:t>
      </w:r>
      <w:proofErr w:type="spellEnd"/>
      <w:r>
        <w:t xml:space="preserve"> best corrected visual acuity</w:t>
      </w:r>
    </w:p>
    <w:tbl>
      <w:tblPr>
        <w:tblW w:w="9020" w:type="dxa"/>
        <w:tblInd w:w="106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385"/>
        <w:gridCol w:w="2622"/>
        <w:gridCol w:w="2345"/>
        <w:gridCol w:w="1668"/>
      </w:tblGrid>
      <w:tr w:rsidR="002211F8" w14:paraId="117F0D5A" w14:textId="77777777" w:rsidTr="00B87181">
        <w:trPr>
          <w:trHeight w:val="491"/>
        </w:trPr>
        <w:tc>
          <w:tcPr>
            <w:tcW w:w="2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D9F00E" w14:textId="77777777" w:rsidR="002211F8" w:rsidRDefault="002211F8" w:rsidP="00B87181">
            <w:pPr>
              <w:pStyle w:val="BodyA"/>
            </w:pPr>
            <w:r>
              <w:rPr>
                <w:rFonts w:ascii="Times New Roman" w:hAnsi="Times New Roman"/>
                <w:sz w:val="22"/>
                <w:szCs w:val="22"/>
              </w:rPr>
              <w:t>BSCVA at timepoints</w:t>
            </w:r>
          </w:p>
        </w:tc>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B2C98" w14:textId="77777777" w:rsidR="002211F8" w:rsidRDefault="002211F8" w:rsidP="00B87181">
            <w:pPr>
              <w:pStyle w:val="BodyA"/>
              <w:rPr>
                <w:rFonts w:ascii="Times New Roman" w:eastAsia="Times New Roman" w:hAnsi="Times New Roman" w:cs="Times New Roman"/>
                <w:sz w:val="22"/>
                <w:szCs w:val="22"/>
              </w:rPr>
            </w:pPr>
            <w:r>
              <w:rPr>
                <w:rFonts w:ascii="Times New Roman" w:hAnsi="Times New Roman"/>
                <w:sz w:val="22"/>
                <w:szCs w:val="22"/>
              </w:rPr>
              <w:t>MT-DSAEK (mean ±SD)</w:t>
            </w:r>
          </w:p>
          <w:p w14:paraId="294A7F17" w14:textId="77777777" w:rsidR="002211F8" w:rsidRDefault="002211F8" w:rsidP="00B87181">
            <w:pPr>
              <w:pStyle w:val="BodyA"/>
            </w:pPr>
            <w:r>
              <w:rPr>
                <w:rFonts w:ascii="Times New Roman" w:hAnsi="Times New Roman"/>
                <w:sz w:val="22"/>
                <w:szCs w:val="22"/>
              </w:rPr>
              <w:t>N=28</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FA4DDA" w14:textId="77777777" w:rsidR="002211F8" w:rsidRDefault="002211F8" w:rsidP="00B87181">
            <w:pPr>
              <w:pStyle w:val="BodyA"/>
              <w:rPr>
                <w:rFonts w:ascii="Times New Roman" w:eastAsia="Times New Roman" w:hAnsi="Times New Roman" w:cs="Times New Roman"/>
                <w:sz w:val="22"/>
                <w:szCs w:val="22"/>
              </w:rPr>
            </w:pPr>
            <w:r>
              <w:rPr>
                <w:rFonts w:ascii="Times New Roman" w:hAnsi="Times New Roman"/>
                <w:sz w:val="22"/>
                <w:szCs w:val="22"/>
              </w:rPr>
              <w:t>DMEK (mean ± SD)</w:t>
            </w:r>
          </w:p>
          <w:p w14:paraId="02897C64" w14:textId="77777777" w:rsidR="002211F8" w:rsidRDefault="002211F8" w:rsidP="00B87181">
            <w:pPr>
              <w:pStyle w:val="BodyA"/>
            </w:pPr>
            <w:r>
              <w:rPr>
                <w:rFonts w:ascii="Times New Roman" w:hAnsi="Times New Roman"/>
                <w:sz w:val="22"/>
                <w:szCs w:val="22"/>
              </w:rPr>
              <w:t>N=28</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5B3C9" w14:textId="77777777" w:rsidR="002211F8" w:rsidRDefault="002211F8" w:rsidP="00B87181">
            <w:pPr>
              <w:pStyle w:val="BodyA"/>
            </w:pPr>
            <w:r>
              <w:rPr>
                <w:rFonts w:ascii="Times New Roman" w:hAnsi="Times New Roman"/>
                <w:sz w:val="22"/>
                <w:szCs w:val="22"/>
              </w:rPr>
              <w:t>p-value*</w:t>
            </w:r>
          </w:p>
        </w:tc>
      </w:tr>
      <w:tr w:rsidR="002211F8" w14:paraId="7225B51D" w14:textId="77777777" w:rsidTr="00B87181">
        <w:trPr>
          <w:trHeight w:val="251"/>
        </w:trPr>
        <w:tc>
          <w:tcPr>
            <w:tcW w:w="2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2FEC51" w14:textId="77777777" w:rsidR="002211F8" w:rsidRDefault="002211F8" w:rsidP="00B87181">
            <w:pPr>
              <w:pStyle w:val="BodyA"/>
            </w:pPr>
            <w:r>
              <w:rPr>
                <w:rFonts w:ascii="Times New Roman" w:hAnsi="Times New Roman"/>
                <w:sz w:val="22"/>
                <w:szCs w:val="22"/>
              </w:rPr>
              <w:t>4 weeks</w:t>
            </w:r>
          </w:p>
        </w:tc>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89C93A" w14:textId="77777777" w:rsidR="002211F8" w:rsidRDefault="002211F8" w:rsidP="00B87181">
            <w:pPr>
              <w:pStyle w:val="BodyA"/>
            </w:pPr>
            <w:r>
              <w:rPr>
                <w:rFonts w:ascii="Times New Roman" w:hAnsi="Times New Roman"/>
                <w:sz w:val="22"/>
                <w:szCs w:val="22"/>
              </w:rPr>
              <w:t>0.32 ± 0.22</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97BD5" w14:textId="77777777" w:rsidR="002211F8" w:rsidRDefault="002211F8" w:rsidP="00B87181">
            <w:pPr>
              <w:pStyle w:val="BodyA"/>
            </w:pPr>
            <w:r>
              <w:rPr>
                <w:rFonts w:ascii="Times New Roman" w:hAnsi="Times New Roman"/>
                <w:sz w:val="22"/>
                <w:szCs w:val="22"/>
              </w:rPr>
              <w:t>0.21 ± 0.13</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051FA" w14:textId="77777777" w:rsidR="002211F8" w:rsidRDefault="002211F8" w:rsidP="00B87181">
            <w:pPr>
              <w:pStyle w:val="BodyA"/>
            </w:pPr>
            <w:r>
              <w:rPr>
                <w:rFonts w:ascii="Times New Roman" w:hAnsi="Times New Roman"/>
                <w:sz w:val="22"/>
                <w:szCs w:val="22"/>
              </w:rPr>
              <w:t>0.04</w:t>
            </w:r>
          </w:p>
        </w:tc>
      </w:tr>
      <w:tr w:rsidR="002211F8" w14:paraId="55E8DB20" w14:textId="77777777" w:rsidTr="00B87181">
        <w:trPr>
          <w:trHeight w:val="251"/>
        </w:trPr>
        <w:tc>
          <w:tcPr>
            <w:tcW w:w="2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A21CD0" w14:textId="77777777" w:rsidR="002211F8" w:rsidRDefault="002211F8" w:rsidP="00B87181">
            <w:pPr>
              <w:pStyle w:val="BodyA"/>
            </w:pPr>
            <w:r>
              <w:rPr>
                <w:rFonts w:ascii="Times New Roman" w:hAnsi="Times New Roman"/>
                <w:sz w:val="22"/>
                <w:szCs w:val="22"/>
              </w:rPr>
              <w:t>10 weeks</w:t>
            </w:r>
          </w:p>
        </w:tc>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381409" w14:textId="77777777" w:rsidR="002211F8" w:rsidRDefault="002211F8" w:rsidP="00B87181">
            <w:pPr>
              <w:pStyle w:val="BodyA"/>
            </w:pPr>
            <w:r>
              <w:rPr>
                <w:rFonts w:ascii="Times New Roman" w:hAnsi="Times New Roman"/>
                <w:sz w:val="22"/>
                <w:szCs w:val="22"/>
              </w:rPr>
              <w:t>0.21 ± 0.11</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6540C9" w14:textId="77777777" w:rsidR="002211F8" w:rsidRDefault="002211F8" w:rsidP="00B87181">
            <w:pPr>
              <w:pStyle w:val="BodyA"/>
            </w:pPr>
            <w:r>
              <w:rPr>
                <w:rFonts w:ascii="Times New Roman" w:hAnsi="Times New Roman"/>
                <w:sz w:val="22"/>
                <w:szCs w:val="22"/>
              </w:rPr>
              <w:t>0.15 ± 0.10</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733C9A" w14:textId="77777777" w:rsidR="002211F8" w:rsidRDefault="002211F8" w:rsidP="00B87181">
            <w:pPr>
              <w:pStyle w:val="BodyA"/>
            </w:pPr>
            <w:r>
              <w:rPr>
                <w:rFonts w:ascii="Times New Roman" w:hAnsi="Times New Roman"/>
                <w:sz w:val="22"/>
                <w:szCs w:val="22"/>
              </w:rPr>
              <w:t>0.03</w:t>
            </w:r>
          </w:p>
        </w:tc>
      </w:tr>
      <w:tr w:rsidR="002211F8" w14:paraId="779FDD73" w14:textId="77777777" w:rsidTr="00B87181">
        <w:trPr>
          <w:trHeight w:val="251"/>
        </w:trPr>
        <w:tc>
          <w:tcPr>
            <w:tcW w:w="2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2B4C24" w14:textId="77777777" w:rsidR="002211F8" w:rsidRDefault="002211F8" w:rsidP="00B87181">
            <w:pPr>
              <w:pStyle w:val="BodyA"/>
            </w:pPr>
            <w:r>
              <w:rPr>
                <w:rFonts w:ascii="Times New Roman" w:hAnsi="Times New Roman"/>
                <w:sz w:val="22"/>
                <w:szCs w:val="22"/>
              </w:rPr>
              <w:t>6 months</w:t>
            </w:r>
          </w:p>
        </w:tc>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14E209" w14:textId="77777777" w:rsidR="002211F8" w:rsidRDefault="002211F8" w:rsidP="00B87181">
            <w:pPr>
              <w:pStyle w:val="BodyA"/>
            </w:pPr>
            <w:r>
              <w:rPr>
                <w:rFonts w:ascii="Times New Roman" w:hAnsi="Times New Roman"/>
                <w:sz w:val="22"/>
                <w:szCs w:val="22"/>
              </w:rPr>
              <w:t xml:space="preserve">0.17 ± 0.08 </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304EC2" w14:textId="77777777" w:rsidR="002211F8" w:rsidRDefault="002211F8" w:rsidP="00B87181">
            <w:pPr>
              <w:pStyle w:val="BodyA"/>
            </w:pPr>
            <w:r>
              <w:rPr>
                <w:rFonts w:ascii="Times New Roman" w:hAnsi="Times New Roman"/>
                <w:sz w:val="22"/>
                <w:szCs w:val="22"/>
              </w:rPr>
              <w:t>0.09 ±0.13</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4A39FF" w14:textId="77777777" w:rsidR="002211F8" w:rsidRDefault="002211F8" w:rsidP="00B87181">
            <w:pPr>
              <w:pStyle w:val="BodyA"/>
            </w:pPr>
            <w:r>
              <w:rPr>
                <w:rFonts w:ascii="Times New Roman" w:hAnsi="Times New Roman"/>
                <w:sz w:val="22"/>
                <w:szCs w:val="22"/>
              </w:rPr>
              <w:t>0.03</w:t>
            </w:r>
          </w:p>
        </w:tc>
      </w:tr>
      <w:tr w:rsidR="002211F8" w14:paraId="2AA3A16B" w14:textId="77777777" w:rsidTr="00B87181">
        <w:trPr>
          <w:trHeight w:val="251"/>
        </w:trPr>
        <w:tc>
          <w:tcPr>
            <w:tcW w:w="2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FF819C" w14:textId="77777777" w:rsidR="002211F8" w:rsidRDefault="002211F8" w:rsidP="00B87181">
            <w:pPr>
              <w:pStyle w:val="BodyA"/>
            </w:pPr>
            <w:r>
              <w:rPr>
                <w:rFonts w:ascii="Times New Roman" w:hAnsi="Times New Roman"/>
                <w:sz w:val="22"/>
                <w:szCs w:val="22"/>
              </w:rPr>
              <w:t>9 months</w:t>
            </w:r>
          </w:p>
        </w:tc>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C08D3" w14:textId="77777777" w:rsidR="002211F8" w:rsidRDefault="002211F8" w:rsidP="00B87181">
            <w:pPr>
              <w:pStyle w:val="BodyA"/>
            </w:pPr>
            <w:r>
              <w:rPr>
                <w:rFonts w:ascii="Times New Roman" w:hAnsi="Times New Roman"/>
                <w:sz w:val="22"/>
                <w:szCs w:val="22"/>
              </w:rPr>
              <w:t>0.13 ± 0.08</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8B679D" w14:textId="77777777" w:rsidR="002211F8" w:rsidRDefault="002211F8" w:rsidP="00B87181">
            <w:pPr>
              <w:pStyle w:val="BodyA"/>
            </w:pPr>
            <w:r>
              <w:rPr>
                <w:rFonts w:ascii="Times New Roman" w:hAnsi="Times New Roman"/>
                <w:sz w:val="22"/>
                <w:szCs w:val="22"/>
              </w:rPr>
              <w:t>0.07 ± 0.13</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12A72A" w14:textId="77777777" w:rsidR="002211F8" w:rsidRDefault="002211F8" w:rsidP="00B87181">
            <w:pPr>
              <w:pStyle w:val="BodyA"/>
            </w:pPr>
            <w:r>
              <w:rPr>
                <w:rFonts w:ascii="Times New Roman" w:hAnsi="Times New Roman"/>
                <w:sz w:val="22"/>
                <w:szCs w:val="22"/>
              </w:rPr>
              <w:t>0.03</w:t>
            </w:r>
          </w:p>
        </w:tc>
      </w:tr>
      <w:tr w:rsidR="002211F8" w14:paraId="3CF72570" w14:textId="77777777" w:rsidTr="00B87181">
        <w:trPr>
          <w:trHeight w:val="251"/>
        </w:trPr>
        <w:tc>
          <w:tcPr>
            <w:tcW w:w="2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745152" w14:textId="77777777" w:rsidR="002211F8" w:rsidRDefault="002211F8" w:rsidP="00B87181">
            <w:pPr>
              <w:pStyle w:val="BodyA"/>
            </w:pPr>
            <w:r>
              <w:rPr>
                <w:rFonts w:ascii="Times New Roman" w:hAnsi="Times New Roman"/>
                <w:sz w:val="22"/>
                <w:szCs w:val="22"/>
              </w:rPr>
              <w:t>12 months</w:t>
            </w:r>
          </w:p>
        </w:tc>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60B39F" w14:textId="77777777" w:rsidR="002211F8" w:rsidRDefault="002211F8" w:rsidP="00B87181">
            <w:pPr>
              <w:pStyle w:val="BodyA"/>
            </w:pPr>
            <w:r>
              <w:rPr>
                <w:rFonts w:ascii="Times New Roman" w:hAnsi="Times New Roman"/>
                <w:sz w:val="22"/>
                <w:szCs w:val="22"/>
              </w:rPr>
              <w:t xml:space="preserve">0.11 ± 0.09 </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D7A5C4" w14:textId="77777777" w:rsidR="002211F8" w:rsidRDefault="002211F8" w:rsidP="00B87181">
            <w:pPr>
              <w:pStyle w:val="BodyA"/>
            </w:pPr>
            <w:r>
              <w:rPr>
                <w:rFonts w:ascii="Times New Roman" w:hAnsi="Times New Roman"/>
                <w:sz w:val="22"/>
                <w:szCs w:val="22"/>
              </w:rPr>
              <w:t>0.04 ± 0.13</w:t>
            </w:r>
            <w:r>
              <w:rPr>
                <w:rFonts w:ascii="Symbol" w:hAnsi="Symbol"/>
                <w:sz w:val="18"/>
                <w:szCs w:val="18"/>
                <w:vertAlign w:val="superscript"/>
              </w:rPr>
              <w:t></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F233A" w14:textId="77777777" w:rsidR="002211F8" w:rsidRDefault="002211F8" w:rsidP="00B87181">
            <w:pPr>
              <w:pStyle w:val="BodyA"/>
            </w:pPr>
            <w:r>
              <w:rPr>
                <w:rFonts w:ascii="Times New Roman" w:hAnsi="Times New Roman"/>
                <w:sz w:val="22"/>
                <w:szCs w:val="22"/>
              </w:rPr>
              <w:t>0.002</w:t>
            </w:r>
          </w:p>
        </w:tc>
      </w:tr>
      <w:tr w:rsidR="002211F8" w14:paraId="086BA51D" w14:textId="77777777" w:rsidTr="00B87181">
        <w:trPr>
          <w:trHeight w:val="1451"/>
        </w:trPr>
        <w:tc>
          <w:tcPr>
            <w:tcW w:w="9020"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640A75" w14:textId="77777777" w:rsidR="002211F8" w:rsidRDefault="002211F8" w:rsidP="00B87181">
            <w:pPr>
              <w:pStyle w:val="BodyA"/>
              <w:rPr>
                <w:rFonts w:ascii="Times New Roman" w:eastAsia="Times New Roman" w:hAnsi="Times New Roman" w:cs="Times New Roman"/>
                <w:sz w:val="22"/>
                <w:szCs w:val="22"/>
              </w:rPr>
            </w:pPr>
            <w:r>
              <w:rPr>
                <w:rFonts w:ascii="Times New Roman" w:hAnsi="Times New Roman"/>
                <w:sz w:val="22"/>
                <w:szCs w:val="22"/>
              </w:rPr>
              <w:t>*Mann Whitney test</w:t>
            </w:r>
          </w:p>
          <w:p w14:paraId="48F2235D" w14:textId="77777777" w:rsidR="002211F8" w:rsidRDefault="002211F8" w:rsidP="00B87181">
            <w:pPr>
              <w:pStyle w:val="BodyA"/>
              <w:rPr>
                <w:rFonts w:ascii="Times New Roman" w:eastAsia="Times New Roman" w:hAnsi="Times New Roman" w:cs="Times New Roman"/>
                <w:sz w:val="22"/>
                <w:szCs w:val="22"/>
              </w:rPr>
            </w:pPr>
            <w:r>
              <w:rPr>
                <w:rFonts w:ascii="Times New Roman" w:hAnsi="Times New Roman"/>
                <w:sz w:val="22"/>
                <w:szCs w:val="22"/>
              </w:rPr>
              <w:t>MT-DSAEK: micro-thin Descemet stripping automated endothelial keratoplasty</w:t>
            </w:r>
          </w:p>
          <w:p w14:paraId="0C43802E" w14:textId="77777777" w:rsidR="002211F8" w:rsidRDefault="002211F8" w:rsidP="00B87181">
            <w:pPr>
              <w:pStyle w:val="BodyA"/>
              <w:rPr>
                <w:rFonts w:ascii="Times New Roman" w:eastAsia="Times New Roman" w:hAnsi="Times New Roman" w:cs="Times New Roman"/>
                <w:sz w:val="22"/>
                <w:szCs w:val="22"/>
              </w:rPr>
            </w:pPr>
            <w:r>
              <w:rPr>
                <w:rFonts w:ascii="Times New Roman" w:hAnsi="Times New Roman"/>
                <w:sz w:val="22"/>
                <w:szCs w:val="22"/>
              </w:rPr>
              <w:t>DMEK: Descemet’s membrane endothelial keratoplasty</w:t>
            </w:r>
          </w:p>
          <w:p w14:paraId="14990C93" w14:textId="77777777" w:rsidR="002211F8" w:rsidRDefault="002211F8" w:rsidP="00B87181">
            <w:pPr>
              <w:pStyle w:val="BodyA"/>
              <w:rPr>
                <w:rFonts w:ascii="Times New Roman" w:eastAsia="Times New Roman" w:hAnsi="Times New Roman" w:cs="Times New Roman"/>
                <w:sz w:val="22"/>
                <w:szCs w:val="22"/>
              </w:rPr>
            </w:pPr>
            <w:proofErr w:type="spellStart"/>
            <w:r>
              <w:rPr>
                <w:rFonts w:ascii="Times New Roman" w:hAnsi="Times New Roman"/>
                <w:sz w:val="22"/>
                <w:szCs w:val="22"/>
              </w:rPr>
              <w:t>logMAR</w:t>
            </w:r>
            <w:proofErr w:type="spellEnd"/>
            <w:r>
              <w:rPr>
                <w:rFonts w:ascii="Times New Roman" w:hAnsi="Times New Roman"/>
                <w:sz w:val="22"/>
                <w:szCs w:val="22"/>
              </w:rPr>
              <w:t>: logarithm of the minimum angle of resolution</w:t>
            </w:r>
          </w:p>
          <w:p w14:paraId="4E842F27" w14:textId="77777777" w:rsidR="002211F8" w:rsidRDefault="002211F8" w:rsidP="00B87181">
            <w:pPr>
              <w:pStyle w:val="BodyA"/>
              <w:rPr>
                <w:rFonts w:ascii="Times New Roman" w:eastAsia="Times New Roman" w:hAnsi="Times New Roman" w:cs="Times New Roman"/>
                <w:sz w:val="22"/>
                <w:szCs w:val="22"/>
              </w:rPr>
            </w:pPr>
            <w:r>
              <w:rPr>
                <w:rFonts w:ascii="Times New Roman" w:hAnsi="Times New Roman"/>
                <w:sz w:val="22"/>
                <w:szCs w:val="22"/>
              </w:rPr>
              <w:t>BSCVA: best spectacle-corrected visual acuity</w:t>
            </w:r>
          </w:p>
          <w:p w14:paraId="4011DD82" w14:textId="77777777" w:rsidR="002211F8" w:rsidRDefault="002211F8" w:rsidP="00B87181">
            <w:pPr>
              <w:pStyle w:val="BodyA"/>
              <w:spacing w:line="360" w:lineRule="auto"/>
              <w:jc w:val="both"/>
            </w:pPr>
            <w:r>
              <w:rPr>
                <w:rFonts w:ascii="Symbol" w:hAnsi="Symbol"/>
                <w:sz w:val="18"/>
                <w:szCs w:val="18"/>
                <w:vertAlign w:val="superscript"/>
              </w:rPr>
              <w:t></w:t>
            </w:r>
            <w:r>
              <w:rPr>
                <w:sz w:val="18"/>
                <w:szCs w:val="18"/>
              </w:rPr>
              <w:t xml:space="preserve">Patients included in analysis: n=27, 1 patient excluded from </w:t>
            </w:r>
            <w:proofErr w:type="gramStart"/>
            <w:r>
              <w:rPr>
                <w:sz w:val="18"/>
                <w:szCs w:val="18"/>
              </w:rPr>
              <w:t>12 month</w:t>
            </w:r>
            <w:proofErr w:type="gramEnd"/>
            <w:r>
              <w:rPr>
                <w:sz w:val="18"/>
                <w:szCs w:val="18"/>
              </w:rPr>
              <w:t xml:space="preserve"> analysis due to primary graft failure</w:t>
            </w:r>
          </w:p>
        </w:tc>
      </w:tr>
    </w:tbl>
    <w:p w14:paraId="24A9F7B1" w14:textId="77777777" w:rsidR="002211F8" w:rsidRDefault="002211F8" w:rsidP="002211F8"/>
    <w:p w14:paraId="279016F2" w14:textId="77777777" w:rsidR="002211F8" w:rsidRDefault="002211F8" w:rsidP="002211F8">
      <w:r>
        <w:br w:type="page"/>
      </w:r>
    </w:p>
    <w:p w14:paraId="5DCD0CFE" w14:textId="77777777" w:rsidR="002211F8" w:rsidRDefault="002211F8" w:rsidP="002211F8">
      <w:pPr>
        <w:ind w:firstLine="720"/>
      </w:pPr>
      <w:r>
        <w:lastRenderedPageBreak/>
        <w:t>Table 3: Refractive outcomes between study groups at 6 and 12 months of follow-up</w:t>
      </w:r>
    </w:p>
    <w:tbl>
      <w:tblPr>
        <w:tblW w:w="901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725"/>
        <w:gridCol w:w="1400"/>
        <w:gridCol w:w="1375"/>
        <w:gridCol w:w="1376"/>
        <w:gridCol w:w="1192"/>
        <w:gridCol w:w="951"/>
      </w:tblGrid>
      <w:tr w:rsidR="002211F8" w14:paraId="5DC3F163" w14:textId="77777777" w:rsidTr="00B87181">
        <w:trPr>
          <w:trHeight w:val="810"/>
        </w:trPr>
        <w:tc>
          <w:tcPr>
            <w:tcW w:w="2725"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1E784644" w14:textId="77777777" w:rsidR="002211F8" w:rsidRDefault="002211F8" w:rsidP="00B87181"/>
        </w:tc>
        <w:tc>
          <w:tcPr>
            <w:tcW w:w="2775" w:type="dxa"/>
            <w:gridSpan w:val="2"/>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vAlign w:val="center"/>
          </w:tcPr>
          <w:p w14:paraId="072C57F4" w14:textId="77777777" w:rsidR="002211F8" w:rsidRDefault="002211F8" w:rsidP="00B87181">
            <w:pPr>
              <w:pStyle w:val="BodyA"/>
              <w:spacing w:line="360" w:lineRule="auto"/>
              <w:jc w:val="center"/>
              <w:rPr>
                <w:sz w:val="18"/>
                <w:szCs w:val="18"/>
              </w:rPr>
            </w:pPr>
            <w:r>
              <w:rPr>
                <w:b/>
                <w:bCs/>
                <w:sz w:val="18"/>
                <w:szCs w:val="18"/>
              </w:rPr>
              <w:t>MT-DSAEK n=28</w:t>
            </w:r>
          </w:p>
          <w:p w14:paraId="4B36D66D" w14:textId="77777777" w:rsidR="002211F8" w:rsidRDefault="002211F8" w:rsidP="00B87181">
            <w:pPr>
              <w:pStyle w:val="BodyA"/>
              <w:spacing w:line="360" w:lineRule="auto"/>
            </w:pPr>
            <w:r>
              <w:rPr>
                <w:b/>
                <w:bCs/>
                <w:sz w:val="18"/>
                <w:szCs w:val="18"/>
              </w:rPr>
              <w:t>(mean ±</w:t>
            </w:r>
            <w:proofErr w:type="gramStart"/>
            <w:r>
              <w:rPr>
                <w:b/>
                <w:bCs/>
                <w:sz w:val="18"/>
                <w:szCs w:val="18"/>
              </w:rPr>
              <w:t xml:space="preserve">SD)   </w:t>
            </w:r>
            <w:proofErr w:type="gramEnd"/>
            <w:r>
              <w:rPr>
                <w:b/>
                <w:bCs/>
                <w:sz w:val="18"/>
                <w:szCs w:val="18"/>
              </w:rPr>
              <w:t xml:space="preserve">                  95% CI</w:t>
            </w:r>
          </w:p>
        </w:tc>
        <w:tc>
          <w:tcPr>
            <w:tcW w:w="2568" w:type="dxa"/>
            <w:gridSpan w:val="2"/>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vAlign w:val="center"/>
          </w:tcPr>
          <w:p w14:paraId="11CCE293" w14:textId="77777777" w:rsidR="002211F8" w:rsidRDefault="002211F8" w:rsidP="00B87181">
            <w:pPr>
              <w:pStyle w:val="BodyA"/>
              <w:spacing w:line="360" w:lineRule="auto"/>
              <w:jc w:val="center"/>
              <w:rPr>
                <w:sz w:val="18"/>
                <w:szCs w:val="18"/>
              </w:rPr>
            </w:pPr>
            <w:r>
              <w:rPr>
                <w:b/>
                <w:bCs/>
                <w:sz w:val="18"/>
                <w:szCs w:val="18"/>
              </w:rPr>
              <w:t>DMEK n=28</w:t>
            </w:r>
          </w:p>
          <w:p w14:paraId="7C1CE61C" w14:textId="77777777" w:rsidR="002211F8" w:rsidRDefault="002211F8" w:rsidP="00B87181">
            <w:pPr>
              <w:pStyle w:val="BodyA"/>
              <w:spacing w:line="360" w:lineRule="auto"/>
              <w:jc w:val="center"/>
            </w:pPr>
            <w:r>
              <w:rPr>
                <w:b/>
                <w:bCs/>
                <w:sz w:val="18"/>
                <w:szCs w:val="18"/>
              </w:rPr>
              <w:t>(mean ±</w:t>
            </w:r>
            <w:proofErr w:type="gramStart"/>
            <w:r>
              <w:rPr>
                <w:b/>
                <w:bCs/>
                <w:sz w:val="18"/>
                <w:szCs w:val="18"/>
              </w:rPr>
              <w:t xml:space="preserve">SD)   </w:t>
            </w:r>
            <w:proofErr w:type="gramEnd"/>
            <w:r>
              <w:rPr>
                <w:b/>
                <w:bCs/>
                <w:sz w:val="18"/>
                <w:szCs w:val="18"/>
              </w:rPr>
              <w:t xml:space="preserve">           95% CI</w:t>
            </w:r>
          </w:p>
        </w:tc>
        <w:tc>
          <w:tcPr>
            <w:tcW w:w="951"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vAlign w:val="center"/>
          </w:tcPr>
          <w:p w14:paraId="7BB4AFA9" w14:textId="77777777" w:rsidR="002211F8" w:rsidRDefault="002211F8" w:rsidP="00B87181">
            <w:pPr>
              <w:pStyle w:val="BodyA"/>
              <w:spacing w:line="360" w:lineRule="auto"/>
              <w:jc w:val="center"/>
            </w:pPr>
            <w:r>
              <w:rPr>
                <w:b/>
                <w:bCs/>
                <w:sz w:val="18"/>
                <w:szCs w:val="18"/>
              </w:rPr>
              <w:t>p value</w:t>
            </w:r>
          </w:p>
        </w:tc>
      </w:tr>
      <w:tr w:rsidR="002211F8" w14:paraId="6F16BD84" w14:textId="77777777" w:rsidTr="00B87181">
        <w:trPr>
          <w:trHeight w:val="1410"/>
        </w:trPr>
        <w:tc>
          <w:tcPr>
            <w:tcW w:w="2725"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41103AB5" w14:textId="77777777" w:rsidR="002211F8" w:rsidRDefault="002211F8" w:rsidP="00B87181">
            <w:pPr>
              <w:pStyle w:val="BodyA"/>
              <w:spacing w:line="360" w:lineRule="auto"/>
              <w:jc w:val="both"/>
              <w:rPr>
                <w:sz w:val="18"/>
                <w:szCs w:val="18"/>
              </w:rPr>
            </w:pPr>
            <w:r>
              <w:rPr>
                <w:b/>
                <w:bCs/>
                <w:sz w:val="18"/>
                <w:szCs w:val="18"/>
              </w:rPr>
              <w:t xml:space="preserve">Spherical equivalent </w:t>
            </w:r>
          </w:p>
          <w:p w14:paraId="26A90021" w14:textId="77777777" w:rsidR="002211F8" w:rsidRDefault="002211F8" w:rsidP="00B87181">
            <w:pPr>
              <w:pStyle w:val="BodyA"/>
              <w:spacing w:line="360" w:lineRule="auto"/>
              <w:jc w:val="both"/>
              <w:rPr>
                <w:sz w:val="18"/>
                <w:szCs w:val="18"/>
              </w:rPr>
            </w:pPr>
            <w:r>
              <w:rPr>
                <w:b/>
                <w:bCs/>
                <w:sz w:val="18"/>
                <w:szCs w:val="18"/>
              </w:rPr>
              <w:t>6 months</w:t>
            </w:r>
          </w:p>
          <w:p w14:paraId="3C76CBAE" w14:textId="77777777" w:rsidR="002211F8" w:rsidRDefault="002211F8" w:rsidP="00B87181">
            <w:pPr>
              <w:pStyle w:val="BodyA"/>
              <w:spacing w:line="360" w:lineRule="auto"/>
              <w:jc w:val="both"/>
            </w:pPr>
            <w:r>
              <w:rPr>
                <w:b/>
                <w:bCs/>
                <w:sz w:val="18"/>
                <w:szCs w:val="18"/>
              </w:rPr>
              <w:t>12 months</w:t>
            </w:r>
          </w:p>
        </w:tc>
        <w:tc>
          <w:tcPr>
            <w:tcW w:w="1400"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347095F2" w14:textId="77777777" w:rsidR="002211F8" w:rsidRDefault="002211F8" w:rsidP="00B87181">
            <w:pPr>
              <w:pStyle w:val="BodyA"/>
              <w:spacing w:line="360" w:lineRule="auto"/>
              <w:jc w:val="both"/>
              <w:rPr>
                <w:sz w:val="18"/>
                <w:szCs w:val="18"/>
              </w:rPr>
            </w:pPr>
          </w:p>
          <w:p w14:paraId="5E35468B" w14:textId="77777777" w:rsidR="002211F8" w:rsidRDefault="002211F8" w:rsidP="00B87181">
            <w:pPr>
              <w:pStyle w:val="BodyA"/>
              <w:spacing w:line="360" w:lineRule="auto"/>
              <w:jc w:val="both"/>
              <w:rPr>
                <w:sz w:val="18"/>
                <w:szCs w:val="18"/>
              </w:rPr>
            </w:pPr>
            <w:r>
              <w:rPr>
                <w:sz w:val="18"/>
                <w:szCs w:val="18"/>
              </w:rPr>
              <w:t>-0.02 ± 1.11</w:t>
            </w:r>
          </w:p>
          <w:p w14:paraId="3CE03656" w14:textId="77777777" w:rsidR="002211F8" w:rsidRDefault="002211F8" w:rsidP="00B87181">
            <w:pPr>
              <w:pStyle w:val="BodyA"/>
              <w:spacing w:line="360" w:lineRule="auto"/>
              <w:jc w:val="both"/>
            </w:pPr>
            <w:r>
              <w:rPr>
                <w:sz w:val="18"/>
                <w:szCs w:val="18"/>
              </w:rPr>
              <w:t>-0.28 ± 1.02</w:t>
            </w:r>
          </w:p>
        </w:tc>
        <w:tc>
          <w:tcPr>
            <w:tcW w:w="1375"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0091540B" w14:textId="77777777" w:rsidR="002211F8" w:rsidRDefault="002211F8" w:rsidP="00B87181">
            <w:pPr>
              <w:pStyle w:val="BodyA"/>
              <w:spacing w:line="360" w:lineRule="auto"/>
              <w:jc w:val="both"/>
              <w:rPr>
                <w:sz w:val="18"/>
                <w:szCs w:val="18"/>
              </w:rPr>
            </w:pPr>
          </w:p>
          <w:p w14:paraId="6251D275" w14:textId="77777777" w:rsidR="002211F8" w:rsidRDefault="002211F8" w:rsidP="00B87181">
            <w:pPr>
              <w:pStyle w:val="BodyA"/>
              <w:spacing w:line="360" w:lineRule="auto"/>
              <w:jc w:val="both"/>
              <w:rPr>
                <w:sz w:val="18"/>
                <w:szCs w:val="18"/>
              </w:rPr>
            </w:pPr>
            <w:r>
              <w:rPr>
                <w:sz w:val="18"/>
                <w:szCs w:val="18"/>
              </w:rPr>
              <w:t>-0.45 to 0.40</w:t>
            </w:r>
          </w:p>
          <w:p w14:paraId="7803AFA3" w14:textId="77777777" w:rsidR="002211F8" w:rsidRDefault="002211F8" w:rsidP="00B87181">
            <w:pPr>
              <w:pStyle w:val="BodyA"/>
              <w:spacing w:line="360" w:lineRule="auto"/>
              <w:jc w:val="both"/>
            </w:pPr>
            <w:r>
              <w:rPr>
                <w:sz w:val="18"/>
                <w:szCs w:val="18"/>
              </w:rPr>
              <w:t>-067 to 0.11</w:t>
            </w:r>
          </w:p>
        </w:tc>
        <w:tc>
          <w:tcPr>
            <w:tcW w:w="1376"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4076036A" w14:textId="77777777" w:rsidR="002211F8" w:rsidRDefault="002211F8" w:rsidP="00B87181">
            <w:pPr>
              <w:pStyle w:val="BodyA"/>
              <w:spacing w:line="360" w:lineRule="auto"/>
              <w:jc w:val="both"/>
              <w:rPr>
                <w:sz w:val="18"/>
                <w:szCs w:val="18"/>
              </w:rPr>
            </w:pPr>
          </w:p>
          <w:p w14:paraId="0A6DD573" w14:textId="77777777" w:rsidR="002211F8" w:rsidRDefault="002211F8" w:rsidP="00B87181">
            <w:pPr>
              <w:pStyle w:val="BodyA"/>
              <w:spacing w:line="360" w:lineRule="auto"/>
              <w:jc w:val="both"/>
              <w:rPr>
                <w:sz w:val="18"/>
                <w:szCs w:val="18"/>
              </w:rPr>
            </w:pPr>
            <w:r>
              <w:rPr>
                <w:sz w:val="18"/>
                <w:szCs w:val="18"/>
              </w:rPr>
              <w:t>-0.45 ± 1.2</w:t>
            </w:r>
          </w:p>
          <w:p w14:paraId="32A24B62" w14:textId="77777777" w:rsidR="002211F8" w:rsidRDefault="002211F8" w:rsidP="00B87181">
            <w:pPr>
              <w:pStyle w:val="BodyA"/>
              <w:spacing w:line="360" w:lineRule="auto"/>
              <w:jc w:val="both"/>
            </w:pPr>
            <w:r>
              <w:rPr>
                <w:sz w:val="18"/>
                <w:szCs w:val="18"/>
              </w:rPr>
              <w:t>-0.53 ± 1.11</w:t>
            </w:r>
            <w:r>
              <w:rPr>
                <w:rFonts w:ascii="Symbol" w:hAnsi="Symbol"/>
                <w:sz w:val="18"/>
                <w:szCs w:val="18"/>
                <w:vertAlign w:val="superscript"/>
              </w:rPr>
              <w:t></w:t>
            </w:r>
          </w:p>
        </w:tc>
        <w:tc>
          <w:tcPr>
            <w:tcW w:w="1192"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1732C7B2" w14:textId="77777777" w:rsidR="002211F8" w:rsidRDefault="002211F8" w:rsidP="00B87181">
            <w:pPr>
              <w:pStyle w:val="BodyA"/>
              <w:spacing w:line="360" w:lineRule="auto"/>
              <w:jc w:val="both"/>
              <w:rPr>
                <w:sz w:val="18"/>
                <w:szCs w:val="18"/>
              </w:rPr>
            </w:pPr>
          </w:p>
          <w:p w14:paraId="1223AA05" w14:textId="77777777" w:rsidR="002211F8" w:rsidRDefault="002211F8" w:rsidP="00B87181">
            <w:pPr>
              <w:pStyle w:val="BodyA"/>
              <w:spacing w:line="360" w:lineRule="auto"/>
              <w:jc w:val="both"/>
              <w:rPr>
                <w:sz w:val="18"/>
                <w:szCs w:val="18"/>
              </w:rPr>
            </w:pPr>
            <w:r>
              <w:rPr>
                <w:sz w:val="18"/>
                <w:szCs w:val="18"/>
              </w:rPr>
              <w:t>-0.91 to 0.01</w:t>
            </w:r>
          </w:p>
          <w:p w14:paraId="7D3E37B0" w14:textId="77777777" w:rsidR="002211F8" w:rsidRDefault="002211F8" w:rsidP="00B87181">
            <w:pPr>
              <w:pStyle w:val="BodyA"/>
              <w:spacing w:line="360" w:lineRule="auto"/>
              <w:jc w:val="both"/>
            </w:pPr>
            <w:r>
              <w:rPr>
                <w:sz w:val="18"/>
                <w:szCs w:val="18"/>
              </w:rPr>
              <w:t>-0.98 to -0.08</w:t>
            </w:r>
          </w:p>
        </w:tc>
        <w:tc>
          <w:tcPr>
            <w:tcW w:w="951"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56EB4BC7" w14:textId="77777777" w:rsidR="002211F8" w:rsidRDefault="002211F8" w:rsidP="00B87181">
            <w:pPr>
              <w:pStyle w:val="BodyA"/>
              <w:spacing w:line="360" w:lineRule="auto"/>
              <w:jc w:val="both"/>
              <w:rPr>
                <w:sz w:val="18"/>
                <w:szCs w:val="18"/>
              </w:rPr>
            </w:pPr>
          </w:p>
          <w:p w14:paraId="1BC7006A" w14:textId="77777777" w:rsidR="002211F8" w:rsidRDefault="002211F8" w:rsidP="00B87181">
            <w:pPr>
              <w:pStyle w:val="BodyA"/>
              <w:spacing w:line="360" w:lineRule="auto"/>
              <w:jc w:val="both"/>
              <w:rPr>
                <w:sz w:val="18"/>
                <w:szCs w:val="18"/>
              </w:rPr>
            </w:pPr>
            <w:r>
              <w:rPr>
                <w:sz w:val="18"/>
                <w:szCs w:val="18"/>
              </w:rPr>
              <w:t>0.17**</w:t>
            </w:r>
          </w:p>
          <w:p w14:paraId="3C67A44C" w14:textId="77777777" w:rsidR="002211F8" w:rsidRDefault="002211F8" w:rsidP="00B87181">
            <w:pPr>
              <w:pStyle w:val="BodyA"/>
              <w:spacing w:line="360" w:lineRule="auto"/>
              <w:jc w:val="both"/>
            </w:pPr>
            <w:r>
              <w:rPr>
                <w:sz w:val="18"/>
                <w:szCs w:val="18"/>
              </w:rPr>
              <w:t>0.38**</w:t>
            </w:r>
          </w:p>
        </w:tc>
      </w:tr>
      <w:tr w:rsidR="002211F8" w14:paraId="4D3329BE" w14:textId="77777777" w:rsidTr="00B87181">
        <w:trPr>
          <w:trHeight w:val="1110"/>
        </w:trPr>
        <w:tc>
          <w:tcPr>
            <w:tcW w:w="2725"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56715CD9" w14:textId="77777777" w:rsidR="002211F8" w:rsidRDefault="002211F8" w:rsidP="00B87181">
            <w:pPr>
              <w:pStyle w:val="BodyA"/>
              <w:spacing w:line="360" w:lineRule="auto"/>
              <w:jc w:val="both"/>
              <w:rPr>
                <w:sz w:val="18"/>
                <w:szCs w:val="18"/>
              </w:rPr>
            </w:pPr>
            <w:r>
              <w:rPr>
                <w:b/>
                <w:bCs/>
                <w:sz w:val="18"/>
                <w:szCs w:val="18"/>
              </w:rPr>
              <w:t xml:space="preserve">Anterior </w:t>
            </w:r>
            <w:proofErr w:type="spellStart"/>
            <w:r>
              <w:rPr>
                <w:b/>
                <w:bCs/>
                <w:sz w:val="18"/>
                <w:szCs w:val="18"/>
              </w:rPr>
              <w:t>keratometric</w:t>
            </w:r>
            <w:proofErr w:type="spellEnd"/>
            <w:r>
              <w:rPr>
                <w:b/>
                <w:bCs/>
                <w:sz w:val="18"/>
                <w:szCs w:val="18"/>
              </w:rPr>
              <w:t xml:space="preserve"> astigmatism</w:t>
            </w:r>
          </w:p>
          <w:p w14:paraId="5603E040" w14:textId="77777777" w:rsidR="002211F8" w:rsidRDefault="002211F8" w:rsidP="00B87181">
            <w:pPr>
              <w:pStyle w:val="BodyA"/>
              <w:spacing w:line="360" w:lineRule="auto"/>
              <w:jc w:val="both"/>
              <w:rPr>
                <w:sz w:val="18"/>
                <w:szCs w:val="18"/>
              </w:rPr>
            </w:pPr>
            <w:r>
              <w:rPr>
                <w:b/>
                <w:bCs/>
                <w:sz w:val="18"/>
                <w:szCs w:val="18"/>
              </w:rPr>
              <w:t>6 months</w:t>
            </w:r>
          </w:p>
          <w:p w14:paraId="6DBED4E8" w14:textId="77777777" w:rsidR="002211F8" w:rsidRDefault="002211F8" w:rsidP="00B87181">
            <w:pPr>
              <w:pStyle w:val="BodyA"/>
              <w:spacing w:line="360" w:lineRule="auto"/>
              <w:jc w:val="both"/>
            </w:pPr>
            <w:r>
              <w:rPr>
                <w:b/>
                <w:bCs/>
                <w:sz w:val="18"/>
                <w:szCs w:val="18"/>
              </w:rPr>
              <w:t>12 months</w:t>
            </w:r>
          </w:p>
        </w:tc>
        <w:tc>
          <w:tcPr>
            <w:tcW w:w="1400"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4CFACA6E" w14:textId="77777777" w:rsidR="002211F8" w:rsidRDefault="002211F8" w:rsidP="00B87181">
            <w:pPr>
              <w:pStyle w:val="BodyA"/>
              <w:spacing w:line="360" w:lineRule="auto"/>
              <w:jc w:val="both"/>
              <w:rPr>
                <w:sz w:val="18"/>
                <w:szCs w:val="18"/>
              </w:rPr>
            </w:pPr>
          </w:p>
          <w:p w14:paraId="4C34CB6E" w14:textId="77777777" w:rsidR="002211F8" w:rsidRDefault="002211F8" w:rsidP="00B87181">
            <w:pPr>
              <w:pStyle w:val="BodyA"/>
              <w:spacing w:line="360" w:lineRule="auto"/>
              <w:jc w:val="both"/>
              <w:rPr>
                <w:sz w:val="18"/>
                <w:szCs w:val="18"/>
              </w:rPr>
            </w:pPr>
            <w:r>
              <w:rPr>
                <w:sz w:val="18"/>
                <w:szCs w:val="18"/>
              </w:rPr>
              <w:t>1.50 ± 0.83</w:t>
            </w:r>
          </w:p>
          <w:p w14:paraId="206D2343" w14:textId="77777777" w:rsidR="002211F8" w:rsidRDefault="002211F8" w:rsidP="00B87181">
            <w:pPr>
              <w:pStyle w:val="BodyA"/>
              <w:spacing w:line="360" w:lineRule="auto"/>
              <w:jc w:val="both"/>
            </w:pPr>
            <w:r>
              <w:rPr>
                <w:sz w:val="18"/>
                <w:szCs w:val="18"/>
              </w:rPr>
              <w:t>1.36 ± 0.85</w:t>
            </w:r>
          </w:p>
        </w:tc>
        <w:tc>
          <w:tcPr>
            <w:tcW w:w="1375"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15EE9530" w14:textId="77777777" w:rsidR="002211F8" w:rsidRDefault="002211F8" w:rsidP="00B87181">
            <w:pPr>
              <w:pStyle w:val="BodyA"/>
              <w:spacing w:line="360" w:lineRule="auto"/>
              <w:jc w:val="both"/>
              <w:rPr>
                <w:sz w:val="18"/>
                <w:szCs w:val="18"/>
              </w:rPr>
            </w:pPr>
          </w:p>
          <w:p w14:paraId="7CDE0FBA" w14:textId="77777777" w:rsidR="002211F8" w:rsidRDefault="002211F8" w:rsidP="00B87181">
            <w:pPr>
              <w:pStyle w:val="BodyA"/>
              <w:spacing w:line="360" w:lineRule="auto"/>
              <w:jc w:val="both"/>
              <w:rPr>
                <w:sz w:val="18"/>
                <w:szCs w:val="18"/>
              </w:rPr>
            </w:pPr>
            <w:r>
              <w:rPr>
                <w:sz w:val="18"/>
                <w:szCs w:val="18"/>
              </w:rPr>
              <w:t>1.18 to 1.83</w:t>
            </w:r>
          </w:p>
          <w:p w14:paraId="6E0E42BC" w14:textId="77777777" w:rsidR="002211F8" w:rsidRDefault="002211F8" w:rsidP="00B87181">
            <w:pPr>
              <w:pStyle w:val="BodyA"/>
              <w:spacing w:line="360" w:lineRule="auto"/>
              <w:jc w:val="both"/>
            </w:pPr>
            <w:r>
              <w:rPr>
                <w:sz w:val="18"/>
                <w:szCs w:val="18"/>
              </w:rPr>
              <w:t>1.03 to 1.69</w:t>
            </w:r>
          </w:p>
        </w:tc>
        <w:tc>
          <w:tcPr>
            <w:tcW w:w="1376"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3423235A" w14:textId="77777777" w:rsidR="002211F8" w:rsidRDefault="002211F8" w:rsidP="00B87181">
            <w:pPr>
              <w:pStyle w:val="BodyA"/>
              <w:spacing w:line="360" w:lineRule="auto"/>
              <w:jc w:val="both"/>
              <w:rPr>
                <w:sz w:val="18"/>
                <w:szCs w:val="18"/>
              </w:rPr>
            </w:pPr>
          </w:p>
          <w:p w14:paraId="431013AE" w14:textId="77777777" w:rsidR="002211F8" w:rsidRDefault="002211F8" w:rsidP="00B87181">
            <w:pPr>
              <w:pStyle w:val="BodyA"/>
              <w:spacing w:line="360" w:lineRule="auto"/>
              <w:jc w:val="both"/>
              <w:rPr>
                <w:sz w:val="18"/>
                <w:szCs w:val="18"/>
              </w:rPr>
            </w:pPr>
            <w:r>
              <w:rPr>
                <w:sz w:val="18"/>
                <w:szCs w:val="18"/>
              </w:rPr>
              <w:t>1.50 ± 0.97</w:t>
            </w:r>
          </w:p>
          <w:p w14:paraId="5ACFC7D6" w14:textId="77777777" w:rsidR="002211F8" w:rsidRDefault="002211F8" w:rsidP="00B87181">
            <w:pPr>
              <w:pStyle w:val="BodyA"/>
              <w:spacing w:line="360" w:lineRule="auto"/>
              <w:jc w:val="both"/>
            </w:pPr>
            <w:r>
              <w:rPr>
                <w:sz w:val="18"/>
                <w:szCs w:val="18"/>
              </w:rPr>
              <w:t>1.38 ± 0.98</w:t>
            </w:r>
            <w:r>
              <w:rPr>
                <w:rFonts w:ascii="Symbol" w:hAnsi="Symbol"/>
                <w:sz w:val="18"/>
                <w:szCs w:val="18"/>
                <w:vertAlign w:val="superscript"/>
              </w:rPr>
              <w:t></w:t>
            </w:r>
          </w:p>
        </w:tc>
        <w:tc>
          <w:tcPr>
            <w:tcW w:w="1192"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70323D79" w14:textId="77777777" w:rsidR="002211F8" w:rsidRDefault="002211F8" w:rsidP="00B87181">
            <w:pPr>
              <w:pStyle w:val="BodyA"/>
              <w:spacing w:line="360" w:lineRule="auto"/>
              <w:jc w:val="both"/>
              <w:rPr>
                <w:sz w:val="18"/>
                <w:szCs w:val="18"/>
              </w:rPr>
            </w:pPr>
          </w:p>
          <w:p w14:paraId="526D37E7" w14:textId="77777777" w:rsidR="002211F8" w:rsidRDefault="002211F8" w:rsidP="00B87181">
            <w:pPr>
              <w:pStyle w:val="BodyA"/>
              <w:spacing w:line="360" w:lineRule="auto"/>
              <w:jc w:val="both"/>
              <w:rPr>
                <w:sz w:val="18"/>
                <w:szCs w:val="18"/>
              </w:rPr>
            </w:pPr>
            <w:r>
              <w:rPr>
                <w:sz w:val="18"/>
                <w:szCs w:val="18"/>
              </w:rPr>
              <w:t>1.12 to 1.88</w:t>
            </w:r>
          </w:p>
          <w:p w14:paraId="430676F4" w14:textId="77777777" w:rsidR="002211F8" w:rsidRDefault="002211F8" w:rsidP="00B87181">
            <w:pPr>
              <w:pStyle w:val="BodyA"/>
              <w:spacing w:line="360" w:lineRule="auto"/>
              <w:jc w:val="both"/>
            </w:pPr>
            <w:r>
              <w:rPr>
                <w:sz w:val="18"/>
                <w:szCs w:val="18"/>
              </w:rPr>
              <w:t>0.98 to 1.77</w:t>
            </w:r>
          </w:p>
        </w:tc>
        <w:tc>
          <w:tcPr>
            <w:tcW w:w="951"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6A0E46E7" w14:textId="77777777" w:rsidR="002211F8" w:rsidRDefault="002211F8" w:rsidP="00B87181">
            <w:pPr>
              <w:pStyle w:val="BodyA"/>
              <w:spacing w:line="360" w:lineRule="auto"/>
              <w:jc w:val="both"/>
              <w:rPr>
                <w:sz w:val="18"/>
                <w:szCs w:val="18"/>
              </w:rPr>
            </w:pPr>
          </w:p>
          <w:p w14:paraId="40C30B12" w14:textId="77777777" w:rsidR="002211F8" w:rsidRDefault="002211F8" w:rsidP="00B87181">
            <w:pPr>
              <w:pStyle w:val="BodyA"/>
              <w:spacing w:line="360" w:lineRule="auto"/>
              <w:jc w:val="both"/>
              <w:rPr>
                <w:sz w:val="18"/>
                <w:szCs w:val="18"/>
              </w:rPr>
            </w:pPr>
            <w:r>
              <w:rPr>
                <w:sz w:val="18"/>
                <w:szCs w:val="18"/>
              </w:rPr>
              <w:t>0.79*</w:t>
            </w:r>
          </w:p>
          <w:p w14:paraId="158C94BF" w14:textId="77777777" w:rsidR="002211F8" w:rsidRDefault="002211F8" w:rsidP="00B87181">
            <w:pPr>
              <w:pStyle w:val="BodyA"/>
              <w:spacing w:line="360" w:lineRule="auto"/>
              <w:jc w:val="both"/>
            </w:pPr>
            <w:r>
              <w:rPr>
                <w:sz w:val="18"/>
                <w:szCs w:val="18"/>
              </w:rPr>
              <w:t>0.95*</w:t>
            </w:r>
          </w:p>
        </w:tc>
      </w:tr>
      <w:tr w:rsidR="002211F8" w14:paraId="683A38BA" w14:textId="77777777" w:rsidTr="00B87181">
        <w:trPr>
          <w:trHeight w:val="1110"/>
        </w:trPr>
        <w:tc>
          <w:tcPr>
            <w:tcW w:w="2725"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3ED54D5E" w14:textId="77777777" w:rsidR="002211F8" w:rsidRDefault="002211F8" w:rsidP="00B87181">
            <w:pPr>
              <w:pStyle w:val="BodyA"/>
              <w:spacing w:line="360" w:lineRule="auto"/>
              <w:jc w:val="both"/>
              <w:rPr>
                <w:sz w:val="18"/>
                <w:szCs w:val="18"/>
              </w:rPr>
            </w:pPr>
            <w:r>
              <w:rPr>
                <w:b/>
                <w:bCs/>
                <w:sz w:val="18"/>
                <w:szCs w:val="18"/>
              </w:rPr>
              <w:t xml:space="preserve">Posterior </w:t>
            </w:r>
            <w:proofErr w:type="spellStart"/>
            <w:r>
              <w:rPr>
                <w:b/>
                <w:bCs/>
                <w:sz w:val="18"/>
                <w:szCs w:val="18"/>
              </w:rPr>
              <w:t>keratometric</w:t>
            </w:r>
            <w:proofErr w:type="spellEnd"/>
            <w:r>
              <w:rPr>
                <w:b/>
                <w:bCs/>
                <w:sz w:val="18"/>
                <w:szCs w:val="18"/>
              </w:rPr>
              <w:t xml:space="preserve"> astigmatism</w:t>
            </w:r>
          </w:p>
          <w:p w14:paraId="1805E5D8" w14:textId="77777777" w:rsidR="002211F8" w:rsidRDefault="002211F8" w:rsidP="00B87181">
            <w:pPr>
              <w:pStyle w:val="BodyA"/>
              <w:spacing w:line="360" w:lineRule="auto"/>
              <w:jc w:val="both"/>
              <w:rPr>
                <w:sz w:val="18"/>
                <w:szCs w:val="18"/>
              </w:rPr>
            </w:pPr>
            <w:r>
              <w:rPr>
                <w:b/>
                <w:bCs/>
                <w:sz w:val="18"/>
                <w:szCs w:val="18"/>
              </w:rPr>
              <w:t xml:space="preserve">6 months </w:t>
            </w:r>
          </w:p>
          <w:p w14:paraId="354F4904" w14:textId="77777777" w:rsidR="002211F8" w:rsidRDefault="002211F8" w:rsidP="00B87181">
            <w:pPr>
              <w:pStyle w:val="BodyA"/>
              <w:spacing w:line="360" w:lineRule="auto"/>
              <w:jc w:val="both"/>
            </w:pPr>
            <w:r>
              <w:rPr>
                <w:b/>
                <w:bCs/>
                <w:sz w:val="18"/>
                <w:szCs w:val="18"/>
              </w:rPr>
              <w:t>12 months</w:t>
            </w:r>
          </w:p>
        </w:tc>
        <w:tc>
          <w:tcPr>
            <w:tcW w:w="1400"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3DB0E51C" w14:textId="77777777" w:rsidR="002211F8" w:rsidRDefault="002211F8" w:rsidP="00B87181">
            <w:pPr>
              <w:pStyle w:val="BodyA"/>
              <w:spacing w:line="360" w:lineRule="auto"/>
              <w:jc w:val="both"/>
              <w:rPr>
                <w:sz w:val="18"/>
                <w:szCs w:val="18"/>
              </w:rPr>
            </w:pPr>
          </w:p>
          <w:p w14:paraId="46524806" w14:textId="77777777" w:rsidR="002211F8" w:rsidRDefault="002211F8" w:rsidP="00B87181">
            <w:pPr>
              <w:pStyle w:val="BodyA"/>
              <w:spacing w:line="360" w:lineRule="auto"/>
              <w:jc w:val="both"/>
              <w:rPr>
                <w:sz w:val="18"/>
                <w:szCs w:val="18"/>
              </w:rPr>
            </w:pPr>
            <w:r>
              <w:rPr>
                <w:sz w:val="18"/>
                <w:szCs w:val="18"/>
              </w:rPr>
              <w:t>0.29 ± 1.43</w:t>
            </w:r>
          </w:p>
          <w:p w14:paraId="5DA1FAC0" w14:textId="77777777" w:rsidR="002211F8" w:rsidRDefault="002211F8" w:rsidP="00B87181">
            <w:pPr>
              <w:pStyle w:val="BodyA"/>
              <w:spacing w:line="360" w:lineRule="auto"/>
              <w:jc w:val="both"/>
            </w:pPr>
            <w:r>
              <w:rPr>
                <w:sz w:val="18"/>
                <w:szCs w:val="18"/>
              </w:rPr>
              <w:t>0.26 ± 1.44</w:t>
            </w:r>
          </w:p>
        </w:tc>
        <w:tc>
          <w:tcPr>
            <w:tcW w:w="1375"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2A1D7929" w14:textId="77777777" w:rsidR="002211F8" w:rsidRDefault="002211F8" w:rsidP="00B87181">
            <w:pPr>
              <w:pStyle w:val="BodyA"/>
              <w:spacing w:line="360" w:lineRule="auto"/>
              <w:jc w:val="both"/>
              <w:rPr>
                <w:sz w:val="18"/>
                <w:szCs w:val="18"/>
              </w:rPr>
            </w:pPr>
          </w:p>
          <w:p w14:paraId="47BDD277" w14:textId="77777777" w:rsidR="002211F8" w:rsidRDefault="002211F8" w:rsidP="00B87181">
            <w:pPr>
              <w:pStyle w:val="BodyA"/>
              <w:spacing w:line="360" w:lineRule="auto"/>
              <w:jc w:val="both"/>
              <w:rPr>
                <w:sz w:val="18"/>
                <w:szCs w:val="18"/>
              </w:rPr>
            </w:pPr>
            <w:r>
              <w:rPr>
                <w:sz w:val="18"/>
                <w:szCs w:val="18"/>
              </w:rPr>
              <w:t>-0.26 to 0.84</w:t>
            </w:r>
          </w:p>
          <w:p w14:paraId="583FFE63" w14:textId="77777777" w:rsidR="002211F8" w:rsidRDefault="002211F8" w:rsidP="00B87181">
            <w:pPr>
              <w:pStyle w:val="BodyA"/>
              <w:spacing w:line="360" w:lineRule="auto"/>
              <w:jc w:val="both"/>
            </w:pPr>
            <w:r>
              <w:rPr>
                <w:sz w:val="18"/>
                <w:szCs w:val="18"/>
              </w:rPr>
              <w:t>-0.29 to 0.82</w:t>
            </w:r>
          </w:p>
        </w:tc>
        <w:tc>
          <w:tcPr>
            <w:tcW w:w="1376"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2A0F1008" w14:textId="77777777" w:rsidR="002211F8" w:rsidRDefault="002211F8" w:rsidP="00B87181">
            <w:pPr>
              <w:pStyle w:val="BodyA"/>
              <w:spacing w:line="360" w:lineRule="auto"/>
              <w:jc w:val="both"/>
              <w:rPr>
                <w:sz w:val="18"/>
                <w:szCs w:val="18"/>
              </w:rPr>
            </w:pPr>
          </w:p>
          <w:p w14:paraId="1EE6C43F" w14:textId="77777777" w:rsidR="002211F8" w:rsidRDefault="002211F8" w:rsidP="00B87181">
            <w:pPr>
              <w:pStyle w:val="BodyA"/>
              <w:spacing w:line="360" w:lineRule="auto"/>
              <w:jc w:val="both"/>
              <w:rPr>
                <w:sz w:val="18"/>
                <w:szCs w:val="18"/>
              </w:rPr>
            </w:pPr>
            <w:r>
              <w:rPr>
                <w:sz w:val="18"/>
                <w:szCs w:val="18"/>
              </w:rPr>
              <w:t>0.38 ± 0.24</w:t>
            </w:r>
          </w:p>
          <w:p w14:paraId="1603675A" w14:textId="77777777" w:rsidR="002211F8" w:rsidRDefault="002211F8" w:rsidP="00B87181">
            <w:pPr>
              <w:pStyle w:val="BodyA"/>
              <w:spacing w:line="360" w:lineRule="auto"/>
              <w:jc w:val="both"/>
            </w:pPr>
            <w:r>
              <w:rPr>
                <w:sz w:val="18"/>
                <w:szCs w:val="18"/>
              </w:rPr>
              <w:t>0.37 ± 0.26</w:t>
            </w:r>
            <w:r>
              <w:rPr>
                <w:rFonts w:ascii="Symbol" w:hAnsi="Symbol"/>
                <w:sz w:val="18"/>
                <w:szCs w:val="18"/>
                <w:vertAlign w:val="superscript"/>
              </w:rPr>
              <w:t></w:t>
            </w:r>
          </w:p>
        </w:tc>
        <w:tc>
          <w:tcPr>
            <w:tcW w:w="1192"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1BA09F98" w14:textId="77777777" w:rsidR="002211F8" w:rsidRDefault="002211F8" w:rsidP="00B87181">
            <w:pPr>
              <w:pStyle w:val="BodyA"/>
              <w:spacing w:line="360" w:lineRule="auto"/>
              <w:jc w:val="both"/>
              <w:rPr>
                <w:sz w:val="18"/>
                <w:szCs w:val="18"/>
              </w:rPr>
            </w:pPr>
          </w:p>
          <w:p w14:paraId="7C175106" w14:textId="77777777" w:rsidR="002211F8" w:rsidRDefault="002211F8" w:rsidP="00B87181">
            <w:pPr>
              <w:pStyle w:val="BodyA"/>
              <w:spacing w:line="360" w:lineRule="auto"/>
              <w:jc w:val="both"/>
              <w:rPr>
                <w:sz w:val="18"/>
                <w:szCs w:val="18"/>
              </w:rPr>
            </w:pPr>
            <w:r>
              <w:rPr>
                <w:sz w:val="18"/>
                <w:szCs w:val="18"/>
              </w:rPr>
              <w:t>0.29 to 0.45</w:t>
            </w:r>
          </w:p>
          <w:p w14:paraId="258C45F9" w14:textId="77777777" w:rsidR="002211F8" w:rsidRDefault="002211F8" w:rsidP="00B87181">
            <w:pPr>
              <w:pStyle w:val="BodyA"/>
              <w:spacing w:line="360" w:lineRule="auto"/>
              <w:jc w:val="both"/>
            </w:pPr>
            <w:r>
              <w:rPr>
                <w:sz w:val="18"/>
                <w:szCs w:val="18"/>
              </w:rPr>
              <w:t>0.26 to 0.48</w:t>
            </w:r>
          </w:p>
        </w:tc>
        <w:tc>
          <w:tcPr>
            <w:tcW w:w="951"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11651F6D" w14:textId="77777777" w:rsidR="002211F8" w:rsidRDefault="002211F8" w:rsidP="00B87181">
            <w:pPr>
              <w:pStyle w:val="BodyA"/>
              <w:spacing w:line="360" w:lineRule="auto"/>
              <w:jc w:val="both"/>
              <w:rPr>
                <w:sz w:val="18"/>
                <w:szCs w:val="18"/>
              </w:rPr>
            </w:pPr>
          </w:p>
          <w:p w14:paraId="6F735463" w14:textId="77777777" w:rsidR="002211F8" w:rsidRDefault="002211F8" w:rsidP="00B87181">
            <w:pPr>
              <w:pStyle w:val="BodyA"/>
              <w:spacing w:line="360" w:lineRule="auto"/>
              <w:jc w:val="both"/>
              <w:rPr>
                <w:sz w:val="18"/>
                <w:szCs w:val="18"/>
              </w:rPr>
            </w:pPr>
            <w:r>
              <w:rPr>
                <w:sz w:val="18"/>
                <w:szCs w:val="18"/>
              </w:rPr>
              <w:t>0.04*</w:t>
            </w:r>
          </w:p>
          <w:p w14:paraId="36795838" w14:textId="77777777" w:rsidR="002211F8" w:rsidRDefault="002211F8" w:rsidP="00B87181">
            <w:pPr>
              <w:pStyle w:val="BodyA"/>
              <w:spacing w:line="360" w:lineRule="auto"/>
              <w:jc w:val="both"/>
            </w:pPr>
            <w:r>
              <w:rPr>
                <w:sz w:val="18"/>
                <w:szCs w:val="18"/>
              </w:rPr>
              <w:t>0.15*</w:t>
            </w:r>
          </w:p>
        </w:tc>
      </w:tr>
      <w:tr w:rsidR="002211F8" w14:paraId="22051BCE" w14:textId="77777777" w:rsidTr="00B87181">
        <w:trPr>
          <w:trHeight w:val="1410"/>
        </w:trPr>
        <w:tc>
          <w:tcPr>
            <w:tcW w:w="2725"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1C9F365A" w14:textId="77777777" w:rsidR="002211F8" w:rsidRDefault="002211F8" w:rsidP="00B87181">
            <w:pPr>
              <w:pStyle w:val="BodyA"/>
              <w:spacing w:line="360" w:lineRule="auto"/>
              <w:jc w:val="both"/>
              <w:rPr>
                <w:sz w:val="18"/>
                <w:szCs w:val="18"/>
              </w:rPr>
            </w:pPr>
            <w:r>
              <w:rPr>
                <w:b/>
                <w:bCs/>
                <w:sz w:val="18"/>
                <w:szCs w:val="18"/>
              </w:rPr>
              <w:t>Anterior Q value</w:t>
            </w:r>
          </w:p>
          <w:p w14:paraId="22F4DB10" w14:textId="77777777" w:rsidR="002211F8" w:rsidRDefault="002211F8" w:rsidP="00B87181">
            <w:pPr>
              <w:pStyle w:val="BodyA"/>
              <w:spacing w:line="360" w:lineRule="auto"/>
              <w:jc w:val="both"/>
              <w:rPr>
                <w:sz w:val="18"/>
                <w:szCs w:val="18"/>
              </w:rPr>
            </w:pPr>
            <w:r>
              <w:rPr>
                <w:b/>
                <w:bCs/>
                <w:sz w:val="18"/>
                <w:szCs w:val="18"/>
              </w:rPr>
              <w:t>6 months</w:t>
            </w:r>
          </w:p>
          <w:p w14:paraId="2684A96A" w14:textId="77777777" w:rsidR="002211F8" w:rsidRDefault="002211F8" w:rsidP="00B87181">
            <w:pPr>
              <w:pStyle w:val="BodyA"/>
              <w:spacing w:line="360" w:lineRule="auto"/>
              <w:jc w:val="both"/>
            </w:pPr>
            <w:r>
              <w:rPr>
                <w:b/>
                <w:bCs/>
                <w:sz w:val="18"/>
                <w:szCs w:val="18"/>
              </w:rPr>
              <w:t>12 months</w:t>
            </w:r>
          </w:p>
        </w:tc>
        <w:tc>
          <w:tcPr>
            <w:tcW w:w="1400"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4A640E9D" w14:textId="77777777" w:rsidR="002211F8" w:rsidRDefault="002211F8" w:rsidP="00B87181">
            <w:pPr>
              <w:pStyle w:val="BodyA"/>
              <w:spacing w:line="360" w:lineRule="auto"/>
              <w:jc w:val="both"/>
              <w:rPr>
                <w:sz w:val="18"/>
                <w:szCs w:val="18"/>
              </w:rPr>
            </w:pPr>
          </w:p>
          <w:p w14:paraId="7B918555" w14:textId="77777777" w:rsidR="002211F8" w:rsidRDefault="002211F8" w:rsidP="00B87181">
            <w:pPr>
              <w:pStyle w:val="BodyA"/>
              <w:spacing w:line="360" w:lineRule="auto"/>
              <w:jc w:val="both"/>
              <w:rPr>
                <w:sz w:val="18"/>
                <w:szCs w:val="18"/>
              </w:rPr>
            </w:pPr>
            <w:r>
              <w:rPr>
                <w:sz w:val="18"/>
                <w:szCs w:val="18"/>
              </w:rPr>
              <w:t>-0.31 ± 0.18</w:t>
            </w:r>
          </w:p>
          <w:p w14:paraId="18B50817" w14:textId="77777777" w:rsidR="002211F8" w:rsidRDefault="002211F8" w:rsidP="00B87181">
            <w:pPr>
              <w:pStyle w:val="BodyA"/>
              <w:spacing w:line="360" w:lineRule="auto"/>
              <w:jc w:val="both"/>
            </w:pPr>
            <w:r>
              <w:rPr>
                <w:sz w:val="18"/>
                <w:szCs w:val="18"/>
              </w:rPr>
              <w:t>-0.29 ± 0.19</w:t>
            </w:r>
          </w:p>
        </w:tc>
        <w:tc>
          <w:tcPr>
            <w:tcW w:w="1375"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740417B8" w14:textId="77777777" w:rsidR="002211F8" w:rsidRDefault="002211F8" w:rsidP="00B87181">
            <w:pPr>
              <w:pStyle w:val="BodyA"/>
              <w:spacing w:line="360" w:lineRule="auto"/>
              <w:jc w:val="both"/>
              <w:rPr>
                <w:sz w:val="18"/>
                <w:szCs w:val="18"/>
              </w:rPr>
            </w:pPr>
          </w:p>
          <w:p w14:paraId="5C0EE4FA" w14:textId="77777777" w:rsidR="002211F8" w:rsidRDefault="002211F8" w:rsidP="00B87181">
            <w:pPr>
              <w:pStyle w:val="BodyA"/>
              <w:spacing w:line="360" w:lineRule="auto"/>
              <w:jc w:val="both"/>
              <w:rPr>
                <w:sz w:val="18"/>
                <w:szCs w:val="18"/>
              </w:rPr>
            </w:pPr>
            <w:r>
              <w:rPr>
                <w:sz w:val="18"/>
                <w:szCs w:val="18"/>
              </w:rPr>
              <w:t>-0.39 to -0.24</w:t>
            </w:r>
          </w:p>
          <w:p w14:paraId="427343D4" w14:textId="77777777" w:rsidR="002211F8" w:rsidRDefault="002211F8" w:rsidP="00B87181">
            <w:pPr>
              <w:pStyle w:val="BodyA"/>
              <w:spacing w:line="360" w:lineRule="auto"/>
              <w:jc w:val="both"/>
            </w:pPr>
            <w:r>
              <w:rPr>
                <w:sz w:val="18"/>
                <w:szCs w:val="18"/>
              </w:rPr>
              <w:t xml:space="preserve">-0.36 to -0.21 </w:t>
            </w:r>
          </w:p>
        </w:tc>
        <w:tc>
          <w:tcPr>
            <w:tcW w:w="1376"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5AFE0344" w14:textId="77777777" w:rsidR="002211F8" w:rsidRDefault="002211F8" w:rsidP="00B87181">
            <w:pPr>
              <w:pStyle w:val="BodyA"/>
              <w:spacing w:line="360" w:lineRule="auto"/>
              <w:jc w:val="both"/>
              <w:rPr>
                <w:sz w:val="18"/>
                <w:szCs w:val="18"/>
              </w:rPr>
            </w:pPr>
          </w:p>
          <w:p w14:paraId="5DD02D14" w14:textId="77777777" w:rsidR="002211F8" w:rsidRDefault="002211F8" w:rsidP="00B87181">
            <w:pPr>
              <w:pStyle w:val="BodyA"/>
              <w:spacing w:line="360" w:lineRule="auto"/>
              <w:jc w:val="both"/>
              <w:rPr>
                <w:sz w:val="18"/>
                <w:szCs w:val="18"/>
              </w:rPr>
            </w:pPr>
            <w:r>
              <w:rPr>
                <w:sz w:val="18"/>
                <w:szCs w:val="18"/>
              </w:rPr>
              <w:t>-0.34 ± 0.18</w:t>
            </w:r>
          </w:p>
          <w:p w14:paraId="165E4F41" w14:textId="77777777" w:rsidR="002211F8" w:rsidRDefault="002211F8" w:rsidP="00B87181">
            <w:pPr>
              <w:pStyle w:val="BodyA"/>
              <w:spacing w:line="360" w:lineRule="auto"/>
              <w:jc w:val="both"/>
            </w:pPr>
            <w:r>
              <w:rPr>
                <w:sz w:val="18"/>
                <w:szCs w:val="18"/>
              </w:rPr>
              <w:t>-0.34 ± 0.22</w:t>
            </w:r>
            <w:r>
              <w:rPr>
                <w:rFonts w:ascii="Symbol" w:hAnsi="Symbol"/>
                <w:sz w:val="18"/>
                <w:szCs w:val="18"/>
                <w:vertAlign w:val="superscript"/>
              </w:rPr>
              <w:t></w:t>
            </w:r>
          </w:p>
        </w:tc>
        <w:tc>
          <w:tcPr>
            <w:tcW w:w="1192"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3B13352C" w14:textId="77777777" w:rsidR="002211F8" w:rsidRDefault="002211F8" w:rsidP="00B87181">
            <w:pPr>
              <w:pStyle w:val="BodyA"/>
              <w:spacing w:line="360" w:lineRule="auto"/>
              <w:jc w:val="both"/>
              <w:rPr>
                <w:sz w:val="18"/>
                <w:szCs w:val="18"/>
              </w:rPr>
            </w:pPr>
          </w:p>
          <w:p w14:paraId="6AEBBA8A" w14:textId="77777777" w:rsidR="002211F8" w:rsidRDefault="002211F8" w:rsidP="00B87181">
            <w:pPr>
              <w:pStyle w:val="BodyA"/>
              <w:spacing w:line="360" w:lineRule="auto"/>
              <w:jc w:val="both"/>
              <w:rPr>
                <w:sz w:val="18"/>
                <w:szCs w:val="18"/>
              </w:rPr>
            </w:pPr>
            <w:r>
              <w:rPr>
                <w:sz w:val="18"/>
                <w:szCs w:val="18"/>
              </w:rPr>
              <w:t>-0.41 to -0.27</w:t>
            </w:r>
          </w:p>
          <w:p w14:paraId="70602D00" w14:textId="77777777" w:rsidR="002211F8" w:rsidRDefault="002211F8" w:rsidP="00B87181">
            <w:pPr>
              <w:pStyle w:val="BodyA"/>
              <w:spacing w:line="360" w:lineRule="auto"/>
              <w:jc w:val="both"/>
            </w:pPr>
            <w:r>
              <w:rPr>
                <w:sz w:val="18"/>
                <w:szCs w:val="18"/>
              </w:rPr>
              <w:t>-0.43 to -0.25</w:t>
            </w:r>
          </w:p>
        </w:tc>
        <w:tc>
          <w:tcPr>
            <w:tcW w:w="951" w:type="dxa"/>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34AB565B" w14:textId="77777777" w:rsidR="002211F8" w:rsidRDefault="002211F8" w:rsidP="00B87181">
            <w:pPr>
              <w:pStyle w:val="BodyA"/>
              <w:spacing w:line="360" w:lineRule="auto"/>
              <w:jc w:val="both"/>
              <w:rPr>
                <w:sz w:val="18"/>
                <w:szCs w:val="18"/>
              </w:rPr>
            </w:pPr>
          </w:p>
          <w:p w14:paraId="2C1CB68E" w14:textId="77777777" w:rsidR="002211F8" w:rsidRDefault="002211F8" w:rsidP="00B87181">
            <w:pPr>
              <w:pStyle w:val="BodyA"/>
              <w:spacing w:line="360" w:lineRule="auto"/>
              <w:jc w:val="both"/>
              <w:rPr>
                <w:sz w:val="18"/>
                <w:szCs w:val="18"/>
              </w:rPr>
            </w:pPr>
            <w:r>
              <w:rPr>
                <w:sz w:val="18"/>
                <w:szCs w:val="18"/>
              </w:rPr>
              <w:t>0.69**</w:t>
            </w:r>
          </w:p>
          <w:p w14:paraId="649422BA" w14:textId="77777777" w:rsidR="002211F8" w:rsidRDefault="002211F8" w:rsidP="00B87181">
            <w:pPr>
              <w:pStyle w:val="BodyA"/>
              <w:spacing w:line="360" w:lineRule="auto"/>
              <w:jc w:val="both"/>
            </w:pPr>
            <w:r>
              <w:rPr>
                <w:sz w:val="18"/>
                <w:szCs w:val="18"/>
              </w:rPr>
              <w:t>0.34*</w:t>
            </w:r>
          </w:p>
        </w:tc>
      </w:tr>
      <w:tr w:rsidR="002211F8" w14:paraId="2732CF75" w14:textId="77777777" w:rsidTr="00B87181">
        <w:trPr>
          <w:trHeight w:val="1410"/>
        </w:trPr>
        <w:tc>
          <w:tcPr>
            <w:tcW w:w="2725"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39086655" w14:textId="77777777" w:rsidR="002211F8" w:rsidRDefault="002211F8" w:rsidP="00B87181">
            <w:pPr>
              <w:pStyle w:val="BodyA"/>
              <w:spacing w:line="360" w:lineRule="auto"/>
              <w:jc w:val="both"/>
              <w:rPr>
                <w:sz w:val="18"/>
                <w:szCs w:val="18"/>
              </w:rPr>
            </w:pPr>
            <w:r>
              <w:rPr>
                <w:b/>
                <w:bCs/>
                <w:sz w:val="18"/>
                <w:szCs w:val="18"/>
              </w:rPr>
              <w:t>Posterior Q value</w:t>
            </w:r>
          </w:p>
          <w:p w14:paraId="124AA313" w14:textId="77777777" w:rsidR="002211F8" w:rsidRDefault="002211F8" w:rsidP="00B87181">
            <w:pPr>
              <w:pStyle w:val="BodyA"/>
              <w:spacing w:line="360" w:lineRule="auto"/>
              <w:jc w:val="both"/>
              <w:rPr>
                <w:sz w:val="18"/>
                <w:szCs w:val="18"/>
              </w:rPr>
            </w:pPr>
            <w:r>
              <w:rPr>
                <w:b/>
                <w:bCs/>
                <w:sz w:val="18"/>
                <w:szCs w:val="18"/>
              </w:rPr>
              <w:t>6 months</w:t>
            </w:r>
          </w:p>
          <w:p w14:paraId="545EBB5C" w14:textId="77777777" w:rsidR="002211F8" w:rsidRDefault="002211F8" w:rsidP="00B87181">
            <w:pPr>
              <w:pStyle w:val="BodyA"/>
              <w:spacing w:line="360" w:lineRule="auto"/>
              <w:jc w:val="both"/>
            </w:pPr>
            <w:r>
              <w:rPr>
                <w:b/>
                <w:bCs/>
                <w:sz w:val="18"/>
                <w:szCs w:val="18"/>
              </w:rPr>
              <w:t>12 months</w:t>
            </w:r>
          </w:p>
        </w:tc>
        <w:tc>
          <w:tcPr>
            <w:tcW w:w="1400"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51469FBF" w14:textId="77777777" w:rsidR="002211F8" w:rsidRDefault="002211F8" w:rsidP="00B87181">
            <w:pPr>
              <w:pStyle w:val="BodyA"/>
              <w:spacing w:line="360" w:lineRule="auto"/>
              <w:jc w:val="both"/>
              <w:rPr>
                <w:sz w:val="18"/>
                <w:szCs w:val="18"/>
              </w:rPr>
            </w:pPr>
          </w:p>
          <w:p w14:paraId="1D6B4EBC" w14:textId="77777777" w:rsidR="002211F8" w:rsidRDefault="002211F8" w:rsidP="00B87181">
            <w:pPr>
              <w:pStyle w:val="BodyA"/>
              <w:spacing w:line="360" w:lineRule="auto"/>
              <w:jc w:val="both"/>
              <w:rPr>
                <w:sz w:val="18"/>
                <w:szCs w:val="18"/>
              </w:rPr>
            </w:pPr>
            <w:r>
              <w:rPr>
                <w:sz w:val="18"/>
                <w:szCs w:val="18"/>
              </w:rPr>
              <w:t>-0.99 ± 0.52</w:t>
            </w:r>
          </w:p>
          <w:p w14:paraId="38B84ECD" w14:textId="77777777" w:rsidR="002211F8" w:rsidRDefault="002211F8" w:rsidP="00B87181">
            <w:pPr>
              <w:pStyle w:val="BodyA"/>
              <w:spacing w:line="360" w:lineRule="auto"/>
              <w:jc w:val="both"/>
            </w:pPr>
            <w:r>
              <w:rPr>
                <w:sz w:val="18"/>
                <w:szCs w:val="18"/>
              </w:rPr>
              <w:t xml:space="preserve">-1.02 ± 0.63 </w:t>
            </w:r>
          </w:p>
        </w:tc>
        <w:tc>
          <w:tcPr>
            <w:tcW w:w="1375"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11B3D369" w14:textId="77777777" w:rsidR="002211F8" w:rsidRDefault="002211F8" w:rsidP="00B87181">
            <w:pPr>
              <w:pStyle w:val="BodyA"/>
              <w:spacing w:line="360" w:lineRule="auto"/>
              <w:jc w:val="both"/>
              <w:rPr>
                <w:sz w:val="18"/>
                <w:szCs w:val="18"/>
              </w:rPr>
            </w:pPr>
          </w:p>
          <w:p w14:paraId="3AC21AD1" w14:textId="77777777" w:rsidR="002211F8" w:rsidRDefault="002211F8" w:rsidP="00B87181">
            <w:pPr>
              <w:pStyle w:val="BodyA"/>
              <w:spacing w:line="360" w:lineRule="auto"/>
              <w:jc w:val="both"/>
              <w:rPr>
                <w:sz w:val="18"/>
                <w:szCs w:val="18"/>
              </w:rPr>
            </w:pPr>
            <w:r>
              <w:rPr>
                <w:sz w:val="18"/>
                <w:szCs w:val="18"/>
              </w:rPr>
              <w:t>-1.19 to -0.79</w:t>
            </w:r>
          </w:p>
          <w:p w14:paraId="438B9C31" w14:textId="77777777" w:rsidR="002211F8" w:rsidRDefault="002211F8" w:rsidP="00B87181">
            <w:pPr>
              <w:pStyle w:val="BodyA"/>
              <w:spacing w:line="360" w:lineRule="auto"/>
              <w:jc w:val="both"/>
            </w:pPr>
            <w:r>
              <w:rPr>
                <w:sz w:val="18"/>
                <w:szCs w:val="18"/>
              </w:rPr>
              <w:t>-1.27 to -0.78</w:t>
            </w:r>
          </w:p>
        </w:tc>
        <w:tc>
          <w:tcPr>
            <w:tcW w:w="1376"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5DF3DC97" w14:textId="77777777" w:rsidR="002211F8" w:rsidRDefault="002211F8" w:rsidP="00B87181">
            <w:pPr>
              <w:pStyle w:val="BodyA"/>
              <w:spacing w:line="360" w:lineRule="auto"/>
              <w:jc w:val="both"/>
              <w:rPr>
                <w:sz w:val="18"/>
                <w:szCs w:val="18"/>
              </w:rPr>
            </w:pPr>
          </w:p>
          <w:p w14:paraId="6F62700F" w14:textId="77777777" w:rsidR="002211F8" w:rsidRDefault="002211F8" w:rsidP="00B87181">
            <w:pPr>
              <w:pStyle w:val="BodyA"/>
              <w:spacing w:line="360" w:lineRule="auto"/>
              <w:jc w:val="both"/>
              <w:rPr>
                <w:sz w:val="18"/>
                <w:szCs w:val="18"/>
              </w:rPr>
            </w:pPr>
            <w:r>
              <w:rPr>
                <w:sz w:val="18"/>
                <w:szCs w:val="18"/>
              </w:rPr>
              <w:t>-0.40 ± 0.20</w:t>
            </w:r>
          </w:p>
          <w:p w14:paraId="2E71DC2C" w14:textId="77777777" w:rsidR="002211F8" w:rsidRDefault="002211F8" w:rsidP="00B87181">
            <w:pPr>
              <w:pStyle w:val="BodyA"/>
              <w:spacing w:line="360" w:lineRule="auto"/>
              <w:jc w:val="both"/>
            </w:pPr>
            <w:r>
              <w:rPr>
                <w:sz w:val="18"/>
                <w:szCs w:val="18"/>
              </w:rPr>
              <w:t>-0.43 ± 0.26</w:t>
            </w:r>
            <w:r>
              <w:rPr>
                <w:rFonts w:ascii="Symbol" w:hAnsi="Symbol"/>
                <w:sz w:val="18"/>
                <w:szCs w:val="18"/>
                <w:vertAlign w:val="superscript"/>
              </w:rPr>
              <w:t></w:t>
            </w:r>
          </w:p>
        </w:tc>
        <w:tc>
          <w:tcPr>
            <w:tcW w:w="1192"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61184D0A" w14:textId="77777777" w:rsidR="002211F8" w:rsidRDefault="002211F8" w:rsidP="00B87181">
            <w:pPr>
              <w:pStyle w:val="BodyA"/>
              <w:spacing w:line="360" w:lineRule="auto"/>
              <w:jc w:val="both"/>
              <w:rPr>
                <w:sz w:val="18"/>
                <w:szCs w:val="18"/>
              </w:rPr>
            </w:pPr>
          </w:p>
          <w:p w14:paraId="7C50564A" w14:textId="77777777" w:rsidR="002211F8" w:rsidRDefault="002211F8" w:rsidP="00B87181">
            <w:pPr>
              <w:pStyle w:val="BodyA"/>
              <w:spacing w:line="360" w:lineRule="auto"/>
              <w:jc w:val="both"/>
              <w:rPr>
                <w:sz w:val="18"/>
                <w:szCs w:val="18"/>
              </w:rPr>
            </w:pPr>
            <w:r>
              <w:rPr>
                <w:sz w:val="18"/>
                <w:szCs w:val="18"/>
              </w:rPr>
              <w:t>-0.48 to -0.32</w:t>
            </w:r>
          </w:p>
          <w:p w14:paraId="310B5709" w14:textId="77777777" w:rsidR="002211F8" w:rsidRDefault="002211F8" w:rsidP="00B87181">
            <w:pPr>
              <w:pStyle w:val="BodyA"/>
              <w:spacing w:line="360" w:lineRule="auto"/>
              <w:jc w:val="both"/>
            </w:pPr>
            <w:r>
              <w:rPr>
                <w:sz w:val="18"/>
                <w:szCs w:val="18"/>
              </w:rPr>
              <w:t>-0.53 to -0.32</w:t>
            </w:r>
          </w:p>
        </w:tc>
        <w:tc>
          <w:tcPr>
            <w:tcW w:w="951" w:type="dxa"/>
            <w:tcBorders>
              <w:top w:val="single" w:sz="4" w:space="0" w:color="666666"/>
              <w:left w:val="single" w:sz="4" w:space="0" w:color="666666"/>
              <w:bottom w:val="single" w:sz="4" w:space="0" w:color="666666"/>
              <w:right w:val="single" w:sz="4" w:space="0" w:color="666666"/>
            </w:tcBorders>
            <w:shd w:val="clear" w:color="auto" w:fill="auto"/>
            <w:tcMar>
              <w:top w:w="80" w:type="dxa"/>
              <w:left w:w="80" w:type="dxa"/>
              <w:bottom w:w="80" w:type="dxa"/>
              <w:right w:w="80" w:type="dxa"/>
            </w:tcMar>
          </w:tcPr>
          <w:p w14:paraId="1B16BB61" w14:textId="77777777" w:rsidR="002211F8" w:rsidRDefault="002211F8" w:rsidP="00B87181">
            <w:pPr>
              <w:pStyle w:val="BodyA"/>
              <w:spacing w:line="360" w:lineRule="auto"/>
              <w:jc w:val="both"/>
              <w:rPr>
                <w:sz w:val="18"/>
                <w:szCs w:val="18"/>
              </w:rPr>
            </w:pPr>
          </w:p>
          <w:p w14:paraId="521F3A2D" w14:textId="77777777" w:rsidR="002211F8" w:rsidRDefault="002211F8" w:rsidP="00B87181">
            <w:pPr>
              <w:pStyle w:val="BodyA"/>
              <w:jc w:val="both"/>
              <w:rPr>
                <w:sz w:val="18"/>
                <w:szCs w:val="18"/>
              </w:rPr>
            </w:pPr>
            <w:r>
              <w:rPr>
                <w:sz w:val="18"/>
                <w:szCs w:val="18"/>
              </w:rPr>
              <w:t>&lt;0.0001**</w:t>
            </w:r>
          </w:p>
          <w:p w14:paraId="1307A432" w14:textId="77777777" w:rsidR="002211F8" w:rsidRDefault="002211F8" w:rsidP="00B87181">
            <w:pPr>
              <w:pStyle w:val="BodyA"/>
              <w:spacing w:line="360" w:lineRule="auto"/>
              <w:jc w:val="both"/>
            </w:pPr>
            <w:r>
              <w:rPr>
                <w:sz w:val="18"/>
                <w:szCs w:val="18"/>
              </w:rPr>
              <w:t>&lt;0.0001**</w:t>
            </w:r>
          </w:p>
        </w:tc>
      </w:tr>
      <w:tr w:rsidR="002211F8" w14:paraId="764D9A93" w14:textId="77777777" w:rsidTr="00B87181">
        <w:trPr>
          <w:trHeight w:val="1141"/>
        </w:trPr>
        <w:tc>
          <w:tcPr>
            <w:tcW w:w="9019" w:type="dxa"/>
            <w:gridSpan w:val="6"/>
            <w:tcBorders>
              <w:top w:val="single" w:sz="4" w:space="0" w:color="666666"/>
              <w:left w:val="single" w:sz="4" w:space="0" w:color="666666"/>
              <w:bottom w:val="single" w:sz="4" w:space="0" w:color="666666"/>
              <w:right w:val="single" w:sz="4" w:space="0" w:color="666666"/>
            </w:tcBorders>
            <w:shd w:val="clear" w:color="auto" w:fill="CCCCCC"/>
            <w:tcMar>
              <w:top w:w="80" w:type="dxa"/>
              <w:left w:w="80" w:type="dxa"/>
              <w:bottom w:w="80" w:type="dxa"/>
              <w:right w:w="80" w:type="dxa"/>
            </w:tcMar>
          </w:tcPr>
          <w:p w14:paraId="634D854E" w14:textId="77777777" w:rsidR="002211F8" w:rsidRDefault="002211F8" w:rsidP="00B87181">
            <w:pPr>
              <w:pStyle w:val="BodyA"/>
              <w:spacing w:line="360" w:lineRule="auto"/>
              <w:jc w:val="both"/>
              <w:rPr>
                <w:sz w:val="18"/>
                <w:szCs w:val="18"/>
              </w:rPr>
            </w:pPr>
            <w:r>
              <w:rPr>
                <w:sz w:val="18"/>
                <w:szCs w:val="18"/>
              </w:rPr>
              <w:t>*Mann- Whitney   **unpaired t test</w:t>
            </w:r>
          </w:p>
          <w:p w14:paraId="2FFFFE51" w14:textId="77777777" w:rsidR="002211F8" w:rsidRDefault="002211F8" w:rsidP="00B87181">
            <w:pPr>
              <w:pStyle w:val="BodyA"/>
              <w:spacing w:line="360" w:lineRule="auto"/>
              <w:jc w:val="both"/>
              <w:rPr>
                <w:sz w:val="18"/>
                <w:szCs w:val="18"/>
              </w:rPr>
            </w:pPr>
            <w:r>
              <w:rPr>
                <w:rFonts w:ascii="Symbol" w:hAnsi="Symbol"/>
                <w:sz w:val="18"/>
                <w:szCs w:val="18"/>
                <w:vertAlign w:val="superscript"/>
              </w:rPr>
              <w:t></w:t>
            </w:r>
            <w:r>
              <w:rPr>
                <w:sz w:val="18"/>
                <w:szCs w:val="18"/>
              </w:rPr>
              <w:t xml:space="preserve">Patients included in analysis: n=27, 1 patient excluded from </w:t>
            </w:r>
            <w:proofErr w:type="gramStart"/>
            <w:r>
              <w:rPr>
                <w:sz w:val="18"/>
                <w:szCs w:val="18"/>
              </w:rPr>
              <w:t>12 month</w:t>
            </w:r>
            <w:proofErr w:type="gramEnd"/>
            <w:r>
              <w:rPr>
                <w:sz w:val="18"/>
                <w:szCs w:val="18"/>
              </w:rPr>
              <w:t xml:space="preserve"> analysis due to primary graft failure</w:t>
            </w:r>
          </w:p>
          <w:p w14:paraId="0ACC425F" w14:textId="77777777" w:rsidR="002211F8" w:rsidRDefault="002211F8" w:rsidP="00B87181">
            <w:pPr>
              <w:pStyle w:val="BodyA"/>
              <w:spacing w:line="360" w:lineRule="auto"/>
              <w:jc w:val="both"/>
              <w:rPr>
                <w:sz w:val="18"/>
                <w:szCs w:val="18"/>
              </w:rPr>
            </w:pPr>
            <w:r>
              <w:rPr>
                <w:sz w:val="18"/>
                <w:szCs w:val="18"/>
              </w:rPr>
              <w:t>MT-DSAEK: micro-thin Descemet stripping automated endothelial keratoplasty</w:t>
            </w:r>
          </w:p>
          <w:p w14:paraId="591ADAED" w14:textId="77777777" w:rsidR="002211F8" w:rsidRDefault="002211F8" w:rsidP="00B87181">
            <w:pPr>
              <w:pStyle w:val="BodyA"/>
              <w:spacing w:line="360" w:lineRule="auto"/>
              <w:jc w:val="both"/>
            </w:pPr>
            <w:r>
              <w:rPr>
                <w:sz w:val="18"/>
                <w:szCs w:val="18"/>
              </w:rPr>
              <w:t>DMEK: Descemet’s membrane endothelial keratoplasty</w:t>
            </w:r>
          </w:p>
        </w:tc>
      </w:tr>
    </w:tbl>
    <w:p w14:paraId="1A2FE97F" w14:textId="77777777" w:rsidR="002211F8" w:rsidRDefault="002211F8" w:rsidP="002211F8">
      <w:pPr>
        <w:ind w:firstLine="720"/>
      </w:pPr>
    </w:p>
    <w:p w14:paraId="3B1D7CC9" w14:textId="77777777" w:rsidR="002211F8" w:rsidRDefault="002211F8" w:rsidP="002211F8">
      <w:r>
        <w:br w:type="page"/>
      </w:r>
    </w:p>
    <w:p w14:paraId="75490814" w14:textId="77777777" w:rsidR="002211F8" w:rsidRDefault="002211F8" w:rsidP="002211F8">
      <w:pPr>
        <w:ind w:firstLine="720"/>
      </w:pPr>
      <w:r>
        <w:lastRenderedPageBreak/>
        <w:t>Table 4:</w:t>
      </w:r>
      <w:r w:rsidRPr="00CD485B">
        <w:t xml:space="preserve"> </w:t>
      </w:r>
      <w:r>
        <w:t>Endothelial cell count and central corneal thickness measurements.</w:t>
      </w:r>
    </w:p>
    <w:tbl>
      <w:tblPr>
        <w:tblW w:w="100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320"/>
        <w:gridCol w:w="1843"/>
        <w:gridCol w:w="1535"/>
        <w:gridCol w:w="1685"/>
        <w:gridCol w:w="1425"/>
        <w:gridCol w:w="1252"/>
      </w:tblGrid>
      <w:tr w:rsidR="002211F8" w14:paraId="0F7B85CC" w14:textId="77777777" w:rsidTr="00B87181">
        <w:trPr>
          <w:trHeight w:val="610"/>
        </w:trPr>
        <w:tc>
          <w:tcPr>
            <w:tcW w:w="23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DC7D809" w14:textId="77777777" w:rsidR="002211F8" w:rsidRDefault="002211F8" w:rsidP="00B87181"/>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6B792FB" w14:textId="77777777" w:rsidR="002211F8" w:rsidRDefault="002211F8" w:rsidP="00B87181">
            <w:pPr>
              <w:pStyle w:val="BodyA"/>
              <w:spacing w:line="360" w:lineRule="auto"/>
              <w:jc w:val="center"/>
            </w:pPr>
            <w:r>
              <w:rPr>
                <w:b/>
                <w:bCs/>
                <w:i/>
                <w:iCs/>
                <w:sz w:val="21"/>
                <w:szCs w:val="21"/>
              </w:rPr>
              <w:t>MT-DSAEK n=28</w:t>
            </w:r>
          </w:p>
        </w:tc>
        <w:tc>
          <w:tcPr>
            <w:tcW w:w="153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8E8C7D" w14:textId="77777777" w:rsidR="002211F8" w:rsidRDefault="002211F8" w:rsidP="00B87181"/>
        </w:tc>
        <w:tc>
          <w:tcPr>
            <w:tcW w:w="16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6B06110" w14:textId="77777777" w:rsidR="002211F8" w:rsidRDefault="002211F8" w:rsidP="00B87181">
            <w:pPr>
              <w:pStyle w:val="BodyA"/>
              <w:spacing w:line="360" w:lineRule="auto"/>
              <w:jc w:val="center"/>
            </w:pPr>
            <w:r>
              <w:rPr>
                <w:b/>
                <w:bCs/>
                <w:i/>
                <w:iCs/>
                <w:sz w:val="21"/>
                <w:szCs w:val="21"/>
              </w:rPr>
              <w:t>DMEK n=28</w:t>
            </w:r>
          </w:p>
        </w:tc>
        <w:tc>
          <w:tcPr>
            <w:tcW w:w="14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78891DB" w14:textId="77777777" w:rsidR="002211F8" w:rsidRDefault="002211F8" w:rsidP="00B87181"/>
        </w:tc>
        <w:tc>
          <w:tcPr>
            <w:tcW w:w="125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D505FE3" w14:textId="77777777" w:rsidR="002211F8" w:rsidRDefault="002211F8" w:rsidP="00B87181">
            <w:pPr>
              <w:pStyle w:val="BodyA"/>
              <w:spacing w:line="360" w:lineRule="auto"/>
              <w:jc w:val="center"/>
            </w:pPr>
            <w:r>
              <w:rPr>
                <w:b/>
                <w:bCs/>
                <w:i/>
                <w:iCs/>
                <w:sz w:val="21"/>
                <w:szCs w:val="21"/>
              </w:rPr>
              <w:t>p value</w:t>
            </w:r>
          </w:p>
        </w:tc>
      </w:tr>
      <w:tr w:rsidR="002211F8" w14:paraId="1B5E00DF" w14:textId="77777777" w:rsidTr="00B87181">
        <w:trPr>
          <w:trHeight w:val="620"/>
        </w:trPr>
        <w:tc>
          <w:tcPr>
            <w:tcW w:w="23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C8A02E" w14:textId="77777777" w:rsidR="002211F8" w:rsidRDefault="002211F8" w:rsidP="00B87181">
            <w:pPr>
              <w:pStyle w:val="BodyA"/>
              <w:spacing w:line="360" w:lineRule="auto"/>
              <w:jc w:val="center"/>
            </w:pPr>
            <w:r>
              <w:rPr>
                <w:b/>
                <w:bCs/>
                <w:sz w:val="21"/>
                <w:szCs w:val="21"/>
              </w:rPr>
              <w:t xml:space="preserve">Endothelial cell count </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BB5B99B" w14:textId="77777777" w:rsidR="002211F8" w:rsidRDefault="002211F8" w:rsidP="00B87181">
            <w:pPr>
              <w:pStyle w:val="Body"/>
              <w:jc w:val="center"/>
            </w:pPr>
            <w:r>
              <w:rPr>
                <w:b/>
                <w:bCs/>
                <w:sz w:val="21"/>
                <w:szCs w:val="21"/>
              </w:rPr>
              <w:t>mean ±SD</w:t>
            </w:r>
          </w:p>
        </w:tc>
        <w:tc>
          <w:tcPr>
            <w:tcW w:w="153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59E78A8" w14:textId="77777777" w:rsidR="002211F8" w:rsidRDefault="002211F8" w:rsidP="00B87181">
            <w:pPr>
              <w:pStyle w:val="Body"/>
              <w:jc w:val="center"/>
            </w:pPr>
            <w:r>
              <w:rPr>
                <w:sz w:val="21"/>
                <w:szCs w:val="21"/>
              </w:rPr>
              <w:t>CI 95%</w:t>
            </w:r>
          </w:p>
        </w:tc>
        <w:tc>
          <w:tcPr>
            <w:tcW w:w="16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B87768F" w14:textId="77777777" w:rsidR="002211F8" w:rsidRDefault="002211F8" w:rsidP="00B87181">
            <w:pPr>
              <w:pStyle w:val="Body"/>
              <w:jc w:val="center"/>
            </w:pPr>
            <w:r>
              <w:rPr>
                <w:b/>
                <w:bCs/>
                <w:sz w:val="21"/>
                <w:szCs w:val="21"/>
              </w:rPr>
              <w:t>mean ±SD</w:t>
            </w:r>
          </w:p>
        </w:tc>
        <w:tc>
          <w:tcPr>
            <w:tcW w:w="142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6DC2844" w14:textId="77777777" w:rsidR="002211F8" w:rsidRDefault="002211F8" w:rsidP="00B87181">
            <w:pPr>
              <w:pStyle w:val="Body"/>
              <w:jc w:val="center"/>
            </w:pPr>
            <w:r>
              <w:rPr>
                <w:sz w:val="21"/>
                <w:szCs w:val="21"/>
              </w:rPr>
              <w:t>CI 95%</w:t>
            </w:r>
          </w:p>
        </w:tc>
        <w:tc>
          <w:tcPr>
            <w:tcW w:w="125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70163C9" w14:textId="77777777" w:rsidR="002211F8" w:rsidRDefault="002211F8" w:rsidP="00B87181"/>
        </w:tc>
      </w:tr>
      <w:tr w:rsidR="002211F8" w14:paraId="47CC3AEE" w14:textId="77777777" w:rsidTr="00B87181">
        <w:trPr>
          <w:trHeight w:val="610"/>
        </w:trPr>
        <w:tc>
          <w:tcPr>
            <w:tcW w:w="23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0541F3E" w14:textId="77777777" w:rsidR="002211F8" w:rsidRDefault="002211F8" w:rsidP="00B87181">
            <w:pPr>
              <w:pStyle w:val="BodyA"/>
              <w:spacing w:line="360" w:lineRule="auto"/>
              <w:jc w:val="center"/>
            </w:pPr>
            <w:r>
              <w:rPr>
                <w:i/>
                <w:iCs/>
                <w:sz w:val="21"/>
                <w:szCs w:val="21"/>
              </w:rPr>
              <w:t>Baseline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3F31CA" w14:textId="77777777" w:rsidR="002211F8" w:rsidRDefault="002211F8" w:rsidP="00B87181">
            <w:pPr>
              <w:pStyle w:val="BodyA"/>
              <w:spacing w:line="360" w:lineRule="auto"/>
              <w:jc w:val="center"/>
            </w:pPr>
            <w:r>
              <w:rPr>
                <w:sz w:val="21"/>
                <w:szCs w:val="21"/>
              </w:rPr>
              <w:t>2632 ± 163.4</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65E8ED" w14:textId="77777777" w:rsidR="002211F8" w:rsidRDefault="002211F8" w:rsidP="00B87181">
            <w:pPr>
              <w:pStyle w:val="BodyA"/>
              <w:spacing w:line="360" w:lineRule="auto"/>
              <w:jc w:val="center"/>
            </w:pPr>
            <w:r>
              <w:rPr>
                <w:sz w:val="21"/>
                <w:szCs w:val="21"/>
              </w:rPr>
              <w:t>2569 to 2696</w:t>
            </w:r>
          </w:p>
        </w:tc>
        <w:tc>
          <w:tcPr>
            <w:tcW w:w="1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A5AC75" w14:textId="77777777" w:rsidR="002211F8" w:rsidRDefault="002211F8" w:rsidP="00B87181">
            <w:pPr>
              <w:pStyle w:val="BodyA"/>
              <w:spacing w:line="360" w:lineRule="auto"/>
              <w:jc w:val="center"/>
            </w:pPr>
            <w:r>
              <w:rPr>
                <w:sz w:val="21"/>
                <w:szCs w:val="21"/>
              </w:rPr>
              <w:t>2682 ± 205.1</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D5CE9C" w14:textId="77777777" w:rsidR="002211F8" w:rsidRDefault="002211F8" w:rsidP="00B87181">
            <w:pPr>
              <w:pStyle w:val="BodyA"/>
              <w:spacing w:line="360" w:lineRule="auto"/>
              <w:jc w:val="center"/>
            </w:pPr>
            <w:r>
              <w:rPr>
                <w:sz w:val="21"/>
                <w:szCs w:val="21"/>
              </w:rPr>
              <w:t>2603 to 2762</w:t>
            </w:r>
          </w:p>
        </w:tc>
        <w:tc>
          <w:tcPr>
            <w:tcW w:w="1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6402CC" w14:textId="77777777" w:rsidR="002211F8" w:rsidRDefault="002211F8" w:rsidP="00B87181">
            <w:pPr>
              <w:pStyle w:val="BodyA"/>
              <w:spacing w:line="360" w:lineRule="auto"/>
              <w:jc w:val="center"/>
            </w:pPr>
            <w:r>
              <w:rPr>
                <w:sz w:val="21"/>
                <w:szCs w:val="21"/>
              </w:rPr>
              <w:t>0.36*</w:t>
            </w:r>
          </w:p>
        </w:tc>
      </w:tr>
      <w:tr w:rsidR="002211F8" w14:paraId="2784762F" w14:textId="77777777" w:rsidTr="00B87181">
        <w:trPr>
          <w:trHeight w:val="610"/>
        </w:trPr>
        <w:tc>
          <w:tcPr>
            <w:tcW w:w="23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0FD88D1" w14:textId="77777777" w:rsidR="002211F8" w:rsidRDefault="002211F8" w:rsidP="00B87181">
            <w:pPr>
              <w:pStyle w:val="BodyA"/>
              <w:spacing w:line="360" w:lineRule="auto"/>
              <w:jc w:val="center"/>
            </w:pPr>
            <w:r>
              <w:rPr>
                <w:i/>
                <w:iCs/>
                <w:sz w:val="21"/>
                <w:szCs w:val="21"/>
              </w:rPr>
              <w:t>6</w:t>
            </w:r>
            <w:r>
              <w:rPr>
                <w:i/>
                <w:iCs/>
                <w:sz w:val="21"/>
                <w:szCs w:val="21"/>
                <w:vertAlign w:val="superscript"/>
              </w:rPr>
              <w:t>th</w:t>
            </w:r>
            <w:r>
              <w:rPr>
                <w:i/>
                <w:iCs/>
                <w:sz w:val="21"/>
                <w:szCs w:val="21"/>
              </w:rPr>
              <w:t xml:space="preserve"> month</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97670ED" w14:textId="77777777" w:rsidR="002211F8" w:rsidRDefault="002211F8" w:rsidP="00B87181">
            <w:pPr>
              <w:pStyle w:val="BodyA"/>
              <w:spacing w:line="360" w:lineRule="auto"/>
              <w:jc w:val="center"/>
            </w:pPr>
            <w:r>
              <w:rPr>
                <w:sz w:val="21"/>
                <w:szCs w:val="21"/>
              </w:rPr>
              <w:t>1605 ± 383.6</w:t>
            </w:r>
          </w:p>
        </w:tc>
        <w:tc>
          <w:tcPr>
            <w:tcW w:w="153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D6F403" w14:textId="77777777" w:rsidR="002211F8" w:rsidRDefault="002211F8" w:rsidP="00B87181">
            <w:pPr>
              <w:pStyle w:val="BodyA"/>
              <w:spacing w:line="360" w:lineRule="auto"/>
              <w:jc w:val="center"/>
            </w:pPr>
            <w:r>
              <w:rPr>
                <w:sz w:val="21"/>
                <w:szCs w:val="21"/>
              </w:rPr>
              <w:t>1457 to 1754</w:t>
            </w:r>
          </w:p>
        </w:tc>
        <w:tc>
          <w:tcPr>
            <w:tcW w:w="16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45BFA1C" w14:textId="77777777" w:rsidR="002211F8" w:rsidRDefault="002211F8" w:rsidP="00B87181">
            <w:pPr>
              <w:pStyle w:val="BodyA"/>
              <w:spacing w:line="360" w:lineRule="auto"/>
              <w:jc w:val="center"/>
            </w:pPr>
            <w:r>
              <w:rPr>
                <w:sz w:val="21"/>
                <w:szCs w:val="21"/>
              </w:rPr>
              <w:t>1702 ± 377.2</w:t>
            </w:r>
          </w:p>
        </w:tc>
        <w:tc>
          <w:tcPr>
            <w:tcW w:w="142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7796CC53" w14:textId="77777777" w:rsidR="002211F8" w:rsidRDefault="002211F8" w:rsidP="00B87181">
            <w:pPr>
              <w:pStyle w:val="BodyA"/>
              <w:spacing w:line="360" w:lineRule="auto"/>
              <w:jc w:val="center"/>
            </w:pPr>
            <w:r>
              <w:rPr>
                <w:sz w:val="21"/>
                <w:szCs w:val="21"/>
              </w:rPr>
              <w:t>1550 to 1854</w:t>
            </w:r>
          </w:p>
        </w:tc>
        <w:tc>
          <w:tcPr>
            <w:tcW w:w="125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298948" w14:textId="77777777" w:rsidR="002211F8" w:rsidRDefault="002211F8" w:rsidP="00B87181">
            <w:pPr>
              <w:pStyle w:val="BodyA"/>
              <w:spacing w:line="360" w:lineRule="auto"/>
              <w:jc w:val="center"/>
            </w:pPr>
            <w:r>
              <w:rPr>
                <w:sz w:val="21"/>
                <w:szCs w:val="21"/>
              </w:rPr>
              <w:t>0.28*</w:t>
            </w:r>
          </w:p>
        </w:tc>
      </w:tr>
      <w:tr w:rsidR="002211F8" w14:paraId="608F1DF1" w14:textId="77777777" w:rsidTr="00B87181">
        <w:trPr>
          <w:trHeight w:val="610"/>
        </w:trPr>
        <w:tc>
          <w:tcPr>
            <w:tcW w:w="23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FB6B9A0" w14:textId="77777777" w:rsidR="002211F8" w:rsidRDefault="002211F8" w:rsidP="00B87181">
            <w:pPr>
              <w:pStyle w:val="BodyA"/>
              <w:spacing w:line="360" w:lineRule="auto"/>
              <w:jc w:val="center"/>
            </w:pPr>
            <w:r>
              <w:rPr>
                <w:i/>
                <w:iCs/>
                <w:sz w:val="21"/>
                <w:szCs w:val="21"/>
              </w:rPr>
              <w:t>12</w:t>
            </w:r>
            <w:r>
              <w:rPr>
                <w:i/>
                <w:iCs/>
                <w:sz w:val="21"/>
                <w:szCs w:val="21"/>
                <w:vertAlign w:val="superscript"/>
              </w:rPr>
              <w:t>th</w:t>
            </w:r>
            <w:r>
              <w:rPr>
                <w:i/>
                <w:iCs/>
                <w:sz w:val="21"/>
                <w:szCs w:val="21"/>
              </w:rPr>
              <w:t xml:space="preserve"> month</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FBECB7" w14:textId="77777777" w:rsidR="002211F8" w:rsidRDefault="002211F8" w:rsidP="00B87181">
            <w:pPr>
              <w:pStyle w:val="BodyA"/>
              <w:spacing w:line="360" w:lineRule="auto"/>
              <w:jc w:val="center"/>
            </w:pPr>
            <w:r>
              <w:rPr>
                <w:sz w:val="21"/>
                <w:szCs w:val="21"/>
              </w:rPr>
              <w:t>1468 ± 385.6</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B50E29" w14:textId="77777777" w:rsidR="002211F8" w:rsidRDefault="002211F8" w:rsidP="00B87181">
            <w:pPr>
              <w:pStyle w:val="BodyA"/>
              <w:spacing w:line="360" w:lineRule="auto"/>
              <w:jc w:val="center"/>
            </w:pPr>
            <w:r>
              <w:rPr>
                <w:sz w:val="21"/>
                <w:szCs w:val="21"/>
              </w:rPr>
              <w:t>1319 to 1618</w:t>
            </w:r>
          </w:p>
        </w:tc>
        <w:tc>
          <w:tcPr>
            <w:tcW w:w="168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2ED0107" w14:textId="77777777" w:rsidR="002211F8" w:rsidRDefault="002211F8" w:rsidP="00B87181">
            <w:pPr>
              <w:pStyle w:val="BodyA"/>
              <w:spacing w:line="360" w:lineRule="auto"/>
              <w:jc w:val="center"/>
            </w:pPr>
            <w:r>
              <w:rPr>
                <w:sz w:val="21"/>
                <w:szCs w:val="21"/>
              </w:rPr>
              <w:t>1641 ± 385.5</w:t>
            </w:r>
            <w:r>
              <w:rPr>
                <w:rFonts w:ascii="Symbol" w:hAnsi="Symbol"/>
                <w:sz w:val="21"/>
                <w:szCs w:val="21"/>
                <w:vertAlign w:val="superscript"/>
              </w:rPr>
              <w:t></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4D43FC" w14:textId="77777777" w:rsidR="002211F8" w:rsidRDefault="002211F8" w:rsidP="00B87181">
            <w:pPr>
              <w:pStyle w:val="BodyA"/>
              <w:spacing w:line="360" w:lineRule="auto"/>
              <w:jc w:val="center"/>
            </w:pPr>
            <w:r>
              <w:rPr>
                <w:sz w:val="21"/>
                <w:szCs w:val="21"/>
              </w:rPr>
              <w:t>1485 to 1796</w:t>
            </w:r>
          </w:p>
        </w:tc>
        <w:tc>
          <w:tcPr>
            <w:tcW w:w="125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435D73D" w14:textId="77777777" w:rsidR="002211F8" w:rsidRDefault="002211F8" w:rsidP="00B87181">
            <w:pPr>
              <w:pStyle w:val="BodyA"/>
              <w:spacing w:line="360" w:lineRule="auto"/>
              <w:jc w:val="center"/>
            </w:pPr>
            <w:r>
              <w:rPr>
                <w:sz w:val="21"/>
                <w:szCs w:val="21"/>
              </w:rPr>
              <w:t>0.09*</w:t>
            </w:r>
          </w:p>
        </w:tc>
      </w:tr>
      <w:tr w:rsidR="002211F8" w14:paraId="2B9C7AA2" w14:textId="77777777" w:rsidTr="00B87181">
        <w:trPr>
          <w:trHeight w:val="712"/>
        </w:trPr>
        <w:tc>
          <w:tcPr>
            <w:tcW w:w="23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D7C9E22" w14:textId="77777777" w:rsidR="002211F8" w:rsidRDefault="002211F8" w:rsidP="00B87181">
            <w:pPr>
              <w:pStyle w:val="BodyA"/>
              <w:spacing w:line="360" w:lineRule="auto"/>
              <w:jc w:val="center"/>
            </w:pPr>
            <w:r>
              <w:rPr>
                <w:b/>
                <w:bCs/>
                <w:i/>
                <w:iCs/>
                <w:sz w:val="21"/>
                <w:szCs w:val="21"/>
              </w:rPr>
              <w:t xml:space="preserve">Central corneal thickness </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0CB7AA8" w14:textId="77777777" w:rsidR="002211F8" w:rsidRDefault="002211F8" w:rsidP="00B87181">
            <w:pPr>
              <w:pStyle w:val="Body"/>
              <w:jc w:val="center"/>
            </w:pPr>
            <w:r>
              <w:rPr>
                <w:b/>
                <w:bCs/>
                <w:sz w:val="21"/>
                <w:szCs w:val="21"/>
              </w:rPr>
              <w:t>mean ±SD</w:t>
            </w:r>
          </w:p>
        </w:tc>
        <w:tc>
          <w:tcPr>
            <w:tcW w:w="153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92D660E" w14:textId="77777777" w:rsidR="002211F8" w:rsidRDefault="002211F8" w:rsidP="00B87181">
            <w:pPr>
              <w:pStyle w:val="Body"/>
              <w:jc w:val="center"/>
            </w:pPr>
            <w:r>
              <w:rPr>
                <w:sz w:val="21"/>
                <w:szCs w:val="21"/>
              </w:rPr>
              <w:t>CI 95%</w:t>
            </w:r>
          </w:p>
        </w:tc>
        <w:tc>
          <w:tcPr>
            <w:tcW w:w="16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B11DEC" w14:textId="77777777" w:rsidR="002211F8" w:rsidRDefault="002211F8" w:rsidP="00B87181">
            <w:pPr>
              <w:pStyle w:val="Body"/>
              <w:jc w:val="center"/>
            </w:pPr>
            <w:r>
              <w:rPr>
                <w:b/>
                <w:bCs/>
                <w:sz w:val="21"/>
                <w:szCs w:val="21"/>
              </w:rPr>
              <w:t>mean ±SD</w:t>
            </w:r>
          </w:p>
        </w:tc>
        <w:tc>
          <w:tcPr>
            <w:tcW w:w="142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ED5C3DE" w14:textId="77777777" w:rsidR="002211F8" w:rsidRDefault="002211F8" w:rsidP="00B87181">
            <w:pPr>
              <w:pStyle w:val="Body"/>
              <w:jc w:val="center"/>
            </w:pPr>
            <w:r>
              <w:rPr>
                <w:sz w:val="21"/>
                <w:szCs w:val="21"/>
              </w:rPr>
              <w:t>CI 95%</w:t>
            </w:r>
          </w:p>
        </w:tc>
        <w:tc>
          <w:tcPr>
            <w:tcW w:w="125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9C81363" w14:textId="77777777" w:rsidR="002211F8" w:rsidRDefault="002211F8" w:rsidP="00B87181"/>
        </w:tc>
      </w:tr>
      <w:tr w:rsidR="002211F8" w14:paraId="664C2337" w14:textId="77777777" w:rsidTr="00B87181">
        <w:trPr>
          <w:trHeight w:val="269"/>
        </w:trPr>
        <w:tc>
          <w:tcPr>
            <w:tcW w:w="23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D195F23" w14:textId="77777777" w:rsidR="002211F8" w:rsidRDefault="002211F8" w:rsidP="00B87181">
            <w:pPr>
              <w:pStyle w:val="BodyA"/>
              <w:spacing w:line="360" w:lineRule="auto"/>
              <w:jc w:val="center"/>
            </w:pPr>
            <w:r>
              <w:rPr>
                <w:i/>
                <w:iCs/>
                <w:sz w:val="21"/>
                <w:szCs w:val="21"/>
              </w:rPr>
              <w:t>6</w:t>
            </w:r>
            <w:r>
              <w:rPr>
                <w:i/>
                <w:iCs/>
                <w:sz w:val="21"/>
                <w:szCs w:val="21"/>
                <w:vertAlign w:val="superscript"/>
              </w:rPr>
              <w:t>th</w:t>
            </w:r>
            <w:r>
              <w:rPr>
                <w:i/>
                <w:iCs/>
                <w:sz w:val="21"/>
                <w:szCs w:val="21"/>
              </w:rPr>
              <w:t xml:space="preserve"> month</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6383BA" w14:textId="77777777" w:rsidR="002211F8" w:rsidRDefault="002211F8" w:rsidP="00B87181">
            <w:pPr>
              <w:pStyle w:val="BodyA"/>
              <w:spacing w:line="360" w:lineRule="auto"/>
              <w:jc w:val="center"/>
            </w:pPr>
            <w:r>
              <w:rPr>
                <w:sz w:val="21"/>
                <w:szCs w:val="21"/>
              </w:rPr>
              <w:t>561 ± 55.97</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C15163" w14:textId="77777777" w:rsidR="002211F8" w:rsidRDefault="002211F8" w:rsidP="00B87181">
            <w:pPr>
              <w:pStyle w:val="BodyA"/>
              <w:spacing w:line="360" w:lineRule="auto"/>
              <w:jc w:val="center"/>
            </w:pPr>
            <w:r>
              <w:rPr>
                <w:sz w:val="21"/>
                <w:szCs w:val="21"/>
              </w:rPr>
              <w:t>539 to 582</w:t>
            </w:r>
          </w:p>
        </w:tc>
        <w:tc>
          <w:tcPr>
            <w:tcW w:w="1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5BFC23" w14:textId="77777777" w:rsidR="002211F8" w:rsidRDefault="002211F8" w:rsidP="00B87181">
            <w:pPr>
              <w:pStyle w:val="BodyA"/>
              <w:spacing w:line="360" w:lineRule="auto"/>
              <w:jc w:val="center"/>
            </w:pPr>
            <w:r>
              <w:rPr>
                <w:sz w:val="21"/>
                <w:szCs w:val="21"/>
              </w:rPr>
              <w:t>520 ± 40.21</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E494E5" w14:textId="77777777" w:rsidR="002211F8" w:rsidRDefault="002211F8" w:rsidP="00B87181">
            <w:pPr>
              <w:pStyle w:val="BodyA"/>
              <w:jc w:val="center"/>
            </w:pPr>
            <w:r>
              <w:rPr>
                <w:sz w:val="21"/>
                <w:szCs w:val="21"/>
              </w:rPr>
              <w:t>504 to 535</w:t>
            </w:r>
          </w:p>
        </w:tc>
        <w:tc>
          <w:tcPr>
            <w:tcW w:w="1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30E849" w14:textId="77777777" w:rsidR="002211F8" w:rsidRDefault="002211F8" w:rsidP="00B87181">
            <w:pPr>
              <w:pStyle w:val="BodyA"/>
              <w:jc w:val="center"/>
            </w:pPr>
            <w:r>
              <w:rPr>
                <w:sz w:val="21"/>
                <w:szCs w:val="21"/>
              </w:rPr>
              <w:t>0.0028^</w:t>
            </w:r>
          </w:p>
        </w:tc>
      </w:tr>
      <w:tr w:rsidR="002211F8" w14:paraId="1A9F0EA7" w14:textId="77777777" w:rsidTr="00B87181">
        <w:trPr>
          <w:trHeight w:val="269"/>
        </w:trPr>
        <w:tc>
          <w:tcPr>
            <w:tcW w:w="23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1EFE800" w14:textId="77777777" w:rsidR="002211F8" w:rsidRDefault="002211F8" w:rsidP="00B87181">
            <w:pPr>
              <w:pStyle w:val="BodyA"/>
              <w:spacing w:line="360" w:lineRule="auto"/>
              <w:jc w:val="center"/>
            </w:pPr>
            <w:r>
              <w:rPr>
                <w:i/>
                <w:iCs/>
                <w:sz w:val="21"/>
                <w:szCs w:val="21"/>
              </w:rPr>
              <w:t>12</w:t>
            </w:r>
            <w:r>
              <w:rPr>
                <w:i/>
                <w:iCs/>
                <w:sz w:val="21"/>
                <w:szCs w:val="21"/>
                <w:vertAlign w:val="superscript"/>
              </w:rPr>
              <w:t>th</w:t>
            </w:r>
            <w:r>
              <w:rPr>
                <w:i/>
                <w:iCs/>
                <w:sz w:val="21"/>
                <w:szCs w:val="21"/>
              </w:rPr>
              <w:t xml:space="preserve"> month</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BA3F482" w14:textId="77777777" w:rsidR="002211F8" w:rsidRDefault="002211F8" w:rsidP="00B87181">
            <w:pPr>
              <w:pStyle w:val="BodyA"/>
              <w:spacing w:line="360" w:lineRule="auto"/>
              <w:jc w:val="center"/>
            </w:pPr>
            <w:r>
              <w:rPr>
                <w:sz w:val="21"/>
                <w:szCs w:val="21"/>
              </w:rPr>
              <w:t>551 ± 57.89</w:t>
            </w:r>
          </w:p>
        </w:tc>
        <w:tc>
          <w:tcPr>
            <w:tcW w:w="153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E7F506" w14:textId="77777777" w:rsidR="002211F8" w:rsidRDefault="002211F8" w:rsidP="00B87181">
            <w:pPr>
              <w:pStyle w:val="BodyA"/>
              <w:spacing w:line="360" w:lineRule="auto"/>
              <w:jc w:val="center"/>
            </w:pPr>
            <w:r>
              <w:rPr>
                <w:sz w:val="21"/>
                <w:szCs w:val="21"/>
              </w:rPr>
              <w:t>529 to 574</w:t>
            </w:r>
          </w:p>
        </w:tc>
        <w:tc>
          <w:tcPr>
            <w:tcW w:w="16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CAF99D5" w14:textId="77777777" w:rsidR="002211F8" w:rsidRDefault="002211F8" w:rsidP="00B87181">
            <w:pPr>
              <w:pStyle w:val="BodyA"/>
              <w:spacing w:line="360" w:lineRule="auto"/>
              <w:jc w:val="center"/>
            </w:pPr>
            <w:r>
              <w:rPr>
                <w:sz w:val="21"/>
                <w:szCs w:val="21"/>
              </w:rPr>
              <w:t>518 ± 40.71</w:t>
            </w:r>
            <w:r>
              <w:rPr>
                <w:rFonts w:ascii="Symbol" w:hAnsi="Symbol"/>
                <w:sz w:val="21"/>
                <w:szCs w:val="21"/>
                <w:vertAlign w:val="superscript"/>
              </w:rPr>
              <w:t></w:t>
            </w:r>
          </w:p>
        </w:tc>
        <w:tc>
          <w:tcPr>
            <w:tcW w:w="142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67AD5220" w14:textId="77777777" w:rsidR="002211F8" w:rsidRDefault="002211F8" w:rsidP="00B87181">
            <w:pPr>
              <w:pStyle w:val="BodyA"/>
              <w:spacing w:line="360" w:lineRule="auto"/>
              <w:jc w:val="center"/>
            </w:pPr>
            <w:r>
              <w:rPr>
                <w:sz w:val="21"/>
                <w:szCs w:val="21"/>
              </w:rPr>
              <w:t>499 to 526</w:t>
            </w:r>
          </w:p>
        </w:tc>
        <w:tc>
          <w:tcPr>
            <w:tcW w:w="125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3475FB" w14:textId="77777777" w:rsidR="002211F8" w:rsidRDefault="002211F8" w:rsidP="00B87181">
            <w:pPr>
              <w:pStyle w:val="BodyA"/>
              <w:spacing w:line="360" w:lineRule="auto"/>
              <w:jc w:val="center"/>
            </w:pPr>
            <w:r>
              <w:rPr>
                <w:sz w:val="21"/>
                <w:szCs w:val="21"/>
              </w:rPr>
              <w:t>0.0048^</w:t>
            </w:r>
          </w:p>
        </w:tc>
      </w:tr>
      <w:tr w:rsidR="002211F8" w14:paraId="4A03BFAC" w14:textId="77777777" w:rsidTr="00B87181">
        <w:trPr>
          <w:trHeight w:val="1354"/>
        </w:trPr>
        <w:tc>
          <w:tcPr>
            <w:tcW w:w="10060" w:type="dxa"/>
            <w:gridSpan w:val="6"/>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301E8DE" w14:textId="77777777" w:rsidR="002211F8" w:rsidRDefault="002211F8" w:rsidP="00B87181">
            <w:pPr>
              <w:pStyle w:val="BodyA"/>
              <w:spacing w:line="360" w:lineRule="auto"/>
              <w:jc w:val="center"/>
              <w:rPr>
                <w:i/>
                <w:iCs/>
                <w:sz w:val="21"/>
                <w:szCs w:val="21"/>
              </w:rPr>
            </w:pPr>
            <w:r>
              <w:rPr>
                <w:i/>
                <w:iCs/>
                <w:sz w:val="21"/>
                <w:szCs w:val="21"/>
              </w:rPr>
              <w:t>*Mann Whitney   ^unpaired t test</w:t>
            </w:r>
          </w:p>
          <w:p w14:paraId="5B4F826F" w14:textId="77777777" w:rsidR="002211F8" w:rsidRDefault="002211F8" w:rsidP="00B87181">
            <w:pPr>
              <w:pStyle w:val="BodyA"/>
              <w:spacing w:line="360" w:lineRule="auto"/>
              <w:jc w:val="center"/>
              <w:rPr>
                <w:sz w:val="21"/>
                <w:szCs w:val="21"/>
              </w:rPr>
            </w:pPr>
            <w:r>
              <w:rPr>
                <w:rFonts w:ascii="Symbol" w:hAnsi="Symbol"/>
                <w:sz w:val="21"/>
                <w:szCs w:val="21"/>
                <w:vertAlign w:val="superscript"/>
              </w:rPr>
              <w:t></w:t>
            </w:r>
            <w:r>
              <w:rPr>
                <w:i/>
                <w:iCs/>
                <w:sz w:val="21"/>
                <w:szCs w:val="21"/>
              </w:rPr>
              <w:t xml:space="preserve"> Patients included in analysis: n=27, 1 patient excluded due to primary graft failure</w:t>
            </w:r>
          </w:p>
          <w:p w14:paraId="144BCAD9" w14:textId="77777777" w:rsidR="002211F8" w:rsidRDefault="002211F8" w:rsidP="00B87181">
            <w:pPr>
              <w:pStyle w:val="BodyA"/>
              <w:spacing w:line="360" w:lineRule="auto"/>
              <w:jc w:val="center"/>
              <w:rPr>
                <w:i/>
                <w:iCs/>
                <w:sz w:val="21"/>
                <w:szCs w:val="21"/>
              </w:rPr>
            </w:pPr>
            <w:r>
              <w:rPr>
                <w:i/>
                <w:iCs/>
                <w:sz w:val="21"/>
                <w:szCs w:val="21"/>
              </w:rPr>
              <w:t>MT-DSAEK: micro-thin Descemet stripping automated endothelial keratoplasty</w:t>
            </w:r>
          </w:p>
          <w:p w14:paraId="3AB1973D" w14:textId="77777777" w:rsidR="002211F8" w:rsidRDefault="002211F8" w:rsidP="00B87181">
            <w:pPr>
              <w:pStyle w:val="BodyA"/>
              <w:spacing w:line="360" w:lineRule="auto"/>
              <w:jc w:val="center"/>
            </w:pPr>
            <w:r>
              <w:rPr>
                <w:i/>
                <w:iCs/>
                <w:sz w:val="21"/>
                <w:szCs w:val="21"/>
              </w:rPr>
              <w:t>DMEK: Descemet’s membrane endothelial keratoplasty</w:t>
            </w:r>
          </w:p>
        </w:tc>
      </w:tr>
    </w:tbl>
    <w:p w14:paraId="0CDD1263" w14:textId="77777777" w:rsidR="002211F8" w:rsidRPr="00F93586" w:rsidRDefault="002211F8" w:rsidP="002211F8">
      <w:pPr>
        <w:ind w:firstLine="720"/>
      </w:pPr>
    </w:p>
    <w:p w14:paraId="6D8D0415" w14:textId="77777777" w:rsidR="00342999" w:rsidRPr="00D56F1D" w:rsidRDefault="00342999" w:rsidP="00342999">
      <w:pPr>
        <w:pStyle w:val="ListParagraph"/>
        <w:numPr>
          <w:ilvl w:val="0"/>
          <w:numId w:val="2"/>
        </w:numPr>
        <w:spacing w:line="276" w:lineRule="auto"/>
        <w:jc w:val="both"/>
        <w:rPr>
          <w:sz w:val="22"/>
          <w:szCs w:val="22"/>
        </w:rPr>
      </w:pPr>
    </w:p>
    <w:sectPr w:rsidR="00342999" w:rsidRPr="00D56F1D" w:rsidSect="00227B3D">
      <w:headerReference w:type="default" r:id="rId7"/>
      <w:footerReference w:type="default" r:id="rId8"/>
      <w:pgSz w:w="11900" w:h="16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B3425" w14:textId="77777777" w:rsidR="00C937A7" w:rsidRDefault="00C937A7">
      <w:r>
        <w:separator/>
      </w:r>
    </w:p>
  </w:endnote>
  <w:endnote w:type="continuationSeparator" w:id="0">
    <w:p w14:paraId="22FAA7AB" w14:textId="77777777" w:rsidR="00C937A7" w:rsidRDefault="00C9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Malgun Gothic"/>
    <w:charset w:val="00"/>
    <w:family w:val="auto"/>
    <w:pitch w:val="variable"/>
    <w:sig w:usb0="00000003" w:usb1="500079DB" w:usb2="0000001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CAC1" w14:textId="257FC1E9" w:rsidR="00D62015" w:rsidRDefault="00D62015">
    <w:pPr>
      <w:pStyle w:val="Footer"/>
      <w:tabs>
        <w:tab w:val="clear" w:pos="9360"/>
        <w:tab w:val="right" w:pos="9000"/>
      </w:tabs>
      <w:jc w:val="right"/>
    </w:pPr>
    <w:r>
      <w:fldChar w:fldCharType="begin"/>
    </w:r>
    <w:r>
      <w:instrText xml:space="preserve"> PAGE </w:instrText>
    </w:r>
    <w:r>
      <w:fldChar w:fldCharType="separate"/>
    </w:r>
    <w:r w:rsidR="00DC4C69">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30F90" w14:textId="77777777" w:rsidR="00C937A7" w:rsidRDefault="00C937A7">
      <w:r>
        <w:separator/>
      </w:r>
    </w:p>
  </w:footnote>
  <w:footnote w:type="continuationSeparator" w:id="0">
    <w:p w14:paraId="01E0EB8E" w14:textId="77777777" w:rsidR="00C937A7" w:rsidRDefault="00C93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CF03A" w14:textId="77777777" w:rsidR="00D62015" w:rsidRDefault="00D62015">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1173F"/>
    <w:multiLevelType w:val="hybridMultilevel"/>
    <w:tmpl w:val="034E3E36"/>
    <w:numStyleLink w:val="ImportedStyle1"/>
  </w:abstractNum>
  <w:abstractNum w:abstractNumId="1" w15:restartNumberingAfterBreak="0">
    <w:nsid w:val="790A4136"/>
    <w:multiLevelType w:val="hybridMultilevel"/>
    <w:tmpl w:val="034E3E36"/>
    <w:styleLink w:val="ImportedStyle1"/>
    <w:lvl w:ilvl="0" w:tplc="129ADB6A">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CE46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807E62">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BA36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4C9A0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349D66">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54429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3E790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08976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AAC"/>
    <w:rsid w:val="000012C7"/>
    <w:rsid w:val="000B019E"/>
    <w:rsid w:val="000D43D1"/>
    <w:rsid w:val="001247CE"/>
    <w:rsid w:val="00126711"/>
    <w:rsid w:val="00141DD6"/>
    <w:rsid w:val="00144248"/>
    <w:rsid w:val="00147161"/>
    <w:rsid w:val="001536CF"/>
    <w:rsid w:val="0018006A"/>
    <w:rsid w:val="00212CD1"/>
    <w:rsid w:val="002162BB"/>
    <w:rsid w:val="002211F8"/>
    <w:rsid w:val="00227B3D"/>
    <w:rsid w:val="00256527"/>
    <w:rsid w:val="00271E0C"/>
    <w:rsid w:val="002C4874"/>
    <w:rsid w:val="002D73F6"/>
    <w:rsid w:val="00302FDA"/>
    <w:rsid w:val="00321CD4"/>
    <w:rsid w:val="00342999"/>
    <w:rsid w:val="0035733A"/>
    <w:rsid w:val="00377EF8"/>
    <w:rsid w:val="003A3025"/>
    <w:rsid w:val="003B4F1B"/>
    <w:rsid w:val="00410C7C"/>
    <w:rsid w:val="0045176B"/>
    <w:rsid w:val="00451F79"/>
    <w:rsid w:val="00505C62"/>
    <w:rsid w:val="00514466"/>
    <w:rsid w:val="00561F84"/>
    <w:rsid w:val="005A11DC"/>
    <w:rsid w:val="00605B7B"/>
    <w:rsid w:val="006E1A5C"/>
    <w:rsid w:val="006F0ABC"/>
    <w:rsid w:val="006F0E76"/>
    <w:rsid w:val="006F1C44"/>
    <w:rsid w:val="007128C0"/>
    <w:rsid w:val="00745EB7"/>
    <w:rsid w:val="007574CA"/>
    <w:rsid w:val="0077634A"/>
    <w:rsid w:val="008E68A5"/>
    <w:rsid w:val="0093798A"/>
    <w:rsid w:val="009476DC"/>
    <w:rsid w:val="009B02DB"/>
    <w:rsid w:val="009D24DB"/>
    <w:rsid w:val="009E54FC"/>
    <w:rsid w:val="00A164AD"/>
    <w:rsid w:val="00A242C5"/>
    <w:rsid w:val="00AA32FC"/>
    <w:rsid w:val="00AF0828"/>
    <w:rsid w:val="00B30C68"/>
    <w:rsid w:val="00B506A7"/>
    <w:rsid w:val="00B61BAD"/>
    <w:rsid w:val="00C20DD9"/>
    <w:rsid w:val="00C34938"/>
    <w:rsid w:val="00C54AAC"/>
    <w:rsid w:val="00C937A7"/>
    <w:rsid w:val="00D04EB3"/>
    <w:rsid w:val="00D56433"/>
    <w:rsid w:val="00D56F1D"/>
    <w:rsid w:val="00D62015"/>
    <w:rsid w:val="00DC4C69"/>
    <w:rsid w:val="00DF6BCA"/>
    <w:rsid w:val="00E1514E"/>
    <w:rsid w:val="00E27441"/>
    <w:rsid w:val="00E31F46"/>
    <w:rsid w:val="00E668CE"/>
    <w:rsid w:val="00E76E5E"/>
    <w:rsid w:val="00EA5E1C"/>
    <w:rsid w:val="00EC3F86"/>
    <w:rsid w:val="00F22392"/>
    <w:rsid w:val="00F266B1"/>
    <w:rsid w:val="00F36EB1"/>
    <w:rsid w:val="00FC445C"/>
    <w:rsid w:val="00FE76D7"/>
    <w:rsid w:val="00FF5FE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BF9FC"/>
  <w15:docId w15:val="{9ABF1169-25BD-4AFE-B9AC-96AB7C14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paragraph" w:styleId="Heading1">
    <w:name w:val="heading 1"/>
    <w:basedOn w:val="Normal"/>
    <w:next w:val="Normal"/>
    <w:link w:val="Heading1Char"/>
    <w:uiPriority w:val="9"/>
    <w:qFormat/>
    <w:rsid w:val="00C34938"/>
    <w:pPr>
      <w:keepNext/>
      <w:keepLines/>
      <w:spacing w:before="240" w:line="480" w:lineRule="auto"/>
      <w:outlineLvl w:val="0"/>
    </w:pPr>
    <w:rPr>
      <w:rFonts w:ascii="Calibri" w:eastAsiaTheme="majorEastAsia" w:hAnsi="Calibri" w:cstheme="majorBidi"/>
      <w:b/>
      <w:szCs w:val="32"/>
      <w:u w:val="single"/>
    </w:rPr>
  </w:style>
  <w:style w:type="paragraph" w:styleId="Heading2">
    <w:name w:val="heading 2"/>
    <w:basedOn w:val="Normal"/>
    <w:next w:val="Normal"/>
    <w:link w:val="Heading2Char"/>
    <w:uiPriority w:val="9"/>
    <w:unhideWhenUsed/>
    <w:qFormat/>
    <w:rsid w:val="00C3493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480" w:lineRule="auto"/>
      <w:outlineLvl w:val="1"/>
    </w:pPr>
    <w:rPr>
      <w:rFonts w:ascii="Calibri" w:eastAsiaTheme="majorEastAsia" w:hAnsi="Calibri" w:cstheme="majorBidi"/>
      <w:szCs w:val="26"/>
      <w:u w:val="single"/>
      <w:bdr w:val="none" w:sz="0" w:space="0" w:color="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680"/>
        <w:tab w:val="right" w:pos="9360"/>
      </w:tabs>
    </w:pPr>
    <w:rPr>
      <w:rFonts w:ascii="Calibri" w:eastAsia="Calibri" w:hAnsi="Calibri" w:cs="Calibri"/>
      <w:color w:val="000000"/>
      <w:sz w:val="24"/>
      <w:szCs w:val="24"/>
      <w:u w:color="000000"/>
      <w:lang w:val="en-US"/>
    </w:rPr>
  </w:style>
  <w:style w:type="paragraph" w:customStyle="1" w:styleId="BodyA">
    <w:name w:val="Body A"/>
    <w:rPr>
      <w:rFonts w:ascii="Calibri" w:eastAsia="Calibri" w:hAnsi="Calibri" w:cs="Calibri"/>
      <w:color w:val="000000"/>
      <w:sz w:val="24"/>
      <w:szCs w:val="24"/>
      <w:u w:color="000000"/>
      <w:lang w:val="en-US"/>
      <w14:textOutline w14:w="12700" w14:cap="flat" w14:cmpd="sng" w14:algn="ctr">
        <w14:noFill/>
        <w14:prstDash w14:val="solid"/>
        <w14:miter w14:lim="400000"/>
      </w14:textOutline>
    </w:rPr>
  </w:style>
  <w:style w:type="paragraph" w:customStyle="1" w:styleId="Default">
    <w:name w:val="Default"/>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styleId="ListParagraph">
    <w:name w:val="List Paragraph"/>
    <w:pPr>
      <w:ind w:left="720"/>
    </w:pPr>
    <w:rPr>
      <w:rFonts w:ascii="Calibri" w:eastAsia="Calibri" w:hAnsi="Calibri" w:cs="Calibri"/>
      <w:color w:val="000000"/>
      <w:sz w:val="24"/>
      <w:szCs w:val="24"/>
      <w:u w:color="000000"/>
      <w:lang w:val="en-US"/>
    </w:rPr>
  </w:style>
  <w:style w:type="numbering" w:customStyle="1" w:styleId="ImportedStyle1">
    <w:name w:val="Imported Style 1"/>
    <w:pPr>
      <w:numPr>
        <w:numId w:val="1"/>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7634A"/>
    <w:rPr>
      <w:sz w:val="18"/>
      <w:szCs w:val="18"/>
    </w:rPr>
  </w:style>
  <w:style w:type="character" w:customStyle="1" w:styleId="BalloonTextChar">
    <w:name w:val="Balloon Text Char"/>
    <w:basedOn w:val="DefaultParagraphFont"/>
    <w:link w:val="BalloonText"/>
    <w:uiPriority w:val="99"/>
    <w:semiHidden/>
    <w:rsid w:val="0077634A"/>
    <w:rPr>
      <w:sz w:val="18"/>
      <w:szCs w:val="18"/>
      <w:lang w:val="en-US"/>
    </w:rPr>
  </w:style>
  <w:style w:type="paragraph" w:customStyle="1" w:styleId="DecimalAligned">
    <w:name w:val="Decimal Aligned"/>
    <w:basedOn w:val="Normal"/>
    <w:qFormat/>
    <w:rsid w:val="00342999"/>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s>
      <w:spacing w:after="200" w:line="276" w:lineRule="auto"/>
    </w:pPr>
    <w:rPr>
      <w:rFonts w:asciiTheme="minorHAnsi" w:eastAsiaTheme="minorEastAsia" w:hAnsiTheme="minorHAnsi"/>
      <w:sz w:val="22"/>
      <w:szCs w:val="22"/>
      <w:bdr w:val="none" w:sz="0" w:space="0" w:color="auto"/>
    </w:rPr>
  </w:style>
  <w:style w:type="paragraph" w:styleId="NormalWeb">
    <w:name w:val="Normal (Web)"/>
    <w:basedOn w:val="Normal"/>
    <w:unhideWhenUsed/>
    <w:rsid w:val="0034299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zh-CN"/>
    </w:rPr>
  </w:style>
  <w:style w:type="table" w:customStyle="1" w:styleId="GridTable6Colorful1">
    <w:name w:val="Grid Table 6 Colorful1"/>
    <w:basedOn w:val="TableNormal"/>
    <w:uiPriority w:val="51"/>
    <w:rsid w:val="0034299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color w:val="000000" w:themeColor="text1"/>
      <w:sz w:val="24"/>
      <w:szCs w:val="24"/>
      <w:bdr w:val="none" w:sz="0" w:space="0" w:color="au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2">
    <w:name w:val="Grid Table 6 Colorful2"/>
    <w:basedOn w:val="TableNormal"/>
    <w:next w:val="GridTable6Colorful3"/>
    <w:uiPriority w:val="51"/>
    <w:rsid w:val="00342999"/>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7Colorful2">
    <w:name w:val="List Table 7 Colorful2"/>
    <w:basedOn w:val="TableNormal"/>
    <w:next w:val="ListTable7Colorful1"/>
    <w:uiPriority w:val="52"/>
    <w:rsid w:val="00342999"/>
    <w:rPr>
      <w:color w:val="000000"/>
    </w:rPr>
    <w:tblPr>
      <w:tblStyleRowBandSize w:val="1"/>
      <w:tblStyleColBandSize w:val="1"/>
    </w:tblPr>
    <w:tblStylePr w:type="firstRow">
      <w:rPr>
        <w:rFonts w:ascii="Helvetica Neue" w:eastAsia="Times New Roman" w:hAnsi="Helvetica Neue" w:cs="Times New Roman"/>
        <w:i/>
        <w:iCs/>
        <w:sz w:val="26"/>
      </w:rPr>
      <w:tblPr/>
      <w:tcPr>
        <w:tcBorders>
          <w:bottom w:val="single" w:sz="4" w:space="0" w:color="000000"/>
        </w:tcBorders>
        <w:shd w:val="clear" w:color="auto" w:fill="FFFFFF"/>
      </w:tcPr>
    </w:tblStylePr>
    <w:tblStylePr w:type="lastRow">
      <w:rPr>
        <w:rFonts w:ascii="Helvetica Neue" w:eastAsia="Times New Roman" w:hAnsi="Helvetica Neue" w:cs="Times New Roman"/>
        <w:i/>
        <w:iCs/>
        <w:sz w:val="26"/>
      </w:rPr>
      <w:tblPr/>
      <w:tcPr>
        <w:tcBorders>
          <w:top w:val="single" w:sz="4" w:space="0" w:color="000000"/>
        </w:tcBorders>
        <w:shd w:val="clear" w:color="auto" w:fill="FFFFFF"/>
      </w:tcPr>
    </w:tblStylePr>
    <w:tblStylePr w:type="firstCol">
      <w:pPr>
        <w:jc w:val="right"/>
      </w:pPr>
      <w:rPr>
        <w:rFonts w:ascii="Helvetica Neue" w:eastAsia="Times New Roman" w:hAnsi="Helvetica Neue" w:cs="Times New Roman"/>
        <w:i/>
        <w:iCs/>
        <w:sz w:val="26"/>
      </w:rPr>
      <w:tblPr/>
      <w:tcPr>
        <w:tcBorders>
          <w:right w:val="single" w:sz="4" w:space="0" w:color="000000"/>
        </w:tcBorders>
        <w:shd w:val="clear" w:color="auto" w:fill="FFFFFF"/>
      </w:tcPr>
    </w:tblStylePr>
    <w:tblStylePr w:type="lastCol">
      <w:rPr>
        <w:rFonts w:ascii="Helvetica Neue" w:eastAsia="Times New Roman" w:hAnsi="Helvetica Neue"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6Colorful3">
    <w:name w:val="Grid Table 6 Colorful3"/>
    <w:basedOn w:val="TableNormal"/>
    <w:uiPriority w:val="51"/>
    <w:rsid w:val="0034299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7Colorful1">
    <w:name w:val="List Table 7 Colorful1"/>
    <w:basedOn w:val="TableNormal"/>
    <w:uiPriority w:val="52"/>
    <w:rsid w:val="0034299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2Char">
    <w:name w:val="Heading 2 Char"/>
    <w:basedOn w:val="DefaultParagraphFont"/>
    <w:link w:val="Heading2"/>
    <w:uiPriority w:val="9"/>
    <w:rsid w:val="00C34938"/>
    <w:rPr>
      <w:rFonts w:ascii="Calibri" w:eastAsiaTheme="majorEastAsia" w:hAnsi="Calibri" w:cstheme="majorBidi"/>
      <w:sz w:val="24"/>
      <w:szCs w:val="26"/>
      <w:u w:val="single"/>
      <w:bdr w:val="none" w:sz="0" w:space="0" w:color="auto"/>
    </w:rPr>
  </w:style>
  <w:style w:type="character" w:styleId="LineNumber">
    <w:name w:val="line number"/>
    <w:basedOn w:val="DefaultParagraphFont"/>
    <w:uiPriority w:val="99"/>
    <w:semiHidden/>
    <w:unhideWhenUsed/>
    <w:rsid w:val="00EA5E1C"/>
  </w:style>
  <w:style w:type="paragraph" w:styleId="CommentSubject">
    <w:name w:val="annotation subject"/>
    <w:basedOn w:val="CommentText"/>
    <w:next w:val="CommentText"/>
    <w:link w:val="CommentSubjectChar"/>
    <w:uiPriority w:val="99"/>
    <w:semiHidden/>
    <w:unhideWhenUsed/>
    <w:rsid w:val="00B30C68"/>
    <w:rPr>
      <w:b/>
      <w:bCs/>
    </w:rPr>
  </w:style>
  <w:style w:type="character" w:customStyle="1" w:styleId="CommentSubjectChar">
    <w:name w:val="Comment Subject Char"/>
    <w:basedOn w:val="CommentTextChar"/>
    <w:link w:val="CommentSubject"/>
    <w:uiPriority w:val="99"/>
    <w:semiHidden/>
    <w:rsid w:val="00B30C68"/>
    <w:rPr>
      <w:b/>
      <w:bCs/>
      <w:lang w:val="en-US"/>
    </w:rPr>
  </w:style>
  <w:style w:type="paragraph" w:styleId="Title">
    <w:name w:val="Title"/>
    <w:basedOn w:val="Normal"/>
    <w:next w:val="Normal"/>
    <w:link w:val="TitleChar"/>
    <w:uiPriority w:val="10"/>
    <w:qFormat/>
    <w:rsid w:val="00C34938"/>
    <w:pPr>
      <w:spacing w:line="480" w:lineRule="auto"/>
      <w:contextualSpacing/>
    </w:pPr>
    <w:rPr>
      <w:rFonts w:ascii="Calibri" w:eastAsiaTheme="majorEastAsia" w:hAnsi="Calibri" w:cstheme="majorBidi"/>
      <w:b/>
      <w:spacing w:val="-10"/>
      <w:kern w:val="28"/>
      <w:szCs w:val="56"/>
    </w:rPr>
  </w:style>
  <w:style w:type="character" w:customStyle="1" w:styleId="TitleChar">
    <w:name w:val="Title Char"/>
    <w:basedOn w:val="DefaultParagraphFont"/>
    <w:link w:val="Title"/>
    <w:uiPriority w:val="10"/>
    <w:rsid w:val="00C34938"/>
    <w:rPr>
      <w:rFonts w:ascii="Calibri" w:eastAsiaTheme="majorEastAsia" w:hAnsi="Calibri" w:cstheme="majorBidi"/>
      <w:b/>
      <w:spacing w:val="-10"/>
      <w:kern w:val="28"/>
      <w:sz w:val="24"/>
      <w:szCs w:val="56"/>
      <w:lang w:val="en-US"/>
    </w:rPr>
  </w:style>
  <w:style w:type="character" w:customStyle="1" w:styleId="Heading1Char">
    <w:name w:val="Heading 1 Char"/>
    <w:basedOn w:val="DefaultParagraphFont"/>
    <w:link w:val="Heading1"/>
    <w:uiPriority w:val="9"/>
    <w:rsid w:val="00C34938"/>
    <w:rPr>
      <w:rFonts w:ascii="Calibri" w:eastAsiaTheme="majorEastAsia" w:hAnsi="Calibri" w:cstheme="majorBidi"/>
      <w:b/>
      <w:sz w:val="24"/>
      <w:szCs w:val="32"/>
      <w:u w:val="single"/>
      <w:lang w:val="en-US"/>
    </w:rPr>
  </w:style>
  <w:style w:type="paragraph" w:customStyle="1" w:styleId="Body">
    <w:name w:val="Body"/>
    <w:rsid w:val="002211F8"/>
    <w:rPr>
      <w:rFonts w:cs="Arial Unicode MS"/>
      <w:color w:val="000000"/>
      <w:sz w:val="24"/>
      <w:szCs w:val="24"/>
      <w:u w:color="000000"/>
      <w:lang w:val="en-US" w:eastAsia="zh-CN"/>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960111">
      <w:bodyDiv w:val="1"/>
      <w:marLeft w:val="0"/>
      <w:marRight w:val="0"/>
      <w:marTop w:val="0"/>
      <w:marBottom w:val="0"/>
      <w:divBdr>
        <w:top w:val="none" w:sz="0" w:space="0" w:color="auto"/>
        <w:left w:val="none" w:sz="0" w:space="0" w:color="auto"/>
        <w:bottom w:val="none" w:sz="0" w:space="0" w:color="auto"/>
        <w:right w:val="none" w:sz="0" w:space="0" w:color="auto"/>
      </w:divBdr>
    </w:div>
    <w:div w:id="808784401">
      <w:bodyDiv w:val="1"/>
      <w:marLeft w:val="0"/>
      <w:marRight w:val="0"/>
      <w:marTop w:val="0"/>
      <w:marBottom w:val="0"/>
      <w:divBdr>
        <w:top w:val="none" w:sz="0" w:space="0" w:color="auto"/>
        <w:left w:val="none" w:sz="0" w:space="0" w:color="auto"/>
        <w:bottom w:val="none" w:sz="0" w:space="0" w:color="auto"/>
        <w:right w:val="none" w:sz="0" w:space="0" w:color="auto"/>
      </w:divBdr>
      <w:divsChild>
        <w:div w:id="1445734844">
          <w:marLeft w:val="0"/>
          <w:marRight w:val="0"/>
          <w:marTop w:val="0"/>
          <w:marBottom w:val="0"/>
          <w:divBdr>
            <w:top w:val="none" w:sz="0" w:space="0" w:color="auto"/>
            <w:left w:val="none" w:sz="0" w:space="0" w:color="auto"/>
            <w:bottom w:val="none" w:sz="0" w:space="0" w:color="auto"/>
            <w:right w:val="none" w:sz="0" w:space="0" w:color="auto"/>
          </w:divBdr>
          <w:divsChild>
            <w:div w:id="77483499">
              <w:marLeft w:val="0"/>
              <w:marRight w:val="0"/>
              <w:marTop w:val="0"/>
              <w:marBottom w:val="0"/>
              <w:divBdr>
                <w:top w:val="none" w:sz="0" w:space="0" w:color="auto"/>
                <w:left w:val="none" w:sz="0" w:space="0" w:color="auto"/>
                <w:bottom w:val="none" w:sz="0" w:space="0" w:color="auto"/>
                <w:right w:val="none" w:sz="0" w:space="0" w:color="auto"/>
              </w:divBdr>
              <w:divsChild>
                <w:div w:id="722220188">
                  <w:marLeft w:val="0"/>
                  <w:marRight w:val="0"/>
                  <w:marTop w:val="0"/>
                  <w:marBottom w:val="0"/>
                  <w:divBdr>
                    <w:top w:val="none" w:sz="0" w:space="0" w:color="auto"/>
                    <w:left w:val="none" w:sz="0" w:space="0" w:color="auto"/>
                    <w:bottom w:val="none" w:sz="0" w:space="0" w:color="auto"/>
                    <w:right w:val="none" w:sz="0" w:space="0" w:color="auto"/>
                  </w:divBdr>
                  <w:divsChild>
                    <w:div w:id="500853271">
                      <w:marLeft w:val="0"/>
                      <w:marRight w:val="0"/>
                      <w:marTop w:val="0"/>
                      <w:marBottom w:val="0"/>
                      <w:divBdr>
                        <w:top w:val="none" w:sz="0" w:space="0" w:color="auto"/>
                        <w:left w:val="none" w:sz="0" w:space="0" w:color="auto"/>
                        <w:bottom w:val="none" w:sz="0" w:space="0" w:color="auto"/>
                        <w:right w:val="none" w:sz="0" w:space="0" w:color="auto"/>
                      </w:divBdr>
                      <w:divsChild>
                        <w:div w:id="1676957089">
                          <w:marLeft w:val="0"/>
                          <w:marRight w:val="0"/>
                          <w:marTop w:val="0"/>
                          <w:marBottom w:val="0"/>
                          <w:divBdr>
                            <w:top w:val="none" w:sz="0" w:space="0" w:color="auto"/>
                            <w:left w:val="none" w:sz="0" w:space="0" w:color="auto"/>
                            <w:bottom w:val="none" w:sz="0" w:space="0" w:color="auto"/>
                            <w:right w:val="none" w:sz="0" w:space="0" w:color="auto"/>
                          </w:divBdr>
                          <w:divsChild>
                            <w:div w:id="20812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245505">
                  <w:marLeft w:val="-165"/>
                  <w:marRight w:val="0"/>
                  <w:marTop w:val="0"/>
                  <w:marBottom w:val="0"/>
                  <w:divBdr>
                    <w:top w:val="none" w:sz="0" w:space="0" w:color="auto"/>
                    <w:left w:val="none" w:sz="0" w:space="0" w:color="auto"/>
                    <w:bottom w:val="none" w:sz="0" w:space="0" w:color="auto"/>
                    <w:right w:val="none" w:sz="0" w:space="0" w:color="auto"/>
                  </w:divBdr>
                  <w:divsChild>
                    <w:div w:id="1080828005">
                      <w:marLeft w:val="0"/>
                      <w:marRight w:val="0"/>
                      <w:marTop w:val="0"/>
                      <w:marBottom w:val="0"/>
                      <w:divBdr>
                        <w:top w:val="none" w:sz="0" w:space="0" w:color="auto"/>
                        <w:left w:val="none" w:sz="0" w:space="0" w:color="auto"/>
                        <w:bottom w:val="none" w:sz="0" w:space="0" w:color="auto"/>
                        <w:right w:val="none" w:sz="0" w:space="0" w:color="auto"/>
                      </w:divBdr>
                      <w:divsChild>
                        <w:div w:id="63009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50937">
          <w:marLeft w:val="0"/>
          <w:marRight w:val="0"/>
          <w:marTop w:val="0"/>
          <w:marBottom w:val="0"/>
          <w:divBdr>
            <w:top w:val="none" w:sz="0" w:space="0" w:color="auto"/>
            <w:left w:val="none" w:sz="0" w:space="0" w:color="auto"/>
            <w:bottom w:val="none" w:sz="0" w:space="0" w:color="auto"/>
            <w:right w:val="none" w:sz="0" w:space="0" w:color="auto"/>
          </w:divBdr>
          <w:divsChild>
            <w:div w:id="58172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75200">
      <w:bodyDiv w:val="1"/>
      <w:marLeft w:val="0"/>
      <w:marRight w:val="0"/>
      <w:marTop w:val="0"/>
      <w:marBottom w:val="0"/>
      <w:divBdr>
        <w:top w:val="none" w:sz="0" w:space="0" w:color="auto"/>
        <w:left w:val="none" w:sz="0" w:space="0" w:color="auto"/>
        <w:bottom w:val="none" w:sz="0" w:space="0" w:color="auto"/>
        <w:right w:val="none" w:sz="0" w:space="0" w:color="auto"/>
      </w:divBdr>
    </w:div>
    <w:div w:id="1427266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6753</Words>
  <Characters>38496</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Cambridge</Company>
  <LinksUpToDate>false</LinksUpToDate>
  <CharactersWithSpaces>45159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Madhavan</dc:creator>
  <cp:lastModifiedBy>Blanshard, Lisa</cp:lastModifiedBy>
  <cp:revision>9</cp:revision>
  <dcterms:created xsi:type="dcterms:W3CDTF">2021-01-22T17:02:00Z</dcterms:created>
  <dcterms:modified xsi:type="dcterms:W3CDTF">2022-01-21T13:59:00Z</dcterms:modified>
</cp:coreProperties>
</file>