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39A1E" w14:textId="77777777" w:rsidR="00B5136C" w:rsidRDefault="00497D36" w:rsidP="00E17F3E">
      <w:pPr>
        <w:pStyle w:val="Title"/>
      </w:pPr>
      <w:r>
        <w:t>Female Genital Mutilation in Sudan: is a new era starting?</w:t>
      </w:r>
    </w:p>
    <w:p w14:paraId="28C39A1F"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center"/>
      </w:pPr>
    </w:p>
    <w:p w14:paraId="28C39A20"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pPr>
      <w:r>
        <w:rPr>
          <w:rFonts w:ascii="Times New Roman" w:hAnsi="Times New Roman"/>
          <w:b/>
          <w:bCs/>
          <w:sz w:val="24"/>
          <w:szCs w:val="24"/>
        </w:rPr>
        <w:t>Running title: Female Genital Mutilation in Sudan</w:t>
      </w:r>
    </w:p>
    <w:p w14:paraId="28C39A21"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pPr>
    </w:p>
    <w:p w14:paraId="28C39A22"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pPr>
    </w:p>
    <w:p w14:paraId="28C39A23"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360" w:lineRule="auto"/>
        <w:rPr>
          <w:lang w:val="it-IT"/>
        </w:rPr>
      </w:pPr>
      <w:r>
        <w:rPr>
          <w:rFonts w:ascii="Times New Roman" w:hAnsi="Times New Roman"/>
          <w:sz w:val="24"/>
          <w:szCs w:val="24"/>
          <w:lang w:val="it-IT"/>
        </w:rPr>
        <w:t>Michela Lugiai</w:t>
      </w:r>
      <w:r>
        <w:rPr>
          <w:rFonts w:ascii="Times New Roman" w:hAnsi="Times New Roman"/>
          <w:sz w:val="24"/>
          <w:szCs w:val="24"/>
          <w:vertAlign w:val="superscript"/>
          <w:lang w:val="it-IT"/>
        </w:rPr>
        <w:t>1</w:t>
      </w:r>
      <w:r>
        <w:rPr>
          <w:rFonts w:ascii="Times New Roman" w:hAnsi="Times New Roman"/>
          <w:sz w:val="24"/>
          <w:szCs w:val="24"/>
          <w:lang w:val="it-IT"/>
        </w:rPr>
        <w:t>, Yasir Shalabi</w:t>
      </w:r>
      <w:r>
        <w:rPr>
          <w:rFonts w:ascii="Times New Roman" w:hAnsi="Times New Roman"/>
          <w:sz w:val="24"/>
          <w:szCs w:val="24"/>
          <w:vertAlign w:val="superscript"/>
          <w:lang w:val="it-IT"/>
        </w:rPr>
        <w:t>2</w:t>
      </w:r>
      <w:r>
        <w:rPr>
          <w:rFonts w:ascii="Times New Roman" w:hAnsi="Times New Roman"/>
          <w:sz w:val="24"/>
          <w:szCs w:val="24"/>
          <w:lang w:val="it-IT"/>
        </w:rPr>
        <w:t>, Vincenzo Racalbuto</w:t>
      </w:r>
      <w:r>
        <w:rPr>
          <w:rFonts w:ascii="Times New Roman" w:hAnsi="Times New Roman"/>
          <w:sz w:val="24"/>
          <w:szCs w:val="24"/>
          <w:vertAlign w:val="superscript"/>
          <w:lang w:val="it-IT"/>
        </w:rPr>
        <w:t>1</w:t>
      </w:r>
      <w:r>
        <w:rPr>
          <w:rFonts w:ascii="Times New Roman" w:hAnsi="Times New Roman"/>
          <w:sz w:val="24"/>
          <w:szCs w:val="24"/>
          <w:lang w:val="it-IT"/>
        </w:rPr>
        <w:t>, Damiano Pizzol</w:t>
      </w:r>
      <w:r>
        <w:rPr>
          <w:rFonts w:ascii="Times New Roman" w:hAnsi="Times New Roman"/>
          <w:sz w:val="24"/>
          <w:szCs w:val="24"/>
          <w:vertAlign w:val="superscript"/>
          <w:lang w:val="it-IT"/>
        </w:rPr>
        <w:t>1</w:t>
      </w:r>
      <w:r>
        <w:rPr>
          <w:rFonts w:ascii="Times New Roman" w:hAnsi="Times New Roman"/>
          <w:sz w:val="24"/>
          <w:szCs w:val="24"/>
          <w:lang w:val="it-IT"/>
        </w:rPr>
        <w:t>, Lee Smith</w:t>
      </w:r>
      <w:r>
        <w:rPr>
          <w:rFonts w:ascii="Times New Roman" w:hAnsi="Times New Roman"/>
          <w:sz w:val="24"/>
          <w:szCs w:val="24"/>
          <w:vertAlign w:val="superscript"/>
          <w:lang w:val="it-IT"/>
        </w:rPr>
        <w:t>3</w:t>
      </w:r>
    </w:p>
    <w:p w14:paraId="28C39A24" w14:textId="77777777" w:rsidR="00B5136C" w:rsidRDefault="00B5136C">
      <w:pPr>
        <w:pStyle w:val="CorpoB"/>
        <w:tabs>
          <w:tab w:val="left" w:pos="5448"/>
          <w:tab w:val="left" w:pos="5664"/>
          <w:tab w:val="left" w:pos="6372"/>
          <w:tab w:val="left" w:pos="7080"/>
          <w:tab w:val="left" w:pos="7788"/>
          <w:tab w:val="left" w:pos="8496"/>
          <w:tab w:val="left" w:pos="9132"/>
        </w:tabs>
        <w:spacing w:line="360" w:lineRule="auto"/>
      </w:pPr>
    </w:p>
    <w:p w14:paraId="28C39A25" w14:textId="77777777" w:rsidR="00B5136C" w:rsidRDefault="00497D36">
      <w:pPr>
        <w:pStyle w:val="CorpoB"/>
        <w:tabs>
          <w:tab w:val="left" w:pos="5448"/>
          <w:tab w:val="left" w:pos="5664"/>
          <w:tab w:val="left" w:pos="6372"/>
          <w:tab w:val="left" w:pos="7080"/>
          <w:tab w:val="left" w:pos="7788"/>
          <w:tab w:val="left" w:pos="8496"/>
          <w:tab w:val="left" w:pos="9132"/>
        </w:tabs>
        <w:spacing w:line="360" w:lineRule="auto"/>
      </w:pPr>
      <w:r>
        <w:rPr>
          <w:vertAlign w:val="superscript"/>
        </w:rPr>
        <w:t>1</w:t>
      </w:r>
      <w:r>
        <w:t xml:space="preserve"> Italian Agency for Development Cooperation - Khartoum, Sudan </w:t>
      </w:r>
    </w:p>
    <w:p w14:paraId="28C39A26" w14:textId="77777777" w:rsidR="00B5136C" w:rsidRDefault="00497D36">
      <w:pPr>
        <w:pStyle w:val="CorpoB"/>
        <w:tabs>
          <w:tab w:val="left" w:pos="5448"/>
          <w:tab w:val="left" w:pos="5664"/>
          <w:tab w:val="left" w:pos="6372"/>
          <w:tab w:val="left" w:pos="7080"/>
          <w:tab w:val="left" w:pos="7788"/>
          <w:tab w:val="left" w:pos="8496"/>
          <w:tab w:val="left" w:pos="9132"/>
        </w:tabs>
        <w:spacing w:line="360" w:lineRule="auto"/>
      </w:pPr>
      <w:r>
        <w:rPr>
          <w:vertAlign w:val="superscript"/>
        </w:rPr>
        <w:t xml:space="preserve">2 </w:t>
      </w:r>
      <w:r>
        <w:t xml:space="preserve">National Council of Child Welfare </w:t>
      </w:r>
      <w:r>
        <w:rPr>
          <w:lang w:val="fr-FR"/>
        </w:rPr>
        <w:t xml:space="preserve">- Khartoum, </w:t>
      </w:r>
      <w:proofErr w:type="spellStart"/>
      <w:r>
        <w:rPr>
          <w:lang w:val="fr-FR"/>
        </w:rPr>
        <w:t>Sudan</w:t>
      </w:r>
      <w:proofErr w:type="spellEnd"/>
    </w:p>
    <w:p w14:paraId="28C39A27" w14:textId="77777777" w:rsidR="00B5136C" w:rsidRDefault="00497D36">
      <w:pPr>
        <w:pStyle w:val="CorpoB"/>
        <w:tabs>
          <w:tab w:val="left" w:pos="5448"/>
          <w:tab w:val="left" w:pos="5664"/>
          <w:tab w:val="left" w:pos="6372"/>
          <w:tab w:val="left" w:pos="7080"/>
          <w:tab w:val="left" w:pos="7788"/>
          <w:tab w:val="left" w:pos="8496"/>
          <w:tab w:val="left" w:pos="9132"/>
        </w:tabs>
        <w:spacing w:line="360" w:lineRule="auto"/>
      </w:pPr>
      <w:r>
        <w:rPr>
          <w:vertAlign w:val="superscript"/>
        </w:rPr>
        <w:t>3</w:t>
      </w:r>
      <w:r>
        <w:t xml:space="preserve"> The Cambridge Centre for Sport &amp; Exercise Sciences, Anglia Ruskin University, Cambridge, UK</w:t>
      </w:r>
    </w:p>
    <w:p w14:paraId="28C39A28"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9"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A"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B"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C"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D"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480" w:lineRule="auto"/>
      </w:pPr>
    </w:p>
    <w:p w14:paraId="28C39A2E"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rPr>
          <w:lang w:val="it-IT"/>
        </w:rPr>
      </w:pPr>
      <w:r>
        <w:rPr>
          <w:rFonts w:ascii="Times New Roman" w:hAnsi="Times New Roman"/>
          <w:sz w:val="24"/>
          <w:szCs w:val="24"/>
          <w:lang w:val="it-IT"/>
        </w:rPr>
        <w:t>Corresponding author:</w:t>
      </w:r>
    </w:p>
    <w:p w14:paraId="28C39A2F" w14:textId="77777777" w:rsidR="00B5136C" w:rsidRDefault="00497D36">
      <w:pPr>
        <w:pStyle w:val="Corpo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line="360" w:lineRule="auto"/>
        <w:jc w:val="both"/>
      </w:pPr>
      <w:r>
        <w:t xml:space="preserve">Damiano </w:t>
      </w:r>
      <w:proofErr w:type="spellStart"/>
      <w:r>
        <w:t>Pizzol</w:t>
      </w:r>
      <w:proofErr w:type="spellEnd"/>
      <w:r>
        <w:t>, MD, PhD</w:t>
      </w:r>
    </w:p>
    <w:p w14:paraId="28C39A30" w14:textId="77777777" w:rsidR="00B5136C" w:rsidRDefault="00497D36">
      <w:pPr>
        <w:pStyle w:val="Co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line="360" w:lineRule="auto"/>
      </w:pPr>
      <w:r>
        <w:rPr>
          <w:kern w:val="3"/>
          <w:u w:color="00000A"/>
        </w:rPr>
        <w:t xml:space="preserve">Italian </w:t>
      </w:r>
      <w:r>
        <w:rPr>
          <w:kern w:val="3"/>
        </w:rPr>
        <w:t>Agency for Development Cooperation</w:t>
      </w:r>
    </w:p>
    <w:p w14:paraId="28C39A31" w14:textId="77777777" w:rsidR="00B5136C" w:rsidRDefault="00497D36">
      <w:pPr>
        <w:pStyle w:val="Co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line="360" w:lineRule="auto"/>
      </w:pPr>
      <w:r>
        <w:rPr>
          <w:kern w:val="3"/>
        </w:rPr>
        <w:t xml:space="preserve">33 Street, </w:t>
      </w:r>
      <w:proofErr w:type="spellStart"/>
      <w:r>
        <w:rPr>
          <w:kern w:val="3"/>
        </w:rPr>
        <w:t>Amarat</w:t>
      </w:r>
      <w:proofErr w:type="spellEnd"/>
      <w:r>
        <w:rPr>
          <w:kern w:val="3"/>
        </w:rPr>
        <w:t>, Khartoum, Sudan</w:t>
      </w:r>
    </w:p>
    <w:p w14:paraId="28C39A32" w14:textId="77777777" w:rsidR="00B5136C" w:rsidRDefault="00497D36">
      <w:pPr>
        <w:pStyle w:val="Corpo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line="360" w:lineRule="auto"/>
        <w:jc w:val="both"/>
        <w:rPr>
          <w:lang w:val="it-IT"/>
        </w:rPr>
      </w:pPr>
      <w:r>
        <w:rPr>
          <w:lang w:val="it-IT"/>
        </w:rPr>
        <w:t>Mobile (+39) 3668731237</w:t>
      </w:r>
    </w:p>
    <w:p w14:paraId="28C39A33" w14:textId="77777777" w:rsidR="00B5136C" w:rsidRDefault="00497D36">
      <w:pPr>
        <w:pStyle w:val="Corpo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line="360" w:lineRule="auto"/>
        <w:jc w:val="both"/>
      </w:pPr>
      <w:r>
        <w:rPr>
          <w:lang w:val="it-IT"/>
        </w:rPr>
        <w:t>e-mail: damianopizzol8@gmail.com</w:t>
      </w:r>
      <w:r>
        <w:rPr>
          <w:rFonts w:ascii="Arial Unicode MS" w:hAnsi="Arial Unicode MS"/>
          <w:lang w:val="it-IT"/>
        </w:rPr>
        <w:br w:type="page"/>
      </w:r>
    </w:p>
    <w:p w14:paraId="28C39A34" w14:textId="77777777" w:rsidR="00B5136C" w:rsidRDefault="00497D36" w:rsidP="00E17F3E">
      <w:pPr>
        <w:pStyle w:val="Heading1"/>
      </w:pPr>
      <w:r>
        <w:lastRenderedPageBreak/>
        <w:t>ABSTRACT</w:t>
      </w:r>
    </w:p>
    <w:p w14:paraId="28C39A35" w14:textId="77777777" w:rsidR="00B5136C" w:rsidRDefault="00497D36">
      <w:pPr>
        <w:pStyle w:val="DidefaultA"/>
        <w:spacing w:line="480" w:lineRule="auto"/>
        <w:rPr>
          <w:lang w:val="en-US"/>
        </w:rPr>
      </w:pPr>
      <w:r>
        <w:rPr>
          <w:rFonts w:ascii="Times New Roman" w:hAnsi="Times New Roman"/>
          <w:sz w:val="24"/>
          <w:szCs w:val="24"/>
          <w:lang w:val="en-US"/>
        </w:rPr>
        <w:t xml:space="preserve">The World Health </w:t>
      </w:r>
      <w:proofErr w:type="spellStart"/>
      <w:r>
        <w:rPr>
          <w:rFonts w:ascii="Times New Roman" w:hAnsi="Times New Roman"/>
          <w:sz w:val="24"/>
          <w:szCs w:val="24"/>
          <w:lang w:val="en-US"/>
        </w:rPr>
        <w:t>Organisation</w:t>
      </w:r>
      <w:proofErr w:type="spellEnd"/>
      <w:r>
        <w:rPr>
          <w:rFonts w:ascii="Times New Roman" w:hAnsi="Times New Roman"/>
          <w:sz w:val="24"/>
          <w:szCs w:val="24"/>
          <w:lang w:val="en-US"/>
        </w:rPr>
        <w:t xml:space="preserve"> (WHO) defines female genital mutilation or cutting (FGM/C) a violation of human rights and includes all procedures that involve partial or total removal of the external female genitalia, or other injury to the female genital organs for non-medical reasons</w:t>
      </w:r>
      <w:r>
        <w:rPr>
          <w:rFonts w:ascii="Times New Roman" w:hAnsi="Times New Roman"/>
          <w:sz w:val="24"/>
          <w:szCs w:val="24"/>
        </w:rPr>
        <w:t xml:space="preserve">. </w:t>
      </w:r>
      <w:r>
        <w:rPr>
          <w:rFonts w:ascii="Times New Roman" w:hAnsi="Times New Roman"/>
          <w:sz w:val="24"/>
          <w:szCs w:val="24"/>
          <w:lang w:val="en-US"/>
        </w:rPr>
        <w:t xml:space="preserve">Sudan has one of the highest rates of FGM/C in the world with 86.6% girls and women aged between 15-49 years affected. Despite FGM/C is still widely practiced across all Sudan, social attitudes and norms towards </w:t>
      </w:r>
      <w:r>
        <w:rPr>
          <w:rFonts w:ascii="Times New Roman" w:hAnsi="Times New Roman"/>
          <w:sz w:val="24"/>
          <w:szCs w:val="24"/>
        </w:rPr>
        <w:t>the practice</w:t>
      </w:r>
      <w:r>
        <w:rPr>
          <w:rFonts w:ascii="Times New Roman" w:hAnsi="Times New Roman"/>
          <w:sz w:val="24"/>
          <w:szCs w:val="24"/>
          <w:lang w:val="en-US"/>
        </w:rPr>
        <w:t xml:space="preserve"> are changing, especially in urban areas. On 22 April 2020 was endorsed the amendment to the Criminal Law Article 141 by both the Sovereign and Ministerial Councils</w:t>
      </w:r>
      <w:r>
        <w:rPr>
          <w:rFonts w:ascii="Times New Roman" w:hAnsi="Times New Roman"/>
          <w:sz w:val="24"/>
          <w:szCs w:val="24"/>
        </w:rPr>
        <w:t xml:space="preserve"> by which </w:t>
      </w:r>
      <w:r>
        <w:rPr>
          <w:rFonts w:ascii="Times New Roman" w:hAnsi="Times New Roman"/>
          <w:sz w:val="24"/>
          <w:szCs w:val="24"/>
          <w:lang w:val="en-US"/>
        </w:rPr>
        <w:t xml:space="preserve">the transitional Sudanese government </w:t>
      </w:r>
      <w:r>
        <w:rPr>
          <w:rFonts w:ascii="Times New Roman" w:hAnsi="Times New Roman"/>
          <w:sz w:val="24"/>
          <w:szCs w:val="24"/>
        </w:rPr>
        <w:t>criminalises</w:t>
      </w:r>
      <w:r>
        <w:rPr>
          <w:rFonts w:ascii="Times New Roman" w:hAnsi="Times New Roman"/>
          <w:sz w:val="24"/>
          <w:szCs w:val="24"/>
          <w:lang w:val="en-US"/>
        </w:rPr>
        <w:t xml:space="preserve"> FGM/C in Sudan</w:t>
      </w:r>
      <w:r>
        <w:rPr>
          <w:rFonts w:ascii="Times New Roman" w:hAnsi="Times New Roman"/>
          <w:sz w:val="24"/>
          <w:szCs w:val="24"/>
        </w:rPr>
        <w:t xml:space="preserve">. </w:t>
      </w:r>
      <w:r>
        <w:rPr>
          <w:rFonts w:ascii="Times New Roman" w:hAnsi="Times New Roman"/>
          <w:sz w:val="24"/>
          <w:szCs w:val="24"/>
          <w:lang w:val="en-US"/>
        </w:rPr>
        <w:t xml:space="preserve">Sudan is beginning a new era in terms of FGM/C. </w:t>
      </w:r>
      <w:proofErr w:type="gramStart"/>
      <w:r>
        <w:rPr>
          <w:rFonts w:ascii="Times New Roman" w:hAnsi="Times New Roman"/>
          <w:sz w:val="24"/>
          <w:szCs w:val="24"/>
          <w:lang w:val="en-US"/>
        </w:rPr>
        <w:t>In order to</w:t>
      </w:r>
      <w:proofErr w:type="gramEnd"/>
      <w:r>
        <w:rPr>
          <w:rFonts w:ascii="Times New Roman" w:hAnsi="Times New Roman"/>
          <w:sz w:val="24"/>
          <w:szCs w:val="24"/>
          <w:lang w:val="en-US"/>
        </w:rPr>
        <w:t xml:space="preserve"> achieve effective and long-lasting effects, efficient mechanisms, specifically allocated financial resources, and broader partnerships that include governmental bodies, civil society, community-based </w:t>
      </w:r>
      <w:r>
        <w:rPr>
          <w:rFonts w:ascii="Times New Roman" w:hAnsi="Times New Roman"/>
          <w:sz w:val="24"/>
          <w:szCs w:val="24"/>
        </w:rPr>
        <w:t>organisations</w:t>
      </w:r>
      <w:r>
        <w:rPr>
          <w:rFonts w:ascii="Times New Roman" w:hAnsi="Times New Roman"/>
          <w:sz w:val="24"/>
          <w:szCs w:val="24"/>
          <w:lang w:val="en-US"/>
        </w:rPr>
        <w:t>, and international actors, should be put in place.</w:t>
      </w:r>
    </w:p>
    <w:p w14:paraId="28C39A36" w14:textId="77777777" w:rsidR="00B5136C" w:rsidRDefault="00B5136C">
      <w:pPr>
        <w:pStyle w:val="DidefaultA"/>
        <w:spacing w:line="480" w:lineRule="auto"/>
      </w:pPr>
    </w:p>
    <w:p w14:paraId="28C39A37"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rFonts w:ascii="Times New Roman" w:hAnsi="Times New Roman"/>
          <w:b/>
          <w:bCs/>
          <w:sz w:val="24"/>
          <w:szCs w:val="24"/>
        </w:rPr>
        <w:t>Key words:</w:t>
      </w:r>
      <w:r>
        <w:rPr>
          <w:rFonts w:ascii="Times New Roman" w:hAnsi="Times New Roman"/>
          <w:b/>
          <w:bCs/>
          <w:sz w:val="24"/>
          <w:szCs w:val="24"/>
          <w:lang w:val="it-IT"/>
        </w:rPr>
        <w:t xml:space="preserve"> </w:t>
      </w:r>
      <w:r>
        <w:rPr>
          <w:rFonts w:ascii="Times New Roman" w:hAnsi="Times New Roman"/>
          <w:sz w:val="24"/>
          <w:szCs w:val="24"/>
          <w:lang w:val="it-IT"/>
        </w:rPr>
        <w:t xml:space="preserve">Sudan, </w:t>
      </w:r>
      <w:r>
        <w:rPr>
          <w:rFonts w:ascii="Times New Roman" w:hAnsi="Times New Roman"/>
          <w:sz w:val="24"/>
          <w:szCs w:val="24"/>
        </w:rPr>
        <w:t>Female genital mutilation or cutting</w:t>
      </w:r>
      <w:r>
        <w:rPr>
          <w:rFonts w:ascii="Times New Roman" w:hAnsi="Times New Roman"/>
          <w:sz w:val="24"/>
          <w:szCs w:val="24"/>
          <w:lang w:val="it-IT"/>
        </w:rPr>
        <w:t>;</w:t>
      </w:r>
      <w:r>
        <w:rPr>
          <w:rFonts w:ascii="Times New Roman" w:hAnsi="Times New Roman"/>
          <w:sz w:val="24"/>
          <w:szCs w:val="24"/>
        </w:rPr>
        <w:t xml:space="preserve"> FGM/C</w:t>
      </w:r>
      <w:r>
        <w:rPr>
          <w:rFonts w:ascii="Times New Roman" w:hAnsi="Times New Roman"/>
          <w:sz w:val="24"/>
          <w:szCs w:val="24"/>
          <w:lang w:val="it-IT"/>
        </w:rPr>
        <w:t>; Women.</w:t>
      </w:r>
    </w:p>
    <w:p w14:paraId="28C39A38"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rFonts w:ascii="Arial Unicode MS" w:eastAsia="Arial Unicode MS" w:hAnsi="Arial Unicode MS" w:cs="Arial Unicode MS"/>
          <w:sz w:val="24"/>
          <w:szCs w:val="24"/>
        </w:rPr>
        <w:br w:type="page"/>
      </w:r>
    </w:p>
    <w:p w14:paraId="28C39A39" w14:textId="77777777" w:rsidR="00B5136C" w:rsidRDefault="00497D36" w:rsidP="00E17F3E">
      <w:pPr>
        <w:pStyle w:val="Heading1"/>
      </w:pPr>
      <w:r>
        <w:lastRenderedPageBreak/>
        <w:t>Female Genital Mutilation in Sudan: is a new era starting?</w:t>
      </w:r>
    </w:p>
    <w:p w14:paraId="28C39A3A"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rFonts w:ascii="Times New Roman" w:hAnsi="Times New Roman"/>
          <w:sz w:val="24"/>
          <w:szCs w:val="24"/>
        </w:rPr>
        <w:t xml:space="preserve">The World Health </w:t>
      </w:r>
      <w:proofErr w:type="spellStart"/>
      <w:r>
        <w:rPr>
          <w:rFonts w:ascii="Times New Roman" w:hAnsi="Times New Roman"/>
          <w:sz w:val="24"/>
          <w:szCs w:val="24"/>
        </w:rPr>
        <w:t>Organisation</w:t>
      </w:r>
      <w:proofErr w:type="spellEnd"/>
      <w:r>
        <w:rPr>
          <w:rFonts w:ascii="Times New Roman" w:hAnsi="Times New Roman"/>
          <w:sz w:val="24"/>
          <w:szCs w:val="24"/>
        </w:rPr>
        <w:t xml:space="preserve"> (WHO) defines female genital mutilation or cutting (FGM/C) a violation of human rights and includes all procedures that involve partial or total removal of the external female genitalia, or other injury to the female genital organs for non-medical reasons (</w:t>
      </w:r>
      <w:r>
        <w:rPr>
          <w:rFonts w:ascii="Times New Roman" w:hAnsi="Times New Roman"/>
          <w:sz w:val="24"/>
          <w:szCs w:val="24"/>
          <w:lang w:val="it-IT"/>
        </w:rPr>
        <w:t>WHO 2020</w:t>
      </w:r>
      <w:r>
        <w:rPr>
          <w:rFonts w:ascii="Times New Roman" w:hAnsi="Times New Roman"/>
          <w:sz w:val="24"/>
          <w:szCs w:val="24"/>
        </w:rPr>
        <w:t>). It is well known that these practices have no health benefits and can cause severe bleeding, problems urinating, and later cysts, infections, as well as complications in childbirth and increased risk of newborn deaths (</w:t>
      </w:r>
      <w:r>
        <w:rPr>
          <w:rFonts w:ascii="Times New Roman" w:hAnsi="Times New Roman"/>
          <w:sz w:val="24"/>
          <w:szCs w:val="24"/>
          <w:lang w:val="it-IT"/>
        </w:rPr>
        <w:t>WHO 2020</w:t>
      </w:r>
      <w:r>
        <w:rPr>
          <w:rFonts w:ascii="Times New Roman" w:hAnsi="Times New Roman"/>
          <w:sz w:val="24"/>
          <w:szCs w:val="24"/>
        </w:rPr>
        <w:t>). It is estimated that this phenomenon affects more than 200 million girls and women especially in Africa, the Middle East and Asia where FGM/C is concentrated (</w:t>
      </w:r>
      <w:r>
        <w:rPr>
          <w:rFonts w:ascii="Times New Roman" w:hAnsi="Times New Roman"/>
          <w:sz w:val="24"/>
          <w:szCs w:val="24"/>
          <w:lang w:val="it-IT"/>
        </w:rPr>
        <w:t>WHO 2020</w:t>
      </w:r>
      <w:r>
        <w:rPr>
          <w:rFonts w:ascii="Times New Roman" w:hAnsi="Times New Roman"/>
          <w:sz w:val="24"/>
          <w:szCs w:val="24"/>
        </w:rPr>
        <w:t>).</w:t>
      </w:r>
      <w:r>
        <w:rPr>
          <w:rFonts w:ascii="Times New Roman" w:hAnsi="Times New Roman"/>
          <w:sz w:val="24"/>
          <w:szCs w:val="24"/>
          <w:lang w:val="it-IT"/>
        </w:rPr>
        <w:t xml:space="preserve"> </w:t>
      </w:r>
      <w:r>
        <w:rPr>
          <w:rFonts w:ascii="Times New Roman" w:hAnsi="Times New Roman"/>
          <w:sz w:val="24"/>
          <w:szCs w:val="24"/>
        </w:rPr>
        <w:t xml:space="preserve">A recent study by </w:t>
      </w:r>
      <w:proofErr w:type="spellStart"/>
      <w:r>
        <w:rPr>
          <w:rFonts w:ascii="Times New Roman" w:hAnsi="Times New Roman"/>
          <w:sz w:val="24"/>
          <w:szCs w:val="24"/>
        </w:rPr>
        <w:t>Ahinkorah</w:t>
      </w:r>
      <w:proofErr w:type="spellEnd"/>
      <w:r>
        <w:rPr>
          <w:rFonts w:ascii="Times New Roman" w:hAnsi="Times New Roman"/>
          <w:sz w:val="24"/>
          <w:szCs w:val="24"/>
        </w:rPr>
        <w:t xml:space="preserve"> and colleagues </w:t>
      </w:r>
      <w:proofErr w:type="spellStart"/>
      <w:r>
        <w:rPr>
          <w:rFonts w:ascii="Times New Roman" w:hAnsi="Times New Roman"/>
          <w:sz w:val="24"/>
          <w:szCs w:val="24"/>
        </w:rPr>
        <w:t>analysed</w:t>
      </w:r>
      <w:proofErr w:type="spellEnd"/>
      <w:r>
        <w:rPr>
          <w:rFonts w:ascii="Times New Roman" w:hAnsi="Times New Roman"/>
          <w:sz w:val="24"/>
          <w:szCs w:val="24"/>
        </w:rPr>
        <w:t xml:space="preserve"> FGM/C characteristics in 12 selected sub</w:t>
      </w:r>
      <w:r>
        <w:rPr>
          <w:rFonts w:ascii="Arial Unicode MS" w:hAnsi="Arial Unicode MS"/>
          <w:sz w:val="24"/>
          <w:szCs w:val="24"/>
        </w:rPr>
        <w:t>-</w:t>
      </w:r>
      <w:r>
        <w:rPr>
          <w:rFonts w:ascii="Times New Roman" w:hAnsi="Times New Roman"/>
          <w:sz w:val="24"/>
          <w:szCs w:val="24"/>
        </w:rPr>
        <w:t>Saharan African countries where this practice is generally predominant (</w:t>
      </w:r>
      <w:proofErr w:type="spellStart"/>
      <w:r>
        <w:rPr>
          <w:rFonts w:ascii="Times New Roman" w:hAnsi="Times New Roman"/>
          <w:sz w:val="24"/>
          <w:szCs w:val="24"/>
          <w:lang w:val="fr-FR"/>
        </w:rPr>
        <w:t>Ahinkorah</w:t>
      </w:r>
      <w:proofErr w:type="spellEnd"/>
      <w:r>
        <w:rPr>
          <w:rFonts w:ascii="Times New Roman" w:hAnsi="Times New Roman"/>
          <w:sz w:val="24"/>
          <w:szCs w:val="24"/>
          <w:lang w:val="it-IT"/>
        </w:rPr>
        <w:t xml:space="preserve"> 2020</w:t>
      </w:r>
      <w:r>
        <w:rPr>
          <w:rFonts w:ascii="Times New Roman" w:hAnsi="Times New Roman"/>
          <w:sz w:val="24"/>
          <w:szCs w:val="24"/>
        </w:rPr>
        <w:t>). Among the selected countries, they showed that overall, 51.7% of women and 12.9% of their daughters had undergone FGM/C with the highest proportion of FGM/C in Guinea (96.1%) (</w:t>
      </w:r>
      <w:proofErr w:type="spellStart"/>
      <w:r>
        <w:rPr>
          <w:rFonts w:ascii="Times New Roman" w:hAnsi="Times New Roman"/>
          <w:sz w:val="24"/>
          <w:szCs w:val="24"/>
          <w:lang w:val="fr-FR"/>
        </w:rPr>
        <w:t>Ahinkorah</w:t>
      </w:r>
      <w:proofErr w:type="spellEnd"/>
      <w:r>
        <w:rPr>
          <w:rFonts w:ascii="Times New Roman" w:hAnsi="Times New Roman"/>
          <w:sz w:val="24"/>
          <w:szCs w:val="24"/>
          <w:lang w:val="it-IT"/>
        </w:rPr>
        <w:t xml:space="preserve"> 2020</w:t>
      </w:r>
      <w:r>
        <w:rPr>
          <w:rFonts w:ascii="Times New Roman" w:hAnsi="Times New Roman"/>
          <w:sz w:val="24"/>
          <w:szCs w:val="24"/>
        </w:rPr>
        <w:t>). Authors confirmed previous findings showing that wealth index, maternal educational status, age of mothers, place of residence (urban versus rural), marital status, occupational status, and media exposure were factors associated with FGM/C (</w:t>
      </w:r>
      <w:proofErr w:type="spellStart"/>
      <w:r>
        <w:rPr>
          <w:rFonts w:ascii="Times New Roman" w:hAnsi="Times New Roman"/>
          <w:sz w:val="24"/>
          <w:szCs w:val="24"/>
          <w:lang w:val="fr-FR"/>
        </w:rPr>
        <w:t>Ahinkorah</w:t>
      </w:r>
      <w:proofErr w:type="spellEnd"/>
      <w:r>
        <w:rPr>
          <w:rFonts w:ascii="Times New Roman" w:hAnsi="Times New Roman"/>
          <w:sz w:val="24"/>
          <w:szCs w:val="24"/>
          <w:lang w:val="it-IT"/>
        </w:rPr>
        <w:t xml:space="preserve"> 2020; Setegn 2016; Gajaa </w:t>
      </w:r>
      <w:proofErr w:type="gramStart"/>
      <w:r>
        <w:rPr>
          <w:rFonts w:ascii="Times New Roman" w:hAnsi="Times New Roman"/>
          <w:sz w:val="24"/>
          <w:szCs w:val="24"/>
          <w:lang w:val="it-IT"/>
        </w:rPr>
        <w:t xml:space="preserve">2016 </w:t>
      </w:r>
      <w:r>
        <w:rPr>
          <w:rFonts w:ascii="Times New Roman" w:hAnsi="Times New Roman"/>
          <w:sz w:val="24"/>
          <w:szCs w:val="24"/>
        </w:rPr>
        <w:t>)</w:t>
      </w:r>
      <w:proofErr w:type="gramEnd"/>
      <w:r>
        <w:rPr>
          <w:rFonts w:ascii="Times New Roman" w:hAnsi="Times New Roman"/>
          <w:sz w:val="24"/>
          <w:szCs w:val="24"/>
        </w:rPr>
        <w:t>. In particular, the women more exposed to FGM/C seem to be those in the poorest wealth quintile, less educated, older, living in urban areas, married, employed in agriculture and manual works and with lower access to media (</w:t>
      </w:r>
      <w:r>
        <w:rPr>
          <w:rFonts w:ascii="Times New Roman" w:hAnsi="Times New Roman"/>
          <w:sz w:val="24"/>
          <w:szCs w:val="24"/>
          <w:lang w:val="it-IT"/>
        </w:rPr>
        <w:t>Ahinkorah 2020</w:t>
      </w:r>
      <w:r>
        <w:rPr>
          <w:rFonts w:ascii="Times New Roman" w:hAnsi="Times New Roman"/>
          <w:sz w:val="24"/>
          <w:szCs w:val="24"/>
        </w:rPr>
        <w:t xml:space="preserve">). Unfortunately, this study didn’t include Sudan that, from </w:t>
      </w:r>
      <w:proofErr w:type="gramStart"/>
      <w:r>
        <w:rPr>
          <w:rFonts w:ascii="Times New Roman" w:hAnsi="Times New Roman"/>
          <w:sz w:val="24"/>
          <w:szCs w:val="24"/>
        </w:rPr>
        <w:t>a</w:t>
      </w:r>
      <w:proofErr w:type="gramEnd"/>
      <w:r>
        <w:rPr>
          <w:rFonts w:ascii="Times New Roman" w:hAnsi="Times New Roman"/>
          <w:sz w:val="24"/>
          <w:szCs w:val="24"/>
        </w:rPr>
        <w:t xml:space="preserve"> FGM/C point of view is going through an interesting and potentially revolutionary phase. In fact, FGM/C practices in Sudan started some fifty years ago and recent data showed a prevalence of 87% among women at reproductive age 15–49 years and 31% among young girls (&lt; 15 years) (</w:t>
      </w:r>
      <w:r>
        <w:rPr>
          <w:rFonts w:ascii="Times New Roman" w:hAnsi="Times New Roman"/>
          <w:sz w:val="24"/>
          <w:szCs w:val="24"/>
          <w:lang w:val="it-IT"/>
        </w:rPr>
        <w:t>Bedri 2019</w:t>
      </w:r>
      <w:r>
        <w:rPr>
          <w:rFonts w:ascii="Times New Roman" w:hAnsi="Times New Roman"/>
          <w:sz w:val="24"/>
          <w:szCs w:val="24"/>
        </w:rPr>
        <w:t>). However, recently, a law has been enacted making FGM/C prohibited. In this commentary we discuss the new law in the light of FGM/C Sudanese data and propose a perspective of possible future scenarios for Sudanese women and girls.</w:t>
      </w:r>
    </w:p>
    <w:p w14:paraId="28C39A3B" w14:textId="77777777" w:rsidR="00B5136C" w:rsidRDefault="00B5136C">
      <w:pPr>
        <w:pStyle w:val="CorpoB"/>
        <w:spacing w:line="480" w:lineRule="auto"/>
      </w:pPr>
    </w:p>
    <w:p w14:paraId="28C39A3C" w14:textId="77777777" w:rsidR="00B5136C" w:rsidRDefault="00B5136C">
      <w:pPr>
        <w:pStyle w:val="CorpoB"/>
        <w:spacing w:line="480" w:lineRule="auto"/>
      </w:pPr>
    </w:p>
    <w:p w14:paraId="28C39A3D" w14:textId="77777777" w:rsidR="00B5136C" w:rsidRDefault="00B5136C">
      <w:pPr>
        <w:pStyle w:val="CorpoB"/>
        <w:spacing w:line="480" w:lineRule="auto"/>
      </w:pPr>
    </w:p>
    <w:p w14:paraId="28C39A3E" w14:textId="77777777" w:rsidR="00B5136C" w:rsidRDefault="00B5136C">
      <w:pPr>
        <w:pStyle w:val="CorpoB"/>
        <w:spacing w:line="480" w:lineRule="auto"/>
        <w:rPr>
          <w:lang w:val="it-IT"/>
        </w:rPr>
      </w:pPr>
    </w:p>
    <w:p w14:paraId="28C39A3F" w14:textId="77777777" w:rsidR="00B5136C" w:rsidRDefault="00497D36">
      <w:pPr>
        <w:pStyle w:val="CorpoB"/>
        <w:spacing w:line="480" w:lineRule="auto"/>
      </w:pPr>
      <w:r>
        <w:rPr>
          <w:lang w:val="it-IT"/>
        </w:rPr>
        <w:t xml:space="preserve">According to the 2014 Multiple Indicators Cluster Survey (MICS), Sudan has a FGM/C rate of 86.6%, which is the highest rate of FGM/C in the world </w:t>
      </w:r>
      <w:r>
        <w:t>(</w:t>
      </w:r>
      <w:r>
        <w:rPr>
          <w:lang w:val="it-IT"/>
        </w:rPr>
        <w:t>UNICEF 2016</w:t>
      </w:r>
      <w:r>
        <w:t>).</w:t>
      </w:r>
      <w:r>
        <w:rPr>
          <w:lang w:val="it-IT"/>
        </w:rPr>
        <w:t xml:space="preserve"> </w:t>
      </w:r>
      <w:r>
        <w:t xml:space="preserve">Reasons for practicing FGM/C in the Country include socio-cultural and economic factors. FGM/C is a requirement to get married in Sudan, as it is driven by the belief that it maintains intact the virginity of the woman, which is considered as mandatory to engage in a safe marriage. In addition, FGM/C is considered a good hygiene practice in Sudan that enhances both cleanliness and beauty. </w:t>
      </w:r>
      <w:r>
        <w:rPr>
          <w:lang w:val="it-IT"/>
        </w:rPr>
        <w:t xml:space="preserve">Although, on one hand, these could be considered valid reasons that allow to understand the existence of these practices, on the other hand, WHO recognises them as a violation of human rights and ascribes them </w:t>
      </w:r>
      <w:r>
        <w:t>no health benefits</w:t>
      </w:r>
      <w:r>
        <w:rPr>
          <w:lang w:val="it-IT"/>
        </w:rPr>
        <w:t xml:space="preserve"> </w:t>
      </w:r>
      <w:r>
        <w:t>(</w:t>
      </w:r>
      <w:r>
        <w:rPr>
          <w:lang w:val="it-IT"/>
        </w:rPr>
        <w:t>WHO 2020</w:t>
      </w:r>
      <w:r>
        <w:t>)</w:t>
      </w:r>
      <w:r>
        <w:rPr>
          <w:lang w:val="it-IT"/>
        </w:rPr>
        <w:t>.</w:t>
      </w:r>
      <w:r>
        <w:t xml:space="preserve"> There are significant differences across regions, strictly related to ethnicity</w:t>
      </w:r>
      <w:r>
        <w:rPr>
          <w:lang w:val="it-IT"/>
        </w:rPr>
        <w:t xml:space="preserve"> owing to </w:t>
      </w:r>
      <w:r>
        <w:t>some ethnic groups historically not practicing FGM/C. Those who practice FGM/C also vary according to area of residence. In general, FGM/C is mainly performed by trained midwives (63.6% of women who undergone FGM/C), followed by traditional circumcisers (28.7% of women who undergone FGM/C). Overall, 31.5% of girls in the age group 0-14 years have undergone FGM/C</w:t>
      </w:r>
      <w:r>
        <w:rPr>
          <w:lang w:val="it-IT"/>
        </w:rPr>
        <w:t xml:space="preserve"> </w:t>
      </w:r>
      <w:r>
        <w:t>(</w:t>
      </w:r>
      <w:r>
        <w:rPr>
          <w:lang w:val="it-IT"/>
        </w:rPr>
        <w:t>UNICEF 2016</w:t>
      </w:r>
      <w:r>
        <w:t>). Daughters whose mothers have no education (33.6%) are more likely to be exposed to the practice of FGM/C when compared to daughters whose mothers have a primary education (32.7%), secondary education (28.6%) and higher education (15.2%). Finally, women in the poorest households are more likely to support the continuation of the practice (61.9%) compared to those in the wealthiest households (23.3%)</w:t>
      </w:r>
      <w:r>
        <w:rPr>
          <w:lang w:val="it-IT"/>
        </w:rPr>
        <w:t xml:space="preserve"> </w:t>
      </w:r>
      <w:r>
        <w:t>(</w:t>
      </w:r>
      <w:r>
        <w:rPr>
          <w:lang w:val="it-IT"/>
        </w:rPr>
        <w:t>UNICEF 2016</w:t>
      </w:r>
      <w:r>
        <w:t xml:space="preserve">). </w:t>
      </w:r>
    </w:p>
    <w:p w14:paraId="28C39A40" w14:textId="77777777" w:rsidR="00B5136C" w:rsidRDefault="00497D36">
      <w:pPr>
        <w:pStyle w:val="CorpoB"/>
        <w:spacing w:line="480" w:lineRule="auto"/>
      </w:pPr>
      <w:r>
        <w:t>FGM/C is still widely practiced across all Sudan, however, importantly social attitudes and norms towards the practice are changing (</w:t>
      </w:r>
      <w:r>
        <w:rPr>
          <w:lang w:val="it-IT"/>
        </w:rPr>
        <w:t>Badawi 2016</w:t>
      </w:r>
      <w:r>
        <w:t>). Over half of women aged 15-49 years</w:t>
      </w:r>
      <w:r>
        <w:rPr>
          <w:lang w:val="it-IT"/>
        </w:rPr>
        <w:t xml:space="preserve"> </w:t>
      </w:r>
      <w:r>
        <w:t xml:space="preserve">(52.8%) think that FGM/C practice should be abandoned. Highest rates of women </w:t>
      </w:r>
      <w:r>
        <w:rPr>
          <w:lang w:val="it-IT"/>
        </w:rPr>
        <w:t>favourable</w:t>
      </w:r>
      <w:r>
        <w:t xml:space="preserve"> to the abandonment of FGM/C are found mostly in urban areas or in states where anti-FGM/C interventions are implemented. This trend is reflected in the legislative framework: Sudan was the first country in Africa to legislate against FGM/C in 1946, </w:t>
      </w:r>
      <w:r>
        <w:rPr>
          <w:lang w:val="it-IT"/>
        </w:rPr>
        <w:t>criminalising</w:t>
      </w:r>
      <w:r>
        <w:t xml:space="preserve"> the most severe form of </w:t>
      </w:r>
      <w:r>
        <w:lastRenderedPageBreak/>
        <w:t>FGM/C known as “pharaonic” (type III, removal of all external genitalia preceding stitching of the vaginal opening</w:t>
      </w:r>
      <w:proofErr w:type="gramStart"/>
      <w:r>
        <w:t>), but</w:t>
      </w:r>
      <w:proofErr w:type="gramEnd"/>
      <w:r>
        <w:t xml:space="preserve"> permitting the locally known “Sunna” form (type I, partial or total removal of the clitoris)</w:t>
      </w:r>
      <w:r>
        <w:rPr>
          <w:lang w:val="it-IT"/>
        </w:rPr>
        <w:t xml:space="preserve"> </w:t>
      </w:r>
      <w:r>
        <w:t>(</w:t>
      </w:r>
      <w:r>
        <w:rPr>
          <w:lang w:val="it-IT"/>
        </w:rPr>
        <w:t>UNFPA/UNICEF 2020</w:t>
      </w:r>
      <w:r>
        <w:t xml:space="preserve">). Attempts to enforce the 1946 law were very rare up to 1983, when Sharia law was introduced and the article prohibiting FGM/C was </w:t>
      </w:r>
      <w:proofErr w:type="gramStart"/>
      <w:r>
        <w:t>definitely removed</w:t>
      </w:r>
      <w:proofErr w:type="gramEnd"/>
      <w:r>
        <w:t xml:space="preserve"> from the penal code. In 2007, the New Women Empowerment National Policy called for the eradication of FGM/C </w:t>
      </w:r>
      <w:r>
        <w:rPr>
          <w:lang w:val="it-IT"/>
        </w:rPr>
        <w:t>(Kondgen 2010)</w:t>
      </w:r>
      <w:r>
        <w:t xml:space="preserve">. In addition, the Sudanese Government endorsed the </w:t>
      </w:r>
      <w:r>
        <w:rPr>
          <w:i/>
          <w:iCs/>
        </w:rPr>
        <w:t>National Strategy for the Abolition of FGM/C</w:t>
      </w:r>
      <w:r>
        <w:t xml:space="preserve"> (2008-2018) and, in line with this, the National Council for Children Welfare (NCCW</w:t>
      </w:r>
      <w:r>
        <w:rPr>
          <w:lang w:val="it-IT"/>
        </w:rPr>
        <w:t>)</w:t>
      </w:r>
      <w:r>
        <w:t>, the main responsible governmental body for Child Protection, launched the “</w:t>
      </w:r>
      <w:r>
        <w:rPr>
          <w:lang w:val="nl-NL"/>
        </w:rPr>
        <w:t>Saleema Initiative</w:t>
      </w:r>
      <w:r>
        <w:t>” in 2008 to promote a positive reframing of the discourse over uncut girls. However, the N</w:t>
      </w:r>
      <w:r>
        <w:rPr>
          <w:i/>
          <w:iCs/>
        </w:rPr>
        <w:t>ational Strategy for the Abolition of FGM/C</w:t>
      </w:r>
      <w:r>
        <w:t xml:space="preserve"> has never been reinforced by supportive laws or policies. In 2009, a proposed ban on FGM/C in the National Child Act failed to </w:t>
      </w:r>
      <w:r>
        <w:rPr>
          <w:lang w:val="it-IT"/>
        </w:rPr>
        <w:t>materialise</w:t>
      </w:r>
      <w:r>
        <w:t xml:space="preserve">. Many states in Sudan have managed to pass laws prohibiting and </w:t>
      </w:r>
      <w:r>
        <w:rPr>
          <w:lang w:val="it-IT"/>
        </w:rPr>
        <w:t>criminalising</w:t>
      </w:r>
      <w:r>
        <w:t xml:space="preserve"> all forms of FGM/C, but most of them remained to be enforced or simply appeared to be a political compromise with no penalties for offenders </w:t>
      </w:r>
      <w:r>
        <w:rPr>
          <w:lang w:val="it-IT"/>
        </w:rPr>
        <w:t>as in the</w:t>
      </w:r>
      <w:r>
        <w:t xml:space="preserve"> Red Sea State (</w:t>
      </w:r>
      <w:r>
        <w:rPr>
          <w:lang w:val="it-IT"/>
        </w:rPr>
        <w:t>Al-Nagar 2017</w:t>
      </w:r>
      <w:r>
        <w:t xml:space="preserve">). </w:t>
      </w:r>
    </w:p>
    <w:p w14:paraId="28C39A41" w14:textId="77777777" w:rsidR="00B5136C" w:rsidRDefault="00497D36">
      <w:pPr>
        <w:pStyle w:val="CorpoB"/>
        <w:spacing w:line="480" w:lineRule="auto"/>
      </w:pPr>
      <w:r>
        <w:t xml:space="preserve">After years of persistent and forceful advocacy by all stakeholders led by the NCCW, the amendment to the Criminal Law Article 141 was endorsed by both the Sovereign and Ministerial Councils on 22 April 2020. The Article is considered a landmark move by the transitional Sudanese government to </w:t>
      </w:r>
      <w:r>
        <w:rPr>
          <w:lang w:val="it-IT"/>
        </w:rPr>
        <w:t>criminalise</w:t>
      </w:r>
      <w:r>
        <w:t xml:space="preserve"> FGM/C in Sudan. The adoption of the Child Act in 2010 was considered as a milestone for the protection of children generally and specifically for children in conflict with the law. However, the implementation of the Child Act has always been challenged with the implementation of the Criminal Act (1991) by judges. The Criminal law of 1991 had contradicted the Child Act in different provisions leading to violations of the Child Rights in Sudan (</w:t>
      </w:r>
      <w:r>
        <w:rPr>
          <w:lang w:val="it-IT"/>
        </w:rPr>
        <w:t>UNICEF 2020</w:t>
      </w:r>
      <w:r>
        <w:t xml:space="preserve">). The recently amended Article 141 contains the following provisions: 1) There shall be deemed to commit the offence of female genital mutilation whoever, removed, mutilated the female genitalia by cutting, maiming or modifying any natural part of it leading to the full or partial loss of its functions, whether it is inside a hospital, health center, dispensary or clinic or other places; 2) Whoever </w:t>
      </w:r>
      <w:r>
        <w:lastRenderedPageBreak/>
        <w:t xml:space="preserve">commits the crime of female genital mutilation shall be punished with three </w:t>
      </w:r>
      <w:proofErr w:type="spellStart"/>
      <w:r>
        <w:t>years</w:t>
      </w:r>
      <w:proofErr w:type="spellEnd"/>
      <w:r>
        <w:t xml:space="preserve"> imprisonment and a fine or closing the premises. </w:t>
      </w:r>
    </w:p>
    <w:p w14:paraId="28C39A42" w14:textId="77777777" w:rsidR="00B5136C" w:rsidRDefault="00497D36">
      <w:pPr>
        <w:pStyle w:val="CorpoB"/>
        <w:spacing w:line="480" w:lineRule="auto"/>
      </w:pPr>
      <w:r>
        <w:t xml:space="preserve">The new Criminal Law, together with Article 141, has become enforceable upon final ratification, on July 10, 2020, almost three months after it passed. This leads the discussion on the real chances of enforceability of the law in the Country. </w:t>
      </w:r>
      <w:r>
        <w:rPr>
          <w:lang w:val="it-IT"/>
        </w:rPr>
        <w:t>Criminalisation</w:t>
      </w:r>
      <w:r>
        <w:t xml:space="preserve"> and legal reforms might not be enough for Sudan’s new law against FGM/C to be useful. Educational and cultural reforms should be supported and promoted. There is still a large stigma attached to girls who have not undergone FGM/C in Sudan. Advocacy and awareness on the enforcement of the law could initially cause an increase in the practice because of the fear of social exclusion or social stigma for not conforming to the norm, which may be stronger than the fear of fines and imprisonment. The Sudanese Government needs to focus first on community awareness to ensure demand and acceptance for the law, which was approved at a Federal level but, most probably, it is still unknown by </w:t>
      </w:r>
      <w:proofErr w:type="gramStart"/>
      <w:r>
        <w:t>the majority of</w:t>
      </w:r>
      <w:proofErr w:type="gramEnd"/>
      <w:r>
        <w:t xml:space="preserve"> local communities. In addition, while this new law may affect the prevalence rate of FGM/C in the coming years, it could also create a new stigma for those girls who have been already cut. Main challenges include not only cultural resistance, but also lack of updated data, misuse of resources and lack of coordination among stakeholders. Finally, the current</w:t>
      </w:r>
      <w:r>
        <w:rPr>
          <w:lang w:val="it-IT"/>
        </w:rPr>
        <w:t xml:space="preserve"> Coronavirus Disease (</w:t>
      </w:r>
      <w:r>
        <w:t>Covid-19</w:t>
      </w:r>
      <w:r>
        <w:rPr>
          <w:lang w:val="it-IT"/>
        </w:rPr>
        <w:t>)</w:t>
      </w:r>
      <w:r>
        <w:t xml:space="preserve"> pandemic contributed negatively to the practice. During lockdown months in 2020, an increase in the practice was registered across the Country, taking advantage of children being out of schools</w:t>
      </w:r>
      <w:r>
        <w:rPr>
          <w:lang w:val="it-IT"/>
        </w:rPr>
        <w:t xml:space="preserve"> (UNFPA 2020)</w:t>
      </w:r>
      <w:r>
        <w:t xml:space="preserve">. </w:t>
      </w:r>
    </w:p>
    <w:p w14:paraId="28C39A43" w14:textId="77777777" w:rsidR="00B5136C" w:rsidRDefault="00497D36">
      <w:pPr>
        <w:pStyle w:val="CorpoB"/>
        <w:spacing w:line="480" w:lineRule="auto"/>
        <w:jc w:val="both"/>
      </w:pPr>
      <w:r>
        <w:t xml:space="preserve">Ending FGM/C is not only a matter of law. </w:t>
      </w:r>
      <w:proofErr w:type="gramStart"/>
      <w:r>
        <w:t>Efficient mechanisms,</w:t>
      </w:r>
      <w:proofErr w:type="gramEnd"/>
      <w:r>
        <w:t xml:space="preserve"> specifically allocated financial resources, and broader partnerships that include governmental bodies, civil society, community-based </w:t>
      </w:r>
      <w:r>
        <w:rPr>
          <w:lang w:val="it-IT"/>
        </w:rPr>
        <w:t>organisations</w:t>
      </w:r>
      <w:r>
        <w:t xml:space="preserve">, and international actors, should be </w:t>
      </w:r>
      <w:r>
        <w:rPr>
          <w:lang w:val="it-IT"/>
        </w:rPr>
        <w:t xml:space="preserve">put </w:t>
      </w:r>
      <w:r>
        <w:t xml:space="preserve">in place. The law is an essential step that </w:t>
      </w:r>
      <w:proofErr w:type="gramStart"/>
      <w:r>
        <w:t>has to</w:t>
      </w:r>
      <w:proofErr w:type="gramEnd"/>
      <w:r>
        <w:t xml:space="preserve"> be properly enforced, otherwise it could even have harmful effects. </w:t>
      </w:r>
    </w:p>
    <w:p w14:paraId="28C39A44" w14:textId="77777777" w:rsidR="00B5136C" w:rsidRDefault="00497D36">
      <w:pPr>
        <w:pStyle w:val="CorpoB"/>
        <w:spacing w:line="480" w:lineRule="auto"/>
        <w:jc w:val="both"/>
      </w:pPr>
      <w:r>
        <w:t xml:space="preserve">While the overall rate of FGM/C in Sudan is one of the highest in the world, it varies among communities and states. Official updated data and research would enable risk-mapping and help </w:t>
      </w:r>
      <w:proofErr w:type="gramStart"/>
      <w:r>
        <w:t>policy-makers</w:t>
      </w:r>
      <w:proofErr w:type="gramEnd"/>
      <w:r>
        <w:t xml:space="preserve"> and </w:t>
      </w:r>
      <w:r>
        <w:rPr>
          <w:lang w:val="it-IT"/>
        </w:rPr>
        <w:t>organisations</w:t>
      </w:r>
      <w:r>
        <w:t xml:space="preserve"> to better identify the economic, social and health consequences of FGM/C, and </w:t>
      </w:r>
      <w:r>
        <w:lastRenderedPageBreak/>
        <w:t xml:space="preserve">to target areas with the highest rates of the practice. The law should be aligned with existing or future national strategies and policies, especially concerning Child Protection and Gender Based Violence (GBV). The Government and its partners should be careful in not </w:t>
      </w:r>
      <w:r>
        <w:rPr>
          <w:lang w:val="it-IT"/>
        </w:rPr>
        <w:t>criminalising</w:t>
      </w:r>
      <w:r>
        <w:t xml:space="preserve"> different groups including parents, midwives, community leaders and health providers. This could lead to practice FGM/C “underground” and to avoid referral to health </w:t>
      </w:r>
      <w:r>
        <w:rPr>
          <w:lang w:val="it-IT"/>
        </w:rPr>
        <w:t>centres</w:t>
      </w:r>
      <w:r>
        <w:t xml:space="preserve"> in case of health consequences for the fear of sanctions. Awareness about the amendment and, most importantly, consensus, should be raised among those groups, ensuring a wider support to social norms change towards new social norms and practices that do not violate human rights (for example providing economic support to midwives or promoting alternative rituals). Academic institutions and media can play a great role in changing the beliefs around FGM/C practice; they could </w:t>
      </w:r>
      <w:r>
        <w:rPr>
          <w:lang w:val="it-IT"/>
        </w:rPr>
        <w:t>organise</w:t>
      </w:r>
      <w:r>
        <w:t xml:space="preserve"> media campaigns, promote exchanges with communities abroad and include awareness in the school curricula. In addition, many evaluations have demonstrated that interventions to end FGM/C are more successful if inserted in broader programs to tackle communities’ needs and challenges. All these elements have shown in numerous countries to be successful and have led to the creation of an environment where FGM/C no longer has a traditional value (</w:t>
      </w:r>
      <w:r>
        <w:rPr>
          <w:lang w:val="it-IT"/>
        </w:rPr>
        <w:t>UNFPA/UNICEF 2020</w:t>
      </w:r>
      <w:r>
        <w:t xml:space="preserve">). </w:t>
      </w:r>
    </w:p>
    <w:p w14:paraId="28C39A45" w14:textId="77777777" w:rsidR="00B5136C" w:rsidRDefault="00497D36">
      <w:pPr>
        <w:pStyle w:val="CorpoB"/>
        <w:spacing w:line="480" w:lineRule="auto"/>
        <w:jc w:val="both"/>
      </w:pPr>
      <w:r>
        <w:t xml:space="preserve">In Sudan, the Government, and more specifically the NCCW, are strongly committed to put in place mechanisms for the creation of an enabling environment to enforce the law. In this regard, the NCCW already established a roadmap that seems aligned with the main elements of success described above. Trainings for law enforcement will be </w:t>
      </w:r>
      <w:r>
        <w:rPr>
          <w:lang w:val="it-IT"/>
        </w:rPr>
        <w:t>organised</w:t>
      </w:r>
      <w:r>
        <w:t xml:space="preserve"> for community leaders and health providers. In addition, a M</w:t>
      </w:r>
      <w:r>
        <w:rPr>
          <w:lang w:val="it-IT"/>
        </w:rPr>
        <w:t xml:space="preserve">emorandum </w:t>
      </w:r>
      <w:r>
        <w:t>o</w:t>
      </w:r>
      <w:r>
        <w:rPr>
          <w:lang w:val="it-IT"/>
        </w:rPr>
        <w:t xml:space="preserve">f </w:t>
      </w:r>
      <w:r>
        <w:t>U</w:t>
      </w:r>
      <w:r>
        <w:rPr>
          <w:lang w:val="it-IT"/>
        </w:rPr>
        <w:t>nderstanding</w:t>
      </w:r>
      <w:r>
        <w:t xml:space="preserve"> will be established with the media to </w:t>
      </w:r>
      <w:r>
        <w:rPr>
          <w:lang w:val="it-IT"/>
        </w:rPr>
        <w:t>organise</w:t>
      </w:r>
      <w:r>
        <w:t xml:space="preserve"> and conduct a communication campaign on the recently ratified law against FGM/C. Finally, the roadmap will be aligned with main national strategies such as the National Health Sector Strategy, the National Girls Education Sector Strategy, the National Social Protection Strategy and the GBV Strategy. These elements, combined with an active partnership between the Sudanese Government and the civil society, show that Sudan has a </w:t>
      </w:r>
      <w:r>
        <w:rPr>
          <w:lang w:val="it-IT"/>
        </w:rPr>
        <w:t>favourable</w:t>
      </w:r>
      <w:r>
        <w:t xml:space="preserve"> political and social context to </w:t>
      </w:r>
      <w:proofErr w:type="gramStart"/>
      <w:r>
        <w:t>enforce successfully</w:t>
      </w:r>
      <w:proofErr w:type="gramEnd"/>
      <w:r>
        <w:t xml:space="preserve"> the law and eradicate FGM/C practice. Still, the current economic crisis affecting the Country, together with the </w:t>
      </w:r>
      <w:r>
        <w:lastRenderedPageBreak/>
        <w:t xml:space="preserve">global Covid-19 pandemic, could lead to a swift change of priorities and undermine the process of enforcement.  </w:t>
      </w:r>
      <w:r>
        <w:rPr>
          <w:rFonts w:ascii="Arial Unicode MS" w:eastAsia="Arial Unicode MS" w:hAnsi="Arial Unicode MS" w:cs="Arial Unicode MS"/>
        </w:rPr>
        <w:br w:type="page"/>
      </w:r>
    </w:p>
    <w:p w14:paraId="28C39A46" w14:textId="77777777" w:rsidR="00B5136C" w:rsidRDefault="00497D36" w:rsidP="00E17F3E">
      <w:pPr>
        <w:pStyle w:val="Heading1"/>
        <w:rPr>
          <w:lang w:val="it-IT"/>
        </w:rPr>
      </w:pPr>
      <w:r>
        <w:rPr>
          <w:lang w:val="it-IT"/>
        </w:rPr>
        <w:lastRenderedPageBreak/>
        <w:t>Declarations</w:t>
      </w:r>
    </w:p>
    <w:p w14:paraId="28C39A47" w14:textId="77777777" w:rsidR="00B5136C" w:rsidRDefault="00497D36">
      <w:pPr>
        <w:pStyle w:val="DidefaultB"/>
        <w:spacing w:line="480" w:lineRule="auto"/>
      </w:pPr>
      <w:r>
        <w:rPr>
          <w:rFonts w:ascii="Times New Roman" w:hAnsi="Times New Roman"/>
          <w:b/>
          <w:bCs/>
          <w:color w:val="212121"/>
          <w:sz w:val="26"/>
          <w:szCs w:val="26"/>
          <w:u w:color="212121"/>
          <w:shd w:val="clear" w:color="auto" w:fill="FFFFFF"/>
        </w:rPr>
        <w:t xml:space="preserve">Ethics approval and consent to participate: </w:t>
      </w:r>
      <w:r>
        <w:rPr>
          <w:rFonts w:ascii="Times New Roman" w:hAnsi="Times New Roman"/>
          <w:color w:val="212121"/>
          <w:kern w:val="3"/>
          <w:sz w:val="24"/>
          <w:szCs w:val="24"/>
          <w:u w:color="212121"/>
          <w:shd w:val="clear" w:color="auto" w:fill="FFFFFF"/>
        </w:rPr>
        <w:t>Not applicable</w:t>
      </w:r>
    </w:p>
    <w:p w14:paraId="28C39A48" w14:textId="77777777" w:rsidR="00B5136C" w:rsidRDefault="00497D36">
      <w:pPr>
        <w:pStyle w:val="DidefaultB"/>
        <w:spacing w:line="480" w:lineRule="auto"/>
      </w:pPr>
      <w:r>
        <w:rPr>
          <w:rFonts w:ascii="Times New Roman" w:hAnsi="Times New Roman"/>
          <w:b/>
          <w:bCs/>
          <w:color w:val="212121"/>
          <w:sz w:val="26"/>
          <w:szCs w:val="26"/>
          <w:u w:color="212121"/>
          <w:shd w:val="clear" w:color="auto" w:fill="FFFFFF"/>
        </w:rPr>
        <w:t xml:space="preserve">Consent for publication: </w:t>
      </w:r>
      <w:r>
        <w:rPr>
          <w:rFonts w:ascii="Times New Roman" w:hAnsi="Times New Roman"/>
          <w:color w:val="212121"/>
          <w:sz w:val="26"/>
          <w:szCs w:val="26"/>
          <w:u w:color="212121"/>
          <w:shd w:val="clear" w:color="auto" w:fill="FFFFFF"/>
        </w:rPr>
        <w:t>not applicable</w:t>
      </w:r>
    </w:p>
    <w:p w14:paraId="28C39A49" w14:textId="77777777" w:rsidR="00B5136C" w:rsidRDefault="00497D36">
      <w:pPr>
        <w:pStyle w:val="DidefaultB"/>
        <w:spacing w:line="480" w:lineRule="auto"/>
        <w:rPr>
          <w:lang w:val="en-US"/>
        </w:rPr>
      </w:pPr>
      <w:r>
        <w:rPr>
          <w:rFonts w:ascii="Times New Roman" w:hAnsi="Times New Roman"/>
          <w:b/>
          <w:bCs/>
          <w:color w:val="212121"/>
          <w:kern w:val="3"/>
          <w:sz w:val="24"/>
          <w:szCs w:val="24"/>
          <w:u w:color="212121"/>
          <w:shd w:val="clear" w:color="auto" w:fill="FFFFFF"/>
          <w:lang w:val="en-US"/>
        </w:rPr>
        <w:t>Availability of data and materials:</w:t>
      </w:r>
      <w:r>
        <w:rPr>
          <w:rFonts w:ascii="Times New Roman" w:hAnsi="Times New Roman"/>
          <w:color w:val="212121"/>
          <w:kern w:val="3"/>
          <w:sz w:val="24"/>
          <w:szCs w:val="24"/>
          <w:u w:color="212121"/>
          <w:shd w:val="clear" w:color="auto" w:fill="FFFFFF"/>
          <w:lang w:val="en-US"/>
        </w:rPr>
        <w:t xml:space="preserve"> All data generated or </w:t>
      </w:r>
      <w:proofErr w:type="spellStart"/>
      <w:r>
        <w:rPr>
          <w:rFonts w:ascii="Times New Roman" w:hAnsi="Times New Roman"/>
          <w:color w:val="212121"/>
          <w:kern w:val="3"/>
          <w:sz w:val="24"/>
          <w:szCs w:val="24"/>
          <w:u w:color="212121"/>
          <w:shd w:val="clear" w:color="auto" w:fill="FFFFFF"/>
          <w:lang w:val="en-US"/>
        </w:rPr>
        <w:t>analysed</w:t>
      </w:r>
      <w:proofErr w:type="spellEnd"/>
      <w:r>
        <w:rPr>
          <w:rFonts w:ascii="Times New Roman" w:hAnsi="Times New Roman"/>
          <w:color w:val="212121"/>
          <w:kern w:val="3"/>
          <w:sz w:val="24"/>
          <w:szCs w:val="24"/>
          <w:u w:color="212121"/>
          <w:shd w:val="clear" w:color="auto" w:fill="FFFFFF"/>
          <w:lang w:val="en-US"/>
        </w:rPr>
        <w:t xml:space="preserve"> during this study are included in this published article</w:t>
      </w:r>
    </w:p>
    <w:p w14:paraId="28C39A4A" w14:textId="77777777" w:rsidR="00B5136C" w:rsidRDefault="00497D36">
      <w:pPr>
        <w:pStyle w:val="DidefaultB"/>
        <w:spacing w:line="480" w:lineRule="auto"/>
        <w:rPr>
          <w:lang w:val="en-US"/>
        </w:rPr>
      </w:pPr>
      <w:r>
        <w:rPr>
          <w:rFonts w:ascii="Times New Roman" w:hAnsi="Times New Roman"/>
          <w:b/>
          <w:bCs/>
          <w:color w:val="212121"/>
          <w:kern w:val="3"/>
          <w:sz w:val="24"/>
          <w:szCs w:val="24"/>
          <w:u w:color="212121"/>
          <w:shd w:val="clear" w:color="auto" w:fill="FFFFFF"/>
          <w:lang w:val="en-US"/>
        </w:rPr>
        <w:t>Conflict of Interest:</w:t>
      </w:r>
      <w:r>
        <w:rPr>
          <w:rFonts w:ascii="Times New Roman" w:hAnsi="Times New Roman"/>
          <w:color w:val="212121"/>
          <w:kern w:val="3"/>
          <w:sz w:val="24"/>
          <w:szCs w:val="24"/>
          <w:u w:color="212121"/>
          <w:shd w:val="clear" w:color="auto" w:fill="FFFFFF"/>
          <w:lang w:val="en-US"/>
        </w:rPr>
        <w:t xml:space="preserve"> all authors declare no conflict of interest</w:t>
      </w:r>
    </w:p>
    <w:p w14:paraId="28C39A4B" w14:textId="77777777" w:rsidR="00B5136C" w:rsidRDefault="00497D36">
      <w:pPr>
        <w:pStyle w:val="DidefaultB"/>
        <w:spacing w:line="480" w:lineRule="auto"/>
      </w:pPr>
      <w:r>
        <w:rPr>
          <w:rFonts w:ascii="Times New Roman" w:hAnsi="Times New Roman"/>
          <w:b/>
          <w:bCs/>
          <w:color w:val="212121"/>
          <w:kern w:val="3"/>
          <w:sz w:val="24"/>
          <w:szCs w:val="24"/>
          <w:u w:color="212121"/>
          <w:shd w:val="clear" w:color="auto" w:fill="FFFFFF"/>
          <w:lang w:val="de-DE"/>
        </w:rPr>
        <w:t>Funds:</w:t>
      </w:r>
      <w:r>
        <w:rPr>
          <w:rFonts w:ascii="Times New Roman" w:hAnsi="Times New Roman"/>
          <w:color w:val="212121"/>
          <w:kern w:val="3"/>
          <w:sz w:val="24"/>
          <w:szCs w:val="24"/>
          <w:u w:color="212121"/>
          <w:shd w:val="clear" w:color="auto" w:fill="FFFFFF"/>
          <w:lang w:val="en-US"/>
        </w:rPr>
        <w:t xml:space="preserve"> none to declare</w:t>
      </w:r>
    </w:p>
    <w:p w14:paraId="28C39A4C"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rFonts w:ascii="Times New Roman" w:hAnsi="Times New Roman"/>
          <w:b/>
          <w:bCs/>
          <w:sz w:val="24"/>
          <w:szCs w:val="24"/>
          <w:u w:color="131313"/>
        </w:rPr>
        <w:t>Author contribution</w:t>
      </w:r>
    </w:p>
    <w:p w14:paraId="28C39A4D"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roofErr w:type="spellStart"/>
      <w:r>
        <w:rPr>
          <w:rFonts w:ascii="Times New Roman" w:hAnsi="Times New Roman"/>
          <w:sz w:val="24"/>
          <w:szCs w:val="24"/>
          <w:u w:color="131313"/>
        </w:rPr>
        <w:t>Conceptualisation</w:t>
      </w:r>
      <w:proofErr w:type="spellEnd"/>
      <w:r>
        <w:rPr>
          <w:rFonts w:ascii="Times New Roman" w:hAnsi="Times New Roman"/>
          <w:sz w:val="24"/>
          <w:szCs w:val="24"/>
          <w:u w:color="131313"/>
        </w:rPr>
        <w:t xml:space="preserve">, M.L. and </w:t>
      </w:r>
      <w:r>
        <w:rPr>
          <w:rFonts w:ascii="Times New Roman" w:hAnsi="Times New Roman"/>
          <w:sz w:val="24"/>
          <w:szCs w:val="24"/>
          <w:u w:color="131313"/>
          <w:lang w:val="it-IT"/>
        </w:rPr>
        <w:t>Y.S</w:t>
      </w:r>
      <w:r>
        <w:rPr>
          <w:rFonts w:ascii="Times New Roman" w:hAnsi="Times New Roman"/>
          <w:sz w:val="24"/>
          <w:szCs w:val="24"/>
          <w:u w:color="131313"/>
        </w:rPr>
        <w:t xml:space="preserve">.; Data Curation, D.P. and </w:t>
      </w:r>
      <w:r>
        <w:rPr>
          <w:rFonts w:ascii="Times New Roman" w:hAnsi="Times New Roman"/>
          <w:sz w:val="24"/>
          <w:szCs w:val="24"/>
          <w:u w:color="131313"/>
          <w:lang w:val="it-IT"/>
        </w:rPr>
        <w:t>M.L.</w:t>
      </w:r>
      <w:r>
        <w:rPr>
          <w:rFonts w:ascii="Times New Roman" w:hAnsi="Times New Roman"/>
          <w:sz w:val="24"/>
          <w:szCs w:val="24"/>
          <w:u w:color="131313"/>
        </w:rPr>
        <w:t>.; Writing – Original Draft Preparation, M.L.</w:t>
      </w:r>
      <w:r>
        <w:rPr>
          <w:rFonts w:ascii="Times New Roman" w:hAnsi="Times New Roman"/>
          <w:sz w:val="24"/>
          <w:szCs w:val="24"/>
          <w:u w:color="131313"/>
          <w:lang w:val="it-IT"/>
        </w:rPr>
        <w:t xml:space="preserve"> and</w:t>
      </w:r>
      <w:r>
        <w:rPr>
          <w:rFonts w:ascii="Times New Roman" w:hAnsi="Times New Roman"/>
          <w:sz w:val="24"/>
          <w:szCs w:val="24"/>
          <w:u w:color="131313"/>
        </w:rPr>
        <w:t xml:space="preserve"> D.P.; Writing – Review &amp; Editing,</w:t>
      </w:r>
      <w:r>
        <w:rPr>
          <w:rFonts w:ascii="Times New Roman" w:hAnsi="Times New Roman"/>
          <w:sz w:val="24"/>
          <w:szCs w:val="24"/>
          <w:u w:color="131313"/>
          <w:lang w:val="it-IT"/>
        </w:rPr>
        <w:t xml:space="preserve"> </w:t>
      </w:r>
      <w:r>
        <w:rPr>
          <w:rFonts w:ascii="Times New Roman" w:hAnsi="Times New Roman"/>
          <w:sz w:val="24"/>
          <w:szCs w:val="24"/>
          <w:u w:color="131313"/>
        </w:rPr>
        <w:t xml:space="preserve">L.S and V.R; </w:t>
      </w:r>
      <w:proofErr w:type="gramStart"/>
      <w:r>
        <w:rPr>
          <w:rFonts w:ascii="Times New Roman" w:hAnsi="Times New Roman"/>
          <w:sz w:val="24"/>
          <w:szCs w:val="24"/>
          <w:u w:color="131313"/>
        </w:rPr>
        <w:t>Supervision,</w:t>
      </w:r>
      <w:r>
        <w:rPr>
          <w:rFonts w:ascii="Times New Roman" w:hAnsi="Times New Roman"/>
          <w:sz w:val="24"/>
          <w:szCs w:val="24"/>
          <w:u w:color="131313"/>
          <w:lang w:val="it-IT"/>
        </w:rPr>
        <w:t>Y.S</w:t>
      </w:r>
      <w:r>
        <w:rPr>
          <w:rFonts w:ascii="Times New Roman" w:hAnsi="Times New Roman"/>
          <w:sz w:val="24"/>
          <w:szCs w:val="24"/>
          <w:u w:color="131313"/>
        </w:rPr>
        <w:t>.</w:t>
      </w:r>
      <w:proofErr w:type="gramEnd"/>
    </w:p>
    <w:p w14:paraId="28C39A4E" w14:textId="77777777" w:rsidR="00B5136C" w:rsidRDefault="00497D36">
      <w:pPr>
        <w:pStyle w:val="DidefaultB"/>
        <w:spacing w:line="480" w:lineRule="auto"/>
        <w:rPr>
          <w:lang w:val="en-US"/>
        </w:rPr>
      </w:pPr>
      <w:r>
        <w:rPr>
          <w:rFonts w:ascii="Times New Roman" w:hAnsi="Times New Roman"/>
          <w:b/>
          <w:bCs/>
          <w:sz w:val="24"/>
          <w:szCs w:val="24"/>
          <w:u w:color="131313"/>
          <w:shd w:val="clear" w:color="auto" w:fill="FFFFFF"/>
          <w:lang w:val="en-US"/>
        </w:rPr>
        <w:t>Acknowledgements:</w:t>
      </w:r>
      <w:r>
        <w:rPr>
          <w:rFonts w:ascii="Times New Roman" w:hAnsi="Times New Roman"/>
          <w:sz w:val="24"/>
          <w:szCs w:val="24"/>
          <w:u w:color="131313"/>
          <w:shd w:val="clear" w:color="auto" w:fill="FFFFFF"/>
          <w:lang w:val="en-US"/>
        </w:rPr>
        <w:t xml:space="preserve"> none</w:t>
      </w:r>
    </w:p>
    <w:p w14:paraId="28C39A4F" w14:textId="77777777" w:rsidR="00B5136C" w:rsidRDefault="00497D36">
      <w:pPr>
        <w:pStyle w:val="DidefaultB"/>
        <w:spacing w:line="480" w:lineRule="auto"/>
      </w:pPr>
      <w:r>
        <w:rPr>
          <w:rFonts w:ascii="Times New Roman" w:hAnsi="Times New Roman"/>
          <w:b/>
          <w:bCs/>
          <w:sz w:val="24"/>
          <w:szCs w:val="24"/>
          <w:u w:color="212121"/>
          <w:shd w:val="clear" w:color="auto" w:fill="FFFFFF"/>
        </w:rPr>
        <w:t>Authors information</w:t>
      </w:r>
    </w:p>
    <w:p w14:paraId="28C39A50"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lang w:val="it-IT"/>
        </w:rPr>
      </w:pPr>
      <w:r>
        <w:rPr>
          <w:rFonts w:ascii="Times New Roman" w:hAnsi="Times New Roman"/>
          <w:sz w:val="24"/>
          <w:szCs w:val="24"/>
          <w:lang w:val="it-IT"/>
        </w:rPr>
        <w:t>Michela Lugiai (michela.lugiai@aics.gov.it)</w:t>
      </w:r>
    </w:p>
    <w:p w14:paraId="28C39A51"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lang w:val="it-IT"/>
        </w:rPr>
      </w:pPr>
      <w:r>
        <w:rPr>
          <w:rFonts w:ascii="Times New Roman" w:hAnsi="Times New Roman"/>
          <w:sz w:val="24"/>
          <w:szCs w:val="24"/>
          <w:lang w:val="it-IT"/>
        </w:rPr>
        <w:t>Yasir Shalabi (yas_shalabi@yahoo.com)</w:t>
      </w:r>
    </w:p>
    <w:p w14:paraId="28C39A52"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lang w:val="it-IT"/>
        </w:rPr>
      </w:pPr>
      <w:r>
        <w:rPr>
          <w:rFonts w:ascii="Times New Roman" w:hAnsi="Times New Roman"/>
          <w:sz w:val="24"/>
          <w:szCs w:val="24"/>
          <w:lang w:val="it-IT"/>
        </w:rPr>
        <w:t>Vincenzo Racalbuto</w:t>
      </w:r>
      <w:r>
        <w:rPr>
          <w:lang w:val="it-IT"/>
        </w:rPr>
        <w:t xml:space="preserve"> </w:t>
      </w:r>
      <w:r>
        <w:rPr>
          <w:rFonts w:ascii="Times New Roman" w:hAnsi="Times New Roman"/>
          <w:sz w:val="24"/>
          <w:szCs w:val="24"/>
          <w:lang w:val="it-IT"/>
        </w:rPr>
        <w:t>(vincenzo.racalbuto@aics.gov.it)</w:t>
      </w:r>
    </w:p>
    <w:p w14:paraId="28C39A53"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lang w:val="it-IT"/>
        </w:rPr>
      </w:pPr>
      <w:r>
        <w:rPr>
          <w:rFonts w:ascii="Times New Roman" w:hAnsi="Times New Roman"/>
          <w:sz w:val="24"/>
          <w:szCs w:val="24"/>
          <w:lang w:val="it-IT"/>
        </w:rPr>
        <w:t>Damiano Pizzol (damianopizzol8@gmail.com)</w:t>
      </w:r>
    </w:p>
    <w:p w14:paraId="28C39A54"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rPr>
          <w:lang w:val="it-IT"/>
        </w:rPr>
      </w:pPr>
      <w:r>
        <w:rPr>
          <w:rFonts w:ascii="Times New Roman" w:hAnsi="Times New Roman"/>
          <w:sz w:val="24"/>
          <w:szCs w:val="24"/>
          <w:lang w:val="it-IT"/>
        </w:rPr>
        <w:t>Lee Smith (Lee.Smith@aru.ac.uk)</w:t>
      </w:r>
    </w:p>
    <w:p w14:paraId="28C39A55"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28C39A56"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28C39A57"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28C39A58"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28C39A59" w14:textId="77777777" w:rsidR="00B5136C" w:rsidRDefault="00B5136C">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28C39A5A" w14:textId="77777777" w:rsidR="00B5136C" w:rsidRDefault="00497D36">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rFonts w:ascii="Arial Unicode MS" w:eastAsia="Arial Unicode MS" w:hAnsi="Arial Unicode MS" w:cs="Arial Unicode MS"/>
          <w:kern w:val="3"/>
          <w:sz w:val="24"/>
          <w:szCs w:val="24"/>
        </w:rPr>
        <w:br w:type="page"/>
      </w:r>
    </w:p>
    <w:p w14:paraId="28C39A5B" w14:textId="77777777" w:rsidR="00B5136C" w:rsidRDefault="00497D36" w:rsidP="00E17F3E">
      <w:pPr>
        <w:pStyle w:val="Heading1"/>
        <w:rPr>
          <w:lang w:val="fr-FR"/>
        </w:rPr>
      </w:pPr>
      <w:proofErr w:type="spellStart"/>
      <w:r>
        <w:rPr>
          <w:lang w:val="fr-FR"/>
        </w:rPr>
        <w:lastRenderedPageBreak/>
        <w:t>References</w:t>
      </w:r>
      <w:proofErr w:type="spellEnd"/>
    </w:p>
    <w:p w14:paraId="28C39A5C" w14:textId="77777777" w:rsidR="00B5136C" w:rsidRDefault="00497D36">
      <w:pPr>
        <w:pStyle w:val="CorpoB"/>
        <w:spacing w:line="360" w:lineRule="auto"/>
        <w:rPr>
          <w:lang w:val="fr-FR"/>
        </w:rPr>
      </w:pPr>
      <w:proofErr w:type="spellStart"/>
      <w:r>
        <w:rPr>
          <w:lang w:val="fr-FR"/>
        </w:rPr>
        <w:t>Ahinkorah</w:t>
      </w:r>
      <w:proofErr w:type="spellEnd"/>
      <w:r>
        <w:rPr>
          <w:lang w:val="fr-FR"/>
        </w:rPr>
        <w:t xml:space="preserve"> BO, </w:t>
      </w:r>
      <w:proofErr w:type="spellStart"/>
      <w:r>
        <w:rPr>
          <w:lang w:val="fr-FR"/>
        </w:rPr>
        <w:t>Hagan</w:t>
      </w:r>
      <w:proofErr w:type="spellEnd"/>
      <w:r>
        <w:rPr>
          <w:lang w:val="fr-FR"/>
        </w:rPr>
        <w:t xml:space="preserve"> JE Jr, </w:t>
      </w:r>
      <w:proofErr w:type="spellStart"/>
      <w:r>
        <w:rPr>
          <w:lang w:val="fr-FR"/>
        </w:rPr>
        <w:t>Ameyaw</w:t>
      </w:r>
      <w:proofErr w:type="spellEnd"/>
      <w:r>
        <w:rPr>
          <w:lang w:val="fr-FR"/>
        </w:rPr>
        <w:t xml:space="preserve"> EK, </w:t>
      </w:r>
      <w:proofErr w:type="spellStart"/>
      <w:r>
        <w:rPr>
          <w:lang w:val="fr-FR"/>
        </w:rPr>
        <w:t>Seidu</w:t>
      </w:r>
      <w:proofErr w:type="spellEnd"/>
      <w:r>
        <w:rPr>
          <w:lang w:val="fr-FR"/>
        </w:rPr>
        <w:t xml:space="preserve"> AA, </w:t>
      </w:r>
      <w:proofErr w:type="spellStart"/>
      <w:r>
        <w:rPr>
          <w:lang w:val="fr-FR"/>
        </w:rPr>
        <w:t>Budu</w:t>
      </w:r>
      <w:proofErr w:type="spellEnd"/>
      <w:r>
        <w:rPr>
          <w:lang w:val="fr-FR"/>
        </w:rPr>
        <w:t xml:space="preserve"> E, </w:t>
      </w:r>
      <w:proofErr w:type="spellStart"/>
      <w:r>
        <w:rPr>
          <w:lang w:val="fr-FR"/>
        </w:rPr>
        <w:t>Sambah</w:t>
      </w:r>
      <w:proofErr w:type="spellEnd"/>
      <w:r>
        <w:rPr>
          <w:lang w:val="fr-FR"/>
        </w:rPr>
        <w:t xml:space="preserve"> F, Yaya S, </w:t>
      </w:r>
      <w:proofErr w:type="spellStart"/>
      <w:r>
        <w:rPr>
          <w:lang w:val="fr-FR"/>
        </w:rPr>
        <w:t>Torgbenu</w:t>
      </w:r>
      <w:proofErr w:type="spellEnd"/>
      <w:r>
        <w:rPr>
          <w:lang w:val="fr-FR"/>
        </w:rPr>
        <w:t xml:space="preserve"> E, </w:t>
      </w:r>
      <w:proofErr w:type="spellStart"/>
      <w:r>
        <w:rPr>
          <w:lang w:val="fr-FR"/>
        </w:rPr>
        <w:t>Schack</w:t>
      </w:r>
      <w:proofErr w:type="spellEnd"/>
      <w:r>
        <w:rPr>
          <w:lang w:val="fr-FR"/>
        </w:rPr>
        <w:t xml:space="preserve"> T. </w:t>
      </w:r>
      <w:proofErr w:type="spellStart"/>
      <w:r>
        <w:rPr>
          <w:lang w:val="fr-FR"/>
        </w:rPr>
        <w:t>Socio-economic</w:t>
      </w:r>
      <w:proofErr w:type="spellEnd"/>
      <w:r>
        <w:rPr>
          <w:lang w:val="fr-FR"/>
        </w:rPr>
        <w:t xml:space="preserve"> and </w:t>
      </w:r>
      <w:proofErr w:type="spellStart"/>
      <w:r>
        <w:rPr>
          <w:lang w:val="fr-FR"/>
        </w:rPr>
        <w:t>demographic</w:t>
      </w:r>
      <w:proofErr w:type="spellEnd"/>
      <w:r>
        <w:rPr>
          <w:lang w:val="fr-FR"/>
        </w:rPr>
        <w:t xml:space="preserve"> </w:t>
      </w:r>
      <w:proofErr w:type="spellStart"/>
      <w:r>
        <w:rPr>
          <w:lang w:val="fr-FR"/>
        </w:rPr>
        <w:t>determinants</w:t>
      </w:r>
      <w:proofErr w:type="spellEnd"/>
      <w:r>
        <w:rPr>
          <w:lang w:val="fr-FR"/>
        </w:rPr>
        <w:t xml:space="preserve"> of </w:t>
      </w:r>
      <w:proofErr w:type="spellStart"/>
      <w:r>
        <w:rPr>
          <w:lang w:val="fr-FR"/>
        </w:rPr>
        <w:t>female</w:t>
      </w:r>
      <w:proofErr w:type="spellEnd"/>
      <w:r>
        <w:rPr>
          <w:lang w:val="fr-FR"/>
        </w:rPr>
        <w:t xml:space="preserve"> </w:t>
      </w:r>
      <w:proofErr w:type="spellStart"/>
      <w:r>
        <w:rPr>
          <w:lang w:val="fr-FR"/>
        </w:rPr>
        <w:t>genital</w:t>
      </w:r>
      <w:proofErr w:type="spellEnd"/>
      <w:r>
        <w:rPr>
          <w:lang w:val="fr-FR"/>
        </w:rPr>
        <w:t xml:space="preserve"> mutilation in </w:t>
      </w:r>
      <w:proofErr w:type="spellStart"/>
      <w:r>
        <w:rPr>
          <w:lang w:val="fr-FR"/>
        </w:rPr>
        <w:t>sub-Saharan</w:t>
      </w:r>
      <w:proofErr w:type="spellEnd"/>
      <w:r>
        <w:rPr>
          <w:lang w:val="fr-FR"/>
        </w:rPr>
        <w:t xml:space="preserve"> </w:t>
      </w:r>
      <w:proofErr w:type="spellStart"/>
      <w:proofErr w:type="gramStart"/>
      <w:r>
        <w:rPr>
          <w:lang w:val="fr-FR"/>
        </w:rPr>
        <w:t>Africa</w:t>
      </w:r>
      <w:proofErr w:type="spellEnd"/>
      <w:r>
        <w:rPr>
          <w:lang w:val="fr-FR"/>
        </w:rPr>
        <w:t>:</w:t>
      </w:r>
      <w:proofErr w:type="gramEnd"/>
      <w:r>
        <w:rPr>
          <w:lang w:val="fr-FR"/>
        </w:rPr>
        <w:t xml:space="preserve"> </w:t>
      </w:r>
      <w:proofErr w:type="spellStart"/>
      <w:r>
        <w:rPr>
          <w:lang w:val="fr-FR"/>
        </w:rPr>
        <w:t>analysis</w:t>
      </w:r>
      <w:proofErr w:type="spellEnd"/>
      <w:r>
        <w:rPr>
          <w:lang w:val="fr-FR"/>
        </w:rPr>
        <w:t xml:space="preserve"> of data </w:t>
      </w:r>
      <w:proofErr w:type="spellStart"/>
      <w:r>
        <w:rPr>
          <w:lang w:val="fr-FR"/>
        </w:rPr>
        <w:t>from</w:t>
      </w:r>
      <w:proofErr w:type="spellEnd"/>
      <w:r>
        <w:rPr>
          <w:lang w:val="fr-FR"/>
        </w:rPr>
        <w:t xml:space="preserve"> </w:t>
      </w:r>
      <w:proofErr w:type="spellStart"/>
      <w:r>
        <w:rPr>
          <w:lang w:val="fr-FR"/>
        </w:rPr>
        <w:t>demographic</w:t>
      </w:r>
      <w:proofErr w:type="spellEnd"/>
      <w:r>
        <w:rPr>
          <w:lang w:val="fr-FR"/>
        </w:rPr>
        <w:t xml:space="preserve"> and </w:t>
      </w:r>
      <w:proofErr w:type="spellStart"/>
      <w:r>
        <w:rPr>
          <w:lang w:val="fr-FR"/>
        </w:rPr>
        <w:t>health</w:t>
      </w:r>
      <w:proofErr w:type="spellEnd"/>
      <w:r>
        <w:rPr>
          <w:lang w:val="fr-FR"/>
        </w:rPr>
        <w:t xml:space="preserve"> </w:t>
      </w:r>
      <w:proofErr w:type="spellStart"/>
      <w:r>
        <w:rPr>
          <w:lang w:val="fr-FR"/>
        </w:rPr>
        <w:t>surveys</w:t>
      </w:r>
      <w:proofErr w:type="spellEnd"/>
      <w:r>
        <w:rPr>
          <w:lang w:val="fr-FR"/>
        </w:rPr>
        <w:t xml:space="preserve">. </w:t>
      </w:r>
      <w:proofErr w:type="spellStart"/>
      <w:r>
        <w:rPr>
          <w:lang w:val="fr-FR"/>
        </w:rPr>
        <w:t>Reprod</w:t>
      </w:r>
      <w:proofErr w:type="spellEnd"/>
      <w:r>
        <w:rPr>
          <w:lang w:val="fr-FR"/>
        </w:rPr>
        <w:t xml:space="preserve"> </w:t>
      </w:r>
      <w:proofErr w:type="spellStart"/>
      <w:r>
        <w:rPr>
          <w:lang w:val="fr-FR"/>
        </w:rPr>
        <w:t>Health</w:t>
      </w:r>
      <w:proofErr w:type="spellEnd"/>
      <w:r>
        <w:rPr>
          <w:lang w:val="fr-FR"/>
        </w:rPr>
        <w:t xml:space="preserve">. 2020 </w:t>
      </w:r>
      <w:proofErr w:type="spellStart"/>
      <w:r>
        <w:rPr>
          <w:lang w:val="fr-FR"/>
        </w:rPr>
        <w:t>Oct</w:t>
      </w:r>
      <w:proofErr w:type="spellEnd"/>
      <w:r>
        <w:rPr>
          <w:lang w:val="fr-FR"/>
        </w:rPr>
        <w:t xml:space="preserve"> </w:t>
      </w:r>
      <w:proofErr w:type="gramStart"/>
      <w:r>
        <w:rPr>
          <w:lang w:val="fr-FR"/>
        </w:rPr>
        <w:t>22;</w:t>
      </w:r>
      <w:proofErr w:type="gramEnd"/>
      <w:r>
        <w:rPr>
          <w:lang w:val="fr-FR"/>
        </w:rPr>
        <w:t xml:space="preserve">17(1):162. </w:t>
      </w:r>
    </w:p>
    <w:p w14:paraId="28C39A5D" w14:textId="77777777" w:rsidR="00B5136C" w:rsidRDefault="00497D36">
      <w:pPr>
        <w:pStyle w:val="CorpoB"/>
        <w:spacing w:line="360" w:lineRule="auto"/>
      </w:pPr>
      <w:r>
        <w:t>Al-Nagar S, T</w:t>
      </w:r>
      <w:r>
        <w:rPr>
          <w:lang w:val="da-DK"/>
        </w:rPr>
        <w:t>ø</w:t>
      </w:r>
      <w:proofErr w:type="spellStart"/>
      <w:r>
        <w:t>nnessen</w:t>
      </w:r>
      <w:proofErr w:type="spellEnd"/>
      <w:r>
        <w:t xml:space="preserve"> L, </w:t>
      </w:r>
      <w:proofErr w:type="spellStart"/>
      <w:r>
        <w:t>Bamkar</w:t>
      </w:r>
      <w:proofErr w:type="spellEnd"/>
      <w:r>
        <w:t xml:space="preserve"> S, Weak law forbidding female genital mutilation in Red Sea State, Sudan, Sudan Working Paper n.1, May 2017. </w:t>
      </w:r>
    </w:p>
    <w:p w14:paraId="28C39A5E" w14:textId="77777777" w:rsidR="00B5136C" w:rsidRDefault="00497D36">
      <w:pPr>
        <w:pStyle w:val="CorpoB"/>
        <w:spacing w:line="360" w:lineRule="auto"/>
        <w:rPr>
          <w:lang w:val="fr-FR"/>
        </w:rPr>
      </w:pPr>
      <w:proofErr w:type="spellStart"/>
      <w:r>
        <w:rPr>
          <w:lang w:val="fr-FR"/>
        </w:rPr>
        <w:t>Badawi</w:t>
      </w:r>
      <w:proofErr w:type="spellEnd"/>
      <w:r>
        <w:rPr>
          <w:lang w:val="fr-FR"/>
        </w:rPr>
        <w:t xml:space="preserve"> ZA, </w:t>
      </w:r>
      <w:proofErr w:type="spellStart"/>
      <w:r>
        <w:rPr>
          <w:lang w:val="fr-FR"/>
        </w:rPr>
        <w:t>Folcio</w:t>
      </w:r>
      <w:proofErr w:type="spellEnd"/>
      <w:r>
        <w:rPr>
          <w:lang w:val="fr-FR"/>
        </w:rPr>
        <w:t xml:space="preserve"> A, </w:t>
      </w:r>
      <w:proofErr w:type="spellStart"/>
      <w:r>
        <w:rPr>
          <w:lang w:val="fr-FR"/>
        </w:rPr>
        <w:t>Gender</w:t>
      </w:r>
      <w:proofErr w:type="spellEnd"/>
      <w:r>
        <w:rPr>
          <w:lang w:val="fr-FR"/>
        </w:rPr>
        <w:t xml:space="preserve"> </w:t>
      </w:r>
      <w:proofErr w:type="spellStart"/>
      <w:r>
        <w:rPr>
          <w:lang w:val="fr-FR"/>
        </w:rPr>
        <w:t>Analysis</w:t>
      </w:r>
      <w:proofErr w:type="spellEnd"/>
      <w:r>
        <w:rPr>
          <w:lang w:val="fr-FR"/>
        </w:rPr>
        <w:t xml:space="preserve"> for </w:t>
      </w:r>
      <w:proofErr w:type="spellStart"/>
      <w:r>
        <w:rPr>
          <w:lang w:val="fr-FR"/>
        </w:rPr>
        <w:t>Sudan</w:t>
      </w:r>
      <w:proofErr w:type="spellEnd"/>
      <w:r>
        <w:rPr>
          <w:lang w:val="fr-FR"/>
        </w:rPr>
        <w:t xml:space="preserve"> in the </w:t>
      </w:r>
      <w:proofErr w:type="spellStart"/>
      <w:r>
        <w:rPr>
          <w:lang w:val="fr-FR"/>
        </w:rPr>
        <w:t>framework</w:t>
      </w:r>
      <w:proofErr w:type="spellEnd"/>
      <w:r>
        <w:rPr>
          <w:lang w:val="fr-FR"/>
        </w:rPr>
        <w:t xml:space="preserve"> of the EU </w:t>
      </w:r>
      <w:proofErr w:type="spellStart"/>
      <w:r>
        <w:rPr>
          <w:lang w:val="fr-FR"/>
        </w:rPr>
        <w:t>Gender</w:t>
      </w:r>
      <w:proofErr w:type="spellEnd"/>
      <w:r>
        <w:rPr>
          <w:lang w:val="fr-FR"/>
        </w:rPr>
        <w:t xml:space="preserve"> Action Plan (GAP) 2016-2020, 2016.</w:t>
      </w:r>
    </w:p>
    <w:p w14:paraId="28C39A5F" w14:textId="77777777" w:rsidR="00B5136C" w:rsidRDefault="00497D36">
      <w:pPr>
        <w:pStyle w:val="CorpoB"/>
        <w:spacing w:line="360" w:lineRule="auto"/>
        <w:rPr>
          <w:lang w:val="fr-FR"/>
        </w:rPr>
      </w:pPr>
      <w:proofErr w:type="spellStart"/>
      <w:r>
        <w:t>Bedri</w:t>
      </w:r>
      <w:proofErr w:type="spellEnd"/>
      <w:r>
        <w:t xml:space="preserve"> N, </w:t>
      </w:r>
      <w:proofErr w:type="spellStart"/>
      <w:r>
        <w:t>Sherfi</w:t>
      </w:r>
      <w:proofErr w:type="spellEnd"/>
      <w:r>
        <w:t xml:space="preserve"> H, </w:t>
      </w:r>
      <w:proofErr w:type="spellStart"/>
      <w:r>
        <w:t>Rudwan</w:t>
      </w:r>
      <w:proofErr w:type="spellEnd"/>
      <w:r>
        <w:t xml:space="preserve"> G, </w:t>
      </w:r>
      <w:proofErr w:type="spellStart"/>
      <w:r>
        <w:t>Elhadi</w:t>
      </w:r>
      <w:proofErr w:type="spellEnd"/>
      <w:r>
        <w:t xml:space="preserve"> S, </w:t>
      </w:r>
      <w:proofErr w:type="spellStart"/>
      <w:r>
        <w:t>Kabiru</w:t>
      </w:r>
      <w:proofErr w:type="spellEnd"/>
      <w:r>
        <w:t xml:space="preserve"> C, Amin W. Shifts in FGM/C practice in Sudan: communities' perspectives and drivers. </w:t>
      </w:r>
      <w:r>
        <w:rPr>
          <w:lang w:val="it-IT"/>
        </w:rPr>
        <w:t>BMC Womens Health. 2019 Dec 30;19(1):168.</w:t>
      </w:r>
    </w:p>
    <w:p w14:paraId="28C39A60" w14:textId="77777777" w:rsidR="00B5136C" w:rsidRDefault="00497D36">
      <w:pPr>
        <w:pStyle w:val="CorpoB"/>
        <w:spacing w:line="360" w:lineRule="auto"/>
        <w:rPr>
          <w:lang w:val="it-IT"/>
        </w:rPr>
      </w:pPr>
      <w:proofErr w:type="spellStart"/>
      <w:r>
        <w:t>Gajaa</w:t>
      </w:r>
      <w:proofErr w:type="spellEnd"/>
      <w:r>
        <w:t xml:space="preserve"> M, </w:t>
      </w:r>
      <w:proofErr w:type="spellStart"/>
      <w:r>
        <w:t>Wakgari</w:t>
      </w:r>
      <w:proofErr w:type="spellEnd"/>
      <w:r>
        <w:t xml:space="preserve"> N, Kebede Y, </w:t>
      </w:r>
      <w:proofErr w:type="spellStart"/>
      <w:r>
        <w:t>Derseh</w:t>
      </w:r>
      <w:proofErr w:type="spellEnd"/>
      <w:r>
        <w:t xml:space="preserve"> L. </w:t>
      </w:r>
      <w:proofErr w:type="gramStart"/>
      <w:r>
        <w:t>Prevalence</w:t>
      </w:r>
      <w:proofErr w:type="gramEnd"/>
      <w:r>
        <w:t xml:space="preserve"> and associated factors of circumcision among daughters of reproductive aged women in the </w:t>
      </w:r>
      <w:proofErr w:type="spellStart"/>
      <w:r>
        <w:t>Hababo</w:t>
      </w:r>
      <w:proofErr w:type="spellEnd"/>
      <w:r>
        <w:t xml:space="preserve"> </w:t>
      </w:r>
      <w:proofErr w:type="spellStart"/>
      <w:r>
        <w:t>Guduru</w:t>
      </w:r>
      <w:proofErr w:type="spellEnd"/>
      <w:r>
        <w:t xml:space="preserve"> District, Western Ethiopia: a cross-sectional study. </w:t>
      </w:r>
      <w:r>
        <w:rPr>
          <w:lang w:val="it-IT"/>
        </w:rPr>
        <w:t xml:space="preserve">BMC Womens Health. 2016 Jul 22;16:42. </w:t>
      </w:r>
    </w:p>
    <w:p w14:paraId="28C39A61" w14:textId="77777777" w:rsidR="00B5136C" w:rsidRDefault="00497D36">
      <w:pPr>
        <w:pStyle w:val="CorpoB"/>
        <w:spacing w:line="360" w:lineRule="auto"/>
        <w:rPr>
          <w:lang w:val="it-IT"/>
        </w:rPr>
      </w:pPr>
      <w:r>
        <w:rPr>
          <w:lang w:val="it-IT"/>
        </w:rPr>
        <w:t xml:space="preserve">Kondgen, Olaf (2010) Shari’a and national law in the Sudan. In:Jan Michiel Otto (ed.)Sharia Incorporated: A ComparativeOverview of the Legal Systems of Twelve Muslim Countries inPast and Present. Leiden: Leiden University Press, 181–230 </w:t>
      </w:r>
    </w:p>
    <w:p w14:paraId="28C39A62" w14:textId="77777777" w:rsidR="00B5136C" w:rsidRDefault="00497D36">
      <w:pPr>
        <w:pStyle w:val="CorpoB"/>
        <w:spacing w:line="360" w:lineRule="auto"/>
        <w:rPr>
          <w:lang w:val="it-IT"/>
        </w:rPr>
      </w:pPr>
      <w:r>
        <w:rPr>
          <w:lang w:val="it-IT"/>
        </w:rPr>
        <w:t>(3) (PDF) Islamic Law States and the International Court of Justice. Available from: https://www.researchgate.net/publication/258155478_Islamic_Law_States_and_the_International_Court_of_Justice [accessed Jan 18 2021].</w:t>
      </w:r>
    </w:p>
    <w:p w14:paraId="28C39A63" w14:textId="77777777" w:rsidR="00B5136C" w:rsidRDefault="00497D36">
      <w:pPr>
        <w:pStyle w:val="CorpoB"/>
        <w:spacing w:line="360" w:lineRule="auto"/>
      </w:pPr>
      <w:proofErr w:type="spellStart"/>
      <w:r>
        <w:t>Setegn</w:t>
      </w:r>
      <w:proofErr w:type="spellEnd"/>
      <w:r>
        <w:t xml:space="preserve"> T, </w:t>
      </w:r>
      <w:proofErr w:type="spellStart"/>
      <w:r>
        <w:t>Lakew</w:t>
      </w:r>
      <w:proofErr w:type="spellEnd"/>
      <w:r>
        <w:t xml:space="preserve"> Y, </w:t>
      </w:r>
      <w:proofErr w:type="spellStart"/>
      <w:r>
        <w:t>Deribe</w:t>
      </w:r>
      <w:proofErr w:type="spellEnd"/>
      <w:r>
        <w:t xml:space="preserve"> K. Geographic Variation and Factors Associated with Female Genital Mutilation among Reproductive Age Women in Ethiopia: A National Population Based Survey. </w:t>
      </w:r>
      <w:r>
        <w:rPr>
          <w:lang w:val="it-IT"/>
        </w:rPr>
        <w:t>PLoS One. 2016 Jan 7;11(1):e0145329.</w:t>
      </w:r>
    </w:p>
    <w:p w14:paraId="28C39A64" w14:textId="77777777" w:rsidR="00B5136C" w:rsidRDefault="00497D36">
      <w:pPr>
        <w:pStyle w:val="CorpoB"/>
        <w:spacing w:line="360" w:lineRule="auto"/>
      </w:pPr>
      <w:r>
        <w:rPr>
          <w:lang w:val="it-IT"/>
        </w:rPr>
        <w:t xml:space="preserve">UNFPA. </w:t>
      </w:r>
      <w:r>
        <w:t>Millions more cases of violence, child marriage, female genital mutilation, unintended pregnancy expected due to the COVID-19 pandemic</w:t>
      </w:r>
      <w:r>
        <w:rPr>
          <w:lang w:val="it-IT"/>
        </w:rPr>
        <w:t xml:space="preserve">. </w:t>
      </w:r>
      <w:r>
        <w:t>https://www.unfpa.org/news/millions-more-cases-violence-child-marriage-female-genital-mutilation-unintended-pregnancies</w:t>
      </w:r>
      <w:r>
        <w:rPr>
          <w:lang w:val="it-IT"/>
        </w:rPr>
        <w:t xml:space="preserve"> (Accessed November 2020) </w:t>
      </w:r>
    </w:p>
    <w:p w14:paraId="28C39A65" w14:textId="77777777" w:rsidR="00B5136C" w:rsidRDefault="00497D36">
      <w:pPr>
        <w:pStyle w:val="CorpoB"/>
        <w:spacing w:line="360" w:lineRule="auto"/>
      </w:pPr>
      <w:r>
        <w:t>UNFPA/UNICEF</w:t>
      </w:r>
      <w:r>
        <w:rPr>
          <w:lang w:val="it-IT"/>
        </w:rPr>
        <w:t>.</w:t>
      </w:r>
      <w:r>
        <w:t xml:space="preserve"> Joint Evaluation of UNFPA-UNICEF Joint </w:t>
      </w:r>
      <w:proofErr w:type="spellStart"/>
      <w:r>
        <w:t>Programme</w:t>
      </w:r>
      <w:proofErr w:type="spellEnd"/>
      <w:r>
        <w:t xml:space="preserve"> </w:t>
      </w:r>
      <w:proofErr w:type="spellStart"/>
      <w:r>
        <w:t>onf</w:t>
      </w:r>
      <w:proofErr w:type="spellEnd"/>
      <w:r>
        <w:t xml:space="preserve"> FGM/C: Accelerating Change</w:t>
      </w:r>
      <w:r>
        <w:rPr>
          <w:lang w:val="it-IT"/>
        </w:rPr>
        <w:t xml:space="preserve">. </w:t>
      </w:r>
      <w:r>
        <w:t>https://www.unfpa.org/admin-resource/unfpa-unicef-joint-evaluation-unfpa-unicef-joint-programme-female-genital</w:t>
      </w:r>
      <w:r>
        <w:rPr>
          <w:lang w:val="it-IT"/>
        </w:rPr>
        <w:t xml:space="preserve"> </w:t>
      </w:r>
      <w:r>
        <w:t>(Accessed November 2020)</w:t>
      </w:r>
    </w:p>
    <w:p w14:paraId="28C39A66" w14:textId="77777777" w:rsidR="00B5136C" w:rsidRDefault="00497D36">
      <w:pPr>
        <w:pStyle w:val="CorpoB"/>
        <w:spacing w:line="360" w:lineRule="auto"/>
      </w:pPr>
      <w:r>
        <w:t>UNICEF, Female Genital Mutilation/Cutting (FGM/C) and Child Marriage in Sudan – Are there any changes taking place? An In-Depth Analysis Using Multiple Indicators Cluster Surveys (MICS) Sudanese Household and Health Surveys (SHHSS), 2016.https://www.unicef.org/sudan/reports/female-genital-mutilationcutting-and-child-marriage-sudan-are-there-any-changes-taking</w:t>
      </w:r>
      <w:r>
        <w:rPr>
          <w:lang w:val="it-IT"/>
        </w:rPr>
        <w:t xml:space="preserve"> </w:t>
      </w:r>
      <w:r>
        <w:t>(Accessed November 2020)</w:t>
      </w:r>
    </w:p>
    <w:p w14:paraId="28C39A67" w14:textId="77777777" w:rsidR="00B5136C" w:rsidRDefault="00497D36">
      <w:pPr>
        <w:pStyle w:val="CorpoB"/>
        <w:spacing w:line="360" w:lineRule="auto"/>
        <w:rPr>
          <w:lang w:val="it-IT"/>
        </w:rPr>
      </w:pPr>
      <w:r>
        <w:lastRenderedPageBreak/>
        <w:t>UNICEF</w:t>
      </w:r>
      <w:r>
        <w:rPr>
          <w:lang w:val="it-IT"/>
        </w:rPr>
        <w:t>.</w:t>
      </w:r>
      <w:r>
        <w:t xml:space="preserve"> Sudan enters new era for girl rights with criminalization of FGM, April 2020.https://www.unicef.org/mena/press-releases/sudan-enters-new-era-girl-rights-criminalization-fgm</w:t>
      </w:r>
      <w:r>
        <w:rPr>
          <w:lang w:val="it-IT"/>
        </w:rPr>
        <w:t xml:space="preserve"> (Accessed November 2020)</w:t>
      </w:r>
    </w:p>
    <w:p w14:paraId="28C39A68" w14:textId="77777777" w:rsidR="00B5136C" w:rsidRDefault="00497D36">
      <w:pPr>
        <w:pStyle w:val="CorpoB"/>
        <w:spacing w:line="360" w:lineRule="auto"/>
      </w:pPr>
      <w:r>
        <w:rPr>
          <w:lang w:val="it-IT"/>
        </w:rPr>
        <w:t xml:space="preserve">WHO. Female genital mutilation. (2020) </w:t>
      </w:r>
      <w:r>
        <w:rPr>
          <w:u w:color="0000FF"/>
        </w:rPr>
        <w:t>https://www.who.int/news-room/fact-sheets/detail/female-genital-mutilation</w:t>
      </w:r>
      <w:r>
        <w:t xml:space="preserve"> (Accessed November 2020).</w:t>
      </w:r>
    </w:p>
    <w:sectPr w:rsidR="00B5136C">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39A6B" w14:textId="77777777" w:rsidR="00497D36" w:rsidRDefault="00497D36">
      <w:r>
        <w:separator/>
      </w:r>
    </w:p>
  </w:endnote>
  <w:endnote w:type="continuationSeparator" w:id="0">
    <w:p w14:paraId="28C39A6C" w14:textId="77777777" w:rsidR="00497D36" w:rsidRDefault="0049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39A6E" w14:textId="77777777" w:rsidR="00B5136C" w:rsidRDefault="00497D36">
    <w:pPr>
      <w:pStyle w:val="IntestazioneepidipaginaA"/>
      <w:tabs>
        <w:tab w:val="clear" w:pos="9020"/>
        <w:tab w:val="center" w:pos="4819"/>
        <w:tab w:val="right" w:pos="9612"/>
      </w:tabs>
    </w:pPr>
    <w:r>
      <w:tab/>
    </w:r>
    <w:r>
      <w:tab/>
    </w:r>
    <w:r>
      <w:fldChar w:fldCharType="begin"/>
    </w:r>
    <w:r>
      <w:instrText xml:space="preserve"> PAGE </w:instrText>
    </w:r>
    <w:r>
      <w:fldChar w:fldCharType="separate"/>
    </w:r>
    <w:r w:rsidR="00546CC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39A69" w14:textId="77777777" w:rsidR="00497D36" w:rsidRDefault="00497D36">
      <w:r>
        <w:separator/>
      </w:r>
    </w:p>
  </w:footnote>
  <w:footnote w:type="continuationSeparator" w:id="0">
    <w:p w14:paraId="28C39A6A" w14:textId="77777777" w:rsidR="00497D36" w:rsidRDefault="00497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39A6D" w14:textId="77777777" w:rsidR="00B5136C" w:rsidRDefault="00B5136C">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36C"/>
    <w:rsid w:val="00497D36"/>
    <w:rsid w:val="00546CC4"/>
    <w:rsid w:val="00B5136C"/>
    <w:rsid w:val="00E17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9A1E"/>
  <w15:docId w15:val="{AF17CFEB-0DB2-40E7-A791-2F2D9DC3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E17F3E"/>
    <w:pPr>
      <w:keepNext/>
      <w:keepLines/>
      <w:spacing w:before="240" w:line="480" w:lineRule="auto"/>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customStyle="1" w:styleId="IntestazioneepidipaginaA">
    <w:name w:val="Intestazione e piè di pagina A"/>
    <w:pPr>
      <w:tabs>
        <w:tab w:val="right" w:pos="9020"/>
      </w:tabs>
    </w:pPr>
    <w:rPr>
      <w:rFonts w:ascii="Helvetica" w:hAnsi="Helvetica" w:cs="Arial Unicode MS"/>
      <w:color w:val="000000"/>
      <w:sz w:val="24"/>
      <w:szCs w:val="24"/>
      <w:u w:color="000000"/>
      <w:lang w:val="it-IT"/>
    </w:rPr>
  </w:style>
  <w:style w:type="paragraph" w:customStyle="1" w:styleId="CorpoA">
    <w:name w:val="Corpo A"/>
    <w:pPr>
      <w:spacing w:after="200" w:line="276" w:lineRule="auto"/>
    </w:pPr>
    <w:rPr>
      <w:rFonts w:ascii="Calibri" w:eastAsia="Calibri" w:hAnsi="Calibri" w:cs="Calibri"/>
      <w:color w:val="000000"/>
      <w:sz w:val="22"/>
      <w:szCs w:val="22"/>
      <w:u w:color="000000"/>
      <w:lang w:val="en-US"/>
    </w:rPr>
  </w:style>
  <w:style w:type="paragraph" w:customStyle="1" w:styleId="CorpoB">
    <w:name w:val="Corpo B"/>
    <w:rPr>
      <w:rFonts w:eastAsia="Times New Roman"/>
      <w:color w:val="000000"/>
      <w:sz w:val="24"/>
      <w:szCs w:val="24"/>
      <w:u w:color="000000"/>
      <w:lang w:val="en-US"/>
    </w:rPr>
  </w:style>
  <w:style w:type="paragraph" w:customStyle="1" w:styleId="CorpoC">
    <w:name w:val="Corpo C"/>
    <w:rPr>
      <w:rFonts w:cs="Arial Unicode MS"/>
      <w:color w:val="000000"/>
      <w:sz w:val="24"/>
      <w:szCs w:val="24"/>
      <w:u w:color="000000"/>
      <w:lang w:val="en-US"/>
    </w:rPr>
  </w:style>
  <w:style w:type="paragraph" w:customStyle="1" w:styleId="DidefaultA">
    <w:name w:val="Di default A"/>
    <w:rPr>
      <w:rFonts w:ascii="Helvetica" w:hAnsi="Helvetica" w:cs="Arial Unicode MS"/>
      <w:color w:val="000000"/>
      <w:sz w:val="22"/>
      <w:szCs w:val="22"/>
      <w:u w:color="000000"/>
      <w:lang w:val="it-IT"/>
    </w:rPr>
  </w:style>
  <w:style w:type="paragraph" w:customStyle="1" w:styleId="DidefaultB">
    <w:name w:val="Di default B"/>
    <w:rPr>
      <w:rFonts w:ascii="Helvetica" w:hAnsi="Helvetica" w:cs="Arial Unicode MS"/>
      <w:color w:val="000000"/>
      <w:sz w:val="22"/>
      <w:szCs w:val="22"/>
      <w:u w:color="000000"/>
      <w:lang w:val="it-IT"/>
    </w:rPr>
  </w:style>
  <w:style w:type="paragraph" w:styleId="Title">
    <w:name w:val="Title"/>
    <w:basedOn w:val="Normal"/>
    <w:next w:val="Normal"/>
    <w:link w:val="TitleChar"/>
    <w:uiPriority w:val="10"/>
    <w:qFormat/>
    <w:rsid w:val="00E17F3E"/>
    <w:pPr>
      <w:spacing w:line="48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E17F3E"/>
    <w:rPr>
      <w:rFonts w:eastAsiaTheme="majorEastAsia" w:cstheme="majorBidi"/>
      <w:b/>
      <w:spacing w:val="-10"/>
      <w:kern w:val="28"/>
      <w:sz w:val="24"/>
      <w:szCs w:val="56"/>
      <w:lang w:val="en-US" w:eastAsia="en-US"/>
    </w:rPr>
  </w:style>
  <w:style w:type="character" w:customStyle="1" w:styleId="Heading1Char">
    <w:name w:val="Heading 1 Char"/>
    <w:basedOn w:val="DefaultParagraphFont"/>
    <w:link w:val="Heading1"/>
    <w:uiPriority w:val="9"/>
    <w:rsid w:val="00E17F3E"/>
    <w:rPr>
      <w:rFonts w:eastAsiaTheme="majorEastAsia" w:cstheme="majorBidi"/>
      <w:b/>
      <w:sz w:val="24"/>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2593</Words>
  <Characters>14783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17342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Blanshard, Lisa</cp:lastModifiedBy>
  <cp:revision>3</cp:revision>
  <dcterms:created xsi:type="dcterms:W3CDTF">2021-01-23T19:52:00Z</dcterms:created>
  <dcterms:modified xsi:type="dcterms:W3CDTF">2021-01-25T11:40:00Z</dcterms:modified>
</cp:coreProperties>
</file>