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F68EE" w14:textId="77777777" w:rsidR="00FE06F0" w:rsidRPr="00DB151B" w:rsidRDefault="00FE06F0" w:rsidP="0090415D">
      <w:pPr>
        <w:pStyle w:val="Title"/>
        <w:rPr>
          <w:b w:val="0"/>
          <w:lang w:val="en-US"/>
        </w:rPr>
      </w:pPr>
      <w:r w:rsidRPr="00DB151B">
        <w:rPr>
          <w:lang w:val="en-US"/>
        </w:rPr>
        <w:t>Association between sexual orientation and subjective cognitive complaints in the general population in England</w:t>
      </w:r>
    </w:p>
    <w:p w14:paraId="63992243" w14:textId="77777777" w:rsidR="00FE06F0" w:rsidRPr="00DB151B" w:rsidRDefault="00FE06F0" w:rsidP="00FE06F0">
      <w:pPr>
        <w:spacing w:line="480" w:lineRule="auto"/>
        <w:rPr>
          <w:lang w:val="en-US" w:eastAsia="ko-KR"/>
        </w:rPr>
      </w:pPr>
    </w:p>
    <w:p w14:paraId="04C46033" w14:textId="77777777" w:rsidR="00FE06F0" w:rsidRPr="00DB151B" w:rsidRDefault="00FE06F0" w:rsidP="00FE06F0">
      <w:pPr>
        <w:spacing w:line="480" w:lineRule="auto"/>
        <w:rPr>
          <w:lang w:val="en-US" w:eastAsia="ko-KR"/>
        </w:rPr>
      </w:pPr>
      <w:r w:rsidRPr="00DB151B">
        <w:rPr>
          <w:i/>
          <w:iCs/>
          <w:lang w:val="en-US" w:eastAsia="ko-KR"/>
        </w:rPr>
        <w:t>Running title:</w:t>
      </w:r>
      <w:r w:rsidRPr="00DB151B">
        <w:rPr>
          <w:lang w:val="en-US" w:eastAsia="ko-KR"/>
        </w:rPr>
        <w:t xml:space="preserve"> Sexual orientation and subjective cognitive complaints</w:t>
      </w:r>
    </w:p>
    <w:p w14:paraId="7CAB41AA" w14:textId="77777777" w:rsidR="00FE06F0" w:rsidRPr="00DB151B" w:rsidRDefault="00FE06F0" w:rsidP="00FE06F0">
      <w:pPr>
        <w:spacing w:line="480" w:lineRule="auto"/>
        <w:rPr>
          <w:lang w:val="en-US" w:eastAsia="ko-KR"/>
        </w:rPr>
      </w:pPr>
    </w:p>
    <w:p w14:paraId="51031F5A" w14:textId="77777777" w:rsidR="00FE06F0" w:rsidRPr="00DB151B" w:rsidRDefault="00FE06F0" w:rsidP="00FE06F0">
      <w:pPr>
        <w:spacing w:line="480" w:lineRule="auto"/>
        <w:rPr>
          <w:lang w:val="en-US" w:eastAsia="ko-KR"/>
        </w:rPr>
      </w:pPr>
      <w:r w:rsidRPr="00DB151B">
        <w:rPr>
          <w:lang w:val="en-US"/>
        </w:rPr>
        <w:t>Louis Jacob, PhD</w:t>
      </w:r>
      <w:r w:rsidRPr="00DB151B">
        <w:rPr>
          <w:vertAlign w:val="superscript"/>
          <w:lang w:val="en-US"/>
        </w:rPr>
        <w:t>1,2</w:t>
      </w:r>
      <w:r w:rsidRPr="00DB151B">
        <w:rPr>
          <w:lang w:val="en-US"/>
        </w:rPr>
        <w:t>; Guillermo F López-Sánchez, PhD</w:t>
      </w:r>
      <w:r w:rsidRPr="00DB151B">
        <w:rPr>
          <w:vertAlign w:val="superscript"/>
          <w:lang w:val="en-US"/>
        </w:rPr>
        <w:t>3</w:t>
      </w:r>
      <w:r w:rsidRPr="00DB151B">
        <w:rPr>
          <w:lang w:val="en-US"/>
        </w:rPr>
        <w:t xml:space="preserve">*; </w:t>
      </w:r>
      <w:proofErr w:type="spellStart"/>
      <w:r w:rsidRPr="00DB151B">
        <w:rPr>
          <w:lang w:val="en-US"/>
        </w:rPr>
        <w:t>Josep</w:t>
      </w:r>
      <w:proofErr w:type="spellEnd"/>
      <w:r w:rsidRPr="00DB151B">
        <w:rPr>
          <w:lang w:val="en-US"/>
        </w:rPr>
        <w:t xml:space="preserve"> Maria </w:t>
      </w:r>
      <w:proofErr w:type="spellStart"/>
      <w:r w:rsidRPr="00DB151B">
        <w:rPr>
          <w:lang w:val="en-US"/>
        </w:rPr>
        <w:t>Haro</w:t>
      </w:r>
      <w:proofErr w:type="spellEnd"/>
      <w:r w:rsidRPr="00DB151B">
        <w:rPr>
          <w:lang w:val="en-US"/>
        </w:rPr>
        <w:t>, MD-PhD</w:t>
      </w:r>
      <w:r w:rsidRPr="00DB151B">
        <w:rPr>
          <w:vertAlign w:val="superscript"/>
          <w:lang w:val="en-US"/>
        </w:rPr>
        <w:t>1</w:t>
      </w:r>
      <w:r w:rsidRPr="00DB151B">
        <w:rPr>
          <w:lang w:val="en-US"/>
        </w:rPr>
        <w:t xml:space="preserve">; Ai </w:t>
      </w:r>
      <w:proofErr w:type="spellStart"/>
      <w:r w:rsidRPr="00DB151B">
        <w:rPr>
          <w:lang w:val="en-US"/>
        </w:rPr>
        <w:t>Koyanagi</w:t>
      </w:r>
      <w:proofErr w:type="spellEnd"/>
      <w:r w:rsidRPr="00DB151B">
        <w:rPr>
          <w:lang w:val="en-US"/>
        </w:rPr>
        <w:t>, MD-PhD</w:t>
      </w:r>
      <w:r w:rsidRPr="00DB151B">
        <w:rPr>
          <w:vertAlign w:val="superscript"/>
          <w:lang w:val="en-US"/>
        </w:rPr>
        <w:t>1,4</w:t>
      </w:r>
      <w:r w:rsidRPr="00DB151B">
        <w:rPr>
          <w:lang w:val="en-US"/>
        </w:rPr>
        <w:t xml:space="preserve">; </w:t>
      </w:r>
      <w:r w:rsidRPr="00DB151B">
        <w:rPr>
          <w:lang w:val="en-US" w:eastAsia="ko-KR"/>
        </w:rPr>
        <w:t xml:space="preserve">Karel </w:t>
      </w:r>
      <w:proofErr w:type="spellStart"/>
      <w:r w:rsidRPr="00DB151B">
        <w:rPr>
          <w:lang w:val="en-US" w:eastAsia="ko-KR"/>
        </w:rPr>
        <w:t>Kostev</w:t>
      </w:r>
      <w:proofErr w:type="spellEnd"/>
      <w:r w:rsidRPr="00DB151B">
        <w:rPr>
          <w:lang w:val="en-US" w:eastAsia="ko-KR"/>
        </w:rPr>
        <w:t>, PhD</w:t>
      </w:r>
      <w:r w:rsidRPr="00DB151B">
        <w:rPr>
          <w:vertAlign w:val="superscript"/>
          <w:lang w:val="en-US" w:eastAsia="ko-KR"/>
        </w:rPr>
        <w:t>5</w:t>
      </w:r>
      <w:r w:rsidRPr="00DB151B">
        <w:rPr>
          <w:lang w:val="en-US" w:eastAsia="ko-KR"/>
        </w:rPr>
        <w:t>; Igor Grabovac, MD-PhD</w:t>
      </w:r>
      <w:r w:rsidRPr="00DB151B">
        <w:rPr>
          <w:vertAlign w:val="superscript"/>
          <w:lang w:val="en-US" w:eastAsia="ko-KR"/>
        </w:rPr>
        <w:t>6</w:t>
      </w:r>
      <w:r w:rsidRPr="00DB151B">
        <w:rPr>
          <w:lang w:val="en-US" w:eastAsia="ko-KR"/>
        </w:rPr>
        <w:t xml:space="preserve">; </w:t>
      </w:r>
      <w:r w:rsidRPr="00DB151B">
        <w:rPr>
          <w:lang w:val="en-US"/>
        </w:rPr>
        <w:t>Hans Oh, PhD</w:t>
      </w:r>
      <w:r w:rsidRPr="00DB151B">
        <w:rPr>
          <w:vertAlign w:val="superscript"/>
          <w:lang w:val="en-US"/>
        </w:rPr>
        <w:t>7</w:t>
      </w:r>
      <w:r w:rsidRPr="00DB151B">
        <w:rPr>
          <w:lang w:val="en-US"/>
        </w:rPr>
        <w:t xml:space="preserve">; </w:t>
      </w:r>
      <w:proofErr w:type="spellStart"/>
      <w:r w:rsidRPr="00DB151B">
        <w:rPr>
          <w:lang w:val="en-US"/>
        </w:rPr>
        <w:t>Shahina</w:t>
      </w:r>
      <w:proofErr w:type="spellEnd"/>
      <w:r w:rsidRPr="00DB151B">
        <w:rPr>
          <w:lang w:val="en-US"/>
        </w:rPr>
        <w:t xml:space="preserve"> </w:t>
      </w:r>
      <w:proofErr w:type="spellStart"/>
      <w:r w:rsidRPr="00DB151B">
        <w:rPr>
          <w:lang w:val="en-US"/>
        </w:rPr>
        <w:t>Pardhan</w:t>
      </w:r>
      <w:proofErr w:type="spellEnd"/>
      <w:r w:rsidRPr="00DB151B">
        <w:rPr>
          <w:lang w:val="en-US"/>
        </w:rPr>
        <w:t>, PhD</w:t>
      </w:r>
      <w:r w:rsidRPr="00DB151B">
        <w:rPr>
          <w:vertAlign w:val="superscript"/>
          <w:lang w:val="en-US"/>
        </w:rPr>
        <w:t>3</w:t>
      </w:r>
      <w:r w:rsidRPr="00DB151B">
        <w:rPr>
          <w:lang w:val="en-US"/>
        </w:rPr>
        <w:t xml:space="preserve">; </w:t>
      </w:r>
      <w:r w:rsidRPr="00DB151B">
        <w:rPr>
          <w:lang w:val="en-US" w:eastAsia="ko-KR"/>
        </w:rPr>
        <w:t>Daragh McDermott, PhD</w:t>
      </w:r>
      <w:r w:rsidRPr="00DB151B">
        <w:rPr>
          <w:vertAlign w:val="superscript"/>
          <w:lang w:val="en-US" w:eastAsia="ko-KR"/>
        </w:rPr>
        <w:t>8</w:t>
      </w:r>
      <w:r w:rsidRPr="00DB151B">
        <w:rPr>
          <w:lang w:val="en-US" w:eastAsia="ko-KR"/>
        </w:rPr>
        <w:t xml:space="preserve">; </w:t>
      </w:r>
      <w:r w:rsidRPr="00DB151B">
        <w:rPr>
          <w:lang w:val="en-US"/>
        </w:rPr>
        <w:t>Jae Il Shin, MD-PhD</w:t>
      </w:r>
      <w:r w:rsidRPr="00DB151B">
        <w:rPr>
          <w:vertAlign w:val="superscript"/>
          <w:lang w:val="en-US"/>
        </w:rPr>
        <w:t>9</w:t>
      </w:r>
      <w:r w:rsidRPr="00DB151B">
        <w:rPr>
          <w:lang w:val="en-US"/>
        </w:rPr>
        <w:t>; Lee Smith, PhD</w:t>
      </w:r>
      <w:r w:rsidRPr="00DB151B">
        <w:rPr>
          <w:vertAlign w:val="superscript"/>
          <w:lang w:val="en-US" w:eastAsia="ko-KR"/>
        </w:rPr>
        <w:t>10</w:t>
      </w:r>
    </w:p>
    <w:p w14:paraId="7FD69EA0" w14:textId="77777777" w:rsidR="00FE06F0" w:rsidRPr="00DB151B" w:rsidRDefault="00FE06F0" w:rsidP="00FE06F0">
      <w:pPr>
        <w:spacing w:line="480" w:lineRule="auto"/>
        <w:rPr>
          <w:lang w:val="en-US"/>
        </w:rPr>
      </w:pPr>
    </w:p>
    <w:p w14:paraId="679065A5" w14:textId="77777777" w:rsidR="00FE06F0" w:rsidRPr="00DB151B" w:rsidRDefault="00FE06F0" w:rsidP="00FE06F0">
      <w:pPr>
        <w:spacing w:line="480" w:lineRule="auto"/>
        <w:jc w:val="both"/>
      </w:pPr>
      <w:r w:rsidRPr="00DB151B">
        <w:rPr>
          <w:vertAlign w:val="superscript"/>
        </w:rPr>
        <w:t>1</w:t>
      </w:r>
      <w:r w:rsidRPr="00DB151B">
        <w:t xml:space="preserve"> Research and </w:t>
      </w:r>
      <w:proofErr w:type="spellStart"/>
      <w:r w:rsidRPr="00DB151B">
        <w:t>Development</w:t>
      </w:r>
      <w:proofErr w:type="spellEnd"/>
      <w:r w:rsidRPr="00DB151B">
        <w:t xml:space="preserve"> Unit, Parc </w:t>
      </w:r>
      <w:proofErr w:type="spellStart"/>
      <w:r w:rsidRPr="00DB151B">
        <w:t>Sanitari</w:t>
      </w:r>
      <w:proofErr w:type="spellEnd"/>
      <w:r w:rsidRPr="00DB151B">
        <w:t xml:space="preserve"> Sant Joan de </w:t>
      </w:r>
      <w:proofErr w:type="spellStart"/>
      <w:r w:rsidRPr="00DB151B">
        <w:t>Déu</w:t>
      </w:r>
      <w:proofErr w:type="spellEnd"/>
      <w:r w:rsidRPr="00DB151B">
        <w:t xml:space="preserve">, CIBERSAM, </w:t>
      </w:r>
      <w:proofErr w:type="spellStart"/>
      <w:r w:rsidRPr="00DB151B">
        <w:t>Universitat</w:t>
      </w:r>
      <w:proofErr w:type="spellEnd"/>
      <w:r w:rsidRPr="00DB151B">
        <w:t xml:space="preserve"> de Barcelona, Dr. Antoni </w:t>
      </w:r>
      <w:proofErr w:type="spellStart"/>
      <w:r w:rsidRPr="00DB151B">
        <w:t>Pujadas</w:t>
      </w:r>
      <w:proofErr w:type="spellEnd"/>
      <w:r w:rsidRPr="00DB151B">
        <w:t xml:space="preserve">, 42, Sant </w:t>
      </w:r>
      <w:proofErr w:type="spellStart"/>
      <w:r w:rsidRPr="00DB151B">
        <w:t>Boi</w:t>
      </w:r>
      <w:proofErr w:type="spellEnd"/>
      <w:r w:rsidRPr="00DB151B">
        <w:t xml:space="preserve"> de Llobregat, Barcelona 08830, Spain</w:t>
      </w:r>
    </w:p>
    <w:p w14:paraId="29985F28" w14:textId="77777777" w:rsidR="00FE06F0" w:rsidRPr="00DB151B" w:rsidRDefault="00FE06F0" w:rsidP="00FE06F0">
      <w:pPr>
        <w:spacing w:line="480" w:lineRule="auto"/>
        <w:jc w:val="both"/>
        <w:rPr>
          <w:lang w:val="en-US"/>
        </w:rPr>
      </w:pPr>
      <w:r w:rsidRPr="00DB151B">
        <w:rPr>
          <w:vertAlign w:val="superscript"/>
          <w:lang w:val="en-US"/>
        </w:rPr>
        <w:t>2</w:t>
      </w:r>
      <w:r w:rsidRPr="00DB151B">
        <w:rPr>
          <w:lang w:val="en-US"/>
        </w:rPr>
        <w:t xml:space="preserve"> Faculty of Medicine, University of Versailles Saint-Quentin-</w:t>
      </w:r>
      <w:proofErr w:type="spellStart"/>
      <w:r w:rsidRPr="00DB151B">
        <w:rPr>
          <w:lang w:val="en-US"/>
        </w:rPr>
        <w:t>en</w:t>
      </w:r>
      <w:proofErr w:type="spellEnd"/>
      <w:r w:rsidRPr="00DB151B">
        <w:rPr>
          <w:lang w:val="en-US"/>
        </w:rPr>
        <w:t xml:space="preserve">-Yvelines, </w:t>
      </w:r>
      <w:proofErr w:type="spellStart"/>
      <w:r w:rsidRPr="00DB151B">
        <w:rPr>
          <w:lang w:val="en-US"/>
        </w:rPr>
        <w:t>Montigny</w:t>
      </w:r>
      <w:proofErr w:type="spellEnd"/>
      <w:r w:rsidRPr="00DB151B">
        <w:rPr>
          <w:lang w:val="en-US"/>
        </w:rPr>
        <w:t xml:space="preserve">-le-Bretonneux 78180, France </w:t>
      </w:r>
    </w:p>
    <w:p w14:paraId="558750CE" w14:textId="77777777" w:rsidR="00FE06F0" w:rsidRPr="00DB151B" w:rsidRDefault="00FE06F0" w:rsidP="00FE06F0">
      <w:pPr>
        <w:spacing w:line="480" w:lineRule="auto"/>
        <w:jc w:val="both"/>
        <w:rPr>
          <w:lang w:val="en-US" w:eastAsia="ko-KR"/>
        </w:rPr>
      </w:pPr>
      <w:r w:rsidRPr="00DB151B">
        <w:rPr>
          <w:vertAlign w:val="superscript"/>
          <w:lang w:val="en-US" w:eastAsia="ko-KR"/>
        </w:rPr>
        <w:t>3</w:t>
      </w:r>
      <w:r w:rsidRPr="00DB151B">
        <w:rPr>
          <w:lang w:val="en-US" w:eastAsia="ko-KR"/>
        </w:rPr>
        <w:t xml:space="preserve"> Vision and Eye Research Institute, School of Medicine, Faculty of Health, Education, Medicine and Social Care, Anglia Ruskin University-Cambridge Campus, Cambridge, United Kingdom</w:t>
      </w:r>
    </w:p>
    <w:p w14:paraId="4333CF6B" w14:textId="77777777" w:rsidR="00FE06F0" w:rsidRPr="00DB151B" w:rsidRDefault="00FE06F0" w:rsidP="00FE06F0">
      <w:pPr>
        <w:spacing w:line="480" w:lineRule="auto"/>
        <w:jc w:val="both"/>
        <w:rPr>
          <w:lang w:val="es-ES"/>
        </w:rPr>
      </w:pPr>
      <w:r w:rsidRPr="00DB151B">
        <w:rPr>
          <w:vertAlign w:val="superscript"/>
          <w:lang w:val="es-ES"/>
        </w:rPr>
        <w:t>4</w:t>
      </w:r>
      <w:r w:rsidRPr="00DB151B">
        <w:rPr>
          <w:lang w:val="es-ES"/>
        </w:rPr>
        <w:t xml:space="preserve"> ICREA, Pg. </w:t>
      </w:r>
      <w:proofErr w:type="spellStart"/>
      <w:r w:rsidRPr="00DB151B">
        <w:rPr>
          <w:lang w:val="es-ES"/>
        </w:rPr>
        <w:t>Lluis</w:t>
      </w:r>
      <w:proofErr w:type="spellEnd"/>
      <w:r w:rsidRPr="00DB151B">
        <w:rPr>
          <w:lang w:val="es-ES"/>
        </w:rPr>
        <w:t xml:space="preserve"> Companys 23, Barcelona, </w:t>
      </w:r>
      <w:proofErr w:type="spellStart"/>
      <w:r w:rsidRPr="00DB151B">
        <w:rPr>
          <w:lang w:val="es-ES"/>
        </w:rPr>
        <w:t>Spain</w:t>
      </w:r>
      <w:proofErr w:type="spellEnd"/>
    </w:p>
    <w:p w14:paraId="35A91AE2" w14:textId="77777777" w:rsidR="00FE06F0" w:rsidRPr="00DB151B" w:rsidRDefault="00FE06F0" w:rsidP="00FE06F0">
      <w:pPr>
        <w:spacing w:line="480" w:lineRule="auto"/>
        <w:jc w:val="both"/>
        <w:rPr>
          <w:lang w:val="en-US"/>
        </w:rPr>
      </w:pPr>
      <w:r w:rsidRPr="00DB151B">
        <w:rPr>
          <w:vertAlign w:val="superscript"/>
          <w:lang w:val="en-US"/>
        </w:rPr>
        <w:t>5</w:t>
      </w:r>
      <w:r w:rsidRPr="00DB151B">
        <w:rPr>
          <w:lang w:val="en-US"/>
        </w:rPr>
        <w:t xml:space="preserve"> Philipps University of Marburg, Marburg, Germany</w:t>
      </w:r>
    </w:p>
    <w:p w14:paraId="33790FDE" w14:textId="77777777" w:rsidR="00FE06F0" w:rsidRPr="00DB151B" w:rsidRDefault="00FE06F0" w:rsidP="00FE06F0">
      <w:pPr>
        <w:spacing w:line="480" w:lineRule="auto"/>
        <w:jc w:val="both"/>
        <w:rPr>
          <w:lang w:val="en-US"/>
        </w:rPr>
      </w:pPr>
      <w:r w:rsidRPr="00DB151B">
        <w:rPr>
          <w:vertAlign w:val="superscript"/>
          <w:lang w:val="en-US"/>
        </w:rPr>
        <w:t>6</w:t>
      </w:r>
      <w:r w:rsidRPr="00DB151B">
        <w:rPr>
          <w:lang w:val="en-US"/>
        </w:rPr>
        <w:t xml:space="preserve"> Department of Social and Preventive Medicine, Centre for Public Health, Medical University of Vienna, Vienna, Austria</w:t>
      </w:r>
    </w:p>
    <w:p w14:paraId="4662813A" w14:textId="77777777" w:rsidR="00FE06F0" w:rsidRPr="00DB151B" w:rsidRDefault="00FE06F0" w:rsidP="00FE06F0">
      <w:pPr>
        <w:spacing w:line="480" w:lineRule="auto"/>
        <w:jc w:val="both"/>
        <w:rPr>
          <w:lang w:val="en-US"/>
        </w:rPr>
      </w:pPr>
      <w:r w:rsidRPr="00DB151B">
        <w:rPr>
          <w:vertAlign w:val="superscript"/>
          <w:lang w:val="en-US"/>
        </w:rPr>
        <w:t>7</w:t>
      </w:r>
      <w:r w:rsidRPr="00DB151B">
        <w:rPr>
          <w:lang w:val="en-US"/>
        </w:rPr>
        <w:t xml:space="preserve"> University of Southern California, Suzanne </w:t>
      </w:r>
      <w:proofErr w:type="spellStart"/>
      <w:r w:rsidRPr="00DB151B">
        <w:rPr>
          <w:lang w:val="en-US"/>
        </w:rPr>
        <w:t>Dworak</w:t>
      </w:r>
      <w:proofErr w:type="spellEnd"/>
      <w:r w:rsidRPr="00DB151B">
        <w:rPr>
          <w:lang w:val="en-US"/>
        </w:rPr>
        <w:t xml:space="preserve"> Peck School of Social Work, 1149 South Hill Street suite 1422, Los Angeles, CA 90015, USA</w:t>
      </w:r>
    </w:p>
    <w:p w14:paraId="4C047625" w14:textId="77777777" w:rsidR="00FE06F0" w:rsidRPr="00DB151B" w:rsidRDefault="00FE06F0" w:rsidP="00FE06F0">
      <w:pPr>
        <w:spacing w:line="480" w:lineRule="auto"/>
        <w:jc w:val="both"/>
        <w:rPr>
          <w:lang w:val="en-US" w:eastAsia="ko-KR"/>
        </w:rPr>
      </w:pPr>
      <w:r w:rsidRPr="00DB151B">
        <w:rPr>
          <w:vertAlign w:val="superscript"/>
          <w:lang w:val="en-US" w:eastAsia="ko-KR"/>
        </w:rPr>
        <w:t>8</w:t>
      </w:r>
      <w:r w:rsidRPr="00DB151B">
        <w:rPr>
          <w:lang w:val="en-US" w:eastAsia="ko-KR"/>
        </w:rPr>
        <w:t xml:space="preserve"> School of Psychology and Sport Science, Anglia Ruskin University, Cambridge, United Kingdom</w:t>
      </w:r>
    </w:p>
    <w:p w14:paraId="62354EBE" w14:textId="77777777" w:rsidR="00FE06F0" w:rsidRPr="00DB151B" w:rsidRDefault="00FE06F0" w:rsidP="00FE06F0">
      <w:pPr>
        <w:spacing w:line="480" w:lineRule="auto"/>
        <w:jc w:val="both"/>
        <w:rPr>
          <w:lang w:val="en-US"/>
        </w:rPr>
      </w:pPr>
      <w:r w:rsidRPr="00DB151B">
        <w:rPr>
          <w:vertAlign w:val="superscript"/>
          <w:lang w:val="en-US"/>
        </w:rPr>
        <w:t>9</w:t>
      </w:r>
      <w:r w:rsidRPr="00DB151B">
        <w:rPr>
          <w:lang w:val="en-US"/>
        </w:rPr>
        <w:t xml:space="preserve"> Department of Pediatrics, Yonsei University College of Medicine, Seoul, Republic of Korea</w:t>
      </w:r>
    </w:p>
    <w:p w14:paraId="321ABF0B" w14:textId="77777777" w:rsidR="00FE06F0" w:rsidRPr="00DB151B" w:rsidRDefault="00FE06F0" w:rsidP="00FE06F0">
      <w:pPr>
        <w:spacing w:line="480" w:lineRule="auto"/>
        <w:jc w:val="both"/>
        <w:rPr>
          <w:lang w:val="en-US"/>
        </w:rPr>
      </w:pPr>
      <w:r w:rsidRPr="00DB151B">
        <w:rPr>
          <w:vertAlign w:val="superscript"/>
          <w:lang w:val="en-US" w:eastAsia="ko-KR"/>
        </w:rPr>
        <w:lastRenderedPageBreak/>
        <w:t>10</w:t>
      </w:r>
      <w:r w:rsidRPr="00DB151B">
        <w:rPr>
          <w:lang w:val="en-US"/>
        </w:rPr>
        <w:t xml:space="preserve"> The Cambridge Centre for Sport and Exercise Sciences, Anglia Ruskin University, Cambridge, UK</w:t>
      </w:r>
    </w:p>
    <w:p w14:paraId="324DB353" w14:textId="33D3BDE5" w:rsidR="00DE3F62" w:rsidRDefault="00DE3F62" w:rsidP="00DB55C8">
      <w:pPr>
        <w:spacing w:line="480" w:lineRule="auto"/>
        <w:rPr>
          <w:b/>
          <w:bCs/>
          <w:lang w:val="en-US"/>
        </w:rPr>
      </w:pPr>
    </w:p>
    <w:p w14:paraId="5D28C964" w14:textId="6F62C9D4" w:rsidR="00FE06F0" w:rsidRDefault="00FE06F0" w:rsidP="00DB55C8">
      <w:pPr>
        <w:spacing w:line="480" w:lineRule="auto"/>
        <w:rPr>
          <w:b/>
          <w:bCs/>
          <w:lang w:val="en-US"/>
        </w:rPr>
      </w:pPr>
    </w:p>
    <w:p w14:paraId="3BE5BAEF" w14:textId="0EC80DE9" w:rsidR="00FE06F0" w:rsidRDefault="00FE06F0" w:rsidP="00DB55C8">
      <w:pPr>
        <w:spacing w:line="480" w:lineRule="auto"/>
        <w:rPr>
          <w:b/>
          <w:bCs/>
          <w:lang w:val="en-US"/>
        </w:rPr>
      </w:pPr>
    </w:p>
    <w:p w14:paraId="2BCA52A0" w14:textId="48B65A4A" w:rsidR="00FE06F0" w:rsidRDefault="00FE06F0" w:rsidP="00DB55C8">
      <w:pPr>
        <w:spacing w:line="480" w:lineRule="auto"/>
        <w:rPr>
          <w:b/>
          <w:bCs/>
          <w:lang w:val="en-US"/>
        </w:rPr>
      </w:pPr>
    </w:p>
    <w:p w14:paraId="16B29730" w14:textId="7B755F88" w:rsidR="00FE06F0" w:rsidRDefault="00FE06F0" w:rsidP="00DB55C8">
      <w:pPr>
        <w:spacing w:line="480" w:lineRule="auto"/>
        <w:rPr>
          <w:b/>
          <w:bCs/>
          <w:lang w:val="en-US"/>
        </w:rPr>
      </w:pPr>
    </w:p>
    <w:p w14:paraId="60DEEC8D" w14:textId="47C42530" w:rsidR="00FE06F0" w:rsidRDefault="00FE06F0" w:rsidP="00DB55C8">
      <w:pPr>
        <w:spacing w:line="480" w:lineRule="auto"/>
        <w:rPr>
          <w:b/>
          <w:bCs/>
          <w:lang w:val="en-US"/>
        </w:rPr>
      </w:pPr>
    </w:p>
    <w:p w14:paraId="4AD389B0" w14:textId="7F8F6758" w:rsidR="00FE06F0" w:rsidRDefault="00FE06F0" w:rsidP="00DB55C8">
      <w:pPr>
        <w:spacing w:line="480" w:lineRule="auto"/>
        <w:rPr>
          <w:b/>
          <w:bCs/>
          <w:lang w:val="en-US"/>
        </w:rPr>
      </w:pPr>
    </w:p>
    <w:p w14:paraId="3B7CA536" w14:textId="7C1A4DC5" w:rsidR="00FE06F0" w:rsidRDefault="00FE06F0" w:rsidP="00DB55C8">
      <w:pPr>
        <w:spacing w:line="480" w:lineRule="auto"/>
        <w:rPr>
          <w:b/>
          <w:bCs/>
          <w:lang w:val="en-US"/>
        </w:rPr>
      </w:pPr>
    </w:p>
    <w:p w14:paraId="1826794D" w14:textId="2E72AFC2" w:rsidR="00FE06F0" w:rsidRDefault="00FE06F0" w:rsidP="00DB55C8">
      <w:pPr>
        <w:spacing w:line="480" w:lineRule="auto"/>
        <w:rPr>
          <w:b/>
          <w:bCs/>
          <w:lang w:val="en-US"/>
        </w:rPr>
      </w:pPr>
    </w:p>
    <w:p w14:paraId="00CD8025" w14:textId="34B9D87F" w:rsidR="00FE06F0" w:rsidRDefault="00FE06F0" w:rsidP="00DB55C8">
      <w:pPr>
        <w:spacing w:line="480" w:lineRule="auto"/>
        <w:rPr>
          <w:b/>
          <w:bCs/>
          <w:lang w:val="en-US"/>
        </w:rPr>
      </w:pPr>
    </w:p>
    <w:p w14:paraId="58B34119" w14:textId="17A5FAA8" w:rsidR="00FE06F0" w:rsidRDefault="00FE06F0" w:rsidP="00DB55C8">
      <w:pPr>
        <w:spacing w:line="480" w:lineRule="auto"/>
        <w:rPr>
          <w:b/>
          <w:bCs/>
          <w:lang w:val="en-US"/>
        </w:rPr>
      </w:pPr>
    </w:p>
    <w:p w14:paraId="558DC47D" w14:textId="4A79F161" w:rsidR="00FE06F0" w:rsidRDefault="00FE06F0" w:rsidP="00DB55C8">
      <w:pPr>
        <w:spacing w:line="480" w:lineRule="auto"/>
        <w:rPr>
          <w:b/>
          <w:bCs/>
          <w:lang w:val="en-US"/>
        </w:rPr>
      </w:pPr>
    </w:p>
    <w:p w14:paraId="432DF1F3" w14:textId="70D5950D" w:rsidR="00FE06F0" w:rsidRDefault="00FE06F0" w:rsidP="00DB55C8">
      <w:pPr>
        <w:spacing w:line="480" w:lineRule="auto"/>
        <w:rPr>
          <w:b/>
          <w:bCs/>
          <w:lang w:val="en-US"/>
        </w:rPr>
      </w:pPr>
    </w:p>
    <w:p w14:paraId="4CC41353" w14:textId="6A42A898" w:rsidR="00FE06F0" w:rsidRDefault="00FE06F0" w:rsidP="00DB55C8">
      <w:pPr>
        <w:spacing w:line="480" w:lineRule="auto"/>
        <w:rPr>
          <w:b/>
          <w:bCs/>
          <w:lang w:val="en-US"/>
        </w:rPr>
      </w:pPr>
    </w:p>
    <w:p w14:paraId="1A4ABD11" w14:textId="6EDAA2BB" w:rsidR="00FE06F0" w:rsidRDefault="00FE06F0" w:rsidP="00DB55C8">
      <w:pPr>
        <w:spacing w:line="480" w:lineRule="auto"/>
        <w:rPr>
          <w:b/>
          <w:bCs/>
          <w:lang w:val="en-US"/>
        </w:rPr>
      </w:pPr>
    </w:p>
    <w:p w14:paraId="54A1CC6E" w14:textId="75EDC70E" w:rsidR="00FE06F0" w:rsidRDefault="00FE06F0" w:rsidP="00DB55C8">
      <w:pPr>
        <w:spacing w:line="480" w:lineRule="auto"/>
        <w:rPr>
          <w:b/>
          <w:bCs/>
          <w:lang w:val="en-US"/>
        </w:rPr>
      </w:pPr>
    </w:p>
    <w:p w14:paraId="3DFA481E" w14:textId="7AA8CFE5" w:rsidR="00FE06F0" w:rsidRDefault="00FE06F0" w:rsidP="00DB55C8">
      <w:pPr>
        <w:spacing w:line="480" w:lineRule="auto"/>
        <w:rPr>
          <w:b/>
          <w:bCs/>
          <w:lang w:val="en-US"/>
        </w:rPr>
      </w:pPr>
    </w:p>
    <w:p w14:paraId="393C7376" w14:textId="18BF5F6D" w:rsidR="00FE06F0" w:rsidRDefault="00FE06F0" w:rsidP="00DB55C8">
      <w:pPr>
        <w:spacing w:line="480" w:lineRule="auto"/>
        <w:rPr>
          <w:b/>
          <w:bCs/>
          <w:lang w:val="en-US"/>
        </w:rPr>
      </w:pPr>
    </w:p>
    <w:p w14:paraId="00BC9A04" w14:textId="68846A02" w:rsidR="00FE06F0" w:rsidRDefault="00FE06F0" w:rsidP="00DB55C8">
      <w:pPr>
        <w:spacing w:line="480" w:lineRule="auto"/>
        <w:rPr>
          <w:b/>
          <w:bCs/>
          <w:lang w:val="en-US"/>
        </w:rPr>
      </w:pPr>
    </w:p>
    <w:p w14:paraId="3AE3CC15" w14:textId="76668C1C" w:rsidR="00FE06F0" w:rsidRDefault="00FE06F0" w:rsidP="00DB55C8">
      <w:pPr>
        <w:spacing w:line="480" w:lineRule="auto"/>
        <w:rPr>
          <w:b/>
          <w:bCs/>
          <w:lang w:val="en-US"/>
        </w:rPr>
      </w:pPr>
    </w:p>
    <w:p w14:paraId="5719F53C" w14:textId="2F3E0153" w:rsidR="00FE06F0" w:rsidRDefault="00FE06F0" w:rsidP="00DB55C8">
      <w:pPr>
        <w:spacing w:line="480" w:lineRule="auto"/>
        <w:rPr>
          <w:b/>
          <w:bCs/>
          <w:lang w:val="en-US"/>
        </w:rPr>
      </w:pPr>
    </w:p>
    <w:p w14:paraId="78C58DE3" w14:textId="583344F1" w:rsidR="00FE06F0" w:rsidRDefault="00FE06F0" w:rsidP="00DB55C8">
      <w:pPr>
        <w:spacing w:line="480" w:lineRule="auto"/>
        <w:rPr>
          <w:b/>
          <w:bCs/>
          <w:lang w:val="en-US"/>
        </w:rPr>
      </w:pPr>
    </w:p>
    <w:p w14:paraId="61A85D1C" w14:textId="03F512BA" w:rsidR="00FE06F0" w:rsidRDefault="00FE06F0" w:rsidP="00DB55C8">
      <w:pPr>
        <w:spacing w:line="480" w:lineRule="auto"/>
        <w:rPr>
          <w:b/>
          <w:bCs/>
          <w:lang w:val="en-US"/>
        </w:rPr>
      </w:pPr>
    </w:p>
    <w:p w14:paraId="618BE559" w14:textId="77777777" w:rsidR="00FE06F0" w:rsidRPr="00DB151B" w:rsidRDefault="00FE06F0" w:rsidP="0090415D">
      <w:pPr>
        <w:pStyle w:val="Heading1"/>
        <w:rPr>
          <w:b w:val="0"/>
          <w:lang w:val="en-US" w:eastAsia="ko-KR"/>
        </w:rPr>
      </w:pPr>
      <w:r w:rsidRPr="00DB151B">
        <w:rPr>
          <w:lang w:val="en-US" w:eastAsia="ko-KR"/>
        </w:rPr>
        <w:lastRenderedPageBreak/>
        <w:t>Abstract</w:t>
      </w:r>
    </w:p>
    <w:p w14:paraId="4EEA7A7F" w14:textId="77777777" w:rsidR="00FE06F0" w:rsidRDefault="00FE06F0" w:rsidP="00FE06F0">
      <w:pPr>
        <w:spacing w:line="480" w:lineRule="auto"/>
        <w:jc w:val="both"/>
        <w:rPr>
          <w:lang w:val="en-US" w:eastAsia="ko-KR"/>
        </w:rPr>
      </w:pPr>
      <w:r w:rsidRPr="00DB151B">
        <w:rPr>
          <w:lang w:val="en-US" w:eastAsia="ko-KR"/>
        </w:rPr>
        <w:t xml:space="preserve">There is a scarcity of literature investigating the association between minority sexual orientations and subjective cognitive complaints (SCC). Therefore, the aim of this study was to investigate the association between identifying as a sexual minority and SCC in a large sample of adults from England. The study further aimed to identify the extent to which the association could be explained by several behavioral, </w:t>
      </w:r>
      <w:proofErr w:type="gramStart"/>
      <w:r w:rsidRPr="00DB151B">
        <w:rPr>
          <w:lang w:val="en-US" w:eastAsia="ko-KR"/>
        </w:rPr>
        <w:t>psychological</w:t>
      </w:r>
      <w:proofErr w:type="gramEnd"/>
      <w:r w:rsidRPr="00DB151B">
        <w:rPr>
          <w:lang w:val="en-US" w:eastAsia="ko-KR"/>
        </w:rPr>
        <w:t xml:space="preserve"> and clinical factors.</w:t>
      </w:r>
      <w:r>
        <w:rPr>
          <w:lang w:val="en-US" w:eastAsia="ko-KR"/>
        </w:rPr>
        <w:t xml:space="preserve"> </w:t>
      </w:r>
      <w:r w:rsidRPr="00DB151B">
        <w:rPr>
          <w:lang w:val="en-US"/>
        </w:rPr>
        <w:t>Cross-sectional data from the 2007 Adult Psychiatric Morbidity Survey (APMS) were analyzed. Sexual orientation was dichotomized into heterosexual and sexual minority orientation. SCC referred to subjective concentration and memory complaints. Control variables included sex, age, ethnicity, marital status, education, employment, and income. Influential factors included smoking status, alcohol dependence, perceived stress, the number of stressful life events, depression, any anxiety disorder, sleep problems, and obesity.</w:t>
      </w:r>
      <w:r>
        <w:rPr>
          <w:lang w:val="en-US" w:eastAsia="ko-KR"/>
        </w:rPr>
        <w:t xml:space="preserve"> </w:t>
      </w:r>
      <w:r w:rsidRPr="00DB151B">
        <w:rPr>
          <w:lang w:val="en-US"/>
        </w:rPr>
        <w:t>This study included 7,400 participants (51.4% women; mean [standard deviation] age 46.3 [18.6] years). After adjusting for control variables, sexual minority orientation was positively and significantly associated with subjective concentration (OR=1.40, 95% CI=1.12-1.76) but not memory complaints (OR=1.19, 95% CI=0.96-1.47). The number of stressful life events, sleep problems and any anxiety disorder explained 13.4%, 11.0% and 10.9% of the association between sexual orientation and subjective concentration complaints, respectively.</w:t>
      </w:r>
      <w:r>
        <w:rPr>
          <w:lang w:val="en-US" w:eastAsia="ko-KR"/>
        </w:rPr>
        <w:t xml:space="preserve"> </w:t>
      </w:r>
      <w:r w:rsidRPr="00DB151B">
        <w:rPr>
          <w:lang w:val="en-US" w:eastAsia="ko-KR"/>
        </w:rPr>
        <w:t>In this large sample of English adults, identifying as a sexual minority was significantly associated with subjective concentration complaints, while stressful life events, sleep problems, and anxiety explained a large proportion of the association. Targeted interventions towards sexual minority groups to reduce SCC may be warranted.</w:t>
      </w:r>
    </w:p>
    <w:p w14:paraId="146A3AF2" w14:textId="77777777" w:rsidR="00FE06F0" w:rsidRPr="00DB151B" w:rsidRDefault="00FE06F0" w:rsidP="00FE06F0">
      <w:pPr>
        <w:spacing w:line="480" w:lineRule="auto"/>
        <w:jc w:val="both"/>
        <w:rPr>
          <w:lang w:val="en-US" w:eastAsia="ko-KR"/>
        </w:rPr>
      </w:pPr>
    </w:p>
    <w:p w14:paraId="6D80357E" w14:textId="77777777" w:rsidR="00FE06F0" w:rsidRDefault="00FE06F0" w:rsidP="00B7672E">
      <w:pPr>
        <w:spacing w:line="480" w:lineRule="auto"/>
        <w:jc w:val="both"/>
        <w:rPr>
          <w:b/>
          <w:bCs/>
          <w:lang w:val="en-US"/>
        </w:rPr>
      </w:pPr>
      <w:r w:rsidRPr="00DB151B">
        <w:rPr>
          <w:b/>
          <w:bCs/>
          <w:lang w:val="en-US" w:eastAsia="ko-KR"/>
        </w:rPr>
        <w:t>Keywords:</w:t>
      </w:r>
      <w:r w:rsidRPr="00DB151B">
        <w:rPr>
          <w:lang w:val="en-US" w:eastAsia="ko-KR"/>
        </w:rPr>
        <w:t xml:space="preserve"> sexual orientation; sexual minority; subjective cognitive complaints; nationally representative study; England</w:t>
      </w:r>
    </w:p>
    <w:p w14:paraId="4F84DF81" w14:textId="289EC1DE" w:rsidR="00E47867" w:rsidRPr="00FE06F0" w:rsidRDefault="00E47867" w:rsidP="0090415D">
      <w:pPr>
        <w:pStyle w:val="Heading1"/>
        <w:rPr>
          <w:lang w:val="en-US"/>
        </w:rPr>
      </w:pPr>
      <w:r w:rsidRPr="00FE06F0">
        <w:rPr>
          <w:lang w:val="en-US" w:eastAsia="ko-KR"/>
        </w:rPr>
        <w:lastRenderedPageBreak/>
        <w:t>Introduction</w:t>
      </w:r>
    </w:p>
    <w:p w14:paraId="41B8052B" w14:textId="77777777" w:rsidR="00B7672E" w:rsidRPr="00FE06F0" w:rsidRDefault="00B7672E" w:rsidP="00B7672E">
      <w:pPr>
        <w:spacing w:line="480" w:lineRule="auto"/>
        <w:jc w:val="both"/>
        <w:rPr>
          <w:lang w:val="en-US" w:eastAsia="ko-KR"/>
        </w:rPr>
      </w:pPr>
    </w:p>
    <w:p w14:paraId="377F4615" w14:textId="185BD466" w:rsidR="00E47867" w:rsidRPr="00FE06F0" w:rsidRDefault="00E47867" w:rsidP="00B7672E">
      <w:pPr>
        <w:spacing w:line="480" w:lineRule="auto"/>
        <w:jc w:val="both"/>
        <w:rPr>
          <w:lang w:val="en-US" w:eastAsia="ko-KR"/>
        </w:rPr>
      </w:pPr>
      <w:r w:rsidRPr="00FE06F0">
        <w:rPr>
          <w:lang w:val="en-US" w:eastAsia="ko-KR"/>
        </w:rPr>
        <w:t xml:space="preserve">Subjective cognitive complaints (SCC) refer to everyday concerns cited by people both with and without objective evidence of </w:t>
      </w:r>
      <w:r w:rsidR="00B42717" w:rsidRPr="00FE06F0">
        <w:rPr>
          <w:lang w:val="en-US" w:eastAsia="ko-KR"/>
        </w:rPr>
        <w:t xml:space="preserve">cognitive </w:t>
      </w:r>
      <w:r w:rsidRPr="00FE06F0">
        <w:rPr>
          <w:lang w:val="en-US" w:eastAsia="ko-KR"/>
        </w:rPr>
        <w:t>impairment</w:t>
      </w:r>
      <w:r w:rsidR="004B29F9" w:rsidRPr="00FE06F0">
        <w:rPr>
          <w:lang w:val="en-US" w:eastAsia="ko-KR"/>
        </w:rPr>
        <w:t xml:space="preserve"> </w:t>
      </w:r>
      <w:r w:rsidR="004B29F9" w:rsidRPr="00FE06F0">
        <w:rPr>
          <w:lang w:val="en-US" w:eastAsia="ko-KR"/>
        </w:rPr>
        <w:fldChar w:fldCharType="begin"/>
      </w:r>
      <w:r w:rsidR="004B29F9" w:rsidRPr="00FE06F0">
        <w:rPr>
          <w:lang w:val="en-US" w:eastAsia="ko-KR"/>
        </w:rPr>
        <w:instrText>ADDIN RW.CITE{{doc:5fb919a2e4b0b2c66ffe6ed2 Mitchell,AlexJ 2008}}</w:instrText>
      </w:r>
      <w:r w:rsidR="004B29F9" w:rsidRPr="00FE06F0">
        <w:rPr>
          <w:lang w:val="en-US" w:eastAsia="ko-KR"/>
        </w:rPr>
        <w:fldChar w:fldCharType="separate"/>
      </w:r>
      <w:r w:rsidR="004B29F9" w:rsidRPr="00FE06F0">
        <w:rPr>
          <w:bCs/>
          <w:lang w:val="en-US" w:eastAsia="ko-KR"/>
        </w:rPr>
        <w:t>(Mitchell, 2008)</w:t>
      </w:r>
      <w:r w:rsidR="004B29F9" w:rsidRPr="00FE06F0">
        <w:rPr>
          <w:lang w:val="en-US" w:eastAsia="ko-KR"/>
        </w:rPr>
        <w:fldChar w:fldCharType="end"/>
      </w:r>
      <w:r w:rsidR="004B29F9" w:rsidRPr="00FE06F0">
        <w:rPr>
          <w:lang w:val="en-US" w:eastAsia="ko-KR"/>
        </w:rPr>
        <w:t xml:space="preserve">. </w:t>
      </w:r>
      <w:r w:rsidRPr="00FE06F0">
        <w:rPr>
          <w:lang w:val="en-US" w:eastAsia="ko-KR"/>
        </w:rPr>
        <w:t>A nationally representative study of adults from the UK showed that almost one third of the population reported forgetfulness in the last month, and that more than 6% had forgotten something important in the last week</w:t>
      </w:r>
      <w:r w:rsidR="006C12B0" w:rsidRPr="00FE06F0">
        <w:rPr>
          <w:lang w:val="en-US" w:eastAsia="ko-KR"/>
        </w:rPr>
        <w:t xml:space="preserve"> </w:t>
      </w:r>
      <w:r w:rsidR="00406CBE" w:rsidRPr="00FE06F0">
        <w:rPr>
          <w:lang w:val="en-US" w:eastAsia="ko-KR"/>
        </w:rPr>
        <w:fldChar w:fldCharType="begin"/>
      </w:r>
      <w:r w:rsidR="00406CBE" w:rsidRPr="00FE06F0">
        <w:rPr>
          <w:lang w:val="en-US" w:eastAsia="ko-KR"/>
        </w:rPr>
        <w:instrText>ADDIN RW.CITE{{doc:5fb91aeae4b0d9a6ddbc8fe3 Cooper,Claudia 2011}}</w:instrText>
      </w:r>
      <w:r w:rsidR="00406CBE" w:rsidRPr="00FE06F0">
        <w:rPr>
          <w:lang w:val="en-US" w:eastAsia="ko-KR"/>
        </w:rPr>
        <w:fldChar w:fldCharType="separate"/>
      </w:r>
      <w:r w:rsidR="00406CBE" w:rsidRPr="00FE06F0">
        <w:rPr>
          <w:bCs/>
          <w:lang w:val="en-US" w:eastAsia="ko-KR"/>
        </w:rPr>
        <w:t>(Cooper et al., 2011)</w:t>
      </w:r>
      <w:r w:rsidR="00406CBE" w:rsidRPr="00FE06F0">
        <w:rPr>
          <w:lang w:val="en-US" w:eastAsia="ko-KR"/>
        </w:rPr>
        <w:fldChar w:fldCharType="end"/>
      </w:r>
      <w:r w:rsidRPr="00FE06F0">
        <w:rPr>
          <w:lang w:val="en-US" w:eastAsia="ko-KR"/>
        </w:rPr>
        <w:t xml:space="preserve">. Another study reported that 30% of the unimpaired elderly </w:t>
      </w:r>
      <w:r w:rsidR="00411763" w:rsidRPr="00FE06F0">
        <w:rPr>
          <w:lang w:val="en-US" w:eastAsia="ko-KR"/>
        </w:rPr>
        <w:t xml:space="preserve">claim to </w:t>
      </w:r>
      <w:r w:rsidRPr="00FE06F0">
        <w:rPr>
          <w:lang w:val="en-US" w:eastAsia="ko-KR"/>
        </w:rPr>
        <w:t xml:space="preserve">have </w:t>
      </w:r>
      <w:r w:rsidR="00B7672E" w:rsidRPr="00FE06F0">
        <w:rPr>
          <w:lang w:val="en-US" w:eastAsia="ko-KR"/>
        </w:rPr>
        <w:t>“</w:t>
      </w:r>
      <w:r w:rsidRPr="00FE06F0">
        <w:rPr>
          <w:lang w:val="en-US" w:eastAsia="ko-KR"/>
        </w:rPr>
        <w:t>trouble remembering things that have happened recently</w:t>
      </w:r>
      <w:r w:rsidR="00B7672E" w:rsidRPr="00FE06F0">
        <w:rPr>
          <w:lang w:val="en-US" w:eastAsia="ko-KR"/>
        </w:rPr>
        <w:t>”</w:t>
      </w:r>
      <w:r w:rsidRPr="00FE06F0">
        <w:rPr>
          <w:lang w:val="en-US" w:eastAsia="ko-KR"/>
        </w:rPr>
        <w:t xml:space="preserve"> and a similar number have </w:t>
      </w:r>
      <w:r w:rsidR="00B7672E" w:rsidRPr="00FE06F0">
        <w:rPr>
          <w:lang w:val="en-US" w:eastAsia="ko-KR"/>
        </w:rPr>
        <w:t>“</w:t>
      </w:r>
      <w:r w:rsidRPr="00FE06F0">
        <w:rPr>
          <w:lang w:val="en-US" w:eastAsia="ko-KR"/>
        </w:rPr>
        <w:t>trouble remembering where belongings are kept</w:t>
      </w:r>
      <w:r w:rsidR="00B7672E" w:rsidRPr="00FE06F0">
        <w:rPr>
          <w:lang w:val="en-US" w:eastAsia="ko-KR"/>
        </w:rPr>
        <w:t>”</w:t>
      </w:r>
      <w:r w:rsidR="004652FA" w:rsidRPr="00FE06F0">
        <w:rPr>
          <w:lang w:val="en-US" w:eastAsia="ko-KR"/>
        </w:rPr>
        <w:t xml:space="preserve"> </w:t>
      </w:r>
      <w:r w:rsidR="005C18A2" w:rsidRPr="00FE06F0">
        <w:rPr>
          <w:lang w:val="en-US" w:eastAsia="ko-KR"/>
        </w:rPr>
        <w:fldChar w:fldCharType="begin"/>
      </w:r>
      <w:r w:rsidR="005C18A2" w:rsidRPr="00FE06F0">
        <w:rPr>
          <w:lang w:val="en-US" w:eastAsia="ko-KR"/>
        </w:rPr>
        <w:instrText>ADDIN RW.CITE{{doc:5fb94978e4b01429301c76de Jessen,Frank 2007}}</w:instrText>
      </w:r>
      <w:r w:rsidR="005C18A2" w:rsidRPr="00FE06F0">
        <w:rPr>
          <w:lang w:val="en-US" w:eastAsia="ko-KR"/>
        </w:rPr>
        <w:fldChar w:fldCharType="separate"/>
      </w:r>
      <w:r w:rsidR="005C18A2" w:rsidRPr="00FE06F0">
        <w:rPr>
          <w:bCs/>
          <w:lang w:val="en-US" w:eastAsia="ko-KR"/>
        </w:rPr>
        <w:t>(Jessen et al., 2007)</w:t>
      </w:r>
      <w:r w:rsidR="005C18A2" w:rsidRPr="00FE06F0">
        <w:rPr>
          <w:lang w:val="en-US" w:eastAsia="ko-KR"/>
        </w:rPr>
        <w:fldChar w:fldCharType="end"/>
      </w:r>
      <w:r w:rsidRPr="00FE06F0">
        <w:rPr>
          <w:lang w:val="en-US" w:eastAsia="ko-KR"/>
        </w:rPr>
        <w:t>. This observed relatively high prevalence of SCC is of concern as SCC has been associated with detrimental health outcomes. For example, it is a core feature in mi</w:t>
      </w:r>
      <w:r w:rsidR="00227415" w:rsidRPr="00FE06F0">
        <w:rPr>
          <w:lang w:val="en-US" w:eastAsia="ko-KR"/>
        </w:rPr>
        <w:t>l</w:t>
      </w:r>
      <w:r w:rsidR="005C18A2" w:rsidRPr="00FE06F0">
        <w:rPr>
          <w:lang w:val="en-US" w:eastAsia="ko-KR"/>
        </w:rPr>
        <w:t xml:space="preserve">d cognitive impairment (MCI) </w:t>
      </w:r>
      <w:r w:rsidR="005C18A2" w:rsidRPr="00FE06F0">
        <w:rPr>
          <w:lang w:val="en-US" w:eastAsia="ko-KR"/>
        </w:rPr>
        <w:fldChar w:fldCharType="begin"/>
      </w:r>
      <w:r w:rsidR="005C18A2" w:rsidRPr="00FE06F0">
        <w:rPr>
          <w:lang w:val="en-US" w:eastAsia="ko-KR"/>
        </w:rPr>
        <w:instrText>ADDIN RW.CITE{{doc:5fb919a2e4b0b2c66ffe6ed2 Mitchell,AlexJ 2008}}</w:instrText>
      </w:r>
      <w:r w:rsidR="005C18A2" w:rsidRPr="00FE06F0">
        <w:rPr>
          <w:lang w:val="en-US" w:eastAsia="ko-KR"/>
        </w:rPr>
        <w:fldChar w:fldCharType="separate"/>
      </w:r>
      <w:r w:rsidR="005C18A2" w:rsidRPr="00FE06F0">
        <w:rPr>
          <w:bCs/>
          <w:lang w:val="en-US" w:eastAsia="ko-KR"/>
        </w:rPr>
        <w:t>(Mitchell, 2008)</w:t>
      </w:r>
      <w:r w:rsidR="005C18A2" w:rsidRPr="00FE06F0">
        <w:rPr>
          <w:lang w:val="en-US" w:eastAsia="ko-KR"/>
        </w:rPr>
        <w:fldChar w:fldCharType="end"/>
      </w:r>
      <w:r w:rsidR="005C18A2" w:rsidRPr="00FE06F0">
        <w:rPr>
          <w:lang w:val="en-US" w:eastAsia="ko-KR"/>
        </w:rPr>
        <w:t xml:space="preserve">, </w:t>
      </w:r>
      <w:r w:rsidRPr="00FE06F0">
        <w:rPr>
          <w:lang w:val="en-US" w:eastAsia="ko-KR"/>
        </w:rPr>
        <w:t>which is a preclinical state of dementia with a high conversion rate to dementia</w:t>
      </w:r>
      <w:r w:rsidR="005C18A2" w:rsidRPr="00FE06F0">
        <w:rPr>
          <w:lang w:val="en-US" w:eastAsia="ko-KR"/>
        </w:rPr>
        <w:t xml:space="preserve"> </w:t>
      </w:r>
      <w:r w:rsidR="005C18A2" w:rsidRPr="00FE06F0">
        <w:rPr>
          <w:lang w:val="en-US" w:eastAsia="ko-KR"/>
        </w:rPr>
        <w:fldChar w:fldCharType="begin"/>
      </w:r>
      <w:r w:rsidR="005C18A2" w:rsidRPr="00FE06F0">
        <w:rPr>
          <w:lang w:val="en-US" w:eastAsia="ko-KR"/>
        </w:rPr>
        <w:instrText>ADDIN RW.CITE{{doc:5fb9516ee4b093e27f3a2c55 Mitchell,AlexJ 2009}}</w:instrText>
      </w:r>
      <w:r w:rsidR="005C18A2" w:rsidRPr="00FE06F0">
        <w:rPr>
          <w:lang w:val="en-US" w:eastAsia="ko-KR"/>
        </w:rPr>
        <w:fldChar w:fldCharType="separate"/>
      </w:r>
      <w:r w:rsidR="001011A2" w:rsidRPr="00FE06F0">
        <w:rPr>
          <w:bCs/>
          <w:lang w:val="en-US" w:eastAsia="ko-KR"/>
        </w:rPr>
        <w:t>(Mitchell &amp; Shiri‐Feshki, 2009)</w:t>
      </w:r>
      <w:r w:rsidR="005C18A2" w:rsidRPr="00FE06F0">
        <w:rPr>
          <w:lang w:val="en-US" w:eastAsia="ko-KR"/>
        </w:rPr>
        <w:fldChar w:fldCharType="end"/>
      </w:r>
      <w:r w:rsidRPr="00FE06F0">
        <w:rPr>
          <w:lang w:val="en-US" w:eastAsia="ko-KR"/>
        </w:rPr>
        <w:t xml:space="preserve">. Moreover, one review concluded </w:t>
      </w:r>
      <w:r w:rsidR="00411763" w:rsidRPr="00FE06F0">
        <w:rPr>
          <w:lang w:val="en-US" w:eastAsia="ko-KR"/>
        </w:rPr>
        <w:t xml:space="preserve">that </w:t>
      </w:r>
      <w:r w:rsidR="00BF6E2D" w:rsidRPr="00FE06F0">
        <w:rPr>
          <w:lang w:val="en-US" w:eastAsia="ko-KR"/>
        </w:rPr>
        <w:t xml:space="preserve">older adults </w:t>
      </w:r>
      <w:r w:rsidRPr="00FE06F0">
        <w:rPr>
          <w:lang w:val="en-US" w:eastAsia="ko-KR"/>
        </w:rPr>
        <w:t>with memory complaints report a diminished quality of life</w:t>
      </w:r>
      <w:r w:rsidR="005C18A2" w:rsidRPr="00FE06F0">
        <w:rPr>
          <w:lang w:val="en-US" w:eastAsia="ko-KR"/>
        </w:rPr>
        <w:t xml:space="preserve"> </w:t>
      </w:r>
      <w:r w:rsidR="005C18A2" w:rsidRPr="00FE06F0">
        <w:rPr>
          <w:lang w:val="en-US" w:eastAsia="ko-KR"/>
        </w:rPr>
        <w:fldChar w:fldCharType="begin"/>
      </w:r>
      <w:r w:rsidR="005C18A2" w:rsidRPr="00FE06F0">
        <w:rPr>
          <w:lang w:val="en-US" w:eastAsia="ko-KR"/>
        </w:rPr>
        <w:instrText>ADDIN RW.CITE{{doc:5fb9519ce4b06d8a95140836 Mol,Martine 2007}}</w:instrText>
      </w:r>
      <w:r w:rsidR="005C18A2" w:rsidRPr="00FE06F0">
        <w:rPr>
          <w:lang w:val="en-US" w:eastAsia="ko-KR"/>
        </w:rPr>
        <w:fldChar w:fldCharType="separate"/>
      </w:r>
      <w:r w:rsidR="005C18A2" w:rsidRPr="00FE06F0">
        <w:rPr>
          <w:bCs/>
          <w:lang w:val="en-US" w:eastAsia="ko-KR"/>
        </w:rPr>
        <w:t>(Mol et al., 2007)</w:t>
      </w:r>
      <w:r w:rsidR="005C18A2" w:rsidRPr="00FE06F0">
        <w:rPr>
          <w:lang w:val="en-US" w:eastAsia="ko-KR"/>
        </w:rPr>
        <w:fldChar w:fldCharType="end"/>
      </w:r>
      <w:r w:rsidRPr="00FE06F0">
        <w:rPr>
          <w:lang w:val="en-US" w:eastAsia="ko-KR"/>
        </w:rPr>
        <w:t>. Other research has identified that SCC is also associated with mental disorders</w:t>
      </w:r>
      <w:r w:rsidR="005C18A2" w:rsidRPr="00FE06F0">
        <w:rPr>
          <w:lang w:val="en-US" w:eastAsia="ko-KR"/>
        </w:rPr>
        <w:t xml:space="preserve"> </w:t>
      </w:r>
      <w:r w:rsidR="005C18A2" w:rsidRPr="00FE06F0">
        <w:rPr>
          <w:lang w:val="en-US" w:eastAsia="ko-KR"/>
        </w:rPr>
        <w:fldChar w:fldCharType="begin"/>
      </w:r>
      <w:r w:rsidR="005C18A2" w:rsidRPr="00FE06F0">
        <w:rPr>
          <w:lang w:val="en-US" w:eastAsia="ko-KR"/>
        </w:rPr>
        <w:instrText>ADDIN RW.CITE{{doc:5fb951dce4b0a4f6c6694948 Balash,Y 2013}}</w:instrText>
      </w:r>
      <w:r w:rsidR="005C18A2" w:rsidRPr="00FE06F0">
        <w:rPr>
          <w:lang w:val="en-US" w:eastAsia="ko-KR"/>
        </w:rPr>
        <w:fldChar w:fldCharType="separate"/>
      </w:r>
      <w:r w:rsidR="005C18A2" w:rsidRPr="00FE06F0">
        <w:rPr>
          <w:bCs/>
          <w:lang w:val="en-US" w:eastAsia="ko-KR"/>
        </w:rPr>
        <w:t>(Balash et al., 2013)</w:t>
      </w:r>
      <w:r w:rsidR="005C18A2" w:rsidRPr="00FE06F0">
        <w:rPr>
          <w:lang w:val="en-US" w:eastAsia="ko-KR"/>
        </w:rPr>
        <w:fldChar w:fldCharType="end"/>
      </w:r>
      <w:r w:rsidRPr="00FE06F0">
        <w:rPr>
          <w:lang w:val="en-US" w:eastAsia="ko-KR"/>
        </w:rPr>
        <w:t xml:space="preserve">, and </w:t>
      </w:r>
      <w:r w:rsidR="00330DFD" w:rsidRPr="00FE06F0">
        <w:rPr>
          <w:lang w:val="en-US" w:eastAsia="ko-KR"/>
        </w:rPr>
        <w:t xml:space="preserve">premature </w:t>
      </w:r>
      <w:r w:rsidRPr="00FE06F0">
        <w:rPr>
          <w:lang w:val="en-US" w:eastAsia="ko-KR"/>
        </w:rPr>
        <w:t>all-cause mortality</w:t>
      </w:r>
      <w:r w:rsidR="005C18A2" w:rsidRPr="00FE06F0">
        <w:rPr>
          <w:lang w:val="en-US" w:eastAsia="ko-KR"/>
        </w:rPr>
        <w:t xml:space="preserve"> </w:t>
      </w:r>
      <w:r w:rsidR="005C18A2" w:rsidRPr="00FE06F0">
        <w:rPr>
          <w:lang w:val="en-US" w:eastAsia="ko-KR"/>
        </w:rPr>
        <w:fldChar w:fldCharType="begin"/>
      </w:r>
      <w:r w:rsidR="005C18A2" w:rsidRPr="00FE06F0">
        <w:rPr>
          <w:lang w:val="en-US" w:eastAsia="ko-KR"/>
        </w:rPr>
        <w:instrText>ADDIN RW.CITE{{doc:5fb95220e4b0eeecca6ce9d1 Ayalon,Liat 2008}}</w:instrText>
      </w:r>
      <w:r w:rsidR="005C18A2" w:rsidRPr="00FE06F0">
        <w:rPr>
          <w:lang w:val="en-US" w:eastAsia="ko-KR"/>
        </w:rPr>
        <w:fldChar w:fldCharType="separate"/>
      </w:r>
      <w:r w:rsidR="005C18A2" w:rsidRPr="00FE06F0">
        <w:rPr>
          <w:bCs/>
          <w:lang w:val="en-US" w:eastAsia="ko-KR"/>
        </w:rPr>
        <w:t>(Ayalon, 2008)</w:t>
      </w:r>
      <w:r w:rsidR="005C18A2" w:rsidRPr="00FE06F0">
        <w:rPr>
          <w:lang w:val="en-US" w:eastAsia="ko-KR"/>
        </w:rPr>
        <w:fldChar w:fldCharType="end"/>
      </w:r>
      <w:r w:rsidRPr="00FE06F0">
        <w:rPr>
          <w:lang w:val="en-US" w:eastAsia="ko-KR"/>
        </w:rPr>
        <w:t xml:space="preserve">. </w:t>
      </w:r>
    </w:p>
    <w:p w14:paraId="28B074E3" w14:textId="77777777" w:rsidR="00E47867" w:rsidRPr="00FE06F0" w:rsidRDefault="00E47867" w:rsidP="00E47867">
      <w:pPr>
        <w:spacing w:line="480" w:lineRule="auto"/>
        <w:jc w:val="both"/>
        <w:rPr>
          <w:lang w:val="en-US" w:eastAsia="ko-KR"/>
        </w:rPr>
      </w:pPr>
    </w:p>
    <w:p w14:paraId="17902305" w14:textId="3191F220" w:rsidR="00E47867" w:rsidRPr="00FE06F0" w:rsidRDefault="00E47867" w:rsidP="00740147">
      <w:pPr>
        <w:spacing w:line="480" w:lineRule="auto"/>
        <w:jc w:val="both"/>
        <w:rPr>
          <w:lang w:val="en-US" w:eastAsia="ko-KR"/>
        </w:rPr>
      </w:pPr>
      <w:r w:rsidRPr="00FE06F0">
        <w:rPr>
          <w:lang w:val="en-US" w:eastAsia="ko-KR"/>
        </w:rPr>
        <w:t>Owing to the high prevalence of SCC and the detrimental health outcomes it is associated with</w:t>
      </w:r>
      <w:r w:rsidR="00593DF0" w:rsidRPr="00FE06F0">
        <w:rPr>
          <w:lang w:val="en-US" w:eastAsia="ko-KR"/>
        </w:rPr>
        <w:t>,</w:t>
      </w:r>
      <w:r w:rsidRPr="00FE06F0">
        <w:rPr>
          <w:lang w:val="en-US" w:eastAsia="ko-KR"/>
        </w:rPr>
        <w:t xml:space="preserve"> it is important to develop intervention and policy to aid in the prevention of SCC. </w:t>
      </w:r>
      <w:proofErr w:type="gramStart"/>
      <w:r w:rsidRPr="00FE06F0">
        <w:rPr>
          <w:lang w:val="en-US" w:eastAsia="ko-KR"/>
        </w:rPr>
        <w:t>In order to</w:t>
      </w:r>
      <w:proofErr w:type="gramEnd"/>
      <w:r w:rsidRPr="00FE06F0">
        <w:rPr>
          <w:lang w:val="en-US" w:eastAsia="ko-KR"/>
        </w:rPr>
        <w:t xml:space="preserve"> develop targeted interventions</w:t>
      </w:r>
      <w:r w:rsidR="0001565B" w:rsidRPr="00FE06F0">
        <w:rPr>
          <w:lang w:val="en-US" w:eastAsia="ko-KR"/>
        </w:rPr>
        <w:t>,</w:t>
      </w:r>
      <w:r w:rsidRPr="00FE06F0">
        <w:rPr>
          <w:lang w:val="en-US" w:eastAsia="ko-KR"/>
        </w:rPr>
        <w:t xml:space="preserve"> </w:t>
      </w:r>
      <w:r w:rsidR="00907105" w:rsidRPr="00FE06F0">
        <w:rPr>
          <w:lang w:val="en-US" w:eastAsia="ko-KR"/>
        </w:rPr>
        <w:t xml:space="preserve">correlates of SCC or vulnerable groups </w:t>
      </w:r>
      <w:r w:rsidRPr="00FE06F0">
        <w:rPr>
          <w:lang w:val="en-US" w:eastAsia="ko-KR"/>
        </w:rPr>
        <w:t xml:space="preserve">need to be identified. To date, </w:t>
      </w:r>
      <w:r w:rsidR="00C93DE3" w:rsidRPr="00FE06F0">
        <w:rPr>
          <w:lang w:val="en-US" w:eastAsia="ko-KR"/>
        </w:rPr>
        <w:t xml:space="preserve">several </w:t>
      </w:r>
      <w:r w:rsidRPr="00FE06F0">
        <w:rPr>
          <w:lang w:val="en-US" w:eastAsia="ko-KR"/>
        </w:rPr>
        <w:t>correlates of SCC have been identified.</w:t>
      </w:r>
      <w:r w:rsidR="0001565B" w:rsidRPr="00FE06F0">
        <w:rPr>
          <w:lang w:val="en-US" w:eastAsia="ko-KR"/>
        </w:rPr>
        <w:t xml:space="preserve"> Specifically, these include</w:t>
      </w:r>
      <w:r w:rsidR="005C18A2" w:rsidRPr="00FE06F0">
        <w:rPr>
          <w:lang w:val="en-US" w:eastAsia="ko-KR"/>
        </w:rPr>
        <w:t xml:space="preserve"> physical multimorbidity </w:t>
      </w:r>
      <w:r w:rsidR="005C18A2" w:rsidRPr="00FE06F0">
        <w:rPr>
          <w:lang w:val="en-US" w:eastAsia="ko-KR"/>
        </w:rPr>
        <w:fldChar w:fldCharType="begin"/>
      </w:r>
      <w:r w:rsidR="005C18A2" w:rsidRPr="00FE06F0">
        <w:rPr>
          <w:lang w:val="en-US" w:eastAsia="ko-KR"/>
        </w:rPr>
        <w:instrText>ADDIN RW.CITE{{doc:5fb95274e4b027b9adf9f33c Jacob,Louis 2019}}</w:instrText>
      </w:r>
      <w:r w:rsidR="005C18A2" w:rsidRPr="00FE06F0">
        <w:rPr>
          <w:lang w:val="en-US" w:eastAsia="ko-KR"/>
        </w:rPr>
        <w:fldChar w:fldCharType="separate"/>
      </w:r>
      <w:r w:rsidR="001011A2" w:rsidRPr="00FE06F0">
        <w:rPr>
          <w:bCs/>
          <w:lang w:val="en-US" w:eastAsia="ko-KR"/>
        </w:rPr>
        <w:t>(Jacob, Haro, &amp; Koyanagi, 2019)</w:t>
      </w:r>
      <w:r w:rsidR="005C18A2" w:rsidRPr="00FE06F0">
        <w:rPr>
          <w:lang w:val="en-US" w:eastAsia="ko-KR"/>
        </w:rPr>
        <w:fldChar w:fldCharType="end"/>
      </w:r>
      <w:r w:rsidRPr="00FE06F0">
        <w:rPr>
          <w:lang w:val="en-US" w:eastAsia="ko-KR"/>
        </w:rPr>
        <w:t>, sleep problems</w:t>
      </w:r>
      <w:r w:rsidR="005C18A2" w:rsidRPr="00FE06F0">
        <w:rPr>
          <w:lang w:val="en-US" w:eastAsia="ko-KR"/>
        </w:rPr>
        <w:t xml:space="preserve"> </w:t>
      </w:r>
      <w:r w:rsidR="005C18A2" w:rsidRPr="00FE06F0">
        <w:rPr>
          <w:lang w:val="en-US" w:eastAsia="ko-KR"/>
        </w:rPr>
        <w:fldChar w:fldCharType="begin"/>
      </w:r>
      <w:r w:rsidR="005C18A2" w:rsidRPr="00FE06F0">
        <w:rPr>
          <w:lang w:val="en-US" w:eastAsia="ko-KR"/>
        </w:rPr>
        <w:instrText>ADDIN RW.CITE{{doc:5fb952bce4b0f62c104f35b5 Miley-Akerstedt,Anna 2018}}</w:instrText>
      </w:r>
      <w:r w:rsidR="005C18A2" w:rsidRPr="00FE06F0">
        <w:rPr>
          <w:lang w:val="en-US" w:eastAsia="ko-KR"/>
        </w:rPr>
        <w:fldChar w:fldCharType="separate"/>
      </w:r>
      <w:r w:rsidR="005C18A2" w:rsidRPr="00FE06F0">
        <w:rPr>
          <w:bCs/>
          <w:lang w:val="en-US" w:eastAsia="ko-KR"/>
        </w:rPr>
        <w:t>(Miley-Akerstedt et al., 2018)</w:t>
      </w:r>
      <w:r w:rsidR="005C18A2" w:rsidRPr="00FE06F0">
        <w:rPr>
          <w:lang w:val="en-US" w:eastAsia="ko-KR"/>
        </w:rPr>
        <w:fldChar w:fldCharType="end"/>
      </w:r>
      <w:r w:rsidRPr="00FE06F0">
        <w:rPr>
          <w:lang w:val="en-US" w:eastAsia="ko-KR"/>
        </w:rPr>
        <w:t xml:space="preserve">, older age  </w:t>
      </w:r>
      <w:r w:rsidR="005F0A03" w:rsidRPr="00FE06F0">
        <w:rPr>
          <w:lang w:val="en-US" w:eastAsia="ko-KR"/>
        </w:rPr>
        <w:fldChar w:fldCharType="begin"/>
      </w:r>
      <w:r w:rsidR="005F0A03" w:rsidRPr="00FE06F0">
        <w:rPr>
          <w:lang w:val="en-US" w:eastAsia="ko-KR"/>
        </w:rPr>
        <w:instrText>ADDIN RW.CITE{{doc:5fb952efe4b0f62c104f361c Newson,RachelS 2006}}</w:instrText>
      </w:r>
      <w:r w:rsidR="005F0A03" w:rsidRPr="00FE06F0">
        <w:rPr>
          <w:lang w:val="en-US" w:eastAsia="ko-KR"/>
        </w:rPr>
        <w:fldChar w:fldCharType="separate"/>
      </w:r>
      <w:r w:rsidR="001011A2" w:rsidRPr="00FE06F0">
        <w:rPr>
          <w:bCs/>
          <w:lang w:val="en-US" w:eastAsia="ko-KR"/>
        </w:rPr>
        <w:t>(Newson &amp; Kemps, 2006)</w:t>
      </w:r>
      <w:r w:rsidR="005F0A03" w:rsidRPr="00FE06F0">
        <w:rPr>
          <w:lang w:val="en-US" w:eastAsia="ko-KR"/>
        </w:rPr>
        <w:fldChar w:fldCharType="end"/>
      </w:r>
      <w:r w:rsidRPr="00FE06F0">
        <w:rPr>
          <w:lang w:val="en-US" w:eastAsia="ko-KR"/>
        </w:rPr>
        <w:t>, sex, personality</w:t>
      </w:r>
      <w:r w:rsidR="0001565B" w:rsidRPr="00FE06F0">
        <w:rPr>
          <w:lang w:val="en-US" w:eastAsia="ko-KR"/>
        </w:rPr>
        <w:t xml:space="preserve"> traits</w:t>
      </w:r>
      <w:r w:rsidR="005F0A03" w:rsidRPr="00FE06F0">
        <w:rPr>
          <w:lang w:val="en-US" w:eastAsia="ko-KR"/>
        </w:rPr>
        <w:t xml:space="preserve">, and menopause </w:t>
      </w:r>
      <w:r w:rsidR="00190212" w:rsidRPr="00FE06F0">
        <w:rPr>
          <w:lang w:val="en-US" w:eastAsia="ko-KR"/>
        </w:rPr>
        <w:fldChar w:fldCharType="begin"/>
      </w:r>
      <w:r w:rsidR="00190212" w:rsidRPr="00FE06F0">
        <w:rPr>
          <w:lang w:val="en-US" w:eastAsia="ko-KR"/>
        </w:rPr>
        <w:instrText>ADDIN RW.CITE{{doc:5fb95377e4b01429301c78e9 Flatt,JasonD 2018}}</w:instrText>
      </w:r>
      <w:r w:rsidR="00190212" w:rsidRPr="00FE06F0">
        <w:rPr>
          <w:lang w:val="en-US" w:eastAsia="ko-KR"/>
        </w:rPr>
        <w:fldChar w:fldCharType="separate"/>
      </w:r>
      <w:r w:rsidR="00190212" w:rsidRPr="00FE06F0">
        <w:rPr>
          <w:bCs/>
          <w:lang w:val="en-US" w:eastAsia="ko-KR"/>
        </w:rPr>
        <w:t>(Flatt et al., 2018)</w:t>
      </w:r>
      <w:r w:rsidR="00190212" w:rsidRPr="00FE06F0">
        <w:rPr>
          <w:lang w:val="en-US" w:eastAsia="ko-KR"/>
        </w:rPr>
        <w:fldChar w:fldCharType="end"/>
      </w:r>
      <w:r w:rsidRPr="00FE06F0">
        <w:rPr>
          <w:lang w:val="en-US" w:eastAsia="ko-KR"/>
        </w:rPr>
        <w:t>, as well as affective symp</w:t>
      </w:r>
      <w:r w:rsidR="00190212" w:rsidRPr="00FE06F0">
        <w:rPr>
          <w:lang w:val="en-US" w:eastAsia="ko-KR"/>
        </w:rPr>
        <w:t xml:space="preserve">toms (anxiety and depression) </w:t>
      </w:r>
      <w:r w:rsidR="00190212" w:rsidRPr="00FE06F0">
        <w:rPr>
          <w:lang w:val="en-US" w:eastAsia="ko-KR"/>
        </w:rPr>
        <w:fldChar w:fldCharType="begin"/>
      </w:r>
      <w:r w:rsidR="00190212" w:rsidRPr="00FE06F0">
        <w:rPr>
          <w:lang w:val="en-US" w:eastAsia="ko-KR"/>
        </w:rPr>
        <w:instrText>ADDIN RW.CITE{{doc:5fb9539ce4b0f62c104f36fa Hill,NikkiL 2016}}</w:instrText>
      </w:r>
      <w:r w:rsidR="00190212" w:rsidRPr="00FE06F0">
        <w:rPr>
          <w:lang w:val="en-US" w:eastAsia="ko-KR"/>
        </w:rPr>
        <w:fldChar w:fldCharType="separate"/>
      </w:r>
      <w:r w:rsidR="00190212" w:rsidRPr="00FE06F0">
        <w:rPr>
          <w:bCs/>
          <w:lang w:val="en-US" w:eastAsia="ko-KR"/>
        </w:rPr>
        <w:t>(Hill et al., 2016)</w:t>
      </w:r>
      <w:r w:rsidR="00190212" w:rsidRPr="00FE06F0">
        <w:rPr>
          <w:lang w:val="en-US" w:eastAsia="ko-KR"/>
        </w:rPr>
        <w:fldChar w:fldCharType="end"/>
      </w:r>
      <w:r w:rsidR="00190212" w:rsidRPr="00FE06F0">
        <w:rPr>
          <w:lang w:val="en-US" w:eastAsia="ko-KR"/>
        </w:rPr>
        <w:t xml:space="preserve">. </w:t>
      </w:r>
      <w:r w:rsidR="00902CFD" w:rsidRPr="00FE06F0">
        <w:rPr>
          <w:lang w:val="en-US" w:eastAsia="ko-KR"/>
        </w:rPr>
        <w:t>More recently, literature</w:t>
      </w:r>
      <w:r w:rsidRPr="00FE06F0">
        <w:rPr>
          <w:lang w:val="en-US" w:eastAsia="ko-KR"/>
        </w:rPr>
        <w:t xml:space="preserve"> </w:t>
      </w:r>
      <w:r w:rsidR="00902CFD" w:rsidRPr="00FE06F0">
        <w:rPr>
          <w:lang w:val="en-US" w:eastAsia="ko-KR"/>
        </w:rPr>
        <w:t xml:space="preserve">has emerged </w:t>
      </w:r>
      <w:r w:rsidR="00C93DE3" w:rsidRPr="00FE06F0">
        <w:rPr>
          <w:lang w:val="en-US" w:eastAsia="ko-KR"/>
        </w:rPr>
        <w:t xml:space="preserve">suggesting </w:t>
      </w:r>
      <w:r w:rsidRPr="00FE06F0">
        <w:rPr>
          <w:lang w:val="en-US" w:eastAsia="ko-KR"/>
        </w:rPr>
        <w:t xml:space="preserve">that lesbian, gay, </w:t>
      </w:r>
      <w:r w:rsidR="005B0CD8" w:rsidRPr="00FE06F0">
        <w:rPr>
          <w:lang w:val="en-US" w:eastAsia="ko-KR"/>
        </w:rPr>
        <w:t xml:space="preserve">and </w:t>
      </w:r>
      <w:r w:rsidRPr="00FE06F0">
        <w:rPr>
          <w:lang w:val="en-US" w:eastAsia="ko-KR"/>
        </w:rPr>
        <w:t>bisexual</w:t>
      </w:r>
      <w:r w:rsidR="005B0CD8" w:rsidRPr="00FE06F0">
        <w:rPr>
          <w:lang w:val="en-US" w:eastAsia="ko-KR"/>
        </w:rPr>
        <w:t>s</w:t>
      </w:r>
      <w:r w:rsidRPr="00FE06F0">
        <w:rPr>
          <w:lang w:val="en-US" w:eastAsia="ko-KR"/>
        </w:rPr>
        <w:t xml:space="preserve"> (</w:t>
      </w:r>
      <w:r w:rsidR="00AB4A73" w:rsidRPr="00FE06F0">
        <w:rPr>
          <w:lang w:val="en-US" w:eastAsia="ko-KR"/>
        </w:rPr>
        <w:t xml:space="preserve">i.e., </w:t>
      </w:r>
      <w:r w:rsidRPr="00FE06F0">
        <w:rPr>
          <w:lang w:val="en-US" w:eastAsia="ko-KR"/>
        </w:rPr>
        <w:t>sexual</w:t>
      </w:r>
      <w:r w:rsidR="00AB4A73" w:rsidRPr="00FE06F0">
        <w:rPr>
          <w:lang w:val="en-US" w:eastAsia="ko-KR"/>
        </w:rPr>
        <w:t xml:space="preserve"> minorities</w:t>
      </w:r>
      <w:r w:rsidRPr="00FE06F0">
        <w:rPr>
          <w:lang w:val="en-US" w:eastAsia="ko-KR"/>
        </w:rPr>
        <w:t xml:space="preserve">) may </w:t>
      </w:r>
      <w:r w:rsidRPr="00FE06F0">
        <w:rPr>
          <w:lang w:val="en-US" w:eastAsia="ko-KR"/>
        </w:rPr>
        <w:lastRenderedPageBreak/>
        <w:t>be at a greater risk of SCC. For example, in a recent study of 210 sexual minority US adults (mean age 59.6</w:t>
      </w:r>
      <w:r w:rsidR="00D12EC3" w:rsidRPr="00FE06F0">
        <w:rPr>
          <w:lang w:val="en-US" w:eastAsia="ko-KR"/>
        </w:rPr>
        <w:t xml:space="preserve"> years</w:t>
      </w:r>
      <w:r w:rsidRPr="00FE06F0">
        <w:rPr>
          <w:lang w:val="en-US" w:eastAsia="ko-KR"/>
        </w:rPr>
        <w:t>, SD=8.0)</w:t>
      </w:r>
      <w:r w:rsidR="0001565B" w:rsidRPr="00FE06F0">
        <w:rPr>
          <w:lang w:val="en-US" w:eastAsia="ko-KR"/>
        </w:rPr>
        <w:t>,</w:t>
      </w:r>
      <w:r w:rsidRPr="00FE06F0">
        <w:rPr>
          <w:lang w:val="en-US" w:eastAsia="ko-KR"/>
        </w:rPr>
        <w:t xml:space="preserve"> 25% of the sample</w:t>
      </w:r>
      <w:r w:rsidR="00190212" w:rsidRPr="00FE06F0">
        <w:rPr>
          <w:lang w:val="en-US" w:eastAsia="ko-KR"/>
        </w:rPr>
        <w:t xml:space="preserve"> were classified as having SCC </w:t>
      </w:r>
      <w:r w:rsidR="00190212" w:rsidRPr="00FE06F0">
        <w:rPr>
          <w:lang w:val="en-US" w:eastAsia="ko-KR"/>
        </w:rPr>
        <w:fldChar w:fldCharType="begin"/>
      </w:r>
      <w:r w:rsidR="00190212" w:rsidRPr="00FE06F0">
        <w:rPr>
          <w:lang w:val="en-US" w:eastAsia="ko-KR"/>
        </w:rPr>
        <w:instrText>ADDIN RW.CITE{{doc:5fb95377e4b01429301c78e9 Flatt,JasonD 2018}}</w:instrText>
      </w:r>
      <w:r w:rsidR="00190212" w:rsidRPr="00FE06F0">
        <w:rPr>
          <w:lang w:val="en-US" w:eastAsia="ko-KR"/>
        </w:rPr>
        <w:fldChar w:fldCharType="separate"/>
      </w:r>
      <w:r w:rsidR="00190212" w:rsidRPr="00FE06F0">
        <w:rPr>
          <w:bCs/>
          <w:lang w:val="en-US" w:eastAsia="ko-KR"/>
        </w:rPr>
        <w:t>(Flatt et al., 2018)</w:t>
      </w:r>
      <w:r w:rsidR="00190212" w:rsidRPr="00FE06F0">
        <w:rPr>
          <w:lang w:val="en-US" w:eastAsia="ko-KR"/>
        </w:rPr>
        <w:fldChar w:fldCharType="end"/>
      </w:r>
      <w:r w:rsidR="00190212" w:rsidRPr="00FE06F0">
        <w:rPr>
          <w:lang w:val="en-US" w:eastAsia="ko-KR"/>
        </w:rPr>
        <w:t xml:space="preserve">. </w:t>
      </w:r>
      <w:r w:rsidR="00740147" w:rsidRPr="00FE06F0">
        <w:rPr>
          <w:lang w:val="en-US" w:eastAsia="ko-KR"/>
        </w:rPr>
        <w:t xml:space="preserve">Another study identified that up to 50% of sexual minority older adults reported moderate to severe SCC, and rates were higher among </w:t>
      </w:r>
      <w:r w:rsidR="00902CFD" w:rsidRPr="00FE06F0">
        <w:rPr>
          <w:lang w:val="en-US" w:eastAsia="ko-KR"/>
        </w:rPr>
        <w:t xml:space="preserve">sexual minority </w:t>
      </w:r>
      <w:r w:rsidR="00740147" w:rsidRPr="00FE06F0">
        <w:rPr>
          <w:lang w:val="en-US" w:eastAsia="ko-KR"/>
        </w:rPr>
        <w:t>older adults who were racial/ethnic minorities</w:t>
      </w:r>
      <w:r w:rsidR="00EB148B" w:rsidRPr="00FE06F0">
        <w:rPr>
          <w:lang w:val="en-US" w:eastAsia="ko-KR"/>
        </w:rPr>
        <w:t xml:space="preserve"> </w:t>
      </w:r>
      <w:r w:rsidR="00EB148B" w:rsidRPr="00FE06F0">
        <w:rPr>
          <w:lang w:val="en-US" w:eastAsia="ko-KR"/>
        </w:rPr>
        <w:fldChar w:fldCharType="begin"/>
      </w:r>
      <w:r w:rsidR="00EB148B" w:rsidRPr="00FE06F0">
        <w:rPr>
          <w:lang w:val="en-US" w:eastAsia="ko-KR"/>
        </w:rPr>
        <w:instrText>ADDIN RW.CITE{{doc:5ffdd2f28f08f4b5ec2585a1 Fredriksen-Goldsen,KarenI 2018}}</w:instrText>
      </w:r>
      <w:r w:rsidR="00EB148B" w:rsidRPr="00FE06F0">
        <w:rPr>
          <w:lang w:val="en-US" w:eastAsia="ko-KR"/>
        </w:rPr>
        <w:fldChar w:fldCharType="separate"/>
      </w:r>
      <w:r w:rsidR="001011A2" w:rsidRPr="00FE06F0">
        <w:rPr>
          <w:bCs/>
          <w:lang w:val="en-US" w:eastAsia="ko-KR"/>
        </w:rPr>
        <w:t>(Fredriksen-Goldsen, Jen, Bryan, &amp; Goldsen, 2018)</w:t>
      </w:r>
      <w:r w:rsidR="00EB148B" w:rsidRPr="00FE06F0">
        <w:rPr>
          <w:lang w:val="en-US" w:eastAsia="ko-KR"/>
        </w:rPr>
        <w:fldChar w:fldCharType="end"/>
      </w:r>
      <w:r w:rsidR="00EB148B" w:rsidRPr="00FE06F0">
        <w:rPr>
          <w:lang w:val="en-US" w:eastAsia="ko-KR"/>
        </w:rPr>
        <w:t xml:space="preserve">. </w:t>
      </w:r>
      <w:r w:rsidRPr="00FE06F0">
        <w:rPr>
          <w:lang w:val="en-US" w:eastAsia="ko-KR"/>
        </w:rPr>
        <w:t>There is a scarcity of other data to confirm or refute this finding and thus</w:t>
      </w:r>
      <w:r w:rsidR="0001565B" w:rsidRPr="00FE06F0">
        <w:rPr>
          <w:lang w:val="en-US" w:eastAsia="ko-KR"/>
        </w:rPr>
        <w:t>,</w:t>
      </w:r>
      <w:r w:rsidRPr="00FE06F0">
        <w:rPr>
          <w:lang w:val="en-US" w:eastAsia="ko-KR"/>
        </w:rPr>
        <w:t xml:space="preserve"> there is a clear need for further research in this area. </w:t>
      </w:r>
    </w:p>
    <w:p w14:paraId="45872AE0" w14:textId="77777777" w:rsidR="0001565B" w:rsidRPr="00FE06F0" w:rsidRDefault="0001565B" w:rsidP="00E47867">
      <w:pPr>
        <w:spacing w:line="480" w:lineRule="auto"/>
        <w:jc w:val="both"/>
        <w:rPr>
          <w:lang w:val="en-US" w:eastAsia="ko-KR"/>
        </w:rPr>
      </w:pPr>
    </w:p>
    <w:p w14:paraId="0F9C3F33" w14:textId="54193D90" w:rsidR="00E47867" w:rsidRPr="00FE06F0" w:rsidRDefault="00E47867" w:rsidP="00E47867">
      <w:pPr>
        <w:spacing w:line="480" w:lineRule="auto"/>
        <w:jc w:val="both"/>
        <w:rPr>
          <w:lang w:val="en-US" w:eastAsia="ko-KR"/>
        </w:rPr>
      </w:pPr>
      <w:r w:rsidRPr="00FE06F0">
        <w:rPr>
          <w:lang w:val="en-US" w:eastAsia="ko-KR"/>
        </w:rPr>
        <w:t xml:space="preserve">Sexual minorities may be at greater risk of SCC for several reasons. </w:t>
      </w:r>
      <w:r w:rsidR="00047224" w:rsidRPr="00FE06F0">
        <w:rPr>
          <w:lang w:val="en-US" w:eastAsia="ko-KR"/>
        </w:rPr>
        <w:t>W</w:t>
      </w:r>
      <w:r w:rsidRPr="00FE06F0">
        <w:rPr>
          <w:lang w:val="en-US" w:eastAsia="ko-KR"/>
        </w:rPr>
        <w:t>hen considering identified correlates of SCC</w:t>
      </w:r>
      <w:r w:rsidR="0001565B" w:rsidRPr="00FE06F0">
        <w:rPr>
          <w:lang w:val="en-US" w:eastAsia="ko-KR"/>
        </w:rPr>
        <w:t>,</w:t>
      </w:r>
      <w:r w:rsidRPr="00FE06F0">
        <w:rPr>
          <w:lang w:val="en-US" w:eastAsia="ko-KR"/>
        </w:rPr>
        <w:t xml:space="preserve"> sexual minorities have been found to hav</w:t>
      </w:r>
      <w:r w:rsidR="00190212" w:rsidRPr="00FE06F0">
        <w:rPr>
          <w:lang w:val="en-US" w:eastAsia="ko-KR"/>
        </w:rPr>
        <w:t xml:space="preserve">e high levels of sleep problems </w:t>
      </w:r>
      <w:r w:rsidR="00190212" w:rsidRPr="00FE06F0">
        <w:rPr>
          <w:lang w:val="en-US" w:eastAsia="ko-KR"/>
        </w:rPr>
        <w:fldChar w:fldCharType="begin"/>
      </w:r>
      <w:r w:rsidR="00190212" w:rsidRPr="00FE06F0">
        <w:rPr>
          <w:lang w:val="en-US" w:eastAsia="ko-KR"/>
        </w:rPr>
        <w:instrText>ADDIN RW.CITE{{doc:5fb9543fe4b01429301c790e Butler,ElianaS 2020}}</w:instrText>
      </w:r>
      <w:r w:rsidR="00190212" w:rsidRPr="00FE06F0">
        <w:rPr>
          <w:lang w:val="en-US" w:eastAsia="ko-KR"/>
        </w:rPr>
        <w:fldChar w:fldCharType="separate"/>
      </w:r>
      <w:r w:rsidR="001011A2" w:rsidRPr="00FE06F0">
        <w:rPr>
          <w:bCs/>
          <w:lang w:val="en-US" w:eastAsia="ko-KR"/>
        </w:rPr>
        <w:t>(Butler, McGlinchey, &amp; Juster, 2020)</w:t>
      </w:r>
      <w:r w:rsidR="00190212" w:rsidRPr="00FE06F0">
        <w:rPr>
          <w:lang w:val="en-US" w:eastAsia="ko-KR"/>
        </w:rPr>
        <w:fldChar w:fldCharType="end"/>
      </w:r>
      <w:r w:rsidR="00190212" w:rsidRPr="00FE06F0">
        <w:rPr>
          <w:lang w:val="en-US" w:eastAsia="ko-KR"/>
        </w:rPr>
        <w:t>, anxiety</w:t>
      </w:r>
      <w:r w:rsidR="00284A0D" w:rsidRPr="00FE06F0">
        <w:rPr>
          <w:lang w:val="en-US" w:eastAsia="ko-KR"/>
        </w:rPr>
        <w:t xml:space="preserve"> </w:t>
      </w:r>
      <w:r w:rsidR="00284A0D" w:rsidRPr="00FE06F0">
        <w:rPr>
          <w:lang w:val="en-US" w:eastAsia="ko-KR"/>
        </w:rPr>
        <w:fldChar w:fldCharType="begin"/>
      </w:r>
      <w:r w:rsidR="00284A0D" w:rsidRPr="00FE06F0">
        <w:rPr>
          <w:lang w:val="en-US" w:eastAsia="ko-KR"/>
        </w:rPr>
        <w:instrText>ADDIN RW.CITE{{doc:5fb95519e4b0f62c104f373a Hayes-Skelton,SarahA 2020}}</w:instrText>
      </w:r>
      <w:r w:rsidR="00284A0D" w:rsidRPr="00FE06F0">
        <w:rPr>
          <w:lang w:val="en-US" w:eastAsia="ko-KR"/>
        </w:rPr>
        <w:fldChar w:fldCharType="separate"/>
      </w:r>
      <w:r w:rsidR="001011A2" w:rsidRPr="00FE06F0">
        <w:rPr>
          <w:bCs/>
          <w:lang w:val="en-US" w:eastAsia="ko-KR"/>
        </w:rPr>
        <w:t>(Hayes-Skelton &amp; Pantalone, 2020)</w:t>
      </w:r>
      <w:r w:rsidR="00284A0D" w:rsidRPr="00FE06F0">
        <w:rPr>
          <w:lang w:val="en-US" w:eastAsia="ko-KR"/>
        </w:rPr>
        <w:fldChar w:fldCharType="end"/>
      </w:r>
      <w:r w:rsidR="00284A0D" w:rsidRPr="00FE06F0">
        <w:rPr>
          <w:lang w:val="en-US" w:eastAsia="ko-KR"/>
        </w:rPr>
        <w:t xml:space="preserve"> </w:t>
      </w:r>
      <w:r w:rsidR="0022558F" w:rsidRPr="00FE06F0">
        <w:rPr>
          <w:lang w:val="en-US" w:eastAsia="ko-KR"/>
        </w:rPr>
        <w:t xml:space="preserve">and stress </w:t>
      </w:r>
      <w:r w:rsidR="0022558F" w:rsidRPr="00FE06F0">
        <w:rPr>
          <w:lang w:val="en-US" w:eastAsia="ko-KR"/>
        </w:rPr>
        <w:fldChar w:fldCharType="begin"/>
      </w:r>
      <w:r w:rsidR="0022558F" w:rsidRPr="00FE06F0">
        <w:rPr>
          <w:lang w:val="en-US" w:eastAsia="ko-KR"/>
        </w:rPr>
        <w:instrText>ADDIN RW.CITE{{doc:5fb95633e4b0f62c104f3777 Dentato,MichaelP. 2012}}</w:instrText>
      </w:r>
      <w:r w:rsidR="0022558F" w:rsidRPr="00FE06F0">
        <w:rPr>
          <w:lang w:val="en-US" w:eastAsia="ko-KR"/>
        </w:rPr>
        <w:fldChar w:fldCharType="separate"/>
      </w:r>
      <w:r w:rsidR="0022558F" w:rsidRPr="00FE06F0">
        <w:rPr>
          <w:bCs/>
          <w:lang w:val="en-US" w:eastAsia="ko-KR"/>
        </w:rPr>
        <w:t>(Dentato, 2012)</w:t>
      </w:r>
      <w:r w:rsidR="0022558F" w:rsidRPr="00FE06F0">
        <w:rPr>
          <w:lang w:val="en-US" w:eastAsia="ko-KR"/>
        </w:rPr>
        <w:fldChar w:fldCharType="end"/>
      </w:r>
      <w:r w:rsidR="0022558F" w:rsidRPr="00FE06F0">
        <w:rPr>
          <w:lang w:val="en-US" w:eastAsia="ko-KR"/>
        </w:rPr>
        <w:t xml:space="preserve"> </w:t>
      </w:r>
      <w:r w:rsidR="00F061C1" w:rsidRPr="00FE06F0">
        <w:rPr>
          <w:lang w:val="en-US" w:eastAsia="ko-KR"/>
        </w:rPr>
        <w:t xml:space="preserve">due to experiences of prejudice, discrimination and </w:t>
      </w:r>
      <w:r w:rsidR="005B0CD8" w:rsidRPr="00FE06F0">
        <w:rPr>
          <w:lang w:val="en-US" w:eastAsia="ko-KR"/>
        </w:rPr>
        <w:t>victimization.</w:t>
      </w:r>
      <w:r w:rsidRPr="00FE06F0">
        <w:rPr>
          <w:lang w:val="en-US" w:eastAsia="ko-KR"/>
        </w:rPr>
        <w:t xml:space="preserve"> It is therefore possible that such correlates may be </w:t>
      </w:r>
      <w:r w:rsidR="00F061C1" w:rsidRPr="00FE06F0">
        <w:rPr>
          <w:lang w:val="en-US" w:eastAsia="ko-KR"/>
        </w:rPr>
        <w:t xml:space="preserve">associated with </w:t>
      </w:r>
      <w:r w:rsidRPr="00FE06F0">
        <w:rPr>
          <w:lang w:val="en-US" w:eastAsia="ko-KR"/>
        </w:rPr>
        <w:t xml:space="preserve">higher levels of SCC in sexual minorities. </w:t>
      </w:r>
    </w:p>
    <w:p w14:paraId="78314CD5" w14:textId="77777777" w:rsidR="00E47867" w:rsidRPr="00FE06F0" w:rsidRDefault="00E47867" w:rsidP="00E47867">
      <w:pPr>
        <w:spacing w:line="480" w:lineRule="auto"/>
        <w:jc w:val="both"/>
        <w:rPr>
          <w:lang w:val="en-US" w:eastAsia="ko-KR"/>
        </w:rPr>
      </w:pPr>
    </w:p>
    <w:p w14:paraId="1B937405" w14:textId="177A9C7B" w:rsidR="00E47867" w:rsidRPr="00FE06F0" w:rsidRDefault="00E47867" w:rsidP="005E0EDD">
      <w:pPr>
        <w:spacing w:line="480" w:lineRule="auto"/>
        <w:jc w:val="both"/>
        <w:rPr>
          <w:lang w:val="en-US" w:eastAsia="ko-KR"/>
        </w:rPr>
      </w:pPr>
      <w:r w:rsidRPr="00FE06F0">
        <w:rPr>
          <w:lang w:val="en-US" w:eastAsia="ko-KR"/>
        </w:rPr>
        <w:t xml:space="preserve">Therefore, the aim of the </w:t>
      </w:r>
      <w:r w:rsidR="00F061C1" w:rsidRPr="00FE06F0">
        <w:rPr>
          <w:lang w:val="en-US" w:eastAsia="ko-KR"/>
        </w:rPr>
        <w:t xml:space="preserve">current </w:t>
      </w:r>
      <w:r w:rsidRPr="00FE06F0">
        <w:rPr>
          <w:lang w:val="en-US" w:eastAsia="ko-KR"/>
        </w:rPr>
        <w:t xml:space="preserve">study was to investigate the association between identifying as a sexual minority and SCC in a large sample of adults from England. The study further aimed to identify </w:t>
      </w:r>
      <w:r w:rsidR="0001565B" w:rsidRPr="00FE06F0">
        <w:rPr>
          <w:lang w:val="en-US" w:eastAsia="ko-KR"/>
        </w:rPr>
        <w:t xml:space="preserve">the extent to which the </w:t>
      </w:r>
      <w:r w:rsidRPr="00FE06F0">
        <w:rPr>
          <w:lang w:val="en-US" w:eastAsia="ko-KR"/>
        </w:rPr>
        <w:t>association could be explained by</w:t>
      </w:r>
      <w:r w:rsidR="00DE4455" w:rsidRPr="00FE06F0">
        <w:rPr>
          <w:lang w:val="en-US" w:eastAsia="ko-KR"/>
        </w:rPr>
        <w:t xml:space="preserve"> several behavioral</w:t>
      </w:r>
      <w:r w:rsidR="007A5E42" w:rsidRPr="00FE06F0">
        <w:rPr>
          <w:lang w:val="en-US" w:eastAsia="ko-KR"/>
        </w:rPr>
        <w:t xml:space="preserve">, </w:t>
      </w:r>
      <w:proofErr w:type="gramStart"/>
      <w:r w:rsidR="00DE4455" w:rsidRPr="00FE06F0">
        <w:rPr>
          <w:lang w:val="en-US" w:eastAsia="ko-KR"/>
        </w:rPr>
        <w:t>psychological</w:t>
      </w:r>
      <w:proofErr w:type="gramEnd"/>
      <w:r w:rsidR="00DE4455" w:rsidRPr="00FE06F0">
        <w:rPr>
          <w:lang w:val="en-US" w:eastAsia="ko-KR"/>
        </w:rPr>
        <w:t xml:space="preserve"> and clinical factors</w:t>
      </w:r>
      <w:r w:rsidR="007A5E42" w:rsidRPr="00FE06F0">
        <w:rPr>
          <w:lang w:val="en-US" w:eastAsia="ko-KR"/>
        </w:rPr>
        <w:t>.</w:t>
      </w:r>
    </w:p>
    <w:p w14:paraId="4287F518" w14:textId="77777777" w:rsidR="00DE4455" w:rsidRPr="00FE06F0" w:rsidRDefault="00DE4455" w:rsidP="005E0EDD">
      <w:pPr>
        <w:spacing w:line="480" w:lineRule="auto"/>
        <w:jc w:val="both"/>
        <w:rPr>
          <w:lang w:val="en-US" w:eastAsia="ko-KR"/>
        </w:rPr>
      </w:pPr>
    </w:p>
    <w:p w14:paraId="12187220" w14:textId="277805EC" w:rsidR="00AA7DB3" w:rsidRPr="00FE06F0" w:rsidRDefault="00D32FA8" w:rsidP="0090415D">
      <w:pPr>
        <w:pStyle w:val="Heading1"/>
        <w:rPr>
          <w:lang w:val="en-US"/>
        </w:rPr>
      </w:pPr>
      <w:r w:rsidRPr="00FE06F0">
        <w:rPr>
          <w:lang w:val="en-US"/>
        </w:rPr>
        <w:t>Methods</w:t>
      </w:r>
    </w:p>
    <w:p w14:paraId="00EA19C3" w14:textId="77777777" w:rsidR="000E4A1B" w:rsidRPr="00FE06F0" w:rsidRDefault="000E4A1B" w:rsidP="0090415D">
      <w:pPr>
        <w:pStyle w:val="Heading2"/>
        <w:rPr>
          <w:i w:val="0"/>
          <w:lang w:val="en-US"/>
        </w:rPr>
      </w:pPr>
      <w:r w:rsidRPr="00FE06F0">
        <w:rPr>
          <w:lang w:val="en-US"/>
        </w:rPr>
        <w:t>Study participants</w:t>
      </w:r>
    </w:p>
    <w:p w14:paraId="2FEAFCD2" w14:textId="0C40C976" w:rsidR="000E4A1B" w:rsidRPr="00FE06F0" w:rsidRDefault="004727D5" w:rsidP="000E4A1B">
      <w:pPr>
        <w:spacing w:line="480" w:lineRule="auto"/>
        <w:jc w:val="both"/>
        <w:rPr>
          <w:lang w:val="en-US"/>
        </w:rPr>
      </w:pPr>
      <w:r w:rsidRPr="00FE06F0">
        <w:rPr>
          <w:lang w:val="en-US"/>
        </w:rPr>
        <w:t xml:space="preserve">Data from the </w:t>
      </w:r>
      <w:r w:rsidR="000E4A1B" w:rsidRPr="00FE06F0">
        <w:rPr>
          <w:lang w:val="en-US"/>
        </w:rPr>
        <w:t>2007 Adult Psychiatric Morbidity Survey (APMS)</w:t>
      </w:r>
      <w:r w:rsidRPr="00FE06F0">
        <w:rPr>
          <w:lang w:val="en-US"/>
        </w:rPr>
        <w:t xml:space="preserve"> were used for this study</w:t>
      </w:r>
      <w:r w:rsidR="000E4A1B" w:rsidRPr="00FE06F0">
        <w:rPr>
          <w:lang w:val="en-US"/>
        </w:rPr>
        <w:t xml:space="preserve">. </w:t>
      </w:r>
      <w:r w:rsidRPr="00FE06F0">
        <w:rPr>
          <w:lang w:val="en-US"/>
        </w:rPr>
        <w:t xml:space="preserve">The survey has </w:t>
      </w:r>
      <w:r w:rsidR="003F374F" w:rsidRPr="00FE06F0">
        <w:rPr>
          <w:lang w:val="en-US"/>
        </w:rPr>
        <w:t xml:space="preserve">already </w:t>
      </w:r>
      <w:r w:rsidRPr="00FE06F0">
        <w:rPr>
          <w:lang w:val="en-US"/>
        </w:rPr>
        <w:t>been extensively described in the literature</w:t>
      </w:r>
      <w:r w:rsidR="001A53F4" w:rsidRPr="00FE06F0">
        <w:rPr>
          <w:lang w:val="en-US"/>
        </w:rPr>
        <w:t xml:space="preserve"> </w:t>
      </w:r>
      <w:r w:rsidR="001A53F4" w:rsidRPr="00FE06F0">
        <w:rPr>
          <w:lang w:val="en-US"/>
        </w:rPr>
        <w:fldChar w:fldCharType="begin"/>
      </w:r>
      <w:r w:rsidR="00223132" w:rsidRPr="00FE06F0">
        <w:rPr>
          <w:lang w:val="en-US"/>
        </w:rPr>
        <w:instrText>ADDIN RW.CITE{{doc:5fb95a79e4b06d8a9514094f Jenkins,Rachel 2009; doc:5fb95ddce4b0eeecca6cec2d NHSDigital 2009}}</w:instrText>
      </w:r>
      <w:r w:rsidR="001A53F4" w:rsidRPr="00FE06F0">
        <w:rPr>
          <w:lang w:val="en-US"/>
        </w:rPr>
        <w:fldChar w:fldCharType="separate"/>
      </w:r>
      <w:r w:rsidR="00EB148B" w:rsidRPr="00FE06F0">
        <w:rPr>
          <w:bCs/>
          <w:lang w:val="en-US"/>
        </w:rPr>
        <w:t>(Jenkins et al., 2009; NHS Digital, 2009)</w:t>
      </w:r>
      <w:r w:rsidR="001A53F4" w:rsidRPr="00FE06F0">
        <w:rPr>
          <w:lang w:val="en-US"/>
        </w:rPr>
        <w:fldChar w:fldCharType="end"/>
      </w:r>
      <w:r w:rsidR="00223132" w:rsidRPr="00FE06F0">
        <w:rPr>
          <w:lang w:val="en-US"/>
        </w:rPr>
        <w:t xml:space="preserve">. </w:t>
      </w:r>
      <w:r w:rsidR="003F374F" w:rsidRPr="00FE06F0">
        <w:rPr>
          <w:lang w:val="en-US"/>
        </w:rPr>
        <w:t>Succinctly, t</w:t>
      </w:r>
      <w:r w:rsidRPr="00FE06F0">
        <w:rPr>
          <w:lang w:val="en-US"/>
        </w:rPr>
        <w:t>he APMS survey</w:t>
      </w:r>
      <w:r w:rsidR="000E4A1B" w:rsidRPr="00FE06F0">
        <w:rPr>
          <w:lang w:val="en-US"/>
        </w:rPr>
        <w:t xml:space="preserve"> </w:t>
      </w:r>
      <w:r w:rsidR="00EC2B55" w:rsidRPr="00FE06F0">
        <w:rPr>
          <w:lang w:val="en-US"/>
        </w:rPr>
        <w:t>was</w:t>
      </w:r>
      <w:r w:rsidRPr="00FE06F0">
        <w:rPr>
          <w:lang w:val="en-US"/>
        </w:rPr>
        <w:t xml:space="preserve"> a</w:t>
      </w:r>
      <w:r w:rsidR="000E4A1B" w:rsidRPr="00FE06F0">
        <w:rPr>
          <w:lang w:val="en-US"/>
        </w:rPr>
        <w:t xml:space="preserve"> nationally representative survey of </w:t>
      </w:r>
      <w:r w:rsidRPr="00FE06F0">
        <w:rPr>
          <w:lang w:val="en-US"/>
        </w:rPr>
        <w:t xml:space="preserve">adults </w:t>
      </w:r>
      <w:r w:rsidRPr="00FE06F0">
        <w:rPr>
          <w:lang w:val="en-US"/>
        </w:rPr>
        <w:lastRenderedPageBreak/>
        <w:t>aged</w:t>
      </w:r>
      <w:r w:rsidR="00DB2804" w:rsidRPr="00FE06F0">
        <w:rPr>
          <w:lang w:val="en-US"/>
        </w:rPr>
        <w:t xml:space="preserve"> </w:t>
      </w:r>
      <w:r w:rsidRPr="00FE06F0">
        <w:rPr>
          <w:lang w:val="en-US"/>
        </w:rPr>
        <w:t>≥16 years living in private households in England</w:t>
      </w:r>
      <w:r w:rsidR="000E4A1B" w:rsidRPr="00FE06F0">
        <w:rPr>
          <w:lang w:val="en-US"/>
        </w:rPr>
        <w:t xml:space="preserve">. </w:t>
      </w:r>
      <w:r w:rsidR="00EC2B55" w:rsidRPr="00FE06F0">
        <w:rPr>
          <w:lang w:val="en-US"/>
        </w:rPr>
        <w:t xml:space="preserve">The survey fieldwork was undertaken by the </w:t>
      </w:r>
      <w:r w:rsidR="000E4A1B" w:rsidRPr="00FE06F0">
        <w:rPr>
          <w:lang w:val="en-US"/>
        </w:rPr>
        <w:t xml:space="preserve">National Center for Social Research and Leicester University </w:t>
      </w:r>
      <w:r w:rsidR="00EC2B55" w:rsidRPr="00FE06F0">
        <w:rPr>
          <w:lang w:val="en-US"/>
        </w:rPr>
        <w:t>between</w:t>
      </w:r>
      <w:r w:rsidR="000E4A1B" w:rsidRPr="00FE06F0">
        <w:rPr>
          <w:lang w:val="en-US"/>
        </w:rPr>
        <w:t xml:space="preserve"> October 2006 </w:t>
      </w:r>
      <w:r w:rsidR="00EC2B55" w:rsidRPr="00FE06F0">
        <w:rPr>
          <w:lang w:val="en-US"/>
        </w:rPr>
        <w:t>and</w:t>
      </w:r>
      <w:r w:rsidR="000E4A1B" w:rsidRPr="00FE06F0">
        <w:rPr>
          <w:lang w:val="en-US"/>
        </w:rPr>
        <w:t xml:space="preserve"> December 2007</w:t>
      </w:r>
      <w:r w:rsidR="00EC2B55" w:rsidRPr="00FE06F0">
        <w:rPr>
          <w:lang w:val="en-US"/>
        </w:rPr>
        <w:t>.</w:t>
      </w:r>
      <w:r w:rsidR="000E4A1B" w:rsidRPr="00FE06F0">
        <w:rPr>
          <w:lang w:val="en-US"/>
        </w:rPr>
        <w:t xml:space="preserve"> </w:t>
      </w:r>
      <w:r w:rsidR="00EC2B55" w:rsidRPr="00FE06F0">
        <w:rPr>
          <w:lang w:val="en-US"/>
        </w:rPr>
        <w:t>A</w:t>
      </w:r>
      <w:r w:rsidR="000E4A1B" w:rsidRPr="00FE06F0">
        <w:rPr>
          <w:lang w:val="en-US"/>
        </w:rPr>
        <w:t xml:space="preserve"> multistage stratified probability sampling design </w:t>
      </w:r>
      <w:r w:rsidR="00EC2B55" w:rsidRPr="00FE06F0">
        <w:rPr>
          <w:lang w:val="en-US"/>
        </w:rPr>
        <w:t>was used with</w:t>
      </w:r>
      <w:r w:rsidR="000E4A1B" w:rsidRPr="00FE06F0">
        <w:rPr>
          <w:lang w:val="en-US"/>
        </w:rPr>
        <w:t xml:space="preserve"> the sampling frame consist</w:t>
      </w:r>
      <w:r w:rsidR="00EC2B55" w:rsidRPr="00FE06F0">
        <w:rPr>
          <w:lang w:val="en-US"/>
        </w:rPr>
        <w:t>ing</w:t>
      </w:r>
      <w:r w:rsidR="000E4A1B" w:rsidRPr="00FE06F0">
        <w:rPr>
          <w:lang w:val="en-US"/>
        </w:rPr>
        <w:t xml:space="preserve"> of the small user postcode address file</w:t>
      </w:r>
      <w:r w:rsidR="00EC2B55" w:rsidRPr="00FE06F0">
        <w:rPr>
          <w:lang w:val="en-US"/>
        </w:rPr>
        <w:t xml:space="preserve"> and </w:t>
      </w:r>
      <w:r w:rsidR="000E4A1B" w:rsidRPr="00FE06F0">
        <w:rPr>
          <w:lang w:val="en-US"/>
        </w:rPr>
        <w:t xml:space="preserve">the primary sampling units </w:t>
      </w:r>
      <w:r w:rsidR="00EC2B55" w:rsidRPr="00FE06F0">
        <w:rPr>
          <w:lang w:val="en-US"/>
        </w:rPr>
        <w:t>corresponding to</w:t>
      </w:r>
      <w:r w:rsidR="000E4A1B" w:rsidRPr="00FE06F0">
        <w:rPr>
          <w:lang w:val="en-US"/>
        </w:rPr>
        <w:t xml:space="preserve"> postcode sectors. </w:t>
      </w:r>
      <w:r w:rsidR="00EC2B55" w:rsidRPr="00FE06F0">
        <w:rPr>
          <w:lang w:val="en-US"/>
        </w:rPr>
        <w:t xml:space="preserve">Face-to-face interviews were conducted to obtain participant information, while some data were self-completed with the use of a computer. </w:t>
      </w:r>
      <w:r w:rsidR="00441BE1" w:rsidRPr="00FE06F0">
        <w:rPr>
          <w:lang w:val="en-US"/>
        </w:rPr>
        <w:t xml:space="preserve">Sample weights were constructed to obtain a nationally representative sample, and these weights accounted for non-response and the probability of being selected. The response rate of the survey was 57%. </w:t>
      </w:r>
      <w:r w:rsidR="00DB2804" w:rsidRPr="00FE06F0">
        <w:rPr>
          <w:lang w:val="en-US"/>
        </w:rPr>
        <w:t>Finally, i</w:t>
      </w:r>
      <w:r w:rsidR="00441BE1" w:rsidRPr="00FE06F0">
        <w:rPr>
          <w:lang w:val="en-US"/>
        </w:rPr>
        <w:t xml:space="preserve">nformed consent was obtained for all participants, and ethical permission for the study was </w:t>
      </w:r>
      <w:r w:rsidR="000E4A1B" w:rsidRPr="00FE06F0">
        <w:rPr>
          <w:lang w:val="en-US"/>
        </w:rPr>
        <w:t xml:space="preserve">obtained from the Royal Free Hospital and Medical School Research Ethics Committee. </w:t>
      </w:r>
    </w:p>
    <w:p w14:paraId="0BF8DDC2" w14:textId="65600F8D" w:rsidR="0067062F" w:rsidRPr="00FE06F0" w:rsidRDefault="0067062F" w:rsidP="000E4A1B">
      <w:pPr>
        <w:spacing w:line="480" w:lineRule="auto"/>
        <w:jc w:val="both"/>
        <w:rPr>
          <w:lang w:val="en-US"/>
        </w:rPr>
      </w:pPr>
    </w:p>
    <w:p w14:paraId="31417747" w14:textId="32F77FB4" w:rsidR="0067062F" w:rsidRPr="00FE06F0" w:rsidRDefault="0067062F" w:rsidP="0090415D">
      <w:pPr>
        <w:pStyle w:val="Heading2"/>
        <w:rPr>
          <w:lang w:val="en-US"/>
        </w:rPr>
      </w:pPr>
      <w:r w:rsidRPr="00FE06F0">
        <w:rPr>
          <w:lang w:val="en-US"/>
        </w:rPr>
        <w:t>Measures</w:t>
      </w:r>
    </w:p>
    <w:p w14:paraId="20FFAEDD" w14:textId="77777777" w:rsidR="0067062F" w:rsidRPr="00FE06F0" w:rsidRDefault="0067062F" w:rsidP="0090415D">
      <w:pPr>
        <w:pStyle w:val="Heading3"/>
        <w:rPr>
          <w:i w:val="0"/>
          <w:lang w:val="en-US"/>
        </w:rPr>
      </w:pPr>
      <w:r w:rsidRPr="00FE06F0">
        <w:rPr>
          <w:lang w:val="en-US"/>
        </w:rPr>
        <w:t>Sexual orientation (independent variable)</w:t>
      </w:r>
    </w:p>
    <w:p w14:paraId="0BE4298F" w14:textId="6F107752" w:rsidR="0067062F" w:rsidRPr="00FE06F0" w:rsidRDefault="0067062F" w:rsidP="0067062F">
      <w:pPr>
        <w:spacing w:line="480" w:lineRule="auto"/>
        <w:jc w:val="both"/>
        <w:rPr>
          <w:lang w:val="en-US"/>
        </w:rPr>
      </w:pPr>
      <w:r w:rsidRPr="00FE06F0">
        <w:rPr>
          <w:lang w:val="en-US"/>
        </w:rPr>
        <w:t xml:space="preserve">Two items adapted from the Kinsey scale were used to assess sexual orientation: (a) “Which statement best describes your sexual orientation? This means sexual feelings, whether or not you have had any sexual partners.” with answer options “entirely heterosexual”, “mostly heterosexual”, “bisexual”, “mostly homosexual”, “entirely homosexual”, and “other”; and (b) “Please choose the answer below that best describes how you currently think of yourself...” with answer options “completely heterosexual”, “mainly heterosexual”, “bisexual”, “mainly gay or lesbian”, “completely gay or lesbian”, and “other”. Initially, </w:t>
      </w:r>
      <w:r w:rsidR="00844383" w:rsidRPr="00FE06F0">
        <w:rPr>
          <w:lang w:val="en-US"/>
        </w:rPr>
        <w:t xml:space="preserve">the aim of </w:t>
      </w:r>
      <w:r w:rsidRPr="00FE06F0">
        <w:rPr>
          <w:lang w:val="en-US"/>
        </w:rPr>
        <w:t xml:space="preserve">these two items </w:t>
      </w:r>
      <w:r w:rsidR="00844383" w:rsidRPr="00FE06F0">
        <w:rPr>
          <w:lang w:val="en-US"/>
        </w:rPr>
        <w:t>was to investigate</w:t>
      </w:r>
      <w:r w:rsidRPr="00FE06F0">
        <w:rPr>
          <w:lang w:val="en-US"/>
        </w:rPr>
        <w:t xml:space="preserve"> the impact of question wording and format on the proportion of sexual minority </w:t>
      </w:r>
      <w:r w:rsidR="00844383" w:rsidRPr="00FE06F0">
        <w:rPr>
          <w:lang w:val="en-US"/>
        </w:rPr>
        <w:t xml:space="preserve">orientation </w:t>
      </w:r>
      <w:r w:rsidRPr="00FE06F0">
        <w:rPr>
          <w:lang w:val="en-US"/>
        </w:rPr>
        <w:t xml:space="preserve">in the overall population, and participants were therefore randomly allocated item (a) and item (b). In line with previous research </w:t>
      </w:r>
      <w:r w:rsidR="00223132" w:rsidRPr="00FE06F0">
        <w:rPr>
          <w:lang w:val="en-US"/>
        </w:rPr>
        <w:fldChar w:fldCharType="begin"/>
      </w:r>
      <w:r w:rsidR="00223132" w:rsidRPr="00FE06F0">
        <w:rPr>
          <w:lang w:val="en-US"/>
        </w:rPr>
        <w:instrText>ADDIN RW.CITE{{doc:5fb95f4be4b01e91510af24a Jacob,Louis 2019}}</w:instrText>
      </w:r>
      <w:r w:rsidR="00223132" w:rsidRPr="00FE06F0">
        <w:rPr>
          <w:lang w:val="en-US"/>
        </w:rPr>
        <w:fldChar w:fldCharType="separate"/>
      </w:r>
      <w:r w:rsidR="00EB148B" w:rsidRPr="00FE06F0">
        <w:rPr>
          <w:bCs/>
          <w:lang w:val="en-US"/>
        </w:rPr>
        <w:t>(Jacob et al., 2019)</w:t>
      </w:r>
      <w:r w:rsidR="00223132" w:rsidRPr="00FE06F0">
        <w:rPr>
          <w:lang w:val="en-US"/>
        </w:rPr>
        <w:fldChar w:fldCharType="end"/>
      </w:r>
      <w:r w:rsidRPr="00FE06F0">
        <w:rPr>
          <w:lang w:val="en-US"/>
        </w:rPr>
        <w:t xml:space="preserve">, </w:t>
      </w:r>
      <w:r w:rsidR="007A5E42" w:rsidRPr="00FE06F0">
        <w:rPr>
          <w:lang w:val="en-US"/>
        </w:rPr>
        <w:t xml:space="preserve">we created a dichotomous variable on </w:t>
      </w:r>
      <w:r w:rsidRPr="00FE06F0">
        <w:rPr>
          <w:lang w:val="en-US"/>
        </w:rPr>
        <w:t>sexual orientation (heterosexual or sexual minority). Heterosexual</w:t>
      </w:r>
      <w:r w:rsidR="00AB4A73" w:rsidRPr="00FE06F0">
        <w:rPr>
          <w:lang w:val="en-US"/>
        </w:rPr>
        <w:t xml:space="preserve">ity </w:t>
      </w:r>
      <w:r w:rsidRPr="00FE06F0">
        <w:rPr>
          <w:lang w:val="en-US"/>
        </w:rPr>
        <w:t xml:space="preserve">corresponded to “entirely heterosexual” </w:t>
      </w:r>
      <w:r w:rsidR="004727D5" w:rsidRPr="00FE06F0">
        <w:rPr>
          <w:lang w:val="en-US"/>
        </w:rPr>
        <w:t xml:space="preserve">– </w:t>
      </w:r>
      <w:r w:rsidRPr="00FE06F0">
        <w:rPr>
          <w:lang w:val="en-US"/>
        </w:rPr>
        <w:t>item (</w:t>
      </w:r>
      <w:r w:rsidR="00844383" w:rsidRPr="00FE06F0">
        <w:rPr>
          <w:lang w:val="en-US"/>
        </w:rPr>
        <w:t>a</w:t>
      </w:r>
      <w:r w:rsidRPr="00FE06F0">
        <w:rPr>
          <w:lang w:val="en-US"/>
        </w:rPr>
        <w:t>)</w:t>
      </w:r>
      <w:r w:rsidR="004727D5" w:rsidRPr="00FE06F0">
        <w:rPr>
          <w:lang w:val="en-US"/>
        </w:rPr>
        <w:t xml:space="preserve"> – </w:t>
      </w:r>
      <w:r w:rsidRPr="00FE06F0">
        <w:rPr>
          <w:lang w:val="en-US"/>
        </w:rPr>
        <w:t xml:space="preserve"> or “completely heterosexual”</w:t>
      </w:r>
      <w:r w:rsidR="004727D5" w:rsidRPr="00FE06F0">
        <w:rPr>
          <w:lang w:val="en-US"/>
        </w:rPr>
        <w:t xml:space="preserve"> – </w:t>
      </w:r>
      <w:r w:rsidRPr="00FE06F0">
        <w:rPr>
          <w:lang w:val="en-US"/>
        </w:rPr>
        <w:t>item (</w:t>
      </w:r>
      <w:r w:rsidR="00844383" w:rsidRPr="00FE06F0">
        <w:rPr>
          <w:lang w:val="en-US"/>
        </w:rPr>
        <w:t>b</w:t>
      </w:r>
      <w:r w:rsidRPr="00FE06F0">
        <w:rPr>
          <w:lang w:val="en-US"/>
        </w:rPr>
        <w:t>)</w:t>
      </w:r>
      <w:r w:rsidR="004727D5" w:rsidRPr="00FE06F0">
        <w:rPr>
          <w:lang w:val="en-US"/>
        </w:rPr>
        <w:t xml:space="preserve"> –</w:t>
      </w:r>
      <w:r w:rsidRPr="00FE06F0">
        <w:rPr>
          <w:lang w:val="en-US"/>
        </w:rPr>
        <w:lastRenderedPageBreak/>
        <w:t xml:space="preserve">, while sexual minority </w:t>
      </w:r>
      <w:r w:rsidR="00AB4A73" w:rsidRPr="00FE06F0">
        <w:rPr>
          <w:lang w:val="en-US"/>
        </w:rPr>
        <w:t xml:space="preserve">identity was categorized by pooling </w:t>
      </w:r>
      <w:r w:rsidR="004727D5" w:rsidRPr="00FE06F0">
        <w:rPr>
          <w:lang w:val="en-US"/>
        </w:rPr>
        <w:t>to all other categories (</w:t>
      </w:r>
      <w:r w:rsidRPr="00FE06F0">
        <w:rPr>
          <w:lang w:val="en-US"/>
        </w:rPr>
        <w:t xml:space="preserve">“mostly heterosexual” </w:t>
      </w:r>
      <w:r w:rsidR="004727D5" w:rsidRPr="00FE06F0">
        <w:rPr>
          <w:lang w:val="en-US"/>
        </w:rPr>
        <w:t xml:space="preserve">– </w:t>
      </w:r>
      <w:r w:rsidRPr="00FE06F0">
        <w:rPr>
          <w:lang w:val="en-US"/>
        </w:rPr>
        <w:t>item (</w:t>
      </w:r>
      <w:r w:rsidR="00844383" w:rsidRPr="00FE06F0">
        <w:rPr>
          <w:lang w:val="en-US"/>
        </w:rPr>
        <w:t>a</w:t>
      </w:r>
      <w:r w:rsidRPr="00FE06F0">
        <w:rPr>
          <w:lang w:val="en-US"/>
        </w:rPr>
        <w:t>)</w:t>
      </w:r>
      <w:r w:rsidR="004727D5" w:rsidRPr="00FE06F0">
        <w:rPr>
          <w:lang w:val="en-US"/>
        </w:rPr>
        <w:t xml:space="preserve"> –</w:t>
      </w:r>
      <w:r w:rsidRPr="00FE06F0">
        <w:rPr>
          <w:lang w:val="en-US"/>
        </w:rPr>
        <w:t xml:space="preserve">, “bisexual” </w:t>
      </w:r>
      <w:r w:rsidR="004727D5" w:rsidRPr="00FE06F0">
        <w:rPr>
          <w:lang w:val="en-US"/>
        </w:rPr>
        <w:t xml:space="preserve">– </w:t>
      </w:r>
      <w:r w:rsidRPr="00FE06F0">
        <w:rPr>
          <w:lang w:val="en-US"/>
        </w:rPr>
        <w:t>item (</w:t>
      </w:r>
      <w:r w:rsidR="00844383" w:rsidRPr="00FE06F0">
        <w:rPr>
          <w:lang w:val="en-US"/>
        </w:rPr>
        <w:t>a</w:t>
      </w:r>
      <w:r w:rsidRPr="00FE06F0">
        <w:rPr>
          <w:lang w:val="en-US"/>
        </w:rPr>
        <w:t>)</w:t>
      </w:r>
      <w:r w:rsidR="004727D5" w:rsidRPr="00FE06F0">
        <w:rPr>
          <w:lang w:val="en-US"/>
        </w:rPr>
        <w:t xml:space="preserve"> –</w:t>
      </w:r>
      <w:r w:rsidRPr="00FE06F0">
        <w:rPr>
          <w:lang w:val="en-US"/>
        </w:rPr>
        <w:t xml:space="preserve">, “mostly homosexual” </w:t>
      </w:r>
      <w:r w:rsidR="004727D5" w:rsidRPr="00FE06F0">
        <w:rPr>
          <w:lang w:val="en-US"/>
        </w:rPr>
        <w:t xml:space="preserve">– </w:t>
      </w:r>
      <w:r w:rsidRPr="00FE06F0">
        <w:rPr>
          <w:lang w:val="en-US"/>
        </w:rPr>
        <w:t>item (</w:t>
      </w:r>
      <w:r w:rsidR="00844383" w:rsidRPr="00FE06F0">
        <w:rPr>
          <w:lang w:val="en-US"/>
        </w:rPr>
        <w:t>a</w:t>
      </w:r>
      <w:r w:rsidRPr="00FE06F0">
        <w:rPr>
          <w:lang w:val="en-US"/>
        </w:rPr>
        <w:t>)</w:t>
      </w:r>
      <w:r w:rsidR="004727D5" w:rsidRPr="00FE06F0">
        <w:rPr>
          <w:lang w:val="en-US"/>
        </w:rPr>
        <w:t xml:space="preserve"> –</w:t>
      </w:r>
      <w:r w:rsidRPr="00FE06F0">
        <w:rPr>
          <w:lang w:val="en-US"/>
        </w:rPr>
        <w:t xml:space="preserve">, “entirely homosexual” </w:t>
      </w:r>
      <w:r w:rsidR="004727D5" w:rsidRPr="00FE06F0">
        <w:rPr>
          <w:lang w:val="en-US"/>
        </w:rPr>
        <w:t xml:space="preserve">– </w:t>
      </w:r>
      <w:r w:rsidRPr="00FE06F0">
        <w:rPr>
          <w:lang w:val="en-US"/>
        </w:rPr>
        <w:t>item (</w:t>
      </w:r>
      <w:r w:rsidR="0051237B" w:rsidRPr="00FE06F0">
        <w:rPr>
          <w:lang w:val="en-US"/>
        </w:rPr>
        <w:t>a</w:t>
      </w:r>
      <w:r w:rsidRPr="00FE06F0">
        <w:rPr>
          <w:lang w:val="en-US"/>
        </w:rPr>
        <w:t>)</w:t>
      </w:r>
      <w:r w:rsidR="004727D5" w:rsidRPr="00FE06F0">
        <w:rPr>
          <w:lang w:val="en-US"/>
        </w:rPr>
        <w:t xml:space="preserve"> –</w:t>
      </w:r>
      <w:r w:rsidRPr="00FE06F0">
        <w:rPr>
          <w:lang w:val="en-US"/>
        </w:rPr>
        <w:t xml:space="preserve">, “other” </w:t>
      </w:r>
      <w:r w:rsidR="004727D5" w:rsidRPr="00FE06F0">
        <w:rPr>
          <w:lang w:val="en-US"/>
        </w:rPr>
        <w:t xml:space="preserve">– </w:t>
      </w:r>
      <w:r w:rsidRPr="00FE06F0">
        <w:rPr>
          <w:lang w:val="en-US"/>
        </w:rPr>
        <w:t>item (</w:t>
      </w:r>
      <w:r w:rsidR="0051237B" w:rsidRPr="00FE06F0">
        <w:rPr>
          <w:lang w:val="en-US"/>
        </w:rPr>
        <w:t>a</w:t>
      </w:r>
      <w:r w:rsidRPr="00FE06F0">
        <w:rPr>
          <w:lang w:val="en-US"/>
        </w:rPr>
        <w:t>)</w:t>
      </w:r>
      <w:r w:rsidR="004727D5" w:rsidRPr="00FE06F0">
        <w:rPr>
          <w:lang w:val="en-US"/>
        </w:rPr>
        <w:t xml:space="preserve"> –</w:t>
      </w:r>
      <w:r w:rsidRPr="00FE06F0">
        <w:rPr>
          <w:lang w:val="en-US"/>
        </w:rPr>
        <w:t xml:space="preserve">, “mainly heterosexual” </w:t>
      </w:r>
      <w:r w:rsidR="004727D5" w:rsidRPr="00FE06F0">
        <w:rPr>
          <w:lang w:val="en-US"/>
        </w:rPr>
        <w:t xml:space="preserve">– </w:t>
      </w:r>
      <w:r w:rsidRPr="00FE06F0">
        <w:rPr>
          <w:lang w:val="en-US"/>
        </w:rPr>
        <w:t>item (</w:t>
      </w:r>
      <w:r w:rsidR="0051237B" w:rsidRPr="00FE06F0">
        <w:rPr>
          <w:lang w:val="en-US"/>
        </w:rPr>
        <w:t>b</w:t>
      </w:r>
      <w:r w:rsidRPr="00FE06F0">
        <w:rPr>
          <w:lang w:val="en-US"/>
        </w:rPr>
        <w:t>)</w:t>
      </w:r>
      <w:r w:rsidR="004727D5" w:rsidRPr="00FE06F0">
        <w:rPr>
          <w:lang w:val="en-US"/>
        </w:rPr>
        <w:t xml:space="preserve"> –</w:t>
      </w:r>
      <w:r w:rsidRPr="00FE06F0">
        <w:rPr>
          <w:lang w:val="en-US"/>
        </w:rPr>
        <w:t xml:space="preserve">, “bisexual” </w:t>
      </w:r>
      <w:r w:rsidR="004727D5" w:rsidRPr="00FE06F0">
        <w:rPr>
          <w:lang w:val="en-US"/>
        </w:rPr>
        <w:t xml:space="preserve">– </w:t>
      </w:r>
      <w:r w:rsidRPr="00FE06F0">
        <w:rPr>
          <w:lang w:val="en-US"/>
        </w:rPr>
        <w:t>item (</w:t>
      </w:r>
      <w:r w:rsidR="0051237B" w:rsidRPr="00FE06F0">
        <w:rPr>
          <w:lang w:val="en-US"/>
        </w:rPr>
        <w:t>b</w:t>
      </w:r>
      <w:r w:rsidRPr="00FE06F0">
        <w:rPr>
          <w:lang w:val="en-US"/>
        </w:rPr>
        <w:t>)</w:t>
      </w:r>
      <w:r w:rsidR="004727D5" w:rsidRPr="00FE06F0">
        <w:rPr>
          <w:lang w:val="en-US"/>
        </w:rPr>
        <w:t xml:space="preserve"> –</w:t>
      </w:r>
      <w:r w:rsidRPr="00FE06F0">
        <w:rPr>
          <w:lang w:val="en-US"/>
        </w:rPr>
        <w:t xml:space="preserve">, “mainly gay or lesbian” </w:t>
      </w:r>
      <w:r w:rsidR="004727D5" w:rsidRPr="00FE06F0">
        <w:rPr>
          <w:lang w:val="en-US"/>
        </w:rPr>
        <w:t xml:space="preserve">– </w:t>
      </w:r>
      <w:r w:rsidRPr="00FE06F0">
        <w:rPr>
          <w:lang w:val="en-US"/>
        </w:rPr>
        <w:t>item (</w:t>
      </w:r>
      <w:r w:rsidR="0051237B" w:rsidRPr="00FE06F0">
        <w:rPr>
          <w:lang w:val="en-US"/>
        </w:rPr>
        <w:t>b</w:t>
      </w:r>
      <w:r w:rsidRPr="00FE06F0">
        <w:rPr>
          <w:lang w:val="en-US"/>
        </w:rPr>
        <w:t>)</w:t>
      </w:r>
      <w:r w:rsidR="004727D5" w:rsidRPr="00FE06F0">
        <w:rPr>
          <w:lang w:val="en-US"/>
        </w:rPr>
        <w:t xml:space="preserve"> –</w:t>
      </w:r>
      <w:r w:rsidRPr="00FE06F0">
        <w:rPr>
          <w:lang w:val="en-US"/>
        </w:rPr>
        <w:t xml:space="preserve">, “completely gay or lesbian” </w:t>
      </w:r>
      <w:r w:rsidR="004727D5" w:rsidRPr="00FE06F0">
        <w:rPr>
          <w:lang w:val="en-US"/>
        </w:rPr>
        <w:t xml:space="preserve">– </w:t>
      </w:r>
      <w:r w:rsidRPr="00FE06F0">
        <w:rPr>
          <w:lang w:val="en-US"/>
        </w:rPr>
        <w:t>item (</w:t>
      </w:r>
      <w:r w:rsidR="0051237B" w:rsidRPr="00FE06F0">
        <w:rPr>
          <w:lang w:val="en-US"/>
        </w:rPr>
        <w:t>b</w:t>
      </w:r>
      <w:r w:rsidRPr="00FE06F0">
        <w:rPr>
          <w:lang w:val="en-US"/>
        </w:rPr>
        <w:t>)</w:t>
      </w:r>
      <w:r w:rsidR="004727D5" w:rsidRPr="00FE06F0">
        <w:rPr>
          <w:lang w:val="en-US"/>
        </w:rPr>
        <w:t xml:space="preserve"> –</w:t>
      </w:r>
      <w:r w:rsidRPr="00FE06F0">
        <w:rPr>
          <w:lang w:val="en-US"/>
        </w:rPr>
        <w:t xml:space="preserve">, or “other” </w:t>
      </w:r>
      <w:r w:rsidR="004727D5" w:rsidRPr="00FE06F0">
        <w:rPr>
          <w:lang w:val="en-US"/>
        </w:rPr>
        <w:t xml:space="preserve">– </w:t>
      </w:r>
      <w:r w:rsidRPr="00FE06F0">
        <w:rPr>
          <w:lang w:val="en-US"/>
        </w:rPr>
        <w:t>item (</w:t>
      </w:r>
      <w:r w:rsidR="0051237B" w:rsidRPr="00FE06F0">
        <w:rPr>
          <w:lang w:val="en-US"/>
        </w:rPr>
        <w:t>b</w:t>
      </w:r>
      <w:r w:rsidRPr="00FE06F0">
        <w:rPr>
          <w:lang w:val="en-US"/>
        </w:rPr>
        <w:t>)</w:t>
      </w:r>
      <w:r w:rsidR="004727D5" w:rsidRPr="00FE06F0">
        <w:rPr>
          <w:lang w:val="en-US"/>
        </w:rPr>
        <w:t xml:space="preserve"> –)</w:t>
      </w:r>
      <w:r w:rsidRPr="00FE06F0">
        <w:rPr>
          <w:lang w:val="en-US"/>
        </w:rPr>
        <w:t>.</w:t>
      </w:r>
    </w:p>
    <w:p w14:paraId="7047677F" w14:textId="7E5A7236" w:rsidR="0051237B" w:rsidRPr="00FE06F0" w:rsidRDefault="0051237B" w:rsidP="0067062F">
      <w:pPr>
        <w:spacing w:line="480" w:lineRule="auto"/>
        <w:jc w:val="both"/>
        <w:rPr>
          <w:lang w:val="en-US"/>
        </w:rPr>
      </w:pPr>
    </w:p>
    <w:p w14:paraId="6EDC8437" w14:textId="045D8156" w:rsidR="0051237B" w:rsidRPr="00FE06F0" w:rsidRDefault="0051237B" w:rsidP="0090415D">
      <w:pPr>
        <w:pStyle w:val="Heading3"/>
        <w:rPr>
          <w:lang w:val="en-US"/>
        </w:rPr>
      </w:pPr>
      <w:r w:rsidRPr="00FE06F0">
        <w:rPr>
          <w:lang w:val="en-US"/>
        </w:rPr>
        <w:t>Subjective cognitive complaints (dependent variables)</w:t>
      </w:r>
    </w:p>
    <w:p w14:paraId="576C27F7" w14:textId="275FCDD0" w:rsidR="0051237B" w:rsidRPr="00FE06F0" w:rsidRDefault="00C733BE" w:rsidP="0067062F">
      <w:pPr>
        <w:spacing w:line="480" w:lineRule="auto"/>
        <w:jc w:val="both"/>
        <w:rPr>
          <w:lang w:val="en-US"/>
        </w:rPr>
      </w:pPr>
      <w:r w:rsidRPr="00FE06F0">
        <w:rPr>
          <w:lang w:val="en-US"/>
        </w:rPr>
        <w:t xml:space="preserve">SCC corresponded to subjective concentration and memory complaints. Following a previous publication </w:t>
      </w:r>
      <w:r w:rsidR="00223132" w:rsidRPr="00FE06F0">
        <w:rPr>
          <w:lang w:val="en-US"/>
        </w:rPr>
        <w:fldChar w:fldCharType="begin"/>
      </w:r>
      <w:r w:rsidR="00223132" w:rsidRPr="00FE06F0">
        <w:rPr>
          <w:lang w:val="en-US"/>
        </w:rPr>
        <w:instrText>ADDIN RW.CITE{{doc:5fb95274e4b027b9adf9f33c Jacob,Louis 2019}}</w:instrText>
      </w:r>
      <w:r w:rsidR="00223132" w:rsidRPr="00FE06F0">
        <w:rPr>
          <w:lang w:val="en-US"/>
        </w:rPr>
        <w:fldChar w:fldCharType="separate"/>
      </w:r>
      <w:r w:rsidR="00EB148B" w:rsidRPr="00FE06F0">
        <w:rPr>
          <w:bCs/>
          <w:lang w:val="en-US"/>
        </w:rPr>
        <w:t>(Jacob et al., 2019)</w:t>
      </w:r>
      <w:r w:rsidR="00223132" w:rsidRPr="00FE06F0">
        <w:rPr>
          <w:lang w:val="en-US"/>
        </w:rPr>
        <w:fldChar w:fldCharType="end"/>
      </w:r>
      <w:r w:rsidRPr="00FE06F0">
        <w:rPr>
          <w:lang w:val="en-US"/>
        </w:rPr>
        <w:t xml:space="preserve">, two questions were used to assess these complaints: “In the past month, have you had any problems with concentrating on what you were doing?” (concentration) and “Have you noticed any problems with forgetting things in the past month?” (memory) with yes/no answers. </w:t>
      </w:r>
    </w:p>
    <w:p w14:paraId="7EAC7B1A" w14:textId="39FB7FE5" w:rsidR="007C4D39" w:rsidRPr="00FE06F0" w:rsidRDefault="007C4D39" w:rsidP="0067062F">
      <w:pPr>
        <w:spacing w:line="480" w:lineRule="auto"/>
        <w:jc w:val="both"/>
        <w:rPr>
          <w:lang w:val="en-US"/>
        </w:rPr>
      </w:pPr>
    </w:p>
    <w:p w14:paraId="006639F4" w14:textId="551C4042" w:rsidR="007C4D39" w:rsidRPr="00FE06F0" w:rsidRDefault="007C4D39" w:rsidP="0090415D">
      <w:pPr>
        <w:pStyle w:val="Heading3"/>
        <w:rPr>
          <w:lang w:val="en-US"/>
        </w:rPr>
      </w:pPr>
      <w:r w:rsidRPr="00FE06F0">
        <w:rPr>
          <w:lang w:val="en-US"/>
        </w:rPr>
        <w:t>Control variables</w:t>
      </w:r>
    </w:p>
    <w:p w14:paraId="37DA011D" w14:textId="4B6B6C26" w:rsidR="007C4D39" w:rsidRPr="00FE06F0" w:rsidRDefault="0091575D" w:rsidP="0091575D">
      <w:pPr>
        <w:spacing w:line="480" w:lineRule="auto"/>
        <w:jc w:val="both"/>
        <w:rPr>
          <w:lang w:val="en-US"/>
        </w:rPr>
      </w:pPr>
      <w:r w:rsidRPr="00FE06F0">
        <w:rPr>
          <w:lang w:val="en-US"/>
        </w:rPr>
        <w:t xml:space="preserve">Control variables were based on previous literature </w:t>
      </w:r>
      <w:r w:rsidR="00223132" w:rsidRPr="00FE06F0">
        <w:rPr>
          <w:lang w:val="en-US"/>
        </w:rPr>
        <w:fldChar w:fldCharType="begin"/>
      </w:r>
      <w:r w:rsidR="00223132" w:rsidRPr="00FE06F0">
        <w:rPr>
          <w:lang w:val="en-US"/>
        </w:rPr>
        <w:instrText>ADDIN RW.CITE{{doc:5fb95274e4b027b9adf9f33c Jacob,Louis 2019}}</w:instrText>
      </w:r>
      <w:r w:rsidR="00223132" w:rsidRPr="00FE06F0">
        <w:rPr>
          <w:lang w:val="en-US"/>
        </w:rPr>
        <w:fldChar w:fldCharType="separate"/>
      </w:r>
      <w:r w:rsidR="00EB148B" w:rsidRPr="00FE06F0">
        <w:rPr>
          <w:bCs/>
          <w:lang w:val="en-US"/>
        </w:rPr>
        <w:t>(Jacob et al., 2019)</w:t>
      </w:r>
      <w:r w:rsidR="00223132" w:rsidRPr="00FE06F0">
        <w:rPr>
          <w:lang w:val="en-US"/>
        </w:rPr>
        <w:fldChar w:fldCharType="end"/>
      </w:r>
      <w:r w:rsidR="00223132" w:rsidRPr="00FE06F0">
        <w:rPr>
          <w:lang w:val="en-US"/>
        </w:rPr>
        <w:t xml:space="preserve"> </w:t>
      </w:r>
      <w:r w:rsidRPr="00FE06F0">
        <w:rPr>
          <w:lang w:val="en-US"/>
        </w:rPr>
        <w:t xml:space="preserve">and included </w:t>
      </w:r>
      <w:r w:rsidR="00B54C4A" w:rsidRPr="00FE06F0">
        <w:rPr>
          <w:lang w:val="en-US"/>
        </w:rPr>
        <w:t>sex as assigned at birth</w:t>
      </w:r>
      <w:r w:rsidRPr="00FE06F0">
        <w:rPr>
          <w:lang w:val="en-US"/>
        </w:rPr>
        <w:t xml:space="preserve"> (male and female), age (in years), ethnicity (British White: yes or no), marital status (single/separated/divorced/widowed or married/cohabiting), education </w:t>
      </w:r>
      <w:r w:rsidR="005165F6" w:rsidRPr="00FE06F0">
        <w:rPr>
          <w:lang w:val="en-US"/>
        </w:rPr>
        <w:t>(having a qualification [degree, non-degree, A-level, GCSE, other]: yes or no),</w:t>
      </w:r>
      <w:r w:rsidRPr="00FE06F0">
        <w:rPr>
          <w:lang w:val="en-US"/>
        </w:rPr>
        <w:t xml:space="preserve"> employment (yes or no), and income (sex-equivalized income </w:t>
      </w:r>
      <w:proofErr w:type="spellStart"/>
      <w:r w:rsidRPr="00FE06F0">
        <w:rPr>
          <w:lang w:val="en-US"/>
        </w:rPr>
        <w:t>tertiles</w:t>
      </w:r>
      <w:proofErr w:type="spellEnd"/>
      <w:r w:rsidRPr="00FE06F0">
        <w:rPr>
          <w:lang w:val="en-US"/>
        </w:rPr>
        <w:t xml:space="preserve">; high </w:t>
      </w:r>
      <w:r w:rsidRPr="00FE06F0">
        <w:rPr>
          <w:rFonts w:hint="eastAsia"/>
          <w:lang w:val="en-US"/>
        </w:rPr>
        <w:t>≥£29,826, middle £14,057–&lt;£29,826 and low &lt;£14,057</w:t>
      </w:r>
      <w:r w:rsidRPr="00FE06F0">
        <w:rPr>
          <w:lang w:val="en-US"/>
        </w:rPr>
        <w:t xml:space="preserve">). </w:t>
      </w:r>
    </w:p>
    <w:p w14:paraId="10DB6D89" w14:textId="4D05D0DF" w:rsidR="00292131" w:rsidRPr="00FE06F0" w:rsidRDefault="00292131" w:rsidP="0091575D">
      <w:pPr>
        <w:spacing w:line="480" w:lineRule="auto"/>
        <w:jc w:val="both"/>
        <w:rPr>
          <w:lang w:val="en-US"/>
        </w:rPr>
      </w:pPr>
    </w:p>
    <w:p w14:paraId="732AEC60" w14:textId="519EF3EA" w:rsidR="00292131" w:rsidRPr="00FE06F0" w:rsidRDefault="00292131" w:rsidP="0090415D">
      <w:pPr>
        <w:pStyle w:val="Heading3"/>
        <w:rPr>
          <w:lang w:val="en-US"/>
        </w:rPr>
      </w:pPr>
      <w:r w:rsidRPr="00FE06F0">
        <w:rPr>
          <w:lang w:val="en-US"/>
        </w:rPr>
        <w:t>Influential factors</w:t>
      </w:r>
    </w:p>
    <w:p w14:paraId="01F7533D" w14:textId="64876932" w:rsidR="00AE5683" w:rsidRPr="00FE06F0" w:rsidRDefault="00AE5683" w:rsidP="0091575D">
      <w:pPr>
        <w:spacing w:line="480" w:lineRule="auto"/>
        <w:jc w:val="both"/>
        <w:rPr>
          <w:lang w:val="en-US"/>
        </w:rPr>
      </w:pPr>
      <w:r w:rsidRPr="00FE06F0">
        <w:rPr>
          <w:lang w:val="en-US"/>
        </w:rPr>
        <w:t>Influential factors were variables that may play a mediating role in the association between sexual orientation and</w:t>
      </w:r>
      <w:r w:rsidR="005B0CD8" w:rsidRPr="00FE06F0">
        <w:rPr>
          <w:lang w:val="en-US"/>
        </w:rPr>
        <w:t xml:space="preserve"> SCC</w:t>
      </w:r>
      <w:r w:rsidRPr="00FE06F0">
        <w:rPr>
          <w:lang w:val="en-US"/>
        </w:rPr>
        <w:t>. These influential factors included smoking status</w:t>
      </w:r>
      <w:r w:rsidR="009F74A2" w:rsidRPr="00FE06F0">
        <w:rPr>
          <w:lang w:val="en-US"/>
        </w:rPr>
        <w:t xml:space="preserve"> </w:t>
      </w:r>
      <w:r w:rsidR="00223132" w:rsidRPr="00FE06F0">
        <w:rPr>
          <w:lang w:val="en-US"/>
        </w:rPr>
        <w:fldChar w:fldCharType="begin"/>
      </w:r>
      <w:r w:rsidR="00222EAA" w:rsidRPr="00FE06F0">
        <w:rPr>
          <w:lang w:val="en-US"/>
        </w:rPr>
        <w:instrText>ADDIN RW.CITE{{doc:5fb9601de4b01429301c7b43 Sabia,Séverine 2012; doc:5fb96048e4b0f62c104f3a0d McCabe,SeanEsteban 2018}}</w:instrText>
      </w:r>
      <w:r w:rsidR="00223132" w:rsidRPr="00FE06F0">
        <w:rPr>
          <w:lang w:val="en-US"/>
        </w:rPr>
        <w:fldChar w:fldCharType="separate"/>
      </w:r>
      <w:r w:rsidR="00EB148B" w:rsidRPr="00FE06F0">
        <w:rPr>
          <w:bCs/>
          <w:lang w:val="en-US"/>
        </w:rPr>
        <w:t>(McCabe et al., 2018; Sabia et al., 2012)</w:t>
      </w:r>
      <w:r w:rsidR="00223132" w:rsidRPr="00FE06F0">
        <w:rPr>
          <w:lang w:val="en-US"/>
        </w:rPr>
        <w:fldChar w:fldCharType="end"/>
      </w:r>
      <w:r w:rsidR="00C259E0" w:rsidRPr="00FE06F0">
        <w:rPr>
          <w:lang w:val="en-US"/>
        </w:rPr>
        <w:t xml:space="preserve">, alcohol dependence </w:t>
      </w:r>
      <w:r w:rsidR="00222EAA" w:rsidRPr="00FE06F0">
        <w:rPr>
          <w:lang w:val="en-US"/>
        </w:rPr>
        <w:fldChar w:fldCharType="begin"/>
      </w:r>
      <w:r w:rsidR="00222EAA" w:rsidRPr="00FE06F0">
        <w:rPr>
          <w:lang w:val="en-US"/>
        </w:rPr>
        <w:instrText>ADDIN RW.CITE{{doc:5fb9609ee4b027b9adf9f5be Pesola,Francesca 2014; doc:5fb960cde4b01429301c7b5b Kim,Sujin 2016}}</w:instrText>
      </w:r>
      <w:r w:rsidR="00222EAA" w:rsidRPr="00FE06F0">
        <w:rPr>
          <w:lang w:val="en-US"/>
        </w:rPr>
        <w:fldChar w:fldCharType="separate"/>
      </w:r>
      <w:r w:rsidR="001011A2" w:rsidRPr="00FE06F0">
        <w:rPr>
          <w:bCs/>
          <w:lang w:val="en-US"/>
        </w:rPr>
        <w:t xml:space="preserve">(Kim, Kim, &amp; Park, 2016; Pesola, Shelton, &amp; van </w:t>
      </w:r>
      <w:r w:rsidR="001011A2" w:rsidRPr="00FE06F0">
        <w:rPr>
          <w:bCs/>
          <w:lang w:val="en-US"/>
        </w:rPr>
        <w:lastRenderedPageBreak/>
        <w:t>den Bree, Marianne BM, 2014)</w:t>
      </w:r>
      <w:r w:rsidR="00222EAA" w:rsidRPr="00FE06F0">
        <w:rPr>
          <w:lang w:val="en-US"/>
        </w:rPr>
        <w:fldChar w:fldCharType="end"/>
      </w:r>
      <w:r w:rsidR="00C259E0" w:rsidRPr="00FE06F0">
        <w:rPr>
          <w:lang w:val="en-US"/>
        </w:rPr>
        <w:t xml:space="preserve">, perceived stress </w:t>
      </w:r>
      <w:r w:rsidR="00222EAA" w:rsidRPr="00FE06F0">
        <w:rPr>
          <w:lang w:val="en-US"/>
        </w:rPr>
        <w:fldChar w:fldCharType="begin"/>
      </w:r>
      <w:r w:rsidR="00222EAA" w:rsidRPr="00FE06F0">
        <w:rPr>
          <w:lang w:val="en-US"/>
        </w:rPr>
        <w:instrText>ADDIN RW.CITE{{doc:5fb96122e4b027b9adf9f5da Munoz,Elizabeth 2015; doc:5fb96156e4b0d9a6ddbc9867 Krueger,EvanA 2018}}</w:instrText>
      </w:r>
      <w:r w:rsidR="00222EAA" w:rsidRPr="00FE06F0">
        <w:rPr>
          <w:lang w:val="en-US"/>
        </w:rPr>
        <w:fldChar w:fldCharType="separate"/>
      </w:r>
      <w:r w:rsidR="001011A2" w:rsidRPr="00FE06F0">
        <w:rPr>
          <w:bCs/>
          <w:lang w:val="en-US"/>
        </w:rPr>
        <w:t>(Krueger, Meyer, &amp; Upchurch, 2018; Munoz, Sliwinski, Scott, &amp; Hofer, 2015)</w:t>
      </w:r>
      <w:r w:rsidR="00222EAA" w:rsidRPr="00FE06F0">
        <w:rPr>
          <w:lang w:val="en-US"/>
        </w:rPr>
        <w:fldChar w:fldCharType="end"/>
      </w:r>
      <w:r w:rsidR="00817470" w:rsidRPr="00FE06F0">
        <w:rPr>
          <w:lang w:val="en-US"/>
        </w:rPr>
        <w:t xml:space="preserve">, the number of stressful life events </w:t>
      </w:r>
      <w:r w:rsidR="00B15751" w:rsidRPr="00FE06F0">
        <w:rPr>
          <w:lang w:val="en-US"/>
        </w:rPr>
        <w:fldChar w:fldCharType="begin"/>
      </w:r>
      <w:r w:rsidR="00B15751" w:rsidRPr="00FE06F0">
        <w:rPr>
          <w:lang w:val="en-US"/>
        </w:rPr>
        <w:instrText>ADDIN RW.CITE{{doc:5fb961c4e4b0c395e0f70b58 Hatzenbuehler,MarkL 2014; doc:5fb96204e4b0f62c104f3a64 Pilleron,Sophie 2015}}</w:instrText>
      </w:r>
      <w:r w:rsidR="00B15751" w:rsidRPr="00FE06F0">
        <w:rPr>
          <w:lang w:val="en-US"/>
        </w:rPr>
        <w:fldChar w:fldCharType="separate"/>
      </w:r>
      <w:r w:rsidR="001011A2" w:rsidRPr="00FE06F0">
        <w:rPr>
          <w:bCs/>
          <w:lang w:val="en-US"/>
        </w:rPr>
        <w:t>(Hatzenbuehler, Slopen, &amp; McLaughlin, 2014; Pilleron et al., 2015)</w:t>
      </w:r>
      <w:r w:rsidR="00B15751" w:rsidRPr="00FE06F0">
        <w:rPr>
          <w:lang w:val="en-US"/>
        </w:rPr>
        <w:fldChar w:fldCharType="end"/>
      </w:r>
      <w:r w:rsidR="00817470" w:rsidRPr="00FE06F0">
        <w:rPr>
          <w:lang w:val="en-US"/>
        </w:rPr>
        <w:t>,</w:t>
      </w:r>
      <w:r w:rsidR="00E51CCD" w:rsidRPr="00FE06F0">
        <w:rPr>
          <w:lang w:val="en-US"/>
        </w:rPr>
        <w:t xml:space="preserve"> depression</w:t>
      </w:r>
      <w:r w:rsidR="00B543A0" w:rsidRPr="00FE06F0">
        <w:rPr>
          <w:lang w:val="en-US"/>
        </w:rPr>
        <w:t xml:space="preserve"> </w:t>
      </w:r>
      <w:r w:rsidR="00565843" w:rsidRPr="00FE06F0">
        <w:rPr>
          <w:lang w:val="en-US"/>
        </w:rPr>
        <w:fldChar w:fldCharType="begin"/>
      </w:r>
      <w:r w:rsidR="00565843" w:rsidRPr="00FE06F0">
        <w:rPr>
          <w:lang w:val="en-US"/>
        </w:rPr>
        <w:instrText>ADDIN RW.CITE{{doc:5fb96247e4b03c15cb8ecd4a Semlyen,Joanna 2016; doc:5fb96286e4b0a4f6c6694da6 Toyoshima,Kuniyoshi 2020}}</w:instrText>
      </w:r>
      <w:r w:rsidR="00565843" w:rsidRPr="00FE06F0">
        <w:rPr>
          <w:lang w:val="en-US"/>
        </w:rPr>
        <w:fldChar w:fldCharType="separate"/>
      </w:r>
      <w:r w:rsidR="001011A2" w:rsidRPr="00FE06F0">
        <w:rPr>
          <w:bCs/>
          <w:lang w:val="en-US"/>
        </w:rPr>
        <w:t>(Semlyen, King, Varney, &amp; Hagger-Johnson, 2016; Toyoshima et al., 2020)</w:t>
      </w:r>
      <w:r w:rsidR="00565843" w:rsidRPr="00FE06F0">
        <w:rPr>
          <w:lang w:val="en-US"/>
        </w:rPr>
        <w:fldChar w:fldCharType="end"/>
      </w:r>
      <w:r w:rsidR="00E51CCD" w:rsidRPr="00FE06F0">
        <w:rPr>
          <w:lang w:val="en-US"/>
        </w:rPr>
        <w:t xml:space="preserve">, any anxiety disorder </w:t>
      </w:r>
      <w:r w:rsidR="00FF5BB8" w:rsidRPr="00FE06F0">
        <w:rPr>
          <w:lang w:val="en-US"/>
        </w:rPr>
        <w:fldChar w:fldCharType="begin"/>
      </w:r>
      <w:r w:rsidR="00854AF2" w:rsidRPr="00FE06F0">
        <w:rPr>
          <w:lang w:val="en-US"/>
        </w:rPr>
        <w:instrText>ADDIN RW.CITE{{doc:5fb96247e4b03c15cb8ecd4a Semlyen,Joanna 2016; doc:5fb9539ce4b0f62c104f36fa Hill,NikkiL 2016}}</w:instrText>
      </w:r>
      <w:r w:rsidR="00FF5BB8" w:rsidRPr="00FE06F0">
        <w:rPr>
          <w:lang w:val="en-US"/>
        </w:rPr>
        <w:fldChar w:fldCharType="separate"/>
      </w:r>
      <w:r w:rsidR="00EB148B" w:rsidRPr="00FE06F0">
        <w:rPr>
          <w:bCs/>
          <w:lang w:val="en-US"/>
        </w:rPr>
        <w:t>(Hill et al., 2016; Semlyen et al., 2016)</w:t>
      </w:r>
      <w:r w:rsidR="00FF5BB8" w:rsidRPr="00FE06F0">
        <w:rPr>
          <w:lang w:val="en-US"/>
        </w:rPr>
        <w:fldChar w:fldCharType="end"/>
      </w:r>
      <w:r w:rsidR="00E51CCD" w:rsidRPr="00FE06F0">
        <w:rPr>
          <w:lang w:val="en-US"/>
        </w:rPr>
        <w:t>,</w:t>
      </w:r>
      <w:r w:rsidR="00F97576" w:rsidRPr="00FE06F0">
        <w:rPr>
          <w:lang w:val="en-US"/>
        </w:rPr>
        <w:t xml:space="preserve"> sleep problems </w:t>
      </w:r>
      <w:r w:rsidR="00854AF2" w:rsidRPr="00FE06F0">
        <w:rPr>
          <w:lang w:val="en-US"/>
        </w:rPr>
        <w:fldChar w:fldCharType="begin"/>
      </w:r>
      <w:r w:rsidR="00854AF2" w:rsidRPr="00FE06F0">
        <w:rPr>
          <w:lang w:val="en-US"/>
        </w:rPr>
        <w:instrText>ADDIN RW.CITE{{doc:5fb968e5e4b06d8a95140b95 Duncan,DustinT 2018; doc:5fb9693ee4b0a4f6c66955ef Tsapanou,Angeliki 2019}}</w:instrText>
      </w:r>
      <w:r w:rsidR="00854AF2" w:rsidRPr="00FE06F0">
        <w:rPr>
          <w:lang w:val="en-US"/>
        </w:rPr>
        <w:fldChar w:fldCharType="separate"/>
      </w:r>
      <w:r w:rsidR="00EB148B" w:rsidRPr="00FE06F0">
        <w:rPr>
          <w:bCs/>
          <w:lang w:val="en-US"/>
        </w:rPr>
        <w:t>(Duncan et al., 2018; Tsapanou et al., 2019)</w:t>
      </w:r>
      <w:r w:rsidR="00854AF2" w:rsidRPr="00FE06F0">
        <w:rPr>
          <w:lang w:val="en-US"/>
        </w:rPr>
        <w:fldChar w:fldCharType="end"/>
      </w:r>
      <w:r w:rsidR="00F97576" w:rsidRPr="00FE06F0">
        <w:rPr>
          <w:lang w:val="en-US"/>
        </w:rPr>
        <w:t>,</w:t>
      </w:r>
      <w:r w:rsidR="00E51CCD" w:rsidRPr="00FE06F0">
        <w:rPr>
          <w:lang w:val="en-US"/>
        </w:rPr>
        <w:t xml:space="preserve"> </w:t>
      </w:r>
      <w:r w:rsidR="006E03DF" w:rsidRPr="00FE06F0">
        <w:rPr>
          <w:lang w:val="en-US"/>
        </w:rPr>
        <w:t xml:space="preserve">and </w:t>
      </w:r>
      <w:r w:rsidR="004D0D62" w:rsidRPr="00FE06F0">
        <w:rPr>
          <w:lang w:val="en-US"/>
        </w:rPr>
        <w:t>obesity</w:t>
      </w:r>
      <w:r w:rsidR="00854AF2" w:rsidRPr="00FE06F0">
        <w:rPr>
          <w:lang w:val="en-US"/>
        </w:rPr>
        <w:t xml:space="preserve"> </w:t>
      </w:r>
      <w:r w:rsidR="00854AF2" w:rsidRPr="00FE06F0">
        <w:rPr>
          <w:lang w:val="en-US"/>
        </w:rPr>
        <w:fldChar w:fldCharType="begin"/>
      </w:r>
      <w:r w:rsidR="00854AF2" w:rsidRPr="00FE06F0">
        <w:rPr>
          <w:lang w:val="en-US"/>
        </w:rPr>
        <w:instrText>ADDIN RW.CITE{{doc:5fb969d2e4b0a4f6c66955ff Azagba,Sunday 2019; doc:5fb96a1de4b029cdebaf9519 Hou,Qingtao 2019}}</w:instrText>
      </w:r>
      <w:r w:rsidR="00854AF2" w:rsidRPr="00FE06F0">
        <w:rPr>
          <w:lang w:val="en-US"/>
        </w:rPr>
        <w:fldChar w:fldCharType="separate"/>
      </w:r>
      <w:r w:rsidR="001011A2" w:rsidRPr="00FE06F0">
        <w:rPr>
          <w:bCs/>
          <w:lang w:val="en-US"/>
        </w:rPr>
        <w:t>(Azagba, Shan, &amp; Latham, 2019; Hou et al., 2019)</w:t>
      </w:r>
      <w:r w:rsidR="00854AF2" w:rsidRPr="00FE06F0">
        <w:rPr>
          <w:lang w:val="en-US"/>
        </w:rPr>
        <w:fldChar w:fldCharType="end"/>
      </w:r>
      <w:r w:rsidR="004D0D62" w:rsidRPr="00FE06F0">
        <w:rPr>
          <w:lang w:val="en-US"/>
        </w:rPr>
        <w:t>.</w:t>
      </w:r>
    </w:p>
    <w:p w14:paraId="5A0033A5" w14:textId="394D67C0" w:rsidR="00292131" w:rsidRPr="00FE06F0" w:rsidRDefault="00070C67" w:rsidP="0091575D">
      <w:pPr>
        <w:spacing w:line="480" w:lineRule="auto"/>
        <w:jc w:val="both"/>
        <w:rPr>
          <w:lang w:val="en-US"/>
        </w:rPr>
      </w:pPr>
      <w:r w:rsidRPr="00FE06F0">
        <w:rPr>
          <w:i/>
          <w:iCs/>
          <w:lang w:val="en-US"/>
        </w:rPr>
        <w:t>Smoking status.</w:t>
      </w:r>
      <w:r w:rsidRPr="00FE06F0">
        <w:rPr>
          <w:lang w:val="en-US"/>
        </w:rPr>
        <w:t xml:space="preserve"> The following question “Have you ever smoked a cigarette?” was used to assess smoking status. Participants were dichotomized in</w:t>
      </w:r>
      <w:r w:rsidR="00F510A6" w:rsidRPr="00FE06F0">
        <w:rPr>
          <w:lang w:val="en-US"/>
        </w:rPr>
        <w:t>to</w:t>
      </w:r>
      <w:r w:rsidRPr="00FE06F0">
        <w:rPr>
          <w:lang w:val="en-US"/>
        </w:rPr>
        <w:t xml:space="preserve"> never and past/current smokers. </w:t>
      </w:r>
    </w:p>
    <w:p w14:paraId="03BB278A" w14:textId="64365B8B" w:rsidR="00BD54C6" w:rsidRPr="00FE06F0" w:rsidRDefault="00BD54C6" w:rsidP="0091575D">
      <w:pPr>
        <w:spacing w:line="480" w:lineRule="auto"/>
        <w:jc w:val="both"/>
        <w:rPr>
          <w:lang w:val="en-US"/>
        </w:rPr>
      </w:pPr>
      <w:r w:rsidRPr="00FE06F0">
        <w:rPr>
          <w:i/>
          <w:iCs/>
          <w:lang w:val="en-US"/>
        </w:rPr>
        <w:t>Alcohol dependence.</w:t>
      </w:r>
      <w:r w:rsidRPr="00FE06F0">
        <w:rPr>
          <w:lang w:val="en-US"/>
        </w:rPr>
        <w:t xml:space="preserve"> The Alcohol Use Disorders Identification Test (AUDIT) was used to screen excessive alcohol consumption</w:t>
      </w:r>
      <w:r w:rsidR="006A53D9" w:rsidRPr="00FE06F0">
        <w:rPr>
          <w:lang w:val="en-US"/>
        </w:rPr>
        <w:t xml:space="preserve"> </w:t>
      </w:r>
      <w:r w:rsidR="006A53D9" w:rsidRPr="00FE06F0">
        <w:rPr>
          <w:lang w:val="en-US"/>
        </w:rPr>
        <w:fldChar w:fldCharType="begin"/>
      </w:r>
      <w:r w:rsidR="006A53D9" w:rsidRPr="00FE06F0">
        <w:rPr>
          <w:lang w:val="en-US"/>
        </w:rPr>
        <w:instrText>ADDIN RW.CITE{{doc:5fb96a9be4b03c15cb8ece67 Saunders,JohnB 1993}}</w:instrText>
      </w:r>
      <w:r w:rsidR="006A53D9" w:rsidRPr="00FE06F0">
        <w:rPr>
          <w:lang w:val="en-US"/>
        </w:rPr>
        <w:fldChar w:fldCharType="separate"/>
      </w:r>
      <w:r w:rsidR="001011A2" w:rsidRPr="00FE06F0">
        <w:rPr>
          <w:bCs/>
          <w:lang w:val="en-US"/>
        </w:rPr>
        <w:t>(Saunders, Aasland, Babor, De la Fuente, Juan R, &amp; Grant, 1993)</w:t>
      </w:r>
      <w:r w:rsidR="006A53D9" w:rsidRPr="00FE06F0">
        <w:rPr>
          <w:lang w:val="en-US"/>
        </w:rPr>
        <w:fldChar w:fldCharType="end"/>
      </w:r>
      <w:r w:rsidRPr="00FE06F0">
        <w:rPr>
          <w:lang w:val="en-US"/>
        </w:rPr>
        <w:t>,</w:t>
      </w:r>
      <w:r w:rsidR="008A2649" w:rsidRPr="00FE06F0">
        <w:rPr>
          <w:lang w:val="en-US"/>
        </w:rPr>
        <w:t xml:space="preserve"> and alcohol dependence was assessed using the Severity of Alcohol </w:t>
      </w:r>
      <w:r w:rsidR="00CE2385" w:rsidRPr="00FE06F0">
        <w:rPr>
          <w:lang w:val="en-US"/>
        </w:rPr>
        <w:t xml:space="preserve">Dependence Questionnaire (SADQ-C) in adults with an AUDIT score of </w:t>
      </w:r>
      <w:r w:rsidR="00CE2385" w:rsidRPr="00FE06F0">
        <w:rPr>
          <w:rFonts w:hint="eastAsia"/>
          <w:lang w:val="en-US"/>
        </w:rPr>
        <w:t>≥1</w:t>
      </w:r>
      <w:r w:rsidR="00CE2385" w:rsidRPr="00FE06F0">
        <w:rPr>
          <w:lang w:val="en-US"/>
        </w:rPr>
        <w:t>0</w:t>
      </w:r>
      <w:r w:rsidR="002C3631" w:rsidRPr="00FE06F0">
        <w:rPr>
          <w:lang w:val="en-US"/>
        </w:rPr>
        <w:t xml:space="preserve"> </w:t>
      </w:r>
      <w:r w:rsidR="006A53D9" w:rsidRPr="00FE06F0">
        <w:rPr>
          <w:lang w:val="en-US"/>
        </w:rPr>
        <w:fldChar w:fldCharType="begin"/>
      </w:r>
      <w:r w:rsidR="006A53D9" w:rsidRPr="00FE06F0">
        <w:rPr>
          <w:lang w:val="en-US"/>
        </w:rPr>
        <w:instrText>ADDIN RW.CITE{{doc:5fb96aeee4b0f62c104f3b8e Stockwell,TIM 1994}}</w:instrText>
      </w:r>
      <w:r w:rsidR="006A53D9" w:rsidRPr="00FE06F0">
        <w:rPr>
          <w:lang w:val="en-US"/>
        </w:rPr>
        <w:fldChar w:fldCharType="separate"/>
      </w:r>
      <w:r w:rsidR="001011A2" w:rsidRPr="00FE06F0">
        <w:rPr>
          <w:bCs/>
          <w:lang w:val="en-US"/>
        </w:rPr>
        <w:t>(Stockwell, Sitharthan, McGRATH, &amp; Lang, 1994)</w:t>
      </w:r>
      <w:r w:rsidR="006A53D9" w:rsidRPr="00FE06F0">
        <w:rPr>
          <w:lang w:val="en-US"/>
        </w:rPr>
        <w:fldChar w:fldCharType="end"/>
      </w:r>
      <w:r w:rsidR="00CE2385" w:rsidRPr="00FE06F0">
        <w:rPr>
          <w:lang w:val="en-US"/>
        </w:rPr>
        <w:t xml:space="preserve">. Alcohol dependence in the past six months corresponded to SADQ-C scores </w:t>
      </w:r>
      <w:r w:rsidR="00CE2385" w:rsidRPr="00FE06F0">
        <w:rPr>
          <w:rFonts w:hint="eastAsia"/>
          <w:lang w:val="en-US"/>
        </w:rPr>
        <w:t>≥4</w:t>
      </w:r>
      <w:r w:rsidR="00CE2385" w:rsidRPr="00FE06F0">
        <w:rPr>
          <w:lang w:val="en-US"/>
        </w:rPr>
        <w:t xml:space="preserve">. </w:t>
      </w:r>
    </w:p>
    <w:p w14:paraId="348ED564" w14:textId="7A74AE06" w:rsidR="002C3631" w:rsidRPr="00FE06F0" w:rsidRDefault="002C3631" w:rsidP="0091575D">
      <w:pPr>
        <w:spacing w:line="480" w:lineRule="auto"/>
        <w:jc w:val="both"/>
        <w:rPr>
          <w:lang w:val="en-US"/>
        </w:rPr>
      </w:pPr>
      <w:r w:rsidRPr="00FE06F0">
        <w:rPr>
          <w:i/>
          <w:iCs/>
          <w:lang w:val="en-US"/>
        </w:rPr>
        <w:t>Perceived stress.</w:t>
      </w:r>
      <w:r w:rsidRPr="00FE06F0">
        <w:rPr>
          <w:lang w:val="en-US"/>
        </w:rPr>
        <w:t xml:space="preserve"> Participants were as</w:t>
      </w:r>
      <w:r w:rsidR="00B2116A" w:rsidRPr="00FE06F0">
        <w:rPr>
          <w:lang w:val="en-US"/>
        </w:rPr>
        <w:t>k</w:t>
      </w:r>
      <w:r w:rsidRPr="00FE06F0">
        <w:rPr>
          <w:lang w:val="en-US"/>
        </w:rPr>
        <w:t xml:space="preserve">ed </w:t>
      </w:r>
      <w:r w:rsidR="00B2116A" w:rsidRPr="00FE06F0">
        <w:rPr>
          <w:lang w:val="en-US"/>
        </w:rPr>
        <w:t>if tasks at home and at work were stressful</w:t>
      </w:r>
      <w:r w:rsidR="00032AF0" w:rsidRPr="00FE06F0">
        <w:rPr>
          <w:lang w:val="en-US"/>
        </w:rPr>
        <w:t xml:space="preserve"> with answers ranging from 0 “not at all” to 3 “most of the time”.</w:t>
      </w:r>
      <w:r w:rsidR="00606CD1" w:rsidRPr="00FE06F0">
        <w:rPr>
          <w:lang w:val="en-US"/>
        </w:rPr>
        <w:t xml:space="preserve"> Following previous research</w:t>
      </w:r>
      <w:r w:rsidR="00537BCC" w:rsidRPr="00FE06F0">
        <w:rPr>
          <w:lang w:val="en-US"/>
        </w:rPr>
        <w:t xml:space="preserve"> </w:t>
      </w:r>
      <w:r w:rsidR="00537BCC" w:rsidRPr="00FE06F0">
        <w:rPr>
          <w:lang w:val="en-US"/>
        </w:rPr>
        <w:fldChar w:fldCharType="begin"/>
      </w:r>
      <w:r w:rsidR="00537BCC" w:rsidRPr="00FE06F0">
        <w:rPr>
          <w:lang w:val="en-US"/>
        </w:rPr>
        <w:instrText>ADDIN RW.CITE{{doc:5fb95274e4b027b9adf9f33c Jacob,Louis 2019}}</w:instrText>
      </w:r>
      <w:r w:rsidR="00537BCC" w:rsidRPr="00FE06F0">
        <w:rPr>
          <w:lang w:val="en-US"/>
        </w:rPr>
        <w:fldChar w:fldCharType="separate"/>
      </w:r>
      <w:r w:rsidR="00EB148B" w:rsidRPr="00FE06F0">
        <w:rPr>
          <w:bCs/>
          <w:lang w:val="en-US"/>
        </w:rPr>
        <w:t>(Jacob et al., 2019)</w:t>
      </w:r>
      <w:r w:rsidR="00537BCC" w:rsidRPr="00FE06F0">
        <w:rPr>
          <w:lang w:val="en-US"/>
        </w:rPr>
        <w:fldChar w:fldCharType="end"/>
      </w:r>
      <w:r w:rsidR="00606CD1" w:rsidRPr="00FE06F0">
        <w:rPr>
          <w:lang w:val="en-US"/>
        </w:rPr>
        <w:t xml:space="preserve">, </w:t>
      </w:r>
      <w:r w:rsidR="008D33F0" w:rsidRPr="00FE06F0">
        <w:rPr>
          <w:lang w:val="en-US"/>
        </w:rPr>
        <w:t>stress was dichotomized into “not at all” or “occasionally”</w:t>
      </w:r>
      <w:proofErr w:type="gramStart"/>
      <w:r w:rsidR="008D33F0" w:rsidRPr="00FE06F0">
        <w:rPr>
          <w:lang w:val="en-US"/>
        </w:rPr>
        <w:t>/“</w:t>
      </w:r>
      <w:proofErr w:type="gramEnd"/>
      <w:r w:rsidR="008D33F0" w:rsidRPr="00FE06F0">
        <w:rPr>
          <w:lang w:val="en-US"/>
        </w:rPr>
        <w:t>usually”/“most of the time”.</w:t>
      </w:r>
    </w:p>
    <w:p w14:paraId="31A87FD0" w14:textId="283C2D0D" w:rsidR="00A0001A" w:rsidRPr="00FE06F0" w:rsidRDefault="00003B0B" w:rsidP="0091575D">
      <w:pPr>
        <w:spacing w:line="480" w:lineRule="auto"/>
        <w:jc w:val="both"/>
        <w:rPr>
          <w:lang w:val="en-US"/>
        </w:rPr>
      </w:pPr>
      <w:r w:rsidRPr="00FE06F0">
        <w:rPr>
          <w:i/>
          <w:iCs/>
          <w:lang w:val="en-US"/>
        </w:rPr>
        <w:t>Number of stressful life events.</w:t>
      </w:r>
      <w:r w:rsidRPr="00FE06F0">
        <w:rPr>
          <w:lang w:val="en-US"/>
        </w:rPr>
        <w:t xml:space="preserve"> </w:t>
      </w:r>
      <w:r w:rsidR="00A34DE3" w:rsidRPr="00FE06F0">
        <w:rPr>
          <w:lang w:val="en-US"/>
        </w:rPr>
        <w:t xml:space="preserve">Stressful life events were assessed using 18 items (e.g., </w:t>
      </w:r>
      <w:r w:rsidR="00A0001A" w:rsidRPr="00FE06F0">
        <w:rPr>
          <w:lang w:val="en-US"/>
        </w:rPr>
        <w:t xml:space="preserve">serious injury, death of a close family friend and violence at work), and the scale ranged from zero to 18. </w:t>
      </w:r>
    </w:p>
    <w:p w14:paraId="7771A3EB" w14:textId="05570B97" w:rsidR="00003B0B" w:rsidRPr="00FE06F0" w:rsidRDefault="00A32B48" w:rsidP="0091575D">
      <w:pPr>
        <w:spacing w:line="480" w:lineRule="auto"/>
        <w:jc w:val="both"/>
        <w:rPr>
          <w:lang w:val="en-US"/>
        </w:rPr>
      </w:pPr>
      <w:r w:rsidRPr="00FE06F0">
        <w:rPr>
          <w:i/>
          <w:iCs/>
          <w:lang w:val="en-US"/>
        </w:rPr>
        <w:t>Depression</w:t>
      </w:r>
      <w:r w:rsidR="00DF310B" w:rsidRPr="00FE06F0">
        <w:rPr>
          <w:i/>
          <w:iCs/>
          <w:lang w:val="en-US"/>
        </w:rPr>
        <w:t xml:space="preserve"> and any anxiety disorder</w:t>
      </w:r>
      <w:r w:rsidRPr="00FE06F0">
        <w:rPr>
          <w:i/>
          <w:iCs/>
          <w:lang w:val="en-US"/>
        </w:rPr>
        <w:t>.</w:t>
      </w:r>
      <w:r w:rsidRPr="00FE06F0">
        <w:rPr>
          <w:lang w:val="en-US"/>
        </w:rPr>
        <w:t xml:space="preserve"> </w:t>
      </w:r>
      <w:r w:rsidR="00DF310B" w:rsidRPr="00FE06F0">
        <w:rPr>
          <w:lang w:val="en-US"/>
        </w:rPr>
        <w:t>The Clinical Interview Schedule Revised (CIS-R) was used to assess these common mental disorders in the prior week</w:t>
      </w:r>
      <w:r w:rsidR="00537BCC" w:rsidRPr="00FE06F0">
        <w:rPr>
          <w:lang w:val="en-US"/>
        </w:rPr>
        <w:t xml:space="preserve"> </w:t>
      </w:r>
      <w:r w:rsidR="00537BCC" w:rsidRPr="00FE06F0">
        <w:rPr>
          <w:lang w:val="en-US"/>
        </w:rPr>
        <w:fldChar w:fldCharType="begin"/>
      </w:r>
      <w:r w:rsidR="00537BCC" w:rsidRPr="00FE06F0">
        <w:rPr>
          <w:lang w:val="en-US"/>
        </w:rPr>
        <w:instrText>ADDIN RW.CITE{{doc:5fb96c18e4b0d9a6ddbc9955 Lewis,Glyn 1992; doc:5fb96c5de4b029c92ff02c8f NationalCentreforSocialResearch 2007}}</w:instrText>
      </w:r>
      <w:r w:rsidR="00537BCC" w:rsidRPr="00FE06F0">
        <w:rPr>
          <w:lang w:val="en-US"/>
        </w:rPr>
        <w:fldChar w:fldCharType="separate"/>
      </w:r>
      <w:r w:rsidR="001011A2" w:rsidRPr="00FE06F0">
        <w:rPr>
          <w:bCs/>
          <w:lang w:val="en-US"/>
        </w:rPr>
        <w:t>(Lewis, Pelosi, Araya, &amp; Dunn, 1992; National Centre for Social Research, 2007)</w:t>
      </w:r>
      <w:r w:rsidR="00537BCC" w:rsidRPr="00FE06F0">
        <w:rPr>
          <w:lang w:val="en-US"/>
        </w:rPr>
        <w:fldChar w:fldCharType="end"/>
      </w:r>
      <w:r w:rsidR="00DF310B" w:rsidRPr="00FE06F0">
        <w:rPr>
          <w:lang w:val="en-US"/>
        </w:rPr>
        <w:t>, and any anxiety disorder corresponded to generalized anxiety disorder, panic disorder, phobia, and obsessive-compulsive disorder.</w:t>
      </w:r>
    </w:p>
    <w:p w14:paraId="281781C5" w14:textId="2A7D6EAF" w:rsidR="00585CEF" w:rsidRPr="00FE06F0" w:rsidRDefault="004B3D07" w:rsidP="0091575D">
      <w:pPr>
        <w:spacing w:line="480" w:lineRule="auto"/>
        <w:jc w:val="both"/>
        <w:rPr>
          <w:lang w:val="en-US"/>
        </w:rPr>
      </w:pPr>
      <w:r w:rsidRPr="00FE06F0">
        <w:rPr>
          <w:i/>
          <w:iCs/>
          <w:lang w:val="en-US"/>
        </w:rPr>
        <w:lastRenderedPageBreak/>
        <w:t>Sleep problems.</w:t>
      </w:r>
      <w:r w:rsidRPr="00FE06F0">
        <w:rPr>
          <w:lang w:val="en-US"/>
        </w:rPr>
        <w:t xml:space="preserve"> </w:t>
      </w:r>
      <w:r w:rsidR="00585CEF" w:rsidRPr="00FE06F0">
        <w:rPr>
          <w:lang w:val="en-US"/>
        </w:rPr>
        <w:t xml:space="preserve">Sleep problems were </w:t>
      </w:r>
      <w:r w:rsidR="00FB356C" w:rsidRPr="00FE06F0">
        <w:rPr>
          <w:lang w:val="en-US"/>
        </w:rPr>
        <w:t>assessed</w:t>
      </w:r>
      <w:r w:rsidR="00585CEF" w:rsidRPr="00FE06F0">
        <w:rPr>
          <w:lang w:val="en-US"/>
        </w:rPr>
        <w:t xml:space="preserve"> using two questions: “In the past month, have you been having problems with trying to get to sleep or with getting back to sleep if you woke up or were woken up?” (sleeping less than usual) and “Has sleeping more than you usually do been a problem for you in the past month?” (sleeping more than usual). Participants were considered to have sleep problems if they answered “yes” to at least one of these two questions.</w:t>
      </w:r>
    </w:p>
    <w:p w14:paraId="2B982137" w14:textId="22EF3BE8" w:rsidR="004B3D07" w:rsidRPr="00FE06F0" w:rsidRDefault="00585CEF" w:rsidP="0091575D">
      <w:pPr>
        <w:spacing w:line="480" w:lineRule="auto"/>
        <w:jc w:val="both"/>
        <w:rPr>
          <w:lang w:val="en-US"/>
        </w:rPr>
      </w:pPr>
      <w:r w:rsidRPr="00FE06F0">
        <w:rPr>
          <w:i/>
          <w:iCs/>
          <w:lang w:val="en-US"/>
        </w:rPr>
        <w:t>Obesity.</w:t>
      </w:r>
      <w:r w:rsidRPr="00FE06F0">
        <w:rPr>
          <w:lang w:val="en-US"/>
        </w:rPr>
        <w:t xml:space="preserve"> Following the definition of the World Health Organization, </w:t>
      </w:r>
      <w:r w:rsidR="00515FC6" w:rsidRPr="00FE06F0">
        <w:rPr>
          <w:lang w:val="en-US"/>
        </w:rPr>
        <w:t xml:space="preserve">obesity was defined as a body mass index (BMI) </w:t>
      </w:r>
      <w:r w:rsidR="00515FC6" w:rsidRPr="00FE06F0">
        <w:rPr>
          <w:rFonts w:hint="eastAsia"/>
          <w:lang w:val="en-US"/>
        </w:rPr>
        <w:t>≥3</w:t>
      </w:r>
      <w:r w:rsidR="00515FC6" w:rsidRPr="00FE06F0">
        <w:rPr>
          <w:lang w:val="en-US"/>
        </w:rPr>
        <w:t>0 kg/m</w:t>
      </w:r>
      <w:r w:rsidR="00515FC6" w:rsidRPr="00FE06F0">
        <w:rPr>
          <w:vertAlign w:val="superscript"/>
          <w:lang w:val="en-US"/>
        </w:rPr>
        <w:t>2</w:t>
      </w:r>
      <w:r w:rsidR="00515FC6" w:rsidRPr="00FE06F0">
        <w:rPr>
          <w:lang w:val="en-US"/>
        </w:rPr>
        <w:t xml:space="preserve">, with the BMI being calculated as self-reported weight (in kilograms) divided by squared self-reported height (in meters) </w:t>
      </w:r>
      <w:r w:rsidR="00E3586D" w:rsidRPr="00FE06F0">
        <w:rPr>
          <w:lang w:val="en-US"/>
        </w:rPr>
        <w:fldChar w:fldCharType="begin"/>
      </w:r>
      <w:r w:rsidR="00E3586D" w:rsidRPr="00FE06F0">
        <w:rPr>
          <w:lang w:val="en-US"/>
        </w:rPr>
        <w:instrText>ADDIN RW.CITE{{doc:5fb95274e4b027b9adf9f33c Jacob,Louis 2019}}</w:instrText>
      </w:r>
      <w:r w:rsidR="00E3586D" w:rsidRPr="00FE06F0">
        <w:rPr>
          <w:lang w:val="en-US"/>
        </w:rPr>
        <w:fldChar w:fldCharType="separate"/>
      </w:r>
      <w:r w:rsidR="00EB148B" w:rsidRPr="00FE06F0">
        <w:rPr>
          <w:bCs/>
          <w:lang w:val="en-US"/>
        </w:rPr>
        <w:t>(Jacob et al., 2019)</w:t>
      </w:r>
      <w:r w:rsidR="00E3586D" w:rsidRPr="00FE06F0">
        <w:rPr>
          <w:lang w:val="en-US"/>
        </w:rPr>
        <w:fldChar w:fldCharType="end"/>
      </w:r>
      <w:r w:rsidR="00E3586D" w:rsidRPr="00FE06F0">
        <w:rPr>
          <w:lang w:val="en-US"/>
        </w:rPr>
        <w:t>.</w:t>
      </w:r>
    </w:p>
    <w:p w14:paraId="4B196AFE" w14:textId="292A72EF" w:rsidR="00515FC6" w:rsidRPr="00FE06F0" w:rsidRDefault="00515FC6" w:rsidP="0091575D">
      <w:pPr>
        <w:spacing w:line="480" w:lineRule="auto"/>
        <w:jc w:val="both"/>
        <w:rPr>
          <w:lang w:val="en-US"/>
        </w:rPr>
      </w:pPr>
    </w:p>
    <w:p w14:paraId="5C87FA70" w14:textId="431BFD0D" w:rsidR="00515FC6" w:rsidRPr="00FE06F0" w:rsidRDefault="00515FC6" w:rsidP="0090415D">
      <w:pPr>
        <w:pStyle w:val="Heading2"/>
        <w:rPr>
          <w:lang w:val="en-US"/>
        </w:rPr>
      </w:pPr>
      <w:r w:rsidRPr="00FE06F0">
        <w:rPr>
          <w:lang w:val="en-US"/>
        </w:rPr>
        <w:t>Statistical analyses</w:t>
      </w:r>
    </w:p>
    <w:p w14:paraId="23C7BDF5" w14:textId="585AEA9A" w:rsidR="00515FC6" w:rsidRPr="00FE06F0" w:rsidRDefault="00250136" w:rsidP="0091575D">
      <w:pPr>
        <w:spacing w:line="480" w:lineRule="auto"/>
        <w:jc w:val="both"/>
        <w:rPr>
          <w:rFonts w:eastAsiaTheme="minorEastAsia"/>
          <w:lang w:val="en-US" w:eastAsia="ko-KR"/>
        </w:rPr>
      </w:pPr>
      <w:r w:rsidRPr="00FE06F0">
        <w:rPr>
          <w:lang w:val="en-US"/>
        </w:rPr>
        <w:t xml:space="preserve">Given that </w:t>
      </w:r>
      <w:r w:rsidR="00293FC2" w:rsidRPr="00FE06F0">
        <w:rPr>
          <w:lang w:val="en-US"/>
        </w:rPr>
        <w:t>the goal of this study was to</w:t>
      </w:r>
      <w:r w:rsidRPr="00FE06F0">
        <w:rPr>
          <w:lang w:val="en-US"/>
        </w:rPr>
        <w:t xml:space="preserve"> focus on a cognitively healthy sample, </w:t>
      </w:r>
      <w:r w:rsidR="00293FC2" w:rsidRPr="00FE06F0">
        <w:rPr>
          <w:lang w:val="en-US"/>
        </w:rPr>
        <w:t>the</w:t>
      </w:r>
      <w:r w:rsidRPr="00FE06F0">
        <w:rPr>
          <w:lang w:val="en-US"/>
        </w:rPr>
        <w:t xml:space="preserve"> </w:t>
      </w:r>
      <w:r w:rsidR="00293FC2" w:rsidRPr="00FE06F0">
        <w:rPr>
          <w:lang w:val="en-US"/>
        </w:rPr>
        <w:t xml:space="preserve">statistical </w:t>
      </w:r>
      <w:r w:rsidRPr="00FE06F0">
        <w:rPr>
          <w:lang w:val="en-US"/>
        </w:rPr>
        <w:t>analys</w:t>
      </w:r>
      <w:r w:rsidR="00293FC2" w:rsidRPr="00FE06F0">
        <w:rPr>
          <w:lang w:val="en-US"/>
        </w:rPr>
        <w:t>e</w:t>
      </w:r>
      <w:r w:rsidRPr="00FE06F0">
        <w:rPr>
          <w:lang w:val="en-US"/>
        </w:rPr>
        <w:t xml:space="preserve">s excluded four individuals who self-reported a doctor’s diagnosis of Alzheimer’s disease or dementia. </w:t>
      </w:r>
      <w:r w:rsidR="007E1197" w:rsidRPr="00FE06F0">
        <w:rPr>
          <w:lang w:val="en-US"/>
        </w:rPr>
        <w:t xml:space="preserve">Differences </w:t>
      </w:r>
      <w:r w:rsidR="00AE5683" w:rsidRPr="00FE06F0">
        <w:rPr>
          <w:lang w:val="en-US"/>
        </w:rPr>
        <w:t xml:space="preserve">in terms of control variables and influential factors </w:t>
      </w:r>
      <w:r w:rsidR="007E1197" w:rsidRPr="00FE06F0">
        <w:rPr>
          <w:lang w:val="en-US"/>
        </w:rPr>
        <w:t>between heterosexual and sexual minority individuals were tested with Chi-squared tests for categorical variables and with Student’s t-tests for continuous variables.</w:t>
      </w:r>
      <w:r w:rsidRPr="00FE06F0">
        <w:rPr>
          <w:lang w:val="en-US"/>
        </w:rPr>
        <w:t xml:space="preserve"> In addition, the prevalence of subjective concentration and memory complaints was compared between the heterosexual and the sexual minority group using Chi-squared tests. The relationship of sexual orientation</w:t>
      </w:r>
      <w:r w:rsidR="00B54C4A" w:rsidRPr="00FE06F0">
        <w:rPr>
          <w:lang w:val="en-US"/>
        </w:rPr>
        <w:t xml:space="preserve"> identity</w:t>
      </w:r>
      <w:r w:rsidRPr="00FE06F0">
        <w:rPr>
          <w:lang w:val="en-US"/>
        </w:rPr>
        <w:t xml:space="preserve"> with subjective concentration and memory complaints was further studied in a base logistic regression model</w:t>
      </w:r>
      <w:r w:rsidR="00545C1E" w:rsidRPr="00FE06F0">
        <w:rPr>
          <w:rFonts w:eastAsiaTheme="minorEastAsia"/>
          <w:lang w:val="en-US" w:eastAsia="ko-KR"/>
        </w:rPr>
        <w:t xml:space="preserve"> </w:t>
      </w:r>
      <w:r w:rsidRPr="00FE06F0">
        <w:rPr>
          <w:lang w:val="en-US"/>
        </w:rPr>
        <w:t xml:space="preserve">adjusted for sex, age, ethnicity, marital status, education, employment, and income. </w:t>
      </w:r>
      <w:r w:rsidR="00293FC2" w:rsidRPr="00FE06F0">
        <w:rPr>
          <w:lang w:val="en-US"/>
        </w:rPr>
        <w:t xml:space="preserve">Subsequently, each of the eight influential factors </w:t>
      </w:r>
      <w:r w:rsidR="00AE5683" w:rsidRPr="00FE06F0">
        <w:rPr>
          <w:lang w:val="en-US"/>
        </w:rPr>
        <w:t xml:space="preserve">(smoking status, alcohol dependence, perceived stress, number of stressful life events, depression, any anxiety disorder, sleep problems, and obesity) </w:t>
      </w:r>
      <w:r w:rsidR="00293FC2" w:rsidRPr="00FE06F0">
        <w:rPr>
          <w:lang w:val="en-US"/>
        </w:rPr>
        <w:t xml:space="preserve">was individually included in this base model. Finally, all influential factors were simultaneously included in the base model (fully adjusted model). Percent attenuation in the </w:t>
      </w:r>
      <w:proofErr w:type="spellStart"/>
      <w:r w:rsidR="00293FC2" w:rsidRPr="00FE06F0">
        <w:rPr>
          <w:lang w:val="en-US"/>
        </w:rPr>
        <w:t>log</w:t>
      </w:r>
      <w:proofErr w:type="spellEnd"/>
      <w:r w:rsidR="00293FC2" w:rsidRPr="00FE06F0">
        <w:rPr>
          <w:lang w:val="en-US"/>
        </w:rPr>
        <w:t xml:space="preserve"> odds compared to the base model was estimated for all nine models. Results from the logistic regression analyses are presented as odds ratios (ORs) and </w:t>
      </w:r>
      <w:r w:rsidR="00293FC2" w:rsidRPr="00FE06F0">
        <w:rPr>
          <w:lang w:val="en-US"/>
        </w:rPr>
        <w:lastRenderedPageBreak/>
        <w:t xml:space="preserve">95% confidence intervals (CIs). The sample weighting and the complex study design were </w:t>
      </w:r>
      <w:proofErr w:type="gramStart"/>
      <w:r w:rsidR="00293FC2" w:rsidRPr="00FE06F0">
        <w:rPr>
          <w:lang w:val="en-US"/>
        </w:rPr>
        <w:t>taken into account</w:t>
      </w:r>
      <w:proofErr w:type="gramEnd"/>
      <w:r w:rsidR="00293FC2" w:rsidRPr="00FE06F0">
        <w:rPr>
          <w:lang w:val="en-US"/>
        </w:rPr>
        <w:t xml:space="preserve"> in all analyses. The level of statistical significance was set at p-value&lt;0.05. The statistical analyses were performed with R 3.6.2 (The R Foundation)</w:t>
      </w:r>
      <w:r w:rsidR="000C4136" w:rsidRPr="00FE06F0">
        <w:rPr>
          <w:lang w:val="en-US"/>
        </w:rPr>
        <w:t xml:space="preserve"> </w:t>
      </w:r>
      <w:r w:rsidR="000C4136" w:rsidRPr="00FE06F0">
        <w:rPr>
          <w:lang w:val="en-US"/>
        </w:rPr>
        <w:fldChar w:fldCharType="begin"/>
      </w:r>
      <w:r w:rsidR="000C4136" w:rsidRPr="00FE06F0">
        <w:rPr>
          <w:lang w:val="en-US"/>
        </w:rPr>
        <w:instrText>ADDIN RW.CITE{{doc:5fb9704ae4b0eeecca6cee86 RFoundationforStatisticalComputing,Vienna,Austria 2019}}</w:instrText>
      </w:r>
      <w:r w:rsidR="000C4136" w:rsidRPr="00FE06F0">
        <w:rPr>
          <w:lang w:val="en-US"/>
        </w:rPr>
        <w:fldChar w:fldCharType="separate"/>
      </w:r>
      <w:r w:rsidR="000C4136" w:rsidRPr="00FE06F0">
        <w:rPr>
          <w:bCs/>
          <w:lang w:val="en-US"/>
        </w:rPr>
        <w:t>(R Foundation for Statistical Computing, Vienna, Austria, 2019)</w:t>
      </w:r>
      <w:r w:rsidR="000C4136" w:rsidRPr="00FE06F0">
        <w:rPr>
          <w:lang w:val="en-US"/>
        </w:rPr>
        <w:fldChar w:fldCharType="end"/>
      </w:r>
      <w:r w:rsidR="000C4136" w:rsidRPr="00FE06F0">
        <w:rPr>
          <w:lang w:val="en-US"/>
        </w:rPr>
        <w:t>.</w:t>
      </w:r>
    </w:p>
    <w:p w14:paraId="62AA1EDC" w14:textId="77777777" w:rsidR="00E8334E" w:rsidRPr="00FE06F0" w:rsidRDefault="00E8334E" w:rsidP="005E0EDD">
      <w:pPr>
        <w:spacing w:line="480" w:lineRule="auto"/>
        <w:jc w:val="both"/>
        <w:rPr>
          <w:b/>
          <w:bCs/>
          <w:lang w:val="en-US"/>
        </w:rPr>
      </w:pPr>
    </w:p>
    <w:p w14:paraId="46945C81" w14:textId="3C2E98D6" w:rsidR="00855FDC" w:rsidRPr="00FE06F0" w:rsidRDefault="00855FDC" w:rsidP="0090415D">
      <w:pPr>
        <w:pStyle w:val="Heading1"/>
        <w:rPr>
          <w:lang w:val="en-US"/>
        </w:rPr>
      </w:pPr>
      <w:r w:rsidRPr="00FE06F0">
        <w:rPr>
          <w:lang w:val="en-US"/>
        </w:rPr>
        <w:t>Results</w:t>
      </w:r>
    </w:p>
    <w:p w14:paraId="504EBD01" w14:textId="1BBF76AF" w:rsidR="000E4A1B" w:rsidRPr="00FE06F0" w:rsidRDefault="00BF750E" w:rsidP="005E0EDD">
      <w:pPr>
        <w:spacing w:line="480" w:lineRule="auto"/>
        <w:jc w:val="both"/>
        <w:rPr>
          <w:lang w:val="en-US"/>
        </w:rPr>
      </w:pPr>
      <w:r w:rsidRPr="00FE06F0">
        <w:rPr>
          <w:lang w:val="en-US"/>
        </w:rPr>
        <w:t>This study included 7,400 participants (51.4% women; mean [standard deviation] age 46.3 [18.6] years). The prevalence of</w:t>
      </w:r>
      <w:r w:rsidR="00B54C4A" w:rsidRPr="00FE06F0">
        <w:rPr>
          <w:lang w:val="en-US"/>
        </w:rPr>
        <w:t xml:space="preserve"> identifying as </w:t>
      </w:r>
      <w:proofErr w:type="spellStart"/>
      <w:r w:rsidR="00B54C4A" w:rsidRPr="00FE06F0">
        <w:rPr>
          <w:lang w:val="en-US"/>
        </w:rPr>
        <w:t>as</w:t>
      </w:r>
      <w:proofErr w:type="spellEnd"/>
      <w:r w:rsidRPr="00FE06F0">
        <w:rPr>
          <w:lang w:val="en-US"/>
        </w:rPr>
        <w:t xml:space="preserve"> sexual minority was 7.1%. </w:t>
      </w:r>
      <w:r w:rsidR="00EE4A34" w:rsidRPr="00FE06F0">
        <w:rPr>
          <w:lang w:val="en-US"/>
        </w:rPr>
        <w:t>E</w:t>
      </w:r>
      <w:r w:rsidR="006D652C" w:rsidRPr="00FE06F0">
        <w:rPr>
          <w:lang w:val="en-US"/>
        </w:rPr>
        <w:t xml:space="preserve">thnicity other than British White, single/separated/divorced/widowed, alcohol dependence, perceived stress, depression, any anxiety disorder, </w:t>
      </w:r>
      <w:r w:rsidR="00956CF6" w:rsidRPr="00FE06F0">
        <w:rPr>
          <w:lang w:val="en-US"/>
        </w:rPr>
        <w:t xml:space="preserve">and </w:t>
      </w:r>
      <w:r w:rsidR="006D652C" w:rsidRPr="00FE06F0">
        <w:rPr>
          <w:lang w:val="en-US"/>
        </w:rPr>
        <w:t>sleep disorders were more frequent in sexual minority individuals than in their heterosexual counterparts</w:t>
      </w:r>
      <w:r w:rsidR="00EE4A34" w:rsidRPr="00FE06F0">
        <w:rPr>
          <w:lang w:val="en-US"/>
        </w:rPr>
        <w:t>, while they were younger and had a higher number of stressful life events</w:t>
      </w:r>
      <w:r w:rsidR="00956CF6" w:rsidRPr="00FE06F0">
        <w:rPr>
          <w:lang w:val="en-US"/>
        </w:rPr>
        <w:t xml:space="preserve"> (</w:t>
      </w:r>
      <w:r w:rsidR="00956CF6" w:rsidRPr="00FE06F0">
        <w:rPr>
          <w:b/>
          <w:bCs/>
          <w:lang w:val="en-US"/>
        </w:rPr>
        <w:t>Table 1</w:t>
      </w:r>
      <w:r w:rsidR="00956CF6" w:rsidRPr="00FE06F0">
        <w:rPr>
          <w:lang w:val="en-US"/>
        </w:rPr>
        <w:t>)</w:t>
      </w:r>
      <w:r w:rsidR="00EE4A34" w:rsidRPr="00FE06F0">
        <w:rPr>
          <w:lang w:val="en-US"/>
        </w:rPr>
        <w:t xml:space="preserve">. </w:t>
      </w:r>
      <w:r w:rsidR="00086F01" w:rsidRPr="00FE06F0">
        <w:rPr>
          <w:lang w:val="en-US"/>
        </w:rPr>
        <w:t>The prevalence of subjective concentration complaints was significantly higher in the sexual minority than in the heterosexual group (29.2% versus 21.4%), whereas there was no significant difference in terms of subjective memory complaints (32.5% versus 29.7%</w:t>
      </w:r>
      <w:r w:rsidR="002B0E1B" w:rsidRPr="00FE06F0">
        <w:rPr>
          <w:lang w:val="en-US"/>
        </w:rPr>
        <w:t xml:space="preserve">; </w:t>
      </w:r>
      <w:r w:rsidR="002B0E1B" w:rsidRPr="00FE06F0">
        <w:rPr>
          <w:b/>
          <w:bCs/>
          <w:lang w:val="en-US"/>
        </w:rPr>
        <w:t>Figure 1</w:t>
      </w:r>
      <w:r w:rsidR="00086F01" w:rsidRPr="00FE06F0">
        <w:rPr>
          <w:lang w:val="en-US"/>
        </w:rPr>
        <w:t>).</w:t>
      </w:r>
      <w:r w:rsidR="002B0E1B" w:rsidRPr="00FE06F0">
        <w:rPr>
          <w:lang w:val="en-US"/>
        </w:rPr>
        <w:t xml:space="preserve"> The results of the logistic regression analyses are displayed in </w:t>
      </w:r>
      <w:r w:rsidR="002B0E1B" w:rsidRPr="00FE06F0">
        <w:rPr>
          <w:b/>
          <w:bCs/>
          <w:lang w:val="en-US"/>
        </w:rPr>
        <w:t>Table 2</w:t>
      </w:r>
      <w:r w:rsidR="002B0E1B" w:rsidRPr="00FE06F0">
        <w:rPr>
          <w:lang w:val="en-US"/>
        </w:rPr>
        <w:t xml:space="preserve">. </w:t>
      </w:r>
      <w:r w:rsidR="00B54C4A" w:rsidRPr="00FE06F0">
        <w:rPr>
          <w:lang w:val="en-US"/>
        </w:rPr>
        <w:t>Identifying as a sexual minority</w:t>
      </w:r>
      <w:r w:rsidR="00225B58" w:rsidRPr="00FE06F0">
        <w:rPr>
          <w:lang w:val="en-US"/>
        </w:rPr>
        <w:t xml:space="preserve"> was positively and significantly associated with subjective concentration (OR=1.40, 95% CI=1.12-1.76) but not memory complaints (OR=1.19, 95% CI=0.96-1.47) in the base model adjusted for sex, age, ethnicity, marital status, education, employment, and income.</w:t>
      </w:r>
      <w:r w:rsidR="00DA4E5D" w:rsidRPr="00FE06F0">
        <w:rPr>
          <w:lang w:val="en-US"/>
        </w:rPr>
        <w:t xml:space="preserve"> The number of stressful life events, sleep problems and any anxiety disorder explained 13.4%, 11.0% and 10.9% of the association between sexual orientation and subjective concentration complaints, respectively</w:t>
      </w:r>
      <w:r w:rsidR="00CE1CA3" w:rsidRPr="00FE06F0">
        <w:rPr>
          <w:lang w:val="en-US"/>
        </w:rPr>
        <w:t xml:space="preserve"> (these three variables explained together </w:t>
      </w:r>
      <w:r w:rsidR="001B24AF" w:rsidRPr="00FE06F0">
        <w:rPr>
          <w:lang w:val="en-US"/>
        </w:rPr>
        <w:t>24.8</w:t>
      </w:r>
      <w:r w:rsidR="00CE1CA3" w:rsidRPr="00FE06F0">
        <w:rPr>
          <w:lang w:val="en-US"/>
        </w:rPr>
        <w:t xml:space="preserve">% of the </w:t>
      </w:r>
      <w:r w:rsidR="00F90273" w:rsidRPr="00FE06F0">
        <w:rPr>
          <w:lang w:val="en-US"/>
        </w:rPr>
        <w:t>association</w:t>
      </w:r>
      <w:r w:rsidR="00CE1CA3" w:rsidRPr="00FE06F0">
        <w:rPr>
          <w:lang w:val="en-US"/>
        </w:rPr>
        <w:t>)</w:t>
      </w:r>
      <w:r w:rsidR="00DA4E5D" w:rsidRPr="00FE06F0">
        <w:rPr>
          <w:lang w:val="en-US"/>
        </w:rPr>
        <w:t xml:space="preserve">. </w:t>
      </w:r>
      <w:r w:rsidR="002546E6" w:rsidRPr="00FE06F0">
        <w:rPr>
          <w:lang w:val="en-US"/>
        </w:rPr>
        <w:t xml:space="preserve">When all </w:t>
      </w:r>
      <w:r w:rsidR="006E2D6C" w:rsidRPr="00FE06F0">
        <w:rPr>
          <w:lang w:val="en-US"/>
        </w:rPr>
        <w:t>influential factors</w:t>
      </w:r>
      <w:r w:rsidR="002546E6" w:rsidRPr="00FE06F0">
        <w:rPr>
          <w:lang w:val="en-US"/>
        </w:rPr>
        <w:t xml:space="preserve"> were included in the logistic regression model (i.e., smoking status, alcohol dependence, perceived stress, number of stressful life events, depression, any anxiety disorder, sleep </w:t>
      </w:r>
      <w:r w:rsidR="002546E6" w:rsidRPr="00FE06F0">
        <w:rPr>
          <w:lang w:val="en-US"/>
        </w:rPr>
        <w:lastRenderedPageBreak/>
        <w:t xml:space="preserve">problems, and obesity), these </w:t>
      </w:r>
      <w:r w:rsidR="00B97322" w:rsidRPr="00FE06F0">
        <w:rPr>
          <w:lang w:val="en-US"/>
        </w:rPr>
        <w:t>influential factors</w:t>
      </w:r>
      <w:r w:rsidR="002546E6" w:rsidRPr="00FE06F0">
        <w:rPr>
          <w:lang w:val="en-US"/>
        </w:rPr>
        <w:t xml:space="preserve"> collectively explained 29.6% of the relationship between sexual orientation</w:t>
      </w:r>
      <w:r w:rsidR="00B54C4A" w:rsidRPr="00FE06F0">
        <w:rPr>
          <w:lang w:val="en-US"/>
        </w:rPr>
        <w:t xml:space="preserve"> identity</w:t>
      </w:r>
      <w:r w:rsidR="002546E6" w:rsidRPr="00FE06F0">
        <w:rPr>
          <w:lang w:val="en-US"/>
        </w:rPr>
        <w:t xml:space="preserve"> and subjective concentration complaints. </w:t>
      </w:r>
    </w:p>
    <w:p w14:paraId="709BD79E" w14:textId="25ABBB91" w:rsidR="00E47867" w:rsidRPr="00FE06F0" w:rsidRDefault="00E47867" w:rsidP="005E0EDD">
      <w:pPr>
        <w:spacing w:line="480" w:lineRule="auto"/>
        <w:jc w:val="both"/>
        <w:rPr>
          <w:lang w:val="en-US"/>
        </w:rPr>
      </w:pPr>
    </w:p>
    <w:p w14:paraId="48476432" w14:textId="1F66E069" w:rsidR="00E47867" w:rsidRPr="00FE06F0" w:rsidRDefault="00E47867" w:rsidP="0090415D">
      <w:pPr>
        <w:pStyle w:val="Heading1"/>
        <w:rPr>
          <w:lang w:val="en-US"/>
        </w:rPr>
      </w:pPr>
      <w:r w:rsidRPr="00FE06F0">
        <w:rPr>
          <w:lang w:val="en-US"/>
        </w:rPr>
        <w:t>Discussion</w:t>
      </w:r>
    </w:p>
    <w:p w14:paraId="60FFD842" w14:textId="2917A120" w:rsidR="00E47867" w:rsidRPr="00FE06F0" w:rsidRDefault="00E47867" w:rsidP="00E47867">
      <w:pPr>
        <w:spacing w:line="480" w:lineRule="auto"/>
        <w:jc w:val="both"/>
        <w:rPr>
          <w:lang w:val="en-US"/>
        </w:rPr>
      </w:pPr>
      <w:r w:rsidRPr="00FE06F0">
        <w:rPr>
          <w:lang w:val="en-US"/>
        </w:rPr>
        <w:t>In this large sample of English adults, it was found that</w:t>
      </w:r>
      <w:r w:rsidR="006C054B" w:rsidRPr="00FE06F0">
        <w:rPr>
          <w:lang w:val="en-US"/>
        </w:rPr>
        <w:t xml:space="preserve"> identifying as a</w:t>
      </w:r>
      <w:r w:rsidRPr="00FE06F0">
        <w:rPr>
          <w:lang w:val="en-US"/>
        </w:rPr>
        <w:t xml:space="preserve"> sexual minority was associated with a 1.4 times higher odds of </w:t>
      </w:r>
      <w:r w:rsidR="00F00659" w:rsidRPr="00FE06F0">
        <w:rPr>
          <w:lang w:val="en-US"/>
        </w:rPr>
        <w:t xml:space="preserve">subjective concentration complaints </w:t>
      </w:r>
      <w:r w:rsidRPr="00FE06F0">
        <w:rPr>
          <w:lang w:val="en-US"/>
        </w:rPr>
        <w:t xml:space="preserve">and approximately </w:t>
      </w:r>
      <w:r w:rsidR="001B24AF" w:rsidRPr="00FE06F0">
        <w:rPr>
          <w:lang w:val="en-US"/>
        </w:rPr>
        <w:t>25%</w:t>
      </w:r>
      <w:r w:rsidRPr="00FE06F0">
        <w:rPr>
          <w:lang w:val="en-US"/>
        </w:rPr>
        <w:t xml:space="preserve"> of this association was explained by stressful life events, sleep problems, and anxiety disorders. However, a non-significant association was found between sexual minority orientation and </w:t>
      </w:r>
      <w:r w:rsidR="00566539" w:rsidRPr="00FE06F0">
        <w:rPr>
          <w:lang w:val="en-US"/>
        </w:rPr>
        <w:t xml:space="preserve">subjective </w:t>
      </w:r>
      <w:r w:rsidRPr="00FE06F0">
        <w:rPr>
          <w:lang w:val="en-US"/>
        </w:rPr>
        <w:t xml:space="preserve">memory complaints. </w:t>
      </w:r>
    </w:p>
    <w:p w14:paraId="521843E7" w14:textId="77777777" w:rsidR="00E47867" w:rsidRPr="00FE06F0" w:rsidRDefault="00E47867" w:rsidP="00E47867">
      <w:pPr>
        <w:spacing w:line="480" w:lineRule="auto"/>
        <w:jc w:val="both"/>
        <w:rPr>
          <w:lang w:val="en-US"/>
        </w:rPr>
      </w:pPr>
    </w:p>
    <w:p w14:paraId="21CE7A2A" w14:textId="36FAE719" w:rsidR="00112CAB" w:rsidRPr="00FE06F0" w:rsidRDefault="008C627D" w:rsidP="00E47867">
      <w:pPr>
        <w:spacing w:line="480" w:lineRule="auto"/>
        <w:jc w:val="both"/>
        <w:rPr>
          <w:lang w:val="en-US"/>
        </w:rPr>
      </w:pPr>
      <w:r w:rsidRPr="00FE06F0">
        <w:rPr>
          <w:lang w:val="en-US"/>
        </w:rPr>
        <w:t xml:space="preserve">Our findings </w:t>
      </w:r>
      <w:r w:rsidR="00E47867" w:rsidRPr="00FE06F0">
        <w:rPr>
          <w:lang w:val="en-US"/>
        </w:rPr>
        <w:t xml:space="preserve">supports previous literature through confirming that sexual minorities are at </w:t>
      </w:r>
      <w:r w:rsidR="00F00659" w:rsidRPr="00FE06F0">
        <w:rPr>
          <w:lang w:val="en-US"/>
        </w:rPr>
        <w:t>a high</w:t>
      </w:r>
      <w:r w:rsidR="00E47867" w:rsidRPr="00FE06F0">
        <w:rPr>
          <w:lang w:val="en-US"/>
        </w:rPr>
        <w:t xml:space="preserve"> risk of SCC</w:t>
      </w:r>
      <w:r w:rsidR="00E52A86" w:rsidRPr="00FE06F0">
        <w:rPr>
          <w:lang w:val="en-US"/>
        </w:rPr>
        <w:t xml:space="preserve"> </w:t>
      </w:r>
      <w:r w:rsidR="00E52A86" w:rsidRPr="00FE06F0">
        <w:rPr>
          <w:lang w:val="en-US"/>
        </w:rPr>
        <w:fldChar w:fldCharType="begin"/>
      </w:r>
      <w:r w:rsidR="00EB148B" w:rsidRPr="00FE06F0">
        <w:rPr>
          <w:lang w:val="en-US"/>
        </w:rPr>
        <w:instrText>ADDIN RW.CITE{{doc:5fb95377e4b01429301c78e9 Flatt,JasonD 2018; doc:5ffdd2f28f08f4b5ec2585a1 Fredriksen-Goldsen,KarenI 2018}}</w:instrText>
      </w:r>
      <w:r w:rsidR="00E52A86" w:rsidRPr="00FE06F0">
        <w:rPr>
          <w:lang w:val="en-US"/>
        </w:rPr>
        <w:fldChar w:fldCharType="separate"/>
      </w:r>
      <w:r w:rsidR="00EB148B" w:rsidRPr="00FE06F0">
        <w:rPr>
          <w:bCs/>
          <w:lang w:val="en-US"/>
        </w:rPr>
        <w:t>(Flatt et al., 2018; Fredriksen-Goldsen et al., 2018)</w:t>
      </w:r>
      <w:r w:rsidR="00E52A86" w:rsidRPr="00FE06F0">
        <w:rPr>
          <w:lang w:val="en-US"/>
        </w:rPr>
        <w:fldChar w:fldCharType="end"/>
      </w:r>
      <w:r w:rsidR="00EB148B" w:rsidRPr="00FE06F0">
        <w:rPr>
          <w:lang w:val="en-US"/>
        </w:rPr>
        <w:t xml:space="preserve"> </w:t>
      </w:r>
      <w:r w:rsidR="00E47867" w:rsidRPr="00FE06F0">
        <w:rPr>
          <w:lang w:val="en-US"/>
        </w:rPr>
        <w:t xml:space="preserve">and adds to the literature by demonstrating that such an association </w:t>
      </w:r>
      <w:r w:rsidR="00E07023" w:rsidRPr="00FE06F0">
        <w:rPr>
          <w:lang w:val="en-US"/>
        </w:rPr>
        <w:t xml:space="preserve">also exists </w:t>
      </w:r>
      <w:r w:rsidR="00E47867" w:rsidRPr="00FE06F0">
        <w:rPr>
          <w:lang w:val="en-US"/>
        </w:rPr>
        <w:t>in a large sample</w:t>
      </w:r>
      <w:r w:rsidR="00E07023" w:rsidRPr="00FE06F0">
        <w:rPr>
          <w:lang w:val="en-US"/>
        </w:rPr>
        <w:t xml:space="preserve"> from the UK</w:t>
      </w:r>
      <w:r w:rsidR="00E47867" w:rsidRPr="00FE06F0">
        <w:rPr>
          <w:lang w:val="en-US"/>
        </w:rPr>
        <w:t>.</w:t>
      </w:r>
      <w:r w:rsidR="001F508E" w:rsidRPr="00FE06F0">
        <w:rPr>
          <w:lang w:val="en-US"/>
        </w:rPr>
        <w:t xml:space="preserve"> This study also supports previous finings showing that older sexual minorities are at higher risk of “memory complications” per se</w:t>
      </w:r>
      <w:r w:rsidR="00EB148B" w:rsidRPr="00FE06F0">
        <w:rPr>
          <w:lang w:val="en-US"/>
        </w:rPr>
        <w:t xml:space="preserve"> </w:t>
      </w:r>
      <w:r w:rsidR="00EB148B" w:rsidRPr="00FE06F0">
        <w:rPr>
          <w:lang w:val="en-US"/>
        </w:rPr>
        <w:fldChar w:fldCharType="begin"/>
      </w:r>
      <w:r w:rsidR="00EB148B" w:rsidRPr="00FE06F0">
        <w:rPr>
          <w:lang w:val="en-US"/>
        </w:rPr>
        <w:instrText>ADDIN RW.CITE{{doc:5ffdd64a8f08441a4c8a309f Liu,Hui 2020; doc:5ffdd6738f0807a92c54c2a5 Correro,AnthonyN 2020; doc:5ffdd6c98f0862ba4e5d5889 Mayeux,R 1993}}</w:instrText>
      </w:r>
      <w:r w:rsidR="00EB148B" w:rsidRPr="00FE06F0">
        <w:rPr>
          <w:lang w:val="en-US"/>
        </w:rPr>
        <w:fldChar w:fldCharType="separate"/>
      </w:r>
      <w:r w:rsidR="001011A2" w:rsidRPr="00FE06F0">
        <w:rPr>
          <w:bCs/>
          <w:lang w:val="en-US"/>
        </w:rPr>
        <w:t>(Correro &amp; Nielson, 2020; Liu, Hsieh, Zhang, Zhang, &amp; Langa, 2020; Mayeux et al., 1993)</w:t>
      </w:r>
      <w:r w:rsidR="00EB148B" w:rsidRPr="00FE06F0">
        <w:rPr>
          <w:lang w:val="en-US"/>
        </w:rPr>
        <w:fldChar w:fldCharType="end"/>
      </w:r>
      <w:r w:rsidR="001F508E" w:rsidRPr="00FE06F0">
        <w:rPr>
          <w:lang w:val="en-US"/>
        </w:rPr>
        <w:t>.</w:t>
      </w:r>
      <w:r w:rsidR="001B2499" w:rsidRPr="00FE06F0">
        <w:rPr>
          <w:lang w:val="en-US"/>
        </w:rPr>
        <w:t xml:space="preserve"> </w:t>
      </w:r>
      <w:r w:rsidR="00E47867" w:rsidRPr="00FE06F0">
        <w:rPr>
          <w:lang w:val="en-US"/>
        </w:rPr>
        <w:t xml:space="preserve">Moreover, the present study </w:t>
      </w:r>
      <w:r w:rsidR="00FB3A59" w:rsidRPr="00FE06F0">
        <w:rPr>
          <w:lang w:val="en-US"/>
        </w:rPr>
        <w:t xml:space="preserve">shows for the first time </w:t>
      </w:r>
      <w:r w:rsidR="00E47867" w:rsidRPr="00FE06F0">
        <w:rPr>
          <w:lang w:val="en-US"/>
        </w:rPr>
        <w:t>that a large proportion of the association</w:t>
      </w:r>
      <w:r w:rsidR="000636BE" w:rsidRPr="00FE06F0">
        <w:rPr>
          <w:lang w:val="en-US"/>
        </w:rPr>
        <w:t xml:space="preserve"> between sexual minority identity and SCC</w:t>
      </w:r>
      <w:r w:rsidR="00E47867" w:rsidRPr="00FE06F0">
        <w:rPr>
          <w:lang w:val="en-US"/>
        </w:rPr>
        <w:t xml:space="preserve"> </w:t>
      </w:r>
      <w:r w:rsidR="00FB3A59" w:rsidRPr="00FE06F0">
        <w:rPr>
          <w:lang w:val="en-US"/>
        </w:rPr>
        <w:t xml:space="preserve">may </w:t>
      </w:r>
      <w:r w:rsidR="00E47867" w:rsidRPr="00FE06F0">
        <w:rPr>
          <w:lang w:val="en-US"/>
        </w:rPr>
        <w:t>be explained by stress</w:t>
      </w:r>
      <w:r w:rsidR="00652EE5" w:rsidRPr="00FE06F0">
        <w:rPr>
          <w:lang w:val="en-US"/>
        </w:rPr>
        <w:t>ful life events</w:t>
      </w:r>
      <w:r w:rsidR="00E47867" w:rsidRPr="00FE06F0">
        <w:rPr>
          <w:lang w:val="en-US"/>
        </w:rPr>
        <w:t>, sleep problems</w:t>
      </w:r>
      <w:r w:rsidR="00FB3A59" w:rsidRPr="00FE06F0">
        <w:rPr>
          <w:lang w:val="en-US"/>
        </w:rPr>
        <w:t>,</w:t>
      </w:r>
      <w:r w:rsidR="00E47867" w:rsidRPr="00FE06F0">
        <w:rPr>
          <w:lang w:val="en-US"/>
        </w:rPr>
        <w:t xml:space="preserve"> and anxiety. Finally, this study advances the field by demonstrating that there is a more nuanced association in that </w:t>
      </w:r>
      <w:r w:rsidR="006C054B" w:rsidRPr="00FE06F0">
        <w:rPr>
          <w:lang w:val="en-US"/>
        </w:rPr>
        <w:t>identifying as a sexual minority is</w:t>
      </w:r>
      <w:r w:rsidR="00E47867" w:rsidRPr="00FE06F0">
        <w:rPr>
          <w:lang w:val="en-US"/>
        </w:rPr>
        <w:t xml:space="preserve"> significantly associated with some aspects of SCC, but not all. </w:t>
      </w:r>
    </w:p>
    <w:p w14:paraId="1C4E5C62" w14:textId="77777777" w:rsidR="00F00659" w:rsidRPr="00FE06F0" w:rsidRDefault="00F00659" w:rsidP="00E47867">
      <w:pPr>
        <w:spacing w:line="480" w:lineRule="auto"/>
        <w:jc w:val="both"/>
        <w:rPr>
          <w:lang w:val="en-US"/>
        </w:rPr>
      </w:pPr>
    </w:p>
    <w:p w14:paraId="6DFF76CD" w14:textId="152F6A78" w:rsidR="00E47867" w:rsidRPr="00FE06F0" w:rsidRDefault="0089616E" w:rsidP="00E47867">
      <w:pPr>
        <w:spacing w:line="480" w:lineRule="auto"/>
        <w:jc w:val="both"/>
        <w:rPr>
          <w:lang w:val="en-US"/>
        </w:rPr>
      </w:pPr>
      <w:r w:rsidRPr="00FE06F0">
        <w:rPr>
          <w:lang w:val="en-US"/>
        </w:rPr>
        <w:t xml:space="preserve">However, </w:t>
      </w:r>
      <w:r w:rsidR="00360395" w:rsidRPr="00FE06F0">
        <w:rPr>
          <w:lang w:val="en-US"/>
        </w:rPr>
        <w:t>only about 30% of the association between sexual orientation</w:t>
      </w:r>
      <w:r w:rsidR="006C054B" w:rsidRPr="00FE06F0">
        <w:rPr>
          <w:lang w:val="en-US"/>
        </w:rPr>
        <w:t xml:space="preserve"> identities</w:t>
      </w:r>
      <w:r w:rsidR="00360395" w:rsidRPr="00FE06F0">
        <w:rPr>
          <w:lang w:val="en-US"/>
        </w:rPr>
        <w:t xml:space="preserve"> and SCC was explained by the influential factors assessed in our study. Thus, other factors not assessed in our study are also likely to explain the observed association. </w:t>
      </w:r>
      <w:r w:rsidR="00E47867" w:rsidRPr="00FE06F0">
        <w:rPr>
          <w:lang w:val="en-US"/>
        </w:rPr>
        <w:t>First</w:t>
      </w:r>
      <w:r w:rsidR="00D40F95" w:rsidRPr="00FE06F0">
        <w:rPr>
          <w:lang w:val="en-US"/>
        </w:rPr>
        <w:t xml:space="preserve">ly, it is widely recognized that sexual minorities are at increased risk of experiencing prejudice, </w:t>
      </w:r>
      <w:proofErr w:type="gramStart"/>
      <w:r w:rsidR="00D40F95" w:rsidRPr="00FE06F0">
        <w:rPr>
          <w:lang w:val="en-US"/>
        </w:rPr>
        <w:t>discrimination</w:t>
      </w:r>
      <w:proofErr w:type="gramEnd"/>
      <w:r w:rsidR="00D40F95" w:rsidRPr="00FE06F0">
        <w:rPr>
          <w:lang w:val="en-US"/>
        </w:rPr>
        <w:t xml:space="preserve"> and </w:t>
      </w:r>
      <w:r w:rsidR="00D40F95" w:rsidRPr="00FE06F0">
        <w:rPr>
          <w:lang w:val="en-US"/>
        </w:rPr>
        <w:lastRenderedPageBreak/>
        <w:t xml:space="preserve">victimization. These experiences increase levels of stress among these populations and may contribute to poor sleep levels, increased </w:t>
      </w:r>
      <w:proofErr w:type="gramStart"/>
      <w:r w:rsidR="00D40F95" w:rsidRPr="00FE06F0">
        <w:rPr>
          <w:lang w:val="en-US"/>
        </w:rPr>
        <w:t>anxiety</w:t>
      </w:r>
      <w:proofErr w:type="gramEnd"/>
      <w:r w:rsidR="00D40F95" w:rsidRPr="00FE06F0">
        <w:rPr>
          <w:lang w:val="en-US"/>
        </w:rPr>
        <w:t xml:space="preserve"> and other mental health concerns. </w:t>
      </w:r>
      <w:r w:rsidR="000636BE" w:rsidRPr="00FE06F0">
        <w:rPr>
          <w:lang w:val="en-US"/>
        </w:rPr>
        <w:t xml:space="preserve">For example, </w:t>
      </w:r>
      <w:r w:rsidR="00FB0EF5" w:rsidRPr="00FE06F0">
        <w:rPr>
          <w:lang w:val="en-US"/>
        </w:rPr>
        <w:t>in a recent study it was found that among sexual minority participants, discrimination based on age and sexual orientation predicted greater levels of</w:t>
      </w:r>
      <w:r w:rsidR="00ED37F4" w:rsidRPr="00FE06F0">
        <w:rPr>
          <w:lang w:val="en-US"/>
        </w:rPr>
        <w:t xml:space="preserve"> mental health concerns</w:t>
      </w:r>
      <w:r w:rsidR="00511101" w:rsidRPr="00FE06F0">
        <w:rPr>
          <w:lang w:val="en-US"/>
        </w:rPr>
        <w:t xml:space="preserve"> </w:t>
      </w:r>
      <w:r w:rsidR="00511101" w:rsidRPr="00FE06F0">
        <w:rPr>
          <w:lang w:val="en-US"/>
        </w:rPr>
        <w:fldChar w:fldCharType="begin"/>
      </w:r>
      <w:r w:rsidR="00511101" w:rsidRPr="00FE06F0">
        <w:rPr>
          <w:lang w:val="en-US"/>
        </w:rPr>
        <w:instrText>ADDIN RW.CITE{{doc:5ffddac28f0807a92c54c306 Lytle,Ashley 2018}}</w:instrText>
      </w:r>
      <w:r w:rsidR="00511101" w:rsidRPr="00FE06F0">
        <w:rPr>
          <w:lang w:val="en-US"/>
        </w:rPr>
        <w:fldChar w:fldCharType="separate"/>
      </w:r>
      <w:r w:rsidR="001011A2" w:rsidRPr="00FE06F0">
        <w:rPr>
          <w:bCs/>
          <w:lang w:val="en-US"/>
        </w:rPr>
        <w:t>(Lytle, Apriceno, Dyar, &amp; Levy, 2018)</w:t>
      </w:r>
      <w:r w:rsidR="00511101" w:rsidRPr="00FE06F0">
        <w:rPr>
          <w:lang w:val="en-US"/>
        </w:rPr>
        <w:fldChar w:fldCharType="end"/>
      </w:r>
      <w:r w:rsidR="00FB0EF5" w:rsidRPr="00FE06F0">
        <w:rPr>
          <w:lang w:val="en-US"/>
        </w:rPr>
        <w:t xml:space="preserve">. </w:t>
      </w:r>
      <w:r w:rsidR="000636BE" w:rsidRPr="00FE06F0">
        <w:rPr>
          <w:lang w:val="en-US"/>
        </w:rPr>
        <w:t xml:space="preserve"> </w:t>
      </w:r>
      <w:r w:rsidR="00D40F95" w:rsidRPr="00FE06F0">
        <w:rPr>
          <w:lang w:val="en-US"/>
        </w:rPr>
        <w:t xml:space="preserve">Secondly, </w:t>
      </w:r>
      <w:r w:rsidR="00E47867" w:rsidRPr="00FE06F0">
        <w:rPr>
          <w:lang w:val="en-US"/>
        </w:rPr>
        <w:t>sexual minorities, at least in the case for</w:t>
      </w:r>
      <w:r w:rsidR="001F508E" w:rsidRPr="00FE06F0">
        <w:rPr>
          <w:lang w:val="en-US"/>
        </w:rPr>
        <w:t xml:space="preserve"> non-monogamous</w:t>
      </w:r>
      <w:r w:rsidR="00E47867" w:rsidRPr="00FE06F0">
        <w:rPr>
          <w:lang w:val="en-US"/>
        </w:rPr>
        <w:t xml:space="preserve"> men who have sex with men, are disproportionally impacted by HIV, which in itself is a risk factor for cognitive impairment and dementia</w:t>
      </w:r>
      <w:r w:rsidR="00E52A86" w:rsidRPr="00FE06F0">
        <w:rPr>
          <w:lang w:val="en-US"/>
        </w:rPr>
        <w:t xml:space="preserve"> </w:t>
      </w:r>
      <w:r w:rsidR="00E52A86" w:rsidRPr="00FE06F0">
        <w:rPr>
          <w:lang w:val="en-US"/>
        </w:rPr>
        <w:fldChar w:fldCharType="begin"/>
      </w:r>
      <w:r w:rsidR="00E52A86" w:rsidRPr="00FE06F0">
        <w:rPr>
          <w:lang w:val="en-US"/>
        </w:rPr>
        <w:instrText>ADDIN RW.CITE{{doc:5fb9736be4b093e27f3a334d Rourke,SeanB 1999; doc:5fb9741de4b0d9a6ddbc9a17 Heaton,RobertK 2011}}</w:instrText>
      </w:r>
      <w:r w:rsidR="00E52A86" w:rsidRPr="00FE06F0">
        <w:rPr>
          <w:lang w:val="en-US"/>
        </w:rPr>
        <w:fldChar w:fldCharType="separate"/>
      </w:r>
      <w:r w:rsidR="001011A2" w:rsidRPr="00FE06F0">
        <w:rPr>
          <w:bCs/>
          <w:lang w:val="en-US"/>
        </w:rPr>
        <w:t>(Heaton et al., 2011; Rourke, Halman, &amp; Bassel, 1999)</w:t>
      </w:r>
      <w:r w:rsidR="00E52A86" w:rsidRPr="00FE06F0">
        <w:rPr>
          <w:lang w:val="en-US"/>
        </w:rPr>
        <w:fldChar w:fldCharType="end"/>
      </w:r>
      <w:r w:rsidR="00E47867" w:rsidRPr="00FE06F0">
        <w:rPr>
          <w:lang w:val="en-US"/>
        </w:rPr>
        <w:t>.</w:t>
      </w:r>
      <w:r w:rsidR="00E52A86" w:rsidRPr="00FE06F0">
        <w:rPr>
          <w:lang w:val="en-US"/>
        </w:rPr>
        <w:t xml:space="preserve"> </w:t>
      </w:r>
      <w:r w:rsidR="006C054B" w:rsidRPr="00FE06F0">
        <w:rPr>
          <w:lang w:val="en-US"/>
        </w:rPr>
        <w:t xml:space="preserve">It is possible that among these </w:t>
      </w:r>
      <w:r w:rsidR="00062BBF" w:rsidRPr="00FE06F0">
        <w:rPr>
          <w:lang w:val="en-US"/>
        </w:rPr>
        <w:t>groups</w:t>
      </w:r>
      <w:r w:rsidR="006C054B" w:rsidRPr="00FE06F0">
        <w:rPr>
          <w:lang w:val="en-US"/>
        </w:rPr>
        <w:t xml:space="preserve">, a higher incidence of HIV diagnosis may help explain higher levels of SCC. </w:t>
      </w:r>
      <w:r w:rsidR="00D40F95" w:rsidRPr="00FE06F0">
        <w:rPr>
          <w:lang w:val="en-US"/>
        </w:rPr>
        <w:t>Finally</w:t>
      </w:r>
      <w:r w:rsidR="006C054B" w:rsidRPr="00FE06F0">
        <w:rPr>
          <w:lang w:val="en-US"/>
        </w:rPr>
        <w:t xml:space="preserve">, among some </w:t>
      </w:r>
      <w:r w:rsidR="00D40F95" w:rsidRPr="00FE06F0">
        <w:rPr>
          <w:lang w:val="en-US"/>
        </w:rPr>
        <w:t>communities, there may be a greater tendency to engage</w:t>
      </w:r>
      <w:r w:rsidR="00E47867" w:rsidRPr="00FE06F0">
        <w:rPr>
          <w:lang w:val="en-US"/>
        </w:rPr>
        <w:t xml:space="preserve"> in some unfavorable lifestyle </w:t>
      </w:r>
      <w:proofErr w:type="spellStart"/>
      <w:r w:rsidR="00E47867" w:rsidRPr="00FE06F0">
        <w:rPr>
          <w:lang w:val="en-US"/>
        </w:rPr>
        <w:t>behaviours</w:t>
      </w:r>
      <w:proofErr w:type="spellEnd"/>
      <w:r w:rsidR="00E47867" w:rsidRPr="00FE06F0">
        <w:rPr>
          <w:lang w:val="en-US"/>
        </w:rPr>
        <w:t xml:space="preserve"> including, for example</w:t>
      </w:r>
      <w:r w:rsidR="00BB0E1E" w:rsidRPr="00FE06F0">
        <w:rPr>
          <w:lang w:val="en-US"/>
        </w:rPr>
        <w:t xml:space="preserve"> an</w:t>
      </w:r>
      <w:r w:rsidR="00511101" w:rsidRPr="00FE06F0">
        <w:rPr>
          <w:lang w:val="en-US"/>
        </w:rPr>
        <w:t xml:space="preserve"> </w:t>
      </w:r>
      <w:r w:rsidR="00D40F95" w:rsidRPr="00FE06F0">
        <w:rPr>
          <w:lang w:val="en-US"/>
        </w:rPr>
        <w:t xml:space="preserve"> increased use of alcohol and narcotics, </w:t>
      </w:r>
      <w:r w:rsidR="00E47867" w:rsidRPr="00FE06F0">
        <w:rPr>
          <w:lang w:val="en-US"/>
        </w:rPr>
        <w:t>which ha</w:t>
      </w:r>
      <w:r w:rsidR="00D40F95" w:rsidRPr="00FE06F0">
        <w:rPr>
          <w:lang w:val="en-US"/>
        </w:rPr>
        <w:t>ve</w:t>
      </w:r>
      <w:r w:rsidR="00E47867" w:rsidRPr="00FE06F0">
        <w:rPr>
          <w:lang w:val="en-US"/>
        </w:rPr>
        <w:t xml:space="preserve"> been shown to have a detrimental impact on cognition</w:t>
      </w:r>
      <w:r w:rsidR="00575A9B" w:rsidRPr="00FE06F0">
        <w:rPr>
          <w:lang w:val="en-US"/>
        </w:rPr>
        <w:t xml:space="preserve"> </w:t>
      </w:r>
      <w:r w:rsidR="00575A9B" w:rsidRPr="00FE06F0">
        <w:rPr>
          <w:lang w:val="en-US"/>
        </w:rPr>
        <w:fldChar w:fldCharType="begin"/>
      </w:r>
      <w:r w:rsidR="00575A9B" w:rsidRPr="00FE06F0">
        <w:rPr>
          <w:lang w:val="en-US"/>
        </w:rPr>
        <w:instrText>ADDIN RW.CITE{{doc:5fb97492e4b093e27f3a337b Jedrziewski,MKathryn 2007}}</w:instrText>
      </w:r>
      <w:r w:rsidR="00575A9B" w:rsidRPr="00FE06F0">
        <w:rPr>
          <w:lang w:val="en-US"/>
        </w:rPr>
        <w:fldChar w:fldCharType="separate"/>
      </w:r>
      <w:r w:rsidR="001011A2" w:rsidRPr="00FE06F0">
        <w:rPr>
          <w:bCs/>
          <w:lang w:val="en-US"/>
        </w:rPr>
        <w:t>(Jedrziewski, Lee, &amp; Trojanowski, 2007)</w:t>
      </w:r>
      <w:r w:rsidR="00575A9B" w:rsidRPr="00FE06F0">
        <w:rPr>
          <w:lang w:val="en-US"/>
        </w:rPr>
        <w:fldChar w:fldCharType="end"/>
      </w:r>
      <w:r w:rsidR="00575A9B" w:rsidRPr="00FE06F0">
        <w:rPr>
          <w:lang w:val="en-US"/>
        </w:rPr>
        <w:t>.</w:t>
      </w:r>
    </w:p>
    <w:p w14:paraId="7C7D7EB2" w14:textId="77777777" w:rsidR="00E47867" w:rsidRPr="00FE06F0" w:rsidRDefault="00E47867" w:rsidP="00E47867">
      <w:pPr>
        <w:spacing w:line="480" w:lineRule="auto"/>
        <w:jc w:val="both"/>
        <w:rPr>
          <w:lang w:val="en-US"/>
        </w:rPr>
      </w:pPr>
    </w:p>
    <w:p w14:paraId="757265FA" w14:textId="0FAB39D0" w:rsidR="00E47867" w:rsidRPr="00FE06F0" w:rsidRDefault="00E47867" w:rsidP="00E47867">
      <w:pPr>
        <w:spacing w:line="480" w:lineRule="auto"/>
        <w:jc w:val="both"/>
        <w:rPr>
          <w:lang w:val="en-US"/>
        </w:rPr>
      </w:pPr>
      <w:r w:rsidRPr="00FE06F0">
        <w:rPr>
          <w:lang w:val="en-US"/>
        </w:rPr>
        <w:t xml:space="preserve">It should be noted that although </w:t>
      </w:r>
      <w:r w:rsidR="00D40F95" w:rsidRPr="00FE06F0">
        <w:rPr>
          <w:lang w:val="en-US"/>
        </w:rPr>
        <w:t>identifying as a sexual minority</w:t>
      </w:r>
      <w:r w:rsidRPr="00FE06F0">
        <w:rPr>
          <w:lang w:val="en-US"/>
        </w:rPr>
        <w:t xml:space="preserve"> was associated with concentration complaints</w:t>
      </w:r>
      <w:r w:rsidR="00360395" w:rsidRPr="00FE06F0">
        <w:rPr>
          <w:lang w:val="en-US"/>
        </w:rPr>
        <w:t>,</w:t>
      </w:r>
      <w:r w:rsidRPr="00FE06F0">
        <w:rPr>
          <w:lang w:val="en-US"/>
        </w:rPr>
        <w:t xml:space="preserve"> it was non-significantly associated with memory complaints. The reason for the weaker association between sexual minority orientation and memory complaints and not concentration complaints is elusive and further research is needed to understand these nuanced findings. </w:t>
      </w:r>
    </w:p>
    <w:p w14:paraId="40BF16A4" w14:textId="77777777" w:rsidR="00E47867" w:rsidRPr="00FE06F0" w:rsidRDefault="00E47867" w:rsidP="00E47867">
      <w:pPr>
        <w:spacing w:line="480" w:lineRule="auto"/>
        <w:jc w:val="both"/>
        <w:rPr>
          <w:lang w:val="en-US"/>
        </w:rPr>
      </w:pPr>
    </w:p>
    <w:p w14:paraId="56CEA11A" w14:textId="494511B3" w:rsidR="009D5FD8" w:rsidRPr="00FE06F0" w:rsidRDefault="00E47867" w:rsidP="00E47867">
      <w:pPr>
        <w:spacing w:line="480" w:lineRule="auto"/>
        <w:jc w:val="both"/>
      </w:pPr>
      <w:r w:rsidRPr="00FE06F0">
        <w:rPr>
          <w:lang w:val="en-US"/>
        </w:rPr>
        <w:t>Findings fr</w:t>
      </w:r>
      <w:r w:rsidR="00575A9B" w:rsidRPr="00FE06F0">
        <w:rPr>
          <w:lang w:val="en-US"/>
        </w:rPr>
        <w:t xml:space="preserve">om the present study and others </w:t>
      </w:r>
      <w:r w:rsidR="00575A9B" w:rsidRPr="00FE06F0">
        <w:rPr>
          <w:lang w:val="en-US"/>
        </w:rPr>
        <w:fldChar w:fldCharType="begin"/>
      </w:r>
      <w:r w:rsidR="00575A9B" w:rsidRPr="00FE06F0">
        <w:rPr>
          <w:lang w:val="en-US"/>
        </w:rPr>
        <w:instrText>ADDIN RW.CITE{{doc:5fb95377e4b01429301c78e9 Flatt,JasonD 2018}}</w:instrText>
      </w:r>
      <w:r w:rsidR="00575A9B" w:rsidRPr="00FE06F0">
        <w:rPr>
          <w:lang w:val="en-US"/>
        </w:rPr>
        <w:fldChar w:fldCharType="separate"/>
      </w:r>
      <w:r w:rsidR="00575A9B" w:rsidRPr="00FE06F0">
        <w:rPr>
          <w:bCs/>
          <w:lang w:val="en-US"/>
        </w:rPr>
        <w:t>(Flatt et al., 2018)</w:t>
      </w:r>
      <w:r w:rsidR="00575A9B" w:rsidRPr="00FE06F0">
        <w:rPr>
          <w:lang w:val="en-US"/>
        </w:rPr>
        <w:fldChar w:fldCharType="end"/>
      </w:r>
      <w:r w:rsidR="00575A9B" w:rsidRPr="00FE06F0">
        <w:rPr>
          <w:lang w:val="en-US"/>
        </w:rPr>
        <w:t xml:space="preserve"> </w:t>
      </w:r>
      <w:r w:rsidRPr="00FE06F0">
        <w:rPr>
          <w:lang w:val="en-US"/>
        </w:rPr>
        <w:t xml:space="preserve">suggest that it may be prudent to develop intervention and policy to prevent SCC among those who identify as a sexual minority. Such strategies should focus on </w:t>
      </w:r>
      <w:r w:rsidR="00047224" w:rsidRPr="00FE06F0">
        <w:rPr>
          <w:lang w:val="en-US"/>
        </w:rPr>
        <w:t xml:space="preserve">increasing resilience to </w:t>
      </w:r>
      <w:r w:rsidR="00481737" w:rsidRPr="00FE06F0">
        <w:rPr>
          <w:lang w:val="en-US"/>
        </w:rPr>
        <w:t>stressful life events</w:t>
      </w:r>
      <w:r w:rsidRPr="00FE06F0">
        <w:rPr>
          <w:lang w:val="en-US"/>
        </w:rPr>
        <w:t>, improving sleep, and reducing anxiety since these explained a large proportion of the observed association between sexual orientation and SCC.</w:t>
      </w:r>
      <w:r w:rsidR="00F25052" w:rsidRPr="00FE06F0">
        <w:rPr>
          <w:lang w:val="en-US"/>
        </w:rPr>
        <w:t xml:space="preserve"> Although there are pharmacological treatments for sleep</w:t>
      </w:r>
      <w:r w:rsidR="005D3807" w:rsidRPr="00FE06F0">
        <w:rPr>
          <w:lang w:val="en-US"/>
        </w:rPr>
        <w:t xml:space="preserve"> problems</w:t>
      </w:r>
      <w:r w:rsidR="00F25052" w:rsidRPr="00FE06F0">
        <w:rPr>
          <w:lang w:val="en-US"/>
        </w:rPr>
        <w:t xml:space="preserve"> and anxiety</w:t>
      </w:r>
      <w:r w:rsidRPr="00FE06F0">
        <w:rPr>
          <w:lang w:val="en-US"/>
        </w:rPr>
        <w:t xml:space="preserve">, </w:t>
      </w:r>
      <w:r w:rsidR="005D3807" w:rsidRPr="00FE06F0">
        <w:rPr>
          <w:lang w:val="en-US"/>
        </w:rPr>
        <w:t xml:space="preserve">changes in lifestyle factors may also be important. For example, </w:t>
      </w:r>
      <w:r w:rsidRPr="00FE06F0">
        <w:rPr>
          <w:lang w:val="en-US"/>
        </w:rPr>
        <w:t xml:space="preserve">the </w:t>
      </w:r>
      <w:r w:rsidRPr="00FE06F0">
        <w:rPr>
          <w:lang w:val="en-US"/>
        </w:rPr>
        <w:lastRenderedPageBreak/>
        <w:t>promotion of physical activity has been shown to improve stress</w:t>
      </w:r>
      <w:r w:rsidR="00575A9B" w:rsidRPr="00FE06F0">
        <w:rPr>
          <w:lang w:val="en-US"/>
        </w:rPr>
        <w:t xml:space="preserve"> </w:t>
      </w:r>
      <w:r w:rsidR="00575A9B" w:rsidRPr="00FE06F0">
        <w:rPr>
          <w:lang w:val="en-US"/>
        </w:rPr>
        <w:fldChar w:fldCharType="begin"/>
      </w:r>
      <w:r w:rsidR="00575A9B" w:rsidRPr="00FE06F0">
        <w:rPr>
          <w:lang w:val="en-US"/>
        </w:rPr>
        <w:instrText>ADDIN RW.CITE{{doc:5fb97540e4b03c15cb8ed1bb MayoClinicStaff 2020}}</w:instrText>
      </w:r>
      <w:r w:rsidR="00575A9B" w:rsidRPr="00FE06F0">
        <w:rPr>
          <w:lang w:val="en-US"/>
        </w:rPr>
        <w:fldChar w:fldCharType="separate"/>
      </w:r>
      <w:r w:rsidR="00575A9B" w:rsidRPr="00FE06F0">
        <w:rPr>
          <w:bCs/>
          <w:lang w:val="en-US"/>
        </w:rPr>
        <w:t>(Mayo Clinic Staff, 2020)</w:t>
      </w:r>
      <w:r w:rsidR="00575A9B" w:rsidRPr="00FE06F0">
        <w:rPr>
          <w:lang w:val="en-US"/>
        </w:rPr>
        <w:fldChar w:fldCharType="end"/>
      </w:r>
      <w:r w:rsidRPr="00FE06F0">
        <w:rPr>
          <w:lang w:val="en-US"/>
        </w:rPr>
        <w:t>,  sleep status</w:t>
      </w:r>
      <w:r w:rsidR="00575A9B" w:rsidRPr="00FE06F0">
        <w:rPr>
          <w:lang w:val="en-US"/>
        </w:rPr>
        <w:t xml:space="preserve"> </w:t>
      </w:r>
      <w:r w:rsidR="00575A9B" w:rsidRPr="00FE06F0">
        <w:rPr>
          <w:lang w:val="en-US"/>
        </w:rPr>
        <w:fldChar w:fldCharType="begin"/>
      </w:r>
      <w:r w:rsidR="00575A9B" w:rsidRPr="00FE06F0">
        <w:rPr>
          <w:lang w:val="en-US"/>
        </w:rPr>
        <w:instrText>ADDIN RW.CITE{{doc:5fb976a1e4b027b9adf9f7ee NationalSleepFoundation 2020}}</w:instrText>
      </w:r>
      <w:r w:rsidR="00575A9B" w:rsidRPr="00FE06F0">
        <w:rPr>
          <w:lang w:val="en-US"/>
        </w:rPr>
        <w:fldChar w:fldCharType="separate"/>
      </w:r>
      <w:r w:rsidR="00575A9B" w:rsidRPr="00FE06F0">
        <w:rPr>
          <w:bCs/>
          <w:lang w:val="en-US"/>
        </w:rPr>
        <w:t>(National Sleep Foundation, 2020)</w:t>
      </w:r>
      <w:r w:rsidR="00575A9B" w:rsidRPr="00FE06F0">
        <w:rPr>
          <w:lang w:val="en-US"/>
        </w:rPr>
        <w:fldChar w:fldCharType="end"/>
      </w:r>
      <w:r w:rsidRPr="00FE06F0">
        <w:rPr>
          <w:lang w:val="en-US"/>
        </w:rPr>
        <w:t>,</w:t>
      </w:r>
      <w:r w:rsidR="00575A9B" w:rsidRPr="00FE06F0">
        <w:rPr>
          <w:lang w:val="en-US"/>
        </w:rPr>
        <w:t xml:space="preserve"> </w:t>
      </w:r>
      <w:r w:rsidRPr="00FE06F0">
        <w:rPr>
          <w:lang w:val="en-US"/>
        </w:rPr>
        <w:t xml:space="preserve">and reduce anxiety symptoms </w:t>
      </w:r>
      <w:r w:rsidR="003F659E" w:rsidRPr="00FE06F0">
        <w:rPr>
          <w:lang w:val="en-US"/>
        </w:rPr>
        <w:fldChar w:fldCharType="begin"/>
      </w:r>
      <w:r w:rsidR="003F659E" w:rsidRPr="00FE06F0">
        <w:rPr>
          <w:lang w:val="en-US"/>
        </w:rPr>
        <w:instrText>ADDIN RW.CITE{{doc:5fb9771fe4b00ce6e93906e9 McDowell,CillianP 2019}}</w:instrText>
      </w:r>
      <w:r w:rsidR="003F659E" w:rsidRPr="00FE06F0">
        <w:rPr>
          <w:lang w:val="en-US"/>
        </w:rPr>
        <w:fldChar w:fldCharType="separate"/>
      </w:r>
      <w:r w:rsidR="001011A2" w:rsidRPr="00FE06F0">
        <w:rPr>
          <w:bCs/>
          <w:lang w:val="en-US"/>
        </w:rPr>
        <w:t>(McDowell, Dishman, Gordon, &amp; Herring, 2019)</w:t>
      </w:r>
      <w:r w:rsidR="003F659E" w:rsidRPr="00FE06F0">
        <w:rPr>
          <w:lang w:val="en-US"/>
        </w:rPr>
        <w:fldChar w:fldCharType="end"/>
      </w:r>
      <w:r w:rsidR="003F659E" w:rsidRPr="00FE06F0">
        <w:rPr>
          <w:lang w:val="en-US"/>
        </w:rPr>
        <w:t xml:space="preserve">. </w:t>
      </w:r>
      <w:r w:rsidRPr="00FE06F0">
        <w:rPr>
          <w:lang w:val="en-US"/>
        </w:rPr>
        <w:t xml:space="preserve">Therefore, it is possible that the promotion of physical activity among sexual minority groups may </w:t>
      </w:r>
      <w:r w:rsidR="005D3807" w:rsidRPr="00FE06F0">
        <w:rPr>
          <w:lang w:val="en-US"/>
        </w:rPr>
        <w:t>lead to reduction in SCC.</w:t>
      </w:r>
      <w:r w:rsidR="003D3564" w:rsidRPr="00FE06F0">
        <w:rPr>
          <w:lang w:val="en-US"/>
        </w:rPr>
        <w:t xml:space="preserve"> Specifically, interventions that contain mind-body exercises (e.g. tai-chi, yoga) may result in favorable outcomes in relation to all mediators identified in the present study</w:t>
      </w:r>
      <w:r w:rsidR="00511101" w:rsidRPr="00FE06F0">
        <w:rPr>
          <w:lang w:val="en-US"/>
        </w:rPr>
        <w:t xml:space="preserve"> </w:t>
      </w:r>
      <w:r w:rsidR="00511101" w:rsidRPr="00FE06F0">
        <w:rPr>
          <w:lang w:val="en-US"/>
        </w:rPr>
        <w:fldChar w:fldCharType="begin"/>
      </w:r>
      <w:r w:rsidR="00511101" w:rsidRPr="00FE06F0">
        <w:rPr>
          <w:lang w:val="en-US"/>
        </w:rPr>
        <w:instrText>ADDIN RW.CITE{{doc:5ffddbd58f0887e42f7eb2cc Kirkwood,Graham 2005; doc:5ffddc038f08dc6660bcac7d Abbott,Ryan 2013; doc:5ffddc638f08dc6660bcac8b Chen,Kuei-Min 2010}}</w:instrText>
      </w:r>
      <w:r w:rsidR="00511101" w:rsidRPr="00FE06F0">
        <w:rPr>
          <w:lang w:val="en-US"/>
        </w:rPr>
        <w:fldChar w:fldCharType="separate"/>
      </w:r>
      <w:r w:rsidR="001011A2" w:rsidRPr="00FE06F0">
        <w:rPr>
          <w:bCs/>
          <w:lang w:val="en-US"/>
        </w:rPr>
        <w:t>(Abbott &amp; Lavretsky, 2013; Chen et al., 2010; Kirkwood, Rampes, Tuffrey, Richardson, &amp; Pilkington, 2005)</w:t>
      </w:r>
      <w:r w:rsidR="00511101" w:rsidRPr="00FE06F0">
        <w:rPr>
          <w:lang w:val="en-US"/>
        </w:rPr>
        <w:fldChar w:fldCharType="end"/>
      </w:r>
      <w:r w:rsidR="003D3564" w:rsidRPr="00FE06F0">
        <w:rPr>
          <w:lang w:val="en-US"/>
        </w:rPr>
        <w:t>.</w:t>
      </w:r>
      <w:r w:rsidR="003D3564" w:rsidRPr="00FE06F0">
        <w:t xml:space="preserve">    </w:t>
      </w:r>
    </w:p>
    <w:p w14:paraId="44BC9EDC" w14:textId="77777777" w:rsidR="009D5FD8" w:rsidRPr="00FE06F0" w:rsidRDefault="009D5FD8" w:rsidP="00E47867">
      <w:pPr>
        <w:spacing w:line="480" w:lineRule="auto"/>
        <w:jc w:val="both"/>
      </w:pPr>
    </w:p>
    <w:p w14:paraId="273D6EB8" w14:textId="37AEB61E" w:rsidR="00E47867" w:rsidRPr="00FE06F0" w:rsidRDefault="00E47867" w:rsidP="00E47867">
      <w:pPr>
        <w:spacing w:line="480" w:lineRule="auto"/>
        <w:jc w:val="both"/>
        <w:rPr>
          <w:lang w:val="en-US"/>
        </w:rPr>
      </w:pPr>
      <w:r w:rsidRPr="00FE06F0">
        <w:rPr>
          <w:lang w:val="en-US"/>
        </w:rPr>
        <w:t xml:space="preserve">The investigation of multiple domains of SCC and the large sample of English adults are clear strengths of the present study. However, findings must be interpreted in </w:t>
      </w:r>
      <w:r w:rsidR="005D3807" w:rsidRPr="00FE06F0">
        <w:rPr>
          <w:lang w:val="en-US"/>
        </w:rPr>
        <w:t xml:space="preserve">the </w:t>
      </w:r>
      <w:r w:rsidRPr="00FE06F0">
        <w:rPr>
          <w:lang w:val="en-US"/>
        </w:rPr>
        <w:t xml:space="preserve">light of </w:t>
      </w:r>
      <w:r w:rsidR="005D3807" w:rsidRPr="00FE06F0">
        <w:rPr>
          <w:lang w:val="en-US"/>
        </w:rPr>
        <w:t xml:space="preserve">several </w:t>
      </w:r>
      <w:r w:rsidRPr="00FE06F0">
        <w:rPr>
          <w:lang w:val="en-US"/>
        </w:rPr>
        <w:t xml:space="preserve">limitations. </w:t>
      </w:r>
      <w:r w:rsidR="000D7D48" w:rsidRPr="00FE06F0">
        <w:rPr>
          <w:lang w:val="en-US"/>
        </w:rPr>
        <w:t xml:space="preserve">First, sexual orientation was assessed with two different items, and </w:t>
      </w:r>
      <w:r w:rsidR="005D3807" w:rsidRPr="00FE06F0">
        <w:rPr>
          <w:lang w:val="en-US"/>
        </w:rPr>
        <w:t>this</w:t>
      </w:r>
      <w:r w:rsidR="000D7D48" w:rsidRPr="00FE06F0">
        <w:rPr>
          <w:lang w:val="en-US"/>
        </w:rPr>
        <w:t xml:space="preserve"> may have impacted the findings of this study. Second, SCC included subjective concentration and memory complaints only, and a more complete measure may have allowed </w:t>
      </w:r>
      <w:r w:rsidR="005D3807" w:rsidRPr="00FE06F0">
        <w:rPr>
          <w:lang w:val="en-US"/>
        </w:rPr>
        <w:t xml:space="preserve">for </w:t>
      </w:r>
      <w:r w:rsidR="000D7D48" w:rsidRPr="00FE06F0">
        <w:rPr>
          <w:lang w:val="en-US"/>
        </w:rPr>
        <w:t>more detailed analyses.</w:t>
      </w:r>
      <w:r w:rsidR="004E765F" w:rsidRPr="00FE06F0">
        <w:rPr>
          <w:lang w:val="en-US"/>
        </w:rPr>
        <w:t xml:space="preserve"> </w:t>
      </w:r>
      <w:r w:rsidR="00777016" w:rsidRPr="00FE06F0">
        <w:rPr>
          <w:lang w:val="en-US"/>
        </w:rPr>
        <w:t>Third, The APMS survey was conducted in 2007, and it is possible that the association between sexual orientation and SCC has changed in recent years.</w:t>
      </w:r>
      <w:r w:rsidR="00DA3308" w:rsidRPr="00FE06F0">
        <w:rPr>
          <w:lang w:val="en-US"/>
        </w:rPr>
        <w:t xml:space="preserve"> It is also possible that this association may be stronger during the current COVID-19 pandemic where people are generally suffering higher levels of mental health complications</w:t>
      </w:r>
      <w:r w:rsidR="00511101" w:rsidRPr="00FE06F0">
        <w:rPr>
          <w:lang w:val="en-US"/>
        </w:rPr>
        <w:t xml:space="preserve"> </w:t>
      </w:r>
      <w:r w:rsidR="00511101" w:rsidRPr="00FE06F0">
        <w:rPr>
          <w:lang w:val="en-US"/>
        </w:rPr>
        <w:fldChar w:fldCharType="begin"/>
      </w:r>
      <w:r w:rsidR="00511101" w:rsidRPr="00FE06F0">
        <w:rPr>
          <w:lang w:val="en-US"/>
        </w:rPr>
        <w:instrText>ADDIN RW.CITE{{doc:5ffddc9c8f08441a4c8a31b5 Smith,Lee 2020}}</w:instrText>
      </w:r>
      <w:r w:rsidR="00511101" w:rsidRPr="00FE06F0">
        <w:rPr>
          <w:lang w:val="en-US"/>
        </w:rPr>
        <w:fldChar w:fldCharType="separate"/>
      </w:r>
      <w:r w:rsidR="00511101" w:rsidRPr="00FE06F0">
        <w:rPr>
          <w:bCs/>
          <w:lang w:val="en-US"/>
        </w:rPr>
        <w:t>(Smith et al., 2020)</w:t>
      </w:r>
      <w:r w:rsidR="00511101" w:rsidRPr="00FE06F0">
        <w:rPr>
          <w:lang w:val="en-US"/>
        </w:rPr>
        <w:fldChar w:fldCharType="end"/>
      </w:r>
      <w:r w:rsidR="00DA3308" w:rsidRPr="00FE06F0">
        <w:rPr>
          <w:lang w:val="en-US"/>
        </w:rPr>
        <w:t>, lower levers of physical activity</w:t>
      </w:r>
      <w:r w:rsidR="00511101" w:rsidRPr="00FE06F0">
        <w:rPr>
          <w:lang w:val="en-US"/>
        </w:rPr>
        <w:t xml:space="preserve"> </w:t>
      </w:r>
      <w:r w:rsidR="00511101" w:rsidRPr="00FE06F0">
        <w:rPr>
          <w:lang w:val="en-US"/>
        </w:rPr>
        <w:fldChar w:fldCharType="begin"/>
      </w:r>
      <w:r w:rsidR="00511101" w:rsidRPr="00FE06F0">
        <w:rPr>
          <w:lang w:val="en-US"/>
        </w:rPr>
        <w:instrText>ADDIN RW.CITE{{doc:5ffddcd38f089891ed3227ca Meyer,Jacob 2020}}</w:instrText>
      </w:r>
      <w:r w:rsidR="00511101" w:rsidRPr="00FE06F0">
        <w:rPr>
          <w:lang w:val="en-US"/>
        </w:rPr>
        <w:fldChar w:fldCharType="separate"/>
      </w:r>
      <w:r w:rsidR="00511101" w:rsidRPr="00FE06F0">
        <w:rPr>
          <w:bCs/>
          <w:lang w:val="en-US"/>
        </w:rPr>
        <w:t>(Meyer et al., 2020)</w:t>
      </w:r>
      <w:r w:rsidR="00511101" w:rsidRPr="00FE06F0">
        <w:rPr>
          <w:lang w:val="en-US"/>
        </w:rPr>
        <w:fldChar w:fldCharType="end"/>
      </w:r>
      <w:r w:rsidR="00DA3308" w:rsidRPr="00FE06F0">
        <w:rPr>
          <w:lang w:val="en-US"/>
        </w:rPr>
        <w:t>,</w:t>
      </w:r>
      <w:r w:rsidR="00511101" w:rsidRPr="00FE06F0">
        <w:rPr>
          <w:lang w:val="en-US"/>
        </w:rPr>
        <w:t xml:space="preserve"> </w:t>
      </w:r>
      <w:r w:rsidR="00DA3308" w:rsidRPr="00FE06F0">
        <w:rPr>
          <w:lang w:val="en-US"/>
        </w:rPr>
        <w:t>and an increase in alcohol consumption</w:t>
      </w:r>
      <w:r w:rsidR="00511101" w:rsidRPr="00FE06F0">
        <w:rPr>
          <w:lang w:val="en-US"/>
        </w:rPr>
        <w:t xml:space="preserve"> </w:t>
      </w:r>
      <w:r w:rsidR="00511101" w:rsidRPr="00FE06F0">
        <w:rPr>
          <w:lang w:val="en-US"/>
        </w:rPr>
        <w:fldChar w:fldCharType="begin"/>
      </w:r>
      <w:r w:rsidR="00511101" w:rsidRPr="00FE06F0">
        <w:rPr>
          <w:lang w:val="en-US"/>
        </w:rPr>
        <w:instrText>ADDIN RW.CITE{{doc:5ffddcfc8f0807a92c54c34f Jacob,Louis 2020}}</w:instrText>
      </w:r>
      <w:r w:rsidR="00511101" w:rsidRPr="00FE06F0">
        <w:rPr>
          <w:lang w:val="en-US"/>
        </w:rPr>
        <w:fldChar w:fldCharType="separate"/>
      </w:r>
      <w:r w:rsidR="00511101" w:rsidRPr="00FE06F0">
        <w:rPr>
          <w:bCs/>
          <w:lang w:val="en-US"/>
        </w:rPr>
        <w:t>(Jacob et al., 2020)</w:t>
      </w:r>
      <w:r w:rsidR="00511101" w:rsidRPr="00FE06F0">
        <w:rPr>
          <w:lang w:val="en-US"/>
        </w:rPr>
        <w:fldChar w:fldCharType="end"/>
      </w:r>
      <w:r w:rsidR="00DA3308" w:rsidRPr="00FE06F0">
        <w:rPr>
          <w:lang w:val="en-US"/>
        </w:rPr>
        <w:t>.</w:t>
      </w:r>
      <w:r w:rsidR="00511101" w:rsidRPr="00FE06F0">
        <w:rPr>
          <w:lang w:val="en-US"/>
        </w:rPr>
        <w:t xml:space="preserve"> </w:t>
      </w:r>
      <w:r w:rsidR="00777016" w:rsidRPr="00FE06F0">
        <w:rPr>
          <w:lang w:val="en-US"/>
        </w:rPr>
        <w:t xml:space="preserve">Future epidemiological studies are encouraged to collect data on sexual orientation and SCC. </w:t>
      </w:r>
      <w:r w:rsidR="00DA3308" w:rsidRPr="00FE06F0">
        <w:rPr>
          <w:lang w:val="en-US"/>
        </w:rPr>
        <w:t xml:space="preserve">Fourth, the exposure and outcome were self-reported introducing self-reporting bias into our findings. </w:t>
      </w:r>
      <w:r w:rsidR="004E765F" w:rsidRPr="00FE06F0">
        <w:rPr>
          <w:lang w:val="en-US"/>
        </w:rPr>
        <w:t>Finally</w:t>
      </w:r>
      <w:r w:rsidR="000D7D48" w:rsidRPr="00FE06F0">
        <w:rPr>
          <w:lang w:val="en-US"/>
        </w:rPr>
        <w:t xml:space="preserve">, this was a cross-sectional study, and it was therefore not possible to determine causality or temporality in the sexual orientation-SCC relationship. </w:t>
      </w:r>
      <w:r w:rsidR="00534191" w:rsidRPr="00FE06F0">
        <w:rPr>
          <w:lang w:val="en-US"/>
        </w:rPr>
        <w:t>However, it is highly unlikely that SCC would lead to a change in sexual orientation.</w:t>
      </w:r>
    </w:p>
    <w:p w14:paraId="7ACD47EE" w14:textId="77777777" w:rsidR="00E47867" w:rsidRPr="00FE06F0" w:rsidRDefault="00E47867" w:rsidP="00E47867">
      <w:pPr>
        <w:spacing w:line="480" w:lineRule="auto"/>
        <w:jc w:val="both"/>
        <w:rPr>
          <w:lang w:val="en-US"/>
        </w:rPr>
      </w:pPr>
    </w:p>
    <w:p w14:paraId="304D736B" w14:textId="78C2384A" w:rsidR="00E47867" w:rsidRPr="00FE06F0" w:rsidRDefault="00E47867" w:rsidP="00E47867">
      <w:pPr>
        <w:spacing w:line="480" w:lineRule="auto"/>
        <w:jc w:val="both"/>
      </w:pPr>
      <w:r w:rsidRPr="00FE06F0">
        <w:rPr>
          <w:lang w:val="en-US"/>
        </w:rPr>
        <w:lastRenderedPageBreak/>
        <w:t xml:space="preserve">In conclusion, in this large sample of English adults, </w:t>
      </w:r>
      <w:r w:rsidR="004E5F09" w:rsidRPr="00FE06F0">
        <w:rPr>
          <w:lang w:val="en-US" w:eastAsia="ko-KR"/>
        </w:rPr>
        <w:t>identifying as a sexual minority</w:t>
      </w:r>
      <w:r w:rsidRPr="00FE06F0">
        <w:rPr>
          <w:lang w:val="en-US"/>
        </w:rPr>
        <w:t xml:space="preserve"> was significantly associated with </w:t>
      </w:r>
      <w:r w:rsidR="004E765F" w:rsidRPr="00FE06F0">
        <w:rPr>
          <w:lang w:val="en-US"/>
        </w:rPr>
        <w:t xml:space="preserve">subjective </w:t>
      </w:r>
      <w:r w:rsidR="006A40D6" w:rsidRPr="00FE06F0">
        <w:rPr>
          <w:lang w:val="en-US"/>
        </w:rPr>
        <w:t>concentration complaints but not memory complains. S</w:t>
      </w:r>
      <w:r w:rsidRPr="00FE06F0">
        <w:rPr>
          <w:lang w:val="en-US"/>
        </w:rPr>
        <w:t>tress, sleep problems, and anxiety explained a large proportion of the association</w:t>
      </w:r>
      <w:r w:rsidR="006A40D6" w:rsidRPr="00FE06F0">
        <w:rPr>
          <w:lang w:val="en-US"/>
        </w:rPr>
        <w:t xml:space="preserve"> between sexual orientation and concentration complaints</w:t>
      </w:r>
      <w:r w:rsidRPr="00FE06F0">
        <w:rPr>
          <w:lang w:val="en-US"/>
        </w:rPr>
        <w:t>. Target</w:t>
      </w:r>
      <w:r w:rsidR="006A40D6" w:rsidRPr="00FE06F0">
        <w:rPr>
          <w:lang w:val="en-US"/>
        </w:rPr>
        <w:t>ed</w:t>
      </w:r>
      <w:r w:rsidRPr="00FE06F0">
        <w:rPr>
          <w:lang w:val="en-US"/>
        </w:rPr>
        <w:t xml:space="preserve"> interventions towards sexual minority groups to reduce SCC may be warranted.</w:t>
      </w:r>
      <w:r w:rsidR="00BB0E1E" w:rsidRPr="00FE06F0">
        <w:rPr>
          <w:lang w:val="en-US"/>
        </w:rPr>
        <w:t xml:space="preserve"> Such interventions may wish to focus on mediators identified in the present study and thus implement interventions that focus on reducing stress, anxiety and improving sleep. Interventions that contain mind-body exercises (e.g. tai-chi, yoga) may result in favorable outcomes in relation to all mediators identified in the present study</w:t>
      </w:r>
      <w:r w:rsidR="00511101" w:rsidRPr="00FE06F0">
        <w:rPr>
          <w:lang w:val="en-US"/>
        </w:rPr>
        <w:t xml:space="preserve"> </w:t>
      </w:r>
      <w:r w:rsidR="001011A2" w:rsidRPr="00FE06F0">
        <w:rPr>
          <w:lang w:val="en-US"/>
        </w:rPr>
        <w:fldChar w:fldCharType="begin"/>
      </w:r>
      <w:r w:rsidR="001011A2" w:rsidRPr="00FE06F0">
        <w:rPr>
          <w:lang w:val="en-US"/>
        </w:rPr>
        <w:instrText>ADDIN RW.CITE{{doc:5ffddbd58f0887e42f7eb2cc Kirkwood,Graham 2005; doc:5ffddc038f08dc6660bcac7d Abbott,Ryan 2013; doc:5ffddc638f08dc6660bcac8b Chen,Kuei-Min 2010}}</w:instrText>
      </w:r>
      <w:r w:rsidR="001011A2" w:rsidRPr="00FE06F0">
        <w:rPr>
          <w:lang w:val="en-US"/>
        </w:rPr>
        <w:fldChar w:fldCharType="separate"/>
      </w:r>
      <w:r w:rsidR="001011A2" w:rsidRPr="00FE06F0">
        <w:rPr>
          <w:bCs/>
          <w:lang w:val="en-US"/>
        </w:rPr>
        <w:t>(Abbott &amp; Lavretsky, 2013; Chen et al., 2010; Kirkwood et al., 2005)</w:t>
      </w:r>
      <w:r w:rsidR="001011A2" w:rsidRPr="00FE06F0">
        <w:rPr>
          <w:lang w:val="en-US"/>
        </w:rPr>
        <w:fldChar w:fldCharType="end"/>
      </w:r>
      <w:r w:rsidR="00BB0E1E" w:rsidRPr="00FE06F0">
        <w:rPr>
          <w:lang w:val="en-US"/>
        </w:rPr>
        <w:t xml:space="preserve">. </w:t>
      </w:r>
    </w:p>
    <w:p w14:paraId="1AF43AFD" w14:textId="77777777" w:rsidR="000E4A1B" w:rsidRPr="00EB148B" w:rsidRDefault="000E4A1B">
      <w:r w:rsidRPr="00EB148B">
        <w:br w:type="page"/>
      </w:r>
    </w:p>
    <w:p w14:paraId="40E88EAD" w14:textId="76B3CEE1" w:rsidR="001011A2" w:rsidRPr="0012212C" w:rsidRDefault="004B29F9" w:rsidP="0090415D">
      <w:pPr>
        <w:pStyle w:val="Heading1"/>
        <w:rPr>
          <w:lang w:val="en-US"/>
        </w:rPr>
      </w:pPr>
      <w:r>
        <w:rPr>
          <w:rFonts w:eastAsiaTheme="minorEastAsia"/>
          <w:bCs/>
          <w:lang w:val="en-US" w:eastAsia="es-ES"/>
        </w:rPr>
        <w:lastRenderedPageBreak/>
        <w:fldChar w:fldCharType="begin"/>
      </w:r>
      <w:r w:rsidR="001011A2">
        <w:rPr>
          <w:bCs/>
          <w:lang w:val="en-US"/>
        </w:rPr>
        <w:instrText>ADDIN RW.BIB</w:instrText>
      </w:r>
      <w:r>
        <w:rPr>
          <w:rFonts w:eastAsiaTheme="minorEastAsia"/>
          <w:bCs/>
          <w:lang w:val="en-US" w:eastAsia="es-ES"/>
        </w:rPr>
        <w:fldChar w:fldCharType="separate"/>
      </w:r>
      <w:r w:rsidR="001011A2" w:rsidRPr="0012212C">
        <w:rPr>
          <w:lang w:val="en-US"/>
        </w:rPr>
        <w:t>References</w:t>
      </w:r>
    </w:p>
    <w:p w14:paraId="34B649CE" w14:textId="77777777" w:rsidR="001011A2" w:rsidRPr="001011A2" w:rsidRDefault="001011A2" w:rsidP="001011A2">
      <w:pPr>
        <w:pStyle w:val="NormalWeb"/>
        <w:spacing w:line="480" w:lineRule="auto"/>
        <w:ind w:left="450" w:hanging="450"/>
        <w:rPr>
          <w:lang w:val="en-US"/>
        </w:rPr>
      </w:pPr>
      <w:r w:rsidRPr="001011A2">
        <w:rPr>
          <w:lang w:val="en-US"/>
        </w:rPr>
        <w:t>Abbott, R., &amp; Lavretsky, H. (2013). Tai chi and qigong for the treatment and prevention of mental disorders.</w:t>
      </w:r>
      <w:r w:rsidRPr="001011A2">
        <w:rPr>
          <w:i/>
          <w:iCs/>
          <w:lang w:val="en-US"/>
        </w:rPr>
        <w:t xml:space="preserve"> The Psychiatric Clinics of North America, 36</w:t>
      </w:r>
      <w:r w:rsidRPr="001011A2">
        <w:rPr>
          <w:lang w:val="en-US"/>
        </w:rPr>
        <w:t xml:space="preserve">(1), 109. </w:t>
      </w:r>
    </w:p>
    <w:p w14:paraId="503A3E33" w14:textId="77777777" w:rsidR="001011A2" w:rsidRPr="001011A2" w:rsidRDefault="001011A2" w:rsidP="001011A2">
      <w:pPr>
        <w:pStyle w:val="NormalWeb"/>
        <w:spacing w:line="480" w:lineRule="auto"/>
        <w:ind w:left="450" w:hanging="450"/>
        <w:rPr>
          <w:lang w:val="en-US"/>
        </w:rPr>
      </w:pPr>
      <w:r w:rsidRPr="001011A2">
        <w:rPr>
          <w:lang w:val="en-US"/>
        </w:rPr>
        <w:t>Ayalon, L. (2008). Subjective cognitive functioning as a predictor of all cause mortality in an israeli national sample of community dwelling older adults.</w:t>
      </w:r>
      <w:r w:rsidRPr="001011A2">
        <w:rPr>
          <w:i/>
          <w:iCs/>
          <w:lang w:val="en-US"/>
        </w:rPr>
        <w:t xml:space="preserve"> International Journal of Geriatric Psychiatry, 23</w:t>
      </w:r>
      <w:r w:rsidRPr="001011A2">
        <w:rPr>
          <w:lang w:val="en-US"/>
        </w:rPr>
        <w:t xml:space="preserve">(8), 830-836. </w:t>
      </w:r>
    </w:p>
    <w:p w14:paraId="6571069D" w14:textId="77777777" w:rsidR="001011A2" w:rsidRPr="001011A2" w:rsidRDefault="001011A2" w:rsidP="001011A2">
      <w:pPr>
        <w:pStyle w:val="NormalWeb"/>
        <w:spacing w:line="480" w:lineRule="auto"/>
        <w:ind w:left="450" w:hanging="450"/>
        <w:rPr>
          <w:lang w:val="en-US"/>
        </w:rPr>
      </w:pPr>
      <w:r w:rsidRPr="001011A2">
        <w:rPr>
          <w:lang w:val="en-US"/>
        </w:rPr>
        <w:t>Azagba, S., Shan, L., &amp; Latham, K. (2019). Overweight and obesity among sexual minority adults in the united states.</w:t>
      </w:r>
      <w:r w:rsidRPr="001011A2">
        <w:rPr>
          <w:i/>
          <w:iCs/>
          <w:lang w:val="en-US"/>
        </w:rPr>
        <w:t xml:space="preserve"> International Journal of Environmental Research and Public Health, 16</w:t>
      </w:r>
      <w:r w:rsidRPr="001011A2">
        <w:rPr>
          <w:lang w:val="en-US"/>
        </w:rPr>
        <w:t xml:space="preserve">(10), 1828. </w:t>
      </w:r>
    </w:p>
    <w:p w14:paraId="3C1797F1" w14:textId="77777777" w:rsidR="001011A2" w:rsidRPr="001011A2" w:rsidRDefault="001011A2" w:rsidP="001011A2">
      <w:pPr>
        <w:pStyle w:val="NormalWeb"/>
        <w:spacing w:line="480" w:lineRule="auto"/>
        <w:ind w:left="450" w:hanging="450"/>
        <w:rPr>
          <w:lang w:val="en-US"/>
        </w:rPr>
      </w:pPr>
      <w:r w:rsidRPr="001011A2">
        <w:rPr>
          <w:lang w:val="en-US"/>
        </w:rPr>
        <w:t>Balash, Y., Mordechovich, M., Shabtai, H., Giladi, N., Gurevich, T., &amp; Korczyn, A. D. (2013). Subjective memory complaints in elders: Depression, anxiety, or cognitive decline?</w:t>
      </w:r>
      <w:r w:rsidRPr="001011A2">
        <w:rPr>
          <w:i/>
          <w:iCs/>
          <w:lang w:val="en-US"/>
        </w:rPr>
        <w:t xml:space="preserve"> Acta Neurologica Scandinavica, 127</w:t>
      </w:r>
      <w:r w:rsidRPr="001011A2">
        <w:rPr>
          <w:lang w:val="en-US"/>
        </w:rPr>
        <w:t xml:space="preserve">(5), 344-350. </w:t>
      </w:r>
    </w:p>
    <w:p w14:paraId="702CC965" w14:textId="77777777" w:rsidR="001011A2" w:rsidRPr="001011A2" w:rsidRDefault="001011A2" w:rsidP="001011A2">
      <w:pPr>
        <w:pStyle w:val="NormalWeb"/>
        <w:spacing w:line="480" w:lineRule="auto"/>
        <w:ind w:left="450" w:hanging="450"/>
        <w:rPr>
          <w:lang w:val="en-US"/>
        </w:rPr>
      </w:pPr>
      <w:r w:rsidRPr="001011A2">
        <w:rPr>
          <w:lang w:val="en-US"/>
        </w:rPr>
        <w:t>Butler, E. S., McGlinchey, E., &amp; Juster, R. (2020). Sexual and gender minority sleep: A narrative review and suggestions for future research.</w:t>
      </w:r>
      <w:r w:rsidRPr="001011A2">
        <w:rPr>
          <w:i/>
          <w:iCs/>
          <w:lang w:val="en-US"/>
        </w:rPr>
        <w:t xml:space="preserve"> Journal of Sleep Research, 29</w:t>
      </w:r>
      <w:r w:rsidRPr="001011A2">
        <w:rPr>
          <w:lang w:val="en-US"/>
        </w:rPr>
        <w:t xml:space="preserve">(1), e12928. </w:t>
      </w:r>
    </w:p>
    <w:p w14:paraId="01372786" w14:textId="77777777" w:rsidR="001011A2" w:rsidRPr="001011A2" w:rsidRDefault="001011A2" w:rsidP="001011A2">
      <w:pPr>
        <w:pStyle w:val="NormalWeb"/>
        <w:spacing w:line="480" w:lineRule="auto"/>
        <w:ind w:left="450" w:hanging="450"/>
        <w:rPr>
          <w:lang w:val="en-US"/>
        </w:rPr>
      </w:pPr>
      <w:r w:rsidRPr="001011A2">
        <w:rPr>
          <w:lang w:val="en-US"/>
        </w:rPr>
        <w:t>Chen, K., Chen, M., Lin, M., Fan, J., Lin, H., &amp; Li, C. (2010). Effects of yoga on sleep quality and depression in elders in assisted living facilities.</w:t>
      </w:r>
      <w:r w:rsidRPr="001011A2">
        <w:rPr>
          <w:i/>
          <w:iCs/>
          <w:lang w:val="en-US"/>
        </w:rPr>
        <w:t xml:space="preserve"> Journal of Nursing Research, 18</w:t>
      </w:r>
      <w:r w:rsidRPr="001011A2">
        <w:rPr>
          <w:lang w:val="en-US"/>
        </w:rPr>
        <w:t xml:space="preserve">(1), 53-61. </w:t>
      </w:r>
    </w:p>
    <w:p w14:paraId="3BF3EEA9" w14:textId="77777777" w:rsidR="001011A2" w:rsidRPr="001011A2" w:rsidRDefault="001011A2" w:rsidP="001011A2">
      <w:pPr>
        <w:pStyle w:val="NormalWeb"/>
        <w:spacing w:line="480" w:lineRule="auto"/>
        <w:ind w:left="450" w:hanging="450"/>
        <w:rPr>
          <w:lang w:val="en-US"/>
        </w:rPr>
      </w:pPr>
      <w:r w:rsidRPr="001011A2">
        <w:rPr>
          <w:lang w:val="en-US"/>
        </w:rPr>
        <w:t>Cooper, C., Bebbington, P., Lindesay, J., Meltzer, H., McManus, S., Jenkins, R., &amp; Livingston, G. (2011). The meaning of reporting forgetfulness: A cross-sectional study of adults in the english 2007 adult psychiatric morbidity survey.</w:t>
      </w:r>
      <w:r w:rsidRPr="001011A2">
        <w:rPr>
          <w:i/>
          <w:iCs/>
          <w:lang w:val="en-US"/>
        </w:rPr>
        <w:t xml:space="preserve"> Age and Ageing, 40</w:t>
      </w:r>
      <w:r w:rsidRPr="001011A2">
        <w:rPr>
          <w:lang w:val="en-US"/>
        </w:rPr>
        <w:t xml:space="preserve">(6), 711-717. </w:t>
      </w:r>
    </w:p>
    <w:p w14:paraId="18179EF7" w14:textId="77777777" w:rsidR="001011A2" w:rsidRPr="001011A2" w:rsidRDefault="001011A2" w:rsidP="001011A2">
      <w:pPr>
        <w:pStyle w:val="NormalWeb"/>
        <w:spacing w:line="480" w:lineRule="auto"/>
        <w:ind w:left="450" w:hanging="450"/>
        <w:rPr>
          <w:lang w:val="en-US"/>
        </w:rPr>
      </w:pPr>
      <w:r w:rsidRPr="001011A2">
        <w:rPr>
          <w:lang w:val="en-US"/>
        </w:rPr>
        <w:lastRenderedPageBreak/>
        <w:t>Correro, A. N., &amp; Nielson, K. A. (2020). A review of minority stress as a risk factor for cognitive decline in lesbian, gay, bisexual, and transgender (LGBT) elders.</w:t>
      </w:r>
      <w:r w:rsidRPr="001011A2">
        <w:rPr>
          <w:i/>
          <w:iCs/>
          <w:lang w:val="en-US"/>
        </w:rPr>
        <w:t xml:space="preserve"> Journal of Gay &amp; Lesbian Mental Health, 24</w:t>
      </w:r>
      <w:r w:rsidRPr="001011A2">
        <w:rPr>
          <w:lang w:val="en-US"/>
        </w:rPr>
        <w:t xml:space="preserve">(1), 2-19. </w:t>
      </w:r>
    </w:p>
    <w:p w14:paraId="5D3A394E" w14:textId="33A0DFAE" w:rsidR="001011A2" w:rsidRPr="001011A2" w:rsidRDefault="001011A2" w:rsidP="001011A2">
      <w:pPr>
        <w:pStyle w:val="NormalWeb"/>
        <w:spacing w:line="480" w:lineRule="auto"/>
        <w:ind w:left="450" w:hanging="450"/>
        <w:rPr>
          <w:lang w:val="en-US"/>
        </w:rPr>
      </w:pPr>
      <w:r w:rsidRPr="001011A2">
        <w:rPr>
          <w:lang w:val="en-US"/>
        </w:rPr>
        <w:t xml:space="preserve">Dentato, M. P. (2012). The minority stress perspective. Retrieved from </w:t>
      </w:r>
      <w:hyperlink r:id="rId8" w:tgtFrame="_blank" w:history="1">
        <w:r w:rsidRPr="001011A2">
          <w:rPr>
            <w:rStyle w:val="Hyperlink"/>
            <w:lang w:val="en-US"/>
          </w:rPr>
          <w:t>https://www.apa.org/pi/aids/resources/exchange/2012/04/minority-stress</w:t>
        </w:r>
      </w:hyperlink>
    </w:p>
    <w:p w14:paraId="1DB53B6E" w14:textId="77777777" w:rsidR="001011A2" w:rsidRPr="001011A2" w:rsidRDefault="001011A2" w:rsidP="001011A2">
      <w:pPr>
        <w:pStyle w:val="NormalWeb"/>
        <w:spacing w:line="480" w:lineRule="auto"/>
        <w:ind w:left="450" w:hanging="450"/>
        <w:rPr>
          <w:lang w:val="en-US"/>
        </w:rPr>
      </w:pPr>
      <w:r w:rsidRPr="001011A2">
        <w:rPr>
          <w:lang w:val="en-US"/>
        </w:rPr>
        <w:t>Duncan, D. T., Kanchi, R., Tantay, L., Hernandez, M., Letamendi, C., Chernov, C., &amp; Thorpe, L. (2018). Disparities in sleep problems by sexual orientation among new york city adults: An analysis of the new york city health and nutrition examination survey, 2013–2014.</w:t>
      </w:r>
      <w:r w:rsidRPr="001011A2">
        <w:rPr>
          <w:i/>
          <w:iCs/>
          <w:lang w:val="en-US"/>
        </w:rPr>
        <w:t xml:space="preserve"> Journal of Urban Health, 95</w:t>
      </w:r>
      <w:r w:rsidRPr="001011A2">
        <w:rPr>
          <w:lang w:val="en-US"/>
        </w:rPr>
        <w:t xml:space="preserve">(6), 781-786. </w:t>
      </w:r>
    </w:p>
    <w:p w14:paraId="4CB5B97C" w14:textId="77777777" w:rsidR="001011A2" w:rsidRPr="001011A2" w:rsidRDefault="001011A2" w:rsidP="001011A2">
      <w:pPr>
        <w:pStyle w:val="NormalWeb"/>
        <w:spacing w:line="480" w:lineRule="auto"/>
        <w:ind w:left="450" w:hanging="450"/>
        <w:rPr>
          <w:lang w:val="en-US"/>
        </w:rPr>
      </w:pPr>
      <w:r w:rsidRPr="001011A2">
        <w:rPr>
          <w:lang w:val="en-US"/>
        </w:rPr>
        <w:t>Flatt, J. D., Johnson, J. K., Karpiak, S. E., Seidel, L., Larson, B., &amp; Brennan-Ing, M. (2018). Correlates of subjective cognitive decline in lesbian, gay, bisexual, and transgender older adults.</w:t>
      </w:r>
      <w:r w:rsidRPr="001011A2">
        <w:rPr>
          <w:i/>
          <w:iCs/>
          <w:lang w:val="en-US"/>
        </w:rPr>
        <w:t xml:space="preserve"> Journal of Alzheimer's Disease, 64</w:t>
      </w:r>
      <w:r w:rsidRPr="001011A2">
        <w:rPr>
          <w:lang w:val="en-US"/>
        </w:rPr>
        <w:t xml:space="preserve">(1), 91-102. </w:t>
      </w:r>
    </w:p>
    <w:p w14:paraId="7299B1AC" w14:textId="77777777" w:rsidR="001011A2" w:rsidRPr="001011A2" w:rsidRDefault="001011A2" w:rsidP="001011A2">
      <w:pPr>
        <w:pStyle w:val="NormalWeb"/>
        <w:spacing w:line="480" w:lineRule="auto"/>
        <w:ind w:left="450" w:hanging="450"/>
        <w:rPr>
          <w:lang w:val="en-US"/>
        </w:rPr>
      </w:pPr>
      <w:r w:rsidRPr="001011A2">
        <w:rPr>
          <w:lang w:val="en-US"/>
        </w:rPr>
        <w:t>Fredriksen-Goldsen, K. I., Jen, S., Bryan, A. E., &amp; Goldsen, J. (2018). Cognitive impairment, alzheimer’s disease, and other dementias in the lives of lesbian, gay, bisexual and transgender (LGBT) older adults and their caregivers: Needs and competencies.</w:t>
      </w:r>
      <w:r w:rsidRPr="001011A2">
        <w:rPr>
          <w:i/>
          <w:iCs/>
          <w:lang w:val="en-US"/>
        </w:rPr>
        <w:t xml:space="preserve"> Journal of Applied Gerontology, 37</w:t>
      </w:r>
      <w:r w:rsidRPr="001011A2">
        <w:rPr>
          <w:lang w:val="en-US"/>
        </w:rPr>
        <w:t xml:space="preserve">(5), 545-569. </w:t>
      </w:r>
    </w:p>
    <w:p w14:paraId="0D41F558" w14:textId="77777777" w:rsidR="001011A2" w:rsidRPr="001011A2" w:rsidRDefault="001011A2" w:rsidP="001011A2">
      <w:pPr>
        <w:pStyle w:val="NormalWeb"/>
        <w:spacing w:line="480" w:lineRule="auto"/>
        <w:ind w:left="450" w:hanging="450"/>
        <w:rPr>
          <w:lang w:val="en-US"/>
        </w:rPr>
      </w:pPr>
      <w:r w:rsidRPr="001011A2">
        <w:rPr>
          <w:lang w:val="en-US"/>
        </w:rPr>
        <w:t>Hatzenbuehler, M. L., Slopen, N., &amp; McLaughlin, K. A. (2014). Stressful life events, sexual orientation, and cardiometabolic risk among young adults in the united states.</w:t>
      </w:r>
      <w:r w:rsidRPr="001011A2">
        <w:rPr>
          <w:i/>
          <w:iCs/>
          <w:lang w:val="en-US"/>
        </w:rPr>
        <w:t xml:space="preserve"> Health Psychology, 33</w:t>
      </w:r>
      <w:r w:rsidRPr="001011A2">
        <w:rPr>
          <w:lang w:val="en-US"/>
        </w:rPr>
        <w:t xml:space="preserve">(10), 1185. </w:t>
      </w:r>
    </w:p>
    <w:p w14:paraId="366DED23" w14:textId="3DB1E7F5" w:rsidR="001011A2" w:rsidRPr="001011A2" w:rsidRDefault="001011A2" w:rsidP="001011A2">
      <w:pPr>
        <w:pStyle w:val="NormalWeb"/>
        <w:spacing w:line="480" w:lineRule="auto"/>
        <w:ind w:left="450" w:hanging="450"/>
        <w:rPr>
          <w:lang w:val="en-US"/>
        </w:rPr>
      </w:pPr>
      <w:r w:rsidRPr="001011A2">
        <w:rPr>
          <w:lang w:val="en-US"/>
        </w:rPr>
        <w:t xml:space="preserve">Hayes-Skelton, S. A., &amp; Pantalone, D. W. (2020). Anxiety and depression in sexual and gender minority individuals. Retrieved from </w:t>
      </w:r>
      <w:hyperlink r:id="rId9" w:tgtFrame="_blank" w:history="1">
        <w:r w:rsidRPr="001011A2">
          <w:rPr>
            <w:rStyle w:val="Hyperlink"/>
            <w:lang w:val="en-US"/>
          </w:rPr>
          <w:t>https://adaa.org/sexual-gender-minority-individuals</w:t>
        </w:r>
      </w:hyperlink>
    </w:p>
    <w:p w14:paraId="322F2C16" w14:textId="77777777" w:rsidR="001011A2" w:rsidRPr="001011A2" w:rsidRDefault="001011A2" w:rsidP="001011A2">
      <w:pPr>
        <w:pStyle w:val="NormalWeb"/>
        <w:spacing w:line="480" w:lineRule="auto"/>
        <w:ind w:left="450" w:hanging="450"/>
        <w:rPr>
          <w:lang w:val="en-US"/>
        </w:rPr>
      </w:pPr>
      <w:r w:rsidRPr="001011A2">
        <w:rPr>
          <w:lang w:val="en-US"/>
        </w:rPr>
        <w:lastRenderedPageBreak/>
        <w:t>Heaton, R. K., Franklin, D. R., Ellis, R. J., McCutchan, J. A., Letendre, S. L., LeBlanc, S., . . . Woods, S. P. (2011). HIV-associated neurocognitive disorders before and during the era of combination antiretroviral therapy: Differences in rates, nature, and predictors.</w:t>
      </w:r>
      <w:r w:rsidRPr="001011A2">
        <w:rPr>
          <w:i/>
          <w:iCs/>
          <w:lang w:val="en-US"/>
        </w:rPr>
        <w:t xml:space="preserve"> Journal of Neurovirology, 17</w:t>
      </w:r>
      <w:r w:rsidRPr="001011A2">
        <w:rPr>
          <w:lang w:val="en-US"/>
        </w:rPr>
        <w:t xml:space="preserve">(1), 3-16. </w:t>
      </w:r>
    </w:p>
    <w:p w14:paraId="56BB0FB3" w14:textId="77777777" w:rsidR="001011A2" w:rsidRPr="001011A2" w:rsidRDefault="001011A2" w:rsidP="001011A2">
      <w:pPr>
        <w:pStyle w:val="NormalWeb"/>
        <w:spacing w:line="480" w:lineRule="auto"/>
        <w:ind w:left="450" w:hanging="450"/>
        <w:rPr>
          <w:lang w:val="en-US"/>
        </w:rPr>
      </w:pPr>
      <w:r w:rsidRPr="001011A2">
        <w:rPr>
          <w:lang w:val="en-US"/>
        </w:rPr>
        <w:t>Hill, N. L., Mogle, J., Wion, R., Munoz, E., DePasquale, N., Yevchak, A. M., &amp; Parisi, J. M. (2016). Subjective cognitive impairment and affective symptoms: A systematic review.</w:t>
      </w:r>
      <w:r w:rsidRPr="001011A2">
        <w:rPr>
          <w:i/>
          <w:iCs/>
          <w:lang w:val="en-US"/>
        </w:rPr>
        <w:t xml:space="preserve"> The Gerontologist, 56</w:t>
      </w:r>
      <w:r w:rsidRPr="001011A2">
        <w:rPr>
          <w:lang w:val="en-US"/>
        </w:rPr>
        <w:t xml:space="preserve">(6), e109-e127. </w:t>
      </w:r>
    </w:p>
    <w:p w14:paraId="61561959" w14:textId="77777777" w:rsidR="001011A2" w:rsidRPr="001011A2" w:rsidRDefault="001011A2" w:rsidP="001011A2">
      <w:pPr>
        <w:pStyle w:val="NormalWeb"/>
        <w:spacing w:line="480" w:lineRule="auto"/>
        <w:ind w:left="450" w:hanging="450"/>
        <w:rPr>
          <w:lang w:val="en-US"/>
        </w:rPr>
      </w:pPr>
      <w:r w:rsidRPr="001011A2">
        <w:rPr>
          <w:lang w:val="en-US"/>
        </w:rPr>
        <w:t>Hou, Q., Guan, Y., Yu, W., Liu, X., Wu, L., Xiao, M., &amp; Lü, Y. (2019). Associations between obesity and cognitive impairment in the chinese elderly: An observational study.</w:t>
      </w:r>
      <w:r w:rsidRPr="001011A2">
        <w:rPr>
          <w:i/>
          <w:iCs/>
          <w:lang w:val="en-US"/>
        </w:rPr>
        <w:t xml:space="preserve"> Clinical Interventions in Aging, 14</w:t>
      </w:r>
      <w:r w:rsidRPr="001011A2">
        <w:rPr>
          <w:lang w:val="en-US"/>
        </w:rPr>
        <w:t xml:space="preserve">, 367. </w:t>
      </w:r>
    </w:p>
    <w:p w14:paraId="3F174492" w14:textId="09180CA5" w:rsidR="001011A2" w:rsidRPr="001011A2" w:rsidRDefault="001011A2" w:rsidP="001011A2">
      <w:pPr>
        <w:pStyle w:val="NormalWeb"/>
        <w:spacing w:line="480" w:lineRule="auto"/>
        <w:ind w:left="450" w:hanging="450"/>
        <w:rPr>
          <w:lang w:val="en-US"/>
        </w:rPr>
      </w:pPr>
      <w:r w:rsidRPr="001011A2">
        <w:rPr>
          <w:lang w:val="en-US"/>
        </w:rPr>
        <w:t xml:space="preserve">Jacob, L., Haro, J. M., &amp; Koyanagi, A. (2019). Physical multimorbidity and subjective cognitive </w:t>
      </w:r>
      <w:r w:rsidR="00CC02CA">
        <w:rPr>
          <w:lang w:val="en-US"/>
        </w:rPr>
        <w:t>complaints among adults in the United K</w:t>
      </w:r>
      <w:r w:rsidRPr="001011A2">
        <w:rPr>
          <w:lang w:val="en-US"/>
        </w:rPr>
        <w:t>ingdom: A cross-sectional community-based study.</w:t>
      </w:r>
      <w:r w:rsidRPr="001011A2">
        <w:rPr>
          <w:i/>
          <w:iCs/>
          <w:lang w:val="en-US"/>
        </w:rPr>
        <w:t xml:space="preserve"> Scientific Reports, 9</w:t>
      </w:r>
      <w:r w:rsidRPr="001011A2">
        <w:rPr>
          <w:lang w:val="en-US"/>
        </w:rPr>
        <w:t xml:space="preserve">(1), 1-11. </w:t>
      </w:r>
    </w:p>
    <w:p w14:paraId="7AAE7BB0" w14:textId="77777777" w:rsidR="001011A2" w:rsidRPr="001011A2" w:rsidRDefault="001011A2" w:rsidP="001011A2">
      <w:pPr>
        <w:pStyle w:val="NormalWeb"/>
        <w:spacing w:line="480" w:lineRule="auto"/>
        <w:ind w:left="450" w:hanging="450"/>
        <w:rPr>
          <w:lang w:val="en-US"/>
        </w:rPr>
      </w:pPr>
      <w:r w:rsidRPr="001011A2">
        <w:rPr>
          <w:lang w:val="en-US"/>
        </w:rPr>
        <w:t>Jacob, L., Smith, L., Armstrong, N. C., Yakkundi, A., Barnett, Y., Butler, L., . . . Meyer, J. (2020). Alcohol use and mental health during COVID-19 lockdown: A cross-sectional study in a sample of UK adults.</w:t>
      </w:r>
      <w:r w:rsidRPr="001011A2">
        <w:rPr>
          <w:i/>
          <w:iCs/>
          <w:lang w:val="en-US"/>
        </w:rPr>
        <w:t xml:space="preserve"> Drug and Alcohol Dependence, 219</w:t>
      </w:r>
      <w:r w:rsidRPr="001011A2">
        <w:rPr>
          <w:lang w:val="en-US"/>
        </w:rPr>
        <w:t xml:space="preserve">, 108488. </w:t>
      </w:r>
    </w:p>
    <w:p w14:paraId="12CC094C" w14:textId="3C4310B0" w:rsidR="001011A2" w:rsidRPr="001011A2" w:rsidRDefault="001011A2" w:rsidP="001011A2">
      <w:pPr>
        <w:pStyle w:val="NormalWeb"/>
        <w:spacing w:line="480" w:lineRule="auto"/>
        <w:ind w:left="450" w:hanging="450"/>
        <w:rPr>
          <w:lang w:val="en-US"/>
        </w:rPr>
      </w:pPr>
      <w:r w:rsidRPr="001011A2">
        <w:rPr>
          <w:lang w:val="en-US"/>
        </w:rPr>
        <w:t>Jacob, L., Smith, L., McDermott, D., Haro, J. M., Stickley, A., &amp; Koyanagi, A. (2019). Relationship between sexual orientation and psychotic experience</w:t>
      </w:r>
      <w:r w:rsidR="00CC02CA">
        <w:rPr>
          <w:lang w:val="en-US"/>
        </w:rPr>
        <w:t>s in the general population in E</w:t>
      </w:r>
      <w:r w:rsidRPr="001011A2">
        <w:rPr>
          <w:lang w:val="en-US"/>
        </w:rPr>
        <w:t>ngland.</w:t>
      </w:r>
      <w:r w:rsidR="00CC02CA">
        <w:rPr>
          <w:i/>
          <w:iCs/>
          <w:lang w:val="en-US"/>
        </w:rPr>
        <w:t xml:space="preserve"> Psychological Medicine</w:t>
      </w:r>
      <w:r w:rsidRPr="001011A2">
        <w:rPr>
          <w:lang w:val="en-US"/>
        </w:rPr>
        <w:t xml:space="preserve">, 1-9. </w:t>
      </w:r>
    </w:p>
    <w:p w14:paraId="388D73EA" w14:textId="77777777" w:rsidR="001011A2" w:rsidRPr="001011A2" w:rsidRDefault="001011A2" w:rsidP="001011A2">
      <w:pPr>
        <w:pStyle w:val="NormalWeb"/>
        <w:spacing w:line="480" w:lineRule="auto"/>
        <w:ind w:left="450" w:hanging="450"/>
        <w:rPr>
          <w:lang w:val="en-US"/>
        </w:rPr>
      </w:pPr>
      <w:r w:rsidRPr="001011A2">
        <w:rPr>
          <w:lang w:val="en-US"/>
        </w:rPr>
        <w:t>Jedrziewski, M. K., Lee, V. M., &amp; Trojanowski, J. Q. (2007). Physical activity and cognitive health.</w:t>
      </w:r>
      <w:r w:rsidRPr="001011A2">
        <w:rPr>
          <w:i/>
          <w:iCs/>
          <w:lang w:val="en-US"/>
        </w:rPr>
        <w:t xml:space="preserve"> Alzheimer's &amp; Dementia, 3</w:t>
      </w:r>
      <w:r w:rsidRPr="001011A2">
        <w:rPr>
          <w:lang w:val="en-US"/>
        </w:rPr>
        <w:t xml:space="preserve">(2), 98-108. </w:t>
      </w:r>
    </w:p>
    <w:p w14:paraId="25A4A08A" w14:textId="660BFB9A" w:rsidR="001011A2" w:rsidRPr="001011A2" w:rsidRDefault="001011A2" w:rsidP="001011A2">
      <w:pPr>
        <w:pStyle w:val="NormalWeb"/>
        <w:spacing w:line="480" w:lineRule="auto"/>
        <w:ind w:left="450" w:hanging="450"/>
        <w:rPr>
          <w:lang w:val="en-US"/>
        </w:rPr>
      </w:pPr>
      <w:r w:rsidRPr="001011A2">
        <w:rPr>
          <w:lang w:val="en-US"/>
        </w:rPr>
        <w:lastRenderedPageBreak/>
        <w:t>Jenkins, R., Meltzer, H., Bebbington, P., Brugha, T., Farrell, M., McMa</w:t>
      </w:r>
      <w:r w:rsidR="00C275D4">
        <w:rPr>
          <w:lang w:val="en-US"/>
        </w:rPr>
        <w:t>nus, S., &amp; Singleton, N. (2009)</w:t>
      </w:r>
      <w:r w:rsidRPr="001011A2">
        <w:rPr>
          <w:lang w:val="en-US"/>
        </w:rPr>
        <w:t>.</w:t>
      </w:r>
      <w:r w:rsidRPr="00C275D4">
        <w:rPr>
          <w:iCs/>
          <w:lang w:val="en-US"/>
        </w:rPr>
        <w:t xml:space="preserve"> The British Mental Health Survey Programme: Ac</w:t>
      </w:r>
      <w:r w:rsidR="00C275D4">
        <w:rPr>
          <w:iCs/>
          <w:lang w:val="en-US"/>
        </w:rPr>
        <w:t xml:space="preserve">hievements and Latest Findings. </w:t>
      </w:r>
      <w:r w:rsidR="00C275D4" w:rsidRPr="00C275D4">
        <w:rPr>
          <w:i/>
          <w:iCs/>
          <w:lang w:val="en-US"/>
        </w:rPr>
        <w:t>Social Psychiatry and</w:t>
      </w:r>
      <w:r w:rsidR="00C275D4">
        <w:rPr>
          <w:i/>
          <w:iCs/>
          <w:lang w:val="en-US"/>
        </w:rPr>
        <w:t xml:space="preserve"> Psychiatric Epidemiology, </w:t>
      </w:r>
      <w:r w:rsidR="00C275D4" w:rsidRPr="00C275D4">
        <w:rPr>
          <w:i/>
          <w:iCs/>
          <w:lang w:val="en-US"/>
        </w:rPr>
        <w:t>44</w:t>
      </w:r>
      <w:r w:rsidR="00C275D4">
        <w:rPr>
          <w:iCs/>
          <w:lang w:val="en-US"/>
        </w:rPr>
        <w:t xml:space="preserve">, </w:t>
      </w:r>
      <w:r w:rsidR="00C275D4" w:rsidRPr="00C275D4">
        <w:rPr>
          <w:iCs/>
          <w:lang w:val="en-US"/>
        </w:rPr>
        <w:t>899–904</w:t>
      </w:r>
      <w:r w:rsidR="00C275D4">
        <w:rPr>
          <w:iCs/>
          <w:lang w:val="en-US"/>
        </w:rPr>
        <w:t>.</w:t>
      </w:r>
    </w:p>
    <w:p w14:paraId="37AFA161" w14:textId="242E22E9" w:rsidR="001011A2" w:rsidRPr="001011A2" w:rsidRDefault="001011A2" w:rsidP="001011A2">
      <w:pPr>
        <w:pStyle w:val="NormalWeb"/>
        <w:spacing w:line="480" w:lineRule="auto"/>
        <w:ind w:left="450" w:hanging="450"/>
        <w:rPr>
          <w:lang w:val="en-US"/>
        </w:rPr>
      </w:pPr>
      <w:r w:rsidRPr="001011A2">
        <w:rPr>
          <w:lang w:val="en-US"/>
        </w:rPr>
        <w:t>Jessen, F., Wiese, B., Cvetanovska, G., Fuchs, A., Kaduszkiewicz, H., Kölsch, H., . . . Bickel, H. (2007). Patterns of subjective memory impairment in the elderly: Association with memory performance.</w:t>
      </w:r>
      <w:r w:rsidRPr="001011A2">
        <w:rPr>
          <w:i/>
          <w:iCs/>
          <w:lang w:val="en-US"/>
        </w:rPr>
        <w:t xml:space="preserve"> Psychological Medicine, </w:t>
      </w:r>
      <w:r w:rsidR="00CC02CA" w:rsidRPr="00CC02CA">
        <w:rPr>
          <w:i/>
          <w:iCs/>
          <w:lang w:val="en-US"/>
        </w:rPr>
        <w:t>37</w:t>
      </w:r>
      <w:r w:rsidR="00CC02CA">
        <w:rPr>
          <w:iCs/>
          <w:lang w:val="en-US"/>
        </w:rPr>
        <w:t xml:space="preserve">(12), </w:t>
      </w:r>
      <w:r w:rsidR="00CC02CA" w:rsidRPr="00CC02CA">
        <w:rPr>
          <w:iCs/>
          <w:lang w:val="en-US"/>
        </w:rPr>
        <w:t>1753-</w:t>
      </w:r>
      <w:r w:rsidR="00CC02CA">
        <w:rPr>
          <w:iCs/>
          <w:lang w:val="en-US"/>
        </w:rPr>
        <w:t>17</w:t>
      </w:r>
      <w:r w:rsidR="00CC02CA" w:rsidRPr="00CC02CA">
        <w:rPr>
          <w:iCs/>
          <w:lang w:val="en-US"/>
        </w:rPr>
        <w:t>62.</w:t>
      </w:r>
    </w:p>
    <w:p w14:paraId="67CED882" w14:textId="11E977B8" w:rsidR="001011A2" w:rsidRPr="001011A2" w:rsidRDefault="001011A2" w:rsidP="001011A2">
      <w:pPr>
        <w:pStyle w:val="NormalWeb"/>
        <w:spacing w:line="480" w:lineRule="auto"/>
        <w:ind w:left="450" w:hanging="450"/>
        <w:rPr>
          <w:lang w:val="en-US"/>
        </w:rPr>
      </w:pPr>
      <w:r w:rsidRPr="001011A2">
        <w:rPr>
          <w:lang w:val="en-US"/>
        </w:rPr>
        <w:t>Kim, S., Kim, Y., &amp; Park, S. M. (2016). Association between alcohol drinking behaviour and cognitive function: Results from a nationwide longitudinal study of south korea.</w:t>
      </w:r>
      <w:r w:rsidRPr="001011A2">
        <w:rPr>
          <w:i/>
          <w:iCs/>
          <w:lang w:val="en-US"/>
        </w:rPr>
        <w:t xml:space="preserve"> BMJ Open, 6</w:t>
      </w:r>
      <w:r w:rsidRPr="001011A2">
        <w:rPr>
          <w:lang w:val="en-US"/>
        </w:rPr>
        <w:t>(4)</w:t>
      </w:r>
      <w:r w:rsidR="003C059F">
        <w:rPr>
          <w:lang w:val="en-US"/>
        </w:rPr>
        <w:t>.</w:t>
      </w:r>
    </w:p>
    <w:p w14:paraId="0554DE01" w14:textId="77777777" w:rsidR="001011A2" w:rsidRPr="001011A2" w:rsidRDefault="001011A2" w:rsidP="001011A2">
      <w:pPr>
        <w:pStyle w:val="NormalWeb"/>
        <w:spacing w:line="480" w:lineRule="auto"/>
        <w:ind w:left="450" w:hanging="450"/>
        <w:rPr>
          <w:lang w:val="en-US"/>
        </w:rPr>
      </w:pPr>
      <w:r w:rsidRPr="001011A2">
        <w:rPr>
          <w:lang w:val="en-US"/>
        </w:rPr>
        <w:t>Kirkwood, G., Rampes, H., Tuffrey, V., Richardson, J., &amp; Pilkington, K. (2005). Yoga for anxiety: A systematic review of the research evidence.</w:t>
      </w:r>
      <w:r w:rsidRPr="001011A2">
        <w:rPr>
          <w:i/>
          <w:iCs/>
          <w:lang w:val="en-US"/>
        </w:rPr>
        <w:t xml:space="preserve"> British Journal of Sports Medicine, 39</w:t>
      </w:r>
      <w:r w:rsidRPr="001011A2">
        <w:rPr>
          <w:lang w:val="en-US"/>
        </w:rPr>
        <w:t xml:space="preserve">(12), 884-891. </w:t>
      </w:r>
    </w:p>
    <w:p w14:paraId="23D5799F" w14:textId="77777777" w:rsidR="001011A2" w:rsidRPr="001011A2" w:rsidRDefault="001011A2" w:rsidP="001011A2">
      <w:pPr>
        <w:pStyle w:val="NormalWeb"/>
        <w:spacing w:line="480" w:lineRule="auto"/>
        <w:ind w:left="450" w:hanging="450"/>
        <w:rPr>
          <w:lang w:val="en-US"/>
        </w:rPr>
      </w:pPr>
      <w:r w:rsidRPr="001011A2">
        <w:rPr>
          <w:lang w:val="en-US"/>
        </w:rPr>
        <w:t>Krueger, E. A., Meyer, I. H., &amp; Upchurch, D. M. (2018). Sexual orientation group differences in perceived stress and depressive symptoms among young adults in the united states.</w:t>
      </w:r>
      <w:r w:rsidRPr="001011A2">
        <w:rPr>
          <w:i/>
          <w:iCs/>
          <w:lang w:val="en-US"/>
        </w:rPr>
        <w:t xml:space="preserve"> LGBT Health, 5</w:t>
      </w:r>
      <w:r w:rsidRPr="001011A2">
        <w:rPr>
          <w:lang w:val="en-US"/>
        </w:rPr>
        <w:t xml:space="preserve">(4), 242-249. </w:t>
      </w:r>
    </w:p>
    <w:p w14:paraId="4FA79783" w14:textId="77777777" w:rsidR="001011A2" w:rsidRPr="001011A2" w:rsidRDefault="001011A2" w:rsidP="001011A2">
      <w:pPr>
        <w:pStyle w:val="NormalWeb"/>
        <w:spacing w:line="480" w:lineRule="auto"/>
        <w:ind w:left="450" w:hanging="450"/>
        <w:rPr>
          <w:lang w:val="en-US"/>
        </w:rPr>
      </w:pPr>
      <w:r w:rsidRPr="001011A2">
        <w:rPr>
          <w:lang w:val="en-US"/>
        </w:rPr>
        <w:t>Lewis, G., Pelosi, A. J., Araya, R., &amp; Dunn, G. (1992). Measuring psychiatric disorder in the community: A standardized assessment for use by lay interviewers.</w:t>
      </w:r>
      <w:r w:rsidRPr="001011A2">
        <w:rPr>
          <w:i/>
          <w:iCs/>
          <w:lang w:val="en-US"/>
        </w:rPr>
        <w:t xml:space="preserve"> Psychological Medicine, 22</w:t>
      </w:r>
      <w:r w:rsidRPr="001011A2">
        <w:rPr>
          <w:lang w:val="en-US"/>
        </w:rPr>
        <w:t xml:space="preserve">(2), 465-486. </w:t>
      </w:r>
    </w:p>
    <w:p w14:paraId="6B6C52C1" w14:textId="265BDA35" w:rsidR="001011A2" w:rsidRPr="001011A2" w:rsidRDefault="001011A2" w:rsidP="001011A2">
      <w:pPr>
        <w:pStyle w:val="NormalWeb"/>
        <w:spacing w:line="480" w:lineRule="auto"/>
        <w:ind w:left="450" w:hanging="450"/>
        <w:rPr>
          <w:lang w:val="en-US"/>
        </w:rPr>
      </w:pPr>
      <w:r w:rsidRPr="001011A2">
        <w:rPr>
          <w:lang w:val="en-US"/>
        </w:rPr>
        <w:t>Liu, H., Hsieh, N., Zhang, Z., Zhang, Y., &amp; Langa, K. M. (2020). Same-sex couples and cognitive impairment: Evidence from the health and retirement study.</w:t>
      </w:r>
      <w:r w:rsidRPr="001011A2">
        <w:rPr>
          <w:i/>
          <w:iCs/>
          <w:lang w:val="en-US"/>
        </w:rPr>
        <w:t xml:space="preserve"> The Journals of Gerontology: Series B, </w:t>
      </w:r>
      <w:r w:rsidR="003C059F" w:rsidRPr="003C059F">
        <w:rPr>
          <w:iCs/>
          <w:lang w:val="en-US"/>
        </w:rPr>
        <w:t>gbaa202</w:t>
      </w:r>
      <w:r w:rsidR="003C059F">
        <w:rPr>
          <w:iCs/>
          <w:lang w:val="en-US"/>
        </w:rPr>
        <w:t>.</w:t>
      </w:r>
    </w:p>
    <w:p w14:paraId="35AFB1F9" w14:textId="77777777" w:rsidR="001011A2" w:rsidRPr="001011A2" w:rsidRDefault="001011A2" w:rsidP="001011A2">
      <w:pPr>
        <w:pStyle w:val="NormalWeb"/>
        <w:spacing w:line="480" w:lineRule="auto"/>
        <w:ind w:left="450" w:hanging="450"/>
        <w:rPr>
          <w:lang w:val="en-US"/>
        </w:rPr>
      </w:pPr>
      <w:r w:rsidRPr="001011A2">
        <w:rPr>
          <w:lang w:val="en-US"/>
        </w:rPr>
        <w:lastRenderedPageBreak/>
        <w:t>Lytle, A., Apriceno, M., Dyar, C., &amp; Levy, S. R. (2018). Sexual orientation and gender differences in aging perceptions and concerns among older adults.</w:t>
      </w:r>
      <w:r w:rsidRPr="001011A2">
        <w:rPr>
          <w:i/>
          <w:iCs/>
          <w:lang w:val="en-US"/>
        </w:rPr>
        <w:t xml:space="preserve"> Innovation in Aging, 2</w:t>
      </w:r>
      <w:r w:rsidRPr="001011A2">
        <w:rPr>
          <w:lang w:val="en-US"/>
        </w:rPr>
        <w:t xml:space="preserve">(3), igy036. </w:t>
      </w:r>
    </w:p>
    <w:p w14:paraId="304B5AAD" w14:textId="77777777" w:rsidR="001011A2" w:rsidRPr="001011A2" w:rsidRDefault="001011A2" w:rsidP="001011A2">
      <w:pPr>
        <w:pStyle w:val="NormalWeb"/>
        <w:spacing w:line="480" w:lineRule="auto"/>
        <w:ind w:left="450" w:hanging="450"/>
        <w:rPr>
          <w:lang w:val="en-US"/>
        </w:rPr>
      </w:pPr>
      <w:r w:rsidRPr="001011A2">
        <w:rPr>
          <w:lang w:val="en-US"/>
        </w:rPr>
        <w:t>Mayeux, R., Stern, Y., Tang, M. X., Todak, G., Marder, K., Sano, M., . . . Gorman, J. M. (1993). Mortality risks in gay men with human immunodeficiency virus infection and cognitive impairment.</w:t>
      </w:r>
      <w:r w:rsidRPr="001011A2">
        <w:rPr>
          <w:i/>
          <w:iCs/>
          <w:lang w:val="en-US"/>
        </w:rPr>
        <w:t xml:space="preserve"> Neurology, 43</w:t>
      </w:r>
      <w:r w:rsidRPr="001011A2">
        <w:rPr>
          <w:lang w:val="en-US"/>
        </w:rPr>
        <w:t xml:space="preserve">(1 Part 1), 176. </w:t>
      </w:r>
    </w:p>
    <w:p w14:paraId="55E261AF" w14:textId="6D1C825C" w:rsidR="001011A2" w:rsidRPr="001011A2" w:rsidRDefault="001011A2" w:rsidP="001011A2">
      <w:pPr>
        <w:pStyle w:val="NormalWeb"/>
        <w:spacing w:line="480" w:lineRule="auto"/>
        <w:ind w:left="450" w:hanging="450"/>
        <w:rPr>
          <w:lang w:val="en-US"/>
        </w:rPr>
      </w:pPr>
      <w:r w:rsidRPr="001011A2">
        <w:rPr>
          <w:lang w:val="en-US"/>
        </w:rPr>
        <w:t xml:space="preserve">Mayo Clinic Staff. (2020). Exercise and stress: Get moving to manage stress. Retrieved from </w:t>
      </w:r>
      <w:hyperlink r:id="rId10" w:tgtFrame="_blank" w:history="1">
        <w:r w:rsidRPr="001011A2">
          <w:rPr>
            <w:rStyle w:val="Hyperlink"/>
            <w:lang w:val="en-US"/>
          </w:rPr>
          <w:t>https://www.mayoclinic.org/healthy-lifestyle/stress-management/in-depth/exercise-and-stress/art-20044469</w:t>
        </w:r>
      </w:hyperlink>
    </w:p>
    <w:p w14:paraId="68CA514F" w14:textId="77777777" w:rsidR="001011A2" w:rsidRPr="001011A2" w:rsidRDefault="001011A2" w:rsidP="001011A2">
      <w:pPr>
        <w:pStyle w:val="NormalWeb"/>
        <w:spacing w:line="480" w:lineRule="auto"/>
        <w:ind w:left="450" w:hanging="450"/>
        <w:rPr>
          <w:lang w:val="en-US"/>
        </w:rPr>
      </w:pPr>
      <w:r w:rsidRPr="001011A2">
        <w:rPr>
          <w:lang w:val="en-US"/>
        </w:rPr>
        <w:t>McCabe, S. E., Matthews, A. K., Lee, J. G., Veliz, P., Hughes, T. L., &amp; Boyd, C. J. (2018). Tobacco use and sexual orientation in a national cross-sectional study: Age, race/ethnicity, and sexual identity–attraction differences.</w:t>
      </w:r>
      <w:r w:rsidRPr="001011A2">
        <w:rPr>
          <w:i/>
          <w:iCs/>
          <w:lang w:val="en-US"/>
        </w:rPr>
        <w:t xml:space="preserve"> American Journal of Preventive Medicine, 54</w:t>
      </w:r>
      <w:r w:rsidRPr="001011A2">
        <w:rPr>
          <w:lang w:val="en-US"/>
        </w:rPr>
        <w:t xml:space="preserve">(6), 736-745. </w:t>
      </w:r>
    </w:p>
    <w:p w14:paraId="349E42A1" w14:textId="77777777" w:rsidR="001011A2" w:rsidRPr="001011A2" w:rsidRDefault="001011A2" w:rsidP="001011A2">
      <w:pPr>
        <w:pStyle w:val="NormalWeb"/>
        <w:spacing w:line="480" w:lineRule="auto"/>
        <w:ind w:left="450" w:hanging="450"/>
        <w:rPr>
          <w:lang w:val="en-US"/>
        </w:rPr>
      </w:pPr>
      <w:r w:rsidRPr="001011A2">
        <w:rPr>
          <w:lang w:val="en-US"/>
        </w:rPr>
        <w:t>McDowell, C. P., Dishman, R. K., Gordon, B. R., &amp; Herring, M. P. (2019). Physical activity and anxiety: A systematic review and meta-analysis of prospective cohort studies.</w:t>
      </w:r>
      <w:r w:rsidRPr="001011A2">
        <w:rPr>
          <w:i/>
          <w:iCs/>
          <w:lang w:val="en-US"/>
        </w:rPr>
        <w:t xml:space="preserve"> American Journal of Preventive Medicine, 57</w:t>
      </w:r>
      <w:r w:rsidRPr="001011A2">
        <w:rPr>
          <w:lang w:val="en-US"/>
        </w:rPr>
        <w:t xml:space="preserve">(4), 545-556. </w:t>
      </w:r>
    </w:p>
    <w:p w14:paraId="366EE8CA" w14:textId="1647C06B" w:rsidR="001011A2" w:rsidRPr="00C714AA" w:rsidRDefault="001011A2" w:rsidP="001011A2">
      <w:pPr>
        <w:pStyle w:val="NormalWeb"/>
        <w:spacing w:line="480" w:lineRule="auto"/>
        <w:ind w:left="450" w:hanging="450"/>
      </w:pPr>
      <w:r w:rsidRPr="001011A2">
        <w:rPr>
          <w:lang w:val="en-US"/>
        </w:rPr>
        <w:t>Meyer, J., McDowell, C., Lansing, J., Brower, C., Smith, L., Tully, M., &amp; Herring, M. (2020). Changes in physical activity and sedentary behavior in response to COVID-19 and their associations with mental health in 3052 US adults.</w:t>
      </w:r>
      <w:r w:rsidRPr="001011A2">
        <w:rPr>
          <w:i/>
          <w:iCs/>
          <w:lang w:val="en-US"/>
        </w:rPr>
        <w:t xml:space="preserve"> International Journal of Environmental Research and Public Health, 17</w:t>
      </w:r>
      <w:r w:rsidRPr="001011A2">
        <w:rPr>
          <w:lang w:val="en-US"/>
        </w:rPr>
        <w:t>(18)</w:t>
      </w:r>
      <w:r w:rsidR="003C059F">
        <w:rPr>
          <w:lang w:val="en-US"/>
        </w:rPr>
        <w:t xml:space="preserve">, </w:t>
      </w:r>
      <w:r w:rsidR="003C059F" w:rsidRPr="003C059F">
        <w:rPr>
          <w:lang w:val="en-US"/>
        </w:rPr>
        <w:t>6469</w:t>
      </w:r>
      <w:r w:rsidR="003C059F">
        <w:rPr>
          <w:lang w:val="en-US"/>
        </w:rPr>
        <w:t>.</w:t>
      </w:r>
    </w:p>
    <w:p w14:paraId="57E5601A" w14:textId="77777777" w:rsidR="001011A2" w:rsidRPr="001011A2" w:rsidRDefault="001011A2" w:rsidP="001011A2">
      <w:pPr>
        <w:pStyle w:val="NormalWeb"/>
        <w:spacing w:line="480" w:lineRule="auto"/>
        <w:ind w:left="450" w:hanging="450"/>
        <w:rPr>
          <w:lang w:val="en-US"/>
        </w:rPr>
      </w:pPr>
      <w:r w:rsidRPr="001011A2">
        <w:rPr>
          <w:lang w:val="en-US"/>
        </w:rPr>
        <w:t xml:space="preserve">Miley-Akerstedt, A., Jelic, V., Marklund, K., Walles, H., Åkerstedt, T., Hagman, G., &amp; Andersson, C. (2018). Lifestyle factors are important contributors to subjective memory </w:t>
      </w:r>
      <w:r w:rsidRPr="001011A2">
        <w:rPr>
          <w:lang w:val="en-US"/>
        </w:rPr>
        <w:lastRenderedPageBreak/>
        <w:t>complaints among patients without objective memory impairment or positive neurochemical biomarkers for alzheimer’s disease.</w:t>
      </w:r>
      <w:r w:rsidRPr="001011A2">
        <w:rPr>
          <w:i/>
          <w:iCs/>
          <w:lang w:val="en-US"/>
        </w:rPr>
        <w:t xml:space="preserve"> Dementia and Geriatric Cognitive Disorders Extra, 8</w:t>
      </w:r>
      <w:r w:rsidRPr="001011A2">
        <w:rPr>
          <w:lang w:val="en-US"/>
        </w:rPr>
        <w:t xml:space="preserve">(3), 439-452. </w:t>
      </w:r>
    </w:p>
    <w:p w14:paraId="15A4B3AB" w14:textId="77777777" w:rsidR="001011A2" w:rsidRPr="001011A2" w:rsidRDefault="001011A2" w:rsidP="001011A2">
      <w:pPr>
        <w:pStyle w:val="NormalWeb"/>
        <w:spacing w:line="480" w:lineRule="auto"/>
        <w:ind w:left="450" w:hanging="450"/>
        <w:rPr>
          <w:lang w:val="en-US"/>
        </w:rPr>
      </w:pPr>
      <w:r w:rsidRPr="001011A2">
        <w:rPr>
          <w:lang w:val="en-US"/>
        </w:rPr>
        <w:t>Mitchell, A. J. (2008). Is it time to separate subjective cognitive complaints from the diagnosis of mild cognitive impairment?</w:t>
      </w:r>
      <w:r w:rsidRPr="001011A2">
        <w:rPr>
          <w:i/>
          <w:iCs/>
          <w:lang w:val="en-US"/>
        </w:rPr>
        <w:t xml:space="preserve"> Age and Ageing, 37</w:t>
      </w:r>
      <w:r w:rsidRPr="001011A2">
        <w:rPr>
          <w:lang w:val="en-US"/>
        </w:rPr>
        <w:t xml:space="preserve">(5), 497-499. </w:t>
      </w:r>
    </w:p>
    <w:p w14:paraId="6A8D6203" w14:textId="77777777" w:rsidR="001011A2" w:rsidRPr="001011A2" w:rsidRDefault="001011A2" w:rsidP="001011A2">
      <w:pPr>
        <w:pStyle w:val="NormalWeb"/>
        <w:spacing w:line="480" w:lineRule="auto"/>
        <w:ind w:left="450" w:hanging="450"/>
        <w:rPr>
          <w:lang w:val="en-US"/>
        </w:rPr>
      </w:pPr>
      <w:r w:rsidRPr="001011A2">
        <w:rPr>
          <w:lang w:val="en-US"/>
        </w:rPr>
        <w:t>Mitchell, A. J., &amp; Shiri‐Feshki, M. (2009). Rate of progression of mild cognitive impairment to dementia–meta‐analysis of 41 robust inception cohort studies.</w:t>
      </w:r>
      <w:r w:rsidRPr="001011A2">
        <w:rPr>
          <w:i/>
          <w:iCs/>
          <w:lang w:val="en-US"/>
        </w:rPr>
        <w:t xml:space="preserve"> Acta Psychiatrica Scandinavica, 119</w:t>
      </w:r>
      <w:r w:rsidRPr="001011A2">
        <w:rPr>
          <w:lang w:val="en-US"/>
        </w:rPr>
        <w:t xml:space="preserve">(4), 252-265. </w:t>
      </w:r>
    </w:p>
    <w:p w14:paraId="4CF60473" w14:textId="77777777" w:rsidR="001011A2" w:rsidRPr="001011A2" w:rsidRDefault="001011A2" w:rsidP="001011A2">
      <w:pPr>
        <w:pStyle w:val="NormalWeb"/>
        <w:spacing w:line="480" w:lineRule="auto"/>
        <w:ind w:left="450" w:hanging="450"/>
        <w:rPr>
          <w:lang w:val="en-US"/>
        </w:rPr>
      </w:pPr>
      <w:r w:rsidRPr="001011A2">
        <w:rPr>
          <w:lang w:val="en-US"/>
        </w:rPr>
        <w:t>Mol, M., Carpay, M., Ramakers, I., Rozendaal, N., Verhey, F., &amp; Jolles, J. (2007). The effect of perceived forgetfulness on quality of life in older adults; a qualitative review.</w:t>
      </w:r>
      <w:r w:rsidRPr="001011A2">
        <w:rPr>
          <w:i/>
          <w:iCs/>
          <w:lang w:val="en-US"/>
        </w:rPr>
        <w:t xml:space="preserve"> International Journal of Geriatric Psychiatry: A Journal of the Psychiatry of Late Life and Allied Sciences, 22</w:t>
      </w:r>
      <w:r w:rsidRPr="001011A2">
        <w:rPr>
          <w:lang w:val="en-US"/>
        </w:rPr>
        <w:t xml:space="preserve">(5), 393-400. </w:t>
      </w:r>
    </w:p>
    <w:p w14:paraId="1515972E" w14:textId="77777777" w:rsidR="001011A2" w:rsidRPr="001011A2" w:rsidRDefault="001011A2" w:rsidP="001011A2">
      <w:pPr>
        <w:pStyle w:val="NormalWeb"/>
        <w:spacing w:line="480" w:lineRule="auto"/>
        <w:ind w:left="450" w:hanging="450"/>
        <w:rPr>
          <w:lang w:val="en-US"/>
        </w:rPr>
      </w:pPr>
      <w:r w:rsidRPr="001011A2">
        <w:rPr>
          <w:lang w:val="en-US"/>
        </w:rPr>
        <w:t>Munoz, E., Sliwinski, M. J., Scott, S. B., &amp; Hofer, S. (2015). Global perceived stress predicts cognitive change among older adults.</w:t>
      </w:r>
      <w:r w:rsidRPr="001011A2">
        <w:rPr>
          <w:i/>
          <w:iCs/>
          <w:lang w:val="en-US"/>
        </w:rPr>
        <w:t xml:space="preserve"> Psychology and Aging, 30</w:t>
      </w:r>
      <w:r w:rsidRPr="001011A2">
        <w:rPr>
          <w:lang w:val="en-US"/>
        </w:rPr>
        <w:t xml:space="preserve">(3), 487. </w:t>
      </w:r>
    </w:p>
    <w:p w14:paraId="78558CA9" w14:textId="7D35B73F" w:rsidR="001011A2" w:rsidRPr="001011A2" w:rsidRDefault="001011A2" w:rsidP="001011A2">
      <w:pPr>
        <w:pStyle w:val="NormalWeb"/>
        <w:spacing w:line="480" w:lineRule="auto"/>
        <w:ind w:left="450" w:hanging="450"/>
        <w:rPr>
          <w:lang w:val="en-US"/>
        </w:rPr>
      </w:pPr>
      <w:r w:rsidRPr="001011A2">
        <w:rPr>
          <w:lang w:val="en-US"/>
        </w:rPr>
        <w:t>National Centre for Social Rese</w:t>
      </w:r>
      <w:r w:rsidR="00BD57A4">
        <w:rPr>
          <w:lang w:val="en-US"/>
        </w:rPr>
        <w:t xml:space="preserve">arch. (2007). Adult psychiatric </w:t>
      </w:r>
      <w:r w:rsidRPr="001011A2">
        <w:rPr>
          <w:lang w:val="en-US"/>
        </w:rPr>
        <w:t>morbid</w:t>
      </w:r>
      <w:r w:rsidR="00BD57A4">
        <w:rPr>
          <w:lang w:val="en-US"/>
        </w:rPr>
        <w:t>ity survey</w:t>
      </w:r>
      <w:r w:rsidR="00BD57A4">
        <w:rPr>
          <w:lang w:val="en-US"/>
        </w:rPr>
        <w:br/>
        <w:t xml:space="preserve">2007. Retrieved from </w:t>
      </w:r>
      <w:hyperlink r:id="rId11" w:tgtFrame="_blank" w:history="1">
        <w:r w:rsidRPr="001011A2">
          <w:rPr>
            <w:rStyle w:val="Hyperlink"/>
            <w:lang w:val="en-US"/>
          </w:rPr>
          <w:t>http://doc.ukdataservice.ac.uk/doc/6379/mrdoc/pdf/6379_apms_2007_dataset_documentation.pdf</w:t>
        </w:r>
      </w:hyperlink>
    </w:p>
    <w:p w14:paraId="05021E24" w14:textId="20B63E08" w:rsidR="001011A2" w:rsidRPr="001011A2" w:rsidRDefault="001011A2" w:rsidP="001011A2">
      <w:pPr>
        <w:pStyle w:val="NormalWeb"/>
        <w:spacing w:line="480" w:lineRule="auto"/>
        <w:ind w:left="450" w:hanging="450"/>
        <w:rPr>
          <w:lang w:val="en-US"/>
        </w:rPr>
      </w:pPr>
      <w:r w:rsidRPr="001011A2">
        <w:rPr>
          <w:lang w:val="en-US"/>
        </w:rPr>
        <w:t xml:space="preserve">National Sleep Foundation. (2020). How exercise impacts sleep quality. Retrieved from </w:t>
      </w:r>
      <w:hyperlink r:id="rId12" w:tgtFrame="_blank" w:history="1">
        <w:r w:rsidRPr="001011A2">
          <w:rPr>
            <w:rStyle w:val="Hyperlink"/>
            <w:lang w:val="en-US"/>
          </w:rPr>
          <w:t>https://www.sleepfoundation.org/articles/how-exercise-impacts-sleep-quality</w:t>
        </w:r>
      </w:hyperlink>
    </w:p>
    <w:p w14:paraId="3D4B108A" w14:textId="77777777" w:rsidR="001011A2" w:rsidRPr="001011A2" w:rsidRDefault="001011A2" w:rsidP="001011A2">
      <w:pPr>
        <w:pStyle w:val="NormalWeb"/>
        <w:spacing w:line="480" w:lineRule="auto"/>
        <w:ind w:left="450" w:hanging="450"/>
        <w:rPr>
          <w:lang w:val="en-US"/>
        </w:rPr>
      </w:pPr>
      <w:r w:rsidRPr="001011A2">
        <w:rPr>
          <w:lang w:val="en-US"/>
        </w:rPr>
        <w:t>Newson, R. S., &amp; Kemps, E. B. (2006). The nature of subjective cognitive complaints of older adults.</w:t>
      </w:r>
      <w:r w:rsidRPr="001011A2">
        <w:rPr>
          <w:i/>
          <w:iCs/>
          <w:lang w:val="en-US"/>
        </w:rPr>
        <w:t xml:space="preserve"> The International Journal of Aging and Human Development, 63</w:t>
      </w:r>
      <w:r w:rsidRPr="001011A2">
        <w:rPr>
          <w:lang w:val="en-US"/>
        </w:rPr>
        <w:t xml:space="preserve">(2), 139-151. </w:t>
      </w:r>
    </w:p>
    <w:p w14:paraId="03C64039" w14:textId="0A768869" w:rsidR="001011A2" w:rsidRPr="001011A2" w:rsidRDefault="001011A2" w:rsidP="001011A2">
      <w:pPr>
        <w:pStyle w:val="NormalWeb"/>
        <w:spacing w:line="480" w:lineRule="auto"/>
        <w:ind w:left="450" w:hanging="450"/>
        <w:rPr>
          <w:lang w:val="en-US"/>
        </w:rPr>
      </w:pPr>
      <w:r w:rsidRPr="001011A2">
        <w:rPr>
          <w:lang w:val="en-US"/>
        </w:rPr>
        <w:lastRenderedPageBreak/>
        <w:t xml:space="preserve">NHS Digital. (2009). Adult psychiatric morbidity in england - 2007, results of a household survey. Retrieved from </w:t>
      </w:r>
      <w:hyperlink r:id="rId13" w:tgtFrame="_blank" w:history="1">
        <w:r w:rsidRPr="001011A2">
          <w:rPr>
            <w:rStyle w:val="Hyperlink"/>
            <w:lang w:val="en-US"/>
          </w:rPr>
          <w:t>https://digital.nhs.uk/data-and-information/publications/statistical/adult-psychiatric-morbidity-survey/adult-psychiatric-morbidity-in-england-2007-results-of-a-household-survey</w:t>
        </w:r>
      </w:hyperlink>
    </w:p>
    <w:p w14:paraId="679A8620" w14:textId="77777777" w:rsidR="001011A2" w:rsidRPr="001011A2" w:rsidRDefault="001011A2" w:rsidP="001011A2">
      <w:pPr>
        <w:pStyle w:val="NormalWeb"/>
        <w:spacing w:line="480" w:lineRule="auto"/>
        <w:ind w:left="450" w:hanging="450"/>
        <w:rPr>
          <w:lang w:val="en-US"/>
        </w:rPr>
      </w:pPr>
      <w:r w:rsidRPr="001011A2">
        <w:rPr>
          <w:lang w:val="en-US"/>
        </w:rPr>
        <w:t>Pesola, F., Shelton, K. H., &amp; van den Bree, Marianne BM. (2014). Sexual orientation and alcohol problem use among UK adolescents: An indirect link through depressed mood.</w:t>
      </w:r>
      <w:r w:rsidRPr="001011A2">
        <w:rPr>
          <w:i/>
          <w:iCs/>
          <w:lang w:val="en-US"/>
        </w:rPr>
        <w:t xml:space="preserve"> Addiction, 109</w:t>
      </w:r>
      <w:r w:rsidRPr="001011A2">
        <w:rPr>
          <w:lang w:val="en-US"/>
        </w:rPr>
        <w:t xml:space="preserve">(7), 1072-1080. </w:t>
      </w:r>
    </w:p>
    <w:p w14:paraId="2E18550A" w14:textId="77777777" w:rsidR="001011A2" w:rsidRPr="001011A2" w:rsidRDefault="001011A2" w:rsidP="001011A2">
      <w:pPr>
        <w:pStyle w:val="NormalWeb"/>
        <w:spacing w:line="480" w:lineRule="auto"/>
        <w:ind w:left="450" w:hanging="450"/>
        <w:rPr>
          <w:lang w:val="en-US"/>
        </w:rPr>
      </w:pPr>
      <w:r w:rsidRPr="001011A2">
        <w:rPr>
          <w:lang w:val="en-US"/>
        </w:rPr>
        <w:t>Pilleron, S., Guerchet, M., Ndamba-Bandzouzi, B., Mbelesso, P., Dartigues, J., Preux, P., . . . EPIDEMCA Group. (2015). Association between stressful life events and cognitive disorders in central africa: Results from the EPIDEMCA program.</w:t>
      </w:r>
      <w:r w:rsidRPr="001011A2">
        <w:rPr>
          <w:i/>
          <w:iCs/>
          <w:lang w:val="en-US"/>
        </w:rPr>
        <w:t xml:space="preserve"> Neuroepidemiology, 44</w:t>
      </w:r>
      <w:r w:rsidRPr="001011A2">
        <w:rPr>
          <w:lang w:val="en-US"/>
        </w:rPr>
        <w:t xml:space="preserve">(2), 99-107. </w:t>
      </w:r>
    </w:p>
    <w:p w14:paraId="76832B2F" w14:textId="005BCCE9" w:rsidR="001011A2" w:rsidRPr="001011A2" w:rsidRDefault="001011A2" w:rsidP="001011A2">
      <w:pPr>
        <w:pStyle w:val="NormalWeb"/>
        <w:spacing w:line="480" w:lineRule="auto"/>
        <w:ind w:left="450" w:hanging="450"/>
        <w:rPr>
          <w:lang w:val="en-US"/>
        </w:rPr>
      </w:pPr>
      <w:r w:rsidRPr="001011A2">
        <w:rPr>
          <w:lang w:val="en-US"/>
        </w:rPr>
        <w:t xml:space="preserve">R Foundation for Statistical Computing, Vienna, Austria. (2019). R: A language and environment for statistical computing. Retrieved from </w:t>
      </w:r>
      <w:hyperlink r:id="rId14" w:tgtFrame="_blank" w:history="1">
        <w:r w:rsidRPr="001011A2">
          <w:rPr>
            <w:rStyle w:val="Hyperlink"/>
            <w:lang w:val="en-US"/>
          </w:rPr>
          <w:t>https://www.R-project.org/</w:t>
        </w:r>
      </w:hyperlink>
    </w:p>
    <w:p w14:paraId="211CA003" w14:textId="77777777" w:rsidR="001011A2" w:rsidRPr="001011A2" w:rsidRDefault="001011A2" w:rsidP="001011A2">
      <w:pPr>
        <w:pStyle w:val="NormalWeb"/>
        <w:spacing w:line="480" w:lineRule="auto"/>
        <w:ind w:left="450" w:hanging="450"/>
        <w:rPr>
          <w:lang w:val="en-US"/>
        </w:rPr>
      </w:pPr>
      <w:r w:rsidRPr="001011A2">
        <w:rPr>
          <w:lang w:val="en-US"/>
        </w:rPr>
        <w:t>Rourke, S. B., Halman, M. H., &amp; Bassel, C. (1999). Neurocognitive complaints in HIV-infection and their relationship to depressive symptoms and neuropsychological functioning.</w:t>
      </w:r>
      <w:r w:rsidRPr="001011A2">
        <w:rPr>
          <w:i/>
          <w:iCs/>
          <w:lang w:val="en-US"/>
        </w:rPr>
        <w:t xml:space="preserve"> Journal of Clinical and Experimental Neuropsychology, 21</w:t>
      </w:r>
      <w:r w:rsidRPr="001011A2">
        <w:rPr>
          <w:lang w:val="en-US"/>
        </w:rPr>
        <w:t xml:space="preserve">(6), 737-756. </w:t>
      </w:r>
    </w:p>
    <w:p w14:paraId="62336955" w14:textId="77777777" w:rsidR="001011A2" w:rsidRPr="001011A2" w:rsidRDefault="001011A2" w:rsidP="001011A2">
      <w:pPr>
        <w:pStyle w:val="NormalWeb"/>
        <w:spacing w:line="480" w:lineRule="auto"/>
        <w:ind w:left="450" w:hanging="450"/>
        <w:rPr>
          <w:lang w:val="en-US"/>
        </w:rPr>
      </w:pPr>
      <w:r w:rsidRPr="001011A2">
        <w:rPr>
          <w:lang w:val="en-US"/>
        </w:rPr>
        <w:t>Sabia, S., Elbaz, A., Dugravot, A., Head, J., Shipley, M., Hagger-Johnson, G., . . . Singh-Manoux, A. (2012). Impact of smoking on cognitive decline in early old age: The whitehall II cohort study.</w:t>
      </w:r>
      <w:r w:rsidRPr="001011A2">
        <w:rPr>
          <w:i/>
          <w:iCs/>
          <w:lang w:val="en-US"/>
        </w:rPr>
        <w:t xml:space="preserve"> Archives of General Psychiatry, 69</w:t>
      </w:r>
      <w:r w:rsidRPr="001011A2">
        <w:rPr>
          <w:lang w:val="en-US"/>
        </w:rPr>
        <w:t xml:space="preserve">(6), 627-635. </w:t>
      </w:r>
    </w:p>
    <w:p w14:paraId="695CBE57" w14:textId="77777777" w:rsidR="001011A2" w:rsidRPr="001011A2" w:rsidRDefault="001011A2" w:rsidP="001011A2">
      <w:pPr>
        <w:pStyle w:val="NormalWeb"/>
        <w:spacing w:line="480" w:lineRule="auto"/>
        <w:ind w:left="450" w:hanging="450"/>
        <w:rPr>
          <w:lang w:val="en-US"/>
        </w:rPr>
      </w:pPr>
      <w:r w:rsidRPr="001011A2">
        <w:rPr>
          <w:lang w:val="en-US"/>
        </w:rPr>
        <w:t xml:space="preserve">Saunders, J. B., Aasland, O. G., Babor, T. F., De la Fuente, Juan R, &amp; Grant, M. (1993). Development of the alcohol use disorders identification test (AUDIT): WHO </w:t>
      </w:r>
      <w:r w:rsidRPr="001011A2">
        <w:rPr>
          <w:lang w:val="en-US"/>
        </w:rPr>
        <w:lastRenderedPageBreak/>
        <w:t>collaborative project on early detection of persons with harmful alcohol consumption‐II.</w:t>
      </w:r>
      <w:r w:rsidRPr="001011A2">
        <w:rPr>
          <w:i/>
          <w:iCs/>
          <w:lang w:val="en-US"/>
        </w:rPr>
        <w:t xml:space="preserve"> Addiction, 88</w:t>
      </w:r>
      <w:r w:rsidRPr="001011A2">
        <w:rPr>
          <w:lang w:val="en-US"/>
        </w:rPr>
        <w:t xml:space="preserve">(6), 791-804. </w:t>
      </w:r>
    </w:p>
    <w:p w14:paraId="25FEEEFE" w14:textId="77777777" w:rsidR="001011A2" w:rsidRPr="001011A2" w:rsidRDefault="001011A2" w:rsidP="001011A2">
      <w:pPr>
        <w:pStyle w:val="NormalWeb"/>
        <w:spacing w:line="480" w:lineRule="auto"/>
        <w:ind w:left="450" w:hanging="450"/>
        <w:rPr>
          <w:lang w:val="en-US"/>
        </w:rPr>
      </w:pPr>
      <w:r w:rsidRPr="001011A2">
        <w:rPr>
          <w:lang w:val="en-US"/>
        </w:rPr>
        <w:t>Semlyen, J., King, M., Varney, J., &amp; Hagger-Johnson, G. (2016). Sexual orientation and symptoms of common mental disorder or low wellbeing: Combined meta-analysis of 12 UK population health surveys.</w:t>
      </w:r>
      <w:r w:rsidRPr="001011A2">
        <w:rPr>
          <w:i/>
          <w:iCs/>
          <w:lang w:val="en-US"/>
        </w:rPr>
        <w:t xml:space="preserve"> BMC Psychiatry, 16</w:t>
      </w:r>
      <w:r w:rsidRPr="001011A2">
        <w:rPr>
          <w:lang w:val="en-US"/>
        </w:rPr>
        <w:t xml:space="preserve">(1), 67. </w:t>
      </w:r>
    </w:p>
    <w:p w14:paraId="40234284" w14:textId="18A306BF" w:rsidR="001011A2" w:rsidRPr="001011A2" w:rsidRDefault="001011A2" w:rsidP="001011A2">
      <w:pPr>
        <w:pStyle w:val="NormalWeb"/>
        <w:spacing w:line="480" w:lineRule="auto"/>
        <w:ind w:left="450" w:hanging="450"/>
        <w:rPr>
          <w:lang w:val="en-US"/>
        </w:rPr>
      </w:pPr>
      <w:r w:rsidRPr="001011A2">
        <w:rPr>
          <w:lang w:val="en-US"/>
        </w:rPr>
        <w:t>Smith, L., Jacob, L., Yakkundi, A., McDermott, D., Armstrong, N. C., Barnett, Y., . . . Tully, M. A. (2020). Correlates of symptoms of anxiety and depression and mental wellbeing associated with COVID-19: A cross-sectional study of UK-based respondents.</w:t>
      </w:r>
      <w:r w:rsidR="00B47BC9">
        <w:rPr>
          <w:i/>
          <w:iCs/>
          <w:lang w:val="en-US"/>
        </w:rPr>
        <w:t xml:space="preserve"> Psychiatry Rese</w:t>
      </w:r>
      <w:r w:rsidR="00B47BC9" w:rsidRPr="00B47BC9">
        <w:rPr>
          <w:i/>
          <w:iCs/>
          <w:lang w:val="en-US"/>
        </w:rPr>
        <w:t>arch</w:t>
      </w:r>
      <w:r w:rsidRPr="00B47BC9">
        <w:rPr>
          <w:i/>
          <w:lang w:val="en-US"/>
        </w:rPr>
        <w:t xml:space="preserve">, </w:t>
      </w:r>
      <w:r w:rsidR="00B47BC9" w:rsidRPr="00B47BC9">
        <w:rPr>
          <w:i/>
          <w:lang w:val="en-US"/>
        </w:rPr>
        <w:t>291</w:t>
      </w:r>
      <w:r w:rsidR="00B47BC9">
        <w:rPr>
          <w:lang w:val="en-US"/>
        </w:rPr>
        <w:t xml:space="preserve">, </w:t>
      </w:r>
      <w:r w:rsidRPr="001011A2">
        <w:rPr>
          <w:lang w:val="en-US"/>
        </w:rPr>
        <w:t xml:space="preserve">113138. </w:t>
      </w:r>
    </w:p>
    <w:p w14:paraId="23BB9D4B" w14:textId="77777777" w:rsidR="001011A2" w:rsidRPr="001011A2" w:rsidRDefault="001011A2" w:rsidP="001011A2">
      <w:pPr>
        <w:pStyle w:val="NormalWeb"/>
        <w:spacing w:line="480" w:lineRule="auto"/>
        <w:ind w:left="450" w:hanging="450"/>
        <w:rPr>
          <w:lang w:val="en-US"/>
        </w:rPr>
      </w:pPr>
      <w:r w:rsidRPr="001011A2">
        <w:rPr>
          <w:lang w:val="en-US"/>
        </w:rPr>
        <w:t>Stockwell, T., Sitharthan, T., McGRATH, D., &amp; Lang, E. (1994). The measurement of alcohol dependence and impaired control in community samples.</w:t>
      </w:r>
      <w:r w:rsidRPr="001011A2">
        <w:rPr>
          <w:i/>
          <w:iCs/>
          <w:lang w:val="en-US"/>
        </w:rPr>
        <w:t xml:space="preserve"> Addiction, 89</w:t>
      </w:r>
      <w:r w:rsidRPr="001011A2">
        <w:rPr>
          <w:lang w:val="en-US"/>
        </w:rPr>
        <w:t xml:space="preserve">(2), 167-184. </w:t>
      </w:r>
    </w:p>
    <w:p w14:paraId="6F8E09D4" w14:textId="77777777" w:rsidR="001011A2" w:rsidRPr="001011A2" w:rsidRDefault="001011A2" w:rsidP="001011A2">
      <w:pPr>
        <w:pStyle w:val="NormalWeb"/>
        <w:spacing w:line="480" w:lineRule="auto"/>
        <w:ind w:left="450" w:hanging="450"/>
      </w:pPr>
      <w:r w:rsidRPr="001011A2">
        <w:rPr>
          <w:lang w:val="en-US"/>
        </w:rPr>
        <w:t>Toyoshima, K., Inoue, T., Shimura, A., Masuya, J., Ichiki, M., Fujimura, Y., &amp; Kusumi, I. (2020). Associations between the depressive symptoms, subjective cognitive function, and presenteeism of japanese adult workers: A cross-sectional survey study.</w:t>
      </w:r>
      <w:r w:rsidRPr="001011A2">
        <w:rPr>
          <w:i/>
          <w:iCs/>
          <w:lang w:val="en-US"/>
        </w:rPr>
        <w:t xml:space="preserve"> </w:t>
      </w:r>
      <w:r w:rsidRPr="001011A2">
        <w:rPr>
          <w:i/>
          <w:iCs/>
        </w:rPr>
        <w:t>BioPsychoSocial Medicine, 14</w:t>
      </w:r>
      <w:r w:rsidRPr="001011A2">
        <w:t xml:space="preserve">, 1-7. </w:t>
      </w:r>
    </w:p>
    <w:p w14:paraId="371C0413" w14:textId="77777777" w:rsidR="001011A2" w:rsidRPr="001011A2" w:rsidRDefault="001011A2" w:rsidP="001011A2">
      <w:pPr>
        <w:pStyle w:val="NormalWeb"/>
        <w:spacing w:line="480" w:lineRule="auto"/>
        <w:ind w:left="450" w:hanging="450"/>
      </w:pPr>
      <w:r w:rsidRPr="001011A2">
        <w:t xml:space="preserve">Tsapanou, A., Vlachos, G. S., Cosentino, S., Gu, Y., Manly, J. J., Brickman, A. M., . . . </w:t>
      </w:r>
      <w:r w:rsidRPr="001011A2">
        <w:rPr>
          <w:lang w:val="en-US"/>
        </w:rPr>
        <w:t>Kosmidis, M. H. (2019). Sleep and subjective cognitive decline in cognitively healthy elderly: Results from two cohorts.</w:t>
      </w:r>
      <w:r w:rsidRPr="001011A2">
        <w:rPr>
          <w:i/>
          <w:iCs/>
          <w:lang w:val="en-US"/>
        </w:rPr>
        <w:t xml:space="preserve"> </w:t>
      </w:r>
      <w:r w:rsidRPr="001011A2">
        <w:rPr>
          <w:i/>
          <w:iCs/>
        </w:rPr>
        <w:t>Journal of Sleep Research, 28</w:t>
      </w:r>
      <w:r w:rsidRPr="001011A2">
        <w:t xml:space="preserve">(5), e12759. </w:t>
      </w:r>
    </w:p>
    <w:p w14:paraId="59EC5370" w14:textId="7415FBE5" w:rsidR="00DB151B" w:rsidRDefault="001011A2" w:rsidP="001011A2">
      <w:pPr>
        <w:rPr>
          <w:b/>
          <w:bCs/>
          <w:lang w:val="en-US"/>
        </w:rPr>
      </w:pPr>
      <w:r w:rsidRPr="001011A2">
        <w:t> </w:t>
      </w:r>
      <w:r w:rsidR="004B29F9">
        <w:rPr>
          <w:b/>
          <w:bCs/>
          <w:lang w:val="en-US"/>
        </w:rPr>
        <w:fldChar w:fldCharType="end"/>
      </w:r>
    </w:p>
    <w:p w14:paraId="0A6D70F6" w14:textId="6CBC85B1" w:rsidR="00FE06F0" w:rsidRDefault="00FE06F0" w:rsidP="001011A2">
      <w:pPr>
        <w:rPr>
          <w:b/>
          <w:bCs/>
          <w:lang w:val="en-US"/>
        </w:rPr>
      </w:pPr>
    </w:p>
    <w:p w14:paraId="1761C659" w14:textId="2001C08B" w:rsidR="00FE06F0" w:rsidRDefault="00FE06F0" w:rsidP="001011A2">
      <w:pPr>
        <w:rPr>
          <w:b/>
          <w:bCs/>
          <w:lang w:val="en-US"/>
        </w:rPr>
      </w:pPr>
    </w:p>
    <w:p w14:paraId="7E445FCC" w14:textId="4D975946" w:rsidR="00FE06F0" w:rsidRDefault="00FE06F0" w:rsidP="001011A2">
      <w:pPr>
        <w:rPr>
          <w:b/>
          <w:bCs/>
          <w:lang w:val="en-US"/>
        </w:rPr>
      </w:pPr>
    </w:p>
    <w:p w14:paraId="4248A2AE" w14:textId="1B903DCB" w:rsidR="00FE06F0" w:rsidRDefault="00FE06F0" w:rsidP="001011A2">
      <w:pPr>
        <w:rPr>
          <w:b/>
          <w:bCs/>
          <w:lang w:val="en-US"/>
        </w:rPr>
      </w:pPr>
    </w:p>
    <w:p w14:paraId="079F5BA2" w14:textId="75E6513A" w:rsidR="00FE06F0" w:rsidRDefault="00FE06F0" w:rsidP="001011A2">
      <w:pPr>
        <w:rPr>
          <w:b/>
          <w:bCs/>
          <w:lang w:val="en-US"/>
        </w:rPr>
      </w:pPr>
    </w:p>
    <w:p w14:paraId="5C43867E" w14:textId="77777777" w:rsidR="0090415D" w:rsidRDefault="00FE06F0" w:rsidP="0090415D">
      <w:pPr>
        <w:pStyle w:val="Heading1"/>
        <w:rPr>
          <w:lang w:val="en-US" w:eastAsia="ja-JP"/>
        </w:rPr>
      </w:pPr>
      <w:r w:rsidRPr="00FE06F0">
        <w:rPr>
          <w:lang w:val="en-US" w:eastAsia="ja-JP"/>
        </w:rPr>
        <w:lastRenderedPageBreak/>
        <w:t>Table 1</w:t>
      </w:r>
    </w:p>
    <w:p w14:paraId="571DED5D" w14:textId="2493FC51" w:rsidR="00FE06F0" w:rsidRPr="00FE06F0" w:rsidRDefault="00FE06F0" w:rsidP="00FE06F0">
      <w:pPr>
        <w:spacing w:line="360" w:lineRule="auto"/>
        <w:rPr>
          <w:rFonts w:eastAsiaTheme="minorEastAsia"/>
          <w:lang w:val="en-US" w:eastAsia="ja-JP"/>
        </w:rPr>
      </w:pPr>
      <w:r w:rsidRPr="00FE06F0">
        <w:rPr>
          <w:rFonts w:eastAsiaTheme="minorEastAsia"/>
          <w:lang w:val="en-US" w:eastAsia="ja-JP"/>
        </w:rPr>
        <w:t>Sample characteristics (overall and by sexual orientation status)</w:t>
      </w:r>
    </w:p>
    <w:tbl>
      <w:tblPr>
        <w:tblStyle w:val="TableGrid"/>
        <w:tblW w:w="0" w:type="auto"/>
        <w:jc w:val="center"/>
        <w:tblLook w:val="04A0" w:firstRow="1" w:lastRow="0" w:firstColumn="1" w:lastColumn="0" w:noHBand="0" w:noVBand="1"/>
      </w:tblPr>
      <w:tblGrid>
        <w:gridCol w:w="1419"/>
        <w:gridCol w:w="3082"/>
        <w:gridCol w:w="1175"/>
        <w:gridCol w:w="1433"/>
        <w:gridCol w:w="1148"/>
        <w:gridCol w:w="799"/>
      </w:tblGrid>
      <w:tr w:rsidR="00FE06F0" w:rsidRPr="00FE06F0" w14:paraId="6BEEA632" w14:textId="77777777" w:rsidTr="00570B12">
        <w:trPr>
          <w:jc w:val="center"/>
        </w:trPr>
        <w:tc>
          <w:tcPr>
            <w:tcW w:w="1419" w:type="dxa"/>
            <w:vMerge w:val="restart"/>
            <w:vAlign w:val="center"/>
          </w:tcPr>
          <w:p w14:paraId="3227DA75" w14:textId="77777777" w:rsidR="00FE06F0" w:rsidRPr="00FE06F0" w:rsidRDefault="00FE06F0" w:rsidP="00FE06F0">
            <w:pPr>
              <w:rPr>
                <w:rFonts w:eastAsiaTheme="minorEastAsia"/>
                <w:sz w:val="20"/>
                <w:szCs w:val="20"/>
                <w:lang w:eastAsia="ja-JP"/>
              </w:rPr>
            </w:pPr>
            <w:proofErr w:type="spellStart"/>
            <w:r w:rsidRPr="00FE06F0">
              <w:rPr>
                <w:sz w:val="20"/>
                <w:szCs w:val="20"/>
                <w:lang w:eastAsia="ja-JP"/>
              </w:rPr>
              <w:t>Characteristics</w:t>
            </w:r>
            <w:proofErr w:type="spellEnd"/>
          </w:p>
        </w:tc>
        <w:tc>
          <w:tcPr>
            <w:tcW w:w="0" w:type="auto"/>
            <w:vMerge w:val="restart"/>
            <w:vAlign w:val="center"/>
          </w:tcPr>
          <w:p w14:paraId="3DF493E5" w14:textId="77777777" w:rsidR="00FE06F0" w:rsidRPr="00FE06F0" w:rsidRDefault="00FE06F0" w:rsidP="00FE06F0">
            <w:pPr>
              <w:rPr>
                <w:rFonts w:eastAsiaTheme="minorEastAsia"/>
                <w:sz w:val="20"/>
                <w:szCs w:val="20"/>
                <w:lang w:eastAsia="ja-JP"/>
              </w:rPr>
            </w:pPr>
            <w:proofErr w:type="spellStart"/>
            <w:r w:rsidRPr="00FE06F0">
              <w:rPr>
                <w:sz w:val="20"/>
                <w:szCs w:val="20"/>
                <w:lang w:eastAsia="ja-JP"/>
              </w:rPr>
              <w:t>Category</w:t>
            </w:r>
            <w:proofErr w:type="spellEnd"/>
          </w:p>
        </w:tc>
        <w:tc>
          <w:tcPr>
            <w:tcW w:w="0" w:type="auto"/>
            <w:vAlign w:val="center"/>
          </w:tcPr>
          <w:p w14:paraId="6ADA866A" w14:textId="77777777" w:rsidR="00FE06F0" w:rsidRPr="00FE06F0" w:rsidRDefault="00FE06F0" w:rsidP="00FE06F0">
            <w:pPr>
              <w:rPr>
                <w:rFonts w:eastAsiaTheme="minorEastAsia"/>
                <w:sz w:val="20"/>
                <w:szCs w:val="20"/>
                <w:lang w:eastAsia="ja-JP"/>
              </w:rPr>
            </w:pPr>
          </w:p>
        </w:tc>
        <w:tc>
          <w:tcPr>
            <w:tcW w:w="0" w:type="auto"/>
            <w:gridSpan w:val="2"/>
            <w:vAlign w:val="center"/>
          </w:tcPr>
          <w:p w14:paraId="5C63829F" w14:textId="77777777" w:rsidR="00FE06F0" w:rsidRPr="00FE06F0" w:rsidRDefault="00FE06F0" w:rsidP="00FE06F0">
            <w:pPr>
              <w:rPr>
                <w:rFonts w:eastAsiaTheme="minorEastAsia"/>
                <w:sz w:val="20"/>
                <w:szCs w:val="20"/>
                <w:lang w:eastAsia="ja-JP"/>
              </w:rPr>
            </w:pPr>
            <w:proofErr w:type="spellStart"/>
            <w:r w:rsidRPr="00FE06F0">
              <w:rPr>
                <w:rFonts w:eastAsiaTheme="minorEastAsia"/>
                <w:sz w:val="20"/>
                <w:szCs w:val="20"/>
                <w:lang w:eastAsia="ja-JP"/>
              </w:rPr>
              <w:t>Sexual</w:t>
            </w:r>
            <w:proofErr w:type="spellEnd"/>
            <w:r w:rsidRPr="00FE06F0">
              <w:rPr>
                <w:rFonts w:eastAsiaTheme="minorEastAsia"/>
                <w:sz w:val="20"/>
                <w:szCs w:val="20"/>
                <w:lang w:eastAsia="ja-JP"/>
              </w:rPr>
              <w:t xml:space="preserve"> </w:t>
            </w:r>
            <w:proofErr w:type="spellStart"/>
            <w:r w:rsidRPr="00FE06F0">
              <w:rPr>
                <w:rFonts w:eastAsiaTheme="minorEastAsia"/>
                <w:sz w:val="20"/>
                <w:szCs w:val="20"/>
                <w:lang w:eastAsia="ja-JP"/>
              </w:rPr>
              <w:t>orientation</w:t>
            </w:r>
            <w:r w:rsidRPr="00FE06F0">
              <w:rPr>
                <w:rFonts w:eastAsiaTheme="minorEastAsia"/>
                <w:sz w:val="20"/>
                <w:szCs w:val="20"/>
                <w:vertAlign w:val="superscript"/>
                <w:lang w:eastAsia="ja-JP"/>
              </w:rPr>
              <w:t>a</w:t>
            </w:r>
            <w:proofErr w:type="spellEnd"/>
          </w:p>
        </w:tc>
        <w:tc>
          <w:tcPr>
            <w:tcW w:w="0" w:type="auto"/>
            <w:vMerge w:val="restart"/>
            <w:vAlign w:val="center"/>
          </w:tcPr>
          <w:p w14:paraId="7097002D" w14:textId="77777777" w:rsidR="00FE06F0" w:rsidRPr="00FE06F0" w:rsidRDefault="00FE06F0" w:rsidP="00FE06F0">
            <w:pPr>
              <w:rPr>
                <w:rFonts w:eastAsiaTheme="minorEastAsia"/>
                <w:sz w:val="20"/>
                <w:szCs w:val="20"/>
                <w:lang w:eastAsia="ja-JP"/>
              </w:rPr>
            </w:pPr>
            <w:r w:rsidRPr="00FE06F0">
              <w:rPr>
                <w:sz w:val="20"/>
                <w:szCs w:val="20"/>
                <w:lang w:eastAsia="ja-JP"/>
              </w:rPr>
              <w:t>P-</w:t>
            </w:r>
            <w:proofErr w:type="spellStart"/>
            <w:r w:rsidRPr="00FE06F0">
              <w:rPr>
                <w:sz w:val="20"/>
                <w:szCs w:val="20"/>
                <w:lang w:eastAsia="ja-JP"/>
              </w:rPr>
              <w:t>value</w:t>
            </w:r>
            <w:r w:rsidRPr="00FE06F0">
              <w:rPr>
                <w:sz w:val="20"/>
                <w:szCs w:val="20"/>
                <w:vertAlign w:val="superscript"/>
                <w:lang w:eastAsia="ja-JP"/>
              </w:rPr>
              <w:t>b</w:t>
            </w:r>
            <w:proofErr w:type="spellEnd"/>
          </w:p>
        </w:tc>
      </w:tr>
      <w:tr w:rsidR="00FE06F0" w:rsidRPr="00FE06F0" w14:paraId="307C8D2E" w14:textId="77777777" w:rsidTr="00570B12">
        <w:trPr>
          <w:jc w:val="center"/>
        </w:trPr>
        <w:tc>
          <w:tcPr>
            <w:tcW w:w="1419" w:type="dxa"/>
            <w:vMerge/>
            <w:vAlign w:val="center"/>
          </w:tcPr>
          <w:p w14:paraId="3D6AC313" w14:textId="77777777" w:rsidR="00FE06F0" w:rsidRPr="00FE06F0" w:rsidRDefault="00FE06F0" w:rsidP="00FE06F0">
            <w:pPr>
              <w:rPr>
                <w:rFonts w:eastAsiaTheme="minorEastAsia"/>
                <w:sz w:val="20"/>
                <w:szCs w:val="20"/>
                <w:lang w:eastAsia="ja-JP"/>
              </w:rPr>
            </w:pPr>
          </w:p>
        </w:tc>
        <w:tc>
          <w:tcPr>
            <w:tcW w:w="0" w:type="auto"/>
            <w:vMerge/>
            <w:vAlign w:val="center"/>
          </w:tcPr>
          <w:p w14:paraId="43CA93EF" w14:textId="77777777" w:rsidR="00FE06F0" w:rsidRPr="00FE06F0" w:rsidRDefault="00FE06F0" w:rsidP="00FE06F0">
            <w:pPr>
              <w:rPr>
                <w:rFonts w:eastAsiaTheme="minorEastAsia"/>
                <w:sz w:val="20"/>
                <w:szCs w:val="20"/>
                <w:lang w:eastAsia="ja-JP"/>
              </w:rPr>
            </w:pPr>
          </w:p>
        </w:tc>
        <w:tc>
          <w:tcPr>
            <w:tcW w:w="0" w:type="auto"/>
            <w:vAlign w:val="center"/>
          </w:tcPr>
          <w:p w14:paraId="4D99FE1B" w14:textId="77777777" w:rsidR="00FE06F0" w:rsidRPr="00FE06F0" w:rsidRDefault="00FE06F0" w:rsidP="00FE06F0">
            <w:pPr>
              <w:rPr>
                <w:rFonts w:eastAsiaTheme="minorEastAsia"/>
                <w:sz w:val="20"/>
                <w:szCs w:val="20"/>
                <w:lang w:eastAsia="ja-JP"/>
              </w:rPr>
            </w:pPr>
            <w:proofErr w:type="spellStart"/>
            <w:r w:rsidRPr="00FE06F0">
              <w:rPr>
                <w:sz w:val="20"/>
                <w:szCs w:val="20"/>
                <w:lang w:eastAsia="ja-JP"/>
              </w:rPr>
              <w:t>Overall</w:t>
            </w:r>
            <w:proofErr w:type="spellEnd"/>
            <w:r w:rsidRPr="00FE06F0">
              <w:rPr>
                <w:sz w:val="20"/>
                <w:szCs w:val="20"/>
                <w:lang w:eastAsia="ja-JP"/>
              </w:rPr>
              <w:t xml:space="preserve"> (N=7,400)</w:t>
            </w:r>
          </w:p>
        </w:tc>
        <w:tc>
          <w:tcPr>
            <w:tcW w:w="0" w:type="auto"/>
            <w:vAlign w:val="center"/>
          </w:tcPr>
          <w:p w14:paraId="27B63A2F" w14:textId="77777777" w:rsidR="00FE06F0" w:rsidRPr="00FE06F0" w:rsidRDefault="00FE06F0" w:rsidP="00FE06F0">
            <w:pPr>
              <w:rPr>
                <w:rFonts w:eastAsiaTheme="minorEastAsia"/>
                <w:sz w:val="20"/>
                <w:szCs w:val="20"/>
                <w:lang w:eastAsia="ja-JP"/>
              </w:rPr>
            </w:pPr>
            <w:proofErr w:type="spellStart"/>
            <w:r w:rsidRPr="00FE06F0">
              <w:rPr>
                <w:sz w:val="20"/>
                <w:szCs w:val="20"/>
                <w:lang w:eastAsia="ja-JP"/>
              </w:rPr>
              <w:t>Heterosexual</w:t>
            </w:r>
            <w:proofErr w:type="spellEnd"/>
            <w:r w:rsidRPr="00FE06F0">
              <w:rPr>
                <w:sz w:val="20"/>
                <w:szCs w:val="20"/>
                <w:lang w:eastAsia="ja-JP"/>
              </w:rPr>
              <w:t xml:space="preserve"> (N=6,809)</w:t>
            </w:r>
          </w:p>
        </w:tc>
        <w:tc>
          <w:tcPr>
            <w:tcW w:w="0" w:type="auto"/>
            <w:vAlign w:val="center"/>
          </w:tcPr>
          <w:p w14:paraId="14E2F7E4" w14:textId="77777777" w:rsidR="00FE06F0" w:rsidRPr="00FE06F0" w:rsidRDefault="00FE06F0" w:rsidP="00FE06F0">
            <w:pPr>
              <w:rPr>
                <w:rFonts w:eastAsiaTheme="minorEastAsia"/>
                <w:sz w:val="20"/>
                <w:szCs w:val="20"/>
                <w:lang w:eastAsia="ja-JP"/>
              </w:rPr>
            </w:pPr>
            <w:proofErr w:type="spellStart"/>
            <w:r w:rsidRPr="00FE06F0">
              <w:rPr>
                <w:sz w:val="20"/>
                <w:szCs w:val="20"/>
                <w:lang w:eastAsia="ja-JP"/>
              </w:rPr>
              <w:t>Sexual</w:t>
            </w:r>
            <w:proofErr w:type="spellEnd"/>
            <w:r w:rsidRPr="00FE06F0">
              <w:rPr>
                <w:sz w:val="20"/>
                <w:szCs w:val="20"/>
                <w:lang w:eastAsia="ja-JP"/>
              </w:rPr>
              <w:t xml:space="preserve"> </w:t>
            </w:r>
            <w:proofErr w:type="spellStart"/>
            <w:r w:rsidRPr="00FE06F0">
              <w:rPr>
                <w:sz w:val="20"/>
                <w:szCs w:val="20"/>
                <w:lang w:eastAsia="ja-JP"/>
              </w:rPr>
              <w:t>minority</w:t>
            </w:r>
            <w:proofErr w:type="spellEnd"/>
            <w:r w:rsidRPr="00FE06F0">
              <w:rPr>
                <w:sz w:val="20"/>
                <w:szCs w:val="20"/>
                <w:lang w:eastAsia="ja-JP"/>
              </w:rPr>
              <w:t xml:space="preserve"> (N=501)</w:t>
            </w:r>
          </w:p>
        </w:tc>
        <w:tc>
          <w:tcPr>
            <w:tcW w:w="0" w:type="auto"/>
            <w:vMerge/>
            <w:vAlign w:val="center"/>
          </w:tcPr>
          <w:p w14:paraId="624C9EFF" w14:textId="77777777" w:rsidR="00FE06F0" w:rsidRPr="00FE06F0" w:rsidRDefault="00FE06F0" w:rsidP="00FE06F0">
            <w:pPr>
              <w:rPr>
                <w:rFonts w:eastAsiaTheme="minorEastAsia"/>
                <w:sz w:val="20"/>
                <w:szCs w:val="20"/>
                <w:lang w:eastAsia="ja-JP"/>
              </w:rPr>
            </w:pPr>
          </w:p>
        </w:tc>
      </w:tr>
      <w:tr w:rsidR="00FE06F0" w:rsidRPr="00FE06F0" w14:paraId="5B43371D" w14:textId="77777777" w:rsidTr="00570B12">
        <w:trPr>
          <w:jc w:val="center"/>
        </w:trPr>
        <w:tc>
          <w:tcPr>
            <w:tcW w:w="1419" w:type="dxa"/>
            <w:vMerge w:val="restart"/>
            <w:vAlign w:val="center"/>
          </w:tcPr>
          <w:p w14:paraId="3540F0CF" w14:textId="77777777" w:rsidR="00FE06F0" w:rsidRPr="00FE06F0" w:rsidRDefault="00FE06F0" w:rsidP="00FE06F0">
            <w:pPr>
              <w:rPr>
                <w:rFonts w:eastAsiaTheme="minorEastAsia"/>
                <w:sz w:val="20"/>
                <w:szCs w:val="20"/>
                <w:lang w:eastAsia="ja-JP"/>
              </w:rPr>
            </w:pPr>
            <w:proofErr w:type="spellStart"/>
            <w:r w:rsidRPr="00FE06F0">
              <w:rPr>
                <w:sz w:val="20"/>
                <w:szCs w:val="20"/>
                <w:lang w:eastAsia="ja-JP"/>
              </w:rPr>
              <w:t>Sex</w:t>
            </w:r>
            <w:proofErr w:type="spellEnd"/>
          </w:p>
        </w:tc>
        <w:tc>
          <w:tcPr>
            <w:tcW w:w="0" w:type="auto"/>
            <w:vAlign w:val="center"/>
          </w:tcPr>
          <w:p w14:paraId="1762F989" w14:textId="77777777" w:rsidR="00FE06F0" w:rsidRPr="00FE06F0" w:rsidRDefault="00FE06F0" w:rsidP="00FE06F0">
            <w:pPr>
              <w:rPr>
                <w:rFonts w:eastAsiaTheme="minorEastAsia"/>
                <w:sz w:val="20"/>
                <w:szCs w:val="20"/>
                <w:lang w:eastAsia="ja-JP"/>
              </w:rPr>
            </w:pPr>
            <w:r w:rsidRPr="00FE06F0">
              <w:rPr>
                <w:sz w:val="20"/>
                <w:szCs w:val="20"/>
                <w:lang w:eastAsia="ja-JP"/>
              </w:rPr>
              <w:t>Male</w:t>
            </w:r>
          </w:p>
        </w:tc>
        <w:tc>
          <w:tcPr>
            <w:tcW w:w="0" w:type="auto"/>
            <w:vAlign w:val="center"/>
          </w:tcPr>
          <w:p w14:paraId="4B0BC96C"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48.6</w:t>
            </w:r>
          </w:p>
        </w:tc>
        <w:tc>
          <w:tcPr>
            <w:tcW w:w="0" w:type="auto"/>
            <w:vAlign w:val="center"/>
          </w:tcPr>
          <w:p w14:paraId="1E3B071C"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48.8</w:t>
            </w:r>
          </w:p>
        </w:tc>
        <w:tc>
          <w:tcPr>
            <w:tcW w:w="0" w:type="auto"/>
            <w:vAlign w:val="center"/>
          </w:tcPr>
          <w:p w14:paraId="598C6C9A"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47.4</w:t>
            </w:r>
          </w:p>
        </w:tc>
        <w:tc>
          <w:tcPr>
            <w:tcW w:w="0" w:type="auto"/>
            <w:vMerge w:val="restart"/>
            <w:vAlign w:val="center"/>
          </w:tcPr>
          <w:p w14:paraId="7B2F28F5"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0.615</w:t>
            </w:r>
          </w:p>
        </w:tc>
      </w:tr>
      <w:tr w:rsidR="00FE06F0" w:rsidRPr="00FE06F0" w14:paraId="7EED8436" w14:textId="77777777" w:rsidTr="00570B12">
        <w:trPr>
          <w:jc w:val="center"/>
        </w:trPr>
        <w:tc>
          <w:tcPr>
            <w:tcW w:w="1419" w:type="dxa"/>
            <w:vMerge/>
            <w:vAlign w:val="center"/>
          </w:tcPr>
          <w:p w14:paraId="3CA633F8" w14:textId="77777777" w:rsidR="00FE06F0" w:rsidRPr="00FE06F0" w:rsidRDefault="00FE06F0" w:rsidP="00FE06F0">
            <w:pPr>
              <w:rPr>
                <w:rFonts w:eastAsiaTheme="minorEastAsia"/>
                <w:sz w:val="20"/>
                <w:szCs w:val="20"/>
                <w:lang w:eastAsia="ja-JP"/>
              </w:rPr>
            </w:pPr>
          </w:p>
        </w:tc>
        <w:tc>
          <w:tcPr>
            <w:tcW w:w="0" w:type="auto"/>
            <w:vAlign w:val="center"/>
          </w:tcPr>
          <w:p w14:paraId="4F24822A" w14:textId="77777777" w:rsidR="00FE06F0" w:rsidRPr="00FE06F0" w:rsidRDefault="00FE06F0" w:rsidP="00FE06F0">
            <w:pPr>
              <w:rPr>
                <w:rFonts w:eastAsiaTheme="minorEastAsia"/>
                <w:sz w:val="20"/>
                <w:szCs w:val="20"/>
                <w:lang w:eastAsia="ja-JP"/>
              </w:rPr>
            </w:pPr>
            <w:proofErr w:type="spellStart"/>
            <w:r w:rsidRPr="00FE06F0">
              <w:rPr>
                <w:sz w:val="20"/>
                <w:szCs w:val="20"/>
                <w:lang w:eastAsia="ja-JP"/>
              </w:rPr>
              <w:t>Female</w:t>
            </w:r>
            <w:proofErr w:type="spellEnd"/>
          </w:p>
        </w:tc>
        <w:tc>
          <w:tcPr>
            <w:tcW w:w="0" w:type="auto"/>
            <w:vAlign w:val="center"/>
          </w:tcPr>
          <w:p w14:paraId="46A273A1"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51.4</w:t>
            </w:r>
          </w:p>
        </w:tc>
        <w:tc>
          <w:tcPr>
            <w:tcW w:w="0" w:type="auto"/>
            <w:vAlign w:val="center"/>
          </w:tcPr>
          <w:p w14:paraId="613AB051"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51.2</w:t>
            </w:r>
          </w:p>
        </w:tc>
        <w:tc>
          <w:tcPr>
            <w:tcW w:w="0" w:type="auto"/>
            <w:vAlign w:val="center"/>
          </w:tcPr>
          <w:p w14:paraId="238B028C"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52.6</w:t>
            </w:r>
          </w:p>
        </w:tc>
        <w:tc>
          <w:tcPr>
            <w:tcW w:w="0" w:type="auto"/>
            <w:vMerge/>
            <w:vAlign w:val="center"/>
          </w:tcPr>
          <w:p w14:paraId="26ED76A6" w14:textId="77777777" w:rsidR="00FE06F0" w:rsidRPr="00FE06F0" w:rsidRDefault="00FE06F0" w:rsidP="00FE06F0">
            <w:pPr>
              <w:rPr>
                <w:rFonts w:eastAsiaTheme="minorEastAsia"/>
                <w:sz w:val="20"/>
                <w:szCs w:val="20"/>
                <w:lang w:eastAsia="ja-JP"/>
              </w:rPr>
            </w:pPr>
          </w:p>
        </w:tc>
      </w:tr>
      <w:tr w:rsidR="00FE06F0" w:rsidRPr="00FE06F0" w14:paraId="1D383D44" w14:textId="77777777" w:rsidTr="00570B12">
        <w:trPr>
          <w:jc w:val="center"/>
        </w:trPr>
        <w:tc>
          <w:tcPr>
            <w:tcW w:w="1419" w:type="dxa"/>
            <w:vAlign w:val="center"/>
          </w:tcPr>
          <w:p w14:paraId="78F5F783"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Age (</w:t>
            </w:r>
            <w:proofErr w:type="spellStart"/>
            <w:r w:rsidRPr="00FE06F0">
              <w:rPr>
                <w:rFonts w:eastAsiaTheme="minorEastAsia"/>
                <w:sz w:val="20"/>
                <w:szCs w:val="20"/>
                <w:lang w:eastAsia="ja-JP"/>
              </w:rPr>
              <w:t>years</w:t>
            </w:r>
            <w:proofErr w:type="spellEnd"/>
            <w:r w:rsidRPr="00FE06F0">
              <w:rPr>
                <w:rFonts w:eastAsiaTheme="minorEastAsia"/>
                <w:sz w:val="20"/>
                <w:szCs w:val="20"/>
                <w:lang w:eastAsia="ja-JP"/>
              </w:rPr>
              <w:t>)</w:t>
            </w:r>
          </w:p>
        </w:tc>
        <w:tc>
          <w:tcPr>
            <w:tcW w:w="0" w:type="auto"/>
            <w:vAlign w:val="center"/>
          </w:tcPr>
          <w:p w14:paraId="0F254C03" w14:textId="77777777" w:rsidR="00FE06F0" w:rsidRPr="00FE06F0" w:rsidRDefault="00FE06F0" w:rsidP="00FE06F0">
            <w:pPr>
              <w:rPr>
                <w:rFonts w:eastAsiaTheme="minorEastAsia"/>
                <w:sz w:val="20"/>
                <w:szCs w:val="20"/>
                <w:lang w:eastAsia="ja-JP"/>
              </w:rPr>
            </w:pPr>
            <w:proofErr w:type="spellStart"/>
            <w:r w:rsidRPr="00FE06F0">
              <w:rPr>
                <w:rFonts w:eastAsiaTheme="minorEastAsia"/>
                <w:sz w:val="20"/>
                <w:szCs w:val="20"/>
                <w:lang w:eastAsia="ja-JP"/>
              </w:rPr>
              <w:t>Mean</w:t>
            </w:r>
            <w:proofErr w:type="spellEnd"/>
            <w:r w:rsidRPr="00FE06F0">
              <w:rPr>
                <w:rFonts w:eastAsiaTheme="minorEastAsia"/>
                <w:sz w:val="20"/>
                <w:szCs w:val="20"/>
                <w:lang w:eastAsia="ja-JP"/>
              </w:rPr>
              <w:t xml:space="preserve"> (SD)</w:t>
            </w:r>
          </w:p>
        </w:tc>
        <w:tc>
          <w:tcPr>
            <w:tcW w:w="0" w:type="auto"/>
            <w:vAlign w:val="center"/>
          </w:tcPr>
          <w:p w14:paraId="24E1C677"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46.3 (18.6)</w:t>
            </w:r>
          </w:p>
        </w:tc>
        <w:tc>
          <w:tcPr>
            <w:tcW w:w="0" w:type="auto"/>
            <w:vAlign w:val="center"/>
          </w:tcPr>
          <w:p w14:paraId="04877FA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46.7 (18.5)</w:t>
            </w:r>
          </w:p>
        </w:tc>
        <w:tc>
          <w:tcPr>
            <w:tcW w:w="0" w:type="auto"/>
            <w:vAlign w:val="center"/>
          </w:tcPr>
          <w:p w14:paraId="5D37E009"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40.8 (18.0)</w:t>
            </w:r>
          </w:p>
        </w:tc>
        <w:tc>
          <w:tcPr>
            <w:tcW w:w="0" w:type="auto"/>
            <w:vAlign w:val="center"/>
          </w:tcPr>
          <w:p w14:paraId="439A9AFA"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&lt;0.001</w:t>
            </w:r>
          </w:p>
        </w:tc>
      </w:tr>
      <w:tr w:rsidR="00FE06F0" w:rsidRPr="00FE06F0" w14:paraId="653729CE" w14:textId="77777777" w:rsidTr="00570B12">
        <w:trPr>
          <w:jc w:val="center"/>
        </w:trPr>
        <w:tc>
          <w:tcPr>
            <w:tcW w:w="1419" w:type="dxa"/>
            <w:vMerge w:val="restart"/>
            <w:vAlign w:val="center"/>
          </w:tcPr>
          <w:p w14:paraId="11932862" w14:textId="77777777" w:rsidR="00FE06F0" w:rsidRPr="00FE06F0" w:rsidRDefault="00FE06F0" w:rsidP="00FE06F0">
            <w:pPr>
              <w:rPr>
                <w:rFonts w:eastAsiaTheme="minorEastAsia"/>
                <w:sz w:val="20"/>
                <w:szCs w:val="20"/>
                <w:lang w:eastAsia="ja-JP"/>
              </w:rPr>
            </w:pPr>
            <w:r w:rsidRPr="00FE06F0">
              <w:rPr>
                <w:sz w:val="20"/>
                <w:szCs w:val="20"/>
                <w:lang w:eastAsia="ja-JP"/>
              </w:rPr>
              <w:t>British White</w:t>
            </w:r>
          </w:p>
        </w:tc>
        <w:tc>
          <w:tcPr>
            <w:tcW w:w="0" w:type="auto"/>
            <w:vAlign w:val="center"/>
          </w:tcPr>
          <w:p w14:paraId="5580E070" w14:textId="77777777" w:rsidR="00FE06F0" w:rsidRPr="00FE06F0" w:rsidRDefault="00FE06F0" w:rsidP="00FE06F0">
            <w:pPr>
              <w:rPr>
                <w:rFonts w:eastAsiaTheme="minorEastAsia"/>
                <w:sz w:val="20"/>
                <w:szCs w:val="20"/>
                <w:lang w:eastAsia="ja-JP"/>
              </w:rPr>
            </w:pPr>
            <w:r w:rsidRPr="00FE06F0">
              <w:rPr>
                <w:sz w:val="20"/>
                <w:szCs w:val="20"/>
                <w:lang w:eastAsia="ja-JP"/>
              </w:rPr>
              <w:t>No</w:t>
            </w:r>
          </w:p>
        </w:tc>
        <w:tc>
          <w:tcPr>
            <w:tcW w:w="0" w:type="auto"/>
            <w:vAlign w:val="center"/>
          </w:tcPr>
          <w:p w14:paraId="4C2F024D"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14.9</w:t>
            </w:r>
          </w:p>
        </w:tc>
        <w:tc>
          <w:tcPr>
            <w:tcW w:w="0" w:type="auto"/>
            <w:vAlign w:val="center"/>
          </w:tcPr>
          <w:p w14:paraId="4278271A"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14.2</w:t>
            </w:r>
          </w:p>
        </w:tc>
        <w:tc>
          <w:tcPr>
            <w:tcW w:w="0" w:type="auto"/>
            <w:vAlign w:val="center"/>
          </w:tcPr>
          <w:p w14:paraId="1680F633"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21.5</w:t>
            </w:r>
          </w:p>
        </w:tc>
        <w:tc>
          <w:tcPr>
            <w:tcW w:w="0" w:type="auto"/>
            <w:vMerge w:val="restart"/>
            <w:vAlign w:val="center"/>
          </w:tcPr>
          <w:p w14:paraId="6C71CFA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&lt;0.001</w:t>
            </w:r>
          </w:p>
        </w:tc>
      </w:tr>
      <w:tr w:rsidR="00FE06F0" w:rsidRPr="00FE06F0" w14:paraId="0495F1DC" w14:textId="77777777" w:rsidTr="00570B12">
        <w:trPr>
          <w:jc w:val="center"/>
        </w:trPr>
        <w:tc>
          <w:tcPr>
            <w:tcW w:w="1419" w:type="dxa"/>
            <w:vMerge/>
            <w:vAlign w:val="center"/>
          </w:tcPr>
          <w:p w14:paraId="104BA745" w14:textId="77777777" w:rsidR="00FE06F0" w:rsidRPr="00FE06F0" w:rsidRDefault="00FE06F0" w:rsidP="00FE06F0">
            <w:pPr>
              <w:rPr>
                <w:rFonts w:eastAsiaTheme="minorEastAsia"/>
                <w:sz w:val="20"/>
                <w:szCs w:val="20"/>
                <w:lang w:eastAsia="ja-JP"/>
              </w:rPr>
            </w:pPr>
          </w:p>
        </w:tc>
        <w:tc>
          <w:tcPr>
            <w:tcW w:w="0" w:type="auto"/>
            <w:vAlign w:val="center"/>
          </w:tcPr>
          <w:p w14:paraId="415CB6F7" w14:textId="77777777" w:rsidR="00FE06F0" w:rsidRPr="00FE06F0" w:rsidRDefault="00FE06F0" w:rsidP="00FE06F0">
            <w:pPr>
              <w:rPr>
                <w:rFonts w:eastAsiaTheme="minorEastAsia"/>
                <w:sz w:val="20"/>
                <w:szCs w:val="20"/>
                <w:lang w:eastAsia="ja-JP"/>
              </w:rPr>
            </w:pPr>
            <w:r w:rsidRPr="00FE06F0">
              <w:rPr>
                <w:sz w:val="20"/>
                <w:szCs w:val="20"/>
                <w:lang w:eastAsia="ja-JP"/>
              </w:rPr>
              <w:t>Yes</w:t>
            </w:r>
          </w:p>
        </w:tc>
        <w:tc>
          <w:tcPr>
            <w:tcW w:w="0" w:type="auto"/>
            <w:vAlign w:val="center"/>
          </w:tcPr>
          <w:p w14:paraId="1CE404B7"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85.1</w:t>
            </w:r>
          </w:p>
        </w:tc>
        <w:tc>
          <w:tcPr>
            <w:tcW w:w="0" w:type="auto"/>
            <w:vAlign w:val="center"/>
          </w:tcPr>
          <w:p w14:paraId="729591EE"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85.8</w:t>
            </w:r>
          </w:p>
        </w:tc>
        <w:tc>
          <w:tcPr>
            <w:tcW w:w="0" w:type="auto"/>
            <w:vAlign w:val="center"/>
          </w:tcPr>
          <w:p w14:paraId="6F0C532A"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78.5</w:t>
            </w:r>
          </w:p>
        </w:tc>
        <w:tc>
          <w:tcPr>
            <w:tcW w:w="0" w:type="auto"/>
            <w:vMerge/>
            <w:vAlign w:val="center"/>
          </w:tcPr>
          <w:p w14:paraId="46DF6E44" w14:textId="77777777" w:rsidR="00FE06F0" w:rsidRPr="00FE06F0" w:rsidRDefault="00FE06F0" w:rsidP="00FE06F0">
            <w:pPr>
              <w:rPr>
                <w:rFonts w:eastAsiaTheme="minorEastAsia"/>
                <w:sz w:val="20"/>
                <w:szCs w:val="20"/>
                <w:lang w:eastAsia="ja-JP"/>
              </w:rPr>
            </w:pPr>
          </w:p>
        </w:tc>
      </w:tr>
      <w:tr w:rsidR="00FE06F0" w:rsidRPr="00FE06F0" w14:paraId="14E8B8F5" w14:textId="77777777" w:rsidTr="00570B12">
        <w:trPr>
          <w:jc w:val="center"/>
        </w:trPr>
        <w:tc>
          <w:tcPr>
            <w:tcW w:w="1419" w:type="dxa"/>
            <w:vMerge w:val="restart"/>
            <w:vAlign w:val="center"/>
          </w:tcPr>
          <w:p w14:paraId="076C3F85"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 xml:space="preserve">Marital </w:t>
            </w:r>
            <w:proofErr w:type="spellStart"/>
            <w:r w:rsidRPr="00FE06F0">
              <w:rPr>
                <w:rFonts w:eastAsiaTheme="minorEastAsia"/>
                <w:sz w:val="20"/>
                <w:szCs w:val="20"/>
                <w:lang w:eastAsia="ja-JP"/>
              </w:rPr>
              <w:t>status</w:t>
            </w:r>
            <w:proofErr w:type="spellEnd"/>
          </w:p>
        </w:tc>
        <w:tc>
          <w:tcPr>
            <w:tcW w:w="0" w:type="auto"/>
            <w:vAlign w:val="center"/>
          </w:tcPr>
          <w:p w14:paraId="5ECD8670" w14:textId="77777777" w:rsidR="00FE06F0" w:rsidRPr="00FE06F0" w:rsidRDefault="00FE06F0" w:rsidP="00FE06F0">
            <w:pPr>
              <w:rPr>
                <w:sz w:val="20"/>
                <w:szCs w:val="20"/>
                <w:lang w:eastAsia="ja-JP"/>
              </w:rPr>
            </w:pPr>
            <w:r w:rsidRPr="00FE06F0">
              <w:rPr>
                <w:sz w:val="20"/>
                <w:szCs w:val="20"/>
                <w:lang w:eastAsia="ja-JP"/>
              </w:rPr>
              <w:t>Single/</w:t>
            </w:r>
            <w:proofErr w:type="spellStart"/>
            <w:r w:rsidRPr="00FE06F0">
              <w:rPr>
                <w:sz w:val="20"/>
                <w:szCs w:val="20"/>
                <w:lang w:eastAsia="ja-JP"/>
              </w:rPr>
              <w:t>separated</w:t>
            </w:r>
            <w:proofErr w:type="spellEnd"/>
            <w:r w:rsidRPr="00FE06F0">
              <w:rPr>
                <w:sz w:val="20"/>
                <w:szCs w:val="20"/>
                <w:lang w:eastAsia="ja-JP"/>
              </w:rPr>
              <w:t>/</w:t>
            </w:r>
            <w:proofErr w:type="spellStart"/>
            <w:r w:rsidRPr="00FE06F0">
              <w:rPr>
                <w:sz w:val="20"/>
                <w:szCs w:val="20"/>
                <w:lang w:eastAsia="ja-JP"/>
              </w:rPr>
              <w:t>divorced</w:t>
            </w:r>
            <w:proofErr w:type="spellEnd"/>
            <w:r w:rsidRPr="00FE06F0">
              <w:rPr>
                <w:sz w:val="20"/>
                <w:szCs w:val="20"/>
                <w:lang w:eastAsia="ja-JP"/>
              </w:rPr>
              <w:t>/</w:t>
            </w:r>
            <w:proofErr w:type="spellStart"/>
            <w:r w:rsidRPr="00FE06F0">
              <w:rPr>
                <w:sz w:val="20"/>
                <w:szCs w:val="20"/>
                <w:lang w:eastAsia="ja-JP"/>
              </w:rPr>
              <w:t>widowed</w:t>
            </w:r>
            <w:proofErr w:type="spellEnd"/>
          </w:p>
        </w:tc>
        <w:tc>
          <w:tcPr>
            <w:tcW w:w="0" w:type="auto"/>
            <w:vAlign w:val="center"/>
          </w:tcPr>
          <w:p w14:paraId="0DAB6E93"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37.1</w:t>
            </w:r>
          </w:p>
        </w:tc>
        <w:tc>
          <w:tcPr>
            <w:tcW w:w="0" w:type="auto"/>
            <w:vAlign w:val="center"/>
          </w:tcPr>
          <w:p w14:paraId="04BDC8DC"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35.7</w:t>
            </w:r>
          </w:p>
        </w:tc>
        <w:tc>
          <w:tcPr>
            <w:tcW w:w="0" w:type="auto"/>
            <w:vAlign w:val="center"/>
          </w:tcPr>
          <w:p w14:paraId="7FCF5006"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53.7</w:t>
            </w:r>
          </w:p>
        </w:tc>
        <w:tc>
          <w:tcPr>
            <w:tcW w:w="0" w:type="auto"/>
            <w:vMerge w:val="restart"/>
            <w:vAlign w:val="center"/>
          </w:tcPr>
          <w:p w14:paraId="4F3DE78C"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&lt;0.001</w:t>
            </w:r>
          </w:p>
        </w:tc>
      </w:tr>
      <w:tr w:rsidR="00FE06F0" w:rsidRPr="00FE06F0" w14:paraId="052D5917" w14:textId="77777777" w:rsidTr="00570B12">
        <w:trPr>
          <w:jc w:val="center"/>
        </w:trPr>
        <w:tc>
          <w:tcPr>
            <w:tcW w:w="1419" w:type="dxa"/>
            <w:vMerge/>
            <w:vAlign w:val="center"/>
          </w:tcPr>
          <w:p w14:paraId="3F0C5357" w14:textId="77777777" w:rsidR="00FE06F0" w:rsidRPr="00FE06F0" w:rsidRDefault="00FE06F0" w:rsidP="00FE06F0">
            <w:pPr>
              <w:rPr>
                <w:rFonts w:eastAsiaTheme="minorEastAsia"/>
                <w:sz w:val="20"/>
                <w:szCs w:val="20"/>
                <w:lang w:eastAsia="ja-JP"/>
              </w:rPr>
            </w:pPr>
          </w:p>
        </w:tc>
        <w:tc>
          <w:tcPr>
            <w:tcW w:w="0" w:type="auto"/>
            <w:vAlign w:val="center"/>
          </w:tcPr>
          <w:p w14:paraId="56E5FD42" w14:textId="77777777" w:rsidR="00FE06F0" w:rsidRPr="00FE06F0" w:rsidRDefault="00FE06F0" w:rsidP="00FE06F0">
            <w:pPr>
              <w:rPr>
                <w:sz w:val="20"/>
                <w:szCs w:val="20"/>
                <w:lang w:eastAsia="ja-JP"/>
              </w:rPr>
            </w:pPr>
            <w:r w:rsidRPr="00FE06F0">
              <w:rPr>
                <w:sz w:val="20"/>
                <w:szCs w:val="20"/>
                <w:lang w:eastAsia="ja-JP"/>
              </w:rPr>
              <w:t>Married/</w:t>
            </w:r>
            <w:proofErr w:type="spellStart"/>
            <w:r w:rsidRPr="00FE06F0">
              <w:rPr>
                <w:sz w:val="20"/>
                <w:szCs w:val="20"/>
                <w:lang w:eastAsia="ja-JP"/>
              </w:rPr>
              <w:t>cohabiting</w:t>
            </w:r>
            <w:proofErr w:type="spellEnd"/>
          </w:p>
        </w:tc>
        <w:tc>
          <w:tcPr>
            <w:tcW w:w="0" w:type="auto"/>
            <w:vAlign w:val="center"/>
          </w:tcPr>
          <w:p w14:paraId="50319FD9"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62.9</w:t>
            </w:r>
          </w:p>
        </w:tc>
        <w:tc>
          <w:tcPr>
            <w:tcW w:w="0" w:type="auto"/>
            <w:vAlign w:val="center"/>
          </w:tcPr>
          <w:p w14:paraId="1ACE1DA1"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64.3</w:t>
            </w:r>
          </w:p>
        </w:tc>
        <w:tc>
          <w:tcPr>
            <w:tcW w:w="0" w:type="auto"/>
            <w:vAlign w:val="center"/>
          </w:tcPr>
          <w:p w14:paraId="70535C23"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46.3</w:t>
            </w:r>
          </w:p>
        </w:tc>
        <w:tc>
          <w:tcPr>
            <w:tcW w:w="0" w:type="auto"/>
            <w:vMerge/>
            <w:vAlign w:val="center"/>
          </w:tcPr>
          <w:p w14:paraId="4902A2D3" w14:textId="77777777" w:rsidR="00FE06F0" w:rsidRPr="00FE06F0" w:rsidRDefault="00FE06F0" w:rsidP="00FE06F0">
            <w:pPr>
              <w:rPr>
                <w:rFonts w:eastAsiaTheme="minorEastAsia"/>
                <w:sz w:val="20"/>
                <w:szCs w:val="20"/>
                <w:lang w:eastAsia="ja-JP"/>
              </w:rPr>
            </w:pPr>
          </w:p>
        </w:tc>
      </w:tr>
      <w:tr w:rsidR="00FE06F0" w:rsidRPr="00FE06F0" w14:paraId="7D8044F9" w14:textId="77777777" w:rsidTr="00570B12">
        <w:trPr>
          <w:jc w:val="center"/>
        </w:trPr>
        <w:tc>
          <w:tcPr>
            <w:tcW w:w="1419" w:type="dxa"/>
            <w:vMerge w:val="restart"/>
            <w:vAlign w:val="center"/>
          </w:tcPr>
          <w:p w14:paraId="37BF7211"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Education</w:t>
            </w:r>
          </w:p>
        </w:tc>
        <w:tc>
          <w:tcPr>
            <w:tcW w:w="0" w:type="auto"/>
            <w:vAlign w:val="center"/>
          </w:tcPr>
          <w:p w14:paraId="4687BE2F" w14:textId="77777777" w:rsidR="00FE06F0" w:rsidRPr="00FE06F0" w:rsidRDefault="00FE06F0" w:rsidP="00FE06F0">
            <w:pPr>
              <w:rPr>
                <w:sz w:val="20"/>
                <w:szCs w:val="20"/>
                <w:lang w:eastAsia="ja-JP"/>
              </w:rPr>
            </w:pPr>
            <w:r w:rsidRPr="00FE06F0">
              <w:rPr>
                <w:sz w:val="20"/>
                <w:szCs w:val="20"/>
                <w:lang w:eastAsia="ja-JP"/>
              </w:rPr>
              <w:t>No</w:t>
            </w:r>
          </w:p>
        </w:tc>
        <w:tc>
          <w:tcPr>
            <w:tcW w:w="0" w:type="auto"/>
            <w:vAlign w:val="center"/>
          </w:tcPr>
          <w:p w14:paraId="6097D9E7"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23.9</w:t>
            </w:r>
          </w:p>
        </w:tc>
        <w:tc>
          <w:tcPr>
            <w:tcW w:w="0" w:type="auto"/>
            <w:vAlign w:val="center"/>
          </w:tcPr>
          <w:p w14:paraId="3C8F620A"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23.8</w:t>
            </w:r>
          </w:p>
        </w:tc>
        <w:tc>
          <w:tcPr>
            <w:tcW w:w="0" w:type="auto"/>
            <w:vAlign w:val="center"/>
          </w:tcPr>
          <w:p w14:paraId="63B0DB6B"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22.6</w:t>
            </w:r>
          </w:p>
        </w:tc>
        <w:tc>
          <w:tcPr>
            <w:tcW w:w="0" w:type="auto"/>
            <w:vMerge w:val="restart"/>
            <w:vAlign w:val="center"/>
          </w:tcPr>
          <w:p w14:paraId="12DE8425"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0.577</w:t>
            </w:r>
          </w:p>
        </w:tc>
      </w:tr>
      <w:tr w:rsidR="00FE06F0" w:rsidRPr="00FE06F0" w14:paraId="3FD2ED0F" w14:textId="77777777" w:rsidTr="00570B12">
        <w:trPr>
          <w:jc w:val="center"/>
        </w:trPr>
        <w:tc>
          <w:tcPr>
            <w:tcW w:w="1419" w:type="dxa"/>
            <w:vMerge/>
            <w:vAlign w:val="center"/>
          </w:tcPr>
          <w:p w14:paraId="3CE2F3E0" w14:textId="77777777" w:rsidR="00FE06F0" w:rsidRPr="00FE06F0" w:rsidRDefault="00FE06F0" w:rsidP="00FE06F0">
            <w:pPr>
              <w:rPr>
                <w:rFonts w:eastAsiaTheme="minorEastAsia"/>
                <w:sz w:val="20"/>
                <w:szCs w:val="20"/>
                <w:lang w:eastAsia="ja-JP"/>
              </w:rPr>
            </w:pPr>
          </w:p>
        </w:tc>
        <w:tc>
          <w:tcPr>
            <w:tcW w:w="0" w:type="auto"/>
            <w:vAlign w:val="center"/>
          </w:tcPr>
          <w:p w14:paraId="69B2B61C" w14:textId="77777777" w:rsidR="00FE06F0" w:rsidRPr="00FE06F0" w:rsidRDefault="00FE06F0" w:rsidP="00FE06F0">
            <w:pPr>
              <w:rPr>
                <w:sz w:val="20"/>
                <w:szCs w:val="20"/>
                <w:lang w:eastAsia="ja-JP"/>
              </w:rPr>
            </w:pPr>
            <w:r w:rsidRPr="00FE06F0">
              <w:rPr>
                <w:sz w:val="20"/>
                <w:szCs w:val="20"/>
                <w:lang w:eastAsia="ja-JP"/>
              </w:rPr>
              <w:t>Yes</w:t>
            </w:r>
          </w:p>
        </w:tc>
        <w:tc>
          <w:tcPr>
            <w:tcW w:w="0" w:type="auto"/>
            <w:vAlign w:val="center"/>
          </w:tcPr>
          <w:p w14:paraId="080132EE"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76.1</w:t>
            </w:r>
          </w:p>
        </w:tc>
        <w:tc>
          <w:tcPr>
            <w:tcW w:w="0" w:type="auto"/>
            <w:vAlign w:val="center"/>
          </w:tcPr>
          <w:p w14:paraId="310B976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76.2</w:t>
            </w:r>
          </w:p>
        </w:tc>
        <w:tc>
          <w:tcPr>
            <w:tcW w:w="0" w:type="auto"/>
            <w:vAlign w:val="center"/>
          </w:tcPr>
          <w:p w14:paraId="24BAF938"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77.4</w:t>
            </w:r>
          </w:p>
        </w:tc>
        <w:tc>
          <w:tcPr>
            <w:tcW w:w="0" w:type="auto"/>
            <w:vMerge/>
            <w:vAlign w:val="center"/>
          </w:tcPr>
          <w:p w14:paraId="33F7ADCA" w14:textId="77777777" w:rsidR="00FE06F0" w:rsidRPr="00FE06F0" w:rsidRDefault="00FE06F0" w:rsidP="00FE06F0">
            <w:pPr>
              <w:rPr>
                <w:rFonts w:eastAsiaTheme="minorEastAsia"/>
                <w:sz w:val="20"/>
                <w:szCs w:val="20"/>
                <w:lang w:eastAsia="ja-JP"/>
              </w:rPr>
            </w:pPr>
          </w:p>
        </w:tc>
      </w:tr>
      <w:tr w:rsidR="00FE06F0" w:rsidRPr="00FE06F0" w14:paraId="3E387B8A" w14:textId="77777777" w:rsidTr="00570B12">
        <w:trPr>
          <w:jc w:val="center"/>
        </w:trPr>
        <w:tc>
          <w:tcPr>
            <w:tcW w:w="1419" w:type="dxa"/>
            <w:vMerge w:val="restart"/>
            <w:vAlign w:val="center"/>
          </w:tcPr>
          <w:p w14:paraId="19DD27A7" w14:textId="77777777" w:rsidR="00FE06F0" w:rsidRPr="00FE06F0" w:rsidRDefault="00FE06F0" w:rsidP="00FE06F0">
            <w:pPr>
              <w:rPr>
                <w:rFonts w:eastAsiaTheme="minorEastAsia"/>
                <w:sz w:val="20"/>
                <w:szCs w:val="20"/>
                <w:lang w:eastAsia="ja-JP"/>
              </w:rPr>
            </w:pPr>
            <w:proofErr w:type="spellStart"/>
            <w:r w:rsidRPr="00FE06F0">
              <w:rPr>
                <w:rFonts w:eastAsiaTheme="minorEastAsia"/>
                <w:sz w:val="20"/>
                <w:szCs w:val="20"/>
                <w:lang w:eastAsia="ja-JP"/>
              </w:rPr>
              <w:t>Employment</w:t>
            </w:r>
            <w:proofErr w:type="spellEnd"/>
          </w:p>
        </w:tc>
        <w:tc>
          <w:tcPr>
            <w:tcW w:w="0" w:type="auto"/>
            <w:vAlign w:val="center"/>
          </w:tcPr>
          <w:p w14:paraId="5446E4EB" w14:textId="77777777" w:rsidR="00FE06F0" w:rsidRPr="00FE06F0" w:rsidRDefault="00FE06F0" w:rsidP="00FE06F0">
            <w:pPr>
              <w:rPr>
                <w:sz w:val="20"/>
                <w:szCs w:val="20"/>
                <w:lang w:eastAsia="ja-JP"/>
              </w:rPr>
            </w:pPr>
            <w:r w:rsidRPr="00FE06F0">
              <w:rPr>
                <w:sz w:val="20"/>
                <w:szCs w:val="20"/>
                <w:lang w:eastAsia="ja-JP"/>
              </w:rPr>
              <w:t>No</w:t>
            </w:r>
          </w:p>
        </w:tc>
        <w:tc>
          <w:tcPr>
            <w:tcW w:w="0" w:type="auto"/>
            <w:vAlign w:val="center"/>
          </w:tcPr>
          <w:p w14:paraId="3EC8EE8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39.5</w:t>
            </w:r>
          </w:p>
        </w:tc>
        <w:tc>
          <w:tcPr>
            <w:tcW w:w="0" w:type="auto"/>
            <w:vAlign w:val="center"/>
          </w:tcPr>
          <w:p w14:paraId="3D728A41"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39.1</w:t>
            </w:r>
          </w:p>
        </w:tc>
        <w:tc>
          <w:tcPr>
            <w:tcW w:w="0" w:type="auto"/>
            <w:vAlign w:val="center"/>
          </w:tcPr>
          <w:p w14:paraId="6E2EACB6"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38.7</w:t>
            </w:r>
          </w:p>
        </w:tc>
        <w:tc>
          <w:tcPr>
            <w:tcW w:w="0" w:type="auto"/>
            <w:vMerge w:val="restart"/>
            <w:vAlign w:val="center"/>
          </w:tcPr>
          <w:p w14:paraId="0FA4BECD"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0.856</w:t>
            </w:r>
          </w:p>
        </w:tc>
      </w:tr>
      <w:tr w:rsidR="00FE06F0" w:rsidRPr="00FE06F0" w14:paraId="4C17B93D" w14:textId="77777777" w:rsidTr="00570B12">
        <w:trPr>
          <w:jc w:val="center"/>
        </w:trPr>
        <w:tc>
          <w:tcPr>
            <w:tcW w:w="1419" w:type="dxa"/>
            <w:vMerge/>
            <w:vAlign w:val="center"/>
          </w:tcPr>
          <w:p w14:paraId="17E83866" w14:textId="77777777" w:rsidR="00FE06F0" w:rsidRPr="00FE06F0" w:rsidRDefault="00FE06F0" w:rsidP="00FE06F0">
            <w:pPr>
              <w:rPr>
                <w:rFonts w:eastAsiaTheme="minorEastAsia"/>
                <w:sz w:val="20"/>
                <w:szCs w:val="20"/>
                <w:lang w:eastAsia="ja-JP"/>
              </w:rPr>
            </w:pPr>
          </w:p>
        </w:tc>
        <w:tc>
          <w:tcPr>
            <w:tcW w:w="0" w:type="auto"/>
            <w:vAlign w:val="center"/>
          </w:tcPr>
          <w:p w14:paraId="42C85DAC" w14:textId="77777777" w:rsidR="00FE06F0" w:rsidRPr="00FE06F0" w:rsidRDefault="00FE06F0" w:rsidP="00FE06F0">
            <w:pPr>
              <w:rPr>
                <w:sz w:val="20"/>
                <w:szCs w:val="20"/>
                <w:lang w:eastAsia="ja-JP"/>
              </w:rPr>
            </w:pPr>
            <w:r w:rsidRPr="00FE06F0">
              <w:rPr>
                <w:sz w:val="20"/>
                <w:szCs w:val="20"/>
                <w:lang w:eastAsia="ja-JP"/>
              </w:rPr>
              <w:t>Yes</w:t>
            </w:r>
          </w:p>
        </w:tc>
        <w:tc>
          <w:tcPr>
            <w:tcW w:w="0" w:type="auto"/>
            <w:vAlign w:val="center"/>
          </w:tcPr>
          <w:p w14:paraId="1BBE674E"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60.5</w:t>
            </w:r>
          </w:p>
        </w:tc>
        <w:tc>
          <w:tcPr>
            <w:tcW w:w="0" w:type="auto"/>
            <w:vAlign w:val="center"/>
          </w:tcPr>
          <w:p w14:paraId="728DCA5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60.9</w:t>
            </w:r>
          </w:p>
        </w:tc>
        <w:tc>
          <w:tcPr>
            <w:tcW w:w="0" w:type="auto"/>
            <w:vAlign w:val="center"/>
          </w:tcPr>
          <w:p w14:paraId="44975AFE"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61.3</w:t>
            </w:r>
          </w:p>
        </w:tc>
        <w:tc>
          <w:tcPr>
            <w:tcW w:w="0" w:type="auto"/>
            <w:vMerge/>
            <w:vAlign w:val="center"/>
          </w:tcPr>
          <w:p w14:paraId="7D8AACE5" w14:textId="77777777" w:rsidR="00FE06F0" w:rsidRPr="00FE06F0" w:rsidRDefault="00FE06F0" w:rsidP="00FE06F0">
            <w:pPr>
              <w:rPr>
                <w:rFonts w:eastAsiaTheme="minorEastAsia"/>
                <w:sz w:val="20"/>
                <w:szCs w:val="20"/>
                <w:lang w:eastAsia="ja-JP"/>
              </w:rPr>
            </w:pPr>
          </w:p>
        </w:tc>
      </w:tr>
      <w:tr w:rsidR="00FE06F0" w:rsidRPr="00FE06F0" w14:paraId="69C34DE3" w14:textId="77777777" w:rsidTr="00570B12">
        <w:trPr>
          <w:jc w:val="center"/>
        </w:trPr>
        <w:tc>
          <w:tcPr>
            <w:tcW w:w="1419" w:type="dxa"/>
            <w:vMerge w:val="restart"/>
            <w:vAlign w:val="center"/>
          </w:tcPr>
          <w:p w14:paraId="452A304D"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Income</w:t>
            </w:r>
          </w:p>
        </w:tc>
        <w:tc>
          <w:tcPr>
            <w:tcW w:w="0" w:type="auto"/>
            <w:vAlign w:val="center"/>
          </w:tcPr>
          <w:p w14:paraId="7E8BDD53" w14:textId="77777777" w:rsidR="00FE06F0" w:rsidRPr="00FE06F0" w:rsidRDefault="00FE06F0" w:rsidP="00FE06F0">
            <w:pPr>
              <w:rPr>
                <w:sz w:val="20"/>
                <w:szCs w:val="20"/>
                <w:lang w:eastAsia="ja-JP"/>
              </w:rPr>
            </w:pPr>
            <w:r w:rsidRPr="00FE06F0">
              <w:rPr>
                <w:sz w:val="20"/>
                <w:szCs w:val="20"/>
                <w:lang w:eastAsia="ja-JP"/>
              </w:rPr>
              <w:t>High</w:t>
            </w:r>
          </w:p>
        </w:tc>
        <w:tc>
          <w:tcPr>
            <w:tcW w:w="0" w:type="auto"/>
            <w:vAlign w:val="center"/>
          </w:tcPr>
          <w:p w14:paraId="56B6B3CF"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35.8</w:t>
            </w:r>
          </w:p>
        </w:tc>
        <w:tc>
          <w:tcPr>
            <w:tcW w:w="0" w:type="auto"/>
            <w:vAlign w:val="center"/>
          </w:tcPr>
          <w:p w14:paraId="3A1CF36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36.0</w:t>
            </w:r>
          </w:p>
        </w:tc>
        <w:tc>
          <w:tcPr>
            <w:tcW w:w="0" w:type="auto"/>
            <w:vAlign w:val="center"/>
          </w:tcPr>
          <w:p w14:paraId="03B1884A"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35.2</w:t>
            </w:r>
          </w:p>
        </w:tc>
        <w:tc>
          <w:tcPr>
            <w:tcW w:w="0" w:type="auto"/>
            <w:vMerge w:val="restart"/>
            <w:vAlign w:val="center"/>
          </w:tcPr>
          <w:p w14:paraId="4CC62D43"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0.351</w:t>
            </w:r>
          </w:p>
        </w:tc>
      </w:tr>
      <w:tr w:rsidR="00FE06F0" w:rsidRPr="00FE06F0" w14:paraId="1E7D0609" w14:textId="77777777" w:rsidTr="00570B12">
        <w:trPr>
          <w:jc w:val="center"/>
        </w:trPr>
        <w:tc>
          <w:tcPr>
            <w:tcW w:w="1419" w:type="dxa"/>
            <w:vMerge/>
            <w:vAlign w:val="center"/>
          </w:tcPr>
          <w:p w14:paraId="048FE28C" w14:textId="77777777" w:rsidR="00FE06F0" w:rsidRPr="00FE06F0" w:rsidRDefault="00FE06F0" w:rsidP="00FE06F0">
            <w:pPr>
              <w:rPr>
                <w:rFonts w:eastAsiaTheme="minorEastAsia"/>
                <w:sz w:val="20"/>
                <w:szCs w:val="20"/>
                <w:lang w:eastAsia="ja-JP"/>
              </w:rPr>
            </w:pPr>
          </w:p>
        </w:tc>
        <w:tc>
          <w:tcPr>
            <w:tcW w:w="0" w:type="auto"/>
            <w:vAlign w:val="center"/>
          </w:tcPr>
          <w:p w14:paraId="1EF2C99C" w14:textId="77777777" w:rsidR="00FE06F0" w:rsidRPr="00FE06F0" w:rsidRDefault="00FE06F0" w:rsidP="00FE06F0">
            <w:pPr>
              <w:rPr>
                <w:sz w:val="20"/>
                <w:szCs w:val="20"/>
                <w:lang w:eastAsia="ja-JP"/>
              </w:rPr>
            </w:pPr>
            <w:r w:rsidRPr="00FE06F0">
              <w:rPr>
                <w:sz w:val="20"/>
                <w:szCs w:val="20"/>
                <w:lang w:eastAsia="ja-JP"/>
              </w:rPr>
              <w:t>Middle</w:t>
            </w:r>
          </w:p>
        </w:tc>
        <w:tc>
          <w:tcPr>
            <w:tcW w:w="0" w:type="auto"/>
            <w:vAlign w:val="center"/>
          </w:tcPr>
          <w:p w14:paraId="632D3AB7"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32.6</w:t>
            </w:r>
          </w:p>
        </w:tc>
        <w:tc>
          <w:tcPr>
            <w:tcW w:w="0" w:type="auto"/>
            <w:vAlign w:val="center"/>
          </w:tcPr>
          <w:p w14:paraId="59325E8A"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32.8</w:t>
            </w:r>
          </w:p>
        </w:tc>
        <w:tc>
          <w:tcPr>
            <w:tcW w:w="0" w:type="auto"/>
            <w:vAlign w:val="center"/>
          </w:tcPr>
          <w:p w14:paraId="7C61A8B9"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29.9</w:t>
            </w:r>
          </w:p>
        </w:tc>
        <w:tc>
          <w:tcPr>
            <w:tcW w:w="0" w:type="auto"/>
            <w:vMerge/>
            <w:vAlign w:val="center"/>
          </w:tcPr>
          <w:p w14:paraId="4992C42E" w14:textId="77777777" w:rsidR="00FE06F0" w:rsidRPr="00FE06F0" w:rsidRDefault="00FE06F0" w:rsidP="00FE06F0">
            <w:pPr>
              <w:rPr>
                <w:rFonts w:eastAsiaTheme="minorEastAsia"/>
                <w:sz w:val="20"/>
                <w:szCs w:val="20"/>
                <w:lang w:eastAsia="ja-JP"/>
              </w:rPr>
            </w:pPr>
          </w:p>
        </w:tc>
      </w:tr>
      <w:tr w:rsidR="00FE06F0" w:rsidRPr="00FE06F0" w14:paraId="6EBB9FDE" w14:textId="77777777" w:rsidTr="00570B12">
        <w:trPr>
          <w:jc w:val="center"/>
        </w:trPr>
        <w:tc>
          <w:tcPr>
            <w:tcW w:w="1419" w:type="dxa"/>
            <w:vMerge/>
            <w:vAlign w:val="center"/>
          </w:tcPr>
          <w:p w14:paraId="3D5D3B45" w14:textId="77777777" w:rsidR="00FE06F0" w:rsidRPr="00FE06F0" w:rsidRDefault="00FE06F0" w:rsidP="00FE06F0">
            <w:pPr>
              <w:rPr>
                <w:rFonts w:eastAsiaTheme="minorEastAsia"/>
                <w:sz w:val="20"/>
                <w:szCs w:val="20"/>
                <w:lang w:eastAsia="ja-JP"/>
              </w:rPr>
            </w:pPr>
          </w:p>
        </w:tc>
        <w:tc>
          <w:tcPr>
            <w:tcW w:w="0" w:type="auto"/>
            <w:vAlign w:val="center"/>
          </w:tcPr>
          <w:p w14:paraId="3CB7A227" w14:textId="77777777" w:rsidR="00FE06F0" w:rsidRPr="00FE06F0" w:rsidRDefault="00FE06F0" w:rsidP="00FE06F0">
            <w:pPr>
              <w:rPr>
                <w:sz w:val="20"/>
                <w:szCs w:val="20"/>
                <w:lang w:eastAsia="ja-JP"/>
              </w:rPr>
            </w:pPr>
            <w:r w:rsidRPr="00FE06F0">
              <w:rPr>
                <w:sz w:val="20"/>
                <w:szCs w:val="20"/>
                <w:lang w:eastAsia="ja-JP"/>
              </w:rPr>
              <w:t>Low</w:t>
            </w:r>
          </w:p>
        </w:tc>
        <w:tc>
          <w:tcPr>
            <w:tcW w:w="0" w:type="auto"/>
            <w:vAlign w:val="center"/>
          </w:tcPr>
          <w:p w14:paraId="6BD49512"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31.6</w:t>
            </w:r>
          </w:p>
        </w:tc>
        <w:tc>
          <w:tcPr>
            <w:tcW w:w="0" w:type="auto"/>
            <w:vAlign w:val="center"/>
          </w:tcPr>
          <w:p w14:paraId="5567CAC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31.2</w:t>
            </w:r>
          </w:p>
        </w:tc>
        <w:tc>
          <w:tcPr>
            <w:tcW w:w="0" w:type="auto"/>
            <w:vAlign w:val="center"/>
          </w:tcPr>
          <w:p w14:paraId="09DA014B"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34.9</w:t>
            </w:r>
          </w:p>
        </w:tc>
        <w:tc>
          <w:tcPr>
            <w:tcW w:w="0" w:type="auto"/>
            <w:vMerge/>
            <w:vAlign w:val="center"/>
          </w:tcPr>
          <w:p w14:paraId="0B70500C" w14:textId="77777777" w:rsidR="00FE06F0" w:rsidRPr="00FE06F0" w:rsidRDefault="00FE06F0" w:rsidP="00FE06F0">
            <w:pPr>
              <w:rPr>
                <w:rFonts w:eastAsiaTheme="minorEastAsia"/>
                <w:sz w:val="20"/>
                <w:szCs w:val="20"/>
                <w:lang w:eastAsia="ja-JP"/>
              </w:rPr>
            </w:pPr>
          </w:p>
        </w:tc>
      </w:tr>
      <w:tr w:rsidR="00FE06F0" w:rsidRPr="00FE06F0" w14:paraId="476EF1A7" w14:textId="77777777" w:rsidTr="00570B12">
        <w:trPr>
          <w:jc w:val="center"/>
        </w:trPr>
        <w:tc>
          <w:tcPr>
            <w:tcW w:w="1419" w:type="dxa"/>
            <w:vMerge w:val="restart"/>
          </w:tcPr>
          <w:p w14:paraId="2EF0FABD"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 xml:space="preserve">Smoking </w:t>
            </w:r>
            <w:proofErr w:type="spellStart"/>
            <w:r w:rsidRPr="00FE06F0">
              <w:rPr>
                <w:rFonts w:eastAsiaTheme="minorEastAsia"/>
                <w:sz w:val="20"/>
                <w:szCs w:val="20"/>
                <w:lang w:eastAsia="ja-JP"/>
              </w:rPr>
              <w:t>status</w:t>
            </w:r>
            <w:proofErr w:type="spellEnd"/>
          </w:p>
        </w:tc>
        <w:tc>
          <w:tcPr>
            <w:tcW w:w="0" w:type="auto"/>
            <w:vAlign w:val="center"/>
          </w:tcPr>
          <w:p w14:paraId="6DCFFE7F" w14:textId="77777777" w:rsidR="00FE06F0" w:rsidRPr="00FE06F0" w:rsidRDefault="00FE06F0" w:rsidP="00FE06F0">
            <w:pPr>
              <w:rPr>
                <w:sz w:val="20"/>
                <w:szCs w:val="20"/>
                <w:lang w:eastAsia="ja-JP"/>
              </w:rPr>
            </w:pPr>
            <w:r w:rsidRPr="00FE06F0">
              <w:rPr>
                <w:sz w:val="20"/>
                <w:szCs w:val="20"/>
                <w:lang w:eastAsia="ja-JP"/>
              </w:rPr>
              <w:t>Never</w:t>
            </w:r>
          </w:p>
        </w:tc>
        <w:tc>
          <w:tcPr>
            <w:tcW w:w="0" w:type="auto"/>
            <w:vAlign w:val="center"/>
          </w:tcPr>
          <w:p w14:paraId="5F63462C"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34.8</w:t>
            </w:r>
          </w:p>
        </w:tc>
        <w:tc>
          <w:tcPr>
            <w:tcW w:w="0" w:type="auto"/>
            <w:vAlign w:val="center"/>
          </w:tcPr>
          <w:p w14:paraId="7E87DF85"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34.9</w:t>
            </w:r>
          </w:p>
        </w:tc>
        <w:tc>
          <w:tcPr>
            <w:tcW w:w="0" w:type="auto"/>
            <w:vAlign w:val="center"/>
          </w:tcPr>
          <w:p w14:paraId="3D96F3D8"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32.1</w:t>
            </w:r>
          </w:p>
        </w:tc>
        <w:tc>
          <w:tcPr>
            <w:tcW w:w="0" w:type="auto"/>
            <w:vMerge w:val="restart"/>
            <w:vAlign w:val="center"/>
          </w:tcPr>
          <w:p w14:paraId="63156921"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0.277</w:t>
            </w:r>
          </w:p>
        </w:tc>
      </w:tr>
      <w:tr w:rsidR="00FE06F0" w:rsidRPr="00FE06F0" w14:paraId="66949CBB" w14:textId="77777777" w:rsidTr="00570B12">
        <w:trPr>
          <w:jc w:val="center"/>
        </w:trPr>
        <w:tc>
          <w:tcPr>
            <w:tcW w:w="1419" w:type="dxa"/>
            <w:vMerge/>
          </w:tcPr>
          <w:p w14:paraId="06396545" w14:textId="77777777" w:rsidR="00FE06F0" w:rsidRPr="00FE06F0" w:rsidRDefault="00FE06F0" w:rsidP="00FE06F0">
            <w:pPr>
              <w:rPr>
                <w:rFonts w:eastAsiaTheme="minorEastAsia"/>
                <w:sz w:val="20"/>
                <w:szCs w:val="20"/>
                <w:lang w:eastAsia="ja-JP"/>
              </w:rPr>
            </w:pPr>
          </w:p>
        </w:tc>
        <w:tc>
          <w:tcPr>
            <w:tcW w:w="0" w:type="auto"/>
            <w:vAlign w:val="center"/>
          </w:tcPr>
          <w:p w14:paraId="62EEB41F" w14:textId="77777777" w:rsidR="00FE06F0" w:rsidRPr="00FE06F0" w:rsidRDefault="00FE06F0" w:rsidP="00FE06F0">
            <w:pPr>
              <w:rPr>
                <w:sz w:val="20"/>
                <w:szCs w:val="20"/>
                <w:lang w:eastAsia="ja-JP"/>
              </w:rPr>
            </w:pPr>
            <w:proofErr w:type="spellStart"/>
            <w:r w:rsidRPr="00FE06F0">
              <w:rPr>
                <w:sz w:val="20"/>
                <w:szCs w:val="20"/>
                <w:lang w:eastAsia="ja-JP"/>
              </w:rPr>
              <w:t>Quit</w:t>
            </w:r>
            <w:proofErr w:type="spellEnd"/>
            <w:r w:rsidRPr="00FE06F0">
              <w:rPr>
                <w:sz w:val="20"/>
                <w:szCs w:val="20"/>
                <w:lang w:eastAsia="ja-JP"/>
              </w:rPr>
              <w:t>/</w:t>
            </w:r>
            <w:proofErr w:type="spellStart"/>
            <w:r w:rsidRPr="00FE06F0">
              <w:rPr>
                <w:sz w:val="20"/>
                <w:szCs w:val="20"/>
                <w:lang w:eastAsia="ja-JP"/>
              </w:rPr>
              <w:t>Current</w:t>
            </w:r>
            <w:proofErr w:type="spellEnd"/>
          </w:p>
        </w:tc>
        <w:tc>
          <w:tcPr>
            <w:tcW w:w="0" w:type="auto"/>
            <w:vAlign w:val="center"/>
          </w:tcPr>
          <w:p w14:paraId="7A8101F8"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65.2</w:t>
            </w:r>
          </w:p>
        </w:tc>
        <w:tc>
          <w:tcPr>
            <w:tcW w:w="0" w:type="auto"/>
            <w:vAlign w:val="center"/>
          </w:tcPr>
          <w:p w14:paraId="423578D6"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65.1</w:t>
            </w:r>
          </w:p>
        </w:tc>
        <w:tc>
          <w:tcPr>
            <w:tcW w:w="0" w:type="auto"/>
            <w:vAlign w:val="center"/>
          </w:tcPr>
          <w:p w14:paraId="18697965"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67.9</w:t>
            </w:r>
          </w:p>
        </w:tc>
        <w:tc>
          <w:tcPr>
            <w:tcW w:w="0" w:type="auto"/>
            <w:vMerge/>
            <w:vAlign w:val="center"/>
          </w:tcPr>
          <w:p w14:paraId="2162CE64" w14:textId="77777777" w:rsidR="00FE06F0" w:rsidRPr="00FE06F0" w:rsidRDefault="00FE06F0" w:rsidP="00FE06F0">
            <w:pPr>
              <w:rPr>
                <w:rFonts w:eastAsiaTheme="minorEastAsia"/>
                <w:sz w:val="20"/>
                <w:szCs w:val="20"/>
                <w:lang w:eastAsia="ja-JP"/>
              </w:rPr>
            </w:pPr>
          </w:p>
        </w:tc>
      </w:tr>
      <w:tr w:rsidR="00FE06F0" w:rsidRPr="00FE06F0" w14:paraId="3DCA2304" w14:textId="77777777" w:rsidTr="00570B12">
        <w:trPr>
          <w:jc w:val="center"/>
        </w:trPr>
        <w:tc>
          <w:tcPr>
            <w:tcW w:w="1419" w:type="dxa"/>
            <w:vMerge w:val="restart"/>
            <w:vAlign w:val="center"/>
          </w:tcPr>
          <w:p w14:paraId="6E4D99EE" w14:textId="77777777" w:rsidR="00FE06F0" w:rsidRPr="00FE06F0" w:rsidRDefault="00FE06F0" w:rsidP="00FE06F0">
            <w:pPr>
              <w:rPr>
                <w:rFonts w:eastAsiaTheme="minorEastAsia"/>
                <w:sz w:val="20"/>
                <w:szCs w:val="20"/>
                <w:lang w:eastAsia="ja-JP"/>
              </w:rPr>
            </w:pPr>
            <w:proofErr w:type="spellStart"/>
            <w:r w:rsidRPr="00FE06F0">
              <w:rPr>
                <w:rFonts w:eastAsiaTheme="minorEastAsia"/>
                <w:sz w:val="20"/>
                <w:szCs w:val="20"/>
                <w:lang w:eastAsia="ja-JP"/>
              </w:rPr>
              <w:t>Alcohol</w:t>
            </w:r>
            <w:proofErr w:type="spellEnd"/>
            <w:r w:rsidRPr="00FE06F0">
              <w:rPr>
                <w:rFonts w:eastAsiaTheme="minorEastAsia"/>
                <w:sz w:val="20"/>
                <w:szCs w:val="20"/>
                <w:lang w:eastAsia="ja-JP"/>
              </w:rPr>
              <w:t xml:space="preserve"> </w:t>
            </w:r>
            <w:proofErr w:type="spellStart"/>
            <w:r w:rsidRPr="00FE06F0">
              <w:rPr>
                <w:rFonts w:eastAsiaTheme="minorEastAsia"/>
                <w:sz w:val="20"/>
                <w:szCs w:val="20"/>
                <w:lang w:eastAsia="ja-JP"/>
              </w:rPr>
              <w:t>dependence</w:t>
            </w:r>
            <w:proofErr w:type="spellEnd"/>
          </w:p>
        </w:tc>
        <w:tc>
          <w:tcPr>
            <w:tcW w:w="0" w:type="auto"/>
            <w:vAlign w:val="center"/>
          </w:tcPr>
          <w:p w14:paraId="32174429" w14:textId="77777777" w:rsidR="00FE06F0" w:rsidRPr="00FE06F0" w:rsidRDefault="00FE06F0" w:rsidP="00FE06F0">
            <w:pPr>
              <w:rPr>
                <w:sz w:val="20"/>
                <w:szCs w:val="20"/>
                <w:lang w:eastAsia="ja-JP"/>
              </w:rPr>
            </w:pPr>
            <w:r w:rsidRPr="00FE06F0">
              <w:rPr>
                <w:sz w:val="20"/>
                <w:szCs w:val="20"/>
                <w:lang w:eastAsia="ja-JP"/>
              </w:rPr>
              <w:t>No</w:t>
            </w:r>
          </w:p>
        </w:tc>
        <w:tc>
          <w:tcPr>
            <w:tcW w:w="0" w:type="auto"/>
            <w:vAlign w:val="center"/>
          </w:tcPr>
          <w:p w14:paraId="419EA6BF"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92.3</w:t>
            </w:r>
          </w:p>
        </w:tc>
        <w:tc>
          <w:tcPr>
            <w:tcW w:w="0" w:type="auto"/>
            <w:vAlign w:val="center"/>
          </w:tcPr>
          <w:p w14:paraId="7E6FBCA8"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92.8</w:t>
            </w:r>
          </w:p>
        </w:tc>
        <w:tc>
          <w:tcPr>
            <w:tcW w:w="0" w:type="auto"/>
            <w:vAlign w:val="center"/>
          </w:tcPr>
          <w:p w14:paraId="1FA57FFB"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84.9</w:t>
            </w:r>
          </w:p>
        </w:tc>
        <w:tc>
          <w:tcPr>
            <w:tcW w:w="0" w:type="auto"/>
            <w:vMerge w:val="restart"/>
            <w:vAlign w:val="center"/>
          </w:tcPr>
          <w:p w14:paraId="2B2B78E8"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&lt;0.001</w:t>
            </w:r>
          </w:p>
        </w:tc>
      </w:tr>
      <w:tr w:rsidR="00FE06F0" w:rsidRPr="00FE06F0" w14:paraId="141CEF8F" w14:textId="77777777" w:rsidTr="00570B12">
        <w:trPr>
          <w:jc w:val="center"/>
        </w:trPr>
        <w:tc>
          <w:tcPr>
            <w:tcW w:w="1419" w:type="dxa"/>
            <w:vMerge/>
            <w:vAlign w:val="center"/>
          </w:tcPr>
          <w:p w14:paraId="0EAE15EA" w14:textId="77777777" w:rsidR="00FE06F0" w:rsidRPr="00FE06F0" w:rsidRDefault="00FE06F0" w:rsidP="00FE06F0">
            <w:pPr>
              <w:rPr>
                <w:rFonts w:eastAsiaTheme="minorEastAsia"/>
                <w:sz w:val="20"/>
                <w:szCs w:val="20"/>
                <w:lang w:eastAsia="ja-JP"/>
              </w:rPr>
            </w:pPr>
          </w:p>
        </w:tc>
        <w:tc>
          <w:tcPr>
            <w:tcW w:w="0" w:type="auto"/>
            <w:vAlign w:val="center"/>
          </w:tcPr>
          <w:p w14:paraId="478B7418" w14:textId="77777777" w:rsidR="00FE06F0" w:rsidRPr="00FE06F0" w:rsidRDefault="00FE06F0" w:rsidP="00FE06F0">
            <w:pPr>
              <w:rPr>
                <w:sz w:val="20"/>
                <w:szCs w:val="20"/>
                <w:lang w:eastAsia="ja-JP"/>
              </w:rPr>
            </w:pPr>
            <w:r w:rsidRPr="00FE06F0">
              <w:rPr>
                <w:sz w:val="20"/>
                <w:szCs w:val="20"/>
                <w:lang w:eastAsia="ja-JP"/>
              </w:rPr>
              <w:t>Yes</w:t>
            </w:r>
          </w:p>
        </w:tc>
        <w:tc>
          <w:tcPr>
            <w:tcW w:w="0" w:type="auto"/>
            <w:vAlign w:val="center"/>
          </w:tcPr>
          <w:p w14:paraId="4BF19E8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7.7</w:t>
            </w:r>
          </w:p>
        </w:tc>
        <w:tc>
          <w:tcPr>
            <w:tcW w:w="0" w:type="auto"/>
            <w:vAlign w:val="center"/>
          </w:tcPr>
          <w:p w14:paraId="0F5A6FEA"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7.2</w:t>
            </w:r>
          </w:p>
        </w:tc>
        <w:tc>
          <w:tcPr>
            <w:tcW w:w="0" w:type="auto"/>
            <w:vAlign w:val="center"/>
          </w:tcPr>
          <w:p w14:paraId="1B842E9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15.1</w:t>
            </w:r>
          </w:p>
        </w:tc>
        <w:tc>
          <w:tcPr>
            <w:tcW w:w="0" w:type="auto"/>
            <w:vMerge/>
            <w:vAlign w:val="center"/>
          </w:tcPr>
          <w:p w14:paraId="38FB19E3" w14:textId="77777777" w:rsidR="00FE06F0" w:rsidRPr="00FE06F0" w:rsidRDefault="00FE06F0" w:rsidP="00FE06F0">
            <w:pPr>
              <w:rPr>
                <w:rFonts w:eastAsiaTheme="minorEastAsia"/>
                <w:sz w:val="20"/>
                <w:szCs w:val="20"/>
                <w:lang w:eastAsia="ja-JP"/>
              </w:rPr>
            </w:pPr>
          </w:p>
        </w:tc>
      </w:tr>
      <w:tr w:rsidR="00FE06F0" w:rsidRPr="00FE06F0" w14:paraId="6B556EA6" w14:textId="77777777" w:rsidTr="00570B12">
        <w:trPr>
          <w:jc w:val="center"/>
        </w:trPr>
        <w:tc>
          <w:tcPr>
            <w:tcW w:w="1419" w:type="dxa"/>
            <w:vMerge w:val="restart"/>
            <w:vAlign w:val="center"/>
          </w:tcPr>
          <w:p w14:paraId="351F0F7A" w14:textId="77777777" w:rsidR="00FE06F0" w:rsidRPr="00FE06F0" w:rsidRDefault="00FE06F0" w:rsidP="00FE06F0">
            <w:pPr>
              <w:rPr>
                <w:rFonts w:eastAsiaTheme="minorEastAsia"/>
                <w:sz w:val="20"/>
                <w:szCs w:val="20"/>
                <w:lang w:eastAsia="ja-JP"/>
              </w:rPr>
            </w:pPr>
            <w:proofErr w:type="spellStart"/>
            <w:r w:rsidRPr="00FE06F0">
              <w:rPr>
                <w:rFonts w:eastAsiaTheme="minorEastAsia"/>
                <w:sz w:val="20"/>
                <w:szCs w:val="20"/>
                <w:lang w:eastAsia="ja-JP"/>
              </w:rPr>
              <w:t>Perceived</w:t>
            </w:r>
            <w:proofErr w:type="spellEnd"/>
            <w:r w:rsidRPr="00FE06F0">
              <w:rPr>
                <w:rFonts w:eastAsiaTheme="minorEastAsia"/>
                <w:sz w:val="20"/>
                <w:szCs w:val="20"/>
                <w:lang w:eastAsia="ja-JP"/>
              </w:rPr>
              <w:t xml:space="preserve"> stress</w:t>
            </w:r>
          </w:p>
        </w:tc>
        <w:tc>
          <w:tcPr>
            <w:tcW w:w="0" w:type="auto"/>
            <w:vAlign w:val="center"/>
          </w:tcPr>
          <w:p w14:paraId="03A17C96" w14:textId="77777777" w:rsidR="00FE06F0" w:rsidRPr="00FE06F0" w:rsidRDefault="00FE06F0" w:rsidP="00FE06F0">
            <w:pPr>
              <w:rPr>
                <w:sz w:val="20"/>
                <w:szCs w:val="20"/>
                <w:lang w:eastAsia="ja-JP"/>
              </w:rPr>
            </w:pPr>
            <w:r w:rsidRPr="00FE06F0">
              <w:rPr>
                <w:sz w:val="20"/>
                <w:szCs w:val="20"/>
                <w:lang w:eastAsia="ja-JP"/>
              </w:rPr>
              <w:t>No</w:t>
            </w:r>
          </w:p>
        </w:tc>
        <w:tc>
          <w:tcPr>
            <w:tcW w:w="0" w:type="auto"/>
            <w:vAlign w:val="center"/>
          </w:tcPr>
          <w:p w14:paraId="653541FC"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39.4</w:t>
            </w:r>
          </w:p>
        </w:tc>
        <w:tc>
          <w:tcPr>
            <w:tcW w:w="0" w:type="auto"/>
            <w:vAlign w:val="center"/>
          </w:tcPr>
          <w:p w14:paraId="473142ED"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40.1</w:t>
            </w:r>
          </w:p>
        </w:tc>
        <w:tc>
          <w:tcPr>
            <w:tcW w:w="0" w:type="auto"/>
            <w:vAlign w:val="center"/>
          </w:tcPr>
          <w:p w14:paraId="47E16AE5"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28.5</w:t>
            </w:r>
          </w:p>
        </w:tc>
        <w:tc>
          <w:tcPr>
            <w:tcW w:w="0" w:type="auto"/>
            <w:vMerge w:val="restart"/>
            <w:vAlign w:val="center"/>
          </w:tcPr>
          <w:p w14:paraId="2DCEA324"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&lt;0.001</w:t>
            </w:r>
          </w:p>
        </w:tc>
      </w:tr>
      <w:tr w:rsidR="00FE06F0" w:rsidRPr="00FE06F0" w14:paraId="774C1C0C" w14:textId="77777777" w:rsidTr="00570B12">
        <w:trPr>
          <w:jc w:val="center"/>
        </w:trPr>
        <w:tc>
          <w:tcPr>
            <w:tcW w:w="1419" w:type="dxa"/>
            <w:vMerge/>
            <w:vAlign w:val="center"/>
          </w:tcPr>
          <w:p w14:paraId="4782B696" w14:textId="77777777" w:rsidR="00FE06F0" w:rsidRPr="00FE06F0" w:rsidRDefault="00FE06F0" w:rsidP="00FE06F0">
            <w:pPr>
              <w:rPr>
                <w:rFonts w:eastAsiaTheme="minorEastAsia"/>
                <w:sz w:val="20"/>
                <w:szCs w:val="20"/>
                <w:lang w:eastAsia="ja-JP"/>
              </w:rPr>
            </w:pPr>
          </w:p>
        </w:tc>
        <w:tc>
          <w:tcPr>
            <w:tcW w:w="0" w:type="auto"/>
            <w:vAlign w:val="center"/>
          </w:tcPr>
          <w:p w14:paraId="7CA38210" w14:textId="77777777" w:rsidR="00FE06F0" w:rsidRPr="00FE06F0" w:rsidRDefault="00FE06F0" w:rsidP="00FE06F0">
            <w:pPr>
              <w:rPr>
                <w:sz w:val="20"/>
                <w:szCs w:val="20"/>
                <w:lang w:eastAsia="ja-JP"/>
              </w:rPr>
            </w:pPr>
            <w:r w:rsidRPr="00FE06F0">
              <w:rPr>
                <w:sz w:val="20"/>
                <w:szCs w:val="20"/>
                <w:lang w:eastAsia="ja-JP"/>
              </w:rPr>
              <w:t>Yes</w:t>
            </w:r>
          </w:p>
        </w:tc>
        <w:tc>
          <w:tcPr>
            <w:tcW w:w="0" w:type="auto"/>
            <w:vAlign w:val="center"/>
          </w:tcPr>
          <w:p w14:paraId="27C19D65"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60.6</w:t>
            </w:r>
          </w:p>
        </w:tc>
        <w:tc>
          <w:tcPr>
            <w:tcW w:w="0" w:type="auto"/>
            <w:vAlign w:val="center"/>
          </w:tcPr>
          <w:p w14:paraId="49BFEFA7"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59.9</w:t>
            </w:r>
          </w:p>
        </w:tc>
        <w:tc>
          <w:tcPr>
            <w:tcW w:w="0" w:type="auto"/>
            <w:vAlign w:val="center"/>
          </w:tcPr>
          <w:p w14:paraId="6359A9D7"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71.5</w:t>
            </w:r>
          </w:p>
        </w:tc>
        <w:tc>
          <w:tcPr>
            <w:tcW w:w="0" w:type="auto"/>
            <w:vMerge/>
            <w:vAlign w:val="center"/>
          </w:tcPr>
          <w:p w14:paraId="01D58496" w14:textId="77777777" w:rsidR="00FE06F0" w:rsidRPr="00FE06F0" w:rsidRDefault="00FE06F0" w:rsidP="00FE06F0">
            <w:pPr>
              <w:rPr>
                <w:rFonts w:eastAsiaTheme="minorEastAsia"/>
                <w:sz w:val="20"/>
                <w:szCs w:val="20"/>
                <w:lang w:eastAsia="ja-JP"/>
              </w:rPr>
            </w:pPr>
          </w:p>
        </w:tc>
      </w:tr>
      <w:tr w:rsidR="00FE06F0" w:rsidRPr="00FE06F0" w14:paraId="7E765E19" w14:textId="77777777" w:rsidTr="00570B12">
        <w:trPr>
          <w:jc w:val="center"/>
        </w:trPr>
        <w:tc>
          <w:tcPr>
            <w:tcW w:w="1419" w:type="dxa"/>
            <w:vAlign w:val="center"/>
          </w:tcPr>
          <w:p w14:paraId="3DDCE2FC"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 xml:space="preserve">Number of </w:t>
            </w:r>
            <w:proofErr w:type="spellStart"/>
            <w:r w:rsidRPr="00FE06F0">
              <w:rPr>
                <w:rFonts w:eastAsiaTheme="minorEastAsia"/>
                <w:sz w:val="20"/>
                <w:szCs w:val="20"/>
                <w:lang w:eastAsia="ja-JP"/>
              </w:rPr>
              <w:t>stressful</w:t>
            </w:r>
            <w:proofErr w:type="spellEnd"/>
            <w:r w:rsidRPr="00FE06F0">
              <w:rPr>
                <w:rFonts w:eastAsiaTheme="minorEastAsia"/>
                <w:sz w:val="20"/>
                <w:szCs w:val="20"/>
                <w:lang w:eastAsia="ja-JP"/>
              </w:rPr>
              <w:t xml:space="preserve"> life </w:t>
            </w:r>
            <w:proofErr w:type="spellStart"/>
            <w:r w:rsidRPr="00FE06F0">
              <w:rPr>
                <w:rFonts w:eastAsiaTheme="minorEastAsia"/>
                <w:sz w:val="20"/>
                <w:szCs w:val="20"/>
                <w:lang w:eastAsia="ja-JP"/>
              </w:rPr>
              <w:t>events</w:t>
            </w:r>
            <w:proofErr w:type="spellEnd"/>
          </w:p>
        </w:tc>
        <w:tc>
          <w:tcPr>
            <w:tcW w:w="0" w:type="auto"/>
            <w:vAlign w:val="center"/>
          </w:tcPr>
          <w:p w14:paraId="5DFCBA3B" w14:textId="77777777" w:rsidR="00FE06F0" w:rsidRPr="00FE06F0" w:rsidRDefault="00FE06F0" w:rsidP="00FE06F0">
            <w:pPr>
              <w:rPr>
                <w:sz w:val="20"/>
                <w:szCs w:val="20"/>
                <w:lang w:eastAsia="ja-JP"/>
              </w:rPr>
            </w:pPr>
            <w:proofErr w:type="spellStart"/>
            <w:r w:rsidRPr="00FE06F0">
              <w:rPr>
                <w:sz w:val="20"/>
                <w:szCs w:val="20"/>
                <w:lang w:eastAsia="ja-JP"/>
              </w:rPr>
              <w:t>Mean</w:t>
            </w:r>
            <w:proofErr w:type="spellEnd"/>
            <w:r w:rsidRPr="00FE06F0">
              <w:rPr>
                <w:sz w:val="20"/>
                <w:szCs w:val="20"/>
                <w:lang w:eastAsia="ja-JP"/>
              </w:rPr>
              <w:t xml:space="preserve"> (SD)</w:t>
            </w:r>
          </w:p>
        </w:tc>
        <w:tc>
          <w:tcPr>
            <w:tcW w:w="0" w:type="auto"/>
            <w:vAlign w:val="center"/>
          </w:tcPr>
          <w:p w14:paraId="43815DB9"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3.4 (2.4)</w:t>
            </w:r>
          </w:p>
        </w:tc>
        <w:tc>
          <w:tcPr>
            <w:tcW w:w="0" w:type="auto"/>
            <w:vAlign w:val="center"/>
          </w:tcPr>
          <w:p w14:paraId="54F55873"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3.4 (2.4)</w:t>
            </w:r>
          </w:p>
        </w:tc>
        <w:tc>
          <w:tcPr>
            <w:tcW w:w="0" w:type="auto"/>
            <w:vAlign w:val="center"/>
          </w:tcPr>
          <w:p w14:paraId="634F103D"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3.9 (3.0)</w:t>
            </w:r>
          </w:p>
        </w:tc>
        <w:tc>
          <w:tcPr>
            <w:tcW w:w="0" w:type="auto"/>
            <w:vAlign w:val="center"/>
          </w:tcPr>
          <w:p w14:paraId="6B2ED38B"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&lt;0.001</w:t>
            </w:r>
          </w:p>
        </w:tc>
      </w:tr>
      <w:tr w:rsidR="00FE06F0" w:rsidRPr="00FE06F0" w14:paraId="458B025F" w14:textId="77777777" w:rsidTr="00570B12">
        <w:trPr>
          <w:trHeight w:val="365"/>
          <w:jc w:val="center"/>
        </w:trPr>
        <w:tc>
          <w:tcPr>
            <w:tcW w:w="1419" w:type="dxa"/>
            <w:vMerge w:val="restart"/>
            <w:vAlign w:val="center"/>
          </w:tcPr>
          <w:p w14:paraId="1E04E6C9" w14:textId="77777777" w:rsidR="00FE06F0" w:rsidRPr="00FE06F0" w:rsidRDefault="00FE06F0" w:rsidP="00FE06F0">
            <w:pPr>
              <w:rPr>
                <w:rFonts w:eastAsiaTheme="minorEastAsia"/>
                <w:sz w:val="20"/>
                <w:szCs w:val="20"/>
                <w:lang w:eastAsia="ja-JP"/>
              </w:rPr>
            </w:pPr>
            <w:proofErr w:type="spellStart"/>
            <w:r w:rsidRPr="00FE06F0">
              <w:rPr>
                <w:sz w:val="20"/>
                <w:szCs w:val="20"/>
                <w:lang w:eastAsia="ja-JP"/>
              </w:rPr>
              <w:t>Depression</w:t>
            </w:r>
            <w:proofErr w:type="spellEnd"/>
          </w:p>
        </w:tc>
        <w:tc>
          <w:tcPr>
            <w:tcW w:w="0" w:type="auto"/>
            <w:vAlign w:val="center"/>
          </w:tcPr>
          <w:p w14:paraId="3D1670AE" w14:textId="77777777" w:rsidR="00FE06F0" w:rsidRPr="00FE06F0" w:rsidRDefault="00FE06F0" w:rsidP="00FE06F0">
            <w:pPr>
              <w:rPr>
                <w:rFonts w:eastAsiaTheme="minorEastAsia"/>
                <w:sz w:val="20"/>
                <w:szCs w:val="20"/>
                <w:lang w:eastAsia="ja-JP"/>
              </w:rPr>
            </w:pPr>
            <w:r w:rsidRPr="00FE06F0">
              <w:rPr>
                <w:sz w:val="20"/>
                <w:szCs w:val="20"/>
                <w:lang w:eastAsia="ja-JP"/>
              </w:rPr>
              <w:t>No</w:t>
            </w:r>
          </w:p>
        </w:tc>
        <w:tc>
          <w:tcPr>
            <w:tcW w:w="0" w:type="auto"/>
            <w:vAlign w:val="center"/>
          </w:tcPr>
          <w:p w14:paraId="20ED9DE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97.0</w:t>
            </w:r>
          </w:p>
        </w:tc>
        <w:tc>
          <w:tcPr>
            <w:tcW w:w="0" w:type="auto"/>
            <w:vAlign w:val="center"/>
          </w:tcPr>
          <w:p w14:paraId="56CE6BF9"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97.2</w:t>
            </w:r>
          </w:p>
        </w:tc>
        <w:tc>
          <w:tcPr>
            <w:tcW w:w="0" w:type="auto"/>
            <w:vAlign w:val="center"/>
          </w:tcPr>
          <w:p w14:paraId="481101E1"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94.5</w:t>
            </w:r>
          </w:p>
        </w:tc>
        <w:tc>
          <w:tcPr>
            <w:tcW w:w="0" w:type="auto"/>
            <w:vMerge w:val="restart"/>
            <w:vAlign w:val="center"/>
          </w:tcPr>
          <w:p w14:paraId="4F81E715"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0.001</w:t>
            </w:r>
          </w:p>
        </w:tc>
      </w:tr>
      <w:tr w:rsidR="00FE06F0" w:rsidRPr="00FE06F0" w14:paraId="6C57CDE5" w14:textId="77777777" w:rsidTr="00570B12">
        <w:trPr>
          <w:jc w:val="center"/>
        </w:trPr>
        <w:tc>
          <w:tcPr>
            <w:tcW w:w="1419" w:type="dxa"/>
            <w:vMerge/>
          </w:tcPr>
          <w:p w14:paraId="00E6C604" w14:textId="77777777" w:rsidR="00FE06F0" w:rsidRPr="00FE06F0" w:rsidRDefault="00FE06F0" w:rsidP="00FE06F0">
            <w:pPr>
              <w:rPr>
                <w:rFonts w:eastAsiaTheme="minorEastAsia"/>
                <w:sz w:val="20"/>
                <w:szCs w:val="20"/>
                <w:lang w:eastAsia="ja-JP"/>
              </w:rPr>
            </w:pPr>
          </w:p>
        </w:tc>
        <w:tc>
          <w:tcPr>
            <w:tcW w:w="0" w:type="auto"/>
            <w:vAlign w:val="center"/>
          </w:tcPr>
          <w:p w14:paraId="30473037" w14:textId="77777777" w:rsidR="00FE06F0" w:rsidRPr="00FE06F0" w:rsidRDefault="00FE06F0" w:rsidP="00FE06F0">
            <w:pPr>
              <w:rPr>
                <w:rFonts w:eastAsiaTheme="minorEastAsia"/>
                <w:sz w:val="20"/>
                <w:szCs w:val="20"/>
                <w:lang w:eastAsia="ja-JP"/>
              </w:rPr>
            </w:pPr>
            <w:r w:rsidRPr="00FE06F0">
              <w:rPr>
                <w:sz w:val="20"/>
                <w:szCs w:val="20"/>
                <w:lang w:eastAsia="ja-JP"/>
              </w:rPr>
              <w:t>Yes</w:t>
            </w:r>
          </w:p>
        </w:tc>
        <w:tc>
          <w:tcPr>
            <w:tcW w:w="0" w:type="auto"/>
            <w:vAlign w:val="center"/>
          </w:tcPr>
          <w:p w14:paraId="361180A1"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3.0</w:t>
            </w:r>
          </w:p>
        </w:tc>
        <w:tc>
          <w:tcPr>
            <w:tcW w:w="0" w:type="auto"/>
            <w:vAlign w:val="center"/>
          </w:tcPr>
          <w:p w14:paraId="58806CE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2.8</w:t>
            </w:r>
          </w:p>
        </w:tc>
        <w:tc>
          <w:tcPr>
            <w:tcW w:w="0" w:type="auto"/>
            <w:vAlign w:val="center"/>
          </w:tcPr>
          <w:p w14:paraId="51DDC15D"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5.5</w:t>
            </w:r>
          </w:p>
        </w:tc>
        <w:tc>
          <w:tcPr>
            <w:tcW w:w="0" w:type="auto"/>
            <w:vMerge/>
          </w:tcPr>
          <w:p w14:paraId="434FED85" w14:textId="77777777" w:rsidR="00FE06F0" w:rsidRPr="00FE06F0" w:rsidRDefault="00FE06F0" w:rsidP="00FE06F0">
            <w:pPr>
              <w:rPr>
                <w:rFonts w:eastAsiaTheme="minorEastAsia"/>
                <w:sz w:val="20"/>
                <w:szCs w:val="20"/>
                <w:lang w:eastAsia="ja-JP"/>
              </w:rPr>
            </w:pPr>
          </w:p>
        </w:tc>
      </w:tr>
      <w:tr w:rsidR="00FE06F0" w:rsidRPr="00FE06F0" w14:paraId="4BEB7EB9" w14:textId="77777777" w:rsidTr="00570B12">
        <w:trPr>
          <w:jc w:val="center"/>
        </w:trPr>
        <w:tc>
          <w:tcPr>
            <w:tcW w:w="1419" w:type="dxa"/>
            <w:vMerge w:val="restart"/>
          </w:tcPr>
          <w:p w14:paraId="7F82CE70" w14:textId="77777777" w:rsidR="00FE06F0" w:rsidRPr="00FE06F0" w:rsidRDefault="00FE06F0" w:rsidP="00FE06F0">
            <w:pPr>
              <w:rPr>
                <w:rFonts w:eastAsiaTheme="minorEastAsia"/>
                <w:sz w:val="20"/>
                <w:szCs w:val="20"/>
                <w:lang w:eastAsia="ja-JP"/>
              </w:rPr>
            </w:pPr>
            <w:proofErr w:type="spellStart"/>
            <w:r w:rsidRPr="00FE06F0">
              <w:rPr>
                <w:rFonts w:eastAsiaTheme="minorEastAsia"/>
                <w:sz w:val="20"/>
                <w:szCs w:val="20"/>
                <w:lang w:eastAsia="ja-JP"/>
              </w:rPr>
              <w:t>Any</w:t>
            </w:r>
            <w:proofErr w:type="spellEnd"/>
            <w:r w:rsidRPr="00FE06F0">
              <w:rPr>
                <w:rFonts w:eastAsiaTheme="minorEastAsia"/>
                <w:sz w:val="20"/>
                <w:szCs w:val="20"/>
                <w:lang w:eastAsia="ja-JP"/>
              </w:rPr>
              <w:t xml:space="preserve"> </w:t>
            </w:r>
            <w:proofErr w:type="spellStart"/>
            <w:r w:rsidRPr="00FE06F0">
              <w:rPr>
                <w:rFonts w:eastAsiaTheme="minorEastAsia"/>
                <w:sz w:val="20"/>
                <w:szCs w:val="20"/>
                <w:lang w:eastAsia="ja-JP"/>
              </w:rPr>
              <w:t>anxiety</w:t>
            </w:r>
            <w:proofErr w:type="spellEnd"/>
            <w:r w:rsidRPr="00FE06F0">
              <w:rPr>
                <w:rFonts w:eastAsiaTheme="minorEastAsia"/>
                <w:sz w:val="20"/>
                <w:szCs w:val="20"/>
                <w:lang w:eastAsia="ja-JP"/>
              </w:rPr>
              <w:t xml:space="preserve"> </w:t>
            </w:r>
            <w:proofErr w:type="spellStart"/>
            <w:r w:rsidRPr="00FE06F0">
              <w:rPr>
                <w:rFonts w:eastAsiaTheme="minorEastAsia"/>
                <w:sz w:val="20"/>
                <w:szCs w:val="20"/>
                <w:lang w:eastAsia="ja-JP"/>
              </w:rPr>
              <w:t>disorder</w:t>
            </w:r>
            <w:proofErr w:type="spellEnd"/>
          </w:p>
        </w:tc>
        <w:tc>
          <w:tcPr>
            <w:tcW w:w="0" w:type="auto"/>
            <w:vAlign w:val="center"/>
          </w:tcPr>
          <w:p w14:paraId="58368F74" w14:textId="77777777" w:rsidR="00FE06F0" w:rsidRPr="00FE06F0" w:rsidRDefault="00FE06F0" w:rsidP="00FE06F0">
            <w:pPr>
              <w:rPr>
                <w:sz w:val="20"/>
                <w:szCs w:val="20"/>
                <w:lang w:eastAsia="ja-JP"/>
              </w:rPr>
            </w:pPr>
            <w:r w:rsidRPr="00FE06F0">
              <w:rPr>
                <w:sz w:val="20"/>
                <w:szCs w:val="20"/>
                <w:lang w:eastAsia="ja-JP"/>
              </w:rPr>
              <w:t>No</w:t>
            </w:r>
          </w:p>
        </w:tc>
        <w:tc>
          <w:tcPr>
            <w:tcW w:w="0" w:type="auto"/>
            <w:vAlign w:val="center"/>
          </w:tcPr>
          <w:p w14:paraId="402A3D37"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93.2</w:t>
            </w:r>
          </w:p>
        </w:tc>
        <w:tc>
          <w:tcPr>
            <w:tcW w:w="0" w:type="auto"/>
            <w:vAlign w:val="center"/>
          </w:tcPr>
          <w:p w14:paraId="2F7B4C49"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93.7</w:t>
            </w:r>
          </w:p>
        </w:tc>
        <w:tc>
          <w:tcPr>
            <w:tcW w:w="0" w:type="auto"/>
            <w:vAlign w:val="center"/>
          </w:tcPr>
          <w:p w14:paraId="282A562D"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87.3</w:t>
            </w:r>
          </w:p>
        </w:tc>
        <w:tc>
          <w:tcPr>
            <w:tcW w:w="0" w:type="auto"/>
            <w:vMerge w:val="restart"/>
          </w:tcPr>
          <w:p w14:paraId="7B38C506"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&lt;0.001</w:t>
            </w:r>
          </w:p>
        </w:tc>
      </w:tr>
      <w:tr w:rsidR="00FE06F0" w:rsidRPr="00FE06F0" w14:paraId="49BFE328" w14:textId="77777777" w:rsidTr="00570B12">
        <w:trPr>
          <w:jc w:val="center"/>
        </w:trPr>
        <w:tc>
          <w:tcPr>
            <w:tcW w:w="1419" w:type="dxa"/>
            <w:vMerge/>
          </w:tcPr>
          <w:p w14:paraId="24696FAD" w14:textId="77777777" w:rsidR="00FE06F0" w:rsidRPr="00FE06F0" w:rsidRDefault="00FE06F0" w:rsidP="00FE06F0">
            <w:pPr>
              <w:rPr>
                <w:rFonts w:eastAsiaTheme="minorEastAsia"/>
                <w:sz w:val="20"/>
                <w:szCs w:val="20"/>
                <w:lang w:eastAsia="ja-JP"/>
              </w:rPr>
            </w:pPr>
          </w:p>
        </w:tc>
        <w:tc>
          <w:tcPr>
            <w:tcW w:w="0" w:type="auto"/>
            <w:vAlign w:val="center"/>
          </w:tcPr>
          <w:p w14:paraId="7BEE0BF9" w14:textId="77777777" w:rsidR="00FE06F0" w:rsidRPr="00FE06F0" w:rsidRDefault="00FE06F0" w:rsidP="00FE06F0">
            <w:pPr>
              <w:rPr>
                <w:sz w:val="20"/>
                <w:szCs w:val="20"/>
                <w:lang w:eastAsia="ja-JP"/>
              </w:rPr>
            </w:pPr>
            <w:r w:rsidRPr="00FE06F0">
              <w:rPr>
                <w:sz w:val="20"/>
                <w:szCs w:val="20"/>
                <w:lang w:eastAsia="ja-JP"/>
              </w:rPr>
              <w:t>Yes</w:t>
            </w:r>
          </w:p>
        </w:tc>
        <w:tc>
          <w:tcPr>
            <w:tcW w:w="0" w:type="auto"/>
            <w:vAlign w:val="center"/>
          </w:tcPr>
          <w:p w14:paraId="764E3E46"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6.8</w:t>
            </w:r>
          </w:p>
        </w:tc>
        <w:tc>
          <w:tcPr>
            <w:tcW w:w="0" w:type="auto"/>
            <w:vAlign w:val="center"/>
          </w:tcPr>
          <w:p w14:paraId="32B7F625"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6.3</w:t>
            </w:r>
          </w:p>
        </w:tc>
        <w:tc>
          <w:tcPr>
            <w:tcW w:w="0" w:type="auto"/>
            <w:vAlign w:val="center"/>
          </w:tcPr>
          <w:p w14:paraId="566AC6E0"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12.7</w:t>
            </w:r>
          </w:p>
        </w:tc>
        <w:tc>
          <w:tcPr>
            <w:tcW w:w="0" w:type="auto"/>
            <w:vMerge/>
          </w:tcPr>
          <w:p w14:paraId="595C6C9F" w14:textId="77777777" w:rsidR="00FE06F0" w:rsidRPr="00FE06F0" w:rsidRDefault="00FE06F0" w:rsidP="00FE06F0">
            <w:pPr>
              <w:rPr>
                <w:rFonts w:eastAsiaTheme="minorEastAsia"/>
                <w:sz w:val="20"/>
                <w:szCs w:val="20"/>
                <w:lang w:eastAsia="ja-JP"/>
              </w:rPr>
            </w:pPr>
          </w:p>
        </w:tc>
      </w:tr>
      <w:tr w:rsidR="00FE06F0" w:rsidRPr="00FE06F0" w14:paraId="5F80C5A6" w14:textId="77777777" w:rsidTr="00570B12">
        <w:trPr>
          <w:jc w:val="center"/>
        </w:trPr>
        <w:tc>
          <w:tcPr>
            <w:tcW w:w="1419" w:type="dxa"/>
            <w:vMerge w:val="restart"/>
          </w:tcPr>
          <w:p w14:paraId="617A55BD" w14:textId="77777777" w:rsidR="00FE06F0" w:rsidRPr="00FE06F0" w:rsidRDefault="00FE06F0" w:rsidP="00FE06F0">
            <w:pPr>
              <w:rPr>
                <w:rFonts w:eastAsiaTheme="minorEastAsia"/>
                <w:sz w:val="20"/>
                <w:szCs w:val="20"/>
                <w:lang w:eastAsia="ja-JP"/>
              </w:rPr>
            </w:pPr>
            <w:proofErr w:type="spellStart"/>
            <w:r w:rsidRPr="00FE06F0">
              <w:rPr>
                <w:rFonts w:eastAsiaTheme="minorEastAsia"/>
                <w:sz w:val="20"/>
                <w:szCs w:val="20"/>
                <w:lang w:eastAsia="ja-JP"/>
              </w:rPr>
              <w:t>Sleep</w:t>
            </w:r>
            <w:proofErr w:type="spellEnd"/>
            <w:r w:rsidRPr="00FE06F0">
              <w:rPr>
                <w:rFonts w:eastAsiaTheme="minorEastAsia"/>
                <w:sz w:val="20"/>
                <w:szCs w:val="20"/>
                <w:lang w:eastAsia="ja-JP"/>
              </w:rPr>
              <w:t xml:space="preserve"> </w:t>
            </w:r>
            <w:proofErr w:type="spellStart"/>
            <w:r w:rsidRPr="00FE06F0">
              <w:rPr>
                <w:rFonts w:eastAsiaTheme="minorEastAsia"/>
                <w:sz w:val="20"/>
                <w:szCs w:val="20"/>
                <w:lang w:eastAsia="ja-JP"/>
              </w:rPr>
              <w:t>problems</w:t>
            </w:r>
            <w:proofErr w:type="spellEnd"/>
          </w:p>
        </w:tc>
        <w:tc>
          <w:tcPr>
            <w:tcW w:w="0" w:type="auto"/>
            <w:vAlign w:val="center"/>
          </w:tcPr>
          <w:p w14:paraId="2D381631" w14:textId="77777777" w:rsidR="00FE06F0" w:rsidRPr="00FE06F0" w:rsidRDefault="00FE06F0" w:rsidP="00FE06F0">
            <w:pPr>
              <w:rPr>
                <w:sz w:val="20"/>
                <w:szCs w:val="20"/>
                <w:lang w:eastAsia="ja-JP"/>
              </w:rPr>
            </w:pPr>
            <w:r w:rsidRPr="00FE06F0">
              <w:rPr>
                <w:sz w:val="20"/>
                <w:szCs w:val="20"/>
                <w:lang w:eastAsia="ja-JP"/>
              </w:rPr>
              <w:t>No</w:t>
            </w:r>
          </w:p>
        </w:tc>
        <w:tc>
          <w:tcPr>
            <w:tcW w:w="0" w:type="auto"/>
            <w:vAlign w:val="center"/>
          </w:tcPr>
          <w:p w14:paraId="5BB82A2B" w14:textId="77777777" w:rsidR="00FE06F0" w:rsidRPr="00FE06F0" w:rsidRDefault="00FE06F0" w:rsidP="00FE06F0">
            <w:pPr>
              <w:rPr>
                <w:sz w:val="20"/>
                <w:szCs w:val="20"/>
                <w:lang w:eastAsia="ja-JP"/>
              </w:rPr>
            </w:pPr>
            <w:r w:rsidRPr="00FE06F0">
              <w:rPr>
                <w:sz w:val="20"/>
                <w:szCs w:val="20"/>
                <w:lang w:eastAsia="ja-JP"/>
              </w:rPr>
              <w:t>57.6</w:t>
            </w:r>
          </w:p>
        </w:tc>
        <w:tc>
          <w:tcPr>
            <w:tcW w:w="0" w:type="auto"/>
            <w:vAlign w:val="center"/>
          </w:tcPr>
          <w:p w14:paraId="4336A1B1" w14:textId="77777777" w:rsidR="00FE06F0" w:rsidRPr="00FE06F0" w:rsidRDefault="00FE06F0" w:rsidP="00FE06F0">
            <w:pPr>
              <w:rPr>
                <w:sz w:val="20"/>
                <w:szCs w:val="20"/>
                <w:lang w:eastAsia="ja-JP"/>
              </w:rPr>
            </w:pPr>
            <w:r w:rsidRPr="00FE06F0">
              <w:rPr>
                <w:sz w:val="20"/>
                <w:szCs w:val="20"/>
                <w:lang w:eastAsia="ja-JP"/>
              </w:rPr>
              <w:t>58.5</w:t>
            </w:r>
          </w:p>
        </w:tc>
        <w:tc>
          <w:tcPr>
            <w:tcW w:w="0" w:type="auto"/>
            <w:vAlign w:val="center"/>
          </w:tcPr>
          <w:p w14:paraId="21E5D6A0" w14:textId="77777777" w:rsidR="00FE06F0" w:rsidRPr="00FE06F0" w:rsidRDefault="00FE06F0" w:rsidP="00FE06F0">
            <w:pPr>
              <w:rPr>
                <w:sz w:val="20"/>
                <w:szCs w:val="20"/>
                <w:lang w:eastAsia="ja-JP"/>
              </w:rPr>
            </w:pPr>
            <w:r w:rsidRPr="00FE06F0">
              <w:rPr>
                <w:sz w:val="20"/>
                <w:szCs w:val="20"/>
                <w:lang w:eastAsia="ja-JP"/>
              </w:rPr>
              <w:t>48.1</w:t>
            </w:r>
          </w:p>
        </w:tc>
        <w:tc>
          <w:tcPr>
            <w:tcW w:w="0" w:type="auto"/>
            <w:vMerge w:val="restart"/>
          </w:tcPr>
          <w:p w14:paraId="09676B01"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&lt;0.001</w:t>
            </w:r>
          </w:p>
        </w:tc>
      </w:tr>
      <w:tr w:rsidR="00FE06F0" w:rsidRPr="00FE06F0" w14:paraId="668511C3" w14:textId="77777777" w:rsidTr="00570B12">
        <w:trPr>
          <w:jc w:val="center"/>
        </w:trPr>
        <w:tc>
          <w:tcPr>
            <w:tcW w:w="1419" w:type="dxa"/>
            <w:vMerge/>
          </w:tcPr>
          <w:p w14:paraId="6A2B6BA9" w14:textId="77777777" w:rsidR="00FE06F0" w:rsidRPr="00FE06F0" w:rsidRDefault="00FE06F0" w:rsidP="00FE06F0">
            <w:pPr>
              <w:rPr>
                <w:rFonts w:eastAsiaTheme="minorEastAsia"/>
                <w:sz w:val="20"/>
                <w:szCs w:val="20"/>
                <w:lang w:eastAsia="ja-JP"/>
              </w:rPr>
            </w:pPr>
          </w:p>
        </w:tc>
        <w:tc>
          <w:tcPr>
            <w:tcW w:w="0" w:type="auto"/>
            <w:vAlign w:val="center"/>
          </w:tcPr>
          <w:p w14:paraId="1ECE23FD" w14:textId="77777777" w:rsidR="00FE06F0" w:rsidRPr="00FE06F0" w:rsidRDefault="00FE06F0" w:rsidP="00FE06F0">
            <w:pPr>
              <w:rPr>
                <w:sz w:val="20"/>
                <w:szCs w:val="20"/>
                <w:lang w:eastAsia="ja-JP"/>
              </w:rPr>
            </w:pPr>
            <w:r w:rsidRPr="00FE06F0">
              <w:rPr>
                <w:sz w:val="20"/>
                <w:szCs w:val="20"/>
                <w:lang w:eastAsia="ja-JP"/>
              </w:rPr>
              <w:t>Yes</w:t>
            </w:r>
          </w:p>
        </w:tc>
        <w:tc>
          <w:tcPr>
            <w:tcW w:w="0" w:type="auto"/>
            <w:vAlign w:val="center"/>
          </w:tcPr>
          <w:p w14:paraId="65476278" w14:textId="77777777" w:rsidR="00FE06F0" w:rsidRPr="00FE06F0" w:rsidRDefault="00FE06F0" w:rsidP="00FE06F0">
            <w:pPr>
              <w:rPr>
                <w:sz w:val="20"/>
                <w:szCs w:val="20"/>
                <w:lang w:eastAsia="ja-JP"/>
              </w:rPr>
            </w:pPr>
            <w:r w:rsidRPr="00FE06F0">
              <w:rPr>
                <w:sz w:val="20"/>
                <w:szCs w:val="20"/>
                <w:lang w:eastAsia="ja-JP"/>
              </w:rPr>
              <w:t>42.4</w:t>
            </w:r>
          </w:p>
        </w:tc>
        <w:tc>
          <w:tcPr>
            <w:tcW w:w="0" w:type="auto"/>
            <w:vAlign w:val="center"/>
          </w:tcPr>
          <w:p w14:paraId="7E999352" w14:textId="77777777" w:rsidR="00FE06F0" w:rsidRPr="00FE06F0" w:rsidRDefault="00FE06F0" w:rsidP="00FE06F0">
            <w:pPr>
              <w:rPr>
                <w:sz w:val="20"/>
                <w:szCs w:val="20"/>
                <w:lang w:eastAsia="ja-JP"/>
              </w:rPr>
            </w:pPr>
            <w:r w:rsidRPr="00FE06F0">
              <w:rPr>
                <w:sz w:val="20"/>
                <w:szCs w:val="20"/>
                <w:lang w:eastAsia="ja-JP"/>
              </w:rPr>
              <w:t>41.5</w:t>
            </w:r>
          </w:p>
        </w:tc>
        <w:tc>
          <w:tcPr>
            <w:tcW w:w="0" w:type="auto"/>
            <w:vAlign w:val="center"/>
          </w:tcPr>
          <w:p w14:paraId="64B5A90C" w14:textId="77777777" w:rsidR="00FE06F0" w:rsidRPr="00FE06F0" w:rsidRDefault="00FE06F0" w:rsidP="00FE06F0">
            <w:pPr>
              <w:rPr>
                <w:sz w:val="20"/>
                <w:szCs w:val="20"/>
                <w:lang w:eastAsia="ja-JP"/>
              </w:rPr>
            </w:pPr>
            <w:r w:rsidRPr="00FE06F0">
              <w:rPr>
                <w:sz w:val="20"/>
                <w:szCs w:val="20"/>
                <w:lang w:eastAsia="ja-JP"/>
              </w:rPr>
              <w:t>51.9</w:t>
            </w:r>
          </w:p>
        </w:tc>
        <w:tc>
          <w:tcPr>
            <w:tcW w:w="0" w:type="auto"/>
            <w:vMerge/>
          </w:tcPr>
          <w:p w14:paraId="28231FBB" w14:textId="77777777" w:rsidR="00FE06F0" w:rsidRPr="00FE06F0" w:rsidRDefault="00FE06F0" w:rsidP="00FE06F0">
            <w:pPr>
              <w:rPr>
                <w:rFonts w:eastAsiaTheme="minorEastAsia"/>
                <w:sz w:val="20"/>
                <w:szCs w:val="20"/>
                <w:lang w:eastAsia="ja-JP"/>
              </w:rPr>
            </w:pPr>
          </w:p>
        </w:tc>
      </w:tr>
      <w:tr w:rsidR="00FE06F0" w:rsidRPr="00FE06F0" w14:paraId="62B0CC1A" w14:textId="77777777" w:rsidTr="00570B12">
        <w:trPr>
          <w:jc w:val="center"/>
        </w:trPr>
        <w:tc>
          <w:tcPr>
            <w:tcW w:w="1419" w:type="dxa"/>
            <w:vMerge w:val="restart"/>
          </w:tcPr>
          <w:p w14:paraId="1A0754F6" w14:textId="77777777" w:rsidR="00FE06F0" w:rsidRPr="00FE06F0" w:rsidRDefault="00FE06F0" w:rsidP="00FE06F0">
            <w:pPr>
              <w:rPr>
                <w:rFonts w:eastAsiaTheme="minorEastAsia"/>
                <w:sz w:val="20"/>
                <w:szCs w:val="20"/>
                <w:lang w:eastAsia="ja-JP"/>
              </w:rPr>
            </w:pPr>
            <w:proofErr w:type="spellStart"/>
            <w:r w:rsidRPr="00FE06F0">
              <w:rPr>
                <w:rFonts w:eastAsiaTheme="minorEastAsia"/>
                <w:sz w:val="20"/>
                <w:szCs w:val="20"/>
                <w:lang w:eastAsia="ja-JP"/>
              </w:rPr>
              <w:t>Obesity</w:t>
            </w:r>
            <w:proofErr w:type="spellEnd"/>
          </w:p>
        </w:tc>
        <w:tc>
          <w:tcPr>
            <w:tcW w:w="0" w:type="auto"/>
            <w:vAlign w:val="center"/>
          </w:tcPr>
          <w:p w14:paraId="26532328" w14:textId="77777777" w:rsidR="00FE06F0" w:rsidRPr="00FE06F0" w:rsidRDefault="00FE06F0" w:rsidP="00FE06F0">
            <w:pPr>
              <w:rPr>
                <w:sz w:val="20"/>
                <w:szCs w:val="20"/>
                <w:lang w:eastAsia="ja-JP"/>
              </w:rPr>
            </w:pPr>
            <w:r w:rsidRPr="00FE06F0">
              <w:rPr>
                <w:sz w:val="20"/>
                <w:szCs w:val="20"/>
                <w:lang w:eastAsia="ja-JP"/>
              </w:rPr>
              <w:t>No</w:t>
            </w:r>
          </w:p>
        </w:tc>
        <w:tc>
          <w:tcPr>
            <w:tcW w:w="0" w:type="auto"/>
            <w:vAlign w:val="center"/>
          </w:tcPr>
          <w:p w14:paraId="5E787B70" w14:textId="77777777" w:rsidR="00FE06F0" w:rsidRPr="00FE06F0" w:rsidRDefault="00FE06F0" w:rsidP="00FE06F0">
            <w:pPr>
              <w:rPr>
                <w:sz w:val="20"/>
                <w:szCs w:val="20"/>
                <w:lang w:eastAsia="ja-JP"/>
              </w:rPr>
            </w:pPr>
            <w:r w:rsidRPr="00FE06F0">
              <w:rPr>
                <w:sz w:val="20"/>
                <w:szCs w:val="20"/>
                <w:lang w:eastAsia="ja-JP"/>
              </w:rPr>
              <w:t>83.2</w:t>
            </w:r>
          </w:p>
        </w:tc>
        <w:tc>
          <w:tcPr>
            <w:tcW w:w="0" w:type="auto"/>
            <w:vAlign w:val="center"/>
          </w:tcPr>
          <w:p w14:paraId="4F246395" w14:textId="77777777" w:rsidR="00FE06F0" w:rsidRPr="00FE06F0" w:rsidRDefault="00FE06F0" w:rsidP="00FE06F0">
            <w:pPr>
              <w:rPr>
                <w:sz w:val="20"/>
                <w:szCs w:val="20"/>
                <w:lang w:eastAsia="ja-JP"/>
              </w:rPr>
            </w:pPr>
            <w:r w:rsidRPr="00FE06F0">
              <w:rPr>
                <w:sz w:val="20"/>
                <w:szCs w:val="20"/>
                <w:lang w:eastAsia="ja-JP"/>
              </w:rPr>
              <w:t>83.1</w:t>
            </w:r>
          </w:p>
        </w:tc>
        <w:tc>
          <w:tcPr>
            <w:tcW w:w="0" w:type="auto"/>
            <w:vAlign w:val="center"/>
          </w:tcPr>
          <w:p w14:paraId="420D3A8C" w14:textId="77777777" w:rsidR="00FE06F0" w:rsidRPr="00FE06F0" w:rsidRDefault="00FE06F0" w:rsidP="00FE06F0">
            <w:pPr>
              <w:rPr>
                <w:sz w:val="20"/>
                <w:szCs w:val="20"/>
                <w:lang w:eastAsia="ja-JP"/>
              </w:rPr>
            </w:pPr>
            <w:r w:rsidRPr="00FE06F0">
              <w:rPr>
                <w:sz w:val="20"/>
                <w:szCs w:val="20"/>
                <w:lang w:eastAsia="ja-JP"/>
              </w:rPr>
              <w:t>84.7</w:t>
            </w:r>
          </w:p>
        </w:tc>
        <w:tc>
          <w:tcPr>
            <w:tcW w:w="0" w:type="auto"/>
            <w:vMerge w:val="restart"/>
          </w:tcPr>
          <w:p w14:paraId="108BEA86" w14:textId="77777777" w:rsidR="00FE06F0" w:rsidRPr="00FE06F0" w:rsidRDefault="00FE06F0" w:rsidP="00FE06F0">
            <w:pPr>
              <w:rPr>
                <w:rFonts w:eastAsiaTheme="minorEastAsia"/>
                <w:sz w:val="20"/>
                <w:szCs w:val="20"/>
                <w:lang w:eastAsia="ja-JP"/>
              </w:rPr>
            </w:pPr>
            <w:r w:rsidRPr="00FE06F0">
              <w:rPr>
                <w:rFonts w:eastAsiaTheme="minorEastAsia"/>
                <w:sz w:val="20"/>
                <w:szCs w:val="20"/>
                <w:lang w:eastAsia="ja-JP"/>
              </w:rPr>
              <w:t>0.406</w:t>
            </w:r>
          </w:p>
        </w:tc>
      </w:tr>
      <w:tr w:rsidR="00FE06F0" w:rsidRPr="00FE06F0" w14:paraId="1C6AAAC4" w14:textId="77777777" w:rsidTr="00570B12">
        <w:trPr>
          <w:jc w:val="center"/>
        </w:trPr>
        <w:tc>
          <w:tcPr>
            <w:tcW w:w="1419" w:type="dxa"/>
            <w:vMerge/>
          </w:tcPr>
          <w:p w14:paraId="3392EED7" w14:textId="77777777" w:rsidR="00FE06F0" w:rsidRPr="00FE06F0" w:rsidRDefault="00FE06F0" w:rsidP="00FE06F0">
            <w:pPr>
              <w:rPr>
                <w:rFonts w:eastAsiaTheme="minorEastAsia"/>
                <w:sz w:val="20"/>
                <w:szCs w:val="20"/>
                <w:lang w:eastAsia="ja-JP"/>
              </w:rPr>
            </w:pPr>
          </w:p>
        </w:tc>
        <w:tc>
          <w:tcPr>
            <w:tcW w:w="0" w:type="auto"/>
            <w:vAlign w:val="center"/>
          </w:tcPr>
          <w:p w14:paraId="26E18F70" w14:textId="77777777" w:rsidR="00FE06F0" w:rsidRPr="00FE06F0" w:rsidRDefault="00FE06F0" w:rsidP="00FE06F0">
            <w:pPr>
              <w:rPr>
                <w:sz w:val="20"/>
                <w:szCs w:val="20"/>
                <w:lang w:eastAsia="ja-JP"/>
              </w:rPr>
            </w:pPr>
            <w:r w:rsidRPr="00FE06F0">
              <w:rPr>
                <w:sz w:val="20"/>
                <w:szCs w:val="20"/>
                <w:lang w:eastAsia="ja-JP"/>
              </w:rPr>
              <w:t>Yes</w:t>
            </w:r>
          </w:p>
        </w:tc>
        <w:tc>
          <w:tcPr>
            <w:tcW w:w="0" w:type="auto"/>
            <w:vAlign w:val="center"/>
          </w:tcPr>
          <w:p w14:paraId="364893A7" w14:textId="77777777" w:rsidR="00FE06F0" w:rsidRPr="00FE06F0" w:rsidRDefault="00FE06F0" w:rsidP="00FE06F0">
            <w:pPr>
              <w:rPr>
                <w:sz w:val="20"/>
                <w:szCs w:val="20"/>
                <w:lang w:eastAsia="ja-JP"/>
              </w:rPr>
            </w:pPr>
            <w:r w:rsidRPr="00FE06F0">
              <w:rPr>
                <w:sz w:val="20"/>
                <w:szCs w:val="20"/>
                <w:lang w:eastAsia="ja-JP"/>
              </w:rPr>
              <w:t>16.8</w:t>
            </w:r>
          </w:p>
        </w:tc>
        <w:tc>
          <w:tcPr>
            <w:tcW w:w="0" w:type="auto"/>
            <w:vAlign w:val="center"/>
          </w:tcPr>
          <w:p w14:paraId="195550F3" w14:textId="77777777" w:rsidR="00FE06F0" w:rsidRPr="00FE06F0" w:rsidRDefault="00FE06F0" w:rsidP="00FE06F0">
            <w:pPr>
              <w:rPr>
                <w:sz w:val="20"/>
                <w:szCs w:val="20"/>
                <w:lang w:eastAsia="ja-JP"/>
              </w:rPr>
            </w:pPr>
            <w:r w:rsidRPr="00FE06F0">
              <w:rPr>
                <w:sz w:val="20"/>
                <w:szCs w:val="20"/>
                <w:lang w:eastAsia="ja-JP"/>
              </w:rPr>
              <w:t>16.9</w:t>
            </w:r>
          </w:p>
        </w:tc>
        <w:tc>
          <w:tcPr>
            <w:tcW w:w="0" w:type="auto"/>
            <w:vAlign w:val="center"/>
          </w:tcPr>
          <w:p w14:paraId="790F479A" w14:textId="77777777" w:rsidR="00FE06F0" w:rsidRPr="00FE06F0" w:rsidRDefault="00FE06F0" w:rsidP="00FE06F0">
            <w:pPr>
              <w:rPr>
                <w:sz w:val="20"/>
                <w:szCs w:val="20"/>
                <w:lang w:eastAsia="ja-JP"/>
              </w:rPr>
            </w:pPr>
            <w:r w:rsidRPr="00FE06F0">
              <w:rPr>
                <w:sz w:val="20"/>
                <w:szCs w:val="20"/>
                <w:lang w:eastAsia="ja-JP"/>
              </w:rPr>
              <w:t>15.3</w:t>
            </w:r>
          </w:p>
        </w:tc>
        <w:tc>
          <w:tcPr>
            <w:tcW w:w="0" w:type="auto"/>
            <w:vMerge/>
          </w:tcPr>
          <w:p w14:paraId="5A3ACA2B" w14:textId="77777777" w:rsidR="00FE06F0" w:rsidRPr="00FE06F0" w:rsidRDefault="00FE06F0" w:rsidP="00FE06F0">
            <w:pPr>
              <w:rPr>
                <w:rFonts w:eastAsiaTheme="minorEastAsia"/>
                <w:sz w:val="20"/>
                <w:szCs w:val="20"/>
                <w:lang w:eastAsia="ja-JP"/>
              </w:rPr>
            </w:pPr>
          </w:p>
        </w:tc>
      </w:tr>
    </w:tbl>
    <w:p w14:paraId="4325DE32" w14:textId="77777777" w:rsidR="00FE06F0" w:rsidRPr="00FE06F0" w:rsidRDefault="00FE06F0" w:rsidP="00FE06F0">
      <w:pPr>
        <w:jc w:val="both"/>
        <w:rPr>
          <w:rFonts w:eastAsiaTheme="minorEastAsia"/>
          <w:sz w:val="20"/>
          <w:szCs w:val="20"/>
          <w:lang w:val="en-US" w:eastAsia="ja-JP"/>
        </w:rPr>
      </w:pPr>
      <w:r w:rsidRPr="00FE06F0">
        <w:rPr>
          <w:rFonts w:eastAsiaTheme="minorEastAsia"/>
          <w:sz w:val="20"/>
          <w:szCs w:val="20"/>
          <w:lang w:val="en-US" w:eastAsia="ja-JP"/>
        </w:rPr>
        <w:t xml:space="preserve">Data are % unless otherwise stated. </w:t>
      </w:r>
    </w:p>
    <w:p w14:paraId="1EC9F876" w14:textId="77777777" w:rsidR="00FE06F0" w:rsidRPr="00FE06F0" w:rsidRDefault="00FE06F0" w:rsidP="00FE06F0">
      <w:pPr>
        <w:jc w:val="both"/>
        <w:rPr>
          <w:rFonts w:eastAsiaTheme="minorEastAsia"/>
          <w:sz w:val="20"/>
          <w:szCs w:val="20"/>
          <w:lang w:val="en-US" w:eastAsia="ja-JP"/>
        </w:rPr>
      </w:pPr>
      <w:proofErr w:type="spellStart"/>
      <w:r w:rsidRPr="00FE06F0">
        <w:rPr>
          <w:rFonts w:eastAsiaTheme="minorEastAsia"/>
          <w:sz w:val="20"/>
          <w:szCs w:val="20"/>
          <w:vertAlign w:val="superscript"/>
          <w:lang w:val="en-US" w:eastAsia="ja-JP"/>
        </w:rPr>
        <w:t>a</w:t>
      </w:r>
      <w:r w:rsidRPr="00FE06F0">
        <w:rPr>
          <w:rFonts w:eastAsiaTheme="minorEastAsia"/>
          <w:sz w:val="20"/>
          <w:szCs w:val="20"/>
          <w:lang w:val="en-US" w:eastAsia="ja-JP"/>
        </w:rPr>
        <w:t>Sexual</w:t>
      </w:r>
      <w:proofErr w:type="spellEnd"/>
      <w:r w:rsidRPr="00FE06F0">
        <w:rPr>
          <w:rFonts w:eastAsiaTheme="minorEastAsia"/>
          <w:sz w:val="20"/>
          <w:szCs w:val="20"/>
          <w:lang w:val="en-US" w:eastAsia="ja-JP"/>
        </w:rPr>
        <w:t xml:space="preserve"> orientation was a dichotomous variable, and participants were classified as heterosexual or sexual minority adults. </w:t>
      </w:r>
    </w:p>
    <w:p w14:paraId="454D879B" w14:textId="77777777" w:rsidR="00FE06F0" w:rsidRPr="00FE06F0" w:rsidRDefault="00FE06F0" w:rsidP="00FE06F0">
      <w:pPr>
        <w:jc w:val="both"/>
        <w:rPr>
          <w:rFonts w:eastAsiaTheme="minorEastAsia"/>
          <w:sz w:val="20"/>
          <w:szCs w:val="20"/>
          <w:lang w:val="en-US" w:eastAsia="ja-JP"/>
        </w:rPr>
      </w:pPr>
      <w:proofErr w:type="spellStart"/>
      <w:r w:rsidRPr="00FE06F0">
        <w:rPr>
          <w:rFonts w:eastAsiaTheme="minorEastAsia"/>
          <w:sz w:val="20"/>
          <w:szCs w:val="20"/>
          <w:vertAlign w:val="superscript"/>
          <w:lang w:val="en-US" w:eastAsia="ja-JP"/>
        </w:rPr>
        <w:t>b</w:t>
      </w:r>
      <w:r w:rsidRPr="00FE06F0">
        <w:rPr>
          <w:rFonts w:eastAsiaTheme="minorEastAsia"/>
          <w:sz w:val="20"/>
          <w:szCs w:val="20"/>
          <w:lang w:val="en-US" w:eastAsia="ja-JP"/>
        </w:rPr>
        <w:t>P</w:t>
      </w:r>
      <w:proofErr w:type="spellEnd"/>
      <w:r w:rsidRPr="00FE06F0">
        <w:rPr>
          <w:rFonts w:eastAsiaTheme="minorEastAsia"/>
          <w:sz w:val="20"/>
          <w:szCs w:val="20"/>
          <w:lang w:val="en-US" w:eastAsia="ja-JP"/>
        </w:rPr>
        <w:t xml:space="preserve">-values were based on Chi-squared tests except for age and the number of stressful life events (t-tests). </w:t>
      </w:r>
    </w:p>
    <w:p w14:paraId="4A581CC0" w14:textId="77777777" w:rsidR="00FE06F0" w:rsidRPr="00FE06F0" w:rsidRDefault="00FE06F0" w:rsidP="00FE06F0">
      <w:pPr>
        <w:rPr>
          <w:rFonts w:eastAsiaTheme="minorEastAsia"/>
          <w:sz w:val="20"/>
          <w:szCs w:val="20"/>
          <w:lang w:val="en-US" w:eastAsia="ja-JP"/>
        </w:rPr>
      </w:pPr>
      <w:r w:rsidRPr="00FE06F0">
        <w:rPr>
          <w:rFonts w:eastAsiaTheme="minorEastAsia"/>
          <w:sz w:val="20"/>
          <w:szCs w:val="20"/>
          <w:lang w:val="en-US" w:eastAsia="ja-JP"/>
        </w:rPr>
        <w:br w:type="page"/>
      </w:r>
    </w:p>
    <w:p w14:paraId="3153CA9E" w14:textId="77777777" w:rsidR="00FE06F0" w:rsidRPr="00FE06F0" w:rsidRDefault="00FE06F0" w:rsidP="00FE06F0">
      <w:pPr>
        <w:jc w:val="both"/>
        <w:rPr>
          <w:rFonts w:eastAsiaTheme="minorEastAsia"/>
          <w:sz w:val="20"/>
          <w:szCs w:val="20"/>
          <w:lang w:val="en-US" w:eastAsia="ja-JP"/>
        </w:rPr>
      </w:pPr>
    </w:p>
    <w:p w14:paraId="54F29AA2" w14:textId="77777777" w:rsidR="0090415D" w:rsidRDefault="00FE06F0" w:rsidP="0090415D">
      <w:pPr>
        <w:pStyle w:val="Heading1"/>
        <w:rPr>
          <w:lang w:val="en-US" w:eastAsia="ja-JP"/>
        </w:rPr>
      </w:pPr>
      <w:r w:rsidRPr="00FE06F0">
        <w:rPr>
          <w:lang w:val="en-US" w:eastAsia="ja-JP"/>
        </w:rPr>
        <w:t>Table 2</w:t>
      </w:r>
    </w:p>
    <w:p w14:paraId="7690D335" w14:textId="3FC0726D" w:rsidR="00FE06F0" w:rsidRPr="00FE06F0" w:rsidRDefault="00FE06F0" w:rsidP="00FE06F0">
      <w:pPr>
        <w:spacing w:line="360" w:lineRule="auto"/>
        <w:jc w:val="both"/>
        <w:rPr>
          <w:rFonts w:eastAsiaTheme="minorEastAsia"/>
          <w:color w:val="000000" w:themeColor="text1"/>
          <w:lang w:val="en-US" w:eastAsia="ja-JP"/>
        </w:rPr>
      </w:pPr>
      <w:r w:rsidRPr="00FE06F0">
        <w:rPr>
          <w:rFonts w:eastAsiaTheme="minorEastAsia"/>
          <w:color w:val="000000" w:themeColor="text1"/>
          <w:lang w:val="en-US" w:eastAsia="ja-JP"/>
        </w:rPr>
        <w:t>Associations between sexual orientation and subjective concentration and memory complaints</w:t>
      </w:r>
    </w:p>
    <w:tbl>
      <w:tblPr>
        <w:tblStyle w:val="TableGrid"/>
        <w:tblW w:w="0" w:type="auto"/>
        <w:tblLook w:val="04A0" w:firstRow="1" w:lastRow="0" w:firstColumn="1" w:lastColumn="0" w:noHBand="0" w:noVBand="1"/>
      </w:tblPr>
      <w:tblGrid>
        <w:gridCol w:w="3790"/>
        <w:gridCol w:w="1055"/>
        <w:gridCol w:w="2171"/>
        <w:gridCol w:w="1812"/>
      </w:tblGrid>
      <w:tr w:rsidR="00FE06F0" w:rsidRPr="00FE06F0" w14:paraId="6BD797B9" w14:textId="77777777" w:rsidTr="00570B12">
        <w:tc>
          <w:tcPr>
            <w:tcW w:w="0" w:type="auto"/>
          </w:tcPr>
          <w:p w14:paraId="2D0380DB" w14:textId="77777777" w:rsidR="00FE06F0" w:rsidRPr="00FE06F0" w:rsidRDefault="00FE06F0" w:rsidP="00FE06F0">
            <w:pPr>
              <w:spacing w:line="360" w:lineRule="auto"/>
              <w:rPr>
                <w:rFonts w:eastAsiaTheme="minorEastAsia"/>
                <w:color w:val="000000" w:themeColor="text1"/>
                <w:sz w:val="20"/>
                <w:szCs w:val="20"/>
                <w:lang w:eastAsia="ja-JP"/>
              </w:rPr>
            </w:pPr>
          </w:p>
        </w:tc>
        <w:tc>
          <w:tcPr>
            <w:tcW w:w="0" w:type="auto"/>
          </w:tcPr>
          <w:p w14:paraId="7A731AE9" w14:textId="77777777" w:rsidR="00FE06F0" w:rsidRPr="00FE06F0" w:rsidRDefault="00FE06F0" w:rsidP="00FE06F0">
            <w:pPr>
              <w:spacing w:line="360" w:lineRule="auto"/>
              <w:rPr>
                <w:rFonts w:eastAsiaTheme="minorEastAsia"/>
                <w:color w:val="000000" w:themeColor="text1"/>
                <w:sz w:val="20"/>
                <w:szCs w:val="20"/>
                <w:lang w:eastAsia="ja-JP"/>
              </w:rPr>
            </w:pPr>
            <w:proofErr w:type="spellStart"/>
            <w:r w:rsidRPr="00FE06F0">
              <w:rPr>
                <w:rFonts w:eastAsiaTheme="minorEastAsia"/>
                <w:color w:val="000000" w:themeColor="text1"/>
                <w:sz w:val="20"/>
                <w:szCs w:val="20"/>
                <w:lang w:eastAsia="ja-JP"/>
              </w:rPr>
              <w:t>Odds</w:t>
            </w:r>
            <w:proofErr w:type="spellEnd"/>
            <w:r w:rsidRPr="00FE06F0">
              <w:rPr>
                <w:rFonts w:eastAsiaTheme="minorEastAsia"/>
                <w:color w:val="000000" w:themeColor="text1"/>
                <w:sz w:val="20"/>
                <w:szCs w:val="20"/>
                <w:lang w:eastAsia="ja-JP"/>
              </w:rPr>
              <w:t xml:space="preserve"> ratio</w:t>
            </w:r>
          </w:p>
        </w:tc>
        <w:tc>
          <w:tcPr>
            <w:tcW w:w="0" w:type="auto"/>
          </w:tcPr>
          <w:p w14:paraId="2CDC562E"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95% confidence </w:t>
            </w:r>
            <w:proofErr w:type="spellStart"/>
            <w:r w:rsidRPr="00FE06F0">
              <w:rPr>
                <w:rFonts w:eastAsiaTheme="minorEastAsia"/>
                <w:color w:val="000000" w:themeColor="text1"/>
                <w:sz w:val="20"/>
                <w:szCs w:val="20"/>
                <w:lang w:eastAsia="ja-JP"/>
              </w:rPr>
              <w:t>interval</w:t>
            </w:r>
            <w:proofErr w:type="spellEnd"/>
          </w:p>
        </w:tc>
        <w:tc>
          <w:tcPr>
            <w:tcW w:w="0" w:type="auto"/>
          </w:tcPr>
          <w:p w14:paraId="1BE2EE2B"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Percent </w:t>
            </w:r>
            <w:proofErr w:type="spellStart"/>
            <w:r w:rsidRPr="00FE06F0">
              <w:rPr>
                <w:rFonts w:eastAsiaTheme="minorEastAsia"/>
                <w:color w:val="000000" w:themeColor="text1"/>
                <w:sz w:val="20"/>
                <w:szCs w:val="20"/>
                <w:lang w:eastAsia="ja-JP"/>
              </w:rPr>
              <w:t>attenuation</w:t>
            </w:r>
            <w:r w:rsidRPr="00FE06F0">
              <w:rPr>
                <w:rFonts w:eastAsiaTheme="minorEastAsia"/>
                <w:color w:val="000000" w:themeColor="text1"/>
                <w:sz w:val="20"/>
                <w:szCs w:val="20"/>
                <w:vertAlign w:val="superscript"/>
                <w:lang w:eastAsia="ja-JP"/>
              </w:rPr>
              <w:t>a</w:t>
            </w:r>
            <w:proofErr w:type="spellEnd"/>
          </w:p>
        </w:tc>
      </w:tr>
      <w:tr w:rsidR="00FE06F0" w:rsidRPr="00FE06F0" w14:paraId="01E52B80" w14:textId="77777777" w:rsidTr="00570B12">
        <w:tc>
          <w:tcPr>
            <w:tcW w:w="0" w:type="auto"/>
            <w:gridSpan w:val="4"/>
          </w:tcPr>
          <w:p w14:paraId="48E48593" w14:textId="77777777" w:rsidR="00FE06F0" w:rsidRPr="00FE06F0" w:rsidRDefault="00FE06F0" w:rsidP="00FE06F0">
            <w:pPr>
              <w:spacing w:line="360" w:lineRule="auto"/>
              <w:rPr>
                <w:rFonts w:eastAsiaTheme="minorEastAsia"/>
                <w:i/>
                <w:iCs/>
                <w:color w:val="000000" w:themeColor="text1"/>
                <w:sz w:val="20"/>
                <w:szCs w:val="20"/>
                <w:lang w:eastAsia="ja-JP"/>
              </w:rPr>
            </w:pPr>
            <w:r w:rsidRPr="00FE06F0">
              <w:rPr>
                <w:rFonts w:eastAsiaTheme="minorEastAsia"/>
                <w:i/>
                <w:iCs/>
                <w:color w:val="000000" w:themeColor="text1"/>
                <w:sz w:val="20"/>
                <w:szCs w:val="20"/>
                <w:lang w:eastAsia="ja-JP"/>
              </w:rPr>
              <w:t>Subjective concentration complaints</w:t>
            </w:r>
          </w:p>
        </w:tc>
      </w:tr>
      <w:tr w:rsidR="00FE06F0" w:rsidRPr="00FE06F0" w14:paraId="1E155721" w14:textId="77777777" w:rsidTr="00570B12">
        <w:tc>
          <w:tcPr>
            <w:tcW w:w="0" w:type="auto"/>
          </w:tcPr>
          <w:p w14:paraId="4FC291D5"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Base </w:t>
            </w:r>
            <w:proofErr w:type="spellStart"/>
            <w:r w:rsidRPr="00FE06F0">
              <w:rPr>
                <w:rFonts w:eastAsiaTheme="minorEastAsia"/>
                <w:color w:val="000000" w:themeColor="text1"/>
                <w:sz w:val="20"/>
                <w:szCs w:val="20"/>
                <w:lang w:eastAsia="ja-JP"/>
              </w:rPr>
              <w:t>model</w:t>
            </w:r>
            <w:r w:rsidRPr="00FE06F0">
              <w:rPr>
                <w:rFonts w:eastAsiaTheme="minorEastAsia"/>
                <w:color w:val="000000" w:themeColor="text1"/>
                <w:sz w:val="20"/>
                <w:szCs w:val="20"/>
                <w:vertAlign w:val="superscript"/>
                <w:lang w:eastAsia="ja-JP"/>
              </w:rPr>
              <w:t>b</w:t>
            </w:r>
            <w:proofErr w:type="spellEnd"/>
          </w:p>
        </w:tc>
        <w:tc>
          <w:tcPr>
            <w:tcW w:w="0" w:type="auto"/>
          </w:tcPr>
          <w:p w14:paraId="76618B65"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1.40</w:t>
            </w:r>
          </w:p>
        </w:tc>
        <w:tc>
          <w:tcPr>
            <w:tcW w:w="0" w:type="auto"/>
          </w:tcPr>
          <w:p w14:paraId="172D8B91"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[1.12-1.76]</w:t>
            </w:r>
          </w:p>
        </w:tc>
        <w:tc>
          <w:tcPr>
            <w:tcW w:w="0" w:type="auto"/>
          </w:tcPr>
          <w:p w14:paraId="4950067A"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 </w:t>
            </w:r>
          </w:p>
        </w:tc>
      </w:tr>
      <w:tr w:rsidR="00FE06F0" w:rsidRPr="00FE06F0" w14:paraId="0FF99544" w14:textId="77777777" w:rsidTr="00570B12">
        <w:tc>
          <w:tcPr>
            <w:tcW w:w="0" w:type="auto"/>
          </w:tcPr>
          <w:p w14:paraId="33BC5A8A"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Base model + smoking </w:t>
            </w:r>
            <w:proofErr w:type="spellStart"/>
            <w:r w:rsidRPr="00FE06F0">
              <w:rPr>
                <w:rFonts w:eastAsiaTheme="minorEastAsia"/>
                <w:color w:val="000000" w:themeColor="text1"/>
                <w:sz w:val="20"/>
                <w:szCs w:val="20"/>
                <w:lang w:eastAsia="ja-JP"/>
              </w:rPr>
              <w:t>status</w:t>
            </w:r>
            <w:proofErr w:type="spellEnd"/>
          </w:p>
        </w:tc>
        <w:tc>
          <w:tcPr>
            <w:tcW w:w="0" w:type="auto"/>
          </w:tcPr>
          <w:p w14:paraId="5BEA39E5"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1.39</w:t>
            </w:r>
          </w:p>
        </w:tc>
        <w:tc>
          <w:tcPr>
            <w:tcW w:w="0" w:type="auto"/>
          </w:tcPr>
          <w:p w14:paraId="43BBF742"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[1.11-1.75]</w:t>
            </w:r>
          </w:p>
        </w:tc>
        <w:tc>
          <w:tcPr>
            <w:tcW w:w="0" w:type="auto"/>
          </w:tcPr>
          <w:p w14:paraId="1D097C7D"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0.9</w:t>
            </w:r>
          </w:p>
        </w:tc>
      </w:tr>
      <w:tr w:rsidR="00FE06F0" w:rsidRPr="00FE06F0" w14:paraId="01BDD61E" w14:textId="77777777" w:rsidTr="00570B12">
        <w:tc>
          <w:tcPr>
            <w:tcW w:w="0" w:type="auto"/>
          </w:tcPr>
          <w:p w14:paraId="74DFFA9C"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Base model + </w:t>
            </w:r>
            <w:proofErr w:type="spellStart"/>
            <w:r w:rsidRPr="00FE06F0">
              <w:rPr>
                <w:rFonts w:eastAsiaTheme="minorEastAsia"/>
                <w:color w:val="000000" w:themeColor="text1"/>
                <w:sz w:val="20"/>
                <w:szCs w:val="20"/>
                <w:lang w:eastAsia="ja-JP"/>
              </w:rPr>
              <w:t>alcohol</w:t>
            </w:r>
            <w:proofErr w:type="spellEnd"/>
            <w:r w:rsidRPr="00FE06F0">
              <w:rPr>
                <w:rFonts w:eastAsiaTheme="minorEastAsia"/>
                <w:color w:val="000000" w:themeColor="text1"/>
                <w:sz w:val="20"/>
                <w:szCs w:val="20"/>
                <w:lang w:eastAsia="ja-JP"/>
              </w:rPr>
              <w:t xml:space="preserve"> </w:t>
            </w:r>
            <w:proofErr w:type="spellStart"/>
            <w:r w:rsidRPr="00FE06F0">
              <w:rPr>
                <w:rFonts w:eastAsiaTheme="minorEastAsia"/>
                <w:color w:val="000000" w:themeColor="text1"/>
                <w:sz w:val="20"/>
                <w:szCs w:val="20"/>
                <w:lang w:eastAsia="ja-JP"/>
              </w:rPr>
              <w:t>dependence</w:t>
            </w:r>
            <w:proofErr w:type="spellEnd"/>
          </w:p>
        </w:tc>
        <w:tc>
          <w:tcPr>
            <w:tcW w:w="0" w:type="auto"/>
          </w:tcPr>
          <w:p w14:paraId="4F9E399E"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1.33</w:t>
            </w:r>
          </w:p>
        </w:tc>
        <w:tc>
          <w:tcPr>
            <w:tcW w:w="0" w:type="auto"/>
          </w:tcPr>
          <w:p w14:paraId="0415417D"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[1.06-1.68]</w:t>
            </w:r>
          </w:p>
        </w:tc>
        <w:tc>
          <w:tcPr>
            <w:tcW w:w="0" w:type="auto"/>
          </w:tcPr>
          <w:p w14:paraId="3E7DF8C8"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5.0</w:t>
            </w:r>
          </w:p>
        </w:tc>
      </w:tr>
      <w:tr w:rsidR="00FE06F0" w:rsidRPr="00FE06F0" w14:paraId="657F369C" w14:textId="77777777" w:rsidTr="00570B12">
        <w:tc>
          <w:tcPr>
            <w:tcW w:w="0" w:type="auto"/>
          </w:tcPr>
          <w:p w14:paraId="6ACBFEFC"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Base model + </w:t>
            </w:r>
            <w:proofErr w:type="spellStart"/>
            <w:r w:rsidRPr="00FE06F0">
              <w:rPr>
                <w:rFonts w:eastAsiaTheme="minorEastAsia"/>
                <w:color w:val="000000" w:themeColor="text1"/>
                <w:sz w:val="20"/>
                <w:szCs w:val="20"/>
                <w:lang w:eastAsia="ja-JP"/>
              </w:rPr>
              <w:t>perceived</w:t>
            </w:r>
            <w:proofErr w:type="spellEnd"/>
            <w:r w:rsidRPr="00FE06F0">
              <w:rPr>
                <w:rFonts w:eastAsiaTheme="minorEastAsia"/>
                <w:color w:val="000000" w:themeColor="text1"/>
                <w:sz w:val="20"/>
                <w:szCs w:val="20"/>
                <w:lang w:eastAsia="ja-JP"/>
              </w:rPr>
              <w:t xml:space="preserve"> stress</w:t>
            </w:r>
          </w:p>
        </w:tc>
        <w:tc>
          <w:tcPr>
            <w:tcW w:w="0" w:type="auto"/>
          </w:tcPr>
          <w:p w14:paraId="2F01EB55"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1.31</w:t>
            </w:r>
          </w:p>
        </w:tc>
        <w:tc>
          <w:tcPr>
            <w:tcW w:w="0" w:type="auto"/>
          </w:tcPr>
          <w:p w14:paraId="77ADE7EE"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[1.03-1.65]</w:t>
            </w:r>
          </w:p>
        </w:tc>
        <w:tc>
          <w:tcPr>
            <w:tcW w:w="0" w:type="auto"/>
          </w:tcPr>
          <w:p w14:paraId="65A77D4F"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7.0</w:t>
            </w:r>
          </w:p>
        </w:tc>
      </w:tr>
      <w:tr w:rsidR="00FE06F0" w:rsidRPr="00FE06F0" w14:paraId="4B915976" w14:textId="77777777" w:rsidTr="00570B12">
        <w:tc>
          <w:tcPr>
            <w:tcW w:w="0" w:type="auto"/>
          </w:tcPr>
          <w:p w14:paraId="5C5EE2A0"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Base model + </w:t>
            </w:r>
            <w:proofErr w:type="spellStart"/>
            <w:r w:rsidRPr="00FE06F0">
              <w:rPr>
                <w:rFonts w:eastAsiaTheme="minorEastAsia"/>
                <w:color w:val="000000" w:themeColor="text1"/>
                <w:sz w:val="20"/>
                <w:szCs w:val="20"/>
                <w:lang w:eastAsia="ja-JP"/>
              </w:rPr>
              <w:t>number</w:t>
            </w:r>
            <w:proofErr w:type="spellEnd"/>
            <w:r w:rsidRPr="00FE06F0">
              <w:rPr>
                <w:rFonts w:eastAsiaTheme="minorEastAsia"/>
                <w:color w:val="000000" w:themeColor="text1"/>
                <w:sz w:val="20"/>
                <w:szCs w:val="20"/>
                <w:lang w:eastAsia="ja-JP"/>
              </w:rPr>
              <w:t xml:space="preserve"> of </w:t>
            </w:r>
            <w:proofErr w:type="spellStart"/>
            <w:r w:rsidRPr="00FE06F0">
              <w:rPr>
                <w:rFonts w:eastAsiaTheme="minorEastAsia"/>
                <w:color w:val="000000" w:themeColor="text1"/>
                <w:sz w:val="20"/>
                <w:szCs w:val="20"/>
                <w:lang w:eastAsia="ja-JP"/>
              </w:rPr>
              <w:t>stressful</w:t>
            </w:r>
            <w:proofErr w:type="spellEnd"/>
            <w:r w:rsidRPr="00FE06F0">
              <w:rPr>
                <w:rFonts w:eastAsiaTheme="minorEastAsia"/>
                <w:color w:val="000000" w:themeColor="text1"/>
                <w:sz w:val="20"/>
                <w:szCs w:val="20"/>
                <w:lang w:eastAsia="ja-JP"/>
              </w:rPr>
              <w:t xml:space="preserve"> life </w:t>
            </w:r>
            <w:proofErr w:type="spellStart"/>
            <w:r w:rsidRPr="00FE06F0">
              <w:rPr>
                <w:rFonts w:eastAsiaTheme="minorEastAsia"/>
                <w:color w:val="000000" w:themeColor="text1"/>
                <w:sz w:val="20"/>
                <w:szCs w:val="20"/>
                <w:lang w:eastAsia="ja-JP"/>
              </w:rPr>
              <w:t>events</w:t>
            </w:r>
            <w:proofErr w:type="spellEnd"/>
          </w:p>
        </w:tc>
        <w:tc>
          <w:tcPr>
            <w:tcW w:w="0" w:type="auto"/>
          </w:tcPr>
          <w:p w14:paraId="3F28F9CE"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1.22</w:t>
            </w:r>
          </w:p>
        </w:tc>
        <w:tc>
          <w:tcPr>
            <w:tcW w:w="0" w:type="auto"/>
          </w:tcPr>
          <w:p w14:paraId="220419F9"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[0.95-1.55]</w:t>
            </w:r>
          </w:p>
        </w:tc>
        <w:tc>
          <w:tcPr>
            <w:tcW w:w="0" w:type="auto"/>
          </w:tcPr>
          <w:p w14:paraId="12651989"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13.4</w:t>
            </w:r>
          </w:p>
        </w:tc>
      </w:tr>
      <w:tr w:rsidR="00FE06F0" w:rsidRPr="00FE06F0" w14:paraId="5CC5A8D2" w14:textId="77777777" w:rsidTr="00570B12">
        <w:tc>
          <w:tcPr>
            <w:tcW w:w="0" w:type="auto"/>
          </w:tcPr>
          <w:p w14:paraId="2221E2A7"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Base model + </w:t>
            </w:r>
            <w:proofErr w:type="spellStart"/>
            <w:r w:rsidRPr="00FE06F0">
              <w:rPr>
                <w:rFonts w:eastAsiaTheme="minorEastAsia"/>
                <w:color w:val="000000" w:themeColor="text1"/>
                <w:sz w:val="20"/>
                <w:szCs w:val="20"/>
                <w:lang w:eastAsia="ja-JP"/>
              </w:rPr>
              <w:t>depression</w:t>
            </w:r>
            <w:proofErr w:type="spellEnd"/>
          </w:p>
        </w:tc>
        <w:tc>
          <w:tcPr>
            <w:tcW w:w="0" w:type="auto"/>
          </w:tcPr>
          <w:p w14:paraId="0900F1E5"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1.34</w:t>
            </w:r>
          </w:p>
        </w:tc>
        <w:tc>
          <w:tcPr>
            <w:tcW w:w="0" w:type="auto"/>
          </w:tcPr>
          <w:p w14:paraId="044C8DC6"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[1.05-1.71]</w:t>
            </w:r>
          </w:p>
        </w:tc>
        <w:tc>
          <w:tcPr>
            <w:tcW w:w="0" w:type="auto"/>
          </w:tcPr>
          <w:p w14:paraId="07E7A586"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4.6</w:t>
            </w:r>
          </w:p>
        </w:tc>
      </w:tr>
      <w:tr w:rsidR="00FE06F0" w:rsidRPr="00FE06F0" w14:paraId="4E7CC56E" w14:textId="77777777" w:rsidTr="00570B12">
        <w:tc>
          <w:tcPr>
            <w:tcW w:w="0" w:type="auto"/>
          </w:tcPr>
          <w:p w14:paraId="25EA6166"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Base model + </w:t>
            </w:r>
            <w:proofErr w:type="spellStart"/>
            <w:r w:rsidRPr="00FE06F0">
              <w:rPr>
                <w:rFonts w:eastAsiaTheme="minorEastAsia"/>
                <w:color w:val="000000" w:themeColor="text1"/>
                <w:sz w:val="20"/>
                <w:szCs w:val="20"/>
                <w:lang w:eastAsia="ja-JP"/>
              </w:rPr>
              <w:t>any</w:t>
            </w:r>
            <w:proofErr w:type="spellEnd"/>
            <w:r w:rsidRPr="00FE06F0">
              <w:rPr>
                <w:rFonts w:eastAsiaTheme="minorEastAsia"/>
                <w:color w:val="000000" w:themeColor="text1"/>
                <w:sz w:val="20"/>
                <w:szCs w:val="20"/>
                <w:lang w:eastAsia="ja-JP"/>
              </w:rPr>
              <w:t xml:space="preserve"> </w:t>
            </w:r>
            <w:proofErr w:type="spellStart"/>
            <w:r w:rsidRPr="00FE06F0">
              <w:rPr>
                <w:rFonts w:eastAsiaTheme="minorEastAsia"/>
                <w:color w:val="000000" w:themeColor="text1"/>
                <w:sz w:val="20"/>
                <w:szCs w:val="20"/>
                <w:lang w:eastAsia="ja-JP"/>
              </w:rPr>
              <w:t>anxiety</w:t>
            </w:r>
            <w:proofErr w:type="spellEnd"/>
            <w:r w:rsidRPr="00FE06F0">
              <w:rPr>
                <w:rFonts w:eastAsiaTheme="minorEastAsia"/>
                <w:color w:val="000000" w:themeColor="text1"/>
                <w:sz w:val="20"/>
                <w:szCs w:val="20"/>
                <w:lang w:eastAsia="ja-JP"/>
              </w:rPr>
              <w:t xml:space="preserve"> </w:t>
            </w:r>
            <w:proofErr w:type="spellStart"/>
            <w:r w:rsidRPr="00FE06F0">
              <w:rPr>
                <w:rFonts w:eastAsiaTheme="minorEastAsia"/>
                <w:color w:val="000000" w:themeColor="text1"/>
                <w:sz w:val="20"/>
                <w:szCs w:val="20"/>
                <w:lang w:eastAsia="ja-JP"/>
              </w:rPr>
              <w:t>disorder</w:t>
            </w:r>
            <w:proofErr w:type="spellEnd"/>
          </w:p>
        </w:tc>
        <w:tc>
          <w:tcPr>
            <w:tcW w:w="0" w:type="auto"/>
          </w:tcPr>
          <w:p w14:paraId="2BA7491E"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1.25</w:t>
            </w:r>
          </w:p>
        </w:tc>
        <w:tc>
          <w:tcPr>
            <w:tcW w:w="0" w:type="auto"/>
          </w:tcPr>
          <w:p w14:paraId="4BACCD2E"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[0.98-1.59]</w:t>
            </w:r>
          </w:p>
        </w:tc>
        <w:tc>
          <w:tcPr>
            <w:tcW w:w="0" w:type="auto"/>
          </w:tcPr>
          <w:p w14:paraId="3F4829EA"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10.9</w:t>
            </w:r>
          </w:p>
        </w:tc>
      </w:tr>
      <w:tr w:rsidR="00FE06F0" w:rsidRPr="00FE06F0" w14:paraId="3E8368E8" w14:textId="77777777" w:rsidTr="00570B12">
        <w:tc>
          <w:tcPr>
            <w:tcW w:w="0" w:type="auto"/>
          </w:tcPr>
          <w:p w14:paraId="23AEFB7B"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Base model + </w:t>
            </w:r>
            <w:proofErr w:type="spellStart"/>
            <w:r w:rsidRPr="00FE06F0">
              <w:rPr>
                <w:rFonts w:eastAsiaTheme="minorEastAsia"/>
                <w:color w:val="000000" w:themeColor="text1"/>
                <w:sz w:val="20"/>
                <w:szCs w:val="20"/>
                <w:lang w:eastAsia="ja-JP"/>
              </w:rPr>
              <w:t>sleep</w:t>
            </w:r>
            <w:proofErr w:type="spellEnd"/>
            <w:r w:rsidRPr="00FE06F0">
              <w:rPr>
                <w:rFonts w:eastAsiaTheme="minorEastAsia"/>
                <w:color w:val="000000" w:themeColor="text1"/>
                <w:sz w:val="20"/>
                <w:szCs w:val="20"/>
                <w:lang w:eastAsia="ja-JP"/>
              </w:rPr>
              <w:t xml:space="preserve"> </w:t>
            </w:r>
            <w:proofErr w:type="spellStart"/>
            <w:r w:rsidRPr="00FE06F0">
              <w:rPr>
                <w:rFonts w:eastAsiaTheme="minorEastAsia"/>
                <w:color w:val="000000" w:themeColor="text1"/>
                <w:sz w:val="20"/>
                <w:szCs w:val="20"/>
                <w:lang w:eastAsia="ja-JP"/>
              </w:rPr>
              <w:t>problems</w:t>
            </w:r>
            <w:proofErr w:type="spellEnd"/>
          </w:p>
        </w:tc>
        <w:tc>
          <w:tcPr>
            <w:tcW w:w="0" w:type="auto"/>
          </w:tcPr>
          <w:p w14:paraId="0AF27474"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1.25</w:t>
            </w:r>
          </w:p>
        </w:tc>
        <w:tc>
          <w:tcPr>
            <w:tcW w:w="0" w:type="auto"/>
          </w:tcPr>
          <w:p w14:paraId="126A46A8"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[0.98-1.60]</w:t>
            </w:r>
          </w:p>
        </w:tc>
        <w:tc>
          <w:tcPr>
            <w:tcW w:w="0" w:type="auto"/>
          </w:tcPr>
          <w:p w14:paraId="12255D92"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11.0</w:t>
            </w:r>
          </w:p>
        </w:tc>
      </w:tr>
      <w:tr w:rsidR="00FE06F0" w:rsidRPr="00FE06F0" w14:paraId="461631FD" w14:textId="77777777" w:rsidTr="00570B12">
        <w:tc>
          <w:tcPr>
            <w:tcW w:w="0" w:type="auto"/>
          </w:tcPr>
          <w:p w14:paraId="525C4EF7"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 xml:space="preserve">Base model + </w:t>
            </w:r>
            <w:proofErr w:type="spellStart"/>
            <w:r w:rsidRPr="00FE06F0">
              <w:rPr>
                <w:rFonts w:eastAsiaTheme="minorEastAsia"/>
                <w:color w:val="000000" w:themeColor="text1"/>
                <w:sz w:val="20"/>
                <w:szCs w:val="20"/>
                <w:lang w:eastAsia="ja-JP"/>
              </w:rPr>
              <w:t>obesity</w:t>
            </w:r>
            <w:proofErr w:type="spellEnd"/>
          </w:p>
        </w:tc>
        <w:tc>
          <w:tcPr>
            <w:tcW w:w="0" w:type="auto"/>
          </w:tcPr>
          <w:p w14:paraId="3A4E4CE5"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1.41</w:t>
            </w:r>
          </w:p>
        </w:tc>
        <w:tc>
          <w:tcPr>
            <w:tcW w:w="0" w:type="auto"/>
          </w:tcPr>
          <w:p w14:paraId="68E8CDFF"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[1.12-1.76]</w:t>
            </w:r>
          </w:p>
        </w:tc>
        <w:tc>
          <w:tcPr>
            <w:tcW w:w="0" w:type="auto"/>
          </w:tcPr>
          <w:p w14:paraId="4633A38D" w14:textId="77777777" w:rsidR="00FE06F0" w:rsidRPr="00FE06F0" w:rsidRDefault="00FE06F0" w:rsidP="00FE06F0">
            <w:pPr>
              <w:spacing w:line="360" w:lineRule="auto"/>
              <w:rPr>
                <w:rFonts w:eastAsiaTheme="minorEastAsia"/>
                <w:color w:val="000000" w:themeColor="text1"/>
                <w:sz w:val="20"/>
                <w:szCs w:val="20"/>
                <w:lang w:eastAsia="ja-JP"/>
              </w:rPr>
            </w:pPr>
            <w:proofErr w:type="spellStart"/>
            <w:r w:rsidRPr="00FE06F0">
              <w:rPr>
                <w:rFonts w:eastAsiaTheme="minorEastAsia"/>
                <w:color w:val="000000" w:themeColor="text1"/>
                <w:sz w:val="20"/>
                <w:szCs w:val="20"/>
                <w:lang w:eastAsia="ja-JP"/>
              </w:rPr>
              <w:t>NA</w:t>
            </w:r>
            <w:r w:rsidRPr="00FE06F0">
              <w:rPr>
                <w:rFonts w:eastAsiaTheme="minorEastAsia"/>
                <w:color w:val="000000" w:themeColor="text1"/>
                <w:sz w:val="20"/>
                <w:szCs w:val="20"/>
                <w:vertAlign w:val="superscript"/>
                <w:lang w:eastAsia="ja-JP"/>
              </w:rPr>
              <w:t>c</w:t>
            </w:r>
            <w:proofErr w:type="spellEnd"/>
          </w:p>
        </w:tc>
      </w:tr>
      <w:tr w:rsidR="00FE06F0" w:rsidRPr="00FE06F0" w14:paraId="5B28AAC8" w14:textId="77777777" w:rsidTr="00570B12">
        <w:tc>
          <w:tcPr>
            <w:tcW w:w="0" w:type="auto"/>
          </w:tcPr>
          <w:p w14:paraId="5C88819D" w14:textId="77777777" w:rsidR="00FE06F0" w:rsidRPr="00FE06F0" w:rsidRDefault="00FE06F0" w:rsidP="00FE06F0">
            <w:pPr>
              <w:spacing w:line="360" w:lineRule="auto"/>
              <w:rPr>
                <w:rFonts w:eastAsiaTheme="minorEastAsia"/>
                <w:color w:val="000000" w:themeColor="text1"/>
                <w:sz w:val="20"/>
                <w:szCs w:val="20"/>
                <w:lang w:eastAsia="ja-JP"/>
              </w:rPr>
            </w:pPr>
            <w:proofErr w:type="spellStart"/>
            <w:r w:rsidRPr="00FE06F0">
              <w:rPr>
                <w:rFonts w:eastAsiaTheme="minorEastAsia"/>
                <w:color w:val="000000" w:themeColor="text1"/>
                <w:sz w:val="20"/>
                <w:szCs w:val="20"/>
                <w:lang w:eastAsia="ja-JP"/>
              </w:rPr>
              <w:t>Fully</w:t>
            </w:r>
            <w:proofErr w:type="spellEnd"/>
            <w:r w:rsidRPr="00FE06F0">
              <w:rPr>
                <w:rFonts w:eastAsiaTheme="minorEastAsia"/>
                <w:color w:val="000000" w:themeColor="text1"/>
                <w:sz w:val="20"/>
                <w:szCs w:val="20"/>
                <w:lang w:eastAsia="ja-JP"/>
              </w:rPr>
              <w:t xml:space="preserve"> </w:t>
            </w:r>
            <w:proofErr w:type="spellStart"/>
            <w:r w:rsidRPr="00FE06F0">
              <w:rPr>
                <w:rFonts w:eastAsiaTheme="minorEastAsia"/>
                <w:color w:val="000000" w:themeColor="text1"/>
                <w:sz w:val="20"/>
                <w:szCs w:val="20"/>
                <w:lang w:eastAsia="ja-JP"/>
              </w:rPr>
              <w:t>adjusted</w:t>
            </w:r>
            <w:proofErr w:type="spellEnd"/>
            <w:r w:rsidRPr="00FE06F0">
              <w:rPr>
                <w:rFonts w:eastAsiaTheme="minorEastAsia"/>
                <w:color w:val="000000" w:themeColor="text1"/>
                <w:sz w:val="20"/>
                <w:szCs w:val="20"/>
                <w:lang w:eastAsia="ja-JP"/>
              </w:rPr>
              <w:t xml:space="preserve"> </w:t>
            </w:r>
            <w:proofErr w:type="spellStart"/>
            <w:r w:rsidRPr="00FE06F0">
              <w:rPr>
                <w:rFonts w:eastAsiaTheme="minorEastAsia"/>
                <w:color w:val="000000" w:themeColor="text1"/>
                <w:sz w:val="20"/>
                <w:szCs w:val="20"/>
                <w:lang w:eastAsia="ja-JP"/>
              </w:rPr>
              <w:t>model</w:t>
            </w:r>
            <w:r w:rsidRPr="00FE06F0">
              <w:rPr>
                <w:rFonts w:eastAsiaTheme="minorEastAsia"/>
                <w:color w:val="000000" w:themeColor="text1"/>
                <w:sz w:val="20"/>
                <w:szCs w:val="20"/>
                <w:vertAlign w:val="superscript"/>
                <w:lang w:eastAsia="ja-JP"/>
              </w:rPr>
              <w:t>d</w:t>
            </w:r>
            <w:proofErr w:type="spellEnd"/>
          </w:p>
        </w:tc>
        <w:tc>
          <w:tcPr>
            <w:tcW w:w="0" w:type="auto"/>
          </w:tcPr>
          <w:p w14:paraId="7BE1418B"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0.99</w:t>
            </w:r>
          </w:p>
        </w:tc>
        <w:tc>
          <w:tcPr>
            <w:tcW w:w="0" w:type="auto"/>
          </w:tcPr>
          <w:p w14:paraId="0B9C65B7"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[0.75-1.30]</w:t>
            </w:r>
          </w:p>
        </w:tc>
        <w:tc>
          <w:tcPr>
            <w:tcW w:w="0" w:type="auto"/>
          </w:tcPr>
          <w:p w14:paraId="09F6C678"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29.6</w:t>
            </w:r>
          </w:p>
        </w:tc>
      </w:tr>
      <w:tr w:rsidR="00FE06F0" w:rsidRPr="00FE06F0" w14:paraId="4371DC00" w14:textId="77777777" w:rsidTr="00570B12">
        <w:tc>
          <w:tcPr>
            <w:tcW w:w="0" w:type="auto"/>
            <w:gridSpan w:val="4"/>
          </w:tcPr>
          <w:p w14:paraId="422C958B" w14:textId="77777777" w:rsidR="00FE06F0" w:rsidRPr="00FE06F0" w:rsidRDefault="00FE06F0" w:rsidP="00FE06F0">
            <w:pPr>
              <w:spacing w:line="360" w:lineRule="auto"/>
              <w:rPr>
                <w:rFonts w:eastAsiaTheme="minorEastAsia"/>
                <w:i/>
                <w:iCs/>
                <w:color w:val="000000" w:themeColor="text1"/>
                <w:sz w:val="20"/>
                <w:szCs w:val="20"/>
                <w:lang w:eastAsia="ja-JP"/>
              </w:rPr>
            </w:pPr>
            <w:r w:rsidRPr="00FE06F0">
              <w:rPr>
                <w:rFonts w:eastAsiaTheme="minorEastAsia"/>
                <w:i/>
                <w:iCs/>
                <w:color w:val="000000" w:themeColor="text1"/>
                <w:sz w:val="20"/>
                <w:szCs w:val="20"/>
                <w:lang w:eastAsia="ja-JP"/>
              </w:rPr>
              <w:t>Subjective memory complaints</w:t>
            </w:r>
          </w:p>
        </w:tc>
      </w:tr>
      <w:tr w:rsidR="00FE06F0" w:rsidRPr="00FE06F0" w14:paraId="7364B31B" w14:textId="77777777" w:rsidTr="00570B12">
        <w:tc>
          <w:tcPr>
            <w:tcW w:w="0" w:type="auto"/>
          </w:tcPr>
          <w:p w14:paraId="0211B210"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Base model</w:t>
            </w:r>
          </w:p>
        </w:tc>
        <w:tc>
          <w:tcPr>
            <w:tcW w:w="0" w:type="auto"/>
          </w:tcPr>
          <w:p w14:paraId="7BE8BCEA"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1.19</w:t>
            </w:r>
          </w:p>
        </w:tc>
        <w:tc>
          <w:tcPr>
            <w:tcW w:w="0" w:type="auto"/>
          </w:tcPr>
          <w:p w14:paraId="2AA46A8D" w14:textId="77777777" w:rsidR="00FE06F0" w:rsidRPr="00FE06F0" w:rsidRDefault="00FE06F0" w:rsidP="00FE06F0">
            <w:pPr>
              <w:spacing w:line="360" w:lineRule="auto"/>
              <w:rPr>
                <w:rFonts w:eastAsiaTheme="minorEastAsia"/>
                <w:color w:val="000000" w:themeColor="text1"/>
                <w:sz w:val="20"/>
                <w:szCs w:val="20"/>
                <w:lang w:eastAsia="ja-JP"/>
              </w:rPr>
            </w:pPr>
            <w:r w:rsidRPr="00FE06F0">
              <w:rPr>
                <w:rFonts w:eastAsiaTheme="minorEastAsia"/>
                <w:color w:val="000000" w:themeColor="text1"/>
                <w:sz w:val="20"/>
                <w:szCs w:val="20"/>
                <w:lang w:eastAsia="ja-JP"/>
              </w:rPr>
              <w:t>[0.96-1.47]</w:t>
            </w:r>
          </w:p>
        </w:tc>
        <w:tc>
          <w:tcPr>
            <w:tcW w:w="0" w:type="auto"/>
          </w:tcPr>
          <w:p w14:paraId="00987247" w14:textId="77777777" w:rsidR="00FE06F0" w:rsidRPr="00FE06F0" w:rsidRDefault="00FE06F0" w:rsidP="00FE06F0">
            <w:pPr>
              <w:spacing w:line="360" w:lineRule="auto"/>
              <w:rPr>
                <w:rFonts w:eastAsiaTheme="minorEastAsia"/>
                <w:color w:val="000000" w:themeColor="text1"/>
                <w:sz w:val="20"/>
                <w:szCs w:val="20"/>
                <w:lang w:eastAsia="ja-JP"/>
              </w:rPr>
            </w:pPr>
          </w:p>
        </w:tc>
      </w:tr>
    </w:tbl>
    <w:p w14:paraId="7937FE2E" w14:textId="77777777" w:rsidR="00FE06F0" w:rsidRPr="00FE06F0" w:rsidRDefault="00FE06F0" w:rsidP="00FE06F0">
      <w:pPr>
        <w:jc w:val="both"/>
        <w:rPr>
          <w:rFonts w:eastAsiaTheme="minorEastAsia"/>
          <w:sz w:val="20"/>
          <w:szCs w:val="20"/>
          <w:lang w:val="en-US" w:eastAsia="ja-JP"/>
        </w:rPr>
      </w:pPr>
      <w:r w:rsidRPr="00FE06F0">
        <w:rPr>
          <w:rFonts w:eastAsiaTheme="minorEastAsia"/>
          <w:sz w:val="20"/>
          <w:szCs w:val="20"/>
          <w:lang w:val="en-US" w:eastAsia="ja-JP"/>
        </w:rPr>
        <w:t xml:space="preserve">Abbreviations: BMI body mass index; WHO World Health Organization. </w:t>
      </w:r>
    </w:p>
    <w:p w14:paraId="741F1B53" w14:textId="77777777" w:rsidR="00FE06F0" w:rsidRPr="00FE06F0" w:rsidRDefault="00FE06F0" w:rsidP="00FE06F0">
      <w:pPr>
        <w:jc w:val="both"/>
        <w:rPr>
          <w:rFonts w:eastAsiaTheme="minorEastAsia"/>
          <w:sz w:val="20"/>
          <w:szCs w:val="20"/>
          <w:lang w:val="en-US" w:eastAsia="ja-JP"/>
        </w:rPr>
      </w:pPr>
      <w:r w:rsidRPr="00FE06F0">
        <w:rPr>
          <w:rFonts w:eastAsiaTheme="minorEastAsia"/>
          <w:sz w:val="20"/>
          <w:szCs w:val="20"/>
          <w:lang w:val="en-US" w:eastAsia="ja-JP"/>
        </w:rPr>
        <w:t xml:space="preserve">Sexual orientation was a dichotomous variable, and participants were classified as heterosexual or sexual minority adults. </w:t>
      </w:r>
    </w:p>
    <w:p w14:paraId="68683FA7" w14:textId="77777777" w:rsidR="00FE06F0" w:rsidRPr="00FE06F0" w:rsidRDefault="00FE06F0" w:rsidP="00FE06F0">
      <w:pPr>
        <w:jc w:val="both"/>
        <w:rPr>
          <w:rFonts w:eastAsiaTheme="minorEastAsia"/>
          <w:sz w:val="20"/>
          <w:szCs w:val="20"/>
          <w:lang w:val="en-US" w:eastAsia="ja-JP"/>
        </w:rPr>
      </w:pPr>
      <w:r w:rsidRPr="00FE06F0">
        <w:rPr>
          <w:rFonts w:eastAsiaTheme="minorEastAsia"/>
          <w:sz w:val="20"/>
          <w:szCs w:val="20"/>
          <w:lang w:val="en-US" w:eastAsia="ja-JP"/>
        </w:rPr>
        <w:t>BMI was calculated as self-reported weight divided by squared self-reported height. Obesity was defined as BMI ≥30 kg/m</w:t>
      </w:r>
      <w:r w:rsidRPr="00FE06F0">
        <w:rPr>
          <w:rFonts w:eastAsiaTheme="minorEastAsia"/>
          <w:sz w:val="20"/>
          <w:szCs w:val="20"/>
          <w:vertAlign w:val="superscript"/>
          <w:lang w:val="en-US" w:eastAsia="ja-JP"/>
        </w:rPr>
        <w:t>2</w:t>
      </w:r>
      <w:r w:rsidRPr="00FE06F0">
        <w:rPr>
          <w:rFonts w:eastAsiaTheme="minorEastAsia"/>
          <w:sz w:val="20"/>
          <w:szCs w:val="20"/>
          <w:lang w:val="en-US" w:eastAsia="ja-JP"/>
        </w:rPr>
        <w:t xml:space="preserve"> following the standard WHO definition. </w:t>
      </w:r>
    </w:p>
    <w:p w14:paraId="025ED74B" w14:textId="77777777" w:rsidR="00FE06F0" w:rsidRPr="00FE06F0" w:rsidRDefault="00FE06F0" w:rsidP="00FE06F0">
      <w:pPr>
        <w:jc w:val="both"/>
        <w:rPr>
          <w:rFonts w:eastAsiaTheme="minorEastAsia"/>
          <w:sz w:val="20"/>
          <w:szCs w:val="20"/>
          <w:lang w:val="en-US" w:eastAsia="ja-JP"/>
        </w:rPr>
      </w:pPr>
      <w:r w:rsidRPr="00FE06F0">
        <w:rPr>
          <w:rFonts w:eastAsiaTheme="minorEastAsia"/>
          <w:sz w:val="20"/>
          <w:szCs w:val="20"/>
          <w:vertAlign w:val="superscript"/>
          <w:lang w:val="en-US" w:eastAsia="ja-JP"/>
        </w:rPr>
        <w:t>a</w:t>
      </w:r>
      <w:r w:rsidRPr="00FE06F0">
        <w:rPr>
          <w:rFonts w:eastAsiaTheme="minorEastAsia"/>
          <w:sz w:val="20"/>
          <w:szCs w:val="20"/>
          <w:lang w:val="en-US" w:eastAsia="ja-JP"/>
        </w:rPr>
        <w:t xml:space="preserve"> Percent attenuation in the </w:t>
      </w:r>
      <w:proofErr w:type="spellStart"/>
      <w:r w:rsidRPr="00FE06F0">
        <w:rPr>
          <w:rFonts w:eastAsiaTheme="minorEastAsia"/>
          <w:sz w:val="20"/>
          <w:szCs w:val="20"/>
          <w:lang w:val="en-US" w:eastAsia="ja-JP"/>
        </w:rPr>
        <w:t>log</w:t>
      </w:r>
      <w:proofErr w:type="spellEnd"/>
      <w:r w:rsidRPr="00FE06F0">
        <w:rPr>
          <w:rFonts w:eastAsiaTheme="minorEastAsia"/>
          <w:sz w:val="20"/>
          <w:szCs w:val="20"/>
          <w:lang w:val="en-US" w:eastAsia="ja-JP"/>
        </w:rPr>
        <w:t xml:space="preserve"> odds when the variable or group of variables were added to the base model. </w:t>
      </w:r>
    </w:p>
    <w:p w14:paraId="0B7601C3" w14:textId="77777777" w:rsidR="00FE06F0" w:rsidRPr="00FE06F0" w:rsidRDefault="00FE06F0" w:rsidP="00FE06F0">
      <w:pPr>
        <w:jc w:val="both"/>
        <w:rPr>
          <w:rFonts w:eastAsiaTheme="minorEastAsia"/>
          <w:sz w:val="20"/>
          <w:szCs w:val="20"/>
          <w:lang w:val="en-US" w:eastAsia="ja-JP"/>
        </w:rPr>
      </w:pPr>
      <w:r w:rsidRPr="00FE06F0">
        <w:rPr>
          <w:rFonts w:eastAsiaTheme="minorEastAsia"/>
          <w:sz w:val="20"/>
          <w:szCs w:val="20"/>
          <w:vertAlign w:val="superscript"/>
          <w:lang w:val="en-US" w:eastAsia="ja-JP"/>
        </w:rPr>
        <w:t>b</w:t>
      </w:r>
      <w:r w:rsidRPr="00FE06F0">
        <w:rPr>
          <w:rFonts w:eastAsiaTheme="minorEastAsia"/>
          <w:sz w:val="20"/>
          <w:szCs w:val="20"/>
          <w:lang w:val="en-US" w:eastAsia="ja-JP"/>
        </w:rPr>
        <w:t xml:space="preserve"> </w:t>
      </w:r>
      <w:proofErr w:type="gramStart"/>
      <w:r w:rsidRPr="00FE06F0">
        <w:rPr>
          <w:rFonts w:eastAsiaTheme="minorEastAsia"/>
          <w:sz w:val="20"/>
          <w:szCs w:val="20"/>
          <w:lang w:val="en-US" w:eastAsia="ja-JP"/>
        </w:rPr>
        <w:t>The</w:t>
      </w:r>
      <w:proofErr w:type="gramEnd"/>
      <w:r w:rsidRPr="00FE06F0">
        <w:rPr>
          <w:rFonts w:eastAsiaTheme="minorEastAsia"/>
          <w:sz w:val="20"/>
          <w:szCs w:val="20"/>
          <w:lang w:val="en-US" w:eastAsia="ja-JP"/>
        </w:rPr>
        <w:t xml:space="preserve"> base model was adjusted for sex, age, ethnicity, marital status, education, employment, and income. </w:t>
      </w:r>
    </w:p>
    <w:p w14:paraId="492E3B15" w14:textId="77777777" w:rsidR="00FE06F0" w:rsidRPr="00FE06F0" w:rsidRDefault="00FE06F0" w:rsidP="00FE06F0">
      <w:pPr>
        <w:jc w:val="both"/>
        <w:rPr>
          <w:rFonts w:eastAsiaTheme="minorEastAsia"/>
          <w:sz w:val="20"/>
          <w:szCs w:val="20"/>
          <w:lang w:val="en-US" w:eastAsia="ja-JP"/>
        </w:rPr>
      </w:pPr>
      <w:r w:rsidRPr="00FE06F0">
        <w:rPr>
          <w:rFonts w:eastAsiaTheme="minorEastAsia"/>
          <w:sz w:val="20"/>
          <w:szCs w:val="20"/>
          <w:vertAlign w:val="superscript"/>
          <w:lang w:val="en-US" w:eastAsia="ja-JP"/>
        </w:rPr>
        <w:t>c</w:t>
      </w:r>
      <w:r w:rsidRPr="00FE06F0">
        <w:rPr>
          <w:rFonts w:eastAsiaTheme="minorEastAsia"/>
          <w:sz w:val="20"/>
          <w:szCs w:val="20"/>
          <w:lang w:val="en-US" w:eastAsia="ja-JP"/>
        </w:rPr>
        <w:t xml:space="preserve"> Percent attenuation was not estimated when no decrease in the odds ratio was observed. </w:t>
      </w:r>
    </w:p>
    <w:p w14:paraId="0D9D69AB" w14:textId="77777777" w:rsidR="00FE06F0" w:rsidRPr="00FE06F0" w:rsidRDefault="00FE06F0" w:rsidP="00FE06F0">
      <w:pPr>
        <w:jc w:val="both"/>
        <w:rPr>
          <w:rFonts w:eastAsiaTheme="minorEastAsia"/>
          <w:color w:val="000000" w:themeColor="text1"/>
          <w:lang w:val="en-US" w:eastAsia="ja-JP"/>
        </w:rPr>
      </w:pPr>
      <w:r w:rsidRPr="00FE06F0">
        <w:rPr>
          <w:rFonts w:eastAsiaTheme="minorEastAsia"/>
          <w:sz w:val="20"/>
          <w:szCs w:val="20"/>
          <w:vertAlign w:val="superscript"/>
          <w:lang w:val="en-US" w:eastAsia="ja-JP"/>
        </w:rPr>
        <w:t>d</w:t>
      </w:r>
      <w:r w:rsidRPr="00FE06F0">
        <w:rPr>
          <w:rFonts w:eastAsiaTheme="minorEastAsia"/>
          <w:sz w:val="20"/>
          <w:szCs w:val="20"/>
          <w:lang w:val="en-US" w:eastAsia="ja-JP"/>
        </w:rPr>
        <w:t xml:space="preserve"> </w:t>
      </w:r>
      <w:proofErr w:type="gramStart"/>
      <w:r w:rsidRPr="00FE06F0">
        <w:rPr>
          <w:rFonts w:eastAsiaTheme="minorEastAsia"/>
          <w:sz w:val="20"/>
          <w:szCs w:val="20"/>
          <w:lang w:val="en-US" w:eastAsia="ja-JP"/>
        </w:rPr>
        <w:t>The</w:t>
      </w:r>
      <w:proofErr w:type="gramEnd"/>
      <w:r w:rsidRPr="00FE06F0">
        <w:rPr>
          <w:rFonts w:eastAsiaTheme="minorEastAsia"/>
          <w:sz w:val="20"/>
          <w:szCs w:val="20"/>
          <w:lang w:val="en-US" w:eastAsia="ja-JP"/>
        </w:rPr>
        <w:t xml:space="preserve"> fully adjusted model was adjusted for sex, age, ethnicity, marital status, education, employment, income, smoking status, alcohol dependence, perceived stress, the number of stressful life events, depression, any anxiety disorder, sleep problems, and obesity. </w:t>
      </w:r>
    </w:p>
    <w:p w14:paraId="1FC718E1" w14:textId="03253821" w:rsidR="00FE06F0" w:rsidRDefault="00FE06F0" w:rsidP="001011A2">
      <w:pPr>
        <w:rPr>
          <w:b/>
          <w:bCs/>
          <w:lang w:val="en-US"/>
        </w:rPr>
      </w:pPr>
    </w:p>
    <w:p w14:paraId="45E7010F" w14:textId="488BA8F4" w:rsidR="00FE06F0" w:rsidRDefault="00FE06F0" w:rsidP="001011A2">
      <w:pPr>
        <w:rPr>
          <w:b/>
          <w:bCs/>
          <w:lang w:val="en-US"/>
        </w:rPr>
      </w:pPr>
    </w:p>
    <w:p w14:paraId="30DD7BFF" w14:textId="0E2D59C2" w:rsidR="00FE06F0" w:rsidRDefault="00FE06F0" w:rsidP="001011A2">
      <w:pPr>
        <w:rPr>
          <w:b/>
          <w:bCs/>
          <w:lang w:val="en-US"/>
        </w:rPr>
      </w:pPr>
    </w:p>
    <w:p w14:paraId="7CD919FA" w14:textId="5FB82F99" w:rsidR="00FE06F0" w:rsidRDefault="00FE06F0" w:rsidP="001011A2">
      <w:pPr>
        <w:rPr>
          <w:b/>
          <w:bCs/>
          <w:lang w:val="en-US"/>
        </w:rPr>
      </w:pPr>
    </w:p>
    <w:p w14:paraId="3806F5FF" w14:textId="1DAB2A68" w:rsidR="00FE06F0" w:rsidRDefault="00FE06F0" w:rsidP="001011A2">
      <w:pPr>
        <w:rPr>
          <w:b/>
          <w:bCs/>
          <w:lang w:val="en-US"/>
        </w:rPr>
      </w:pPr>
    </w:p>
    <w:p w14:paraId="4A868C9B" w14:textId="025D278B" w:rsidR="00FE06F0" w:rsidRDefault="00FE06F0" w:rsidP="001011A2">
      <w:pPr>
        <w:rPr>
          <w:b/>
          <w:bCs/>
          <w:lang w:val="en-US"/>
        </w:rPr>
      </w:pPr>
    </w:p>
    <w:p w14:paraId="4AC2B239" w14:textId="797F98BB" w:rsidR="00FE06F0" w:rsidRDefault="00FE06F0" w:rsidP="001011A2">
      <w:pPr>
        <w:rPr>
          <w:b/>
          <w:bCs/>
          <w:lang w:val="en-US"/>
        </w:rPr>
      </w:pPr>
    </w:p>
    <w:p w14:paraId="2F132DBA" w14:textId="52A92DE1" w:rsidR="00FE06F0" w:rsidRDefault="00FE06F0" w:rsidP="001011A2">
      <w:pPr>
        <w:rPr>
          <w:b/>
          <w:bCs/>
          <w:lang w:val="en-US"/>
        </w:rPr>
      </w:pPr>
    </w:p>
    <w:p w14:paraId="3F51E076" w14:textId="1CC8251F" w:rsidR="00FE06F0" w:rsidRDefault="00FE06F0" w:rsidP="001011A2">
      <w:pPr>
        <w:rPr>
          <w:b/>
          <w:bCs/>
          <w:lang w:val="en-US"/>
        </w:rPr>
      </w:pPr>
    </w:p>
    <w:p w14:paraId="4544CAB6" w14:textId="3BC7E714" w:rsidR="00FE06F0" w:rsidRDefault="00FE06F0" w:rsidP="001011A2">
      <w:pPr>
        <w:rPr>
          <w:b/>
          <w:bCs/>
          <w:lang w:val="en-US"/>
        </w:rPr>
      </w:pPr>
    </w:p>
    <w:p w14:paraId="7EF8BC89" w14:textId="43666385" w:rsidR="00FE06F0" w:rsidRDefault="00FE06F0" w:rsidP="001011A2">
      <w:pPr>
        <w:rPr>
          <w:b/>
          <w:bCs/>
          <w:lang w:val="en-US"/>
        </w:rPr>
      </w:pPr>
    </w:p>
    <w:p w14:paraId="4A04B75D" w14:textId="1493A24C" w:rsidR="00FE06F0" w:rsidRDefault="00FE06F0" w:rsidP="001011A2">
      <w:pPr>
        <w:rPr>
          <w:b/>
          <w:bCs/>
          <w:lang w:val="en-US"/>
        </w:rPr>
      </w:pPr>
    </w:p>
    <w:p w14:paraId="7EC5F7FA" w14:textId="60F8B36D" w:rsidR="00FE06F0" w:rsidRDefault="00FE06F0" w:rsidP="001011A2">
      <w:pPr>
        <w:rPr>
          <w:b/>
          <w:bCs/>
          <w:lang w:val="en-US"/>
        </w:rPr>
      </w:pPr>
    </w:p>
    <w:p w14:paraId="4008358A" w14:textId="779A095A" w:rsidR="00FE06F0" w:rsidRDefault="00FE06F0" w:rsidP="001011A2">
      <w:pPr>
        <w:rPr>
          <w:b/>
          <w:bCs/>
          <w:lang w:val="en-US"/>
        </w:rPr>
      </w:pPr>
    </w:p>
    <w:p w14:paraId="6B65B7B4" w14:textId="34F66347" w:rsidR="00FE06F0" w:rsidRDefault="00FE06F0" w:rsidP="001011A2">
      <w:pPr>
        <w:rPr>
          <w:b/>
          <w:bCs/>
          <w:lang w:val="en-US"/>
        </w:rPr>
      </w:pPr>
    </w:p>
    <w:p w14:paraId="6B4B7561" w14:textId="3C4634CB" w:rsidR="00FE06F0" w:rsidRDefault="00FE06F0" w:rsidP="001011A2">
      <w:pPr>
        <w:rPr>
          <w:b/>
          <w:bCs/>
          <w:lang w:val="en-US"/>
        </w:rPr>
      </w:pPr>
    </w:p>
    <w:p w14:paraId="6C641EA5" w14:textId="21BB7DEE" w:rsidR="00FE06F0" w:rsidRDefault="00FE06F0" w:rsidP="001011A2">
      <w:pPr>
        <w:rPr>
          <w:b/>
          <w:bCs/>
          <w:lang w:val="en-US"/>
        </w:rPr>
      </w:pPr>
    </w:p>
    <w:p w14:paraId="30DAC870" w14:textId="2FA4E258" w:rsidR="00FE06F0" w:rsidRDefault="00FE06F0" w:rsidP="001011A2">
      <w:pPr>
        <w:rPr>
          <w:b/>
          <w:bCs/>
          <w:lang w:val="en-US"/>
        </w:rPr>
      </w:pPr>
    </w:p>
    <w:p w14:paraId="638C1C03" w14:textId="2480118F" w:rsidR="00FE06F0" w:rsidRDefault="00FE06F0" w:rsidP="001011A2">
      <w:pPr>
        <w:rPr>
          <w:b/>
          <w:bCs/>
          <w:lang w:val="en-US"/>
        </w:rPr>
      </w:pPr>
    </w:p>
    <w:p w14:paraId="230462F2" w14:textId="77777777" w:rsidR="00FE06F0" w:rsidRPr="00FE06F0" w:rsidRDefault="00FE06F0" w:rsidP="00FE06F0">
      <w:pPr>
        <w:spacing w:line="360" w:lineRule="auto"/>
        <w:rPr>
          <w:rFonts w:eastAsiaTheme="minorHAnsi"/>
          <w:lang w:val="en-US" w:eastAsia="en-US"/>
        </w:rPr>
      </w:pPr>
      <w:r w:rsidRPr="00FE06F0">
        <w:rPr>
          <w:rFonts w:asciiTheme="minorHAnsi" w:eastAsiaTheme="minorHAnsi" w:hAnsiTheme="minorHAnsi" w:cstheme="minorBidi"/>
          <w:noProof/>
          <w:lang w:val="en-GB" w:eastAsia="en-GB"/>
        </w:rPr>
        <w:drawing>
          <wp:inline distT="0" distB="0" distL="0" distR="0" wp14:anchorId="5FF509A2" wp14:editId="4CE4EA74">
            <wp:extent cx="4584700" cy="2755900"/>
            <wp:effectExtent l="0" t="0" r="0" b="0"/>
            <wp:docPr id="1" name="Imag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igure 1"/>
                    <pic:cNvPicPr/>
                  </pic:nvPicPr>
                  <pic:blipFill>
                    <a:blip r:embed="rId15"/>
                    <a:stretch>
                      <a:fillRect/>
                    </a:stretch>
                  </pic:blipFill>
                  <pic:spPr>
                    <a:xfrm>
                      <a:off x="0" y="0"/>
                      <a:ext cx="4584700" cy="2755900"/>
                    </a:xfrm>
                    <a:prstGeom prst="rect">
                      <a:avLst/>
                    </a:prstGeom>
                  </pic:spPr>
                </pic:pic>
              </a:graphicData>
            </a:graphic>
          </wp:inline>
        </w:drawing>
      </w:r>
    </w:p>
    <w:p w14:paraId="662FF8E8" w14:textId="77777777" w:rsidR="0090415D" w:rsidRDefault="00FE06F0" w:rsidP="0090415D">
      <w:pPr>
        <w:pStyle w:val="Heading1"/>
        <w:rPr>
          <w:lang w:val="en-US" w:eastAsia="en-US"/>
        </w:rPr>
      </w:pPr>
      <w:r w:rsidRPr="00FE06F0">
        <w:rPr>
          <w:lang w:val="en-US" w:eastAsia="en-US"/>
        </w:rPr>
        <w:t>Figure 1</w:t>
      </w:r>
    </w:p>
    <w:p w14:paraId="7A549DAD" w14:textId="72DEBE1B" w:rsidR="00FE06F0" w:rsidRPr="00FE06F0" w:rsidRDefault="00FE06F0" w:rsidP="00FE06F0">
      <w:pPr>
        <w:spacing w:line="360" w:lineRule="auto"/>
        <w:jc w:val="both"/>
        <w:rPr>
          <w:rFonts w:eastAsiaTheme="minorHAnsi"/>
          <w:color w:val="000000" w:themeColor="text1"/>
          <w:lang w:val="en-US" w:eastAsia="en-US"/>
        </w:rPr>
      </w:pPr>
      <w:r w:rsidRPr="00FE06F0">
        <w:rPr>
          <w:rFonts w:eastAsiaTheme="minorHAnsi"/>
          <w:color w:val="000000" w:themeColor="text1"/>
          <w:lang w:val="en-US" w:eastAsia="en-US"/>
        </w:rPr>
        <w:t>Prevalence of subjective concentration and memory complaints in the overall population and by sexual orientation</w:t>
      </w:r>
    </w:p>
    <w:p w14:paraId="1B31E5CB" w14:textId="77777777" w:rsidR="00FE06F0" w:rsidRPr="00FE06F0" w:rsidRDefault="00FE06F0" w:rsidP="00FE06F0">
      <w:pPr>
        <w:jc w:val="both"/>
        <w:rPr>
          <w:rFonts w:eastAsiaTheme="minorHAnsi"/>
          <w:color w:val="000000" w:themeColor="text1"/>
          <w:sz w:val="20"/>
          <w:szCs w:val="20"/>
          <w:lang w:val="en-US" w:eastAsia="en-US"/>
        </w:rPr>
      </w:pPr>
      <w:r w:rsidRPr="00FE06F0">
        <w:rPr>
          <w:rFonts w:eastAsiaTheme="minorHAnsi"/>
          <w:color w:val="000000" w:themeColor="text1"/>
          <w:sz w:val="20"/>
          <w:szCs w:val="20"/>
          <w:lang w:val="en-US" w:eastAsia="en-US"/>
        </w:rPr>
        <w:t>Subjective concentration and memory complaints were assessed with the two following questions: “In the past month, have you had any problems with concentrating on what you were doing?” (concentration) and “Have you noticed any problems with forgetting things in the past month?” (memory).</w:t>
      </w:r>
    </w:p>
    <w:p w14:paraId="64495E9B" w14:textId="77777777" w:rsidR="00FE06F0" w:rsidRPr="00FE06F0" w:rsidRDefault="00FE06F0" w:rsidP="00FE06F0">
      <w:pPr>
        <w:jc w:val="both"/>
        <w:rPr>
          <w:rFonts w:eastAsiaTheme="minorHAnsi"/>
          <w:sz w:val="20"/>
          <w:szCs w:val="20"/>
          <w:lang w:val="en-US" w:eastAsia="en-US"/>
        </w:rPr>
      </w:pPr>
      <w:r w:rsidRPr="00FE06F0">
        <w:rPr>
          <w:rFonts w:eastAsiaTheme="minorHAnsi"/>
          <w:sz w:val="20"/>
          <w:szCs w:val="20"/>
          <w:lang w:val="en-US" w:eastAsia="en-US"/>
        </w:rPr>
        <w:t xml:space="preserve">Sexual orientation was a dichotomous variable, and participants were classified as heterosexual or sexual minority adults. </w:t>
      </w:r>
    </w:p>
    <w:p w14:paraId="6DBF538C" w14:textId="77777777" w:rsidR="00FE06F0" w:rsidRPr="00FE06F0" w:rsidRDefault="00FE06F0" w:rsidP="00FE06F0">
      <w:pPr>
        <w:jc w:val="both"/>
        <w:rPr>
          <w:rFonts w:eastAsiaTheme="minorHAnsi"/>
          <w:sz w:val="20"/>
          <w:szCs w:val="20"/>
          <w:lang w:val="en-US" w:eastAsia="en-US"/>
        </w:rPr>
      </w:pPr>
      <w:r w:rsidRPr="00FE06F0">
        <w:rPr>
          <w:rFonts w:eastAsiaTheme="minorHAnsi"/>
          <w:sz w:val="20"/>
          <w:szCs w:val="20"/>
          <w:lang w:val="en-US" w:eastAsia="en-US"/>
        </w:rPr>
        <w:t>The prevalence of subjective concentration and memory complaints was compared between heterosexual and sexual minority individuals using Chi-squared tests, and subjective concentration complaints were significantly more frequent in the sexual minority than in the heterosexual group (p-value&lt;0.001).</w:t>
      </w:r>
    </w:p>
    <w:p w14:paraId="258F7CAA" w14:textId="45D99533" w:rsidR="00FE06F0" w:rsidRPr="00DB151B" w:rsidRDefault="00FE06F0" w:rsidP="001011A2">
      <w:pPr>
        <w:rPr>
          <w:b/>
          <w:bCs/>
          <w:lang w:val="en-US"/>
        </w:rPr>
      </w:pPr>
    </w:p>
    <w:sectPr w:rsidR="00FE06F0" w:rsidRPr="00DB151B" w:rsidSect="005A5CA4">
      <w:footerReference w:type="even" r:id="rId16"/>
      <w:footerReference w:type="default" r:id="rId1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66935" w14:textId="77777777" w:rsidR="00AB0BAB" w:rsidRDefault="00AB0BAB" w:rsidP="006B4EE5">
      <w:r>
        <w:separator/>
      </w:r>
    </w:p>
  </w:endnote>
  <w:endnote w:type="continuationSeparator" w:id="0">
    <w:p w14:paraId="77FDD04D" w14:textId="77777777" w:rsidR="00AB0BAB" w:rsidRDefault="00AB0BAB" w:rsidP="006B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99263397"/>
      <w:docPartObj>
        <w:docPartGallery w:val="Page Numbers (Bottom of Page)"/>
        <w:docPartUnique/>
      </w:docPartObj>
    </w:sdtPr>
    <w:sdtEndPr>
      <w:rPr>
        <w:rStyle w:val="PageNumber"/>
      </w:rPr>
    </w:sdtEndPr>
    <w:sdtContent>
      <w:p w14:paraId="4645794D" w14:textId="4D115276" w:rsidR="001A53F4" w:rsidRDefault="001A53F4" w:rsidP="001A53F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645CB6" w14:textId="77777777" w:rsidR="001A53F4" w:rsidRDefault="001A53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Times New Roman" w:hAnsi="Times New Roman" w:cs="Times New Roman"/>
      </w:rPr>
      <w:id w:val="-491264690"/>
      <w:docPartObj>
        <w:docPartGallery w:val="Page Numbers (Bottom of Page)"/>
        <w:docPartUnique/>
      </w:docPartObj>
    </w:sdtPr>
    <w:sdtEndPr>
      <w:rPr>
        <w:rStyle w:val="PageNumber"/>
      </w:rPr>
    </w:sdtEndPr>
    <w:sdtContent>
      <w:p w14:paraId="091B87E3" w14:textId="754475C2" w:rsidR="001A53F4" w:rsidRPr="006B4EE5" w:rsidRDefault="001A53F4" w:rsidP="001A53F4">
        <w:pPr>
          <w:pStyle w:val="Footer"/>
          <w:framePr w:wrap="none" w:vAnchor="text" w:hAnchor="margin" w:xAlign="center" w:y="1"/>
          <w:rPr>
            <w:rStyle w:val="PageNumber"/>
            <w:rFonts w:ascii="Times New Roman" w:hAnsi="Times New Roman" w:cs="Times New Roman"/>
          </w:rPr>
        </w:pPr>
        <w:r w:rsidRPr="006B4EE5">
          <w:rPr>
            <w:rStyle w:val="PageNumber"/>
            <w:rFonts w:ascii="Times New Roman" w:hAnsi="Times New Roman" w:cs="Times New Roman"/>
          </w:rPr>
          <w:fldChar w:fldCharType="begin"/>
        </w:r>
        <w:r w:rsidRPr="006B4EE5">
          <w:rPr>
            <w:rStyle w:val="PageNumber"/>
            <w:rFonts w:ascii="Times New Roman" w:hAnsi="Times New Roman" w:cs="Times New Roman"/>
          </w:rPr>
          <w:instrText xml:space="preserve"> PAGE </w:instrText>
        </w:r>
        <w:r w:rsidRPr="006B4EE5">
          <w:rPr>
            <w:rStyle w:val="PageNumber"/>
            <w:rFonts w:ascii="Times New Roman" w:hAnsi="Times New Roman" w:cs="Times New Roman"/>
          </w:rPr>
          <w:fldChar w:fldCharType="separate"/>
        </w:r>
        <w:r w:rsidR="00FE06F0">
          <w:rPr>
            <w:rStyle w:val="PageNumber"/>
            <w:rFonts w:ascii="Times New Roman" w:hAnsi="Times New Roman" w:cs="Times New Roman"/>
            <w:noProof/>
          </w:rPr>
          <w:t>1</w:t>
        </w:r>
        <w:r w:rsidRPr="006B4EE5">
          <w:rPr>
            <w:rStyle w:val="PageNumber"/>
            <w:rFonts w:ascii="Times New Roman" w:hAnsi="Times New Roman" w:cs="Times New Roman"/>
          </w:rPr>
          <w:fldChar w:fldCharType="end"/>
        </w:r>
      </w:p>
    </w:sdtContent>
  </w:sdt>
  <w:p w14:paraId="1998770A" w14:textId="77777777" w:rsidR="001A53F4" w:rsidRDefault="001A5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56916" w14:textId="77777777" w:rsidR="00AB0BAB" w:rsidRDefault="00AB0BAB" w:rsidP="006B4EE5">
      <w:r>
        <w:separator/>
      </w:r>
    </w:p>
  </w:footnote>
  <w:footnote w:type="continuationSeparator" w:id="0">
    <w:p w14:paraId="2DBD40CA" w14:textId="77777777" w:rsidR="00AB0BAB" w:rsidRDefault="00AB0BAB" w:rsidP="006B4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3DF8"/>
    <w:multiLevelType w:val="multilevel"/>
    <w:tmpl w:val="4A74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80346"/>
    <w:multiLevelType w:val="multilevel"/>
    <w:tmpl w:val="8E804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63F8D"/>
    <w:multiLevelType w:val="multilevel"/>
    <w:tmpl w:val="8E62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471369"/>
    <w:multiLevelType w:val="multilevel"/>
    <w:tmpl w:val="CBE2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8D0F7D"/>
    <w:multiLevelType w:val="hybridMultilevel"/>
    <w:tmpl w:val="36688C92"/>
    <w:lvl w:ilvl="0" w:tplc="EC40F762">
      <w:start w:val="6"/>
      <w:numFmt w:val="bullet"/>
      <w:lvlText w:val=""/>
      <w:lvlJc w:val="left"/>
      <w:pPr>
        <w:ind w:left="760" w:hanging="360"/>
      </w:pPr>
      <w:rPr>
        <w:rFonts w:ascii="Wingdings" w:eastAsia="Gulim" w:hAnsi="Wingdings" w:cs="Segoe U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36812778"/>
    <w:multiLevelType w:val="multilevel"/>
    <w:tmpl w:val="D3F88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AD2403"/>
    <w:multiLevelType w:val="multilevel"/>
    <w:tmpl w:val="84320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2D2E71"/>
    <w:multiLevelType w:val="multilevel"/>
    <w:tmpl w:val="AB9A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8A4F28"/>
    <w:multiLevelType w:val="multilevel"/>
    <w:tmpl w:val="FCE2F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EC6FE0"/>
    <w:multiLevelType w:val="multilevel"/>
    <w:tmpl w:val="4390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0"/>
  </w:num>
  <w:num w:numId="4">
    <w:abstractNumId w:val="1"/>
  </w:num>
  <w:num w:numId="5">
    <w:abstractNumId w:val="8"/>
  </w:num>
  <w:num w:numId="6">
    <w:abstractNumId w:val="7"/>
  </w:num>
  <w:num w:numId="7">
    <w:abstractNumId w:val="2"/>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activeWritingStyle w:appName="MSWord" w:lang="fr-FR" w:vendorID="64" w:dllVersion="6" w:nlCheck="1" w:checkStyle="0"/>
  <w:activeWritingStyle w:appName="MSWord" w:lang="en-US" w:vendorID="64" w:dllVersion="6" w:nlCheck="1" w:checkStyle="0"/>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A46"/>
    <w:rsid w:val="0000219B"/>
    <w:rsid w:val="00003B0B"/>
    <w:rsid w:val="0000430B"/>
    <w:rsid w:val="000055AE"/>
    <w:rsid w:val="0001565B"/>
    <w:rsid w:val="00016517"/>
    <w:rsid w:val="00026BF1"/>
    <w:rsid w:val="000318CB"/>
    <w:rsid w:val="00032AF0"/>
    <w:rsid w:val="000345C8"/>
    <w:rsid w:val="00037CF6"/>
    <w:rsid w:val="00042238"/>
    <w:rsid w:val="00044AE6"/>
    <w:rsid w:val="000461BA"/>
    <w:rsid w:val="0004621C"/>
    <w:rsid w:val="00047224"/>
    <w:rsid w:val="00053A46"/>
    <w:rsid w:val="00061C2F"/>
    <w:rsid w:val="00062BBF"/>
    <w:rsid w:val="000636BE"/>
    <w:rsid w:val="00070C67"/>
    <w:rsid w:val="00075C7B"/>
    <w:rsid w:val="00076050"/>
    <w:rsid w:val="000825CA"/>
    <w:rsid w:val="00086F01"/>
    <w:rsid w:val="0009005C"/>
    <w:rsid w:val="0009082C"/>
    <w:rsid w:val="00092834"/>
    <w:rsid w:val="00093C47"/>
    <w:rsid w:val="000A09CB"/>
    <w:rsid w:val="000A72B1"/>
    <w:rsid w:val="000B43EA"/>
    <w:rsid w:val="000C086F"/>
    <w:rsid w:val="000C4136"/>
    <w:rsid w:val="000D235D"/>
    <w:rsid w:val="000D7D48"/>
    <w:rsid w:val="000E04E1"/>
    <w:rsid w:val="000E2352"/>
    <w:rsid w:val="000E4A1B"/>
    <w:rsid w:val="000E78CF"/>
    <w:rsid w:val="001008E9"/>
    <w:rsid w:val="001011A2"/>
    <w:rsid w:val="001032F8"/>
    <w:rsid w:val="00103438"/>
    <w:rsid w:val="001037F0"/>
    <w:rsid w:val="001112B6"/>
    <w:rsid w:val="00112CAB"/>
    <w:rsid w:val="001201E6"/>
    <w:rsid w:val="0012212C"/>
    <w:rsid w:val="0012622E"/>
    <w:rsid w:val="00147886"/>
    <w:rsid w:val="00151B98"/>
    <w:rsid w:val="0015215E"/>
    <w:rsid w:val="00152834"/>
    <w:rsid w:val="001656D6"/>
    <w:rsid w:val="00173916"/>
    <w:rsid w:val="00181AF7"/>
    <w:rsid w:val="00190212"/>
    <w:rsid w:val="001A53F4"/>
    <w:rsid w:val="001B2499"/>
    <w:rsid w:val="001B24AF"/>
    <w:rsid w:val="001B4B25"/>
    <w:rsid w:val="001C0F22"/>
    <w:rsid w:val="001C141E"/>
    <w:rsid w:val="001C4BB5"/>
    <w:rsid w:val="001D02CD"/>
    <w:rsid w:val="001D0919"/>
    <w:rsid w:val="001D1974"/>
    <w:rsid w:val="001D611B"/>
    <w:rsid w:val="001E274B"/>
    <w:rsid w:val="001E477D"/>
    <w:rsid w:val="001F508E"/>
    <w:rsid w:val="001F788F"/>
    <w:rsid w:val="00222EAA"/>
    <w:rsid w:val="00223132"/>
    <w:rsid w:val="00223DBD"/>
    <w:rsid w:val="0022558F"/>
    <w:rsid w:val="00225B58"/>
    <w:rsid w:val="002272D0"/>
    <w:rsid w:val="00227415"/>
    <w:rsid w:val="0024472C"/>
    <w:rsid w:val="00247E90"/>
    <w:rsid w:val="00250136"/>
    <w:rsid w:val="0025048E"/>
    <w:rsid w:val="00253E12"/>
    <w:rsid w:val="002546E6"/>
    <w:rsid w:val="00256BB8"/>
    <w:rsid w:val="00267AC0"/>
    <w:rsid w:val="00281C07"/>
    <w:rsid w:val="00282970"/>
    <w:rsid w:val="002834E7"/>
    <w:rsid w:val="00283848"/>
    <w:rsid w:val="00284A0D"/>
    <w:rsid w:val="00292131"/>
    <w:rsid w:val="00293FC2"/>
    <w:rsid w:val="002A38DE"/>
    <w:rsid w:val="002A768A"/>
    <w:rsid w:val="002B00B0"/>
    <w:rsid w:val="002B0E1B"/>
    <w:rsid w:val="002C3337"/>
    <w:rsid w:val="002C3631"/>
    <w:rsid w:val="002E272A"/>
    <w:rsid w:val="002E28AA"/>
    <w:rsid w:val="002F1644"/>
    <w:rsid w:val="002F2407"/>
    <w:rsid w:val="00302BA8"/>
    <w:rsid w:val="00310205"/>
    <w:rsid w:val="00316524"/>
    <w:rsid w:val="0032118F"/>
    <w:rsid w:val="003226C5"/>
    <w:rsid w:val="00325220"/>
    <w:rsid w:val="003274B6"/>
    <w:rsid w:val="00330DFD"/>
    <w:rsid w:val="003315B6"/>
    <w:rsid w:val="0033232E"/>
    <w:rsid w:val="00335508"/>
    <w:rsid w:val="00336F82"/>
    <w:rsid w:val="00345C88"/>
    <w:rsid w:val="00356EF6"/>
    <w:rsid w:val="0035770A"/>
    <w:rsid w:val="00360395"/>
    <w:rsid w:val="00371656"/>
    <w:rsid w:val="003767AA"/>
    <w:rsid w:val="0038247D"/>
    <w:rsid w:val="00387E17"/>
    <w:rsid w:val="003937C8"/>
    <w:rsid w:val="003974CA"/>
    <w:rsid w:val="003A0EBC"/>
    <w:rsid w:val="003A3837"/>
    <w:rsid w:val="003A516D"/>
    <w:rsid w:val="003A79B4"/>
    <w:rsid w:val="003C059F"/>
    <w:rsid w:val="003C5F6B"/>
    <w:rsid w:val="003D237D"/>
    <w:rsid w:val="003D3564"/>
    <w:rsid w:val="003F1C7D"/>
    <w:rsid w:val="003F34FB"/>
    <w:rsid w:val="003F374F"/>
    <w:rsid w:val="003F5666"/>
    <w:rsid w:val="003F659E"/>
    <w:rsid w:val="00406CBE"/>
    <w:rsid w:val="00411763"/>
    <w:rsid w:val="0041443A"/>
    <w:rsid w:val="00416977"/>
    <w:rsid w:val="00424159"/>
    <w:rsid w:val="00426559"/>
    <w:rsid w:val="00441BE1"/>
    <w:rsid w:val="00457DE9"/>
    <w:rsid w:val="00463143"/>
    <w:rsid w:val="004652FA"/>
    <w:rsid w:val="00472408"/>
    <w:rsid w:val="004727D5"/>
    <w:rsid w:val="00476279"/>
    <w:rsid w:val="00481737"/>
    <w:rsid w:val="0049126C"/>
    <w:rsid w:val="0049744D"/>
    <w:rsid w:val="004A75FC"/>
    <w:rsid w:val="004B29F9"/>
    <w:rsid w:val="004B3073"/>
    <w:rsid w:val="004B3D07"/>
    <w:rsid w:val="004B451C"/>
    <w:rsid w:val="004C2E02"/>
    <w:rsid w:val="004D0D62"/>
    <w:rsid w:val="004E5F09"/>
    <w:rsid w:val="004E765F"/>
    <w:rsid w:val="004E76C9"/>
    <w:rsid w:val="004F0A93"/>
    <w:rsid w:val="004F6DD7"/>
    <w:rsid w:val="00503D57"/>
    <w:rsid w:val="005042C5"/>
    <w:rsid w:val="00511101"/>
    <w:rsid w:val="0051237B"/>
    <w:rsid w:val="00515FC6"/>
    <w:rsid w:val="005165F6"/>
    <w:rsid w:val="00520D12"/>
    <w:rsid w:val="005251A4"/>
    <w:rsid w:val="00534191"/>
    <w:rsid w:val="00537BCC"/>
    <w:rsid w:val="00545C1E"/>
    <w:rsid w:val="00546BAA"/>
    <w:rsid w:val="00552210"/>
    <w:rsid w:val="005549F3"/>
    <w:rsid w:val="00565843"/>
    <w:rsid w:val="00566539"/>
    <w:rsid w:val="00575A9B"/>
    <w:rsid w:val="005762A1"/>
    <w:rsid w:val="00582137"/>
    <w:rsid w:val="00585CEF"/>
    <w:rsid w:val="00593DF0"/>
    <w:rsid w:val="0059608A"/>
    <w:rsid w:val="005A0F08"/>
    <w:rsid w:val="005A5CA4"/>
    <w:rsid w:val="005B0CD8"/>
    <w:rsid w:val="005B2D50"/>
    <w:rsid w:val="005C18A2"/>
    <w:rsid w:val="005D3807"/>
    <w:rsid w:val="005D5735"/>
    <w:rsid w:val="005D7E6A"/>
    <w:rsid w:val="005E0EDD"/>
    <w:rsid w:val="005E2994"/>
    <w:rsid w:val="005E726A"/>
    <w:rsid w:val="005F0A03"/>
    <w:rsid w:val="005F45E7"/>
    <w:rsid w:val="005F68A4"/>
    <w:rsid w:val="00600B98"/>
    <w:rsid w:val="00606CD1"/>
    <w:rsid w:val="0061016B"/>
    <w:rsid w:val="00611088"/>
    <w:rsid w:val="00645234"/>
    <w:rsid w:val="00647626"/>
    <w:rsid w:val="00652EE5"/>
    <w:rsid w:val="006534E9"/>
    <w:rsid w:val="006617F1"/>
    <w:rsid w:val="00661A97"/>
    <w:rsid w:val="00666375"/>
    <w:rsid w:val="0067062F"/>
    <w:rsid w:val="00681B3F"/>
    <w:rsid w:val="00681D69"/>
    <w:rsid w:val="00682F6A"/>
    <w:rsid w:val="00687AC9"/>
    <w:rsid w:val="00692A80"/>
    <w:rsid w:val="006A13DA"/>
    <w:rsid w:val="006A3FBE"/>
    <w:rsid w:val="006A40D6"/>
    <w:rsid w:val="006A5355"/>
    <w:rsid w:val="006A53D9"/>
    <w:rsid w:val="006A6B64"/>
    <w:rsid w:val="006A6F4B"/>
    <w:rsid w:val="006A77FB"/>
    <w:rsid w:val="006B219F"/>
    <w:rsid w:val="006B2AB5"/>
    <w:rsid w:val="006B4EE5"/>
    <w:rsid w:val="006C04EC"/>
    <w:rsid w:val="006C054B"/>
    <w:rsid w:val="006C12B0"/>
    <w:rsid w:val="006C1DEC"/>
    <w:rsid w:val="006C3CCF"/>
    <w:rsid w:val="006D4D48"/>
    <w:rsid w:val="006D5506"/>
    <w:rsid w:val="006D652C"/>
    <w:rsid w:val="006D6550"/>
    <w:rsid w:val="006E03DF"/>
    <w:rsid w:val="006E2D6C"/>
    <w:rsid w:val="006E5941"/>
    <w:rsid w:val="006E5A1F"/>
    <w:rsid w:val="006E6D92"/>
    <w:rsid w:val="006E6DCE"/>
    <w:rsid w:val="00702154"/>
    <w:rsid w:val="00706BA8"/>
    <w:rsid w:val="00710BC7"/>
    <w:rsid w:val="00713618"/>
    <w:rsid w:val="00726D39"/>
    <w:rsid w:val="00740147"/>
    <w:rsid w:val="00747CBA"/>
    <w:rsid w:val="00753165"/>
    <w:rsid w:val="00755E1F"/>
    <w:rsid w:val="007560CB"/>
    <w:rsid w:val="00756B4F"/>
    <w:rsid w:val="00774269"/>
    <w:rsid w:val="00777016"/>
    <w:rsid w:val="007816D7"/>
    <w:rsid w:val="00783CA6"/>
    <w:rsid w:val="0079334D"/>
    <w:rsid w:val="00793D0A"/>
    <w:rsid w:val="0079477D"/>
    <w:rsid w:val="007A558B"/>
    <w:rsid w:val="007A5E42"/>
    <w:rsid w:val="007A5FA0"/>
    <w:rsid w:val="007A6A88"/>
    <w:rsid w:val="007B37C2"/>
    <w:rsid w:val="007B4139"/>
    <w:rsid w:val="007B5A77"/>
    <w:rsid w:val="007B7B59"/>
    <w:rsid w:val="007C2249"/>
    <w:rsid w:val="007C43D8"/>
    <w:rsid w:val="007C4D39"/>
    <w:rsid w:val="007D224A"/>
    <w:rsid w:val="007D7D2F"/>
    <w:rsid w:val="007E0F3E"/>
    <w:rsid w:val="007E1197"/>
    <w:rsid w:val="007E14B4"/>
    <w:rsid w:val="007E2BC1"/>
    <w:rsid w:val="007F00CD"/>
    <w:rsid w:val="007F2E7C"/>
    <w:rsid w:val="007F4801"/>
    <w:rsid w:val="00803D31"/>
    <w:rsid w:val="00803DA2"/>
    <w:rsid w:val="008105CB"/>
    <w:rsid w:val="00812B56"/>
    <w:rsid w:val="00815652"/>
    <w:rsid w:val="00816A2E"/>
    <w:rsid w:val="00817470"/>
    <w:rsid w:val="008337CF"/>
    <w:rsid w:val="0083457B"/>
    <w:rsid w:val="00840CBE"/>
    <w:rsid w:val="00841915"/>
    <w:rsid w:val="00844383"/>
    <w:rsid w:val="00844C6A"/>
    <w:rsid w:val="00854AF2"/>
    <w:rsid w:val="00855FDC"/>
    <w:rsid w:val="00871A06"/>
    <w:rsid w:val="00873CE0"/>
    <w:rsid w:val="00874546"/>
    <w:rsid w:val="00880382"/>
    <w:rsid w:val="008827D5"/>
    <w:rsid w:val="00890FDA"/>
    <w:rsid w:val="00893B8A"/>
    <w:rsid w:val="0089616E"/>
    <w:rsid w:val="008A2649"/>
    <w:rsid w:val="008A4DF2"/>
    <w:rsid w:val="008B0C04"/>
    <w:rsid w:val="008C1004"/>
    <w:rsid w:val="008C10E6"/>
    <w:rsid w:val="008C627D"/>
    <w:rsid w:val="008D33F0"/>
    <w:rsid w:val="008E0117"/>
    <w:rsid w:val="008E0FC7"/>
    <w:rsid w:val="008E7641"/>
    <w:rsid w:val="008F38A1"/>
    <w:rsid w:val="008F64C7"/>
    <w:rsid w:val="00902CFD"/>
    <w:rsid w:val="0090415D"/>
    <w:rsid w:val="00906971"/>
    <w:rsid w:val="00907105"/>
    <w:rsid w:val="00911EE3"/>
    <w:rsid w:val="00913B44"/>
    <w:rsid w:val="0091575D"/>
    <w:rsid w:val="009175B7"/>
    <w:rsid w:val="00922D35"/>
    <w:rsid w:val="00925120"/>
    <w:rsid w:val="00932314"/>
    <w:rsid w:val="0093521E"/>
    <w:rsid w:val="00941461"/>
    <w:rsid w:val="009438E9"/>
    <w:rsid w:val="00943CBE"/>
    <w:rsid w:val="00950BFC"/>
    <w:rsid w:val="00950DCF"/>
    <w:rsid w:val="0095339D"/>
    <w:rsid w:val="00955246"/>
    <w:rsid w:val="00956CF6"/>
    <w:rsid w:val="00966999"/>
    <w:rsid w:val="00993DCB"/>
    <w:rsid w:val="00994C19"/>
    <w:rsid w:val="009A3BD8"/>
    <w:rsid w:val="009B0A9F"/>
    <w:rsid w:val="009B35F1"/>
    <w:rsid w:val="009B4F3F"/>
    <w:rsid w:val="009C44D8"/>
    <w:rsid w:val="009D3812"/>
    <w:rsid w:val="009D3BF4"/>
    <w:rsid w:val="009D5FD8"/>
    <w:rsid w:val="009D6D57"/>
    <w:rsid w:val="009F2820"/>
    <w:rsid w:val="009F416A"/>
    <w:rsid w:val="009F5061"/>
    <w:rsid w:val="009F680A"/>
    <w:rsid w:val="009F74A2"/>
    <w:rsid w:val="00A0001A"/>
    <w:rsid w:val="00A0243D"/>
    <w:rsid w:val="00A078B6"/>
    <w:rsid w:val="00A110E0"/>
    <w:rsid w:val="00A1184D"/>
    <w:rsid w:val="00A14225"/>
    <w:rsid w:val="00A27C7B"/>
    <w:rsid w:val="00A30ED9"/>
    <w:rsid w:val="00A32A58"/>
    <w:rsid w:val="00A32B48"/>
    <w:rsid w:val="00A34DE3"/>
    <w:rsid w:val="00A35555"/>
    <w:rsid w:val="00A42613"/>
    <w:rsid w:val="00A51B10"/>
    <w:rsid w:val="00A54C52"/>
    <w:rsid w:val="00A564D4"/>
    <w:rsid w:val="00A80A2D"/>
    <w:rsid w:val="00A81DCC"/>
    <w:rsid w:val="00A8368F"/>
    <w:rsid w:val="00A83E62"/>
    <w:rsid w:val="00A8610D"/>
    <w:rsid w:val="00A9349F"/>
    <w:rsid w:val="00A9711D"/>
    <w:rsid w:val="00AA4CC2"/>
    <w:rsid w:val="00AA51E7"/>
    <w:rsid w:val="00AA69E1"/>
    <w:rsid w:val="00AA7DB3"/>
    <w:rsid w:val="00AB0BAB"/>
    <w:rsid w:val="00AB4A73"/>
    <w:rsid w:val="00AC5295"/>
    <w:rsid w:val="00AD19F9"/>
    <w:rsid w:val="00AD4CF6"/>
    <w:rsid w:val="00AE05CB"/>
    <w:rsid w:val="00AE5683"/>
    <w:rsid w:val="00AE60AF"/>
    <w:rsid w:val="00AF2FC1"/>
    <w:rsid w:val="00AF448B"/>
    <w:rsid w:val="00AF44A6"/>
    <w:rsid w:val="00B03DE7"/>
    <w:rsid w:val="00B14E29"/>
    <w:rsid w:val="00B15751"/>
    <w:rsid w:val="00B164B6"/>
    <w:rsid w:val="00B164C4"/>
    <w:rsid w:val="00B2116A"/>
    <w:rsid w:val="00B24308"/>
    <w:rsid w:val="00B26970"/>
    <w:rsid w:val="00B27509"/>
    <w:rsid w:val="00B36692"/>
    <w:rsid w:val="00B42717"/>
    <w:rsid w:val="00B44572"/>
    <w:rsid w:val="00B45C14"/>
    <w:rsid w:val="00B47BC9"/>
    <w:rsid w:val="00B53479"/>
    <w:rsid w:val="00B543A0"/>
    <w:rsid w:val="00B54C4A"/>
    <w:rsid w:val="00B625CF"/>
    <w:rsid w:val="00B62BD4"/>
    <w:rsid w:val="00B62F81"/>
    <w:rsid w:val="00B64534"/>
    <w:rsid w:val="00B64FE7"/>
    <w:rsid w:val="00B70405"/>
    <w:rsid w:val="00B7672E"/>
    <w:rsid w:val="00B81AE3"/>
    <w:rsid w:val="00B82D3F"/>
    <w:rsid w:val="00B94F3B"/>
    <w:rsid w:val="00B97322"/>
    <w:rsid w:val="00BB0E1E"/>
    <w:rsid w:val="00BB29CA"/>
    <w:rsid w:val="00BC18BC"/>
    <w:rsid w:val="00BC2BD8"/>
    <w:rsid w:val="00BC6970"/>
    <w:rsid w:val="00BC75D8"/>
    <w:rsid w:val="00BD1934"/>
    <w:rsid w:val="00BD1CD8"/>
    <w:rsid w:val="00BD1FBC"/>
    <w:rsid w:val="00BD54C6"/>
    <w:rsid w:val="00BD57A4"/>
    <w:rsid w:val="00BD5F06"/>
    <w:rsid w:val="00BE1A21"/>
    <w:rsid w:val="00BF6E2D"/>
    <w:rsid w:val="00BF750E"/>
    <w:rsid w:val="00C15E27"/>
    <w:rsid w:val="00C22A1F"/>
    <w:rsid w:val="00C259E0"/>
    <w:rsid w:val="00C275D4"/>
    <w:rsid w:val="00C30617"/>
    <w:rsid w:val="00C4437F"/>
    <w:rsid w:val="00C45050"/>
    <w:rsid w:val="00C4652F"/>
    <w:rsid w:val="00C714AA"/>
    <w:rsid w:val="00C733BE"/>
    <w:rsid w:val="00C90338"/>
    <w:rsid w:val="00C93DE3"/>
    <w:rsid w:val="00CA07F0"/>
    <w:rsid w:val="00CA31DA"/>
    <w:rsid w:val="00CA6562"/>
    <w:rsid w:val="00CB0DBD"/>
    <w:rsid w:val="00CB33EE"/>
    <w:rsid w:val="00CB42E3"/>
    <w:rsid w:val="00CC02CA"/>
    <w:rsid w:val="00CC0A4E"/>
    <w:rsid w:val="00CC4129"/>
    <w:rsid w:val="00CD6D3A"/>
    <w:rsid w:val="00CE1307"/>
    <w:rsid w:val="00CE1C26"/>
    <w:rsid w:val="00CE1CA3"/>
    <w:rsid w:val="00CE2385"/>
    <w:rsid w:val="00CE7CEB"/>
    <w:rsid w:val="00CF4F4A"/>
    <w:rsid w:val="00CF69E2"/>
    <w:rsid w:val="00D02ABC"/>
    <w:rsid w:val="00D12EC3"/>
    <w:rsid w:val="00D22577"/>
    <w:rsid w:val="00D2380D"/>
    <w:rsid w:val="00D24DFB"/>
    <w:rsid w:val="00D2776A"/>
    <w:rsid w:val="00D32FA8"/>
    <w:rsid w:val="00D40F95"/>
    <w:rsid w:val="00D45A9D"/>
    <w:rsid w:val="00D64370"/>
    <w:rsid w:val="00D65A51"/>
    <w:rsid w:val="00D8133B"/>
    <w:rsid w:val="00D909BE"/>
    <w:rsid w:val="00D90EFC"/>
    <w:rsid w:val="00D9769D"/>
    <w:rsid w:val="00DA3308"/>
    <w:rsid w:val="00DA4E5D"/>
    <w:rsid w:val="00DA6D36"/>
    <w:rsid w:val="00DB151B"/>
    <w:rsid w:val="00DB2804"/>
    <w:rsid w:val="00DB55C8"/>
    <w:rsid w:val="00DB5B7B"/>
    <w:rsid w:val="00DC56C5"/>
    <w:rsid w:val="00DD0520"/>
    <w:rsid w:val="00DD413D"/>
    <w:rsid w:val="00DD50B0"/>
    <w:rsid w:val="00DE08D3"/>
    <w:rsid w:val="00DE3F62"/>
    <w:rsid w:val="00DE4455"/>
    <w:rsid w:val="00DE4827"/>
    <w:rsid w:val="00DF310B"/>
    <w:rsid w:val="00E07023"/>
    <w:rsid w:val="00E100AB"/>
    <w:rsid w:val="00E148C1"/>
    <w:rsid w:val="00E25D0F"/>
    <w:rsid w:val="00E3285C"/>
    <w:rsid w:val="00E3586D"/>
    <w:rsid w:val="00E36273"/>
    <w:rsid w:val="00E460FD"/>
    <w:rsid w:val="00E47867"/>
    <w:rsid w:val="00E51CCD"/>
    <w:rsid w:val="00E52A86"/>
    <w:rsid w:val="00E77DFD"/>
    <w:rsid w:val="00E8334E"/>
    <w:rsid w:val="00E87202"/>
    <w:rsid w:val="00E921B0"/>
    <w:rsid w:val="00E9428A"/>
    <w:rsid w:val="00EA59DF"/>
    <w:rsid w:val="00EB148B"/>
    <w:rsid w:val="00EC2B55"/>
    <w:rsid w:val="00ED37F4"/>
    <w:rsid w:val="00EE0942"/>
    <w:rsid w:val="00EE2631"/>
    <w:rsid w:val="00EE4A34"/>
    <w:rsid w:val="00EF5C4C"/>
    <w:rsid w:val="00F00659"/>
    <w:rsid w:val="00F061C1"/>
    <w:rsid w:val="00F07670"/>
    <w:rsid w:val="00F121B5"/>
    <w:rsid w:val="00F25052"/>
    <w:rsid w:val="00F34DD1"/>
    <w:rsid w:val="00F36A9F"/>
    <w:rsid w:val="00F377A5"/>
    <w:rsid w:val="00F46A37"/>
    <w:rsid w:val="00F47D4C"/>
    <w:rsid w:val="00F50AB4"/>
    <w:rsid w:val="00F510A6"/>
    <w:rsid w:val="00F661DB"/>
    <w:rsid w:val="00F8408B"/>
    <w:rsid w:val="00F86EA4"/>
    <w:rsid w:val="00F90273"/>
    <w:rsid w:val="00F97576"/>
    <w:rsid w:val="00FB0EF5"/>
    <w:rsid w:val="00FB13F5"/>
    <w:rsid w:val="00FB2EDD"/>
    <w:rsid w:val="00FB356C"/>
    <w:rsid w:val="00FB3A59"/>
    <w:rsid w:val="00FB3B53"/>
    <w:rsid w:val="00FB593D"/>
    <w:rsid w:val="00FC5495"/>
    <w:rsid w:val="00FC71F8"/>
    <w:rsid w:val="00FE06F0"/>
    <w:rsid w:val="00FF1385"/>
    <w:rsid w:val="00FF5BB8"/>
    <w:rsid w:val="00FF740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4F6B0"/>
  <w15:docId w15:val="{C2B88A25-CB86-F64B-9291-273C949F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5C8"/>
    <w:rPr>
      <w:rFonts w:ascii="Times New Roman" w:eastAsia="Times New Roman" w:hAnsi="Times New Roman" w:cs="Times New Roman"/>
      <w:lang w:eastAsia="fr-FR"/>
    </w:rPr>
  </w:style>
  <w:style w:type="paragraph" w:styleId="Heading1">
    <w:name w:val="heading 1"/>
    <w:basedOn w:val="Normal"/>
    <w:next w:val="Normal"/>
    <w:link w:val="Heading1Char"/>
    <w:uiPriority w:val="9"/>
    <w:qFormat/>
    <w:rsid w:val="0090415D"/>
    <w:pPr>
      <w:keepNext/>
      <w:keepLines/>
      <w:spacing w:before="240" w:line="480"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90415D"/>
    <w:pPr>
      <w:keepNext/>
      <w:keepLines/>
      <w:spacing w:before="40" w:line="480" w:lineRule="auto"/>
      <w:outlineLvl w:val="1"/>
    </w:pPr>
    <w:rPr>
      <w:rFonts w:eastAsiaTheme="majorEastAsia" w:cstheme="majorBidi"/>
      <w:i/>
      <w:szCs w:val="26"/>
    </w:rPr>
  </w:style>
  <w:style w:type="paragraph" w:styleId="Heading3">
    <w:name w:val="heading 3"/>
    <w:basedOn w:val="Normal"/>
    <w:next w:val="Normal"/>
    <w:link w:val="Heading3Char"/>
    <w:uiPriority w:val="9"/>
    <w:unhideWhenUsed/>
    <w:qFormat/>
    <w:rsid w:val="0090415D"/>
    <w:pPr>
      <w:keepNext/>
      <w:keepLines/>
      <w:spacing w:before="40" w:line="480" w:lineRule="auto"/>
      <w:outlineLvl w:val="2"/>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bliography1">
    <w:name w:val="Bibliography1"/>
    <w:basedOn w:val="Normal"/>
    <w:link w:val="BibliographyCar"/>
    <w:rsid w:val="001D0919"/>
    <w:pPr>
      <w:tabs>
        <w:tab w:val="left" w:pos="380"/>
      </w:tabs>
      <w:spacing w:after="240"/>
      <w:ind w:left="384" w:hanging="384"/>
      <w:jc w:val="both"/>
    </w:pPr>
    <w:rPr>
      <w:rFonts w:eastAsiaTheme="minorEastAsia"/>
      <w:lang w:val="en-US" w:eastAsia="en-US"/>
    </w:rPr>
  </w:style>
  <w:style w:type="character" w:customStyle="1" w:styleId="BibliographyCar">
    <w:name w:val="Bibliography Car"/>
    <w:basedOn w:val="DefaultParagraphFont"/>
    <w:link w:val="Bibliography1"/>
    <w:rsid w:val="001D0919"/>
    <w:rPr>
      <w:rFonts w:ascii="Times New Roman" w:hAnsi="Times New Roman" w:cs="Times New Roman"/>
      <w:lang w:val="en-US"/>
    </w:rPr>
  </w:style>
  <w:style w:type="paragraph" w:styleId="BalloonText">
    <w:name w:val="Balloon Text"/>
    <w:basedOn w:val="Normal"/>
    <w:link w:val="BalloonTextChar"/>
    <w:uiPriority w:val="99"/>
    <w:semiHidden/>
    <w:unhideWhenUsed/>
    <w:rsid w:val="00CA6562"/>
    <w:rPr>
      <w:sz w:val="18"/>
      <w:szCs w:val="18"/>
    </w:rPr>
  </w:style>
  <w:style w:type="character" w:customStyle="1" w:styleId="BalloonTextChar">
    <w:name w:val="Balloon Text Char"/>
    <w:basedOn w:val="DefaultParagraphFont"/>
    <w:link w:val="BalloonText"/>
    <w:uiPriority w:val="99"/>
    <w:semiHidden/>
    <w:rsid w:val="00CA6562"/>
    <w:rPr>
      <w:rFonts w:ascii="Times New Roman" w:hAnsi="Times New Roman" w:cs="Times New Roman"/>
      <w:sz w:val="18"/>
      <w:szCs w:val="18"/>
    </w:rPr>
  </w:style>
  <w:style w:type="character" w:styleId="Hyperlink">
    <w:name w:val="Hyperlink"/>
    <w:basedOn w:val="DefaultParagraphFont"/>
    <w:uiPriority w:val="99"/>
    <w:unhideWhenUsed/>
    <w:rsid w:val="00840CBE"/>
    <w:rPr>
      <w:color w:val="0563C1" w:themeColor="hyperlink"/>
      <w:u w:val="single"/>
    </w:rPr>
  </w:style>
  <w:style w:type="character" w:customStyle="1" w:styleId="Mentionnonrsolue1">
    <w:name w:val="Mention non résolue1"/>
    <w:basedOn w:val="DefaultParagraphFont"/>
    <w:uiPriority w:val="99"/>
    <w:semiHidden/>
    <w:unhideWhenUsed/>
    <w:rsid w:val="00840CBE"/>
    <w:rPr>
      <w:color w:val="605E5C"/>
      <w:shd w:val="clear" w:color="auto" w:fill="E1DFDD"/>
    </w:rPr>
  </w:style>
  <w:style w:type="character" w:styleId="CommentReference">
    <w:name w:val="annotation reference"/>
    <w:basedOn w:val="DefaultParagraphFont"/>
    <w:uiPriority w:val="99"/>
    <w:semiHidden/>
    <w:unhideWhenUsed/>
    <w:rsid w:val="00B164C4"/>
    <w:rPr>
      <w:sz w:val="16"/>
      <w:szCs w:val="16"/>
    </w:rPr>
  </w:style>
  <w:style w:type="paragraph" w:styleId="CommentText">
    <w:name w:val="annotation text"/>
    <w:basedOn w:val="Normal"/>
    <w:link w:val="CommentTextChar"/>
    <w:uiPriority w:val="99"/>
    <w:unhideWhenUsed/>
    <w:rsid w:val="00B164C4"/>
    <w:rPr>
      <w:rFonts w:asciiTheme="minorHAnsi" w:eastAsiaTheme="minorEastAsia" w:hAnsiTheme="minorHAnsi" w:cstheme="minorBidi"/>
      <w:sz w:val="20"/>
      <w:szCs w:val="20"/>
      <w:lang w:eastAsia="en-US"/>
    </w:rPr>
  </w:style>
  <w:style w:type="character" w:customStyle="1" w:styleId="CommentTextChar">
    <w:name w:val="Comment Text Char"/>
    <w:basedOn w:val="DefaultParagraphFont"/>
    <w:link w:val="CommentText"/>
    <w:uiPriority w:val="99"/>
    <w:rsid w:val="00B164C4"/>
    <w:rPr>
      <w:sz w:val="20"/>
      <w:szCs w:val="20"/>
    </w:rPr>
  </w:style>
  <w:style w:type="paragraph" w:styleId="CommentSubject">
    <w:name w:val="annotation subject"/>
    <w:basedOn w:val="CommentText"/>
    <w:next w:val="CommentText"/>
    <w:link w:val="CommentSubjectChar"/>
    <w:uiPriority w:val="99"/>
    <w:semiHidden/>
    <w:unhideWhenUsed/>
    <w:rsid w:val="00B164C4"/>
    <w:rPr>
      <w:b/>
      <w:bCs/>
    </w:rPr>
  </w:style>
  <w:style w:type="character" w:customStyle="1" w:styleId="CommentSubjectChar">
    <w:name w:val="Comment Subject Char"/>
    <w:basedOn w:val="CommentTextChar"/>
    <w:link w:val="CommentSubject"/>
    <w:uiPriority w:val="99"/>
    <w:semiHidden/>
    <w:rsid w:val="00B164C4"/>
    <w:rPr>
      <w:b/>
      <w:bCs/>
      <w:sz w:val="20"/>
      <w:szCs w:val="20"/>
    </w:rPr>
  </w:style>
  <w:style w:type="character" w:styleId="FollowedHyperlink">
    <w:name w:val="FollowedHyperlink"/>
    <w:basedOn w:val="DefaultParagraphFont"/>
    <w:uiPriority w:val="99"/>
    <w:semiHidden/>
    <w:unhideWhenUsed/>
    <w:rsid w:val="009B35F1"/>
    <w:rPr>
      <w:color w:val="954F72" w:themeColor="followedHyperlink"/>
      <w:u w:val="single"/>
    </w:rPr>
  </w:style>
  <w:style w:type="paragraph" w:styleId="ListParagraph">
    <w:name w:val="List Paragraph"/>
    <w:basedOn w:val="Normal"/>
    <w:uiPriority w:val="34"/>
    <w:qFormat/>
    <w:rsid w:val="005E726A"/>
    <w:pPr>
      <w:ind w:leftChars="400" w:left="800"/>
    </w:pPr>
    <w:rPr>
      <w:rFonts w:asciiTheme="minorHAnsi" w:eastAsiaTheme="minorEastAsia" w:hAnsiTheme="minorHAnsi" w:cstheme="minorBidi"/>
      <w:lang w:eastAsia="en-US"/>
    </w:rPr>
  </w:style>
  <w:style w:type="paragraph" w:styleId="Revision">
    <w:name w:val="Revision"/>
    <w:hidden/>
    <w:uiPriority w:val="99"/>
    <w:semiHidden/>
    <w:rsid w:val="008105CB"/>
  </w:style>
  <w:style w:type="paragraph" w:customStyle="1" w:styleId="Bibliographie1">
    <w:name w:val="Bibliographie1"/>
    <w:basedOn w:val="Normal"/>
    <w:link w:val="BibliographyCar1"/>
    <w:rsid w:val="005E0EDD"/>
    <w:pPr>
      <w:tabs>
        <w:tab w:val="left" w:pos="500"/>
      </w:tabs>
      <w:spacing w:after="240"/>
      <w:ind w:left="504" w:hanging="504"/>
      <w:jc w:val="both"/>
    </w:pPr>
    <w:rPr>
      <w:rFonts w:eastAsiaTheme="minorEastAsia"/>
      <w:lang w:val="en-US" w:eastAsia="en-US"/>
    </w:rPr>
  </w:style>
  <w:style w:type="character" w:customStyle="1" w:styleId="BibliographyCar1">
    <w:name w:val="Bibliography Car1"/>
    <w:basedOn w:val="DefaultParagraphFont"/>
    <w:link w:val="Bibliographie1"/>
    <w:rsid w:val="005E0EDD"/>
    <w:rPr>
      <w:rFonts w:ascii="Times New Roman" w:hAnsi="Times New Roman" w:cs="Times New Roman"/>
      <w:lang w:val="en-US"/>
    </w:rPr>
  </w:style>
  <w:style w:type="paragraph" w:styleId="Footer">
    <w:name w:val="footer"/>
    <w:basedOn w:val="Normal"/>
    <w:link w:val="FooterChar"/>
    <w:uiPriority w:val="99"/>
    <w:unhideWhenUsed/>
    <w:rsid w:val="006B4EE5"/>
    <w:pPr>
      <w:tabs>
        <w:tab w:val="center" w:pos="4536"/>
        <w:tab w:val="right" w:pos="9072"/>
      </w:tabs>
    </w:pPr>
    <w:rPr>
      <w:rFonts w:asciiTheme="minorHAnsi" w:eastAsiaTheme="minorEastAsia" w:hAnsiTheme="minorHAnsi" w:cstheme="minorBidi"/>
      <w:lang w:eastAsia="en-US"/>
    </w:rPr>
  </w:style>
  <w:style w:type="character" w:customStyle="1" w:styleId="FooterChar">
    <w:name w:val="Footer Char"/>
    <w:basedOn w:val="DefaultParagraphFont"/>
    <w:link w:val="Footer"/>
    <w:uiPriority w:val="99"/>
    <w:rsid w:val="006B4EE5"/>
  </w:style>
  <w:style w:type="character" w:styleId="PageNumber">
    <w:name w:val="page number"/>
    <w:basedOn w:val="DefaultParagraphFont"/>
    <w:uiPriority w:val="99"/>
    <w:semiHidden/>
    <w:unhideWhenUsed/>
    <w:rsid w:val="006B4EE5"/>
  </w:style>
  <w:style w:type="paragraph" w:styleId="Header">
    <w:name w:val="header"/>
    <w:basedOn w:val="Normal"/>
    <w:link w:val="HeaderChar"/>
    <w:uiPriority w:val="99"/>
    <w:unhideWhenUsed/>
    <w:rsid w:val="006B4EE5"/>
    <w:pPr>
      <w:tabs>
        <w:tab w:val="center" w:pos="4536"/>
        <w:tab w:val="right" w:pos="9072"/>
      </w:tabs>
    </w:pPr>
    <w:rPr>
      <w:rFonts w:asciiTheme="minorHAnsi" w:eastAsiaTheme="minorEastAsia" w:hAnsiTheme="minorHAnsi" w:cstheme="minorBidi"/>
      <w:lang w:eastAsia="en-US"/>
    </w:rPr>
  </w:style>
  <w:style w:type="character" w:customStyle="1" w:styleId="HeaderChar">
    <w:name w:val="Header Char"/>
    <w:basedOn w:val="DefaultParagraphFont"/>
    <w:link w:val="Header"/>
    <w:uiPriority w:val="99"/>
    <w:rsid w:val="006B4EE5"/>
  </w:style>
  <w:style w:type="character" w:styleId="LineNumber">
    <w:name w:val="line number"/>
    <w:basedOn w:val="DefaultParagraphFont"/>
    <w:uiPriority w:val="99"/>
    <w:unhideWhenUsed/>
    <w:rsid w:val="00152834"/>
    <w:rPr>
      <w:rFonts w:ascii="Times New Roman" w:hAnsi="Times New Roman"/>
    </w:rPr>
  </w:style>
  <w:style w:type="character" w:customStyle="1" w:styleId="UnresolvedMention1">
    <w:name w:val="Unresolved Mention1"/>
    <w:basedOn w:val="DefaultParagraphFont"/>
    <w:uiPriority w:val="99"/>
    <w:semiHidden/>
    <w:unhideWhenUsed/>
    <w:rsid w:val="00681B3F"/>
    <w:rPr>
      <w:color w:val="605E5C"/>
      <w:shd w:val="clear" w:color="auto" w:fill="E1DFDD"/>
    </w:rPr>
  </w:style>
  <w:style w:type="paragraph" w:customStyle="1" w:styleId="Bibliographie2">
    <w:name w:val="Bibliographie2"/>
    <w:basedOn w:val="Normal"/>
    <w:link w:val="BibliographyCar2"/>
    <w:rsid w:val="008827D5"/>
    <w:pPr>
      <w:tabs>
        <w:tab w:val="left" w:pos="500"/>
      </w:tabs>
      <w:spacing w:after="240"/>
      <w:ind w:left="504" w:hanging="504"/>
      <w:jc w:val="both"/>
    </w:pPr>
    <w:rPr>
      <w:rFonts w:eastAsiaTheme="minorEastAsia"/>
      <w:lang w:val="en-US" w:eastAsia="en-US"/>
    </w:rPr>
  </w:style>
  <w:style w:type="character" w:customStyle="1" w:styleId="BibliographyCar2">
    <w:name w:val="Bibliography Car2"/>
    <w:basedOn w:val="DefaultParagraphFont"/>
    <w:link w:val="Bibliographie2"/>
    <w:rsid w:val="008827D5"/>
    <w:rPr>
      <w:rFonts w:ascii="Times New Roman" w:hAnsi="Times New Roman" w:cs="Times New Roman"/>
      <w:lang w:val="en-US"/>
    </w:rPr>
  </w:style>
  <w:style w:type="table" w:styleId="TableGrid">
    <w:name w:val="Table Grid"/>
    <w:basedOn w:val="TableNormal"/>
    <w:uiPriority w:val="59"/>
    <w:rsid w:val="00EA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i">
    <w:name w:val="gi"/>
    <w:basedOn w:val="DefaultParagraphFont"/>
    <w:rsid w:val="00DB55C8"/>
  </w:style>
  <w:style w:type="paragraph" w:styleId="NormalWeb">
    <w:name w:val="Normal (Web)"/>
    <w:basedOn w:val="Normal"/>
    <w:uiPriority w:val="99"/>
    <w:semiHidden/>
    <w:unhideWhenUsed/>
    <w:rsid w:val="004B29F9"/>
    <w:pPr>
      <w:spacing w:before="100" w:beforeAutospacing="1" w:after="100" w:afterAutospacing="1"/>
    </w:pPr>
    <w:rPr>
      <w:rFonts w:eastAsiaTheme="minorEastAsia"/>
      <w:lang w:val="es-ES" w:eastAsia="es-ES"/>
    </w:rPr>
  </w:style>
  <w:style w:type="paragraph" w:styleId="Title">
    <w:name w:val="Title"/>
    <w:basedOn w:val="Normal"/>
    <w:next w:val="Normal"/>
    <w:link w:val="TitleChar"/>
    <w:uiPriority w:val="10"/>
    <w:qFormat/>
    <w:rsid w:val="0090415D"/>
    <w:pPr>
      <w:spacing w:line="480" w:lineRule="auto"/>
      <w:contextualSpacing/>
      <w:jc w:val="center"/>
    </w:pPr>
    <w:rPr>
      <w:rFonts w:eastAsiaTheme="majorEastAsia" w:cstheme="majorBidi"/>
      <w:b/>
      <w:spacing w:val="-10"/>
      <w:kern w:val="28"/>
      <w:szCs w:val="56"/>
    </w:rPr>
  </w:style>
  <w:style w:type="character" w:customStyle="1" w:styleId="TitleChar">
    <w:name w:val="Title Char"/>
    <w:basedOn w:val="DefaultParagraphFont"/>
    <w:link w:val="Title"/>
    <w:uiPriority w:val="10"/>
    <w:rsid w:val="0090415D"/>
    <w:rPr>
      <w:rFonts w:ascii="Times New Roman" w:eastAsiaTheme="majorEastAsia" w:hAnsi="Times New Roman" w:cstheme="majorBidi"/>
      <w:b/>
      <w:spacing w:val="-10"/>
      <w:kern w:val="28"/>
      <w:szCs w:val="56"/>
      <w:lang w:eastAsia="fr-FR"/>
    </w:rPr>
  </w:style>
  <w:style w:type="character" w:customStyle="1" w:styleId="Heading1Char">
    <w:name w:val="Heading 1 Char"/>
    <w:basedOn w:val="DefaultParagraphFont"/>
    <w:link w:val="Heading1"/>
    <w:uiPriority w:val="9"/>
    <w:rsid w:val="0090415D"/>
    <w:rPr>
      <w:rFonts w:ascii="Times New Roman" w:eastAsiaTheme="majorEastAsia" w:hAnsi="Times New Roman" w:cstheme="majorBidi"/>
      <w:b/>
      <w:szCs w:val="32"/>
      <w:lang w:eastAsia="fr-FR"/>
    </w:rPr>
  </w:style>
  <w:style w:type="character" w:customStyle="1" w:styleId="Heading2Char">
    <w:name w:val="Heading 2 Char"/>
    <w:basedOn w:val="DefaultParagraphFont"/>
    <w:link w:val="Heading2"/>
    <w:uiPriority w:val="9"/>
    <w:rsid w:val="0090415D"/>
    <w:rPr>
      <w:rFonts w:ascii="Times New Roman" w:eastAsiaTheme="majorEastAsia" w:hAnsi="Times New Roman" w:cstheme="majorBidi"/>
      <w:i/>
      <w:szCs w:val="26"/>
      <w:lang w:eastAsia="fr-FR"/>
    </w:rPr>
  </w:style>
  <w:style w:type="character" w:customStyle="1" w:styleId="Heading3Char">
    <w:name w:val="Heading 3 Char"/>
    <w:basedOn w:val="DefaultParagraphFont"/>
    <w:link w:val="Heading3"/>
    <w:uiPriority w:val="9"/>
    <w:rsid w:val="0090415D"/>
    <w:rPr>
      <w:rFonts w:ascii="Times New Roman" w:eastAsiaTheme="majorEastAsia" w:hAnsi="Times New Roman" w:cstheme="majorBidi"/>
      <w: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39619">
      <w:bodyDiv w:val="1"/>
      <w:marLeft w:val="0"/>
      <w:marRight w:val="0"/>
      <w:marTop w:val="0"/>
      <w:marBottom w:val="0"/>
      <w:divBdr>
        <w:top w:val="none" w:sz="0" w:space="0" w:color="auto"/>
        <w:left w:val="none" w:sz="0" w:space="0" w:color="auto"/>
        <w:bottom w:val="none" w:sz="0" w:space="0" w:color="auto"/>
        <w:right w:val="none" w:sz="0" w:space="0" w:color="auto"/>
      </w:divBdr>
    </w:div>
    <w:div w:id="15932856">
      <w:bodyDiv w:val="1"/>
      <w:marLeft w:val="0"/>
      <w:marRight w:val="0"/>
      <w:marTop w:val="0"/>
      <w:marBottom w:val="0"/>
      <w:divBdr>
        <w:top w:val="none" w:sz="0" w:space="0" w:color="auto"/>
        <w:left w:val="none" w:sz="0" w:space="0" w:color="auto"/>
        <w:bottom w:val="none" w:sz="0" w:space="0" w:color="auto"/>
        <w:right w:val="none" w:sz="0" w:space="0" w:color="auto"/>
      </w:divBdr>
    </w:div>
    <w:div w:id="35351954">
      <w:bodyDiv w:val="1"/>
      <w:marLeft w:val="0"/>
      <w:marRight w:val="0"/>
      <w:marTop w:val="0"/>
      <w:marBottom w:val="0"/>
      <w:divBdr>
        <w:top w:val="none" w:sz="0" w:space="0" w:color="auto"/>
        <w:left w:val="none" w:sz="0" w:space="0" w:color="auto"/>
        <w:bottom w:val="none" w:sz="0" w:space="0" w:color="auto"/>
        <w:right w:val="none" w:sz="0" w:space="0" w:color="auto"/>
      </w:divBdr>
    </w:div>
    <w:div w:id="66658970">
      <w:bodyDiv w:val="1"/>
      <w:marLeft w:val="0"/>
      <w:marRight w:val="0"/>
      <w:marTop w:val="0"/>
      <w:marBottom w:val="0"/>
      <w:divBdr>
        <w:top w:val="none" w:sz="0" w:space="0" w:color="auto"/>
        <w:left w:val="none" w:sz="0" w:space="0" w:color="auto"/>
        <w:bottom w:val="none" w:sz="0" w:space="0" w:color="auto"/>
        <w:right w:val="none" w:sz="0" w:space="0" w:color="auto"/>
      </w:divBdr>
    </w:div>
    <w:div w:id="102309977">
      <w:bodyDiv w:val="1"/>
      <w:marLeft w:val="0"/>
      <w:marRight w:val="0"/>
      <w:marTop w:val="0"/>
      <w:marBottom w:val="0"/>
      <w:divBdr>
        <w:top w:val="none" w:sz="0" w:space="0" w:color="auto"/>
        <w:left w:val="none" w:sz="0" w:space="0" w:color="auto"/>
        <w:bottom w:val="none" w:sz="0" w:space="0" w:color="auto"/>
        <w:right w:val="none" w:sz="0" w:space="0" w:color="auto"/>
      </w:divBdr>
    </w:div>
    <w:div w:id="109209607">
      <w:bodyDiv w:val="1"/>
      <w:marLeft w:val="0"/>
      <w:marRight w:val="0"/>
      <w:marTop w:val="0"/>
      <w:marBottom w:val="0"/>
      <w:divBdr>
        <w:top w:val="none" w:sz="0" w:space="0" w:color="auto"/>
        <w:left w:val="none" w:sz="0" w:space="0" w:color="auto"/>
        <w:bottom w:val="none" w:sz="0" w:space="0" w:color="auto"/>
        <w:right w:val="none" w:sz="0" w:space="0" w:color="auto"/>
      </w:divBdr>
    </w:div>
    <w:div w:id="140662768">
      <w:bodyDiv w:val="1"/>
      <w:marLeft w:val="0"/>
      <w:marRight w:val="0"/>
      <w:marTop w:val="0"/>
      <w:marBottom w:val="0"/>
      <w:divBdr>
        <w:top w:val="none" w:sz="0" w:space="0" w:color="auto"/>
        <w:left w:val="none" w:sz="0" w:space="0" w:color="auto"/>
        <w:bottom w:val="none" w:sz="0" w:space="0" w:color="auto"/>
        <w:right w:val="none" w:sz="0" w:space="0" w:color="auto"/>
      </w:divBdr>
    </w:div>
    <w:div w:id="159123359">
      <w:bodyDiv w:val="1"/>
      <w:marLeft w:val="0"/>
      <w:marRight w:val="0"/>
      <w:marTop w:val="0"/>
      <w:marBottom w:val="0"/>
      <w:divBdr>
        <w:top w:val="none" w:sz="0" w:space="0" w:color="auto"/>
        <w:left w:val="none" w:sz="0" w:space="0" w:color="auto"/>
        <w:bottom w:val="none" w:sz="0" w:space="0" w:color="auto"/>
        <w:right w:val="none" w:sz="0" w:space="0" w:color="auto"/>
      </w:divBdr>
    </w:div>
    <w:div w:id="192232192">
      <w:bodyDiv w:val="1"/>
      <w:marLeft w:val="0"/>
      <w:marRight w:val="0"/>
      <w:marTop w:val="0"/>
      <w:marBottom w:val="0"/>
      <w:divBdr>
        <w:top w:val="none" w:sz="0" w:space="0" w:color="auto"/>
        <w:left w:val="none" w:sz="0" w:space="0" w:color="auto"/>
        <w:bottom w:val="none" w:sz="0" w:space="0" w:color="auto"/>
        <w:right w:val="none" w:sz="0" w:space="0" w:color="auto"/>
      </w:divBdr>
    </w:div>
    <w:div w:id="246959226">
      <w:bodyDiv w:val="1"/>
      <w:marLeft w:val="0"/>
      <w:marRight w:val="0"/>
      <w:marTop w:val="0"/>
      <w:marBottom w:val="0"/>
      <w:divBdr>
        <w:top w:val="none" w:sz="0" w:space="0" w:color="auto"/>
        <w:left w:val="none" w:sz="0" w:space="0" w:color="auto"/>
        <w:bottom w:val="none" w:sz="0" w:space="0" w:color="auto"/>
        <w:right w:val="none" w:sz="0" w:space="0" w:color="auto"/>
      </w:divBdr>
    </w:div>
    <w:div w:id="254753229">
      <w:bodyDiv w:val="1"/>
      <w:marLeft w:val="0"/>
      <w:marRight w:val="0"/>
      <w:marTop w:val="0"/>
      <w:marBottom w:val="0"/>
      <w:divBdr>
        <w:top w:val="none" w:sz="0" w:space="0" w:color="auto"/>
        <w:left w:val="none" w:sz="0" w:space="0" w:color="auto"/>
        <w:bottom w:val="none" w:sz="0" w:space="0" w:color="auto"/>
        <w:right w:val="none" w:sz="0" w:space="0" w:color="auto"/>
      </w:divBdr>
    </w:div>
    <w:div w:id="256669264">
      <w:bodyDiv w:val="1"/>
      <w:marLeft w:val="0"/>
      <w:marRight w:val="0"/>
      <w:marTop w:val="0"/>
      <w:marBottom w:val="0"/>
      <w:divBdr>
        <w:top w:val="none" w:sz="0" w:space="0" w:color="auto"/>
        <w:left w:val="none" w:sz="0" w:space="0" w:color="auto"/>
        <w:bottom w:val="none" w:sz="0" w:space="0" w:color="auto"/>
        <w:right w:val="none" w:sz="0" w:space="0" w:color="auto"/>
      </w:divBdr>
      <w:divsChild>
        <w:div w:id="154343192">
          <w:marLeft w:val="0"/>
          <w:marRight w:val="0"/>
          <w:marTop w:val="0"/>
          <w:marBottom w:val="0"/>
          <w:divBdr>
            <w:top w:val="none" w:sz="0" w:space="0" w:color="auto"/>
            <w:left w:val="none" w:sz="0" w:space="0" w:color="auto"/>
            <w:bottom w:val="none" w:sz="0" w:space="0" w:color="auto"/>
            <w:right w:val="none" w:sz="0" w:space="0" w:color="auto"/>
          </w:divBdr>
          <w:divsChild>
            <w:div w:id="152068610">
              <w:marLeft w:val="0"/>
              <w:marRight w:val="0"/>
              <w:marTop w:val="0"/>
              <w:marBottom w:val="0"/>
              <w:divBdr>
                <w:top w:val="none" w:sz="0" w:space="0" w:color="auto"/>
                <w:left w:val="none" w:sz="0" w:space="0" w:color="auto"/>
                <w:bottom w:val="none" w:sz="0" w:space="0" w:color="auto"/>
                <w:right w:val="none" w:sz="0" w:space="0" w:color="auto"/>
              </w:divBdr>
              <w:divsChild>
                <w:div w:id="145754416">
                  <w:marLeft w:val="0"/>
                  <w:marRight w:val="0"/>
                  <w:marTop w:val="0"/>
                  <w:marBottom w:val="0"/>
                  <w:divBdr>
                    <w:top w:val="none" w:sz="0" w:space="0" w:color="auto"/>
                    <w:left w:val="none" w:sz="0" w:space="0" w:color="auto"/>
                    <w:bottom w:val="none" w:sz="0" w:space="0" w:color="auto"/>
                    <w:right w:val="none" w:sz="0" w:space="0" w:color="auto"/>
                  </w:divBdr>
                  <w:divsChild>
                    <w:div w:id="13657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004985">
      <w:bodyDiv w:val="1"/>
      <w:marLeft w:val="0"/>
      <w:marRight w:val="0"/>
      <w:marTop w:val="0"/>
      <w:marBottom w:val="0"/>
      <w:divBdr>
        <w:top w:val="none" w:sz="0" w:space="0" w:color="auto"/>
        <w:left w:val="none" w:sz="0" w:space="0" w:color="auto"/>
        <w:bottom w:val="none" w:sz="0" w:space="0" w:color="auto"/>
        <w:right w:val="none" w:sz="0" w:space="0" w:color="auto"/>
      </w:divBdr>
      <w:divsChild>
        <w:div w:id="1836144969">
          <w:marLeft w:val="0"/>
          <w:marRight w:val="0"/>
          <w:marTop w:val="0"/>
          <w:marBottom w:val="0"/>
          <w:divBdr>
            <w:top w:val="none" w:sz="0" w:space="0" w:color="auto"/>
            <w:left w:val="none" w:sz="0" w:space="0" w:color="auto"/>
            <w:bottom w:val="none" w:sz="0" w:space="0" w:color="auto"/>
            <w:right w:val="none" w:sz="0" w:space="0" w:color="auto"/>
          </w:divBdr>
          <w:divsChild>
            <w:div w:id="1291788947">
              <w:marLeft w:val="0"/>
              <w:marRight w:val="0"/>
              <w:marTop w:val="0"/>
              <w:marBottom w:val="0"/>
              <w:divBdr>
                <w:top w:val="none" w:sz="0" w:space="0" w:color="auto"/>
                <w:left w:val="none" w:sz="0" w:space="0" w:color="auto"/>
                <w:bottom w:val="none" w:sz="0" w:space="0" w:color="auto"/>
                <w:right w:val="none" w:sz="0" w:space="0" w:color="auto"/>
              </w:divBdr>
              <w:divsChild>
                <w:div w:id="312951681">
                  <w:marLeft w:val="-165"/>
                  <w:marRight w:val="0"/>
                  <w:marTop w:val="0"/>
                  <w:marBottom w:val="0"/>
                  <w:divBdr>
                    <w:top w:val="none" w:sz="0" w:space="0" w:color="auto"/>
                    <w:left w:val="none" w:sz="0" w:space="0" w:color="auto"/>
                    <w:bottom w:val="none" w:sz="0" w:space="0" w:color="auto"/>
                    <w:right w:val="none" w:sz="0" w:space="0" w:color="auto"/>
                  </w:divBdr>
                  <w:divsChild>
                    <w:div w:id="376903068">
                      <w:marLeft w:val="0"/>
                      <w:marRight w:val="0"/>
                      <w:marTop w:val="0"/>
                      <w:marBottom w:val="0"/>
                      <w:divBdr>
                        <w:top w:val="none" w:sz="0" w:space="0" w:color="auto"/>
                        <w:left w:val="none" w:sz="0" w:space="0" w:color="auto"/>
                        <w:bottom w:val="none" w:sz="0" w:space="0" w:color="auto"/>
                        <w:right w:val="none" w:sz="0" w:space="0" w:color="auto"/>
                      </w:divBdr>
                      <w:divsChild>
                        <w:div w:id="1057440451">
                          <w:marLeft w:val="0"/>
                          <w:marRight w:val="0"/>
                          <w:marTop w:val="0"/>
                          <w:marBottom w:val="0"/>
                          <w:divBdr>
                            <w:top w:val="none" w:sz="0" w:space="0" w:color="auto"/>
                            <w:left w:val="none" w:sz="0" w:space="0" w:color="auto"/>
                            <w:bottom w:val="none" w:sz="0" w:space="0" w:color="auto"/>
                            <w:right w:val="none" w:sz="0" w:space="0" w:color="auto"/>
                          </w:divBdr>
                        </w:div>
                        <w:div w:id="107303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145326">
          <w:marLeft w:val="0"/>
          <w:marRight w:val="0"/>
          <w:marTop w:val="0"/>
          <w:marBottom w:val="0"/>
          <w:divBdr>
            <w:top w:val="none" w:sz="0" w:space="0" w:color="auto"/>
            <w:left w:val="none" w:sz="0" w:space="0" w:color="auto"/>
            <w:bottom w:val="none" w:sz="0" w:space="0" w:color="auto"/>
            <w:right w:val="none" w:sz="0" w:space="0" w:color="auto"/>
          </w:divBdr>
          <w:divsChild>
            <w:div w:id="1379937252">
              <w:marLeft w:val="0"/>
              <w:marRight w:val="0"/>
              <w:marTop w:val="0"/>
              <w:marBottom w:val="0"/>
              <w:divBdr>
                <w:top w:val="none" w:sz="0" w:space="0" w:color="auto"/>
                <w:left w:val="none" w:sz="0" w:space="0" w:color="auto"/>
                <w:bottom w:val="none" w:sz="0" w:space="0" w:color="auto"/>
                <w:right w:val="none" w:sz="0" w:space="0" w:color="auto"/>
              </w:divBdr>
              <w:divsChild>
                <w:div w:id="205457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2238">
      <w:bodyDiv w:val="1"/>
      <w:marLeft w:val="0"/>
      <w:marRight w:val="0"/>
      <w:marTop w:val="0"/>
      <w:marBottom w:val="0"/>
      <w:divBdr>
        <w:top w:val="none" w:sz="0" w:space="0" w:color="auto"/>
        <w:left w:val="none" w:sz="0" w:space="0" w:color="auto"/>
        <w:bottom w:val="none" w:sz="0" w:space="0" w:color="auto"/>
        <w:right w:val="none" w:sz="0" w:space="0" w:color="auto"/>
      </w:divBdr>
    </w:div>
    <w:div w:id="343752530">
      <w:bodyDiv w:val="1"/>
      <w:marLeft w:val="0"/>
      <w:marRight w:val="0"/>
      <w:marTop w:val="0"/>
      <w:marBottom w:val="0"/>
      <w:divBdr>
        <w:top w:val="none" w:sz="0" w:space="0" w:color="auto"/>
        <w:left w:val="none" w:sz="0" w:space="0" w:color="auto"/>
        <w:bottom w:val="none" w:sz="0" w:space="0" w:color="auto"/>
        <w:right w:val="none" w:sz="0" w:space="0" w:color="auto"/>
      </w:divBdr>
    </w:div>
    <w:div w:id="366369532">
      <w:bodyDiv w:val="1"/>
      <w:marLeft w:val="0"/>
      <w:marRight w:val="0"/>
      <w:marTop w:val="0"/>
      <w:marBottom w:val="0"/>
      <w:divBdr>
        <w:top w:val="none" w:sz="0" w:space="0" w:color="auto"/>
        <w:left w:val="none" w:sz="0" w:space="0" w:color="auto"/>
        <w:bottom w:val="none" w:sz="0" w:space="0" w:color="auto"/>
        <w:right w:val="none" w:sz="0" w:space="0" w:color="auto"/>
      </w:divBdr>
    </w:div>
    <w:div w:id="378241008">
      <w:bodyDiv w:val="1"/>
      <w:marLeft w:val="0"/>
      <w:marRight w:val="0"/>
      <w:marTop w:val="0"/>
      <w:marBottom w:val="0"/>
      <w:divBdr>
        <w:top w:val="none" w:sz="0" w:space="0" w:color="auto"/>
        <w:left w:val="none" w:sz="0" w:space="0" w:color="auto"/>
        <w:bottom w:val="none" w:sz="0" w:space="0" w:color="auto"/>
        <w:right w:val="none" w:sz="0" w:space="0" w:color="auto"/>
      </w:divBdr>
    </w:div>
    <w:div w:id="408432704">
      <w:bodyDiv w:val="1"/>
      <w:marLeft w:val="0"/>
      <w:marRight w:val="0"/>
      <w:marTop w:val="0"/>
      <w:marBottom w:val="0"/>
      <w:divBdr>
        <w:top w:val="none" w:sz="0" w:space="0" w:color="auto"/>
        <w:left w:val="none" w:sz="0" w:space="0" w:color="auto"/>
        <w:bottom w:val="none" w:sz="0" w:space="0" w:color="auto"/>
        <w:right w:val="none" w:sz="0" w:space="0" w:color="auto"/>
      </w:divBdr>
    </w:div>
    <w:div w:id="452947214">
      <w:bodyDiv w:val="1"/>
      <w:marLeft w:val="0"/>
      <w:marRight w:val="0"/>
      <w:marTop w:val="0"/>
      <w:marBottom w:val="0"/>
      <w:divBdr>
        <w:top w:val="none" w:sz="0" w:space="0" w:color="auto"/>
        <w:left w:val="none" w:sz="0" w:space="0" w:color="auto"/>
        <w:bottom w:val="none" w:sz="0" w:space="0" w:color="auto"/>
        <w:right w:val="none" w:sz="0" w:space="0" w:color="auto"/>
      </w:divBdr>
    </w:div>
    <w:div w:id="456918958">
      <w:bodyDiv w:val="1"/>
      <w:marLeft w:val="0"/>
      <w:marRight w:val="0"/>
      <w:marTop w:val="0"/>
      <w:marBottom w:val="0"/>
      <w:divBdr>
        <w:top w:val="none" w:sz="0" w:space="0" w:color="auto"/>
        <w:left w:val="none" w:sz="0" w:space="0" w:color="auto"/>
        <w:bottom w:val="none" w:sz="0" w:space="0" w:color="auto"/>
        <w:right w:val="none" w:sz="0" w:space="0" w:color="auto"/>
      </w:divBdr>
    </w:div>
    <w:div w:id="464471035">
      <w:bodyDiv w:val="1"/>
      <w:marLeft w:val="0"/>
      <w:marRight w:val="0"/>
      <w:marTop w:val="0"/>
      <w:marBottom w:val="0"/>
      <w:divBdr>
        <w:top w:val="none" w:sz="0" w:space="0" w:color="auto"/>
        <w:left w:val="none" w:sz="0" w:space="0" w:color="auto"/>
        <w:bottom w:val="none" w:sz="0" w:space="0" w:color="auto"/>
        <w:right w:val="none" w:sz="0" w:space="0" w:color="auto"/>
      </w:divBdr>
      <w:divsChild>
        <w:div w:id="1170750859">
          <w:marLeft w:val="0"/>
          <w:marRight w:val="0"/>
          <w:marTop w:val="0"/>
          <w:marBottom w:val="0"/>
          <w:divBdr>
            <w:top w:val="none" w:sz="0" w:space="0" w:color="auto"/>
            <w:left w:val="none" w:sz="0" w:space="0" w:color="auto"/>
            <w:bottom w:val="none" w:sz="0" w:space="0" w:color="auto"/>
            <w:right w:val="none" w:sz="0" w:space="0" w:color="auto"/>
          </w:divBdr>
          <w:divsChild>
            <w:div w:id="306936042">
              <w:marLeft w:val="0"/>
              <w:marRight w:val="0"/>
              <w:marTop w:val="0"/>
              <w:marBottom w:val="0"/>
              <w:divBdr>
                <w:top w:val="none" w:sz="0" w:space="0" w:color="auto"/>
                <w:left w:val="none" w:sz="0" w:space="0" w:color="auto"/>
                <w:bottom w:val="none" w:sz="0" w:space="0" w:color="auto"/>
                <w:right w:val="none" w:sz="0" w:space="0" w:color="auto"/>
              </w:divBdr>
              <w:divsChild>
                <w:div w:id="890195073">
                  <w:marLeft w:val="0"/>
                  <w:marRight w:val="0"/>
                  <w:marTop w:val="0"/>
                  <w:marBottom w:val="0"/>
                  <w:divBdr>
                    <w:top w:val="none" w:sz="0" w:space="0" w:color="auto"/>
                    <w:left w:val="none" w:sz="0" w:space="0" w:color="auto"/>
                    <w:bottom w:val="none" w:sz="0" w:space="0" w:color="auto"/>
                    <w:right w:val="none" w:sz="0" w:space="0" w:color="auto"/>
                  </w:divBdr>
                  <w:divsChild>
                    <w:div w:id="74634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482768">
      <w:bodyDiv w:val="1"/>
      <w:marLeft w:val="0"/>
      <w:marRight w:val="0"/>
      <w:marTop w:val="0"/>
      <w:marBottom w:val="0"/>
      <w:divBdr>
        <w:top w:val="none" w:sz="0" w:space="0" w:color="auto"/>
        <w:left w:val="none" w:sz="0" w:space="0" w:color="auto"/>
        <w:bottom w:val="none" w:sz="0" w:space="0" w:color="auto"/>
        <w:right w:val="none" w:sz="0" w:space="0" w:color="auto"/>
      </w:divBdr>
      <w:divsChild>
        <w:div w:id="1361004389">
          <w:marLeft w:val="0"/>
          <w:marRight w:val="0"/>
          <w:marTop w:val="0"/>
          <w:marBottom w:val="0"/>
          <w:divBdr>
            <w:top w:val="none" w:sz="0" w:space="0" w:color="auto"/>
            <w:left w:val="none" w:sz="0" w:space="0" w:color="auto"/>
            <w:bottom w:val="none" w:sz="0" w:space="0" w:color="auto"/>
            <w:right w:val="none" w:sz="0" w:space="0" w:color="auto"/>
          </w:divBdr>
          <w:divsChild>
            <w:div w:id="1195384709">
              <w:marLeft w:val="0"/>
              <w:marRight w:val="0"/>
              <w:marTop w:val="0"/>
              <w:marBottom w:val="0"/>
              <w:divBdr>
                <w:top w:val="none" w:sz="0" w:space="0" w:color="auto"/>
                <w:left w:val="none" w:sz="0" w:space="0" w:color="auto"/>
                <w:bottom w:val="none" w:sz="0" w:space="0" w:color="auto"/>
                <w:right w:val="none" w:sz="0" w:space="0" w:color="auto"/>
              </w:divBdr>
              <w:divsChild>
                <w:div w:id="35813116">
                  <w:marLeft w:val="0"/>
                  <w:marRight w:val="0"/>
                  <w:marTop w:val="0"/>
                  <w:marBottom w:val="0"/>
                  <w:divBdr>
                    <w:top w:val="none" w:sz="0" w:space="0" w:color="auto"/>
                    <w:left w:val="none" w:sz="0" w:space="0" w:color="auto"/>
                    <w:bottom w:val="none" w:sz="0" w:space="0" w:color="auto"/>
                    <w:right w:val="none" w:sz="0" w:space="0" w:color="auto"/>
                  </w:divBdr>
                  <w:divsChild>
                    <w:div w:id="203103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758019">
      <w:bodyDiv w:val="1"/>
      <w:marLeft w:val="0"/>
      <w:marRight w:val="0"/>
      <w:marTop w:val="0"/>
      <w:marBottom w:val="0"/>
      <w:divBdr>
        <w:top w:val="none" w:sz="0" w:space="0" w:color="auto"/>
        <w:left w:val="none" w:sz="0" w:space="0" w:color="auto"/>
        <w:bottom w:val="none" w:sz="0" w:space="0" w:color="auto"/>
        <w:right w:val="none" w:sz="0" w:space="0" w:color="auto"/>
      </w:divBdr>
    </w:div>
    <w:div w:id="581333320">
      <w:bodyDiv w:val="1"/>
      <w:marLeft w:val="0"/>
      <w:marRight w:val="0"/>
      <w:marTop w:val="0"/>
      <w:marBottom w:val="0"/>
      <w:divBdr>
        <w:top w:val="none" w:sz="0" w:space="0" w:color="auto"/>
        <w:left w:val="none" w:sz="0" w:space="0" w:color="auto"/>
        <w:bottom w:val="none" w:sz="0" w:space="0" w:color="auto"/>
        <w:right w:val="none" w:sz="0" w:space="0" w:color="auto"/>
      </w:divBdr>
    </w:div>
    <w:div w:id="623002554">
      <w:bodyDiv w:val="1"/>
      <w:marLeft w:val="0"/>
      <w:marRight w:val="0"/>
      <w:marTop w:val="0"/>
      <w:marBottom w:val="0"/>
      <w:divBdr>
        <w:top w:val="none" w:sz="0" w:space="0" w:color="auto"/>
        <w:left w:val="none" w:sz="0" w:space="0" w:color="auto"/>
        <w:bottom w:val="none" w:sz="0" w:space="0" w:color="auto"/>
        <w:right w:val="none" w:sz="0" w:space="0" w:color="auto"/>
      </w:divBdr>
    </w:div>
    <w:div w:id="675688251">
      <w:bodyDiv w:val="1"/>
      <w:marLeft w:val="0"/>
      <w:marRight w:val="0"/>
      <w:marTop w:val="0"/>
      <w:marBottom w:val="0"/>
      <w:divBdr>
        <w:top w:val="none" w:sz="0" w:space="0" w:color="auto"/>
        <w:left w:val="none" w:sz="0" w:space="0" w:color="auto"/>
        <w:bottom w:val="none" w:sz="0" w:space="0" w:color="auto"/>
        <w:right w:val="none" w:sz="0" w:space="0" w:color="auto"/>
      </w:divBdr>
    </w:div>
    <w:div w:id="697660483">
      <w:bodyDiv w:val="1"/>
      <w:marLeft w:val="0"/>
      <w:marRight w:val="0"/>
      <w:marTop w:val="0"/>
      <w:marBottom w:val="0"/>
      <w:divBdr>
        <w:top w:val="none" w:sz="0" w:space="0" w:color="auto"/>
        <w:left w:val="none" w:sz="0" w:space="0" w:color="auto"/>
        <w:bottom w:val="none" w:sz="0" w:space="0" w:color="auto"/>
        <w:right w:val="none" w:sz="0" w:space="0" w:color="auto"/>
      </w:divBdr>
    </w:div>
    <w:div w:id="752630619">
      <w:bodyDiv w:val="1"/>
      <w:marLeft w:val="0"/>
      <w:marRight w:val="0"/>
      <w:marTop w:val="0"/>
      <w:marBottom w:val="0"/>
      <w:divBdr>
        <w:top w:val="none" w:sz="0" w:space="0" w:color="auto"/>
        <w:left w:val="none" w:sz="0" w:space="0" w:color="auto"/>
        <w:bottom w:val="none" w:sz="0" w:space="0" w:color="auto"/>
        <w:right w:val="none" w:sz="0" w:space="0" w:color="auto"/>
      </w:divBdr>
    </w:div>
    <w:div w:id="802384446">
      <w:bodyDiv w:val="1"/>
      <w:marLeft w:val="0"/>
      <w:marRight w:val="0"/>
      <w:marTop w:val="0"/>
      <w:marBottom w:val="0"/>
      <w:divBdr>
        <w:top w:val="none" w:sz="0" w:space="0" w:color="auto"/>
        <w:left w:val="none" w:sz="0" w:space="0" w:color="auto"/>
        <w:bottom w:val="none" w:sz="0" w:space="0" w:color="auto"/>
        <w:right w:val="none" w:sz="0" w:space="0" w:color="auto"/>
      </w:divBdr>
    </w:div>
    <w:div w:id="883643009">
      <w:bodyDiv w:val="1"/>
      <w:marLeft w:val="0"/>
      <w:marRight w:val="0"/>
      <w:marTop w:val="0"/>
      <w:marBottom w:val="0"/>
      <w:divBdr>
        <w:top w:val="none" w:sz="0" w:space="0" w:color="auto"/>
        <w:left w:val="none" w:sz="0" w:space="0" w:color="auto"/>
        <w:bottom w:val="none" w:sz="0" w:space="0" w:color="auto"/>
        <w:right w:val="none" w:sz="0" w:space="0" w:color="auto"/>
      </w:divBdr>
      <w:divsChild>
        <w:div w:id="658732861">
          <w:marLeft w:val="0"/>
          <w:marRight w:val="0"/>
          <w:marTop w:val="0"/>
          <w:marBottom w:val="0"/>
          <w:divBdr>
            <w:top w:val="none" w:sz="0" w:space="0" w:color="auto"/>
            <w:left w:val="none" w:sz="0" w:space="0" w:color="auto"/>
            <w:bottom w:val="none" w:sz="0" w:space="0" w:color="auto"/>
            <w:right w:val="none" w:sz="0" w:space="0" w:color="auto"/>
          </w:divBdr>
          <w:divsChild>
            <w:div w:id="604701620">
              <w:marLeft w:val="0"/>
              <w:marRight w:val="0"/>
              <w:marTop w:val="0"/>
              <w:marBottom w:val="0"/>
              <w:divBdr>
                <w:top w:val="none" w:sz="0" w:space="0" w:color="auto"/>
                <w:left w:val="none" w:sz="0" w:space="0" w:color="auto"/>
                <w:bottom w:val="none" w:sz="0" w:space="0" w:color="auto"/>
                <w:right w:val="none" w:sz="0" w:space="0" w:color="auto"/>
              </w:divBdr>
              <w:divsChild>
                <w:div w:id="475997931">
                  <w:marLeft w:val="-165"/>
                  <w:marRight w:val="0"/>
                  <w:marTop w:val="0"/>
                  <w:marBottom w:val="0"/>
                  <w:divBdr>
                    <w:top w:val="none" w:sz="0" w:space="0" w:color="auto"/>
                    <w:left w:val="none" w:sz="0" w:space="0" w:color="auto"/>
                    <w:bottom w:val="none" w:sz="0" w:space="0" w:color="auto"/>
                    <w:right w:val="none" w:sz="0" w:space="0" w:color="auto"/>
                  </w:divBdr>
                  <w:divsChild>
                    <w:div w:id="1673414875">
                      <w:marLeft w:val="0"/>
                      <w:marRight w:val="0"/>
                      <w:marTop w:val="0"/>
                      <w:marBottom w:val="0"/>
                      <w:divBdr>
                        <w:top w:val="none" w:sz="0" w:space="0" w:color="auto"/>
                        <w:left w:val="none" w:sz="0" w:space="0" w:color="auto"/>
                        <w:bottom w:val="none" w:sz="0" w:space="0" w:color="auto"/>
                        <w:right w:val="none" w:sz="0" w:space="0" w:color="auto"/>
                      </w:divBdr>
                      <w:divsChild>
                        <w:div w:id="1693649291">
                          <w:marLeft w:val="0"/>
                          <w:marRight w:val="0"/>
                          <w:marTop w:val="0"/>
                          <w:marBottom w:val="0"/>
                          <w:divBdr>
                            <w:top w:val="none" w:sz="0" w:space="0" w:color="auto"/>
                            <w:left w:val="none" w:sz="0" w:space="0" w:color="auto"/>
                            <w:bottom w:val="none" w:sz="0" w:space="0" w:color="auto"/>
                            <w:right w:val="none" w:sz="0" w:space="0" w:color="auto"/>
                          </w:divBdr>
                        </w:div>
                        <w:div w:id="55235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45808">
          <w:marLeft w:val="0"/>
          <w:marRight w:val="0"/>
          <w:marTop w:val="0"/>
          <w:marBottom w:val="0"/>
          <w:divBdr>
            <w:top w:val="none" w:sz="0" w:space="0" w:color="auto"/>
            <w:left w:val="none" w:sz="0" w:space="0" w:color="auto"/>
            <w:bottom w:val="none" w:sz="0" w:space="0" w:color="auto"/>
            <w:right w:val="none" w:sz="0" w:space="0" w:color="auto"/>
          </w:divBdr>
          <w:divsChild>
            <w:div w:id="68427908">
              <w:marLeft w:val="0"/>
              <w:marRight w:val="0"/>
              <w:marTop w:val="0"/>
              <w:marBottom w:val="0"/>
              <w:divBdr>
                <w:top w:val="none" w:sz="0" w:space="0" w:color="auto"/>
                <w:left w:val="none" w:sz="0" w:space="0" w:color="auto"/>
                <w:bottom w:val="none" w:sz="0" w:space="0" w:color="auto"/>
                <w:right w:val="none" w:sz="0" w:space="0" w:color="auto"/>
              </w:divBdr>
              <w:divsChild>
                <w:div w:id="4209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47905">
      <w:bodyDiv w:val="1"/>
      <w:marLeft w:val="0"/>
      <w:marRight w:val="0"/>
      <w:marTop w:val="0"/>
      <w:marBottom w:val="0"/>
      <w:divBdr>
        <w:top w:val="none" w:sz="0" w:space="0" w:color="auto"/>
        <w:left w:val="none" w:sz="0" w:space="0" w:color="auto"/>
        <w:bottom w:val="none" w:sz="0" w:space="0" w:color="auto"/>
        <w:right w:val="none" w:sz="0" w:space="0" w:color="auto"/>
      </w:divBdr>
      <w:divsChild>
        <w:div w:id="184026387">
          <w:marLeft w:val="0"/>
          <w:marRight w:val="0"/>
          <w:marTop w:val="0"/>
          <w:marBottom w:val="0"/>
          <w:divBdr>
            <w:top w:val="none" w:sz="0" w:space="0" w:color="auto"/>
            <w:left w:val="none" w:sz="0" w:space="0" w:color="auto"/>
            <w:bottom w:val="none" w:sz="0" w:space="0" w:color="auto"/>
            <w:right w:val="none" w:sz="0" w:space="0" w:color="auto"/>
          </w:divBdr>
          <w:divsChild>
            <w:div w:id="1581256679">
              <w:marLeft w:val="0"/>
              <w:marRight w:val="0"/>
              <w:marTop w:val="0"/>
              <w:marBottom w:val="0"/>
              <w:divBdr>
                <w:top w:val="none" w:sz="0" w:space="0" w:color="auto"/>
                <w:left w:val="none" w:sz="0" w:space="0" w:color="auto"/>
                <w:bottom w:val="none" w:sz="0" w:space="0" w:color="auto"/>
                <w:right w:val="none" w:sz="0" w:space="0" w:color="auto"/>
              </w:divBdr>
              <w:divsChild>
                <w:div w:id="97513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911811">
      <w:bodyDiv w:val="1"/>
      <w:marLeft w:val="0"/>
      <w:marRight w:val="0"/>
      <w:marTop w:val="0"/>
      <w:marBottom w:val="0"/>
      <w:divBdr>
        <w:top w:val="none" w:sz="0" w:space="0" w:color="auto"/>
        <w:left w:val="none" w:sz="0" w:space="0" w:color="auto"/>
        <w:bottom w:val="none" w:sz="0" w:space="0" w:color="auto"/>
        <w:right w:val="none" w:sz="0" w:space="0" w:color="auto"/>
      </w:divBdr>
    </w:div>
    <w:div w:id="949555399">
      <w:bodyDiv w:val="1"/>
      <w:marLeft w:val="0"/>
      <w:marRight w:val="0"/>
      <w:marTop w:val="0"/>
      <w:marBottom w:val="0"/>
      <w:divBdr>
        <w:top w:val="none" w:sz="0" w:space="0" w:color="auto"/>
        <w:left w:val="none" w:sz="0" w:space="0" w:color="auto"/>
        <w:bottom w:val="none" w:sz="0" w:space="0" w:color="auto"/>
        <w:right w:val="none" w:sz="0" w:space="0" w:color="auto"/>
      </w:divBdr>
    </w:div>
    <w:div w:id="990406500">
      <w:bodyDiv w:val="1"/>
      <w:marLeft w:val="0"/>
      <w:marRight w:val="0"/>
      <w:marTop w:val="0"/>
      <w:marBottom w:val="0"/>
      <w:divBdr>
        <w:top w:val="none" w:sz="0" w:space="0" w:color="auto"/>
        <w:left w:val="none" w:sz="0" w:space="0" w:color="auto"/>
        <w:bottom w:val="none" w:sz="0" w:space="0" w:color="auto"/>
        <w:right w:val="none" w:sz="0" w:space="0" w:color="auto"/>
      </w:divBdr>
    </w:div>
    <w:div w:id="996493719">
      <w:bodyDiv w:val="1"/>
      <w:marLeft w:val="0"/>
      <w:marRight w:val="0"/>
      <w:marTop w:val="0"/>
      <w:marBottom w:val="0"/>
      <w:divBdr>
        <w:top w:val="none" w:sz="0" w:space="0" w:color="auto"/>
        <w:left w:val="none" w:sz="0" w:space="0" w:color="auto"/>
        <w:bottom w:val="none" w:sz="0" w:space="0" w:color="auto"/>
        <w:right w:val="none" w:sz="0" w:space="0" w:color="auto"/>
      </w:divBdr>
    </w:div>
    <w:div w:id="1006712838">
      <w:bodyDiv w:val="1"/>
      <w:marLeft w:val="0"/>
      <w:marRight w:val="0"/>
      <w:marTop w:val="0"/>
      <w:marBottom w:val="0"/>
      <w:divBdr>
        <w:top w:val="none" w:sz="0" w:space="0" w:color="auto"/>
        <w:left w:val="none" w:sz="0" w:space="0" w:color="auto"/>
        <w:bottom w:val="none" w:sz="0" w:space="0" w:color="auto"/>
        <w:right w:val="none" w:sz="0" w:space="0" w:color="auto"/>
      </w:divBdr>
      <w:divsChild>
        <w:div w:id="226307250">
          <w:marLeft w:val="0"/>
          <w:marRight w:val="0"/>
          <w:marTop w:val="0"/>
          <w:marBottom w:val="0"/>
          <w:divBdr>
            <w:top w:val="none" w:sz="0" w:space="0" w:color="auto"/>
            <w:left w:val="none" w:sz="0" w:space="0" w:color="auto"/>
            <w:bottom w:val="none" w:sz="0" w:space="0" w:color="auto"/>
            <w:right w:val="none" w:sz="0" w:space="0" w:color="auto"/>
          </w:divBdr>
          <w:divsChild>
            <w:div w:id="843477027">
              <w:marLeft w:val="0"/>
              <w:marRight w:val="0"/>
              <w:marTop w:val="0"/>
              <w:marBottom w:val="0"/>
              <w:divBdr>
                <w:top w:val="none" w:sz="0" w:space="0" w:color="auto"/>
                <w:left w:val="none" w:sz="0" w:space="0" w:color="auto"/>
                <w:bottom w:val="none" w:sz="0" w:space="0" w:color="auto"/>
                <w:right w:val="none" w:sz="0" w:space="0" w:color="auto"/>
              </w:divBdr>
              <w:divsChild>
                <w:div w:id="2096395870">
                  <w:marLeft w:val="0"/>
                  <w:marRight w:val="0"/>
                  <w:marTop w:val="0"/>
                  <w:marBottom w:val="0"/>
                  <w:divBdr>
                    <w:top w:val="none" w:sz="0" w:space="0" w:color="auto"/>
                    <w:left w:val="none" w:sz="0" w:space="0" w:color="auto"/>
                    <w:bottom w:val="none" w:sz="0" w:space="0" w:color="auto"/>
                    <w:right w:val="none" w:sz="0" w:space="0" w:color="auto"/>
                  </w:divBdr>
                  <w:divsChild>
                    <w:div w:id="93220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572399">
      <w:bodyDiv w:val="1"/>
      <w:marLeft w:val="0"/>
      <w:marRight w:val="0"/>
      <w:marTop w:val="0"/>
      <w:marBottom w:val="0"/>
      <w:divBdr>
        <w:top w:val="none" w:sz="0" w:space="0" w:color="auto"/>
        <w:left w:val="none" w:sz="0" w:space="0" w:color="auto"/>
        <w:bottom w:val="none" w:sz="0" w:space="0" w:color="auto"/>
        <w:right w:val="none" w:sz="0" w:space="0" w:color="auto"/>
      </w:divBdr>
    </w:div>
    <w:div w:id="1071928141">
      <w:bodyDiv w:val="1"/>
      <w:marLeft w:val="0"/>
      <w:marRight w:val="0"/>
      <w:marTop w:val="0"/>
      <w:marBottom w:val="0"/>
      <w:divBdr>
        <w:top w:val="none" w:sz="0" w:space="0" w:color="auto"/>
        <w:left w:val="none" w:sz="0" w:space="0" w:color="auto"/>
        <w:bottom w:val="none" w:sz="0" w:space="0" w:color="auto"/>
        <w:right w:val="none" w:sz="0" w:space="0" w:color="auto"/>
      </w:divBdr>
    </w:div>
    <w:div w:id="1073242258">
      <w:bodyDiv w:val="1"/>
      <w:marLeft w:val="0"/>
      <w:marRight w:val="0"/>
      <w:marTop w:val="0"/>
      <w:marBottom w:val="0"/>
      <w:divBdr>
        <w:top w:val="none" w:sz="0" w:space="0" w:color="auto"/>
        <w:left w:val="none" w:sz="0" w:space="0" w:color="auto"/>
        <w:bottom w:val="none" w:sz="0" w:space="0" w:color="auto"/>
        <w:right w:val="none" w:sz="0" w:space="0" w:color="auto"/>
      </w:divBdr>
      <w:divsChild>
        <w:div w:id="1358196289">
          <w:marLeft w:val="0"/>
          <w:marRight w:val="0"/>
          <w:marTop w:val="0"/>
          <w:marBottom w:val="0"/>
          <w:divBdr>
            <w:top w:val="none" w:sz="0" w:space="0" w:color="auto"/>
            <w:left w:val="none" w:sz="0" w:space="0" w:color="auto"/>
            <w:bottom w:val="none" w:sz="0" w:space="0" w:color="auto"/>
            <w:right w:val="none" w:sz="0" w:space="0" w:color="auto"/>
          </w:divBdr>
          <w:divsChild>
            <w:div w:id="1084374796">
              <w:marLeft w:val="0"/>
              <w:marRight w:val="0"/>
              <w:marTop w:val="0"/>
              <w:marBottom w:val="0"/>
              <w:divBdr>
                <w:top w:val="none" w:sz="0" w:space="0" w:color="auto"/>
                <w:left w:val="none" w:sz="0" w:space="0" w:color="auto"/>
                <w:bottom w:val="none" w:sz="0" w:space="0" w:color="auto"/>
                <w:right w:val="none" w:sz="0" w:space="0" w:color="auto"/>
              </w:divBdr>
              <w:divsChild>
                <w:div w:id="652223010">
                  <w:marLeft w:val="0"/>
                  <w:marRight w:val="0"/>
                  <w:marTop w:val="0"/>
                  <w:marBottom w:val="0"/>
                  <w:divBdr>
                    <w:top w:val="none" w:sz="0" w:space="0" w:color="auto"/>
                    <w:left w:val="none" w:sz="0" w:space="0" w:color="auto"/>
                    <w:bottom w:val="none" w:sz="0" w:space="0" w:color="auto"/>
                    <w:right w:val="none" w:sz="0" w:space="0" w:color="auto"/>
                  </w:divBdr>
                </w:div>
                <w:div w:id="359553545">
                  <w:marLeft w:val="0"/>
                  <w:marRight w:val="0"/>
                  <w:marTop w:val="0"/>
                  <w:marBottom w:val="0"/>
                  <w:divBdr>
                    <w:top w:val="none" w:sz="0" w:space="0" w:color="auto"/>
                    <w:left w:val="none" w:sz="0" w:space="0" w:color="auto"/>
                    <w:bottom w:val="none" w:sz="0" w:space="0" w:color="auto"/>
                    <w:right w:val="none" w:sz="0" w:space="0" w:color="auto"/>
                  </w:divBdr>
                  <w:divsChild>
                    <w:div w:id="939485015">
                      <w:marLeft w:val="0"/>
                      <w:marRight w:val="0"/>
                      <w:marTop w:val="0"/>
                      <w:marBottom w:val="0"/>
                      <w:divBdr>
                        <w:top w:val="none" w:sz="0" w:space="0" w:color="auto"/>
                        <w:left w:val="none" w:sz="0" w:space="0" w:color="auto"/>
                        <w:bottom w:val="none" w:sz="0" w:space="0" w:color="auto"/>
                        <w:right w:val="none" w:sz="0" w:space="0" w:color="auto"/>
                      </w:divBdr>
                      <w:divsChild>
                        <w:div w:id="171812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279479">
              <w:marLeft w:val="0"/>
              <w:marRight w:val="0"/>
              <w:marTop w:val="0"/>
              <w:marBottom w:val="0"/>
              <w:divBdr>
                <w:top w:val="none" w:sz="0" w:space="0" w:color="auto"/>
                <w:left w:val="none" w:sz="0" w:space="0" w:color="auto"/>
                <w:bottom w:val="none" w:sz="0" w:space="0" w:color="auto"/>
                <w:right w:val="none" w:sz="0" w:space="0" w:color="auto"/>
              </w:divBdr>
              <w:divsChild>
                <w:div w:id="1366368850">
                  <w:marLeft w:val="0"/>
                  <w:marRight w:val="0"/>
                  <w:marTop w:val="0"/>
                  <w:marBottom w:val="0"/>
                  <w:divBdr>
                    <w:top w:val="none" w:sz="0" w:space="0" w:color="auto"/>
                    <w:left w:val="none" w:sz="0" w:space="0" w:color="auto"/>
                    <w:bottom w:val="none" w:sz="0" w:space="0" w:color="auto"/>
                    <w:right w:val="none" w:sz="0" w:space="0" w:color="auto"/>
                  </w:divBdr>
                  <w:divsChild>
                    <w:div w:id="148789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338701">
              <w:marLeft w:val="0"/>
              <w:marRight w:val="0"/>
              <w:marTop w:val="0"/>
              <w:marBottom w:val="0"/>
              <w:divBdr>
                <w:top w:val="none" w:sz="0" w:space="0" w:color="auto"/>
                <w:left w:val="none" w:sz="0" w:space="0" w:color="auto"/>
                <w:bottom w:val="none" w:sz="0" w:space="0" w:color="auto"/>
                <w:right w:val="none" w:sz="0" w:space="0" w:color="auto"/>
              </w:divBdr>
            </w:div>
          </w:divsChild>
        </w:div>
        <w:div w:id="1151170974">
          <w:marLeft w:val="0"/>
          <w:marRight w:val="0"/>
          <w:marTop w:val="0"/>
          <w:marBottom w:val="0"/>
          <w:divBdr>
            <w:top w:val="none" w:sz="0" w:space="0" w:color="auto"/>
            <w:left w:val="none" w:sz="0" w:space="0" w:color="auto"/>
            <w:bottom w:val="none" w:sz="0" w:space="0" w:color="auto"/>
            <w:right w:val="none" w:sz="0" w:space="0" w:color="auto"/>
          </w:divBdr>
          <w:divsChild>
            <w:div w:id="182021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24119">
      <w:bodyDiv w:val="1"/>
      <w:marLeft w:val="0"/>
      <w:marRight w:val="0"/>
      <w:marTop w:val="0"/>
      <w:marBottom w:val="0"/>
      <w:divBdr>
        <w:top w:val="none" w:sz="0" w:space="0" w:color="auto"/>
        <w:left w:val="none" w:sz="0" w:space="0" w:color="auto"/>
        <w:bottom w:val="none" w:sz="0" w:space="0" w:color="auto"/>
        <w:right w:val="none" w:sz="0" w:space="0" w:color="auto"/>
      </w:divBdr>
    </w:div>
    <w:div w:id="1109621475">
      <w:bodyDiv w:val="1"/>
      <w:marLeft w:val="0"/>
      <w:marRight w:val="0"/>
      <w:marTop w:val="0"/>
      <w:marBottom w:val="0"/>
      <w:divBdr>
        <w:top w:val="none" w:sz="0" w:space="0" w:color="auto"/>
        <w:left w:val="none" w:sz="0" w:space="0" w:color="auto"/>
        <w:bottom w:val="none" w:sz="0" w:space="0" w:color="auto"/>
        <w:right w:val="none" w:sz="0" w:space="0" w:color="auto"/>
      </w:divBdr>
    </w:div>
    <w:div w:id="1111510244">
      <w:bodyDiv w:val="1"/>
      <w:marLeft w:val="0"/>
      <w:marRight w:val="0"/>
      <w:marTop w:val="0"/>
      <w:marBottom w:val="0"/>
      <w:divBdr>
        <w:top w:val="none" w:sz="0" w:space="0" w:color="auto"/>
        <w:left w:val="none" w:sz="0" w:space="0" w:color="auto"/>
        <w:bottom w:val="none" w:sz="0" w:space="0" w:color="auto"/>
        <w:right w:val="none" w:sz="0" w:space="0" w:color="auto"/>
      </w:divBdr>
    </w:div>
    <w:div w:id="1114862887">
      <w:bodyDiv w:val="1"/>
      <w:marLeft w:val="0"/>
      <w:marRight w:val="0"/>
      <w:marTop w:val="0"/>
      <w:marBottom w:val="0"/>
      <w:divBdr>
        <w:top w:val="none" w:sz="0" w:space="0" w:color="auto"/>
        <w:left w:val="none" w:sz="0" w:space="0" w:color="auto"/>
        <w:bottom w:val="none" w:sz="0" w:space="0" w:color="auto"/>
        <w:right w:val="none" w:sz="0" w:space="0" w:color="auto"/>
      </w:divBdr>
    </w:div>
    <w:div w:id="1133711145">
      <w:bodyDiv w:val="1"/>
      <w:marLeft w:val="0"/>
      <w:marRight w:val="0"/>
      <w:marTop w:val="0"/>
      <w:marBottom w:val="0"/>
      <w:divBdr>
        <w:top w:val="none" w:sz="0" w:space="0" w:color="auto"/>
        <w:left w:val="none" w:sz="0" w:space="0" w:color="auto"/>
        <w:bottom w:val="none" w:sz="0" w:space="0" w:color="auto"/>
        <w:right w:val="none" w:sz="0" w:space="0" w:color="auto"/>
      </w:divBdr>
      <w:divsChild>
        <w:div w:id="1564102993">
          <w:marLeft w:val="0"/>
          <w:marRight w:val="0"/>
          <w:marTop w:val="0"/>
          <w:marBottom w:val="0"/>
          <w:divBdr>
            <w:top w:val="none" w:sz="0" w:space="0" w:color="auto"/>
            <w:left w:val="none" w:sz="0" w:space="0" w:color="auto"/>
            <w:bottom w:val="none" w:sz="0" w:space="0" w:color="auto"/>
            <w:right w:val="none" w:sz="0" w:space="0" w:color="auto"/>
          </w:divBdr>
          <w:divsChild>
            <w:div w:id="1998267597">
              <w:marLeft w:val="0"/>
              <w:marRight w:val="0"/>
              <w:marTop w:val="0"/>
              <w:marBottom w:val="0"/>
              <w:divBdr>
                <w:top w:val="none" w:sz="0" w:space="0" w:color="auto"/>
                <w:left w:val="none" w:sz="0" w:space="0" w:color="auto"/>
                <w:bottom w:val="none" w:sz="0" w:space="0" w:color="auto"/>
                <w:right w:val="none" w:sz="0" w:space="0" w:color="auto"/>
              </w:divBdr>
              <w:divsChild>
                <w:div w:id="1706249091">
                  <w:marLeft w:val="0"/>
                  <w:marRight w:val="0"/>
                  <w:marTop w:val="0"/>
                  <w:marBottom w:val="0"/>
                  <w:divBdr>
                    <w:top w:val="none" w:sz="0" w:space="0" w:color="auto"/>
                    <w:left w:val="none" w:sz="0" w:space="0" w:color="auto"/>
                    <w:bottom w:val="none" w:sz="0" w:space="0" w:color="auto"/>
                    <w:right w:val="none" w:sz="0" w:space="0" w:color="auto"/>
                  </w:divBdr>
                  <w:divsChild>
                    <w:div w:id="62731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650266">
      <w:bodyDiv w:val="1"/>
      <w:marLeft w:val="0"/>
      <w:marRight w:val="0"/>
      <w:marTop w:val="0"/>
      <w:marBottom w:val="0"/>
      <w:divBdr>
        <w:top w:val="none" w:sz="0" w:space="0" w:color="auto"/>
        <w:left w:val="none" w:sz="0" w:space="0" w:color="auto"/>
        <w:bottom w:val="none" w:sz="0" w:space="0" w:color="auto"/>
        <w:right w:val="none" w:sz="0" w:space="0" w:color="auto"/>
      </w:divBdr>
    </w:div>
    <w:div w:id="1186402074">
      <w:bodyDiv w:val="1"/>
      <w:marLeft w:val="0"/>
      <w:marRight w:val="0"/>
      <w:marTop w:val="0"/>
      <w:marBottom w:val="0"/>
      <w:divBdr>
        <w:top w:val="none" w:sz="0" w:space="0" w:color="auto"/>
        <w:left w:val="none" w:sz="0" w:space="0" w:color="auto"/>
        <w:bottom w:val="none" w:sz="0" w:space="0" w:color="auto"/>
        <w:right w:val="none" w:sz="0" w:space="0" w:color="auto"/>
      </w:divBdr>
    </w:div>
    <w:div w:id="1186867668">
      <w:bodyDiv w:val="1"/>
      <w:marLeft w:val="0"/>
      <w:marRight w:val="0"/>
      <w:marTop w:val="0"/>
      <w:marBottom w:val="0"/>
      <w:divBdr>
        <w:top w:val="none" w:sz="0" w:space="0" w:color="auto"/>
        <w:left w:val="none" w:sz="0" w:space="0" w:color="auto"/>
        <w:bottom w:val="none" w:sz="0" w:space="0" w:color="auto"/>
        <w:right w:val="none" w:sz="0" w:space="0" w:color="auto"/>
      </w:divBdr>
    </w:div>
    <w:div w:id="1203244922">
      <w:bodyDiv w:val="1"/>
      <w:marLeft w:val="0"/>
      <w:marRight w:val="0"/>
      <w:marTop w:val="0"/>
      <w:marBottom w:val="0"/>
      <w:divBdr>
        <w:top w:val="none" w:sz="0" w:space="0" w:color="auto"/>
        <w:left w:val="none" w:sz="0" w:space="0" w:color="auto"/>
        <w:bottom w:val="none" w:sz="0" w:space="0" w:color="auto"/>
        <w:right w:val="none" w:sz="0" w:space="0" w:color="auto"/>
      </w:divBdr>
    </w:div>
    <w:div w:id="1206214809">
      <w:bodyDiv w:val="1"/>
      <w:marLeft w:val="0"/>
      <w:marRight w:val="0"/>
      <w:marTop w:val="0"/>
      <w:marBottom w:val="0"/>
      <w:divBdr>
        <w:top w:val="none" w:sz="0" w:space="0" w:color="auto"/>
        <w:left w:val="none" w:sz="0" w:space="0" w:color="auto"/>
        <w:bottom w:val="none" w:sz="0" w:space="0" w:color="auto"/>
        <w:right w:val="none" w:sz="0" w:space="0" w:color="auto"/>
      </w:divBdr>
    </w:div>
    <w:div w:id="1212764318">
      <w:bodyDiv w:val="1"/>
      <w:marLeft w:val="0"/>
      <w:marRight w:val="0"/>
      <w:marTop w:val="0"/>
      <w:marBottom w:val="0"/>
      <w:divBdr>
        <w:top w:val="none" w:sz="0" w:space="0" w:color="auto"/>
        <w:left w:val="none" w:sz="0" w:space="0" w:color="auto"/>
        <w:bottom w:val="none" w:sz="0" w:space="0" w:color="auto"/>
        <w:right w:val="none" w:sz="0" w:space="0" w:color="auto"/>
      </w:divBdr>
    </w:div>
    <w:div w:id="1290161335">
      <w:bodyDiv w:val="1"/>
      <w:marLeft w:val="0"/>
      <w:marRight w:val="0"/>
      <w:marTop w:val="0"/>
      <w:marBottom w:val="0"/>
      <w:divBdr>
        <w:top w:val="none" w:sz="0" w:space="0" w:color="auto"/>
        <w:left w:val="none" w:sz="0" w:space="0" w:color="auto"/>
        <w:bottom w:val="none" w:sz="0" w:space="0" w:color="auto"/>
        <w:right w:val="none" w:sz="0" w:space="0" w:color="auto"/>
      </w:divBdr>
      <w:divsChild>
        <w:div w:id="1785805483">
          <w:marLeft w:val="0"/>
          <w:marRight w:val="0"/>
          <w:marTop w:val="0"/>
          <w:marBottom w:val="0"/>
          <w:divBdr>
            <w:top w:val="none" w:sz="0" w:space="0" w:color="auto"/>
            <w:left w:val="none" w:sz="0" w:space="0" w:color="auto"/>
            <w:bottom w:val="none" w:sz="0" w:space="0" w:color="auto"/>
            <w:right w:val="none" w:sz="0" w:space="0" w:color="auto"/>
          </w:divBdr>
          <w:divsChild>
            <w:div w:id="589854017">
              <w:marLeft w:val="0"/>
              <w:marRight w:val="0"/>
              <w:marTop w:val="0"/>
              <w:marBottom w:val="0"/>
              <w:divBdr>
                <w:top w:val="none" w:sz="0" w:space="0" w:color="auto"/>
                <w:left w:val="none" w:sz="0" w:space="0" w:color="auto"/>
                <w:bottom w:val="none" w:sz="0" w:space="0" w:color="auto"/>
                <w:right w:val="none" w:sz="0" w:space="0" w:color="auto"/>
              </w:divBdr>
              <w:divsChild>
                <w:div w:id="113228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15895">
      <w:bodyDiv w:val="1"/>
      <w:marLeft w:val="0"/>
      <w:marRight w:val="0"/>
      <w:marTop w:val="0"/>
      <w:marBottom w:val="0"/>
      <w:divBdr>
        <w:top w:val="none" w:sz="0" w:space="0" w:color="auto"/>
        <w:left w:val="none" w:sz="0" w:space="0" w:color="auto"/>
        <w:bottom w:val="none" w:sz="0" w:space="0" w:color="auto"/>
        <w:right w:val="none" w:sz="0" w:space="0" w:color="auto"/>
      </w:divBdr>
    </w:div>
    <w:div w:id="1322927188">
      <w:bodyDiv w:val="1"/>
      <w:marLeft w:val="0"/>
      <w:marRight w:val="0"/>
      <w:marTop w:val="0"/>
      <w:marBottom w:val="0"/>
      <w:divBdr>
        <w:top w:val="none" w:sz="0" w:space="0" w:color="auto"/>
        <w:left w:val="none" w:sz="0" w:space="0" w:color="auto"/>
        <w:bottom w:val="none" w:sz="0" w:space="0" w:color="auto"/>
        <w:right w:val="none" w:sz="0" w:space="0" w:color="auto"/>
      </w:divBdr>
    </w:div>
    <w:div w:id="1354333427">
      <w:bodyDiv w:val="1"/>
      <w:marLeft w:val="0"/>
      <w:marRight w:val="0"/>
      <w:marTop w:val="0"/>
      <w:marBottom w:val="0"/>
      <w:divBdr>
        <w:top w:val="none" w:sz="0" w:space="0" w:color="auto"/>
        <w:left w:val="none" w:sz="0" w:space="0" w:color="auto"/>
        <w:bottom w:val="none" w:sz="0" w:space="0" w:color="auto"/>
        <w:right w:val="none" w:sz="0" w:space="0" w:color="auto"/>
      </w:divBdr>
    </w:div>
    <w:div w:id="1365861024">
      <w:bodyDiv w:val="1"/>
      <w:marLeft w:val="0"/>
      <w:marRight w:val="0"/>
      <w:marTop w:val="0"/>
      <w:marBottom w:val="0"/>
      <w:divBdr>
        <w:top w:val="none" w:sz="0" w:space="0" w:color="auto"/>
        <w:left w:val="none" w:sz="0" w:space="0" w:color="auto"/>
        <w:bottom w:val="none" w:sz="0" w:space="0" w:color="auto"/>
        <w:right w:val="none" w:sz="0" w:space="0" w:color="auto"/>
      </w:divBdr>
    </w:div>
    <w:div w:id="1390760291">
      <w:bodyDiv w:val="1"/>
      <w:marLeft w:val="0"/>
      <w:marRight w:val="0"/>
      <w:marTop w:val="0"/>
      <w:marBottom w:val="0"/>
      <w:divBdr>
        <w:top w:val="none" w:sz="0" w:space="0" w:color="auto"/>
        <w:left w:val="none" w:sz="0" w:space="0" w:color="auto"/>
        <w:bottom w:val="none" w:sz="0" w:space="0" w:color="auto"/>
        <w:right w:val="none" w:sz="0" w:space="0" w:color="auto"/>
      </w:divBdr>
    </w:div>
    <w:div w:id="1393193978">
      <w:bodyDiv w:val="1"/>
      <w:marLeft w:val="0"/>
      <w:marRight w:val="0"/>
      <w:marTop w:val="0"/>
      <w:marBottom w:val="0"/>
      <w:divBdr>
        <w:top w:val="none" w:sz="0" w:space="0" w:color="auto"/>
        <w:left w:val="none" w:sz="0" w:space="0" w:color="auto"/>
        <w:bottom w:val="none" w:sz="0" w:space="0" w:color="auto"/>
        <w:right w:val="none" w:sz="0" w:space="0" w:color="auto"/>
      </w:divBdr>
    </w:div>
    <w:div w:id="1397777710">
      <w:bodyDiv w:val="1"/>
      <w:marLeft w:val="0"/>
      <w:marRight w:val="0"/>
      <w:marTop w:val="0"/>
      <w:marBottom w:val="0"/>
      <w:divBdr>
        <w:top w:val="none" w:sz="0" w:space="0" w:color="auto"/>
        <w:left w:val="none" w:sz="0" w:space="0" w:color="auto"/>
        <w:bottom w:val="none" w:sz="0" w:space="0" w:color="auto"/>
        <w:right w:val="none" w:sz="0" w:space="0" w:color="auto"/>
      </w:divBdr>
    </w:div>
    <w:div w:id="1398892513">
      <w:bodyDiv w:val="1"/>
      <w:marLeft w:val="0"/>
      <w:marRight w:val="0"/>
      <w:marTop w:val="0"/>
      <w:marBottom w:val="0"/>
      <w:divBdr>
        <w:top w:val="none" w:sz="0" w:space="0" w:color="auto"/>
        <w:left w:val="none" w:sz="0" w:space="0" w:color="auto"/>
        <w:bottom w:val="none" w:sz="0" w:space="0" w:color="auto"/>
        <w:right w:val="none" w:sz="0" w:space="0" w:color="auto"/>
      </w:divBdr>
    </w:div>
    <w:div w:id="1421636942">
      <w:bodyDiv w:val="1"/>
      <w:marLeft w:val="0"/>
      <w:marRight w:val="0"/>
      <w:marTop w:val="0"/>
      <w:marBottom w:val="0"/>
      <w:divBdr>
        <w:top w:val="none" w:sz="0" w:space="0" w:color="auto"/>
        <w:left w:val="none" w:sz="0" w:space="0" w:color="auto"/>
        <w:bottom w:val="none" w:sz="0" w:space="0" w:color="auto"/>
        <w:right w:val="none" w:sz="0" w:space="0" w:color="auto"/>
      </w:divBdr>
    </w:div>
    <w:div w:id="1434210293">
      <w:bodyDiv w:val="1"/>
      <w:marLeft w:val="0"/>
      <w:marRight w:val="0"/>
      <w:marTop w:val="0"/>
      <w:marBottom w:val="0"/>
      <w:divBdr>
        <w:top w:val="none" w:sz="0" w:space="0" w:color="auto"/>
        <w:left w:val="none" w:sz="0" w:space="0" w:color="auto"/>
        <w:bottom w:val="none" w:sz="0" w:space="0" w:color="auto"/>
        <w:right w:val="none" w:sz="0" w:space="0" w:color="auto"/>
      </w:divBdr>
    </w:div>
    <w:div w:id="1438216447">
      <w:bodyDiv w:val="1"/>
      <w:marLeft w:val="0"/>
      <w:marRight w:val="0"/>
      <w:marTop w:val="0"/>
      <w:marBottom w:val="0"/>
      <w:divBdr>
        <w:top w:val="none" w:sz="0" w:space="0" w:color="auto"/>
        <w:left w:val="none" w:sz="0" w:space="0" w:color="auto"/>
        <w:bottom w:val="none" w:sz="0" w:space="0" w:color="auto"/>
        <w:right w:val="none" w:sz="0" w:space="0" w:color="auto"/>
      </w:divBdr>
    </w:div>
    <w:div w:id="1456559570">
      <w:bodyDiv w:val="1"/>
      <w:marLeft w:val="0"/>
      <w:marRight w:val="0"/>
      <w:marTop w:val="0"/>
      <w:marBottom w:val="0"/>
      <w:divBdr>
        <w:top w:val="none" w:sz="0" w:space="0" w:color="auto"/>
        <w:left w:val="none" w:sz="0" w:space="0" w:color="auto"/>
        <w:bottom w:val="none" w:sz="0" w:space="0" w:color="auto"/>
        <w:right w:val="none" w:sz="0" w:space="0" w:color="auto"/>
      </w:divBdr>
    </w:div>
    <w:div w:id="1475030025">
      <w:bodyDiv w:val="1"/>
      <w:marLeft w:val="0"/>
      <w:marRight w:val="0"/>
      <w:marTop w:val="0"/>
      <w:marBottom w:val="0"/>
      <w:divBdr>
        <w:top w:val="none" w:sz="0" w:space="0" w:color="auto"/>
        <w:left w:val="none" w:sz="0" w:space="0" w:color="auto"/>
        <w:bottom w:val="none" w:sz="0" w:space="0" w:color="auto"/>
        <w:right w:val="none" w:sz="0" w:space="0" w:color="auto"/>
      </w:divBdr>
    </w:div>
    <w:div w:id="1475946847">
      <w:bodyDiv w:val="1"/>
      <w:marLeft w:val="0"/>
      <w:marRight w:val="0"/>
      <w:marTop w:val="0"/>
      <w:marBottom w:val="0"/>
      <w:divBdr>
        <w:top w:val="none" w:sz="0" w:space="0" w:color="auto"/>
        <w:left w:val="none" w:sz="0" w:space="0" w:color="auto"/>
        <w:bottom w:val="none" w:sz="0" w:space="0" w:color="auto"/>
        <w:right w:val="none" w:sz="0" w:space="0" w:color="auto"/>
      </w:divBdr>
    </w:div>
    <w:div w:id="1492059527">
      <w:bodyDiv w:val="1"/>
      <w:marLeft w:val="0"/>
      <w:marRight w:val="0"/>
      <w:marTop w:val="0"/>
      <w:marBottom w:val="0"/>
      <w:divBdr>
        <w:top w:val="none" w:sz="0" w:space="0" w:color="auto"/>
        <w:left w:val="none" w:sz="0" w:space="0" w:color="auto"/>
        <w:bottom w:val="none" w:sz="0" w:space="0" w:color="auto"/>
        <w:right w:val="none" w:sz="0" w:space="0" w:color="auto"/>
      </w:divBdr>
    </w:div>
    <w:div w:id="1532569801">
      <w:bodyDiv w:val="1"/>
      <w:marLeft w:val="0"/>
      <w:marRight w:val="0"/>
      <w:marTop w:val="0"/>
      <w:marBottom w:val="0"/>
      <w:divBdr>
        <w:top w:val="none" w:sz="0" w:space="0" w:color="auto"/>
        <w:left w:val="none" w:sz="0" w:space="0" w:color="auto"/>
        <w:bottom w:val="none" w:sz="0" w:space="0" w:color="auto"/>
        <w:right w:val="none" w:sz="0" w:space="0" w:color="auto"/>
      </w:divBdr>
    </w:div>
    <w:div w:id="1548640091">
      <w:bodyDiv w:val="1"/>
      <w:marLeft w:val="0"/>
      <w:marRight w:val="0"/>
      <w:marTop w:val="0"/>
      <w:marBottom w:val="0"/>
      <w:divBdr>
        <w:top w:val="none" w:sz="0" w:space="0" w:color="auto"/>
        <w:left w:val="none" w:sz="0" w:space="0" w:color="auto"/>
        <w:bottom w:val="none" w:sz="0" w:space="0" w:color="auto"/>
        <w:right w:val="none" w:sz="0" w:space="0" w:color="auto"/>
      </w:divBdr>
    </w:div>
    <w:div w:id="1577351271">
      <w:bodyDiv w:val="1"/>
      <w:marLeft w:val="0"/>
      <w:marRight w:val="0"/>
      <w:marTop w:val="0"/>
      <w:marBottom w:val="0"/>
      <w:divBdr>
        <w:top w:val="none" w:sz="0" w:space="0" w:color="auto"/>
        <w:left w:val="none" w:sz="0" w:space="0" w:color="auto"/>
        <w:bottom w:val="none" w:sz="0" w:space="0" w:color="auto"/>
        <w:right w:val="none" w:sz="0" w:space="0" w:color="auto"/>
      </w:divBdr>
    </w:div>
    <w:div w:id="1600526261">
      <w:bodyDiv w:val="1"/>
      <w:marLeft w:val="0"/>
      <w:marRight w:val="0"/>
      <w:marTop w:val="0"/>
      <w:marBottom w:val="0"/>
      <w:divBdr>
        <w:top w:val="none" w:sz="0" w:space="0" w:color="auto"/>
        <w:left w:val="none" w:sz="0" w:space="0" w:color="auto"/>
        <w:bottom w:val="none" w:sz="0" w:space="0" w:color="auto"/>
        <w:right w:val="none" w:sz="0" w:space="0" w:color="auto"/>
      </w:divBdr>
    </w:div>
    <w:div w:id="1609507767">
      <w:bodyDiv w:val="1"/>
      <w:marLeft w:val="0"/>
      <w:marRight w:val="0"/>
      <w:marTop w:val="0"/>
      <w:marBottom w:val="0"/>
      <w:divBdr>
        <w:top w:val="none" w:sz="0" w:space="0" w:color="auto"/>
        <w:left w:val="none" w:sz="0" w:space="0" w:color="auto"/>
        <w:bottom w:val="none" w:sz="0" w:space="0" w:color="auto"/>
        <w:right w:val="none" w:sz="0" w:space="0" w:color="auto"/>
      </w:divBdr>
    </w:div>
    <w:div w:id="1632664680">
      <w:bodyDiv w:val="1"/>
      <w:marLeft w:val="0"/>
      <w:marRight w:val="0"/>
      <w:marTop w:val="0"/>
      <w:marBottom w:val="0"/>
      <w:divBdr>
        <w:top w:val="none" w:sz="0" w:space="0" w:color="auto"/>
        <w:left w:val="none" w:sz="0" w:space="0" w:color="auto"/>
        <w:bottom w:val="none" w:sz="0" w:space="0" w:color="auto"/>
        <w:right w:val="none" w:sz="0" w:space="0" w:color="auto"/>
      </w:divBdr>
    </w:div>
    <w:div w:id="1632782142">
      <w:bodyDiv w:val="1"/>
      <w:marLeft w:val="0"/>
      <w:marRight w:val="0"/>
      <w:marTop w:val="0"/>
      <w:marBottom w:val="0"/>
      <w:divBdr>
        <w:top w:val="none" w:sz="0" w:space="0" w:color="auto"/>
        <w:left w:val="none" w:sz="0" w:space="0" w:color="auto"/>
        <w:bottom w:val="none" w:sz="0" w:space="0" w:color="auto"/>
        <w:right w:val="none" w:sz="0" w:space="0" w:color="auto"/>
      </w:divBdr>
    </w:div>
    <w:div w:id="1658538330">
      <w:bodyDiv w:val="1"/>
      <w:marLeft w:val="0"/>
      <w:marRight w:val="0"/>
      <w:marTop w:val="0"/>
      <w:marBottom w:val="0"/>
      <w:divBdr>
        <w:top w:val="none" w:sz="0" w:space="0" w:color="auto"/>
        <w:left w:val="none" w:sz="0" w:space="0" w:color="auto"/>
        <w:bottom w:val="none" w:sz="0" w:space="0" w:color="auto"/>
        <w:right w:val="none" w:sz="0" w:space="0" w:color="auto"/>
      </w:divBdr>
      <w:divsChild>
        <w:div w:id="167135316">
          <w:marLeft w:val="0"/>
          <w:marRight w:val="0"/>
          <w:marTop w:val="0"/>
          <w:marBottom w:val="0"/>
          <w:divBdr>
            <w:top w:val="none" w:sz="0" w:space="0" w:color="auto"/>
            <w:left w:val="none" w:sz="0" w:space="0" w:color="auto"/>
            <w:bottom w:val="none" w:sz="0" w:space="0" w:color="auto"/>
            <w:right w:val="none" w:sz="0" w:space="0" w:color="auto"/>
          </w:divBdr>
          <w:divsChild>
            <w:div w:id="1311597895">
              <w:marLeft w:val="0"/>
              <w:marRight w:val="0"/>
              <w:marTop w:val="0"/>
              <w:marBottom w:val="0"/>
              <w:divBdr>
                <w:top w:val="none" w:sz="0" w:space="0" w:color="auto"/>
                <w:left w:val="none" w:sz="0" w:space="0" w:color="auto"/>
                <w:bottom w:val="none" w:sz="0" w:space="0" w:color="auto"/>
                <w:right w:val="none" w:sz="0" w:space="0" w:color="auto"/>
              </w:divBdr>
              <w:divsChild>
                <w:div w:id="63526963">
                  <w:marLeft w:val="0"/>
                  <w:marRight w:val="0"/>
                  <w:marTop w:val="0"/>
                  <w:marBottom w:val="0"/>
                  <w:divBdr>
                    <w:top w:val="none" w:sz="0" w:space="0" w:color="auto"/>
                    <w:left w:val="none" w:sz="0" w:space="0" w:color="auto"/>
                    <w:bottom w:val="none" w:sz="0" w:space="0" w:color="auto"/>
                    <w:right w:val="none" w:sz="0" w:space="0" w:color="auto"/>
                  </w:divBdr>
                  <w:divsChild>
                    <w:div w:id="1777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815719">
      <w:bodyDiv w:val="1"/>
      <w:marLeft w:val="0"/>
      <w:marRight w:val="0"/>
      <w:marTop w:val="0"/>
      <w:marBottom w:val="0"/>
      <w:divBdr>
        <w:top w:val="none" w:sz="0" w:space="0" w:color="auto"/>
        <w:left w:val="none" w:sz="0" w:space="0" w:color="auto"/>
        <w:bottom w:val="none" w:sz="0" w:space="0" w:color="auto"/>
        <w:right w:val="none" w:sz="0" w:space="0" w:color="auto"/>
      </w:divBdr>
      <w:divsChild>
        <w:div w:id="18825203">
          <w:marLeft w:val="0"/>
          <w:marRight w:val="0"/>
          <w:marTop w:val="0"/>
          <w:marBottom w:val="0"/>
          <w:divBdr>
            <w:top w:val="none" w:sz="0" w:space="0" w:color="auto"/>
            <w:left w:val="none" w:sz="0" w:space="0" w:color="auto"/>
            <w:bottom w:val="none" w:sz="0" w:space="0" w:color="auto"/>
            <w:right w:val="none" w:sz="0" w:space="0" w:color="auto"/>
          </w:divBdr>
          <w:divsChild>
            <w:div w:id="1891573322">
              <w:marLeft w:val="0"/>
              <w:marRight w:val="0"/>
              <w:marTop w:val="0"/>
              <w:marBottom w:val="0"/>
              <w:divBdr>
                <w:top w:val="none" w:sz="0" w:space="0" w:color="auto"/>
                <w:left w:val="none" w:sz="0" w:space="0" w:color="auto"/>
                <w:bottom w:val="none" w:sz="0" w:space="0" w:color="auto"/>
                <w:right w:val="none" w:sz="0" w:space="0" w:color="auto"/>
              </w:divBdr>
              <w:divsChild>
                <w:div w:id="109093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45997">
      <w:bodyDiv w:val="1"/>
      <w:marLeft w:val="0"/>
      <w:marRight w:val="0"/>
      <w:marTop w:val="0"/>
      <w:marBottom w:val="0"/>
      <w:divBdr>
        <w:top w:val="none" w:sz="0" w:space="0" w:color="auto"/>
        <w:left w:val="none" w:sz="0" w:space="0" w:color="auto"/>
        <w:bottom w:val="none" w:sz="0" w:space="0" w:color="auto"/>
        <w:right w:val="none" w:sz="0" w:space="0" w:color="auto"/>
      </w:divBdr>
    </w:div>
    <w:div w:id="1703285774">
      <w:bodyDiv w:val="1"/>
      <w:marLeft w:val="0"/>
      <w:marRight w:val="0"/>
      <w:marTop w:val="0"/>
      <w:marBottom w:val="0"/>
      <w:divBdr>
        <w:top w:val="none" w:sz="0" w:space="0" w:color="auto"/>
        <w:left w:val="none" w:sz="0" w:space="0" w:color="auto"/>
        <w:bottom w:val="none" w:sz="0" w:space="0" w:color="auto"/>
        <w:right w:val="none" w:sz="0" w:space="0" w:color="auto"/>
      </w:divBdr>
    </w:div>
    <w:div w:id="1730955272">
      <w:bodyDiv w:val="1"/>
      <w:marLeft w:val="0"/>
      <w:marRight w:val="0"/>
      <w:marTop w:val="0"/>
      <w:marBottom w:val="0"/>
      <w:divBdr>
        <w:top w:val="none" w:sz="0" w:space="0" w:color="auto"/>
        <w:left w:val="none" w:sz="0" w:space="0" w:color="auto"/>
        <w:bottom w:val="none" w:sz="0" w:space="0" w:color="auto"/>
        <w:right w:val="none" w:sz="0" w:space="0" w:color="auto"/>
      </w:divBdr>
    </w:div>
    <w:div w:id="1735007832">
      <w:bodyDiv w:val="1"/>
      <w:marLeft w:val="0"/>
      <w:marRight w:val="0"/>
      <w:marTop w:val="0"/>
      <w:marBottom w:val="0"/>
      <w:divBdr>
        <w:top w:val="none" w:sz="0" w:space="0" w:color="auto"/>
        <w:left w:val="none" w:sz="0" w:space="0" w:color="auto"/>
        <w:bottom w:val="none" w:sz="0" w:space="0" w:color="auto"/>
        <w:right w:val="none" w:sz="0" w:space="0" w:color="auto"/>
      </w:divBdr>
    </w:div>
    <w:div w:id="1735153699">
      <w:bodyDiv w:val="1"/>
      <w:marLeft w:val="0"/>
      <w:marRight w:val="0"/>
      <w:marTop w:val="0"/>
      <w:marBottom w:val="0"/>
      <w:divBdr>
        <w:top w:val="none" w:sz="0" w:space="0" w:color="auto"/>
        <w:left w:val="none" w:sz="0" w:space="0" w:color="auto"/>
        <w:bottom w:val="none" w:sz="0" w:space="0" w:color="auto"/>
        <w:right w:val="none" w:sz="0" w:space="0" w:color="auto"/>
      </w:divBdr>
      <w:divsChild>
        <w:div w:id="206645243">
          <w:marLeft w:val="0"/>
          <w:marRight w:val="0"/>
          <w:marTop w:val="0"/>
          <w:marBottom w:val="0"/>
          <w:divBdr>
            <w:top w:val="none" w:sz="0" w:space="0" w:color="auto"/>
            <w:left w:val="none" w:sz="0" w:space="0" w:color="auto"/>
            <w:bottom w:val="none" w:sz="0" w:space="0" w:color="auto"/>
            <w:right w:val="none" w:sz="0" w:space="0" w:color="auto"/>
          </w:divBdr>
          <w:divsChild>
            <w:div w:id="104160573">
              <w:marLeft w:val="0"/>
              <w:marRight w:val="0"/>
              <w:marTop w:val="0"/>
              <w:marBottom w:val="0"/>
              <w:divBdr>
                <w:top w:val="none" w:sz="0" w:space="0" w:color="auto"/>
                <w:left w:val="none" w:sz="0" w:space="0" w:color="auto"/>
                <w:bottom w:val="none" w:sz="0" w:space="0" w:color="auto"/>
                <w:right w:val="none" w:sz="0" w:space="0" w:color="auto"/>
              </w:divBdr>
              <w:divsChild>
                <w:div w:id="765350047">
                  <w:marLeft w:val="0"/>
                  <w:marRight w:val="0"/>
                  <w:marTop w:val="0"/>
                  <w:marBottom w:val="0"/>
                  <w:divBdr>
                    <w:top w:val="none" w:sz="0" w:space="0" w:color="auto"/>
                    <w:left w:val="none" w:sz="0" w:space="0" w:color="auto"/>
                    <w:bottom w:val="none" w:sz="0" w:space="0" w:color="auto"/>
                    <w:right w:val="none" w:sz="0" w:space="0" w:color="auto"/>
                  </w:divBdr>
                  <w:divsChild>
                    <w:div w:id="154248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076211">
      <w:bodyDiv w:val="1"/>
      <w:marLeft w:val="0"/>
      <w:marRight w:val="0"/>
      <w:marTop w:val="0"/>
      <w:marBottom w:val="0"/>
      <w:divBdr>
        <w:top w:val="none" w:sz="0" w:space="0" w:color="auto"/>
        <w:left w:val="none" w:sz="0" w:space="0" w:color="auto"/>
        <w:bottom w:val="none" w:sz="0" w:space="0" w:color="auto"/>
        <w:right w:val="none" w:sz="0" w:space="0" w:color="auto"/>
      </w:divBdr>
    </w:div>
    <w:div w:id="1778524136">
      <w:bodyDiv w:val="1"/>
      <w:marLeft w:val="0"/>
      <w:marRight w:val="0"/>
      <w:marTop w:val="0"/>
      <w:marBottom w:val="0"/>
      <w:divBdr>
        <w:top w:val="none" w:sz="0" w:space="0" w:color="auto"/>
        <w:left w:val="none" w:sz="0" w:space="0" w:color="auto"/>
        <w:bottom w:val="none" w:sz="0" w:space="0" w:color="auto"/>
        <w:right w:val="none" w:sz="0" w:space="0" w:color="auto"/>
      </w:divBdr>
    </w:div>
    <w:div w:id="1793162668">
      <w:bodyDiv w:val="1"/>
      <w:marLeft w:val="0"/>
      <w:marRight w:val="0"/>
      <w:marTop w:val="0"/>
      <w:marBottom w:val="0"/>
      <w:divBdr>
        <w:top w:val="none" w:sz="0" w:space="0" w:color="auto"/>
        <w:left w:val="none" w:sz="0" w:space="0" w:color="auto"/>
        <w:bottom w:val="none" w:sz="0" w:space="0" w:color="auto"/>
        <w:right w:val="none" w:sz="0" w:space="0" w:color="auto"/>
      </w:divBdr>
    </w:div>
    <w:div w:id="1807310964">
      <w:bodyDiv w:val="1"/>
      <w:marLeft w:val="0"/>
      <w:marRight w:val="0"/>
      <w:marTop w:val="0"/>
      <w:marBottom w:val="0"/>
      <w:divBdr>
        <w:top w:val="none" w:sz="0" w:space="0" w:color="auto"/>
        <w:left w:val="none" w:sz="0" w:space="0" w:color="auto"/>
        <w:bottom w:val="none" w:sz="0" w:space="0" w:color="auto"/>
        <w:right w:val="none" w:sz="0" w:space="0" w:color="auto"/>
      </w:divBdr>
    </w:div>
    <w:div w:id="1815874355">
      <w:bodyDiv w:val="1"/>
      <w:marLeft w:val="0"/>
      <w:marRight w:val="0"/>
      <w:marTop w:val="0"/>
      <w:marBottom w:val="0"/>
      <w:divBdr>
        <w:top w:val="none" w:sz="0" w:space="0" w:color="auto"/>
        <w:left w:val="none" w:sz="0" w:space="0" w:color="auto"/>
        <w:bottom w:val="none" w:sz="0" w:space="0" w:color="auto"/>
        <w:right w:val="none" w:sz="0" w:space="0" w:color="auto"/>
      </w:divBdr>
    </w:div>
    <w:div w:id="1823307087">
      <w:bodyDiv w:val="1"/>
      <w:marLeft w:val="0"/>
      <w:marRight w:val="0"/>
      <w:marTop w:val="0"/>
      <w:marBottom w:val="0"/>
      <w:divBdr>
        <w:top w:val="none" w:sz="0" w:space="0" w:color="auto"/>
        <w:left w:val="none" w:sz="0" w:space="0" w:color="auto"/>
        <w:bottom w:val="none" w:sz="0" w:space="0" w:color="auto"/>
        <w:right w:val="none" w:sz="0" w:space="0" w:color="auto"/>
      </w:divBdr>
    </w:div>
    <w:div w:id="1831480007">
      <w:bodyDiv w:val="1"/>
      <w:marLeft w:val="0"/>
      <w:marRight w:val="0"/>
      <w:marTop w:val="0"/>
      <w:marBottom w:val="0"/>
      <w:divBdr>
        <w:top w:val="none" w:sz="0" w:space="0" w:color="auto"/>
        <w:left w:val="none" w:sz="0" w:space="0" w:color="auto"/>
        <w:bottom w:val="none" w:sz="0" w:space="0" w:color="auto"/>
        <w:right w:val="none" w:sz="0" w:space="0" w:color="auto"/>
      </w:divBdr>
    </w:div>
    <w:div w:id="1833646157">
      <w:bodyDiv w:val="1"/>
      <w:marLeft w:val="0"/>
      <w:marRight w:val="0"/>
      <w:marTop w:val="0"/>
      <w:marBottom w:val="0"/>
      <w:divBdr>
        <w:top w:val="none" w:sz="0" w:space="0" w:color="auto"/>
        <w:left w:val="none" w:sz="0" w:space="0" w:color="auto"/>
        <w:bottom w:val="none" w:sz="0" w:space="0" w:color="auto"/>
        <w:right w:val="none" w:sz="0" w:space="0" w:color="auto"/>
      </w:divBdr>
    </w:div>
    <w:div w:id="1848015846">
      <w:bodyDiv w:val="1"/>
      <w:marLeft w:val="0"/>
      <w:marRight w:val="0"/>
      <w:marTop w:val="0"/>
      <w:marBottom w:val="0"/>
      <w:divBdr>
        <w:top w:val="none" w:sz="0" w:space="0" w:color="auto"/>
        <w:left w:val="none" w:sz="0" w:space="0" w:color="auto"/>
        <w:bottom w:val="none" w:sz="0" w:space="0" w:color="auto"/>
        <w:right w:val="none" w:sz="0" w:space="0" w:color="auto"/>
      </w:divBdr>
    </w:div>
    <w:div w:id="1928805345">
      <w:bodyDiv w:val="1"/>
      <w:marLeft w:val="0"/>
      <w:marRight w:val="0"/>
      <w:marTop w:val="0"/>
      <w:marBottom w:val="0"/>
      <w:divBdr>
        <w:top w:val="none" w:sz="0" w:space="0" w:color="auto"/>
        <w:left w:val="none" w:sz="0" w:space="0" w:color="auto"/>
        <w:bottom w:val="none" w:sz="0" w:space="0" w:color="auto"/>
        <w:right w:val="none" w:sz="0" w:space="0" w:color="auto"/>
      </w:divBdr>
    </w:div>
    <w:div w:id="1945072293">
      <w:bodyDiv w:val="1"/>
      <w:marLeft w:val="0"/>
      <w:marRight w:val="0"/>
      <w:marTop w:val="0"/>
      <w:marBottom w:val="0"/>
      <w:divBdr>
        <w:top w:val="none" w:sz="0" w:space="0" w:color="auto"/>
        <w:left w:val="none" w:sz="0" w:space="0" w:color="auto"/>
        <w:bottom w:val="none" w:sz="0" w:space="0" w:color="auto"/>
        <w:right w:val="none" w:sz="0" w:space="0" w:color="auto"/>
      </w:divBdr>
    </w:div>
    <w:div w:id="1953366689">
      <w:bodyDiv w:val="1"/>
      <w:marLeft w:val="0"/>
      <w:marRight w:val="0"/>
      <w:marTop w:val="0"/>
      <w:marBottom w:val="0"/>
      <w:divBdr>
        <w:top w:val="none" w:sz="0" w:space="0" w:color="auto"/>
        <w:left w:val="none" w:sz="0" w:space="0" w:color="auto"/>
        <w:bottom w:val="none" w:sz="0" w:space="0" w:color="auto"/>
        <w:right w:val="none" w:sz="0" w:space="0" w:color="auto"/>
      </w:divBdr>
    </w:div>
    <w:div w:id="1999141484">
      <w:bodyDiv w:val="1"/>
      <w:marLeft w:val="0"/>
      <w:marRight w:val="0"/>
      <w:marTop w:val="0"/>
      <w:marBottom w:val="0"/>
      <w:divBdr>
        <w:top w:val="none" w:sz="0" w:space="0" w:color="auto"/>
        <w:left w:val="none" w:sz="0" w:space="0" w:color="auto"/>
        <w:bottom w:val="none" w:sz="0" w:space="0" w:color="auto"/>
        <w:right w:val="none" w:sz="0" w:space="0" w:color="auto"/>
      </w:divBdr>
    </w:div>
    <w:div w:id="2045785567">
      <w:bodyDiv w:val="1"/>
      <w:marLeft w:val="0"/>
      <w:marRight w:val="0"/>
      <w:marTop w:val="0"/>
      <w:marBottom w:val="0"/>
      <w:divBdr>
        <w:top w:val="none" w:sz="0" w:space="0" w:color="auto"/>
        <w:left w:val="none" w:sz="0" w:space="0" w:color="auto"/>
        <w:bottom w:val="none" w:sz="0" w:space="0" w:color="auto"/>
        <w:right w:val="none" w:sz="0" w:space="0" w:color="auto"/>
      </w:divBdr>
    </w:div>
    <w:div w:id="2071883999">
      <w:bodyDiv w:val="1"/>
      <w:marLeft w:val="0"/>
      <w:marRight w:val="0"/>
      <w:marTop w:val="0"/>
      <w:marBottom w:val="0"/>
      <w:divBdr>
        <w:top w:val="none" w:sz="0" w:space="0" w:color="auto"/>
        <w:left w:val="none" w:sz="0" w:space="0" w:color="auto"/>
        <w:bottom w:val="none" w:sz="0" w:space="0" w:color="auto"/>
        <w:right w:val="none" w:sz="0" w:space="0" w:color="auto"/>
      </w:divBdr>
    </w:div>
    <w:div w:id="2108381937">
      <w:bodyDiv w:val="1"/>
      <w:marLeft w:val="0"/>
      <w:marRight w:val="0"/>
      <w:marTop w:val="0"/>
      <w:marBottom w:val="0"/>
      <w:divBdr>
        <w:top w:val="none" w:sz="0" w:space="0" w:color="auto"/>
        <w:left w:val="none" w:sz="0" w:space="0" w:color="auto"/>
        <w:bottom w:val="none" w:sz="0" w:space="0" w:color="auto"/>
        <w:right w:val="none" w:sz="0" w:space="0" w:color="auto"/>
      </w:divBdr>
      <w:divsChild>
        <w:div w:id="688683388">
          <w:marLeft w:val="0"/>
          <w:marRight w:val="0"/>
          <w:marTop w:val="0"/>
          <w:marBottom w:val="0"/>
          <w:divBdr>
            <w:top w:val="none" w:sz="0" w:space="0" w:color="auto"/>
            <w:left w:val="none" w:sz="0" w:space="0" w:color="auto"/>
            <w:bottom w:val="none" w:sz="0" w:space="0" w:color="auto"/>
            <w:right w:val="none" w:sz="0" w:space="0" w:color="auto"/>
          </w:divBdr>
          <w:divsChild>
            <w:div w:id="120072116">
              <w:marLeft w:val="0"/>
              <w:marRight w:val="0"/>
              <w:marTop w:val="0"/>
              <w:marBottom w:val="0"/>
              <w:divBdr>
                <w:top w:val="none" w:sz="0" w:space="0" w:color="auto"/>
                <w:left w:val="none" w:sz="0" w:space="0" w:color="auto"/>
                <w:bottom w:val="none" w:sz="0" w:space="0" w:color="auto"/>
                <w:right w:val="none" w:sz="0" w:space="0" w:color="auto"/>
              </w:divBdr>
              <w:divsChild>
                <w:div w:id="683170369">
                  <w:marLeft w:val="-165"/>
                  <w:marRight w:val="0"/>
                  <w:marTop w:val="0"/>
                  <w:marBottom w:val="0"/>
                  <w:divBdr>
                    <w:top w:val="none" w:sz="0" w:space="0" w:color="auto"/>
                    <w:left w:val="none" w:sz="0" w:space="0" w:color="auto"/>
                    <w:bottom w:val="none" w:sz="0" w:space="0" w:color="auto"/>
                    <w:right w:val="none" w:sz="0" w:space="0" w:color="auto"/>
                  </w:divBdr>
                  <w:divsChild>
                    <w:div w:id="1254898646">
                      <w:marLeft w:val="0"/>
                      <w:marRight w:val="0"/>
                      <w:marTop w:val="0"/>
                      <w:marBottom w:val="0"/>
                      <w:divBdr>
                        <w:top w:val="none" w:sz="0" w:space="0" w:color="auto"/>
                        <w:left w:val="none" w:sz="0" w:space="0" w:color="auto"/>
                        <w:bottom w:val="none" w:sz="0" w:space="0" w:color="auto"/>
                        <w:right w:val="none" w:sz="0" w:space="0" w:color="auto"/>
                      </w:divBdr>
                      <w:divsChild>
                        <w:div w:id="2113279063">
                          <w:marLeft w:val="0"/>
                          <w:marRight w:val="0"/>
                          <w:marTop w:val="0"/>
                          <w:marBottom w:val="0"/>
                          <w:divBdr>
                            <w:top w:val="none" w:sz="0" w:space="0" w:color="auto"/>
                            <w:left w:val="none" w:sz="0" w:space="0" w:color="auto"/>
                            <w:bottom w:val="none" w:sz="0" w:space="0" w:color="auto"/>
                            <w:right w:val="none" w:sz="0" w:space="0" w:color="auto"/>
                          </w:divBdr>
                        </w:div>
                        <w:div w:id="158368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7724">
          <w:marLeft w:val="0"/>
          <w:marRight w:val="0"/>
          <w:marTop w:val="0"/>
          <w:marBottom w:val="0"/>
          <w:divBdr>
            <w:top w:val="none" w:sz="0" w:space="0" w:color="auto"/>
            <w:left w:val="none" w:sz="0" w:space="0" w:color="auto"/>
            <w:bottom w:val="none" w:sz="0" w:space="0" w:color="auto"/>
            <w:right w:val="none" w:sz="0" w:space="0" w:color="auto"/>
          </w:divBdr>
          <w:divsChild>
            <w:div w:id="473455019">
              <w:marLeft w:val="0"/>
              <w:marRight w:val="0"/>
              <w:marTop w:val="0"/>
              <w:marBottom w:val="0"/>
              <w:divBdr>
                <w:top w:val="none" w:sz="0" w:space="0" w:color="auto"/>
                <w:left w:val="none" w:sz="0" w:space="0" w:color="auto"/>
                <w:bottom w:val="none" w:sz="0" w:space="0" w:color="auto"/>
                <w:right w:val="none" w:sz="0" w:space="0" w:color="auto"/>
              </w:divBdr>
              <w:divsChild>
                <w:div w:id="92229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a.org/pi/aids/resources/exchange/2012/04/minority-stress" TargetMode="External"/><Relationship Id="rId13" Type="http://schemas.openxmlformats.org/officeDocument/2006/relationships/hyperlink" Target="https://digital.nhs.uk/data-and-information/publications/statistical/adult-psychiatric-morbidity-survey/adult-psychiatric-morbidity-in-england-2007-results-of-a-household-surve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eepfoundation.org/articles/how-exercise-impacts-sleep-quality"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ukdataservice.ac.uk/doc/6379/mrdoc/pdf/6379_apms_2007_dataset_documentation.pdf"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https://www.mayoclinic.org/healthy-lifestyle/stress-management/in-depth/exercise-and-stress/art-2004446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daa.org/sexual-gender-minority-individuals" TargetMode="External"/><Relationship Id="rId14" Type="http://schemas.openxmlformats.org/officeDocument/2006/relationships/hyperlink" Target="https://www.R-project.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2F12A-ACF6-49FE-AC37-0D9651501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6747</Words>
  <Characters>38464</Characters>
  <Application>Microsoft Office Word</Application>
  <DocSecurity>0</DocSecurity>
  <Lines>320</Lines>
  <Paragraphs>90</Paragraphs>
  <ScaleCrop>false</ScaleCrop>
  <HeadingPairs>
    <vt:vector size="8" baseType="variant">
      <vt:variant>
        <vt:lpstr>Title</vt:lpstr>
      </vt:variant>
      <vt:variant>
        <vt:i4>1</vt:i4>
      </vt:variant>
      <vt:variant>
        <vt:lpstr>제목</vt:lpstr>
      </vt:variant>
      <vt:variant>
        <vt:i4>1</vt:i4>
      </vt:variant>
      <vt:variant>
        <vt:lpstr>Título</vt:lpstr>
      </vt:variant>
      <vt:variant>
        <vt:i4>1</vt:i4>
      </vt:variant>
      <vt:variant>
        <vt:lpstr>Titre</vt:lpstr>
      </vt:variant>
      <vt:variant>
        <vt:i4>1</vt:i4>
      </vt:variant>
    </vt:vector>
  </HeadingPairs>
  <TitlesOfParts>
    <vt:vector size="4" baseType="lpstr">
      <vt:lpstr/>
      <vt:lpstr/>
      <vt:lpstr/>
      <vt:lpstr/>
    </vt:vector>
  </TitlesOfParts>
  <Company>연세의료원</Company>
  <LinksUpToDate>false</LinksUpToDate>
  <CharactersWithSpaces>45121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Jacob</dc:creator>
  <cp:lastModifiedBy>Blanshard, Lisa</cp:lastModifiedBy>
  <cp:revision>4</cp:revision>
  <dcterms:created xsi:type="dcterms:W3CDTF">2021-01-23T19:38:00Z</dcterms:created>
  <dcterms:modified xsi:type="dcterms:W3CDTF">2021-01-25T11:37:00Z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zotero-version="5.0.90"&gt;&lt;session id="IJrlfoQk"/&gt;&lt;style id="http://www.zotero.org/styles/frontiers-in-neurology" hasBibliography="1" bibliographyStyleHasBeenSet="1"/&gt;&lt;prefs&gt;&lt;pref name="fieldType" value="Field"/&gt;&lt;/prefs&gt;&lt;/data&gt;</vt:lpwstr>
  </property>
  <property fmtid="{D5CDD505-2E9C-101B-9397-08002B2CF9AE}" pid="3" name="ZOTERO_PREF_2">
    <vt:lpwstr/>
  </property>
  <property fmtid="{D5CDD505-2E9C-101B-9397-08002B2CF9AE}" pid="4" name="WnCUserId">
    <vt:lpwstr>user:5f85791ce4b02a4013d34791</vt:lpwstr>
  </property>
  <property fmtid="{D5CDD505-2E9C-101B-9397-08002B2CF9AE}" pid="5" name="WnCSubscriberId">
    <vt:lpwstr>0</vt:lpwstr>
  </property>
  <property fmtid="{D5CDD505-2E9C-101B-9397-08002B2CF9AE}" pid="6" name="WnCOutputStyleId">
    <vt:lpwstr>1669</vt:lpwstr>
  </property>
  <property fmtid="{D5CDD505-2E9C-101B-9397-08002B2CF9AE}" pid="7" name="RWProductId">
    <vt:lpwstr>Flow</vt:lpwstr>
  </property>
  <property fmtid="{D5CDD505-2E9C-101B-9397-08002B2CF9AE}" pid="8" name="RWProjectId">
    <vt:lpwstr>ap:5f85791ce4b02a4013d34792</vt:lpwstr>
  </property>
  <property fmtid="{D5CDD505-2E9C-101B-9397-08002B2CF9AE}" pid="9" name="WnC4Folder">
    <vt:lpwstr>Documents///Paper revised(1)</vt:lpwstr>
  </property>
</Properties>
</file>