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41E0CC" w14:textId="2F5C5DB4" w:rsidR="006C4C52" w:rsidRPr="00F85381" w:rsidRDefault="005A767C">
      <w:pPr>
        <w:spacing w:after="160" w:line="259" w:lineRule="auto"/>
        <w:jc w:val="center"/>
        <w:rPr>
          <w:rFonts w:ascii="Times New Roman" w:eastAsia="Times New Roman" w:hAnsi="Times New Roman" w:cs="Times New Roman"/>
          <w:b/>
          <w:bCs/>
          <w:sz w:val="26"/>
          <w:szCs w:val="26"/>
        </w:rPr>
      </w:pPr>
      <w:r w:rsidRPr="00F85381">
        <w:rPr>
          <w:rFonts w:ascii="Times New Roman" w:eastAsia="Times New Roman" w:hAnsi="Times New Roman" w:cs="Times New Roman"/>
          <w:b/>
          <w:bCs/>
          <w:sz w:val="26"/>
          <w:szCs w:val="26"/>
        </w:rPr>
        <w:t xml:space="preserve">A </w:t>
      </w:r>
      <w:r w:rsidR="00BF5469">
        <w:rPr>
          <w:rFonts w:ascii="Times New Roman" w:eastAsia="Times New Roman" w:hAnsi="Times New Roman" w:cs="Times New Roman"/>
          <w:b/>
          <w:bCs/>
          <w:sz w:val="26"/>
          <w:szCs w:val="26"/>
        </w:rPr>
        <w:t>n</w:t>
      </w:r>
      <w:r w:rsidR="00E226B7" w:rsidRPr="00F85381">
        <w:rPr>
          <w:rFonts w:ascii="Times New Roman" w:eastAsia="Times New Roman" w:hAnsi="Times New Roman" w:cs="Times New Roman"/>
          <w:b/>
          <w:bCs/>
          <w:sz w:val="26"/>
          <w:szCs w:val="26"/>
        </w:rPr>
        <w:t>ovel</w:t>
      </w:r>
      <w:r w:rsidRPr="00F85381">
        <w:rPr>
          <w:rFonts w:ascii="Times New Roman" w:eastAsia="Times New Roman" w:hAnsi="Times New Roman" w:cs="Times New Roman"/>
          <w:b/>
          <w:bCs/>
          <w:sz w:val="26"/>
          <w:szCs w:val="26"/>
        </w:rPr>
        <w:t xml:space="preserve"> </w:t>
      </w:r>
      <w:r w:rsidR="00BF5469">
        <w:rPr>
          <w:rFonts w:ascii="Times New Roman" w:eastAsia="Times New Roman" w:hAnsi="Times New Roman" w:cs="Times New Roman"/>
          <w:b/>
          <w:bCs/>
          <w:sz w:val="26"/>
          <w:szCs w:val="26"/>
        </w:rPr>
        <w:t>m</w:t>
      </w:r>
      <w:r w:rsidR="00D9228E" w:rsidRPr="00F85381">
        <w:rPr>
          <w:rFonts w:ascii="Times New Roman" w:eastAsia="Times New Roman" w:hAnsi="Times New Roman" w:cs="Times New Roman"/>
          <w:b/>
          <w:bCs/>
          <w:sz w:val="26"/>
          <w:szCs w:val="26"/>
        </w:rPr>
        <w:t xml:space="preserve">achine </w:t>
      </w:r>
      <w:r w:rsidR="00BF5469">
        <w:rPr>
          <w:rFonts w:ascii="Times New Roman" w:eastAsia="Times New Roman" w:hAnsi="Times New Roman" w:cs="Times New Roman"/>
          <w:b/>
          <w:bCs/>
          <w:sz w:val="26"/>
          <w:szCs w:val="26"/>
        </w:rPr>
        <w:t>l</w:t>
      </w:r>
      <w:r w:rsidR="00D9228E" w:rsidRPr="00F85381">
        <w:rPr>
          <w:rFonts w:ascii="Times New Roman" w:eastAsia="Times New Roman" w:hAnsi="Times New Roman" w:cs="Times New Roman"/>
          <w:b/>
          <w:bCs/>
          <w:sz w:val="26"/>
          <w:szCs w:val="26"/>
        </w:rPr>
        <w:t xml:space="preserve">earning </w:t>
      </w:r>
      <w:r w:rsidR="00BF5469">
        <w:rPr>
          <w:rFonts w:ascii="Times New Roman" w:eastAsia="Times New Roman" w:hAnsi="Times New Roman" w:cs="Times New Roman"/>
          <w:b/>
          <w:bCs/>
          <w:sz w:val="26"/>
          <w:szCs w:val="26"/>
        </w:rPr>
        <w:t>a</w:t>
      </w:r>
      <w:r w:rsidRPr="00F85381">
        <w:rPr>
          <w:rFonts w:ascii="Times New Roman" w:eastAsia="Times New Roman" w:hAnsi="Times New Roman" w:cs="Times New Roman"/>
          <w:b/>
          <w:bCs/>
          <w:sz w:val="26"/>
          <w:szCs w:val="26"/>
        </w:rPr>
        <w:t xml:space="preserve">pplication: </w:t>
      </w:r>
    </w:p>
    <w:p w14:paraId="4ACAC6B3" w14:textId="501F8280" w:rsidR="009F26E3" w:rsidRPr="00F85381" w:rsidRDefault="005A767C">
      <w:pPr>
        <w:spacing w:after="160" w:line="259" w:lineRule="auto"/>
        <w:jc w:val="center"/>
        <w:rPr>
          <w:rFonts w:ascii="Times New Roman" w:eastAsia="Times New Roman" w:hAnsi="Times New Roman" w:cs="Times New Roman"/>
        </w:rPr>
      </w:pPr>
      <w:r w:rsidRPr="00F85381">
        <w:rPr>
          <w:rFonts w:ascii="Times New Roman" w:eastAsia="Times New Roman" w:hAnsi="Times New Roman" w:cs="Times New Roman"/>
          <w:b/>
          <w:bCs/>
          <w:sz w:val="26"/>
          <w:szCs w:val="26"/>
        </w:rPr>
        <w:t xml:space="preserve">Water </w:t>
      </w:r>
      <w:r w:rsidR="00BF5469">
        <w:rPr>
          <w:rFonts w:ascii="Times New Roman" w:eastAsia="Times New Roman" w:hAnsi="Times New Roman" w:cs="Times New Roman"/>
          <w:b/>
          <w:bCs/>
          <w:sz w:val="26"/>
          <w:szCs w:val="26"/>
        </w:rPr>
        <w:t>q</w:t>
      </w:r>
      <w:r w:rsidRPr="00F85381">
        <w:rPr>
          <w:rFonts w:ascii="Times New Roman" w:eastAsia="Times New Roman" w:hAnsi="Times New Roman" w:cs="Times New Roman"/>
          <w:b/>
          <w:bCs/>
          <w:sz w:val="26"/>
          <w:szCs w:val="26"/>
        </w:rPr>
        <w:t xml:space="preserve">uality </w:t>
      </w:r>
      <w:r w:rsidR="00BF5469">
        <w:rPr>
          <w:rFonts w:ascii="Times New Roman" w:eastAsia="Times New Roman" w:hAnsi="Times New Roman" w:cs="Times New Roman"/>
          <w:b/>
          <w:bCs/>
          <w:sz w:val="26"/>
          <w:szCs w:val="26"/>
        </w:rPr>
        <w:t>r</w:t>
      </w:r>
      <w:r w:rsidRPr="00F85381">
        <w:rPr>
          <w:rFonts w:ascii="Times New Roman" w:eastAsia="Times New Roman" w:hAnsi="Times New Roman" w:cs="Times New Roman"/>
          <w:b/>
          <w:bCs/>
          <w:sz w:val="26"/>
          <w:szCs w:val="26"/>
        </w:rPr>
        <w:t xml:space="preserve">esilience </w:t>
      </w:r>
      <w:r w:rsidR="00BF5469">
        <w:rPr>
          <w:rFonts w:ascii="Times New Roman" w:eastAsia="Times New Roman" w:hAnsi="Times New Roman" w:cs="Times New Roman"/>
          <w:b/>
          <w:bCs/>
          <w:sz w:val="26"/>
          <w:szCs w:val="26"/>
        </w:rPr>
        <w:t>p</w:t>
      </w:r>
      <w:r w:rsidRPr="00F85381">
        <w:rPr>
          <w:rFonts w:ascii="Times New Roman" w:eastAsia="Times New Roman" w:hAnsi="Times New Roman" w:cs="Times New Roman"/>
          <w:b/>
          <w:bCs/>
          <w:sz w:val="26"/>
          <w:szCs w:val="26"/>
        </w:rPr>
        <w:t>rediction</w:t>
      </w:r>
      <w:r w:rsidR="002C5F90" w:rsidRPr="00F85381">
        <w:rPr>
          <w:rFonts w:ascii="Times New Roman" w:eastAsia="Times New Roman" w:hAnsi="Times New Roman" w:cs="Times New Roman"/>
          <w:b/>
          <w:bCs/>
          <w:sz w:val="26"/>
          <w:szCs w:val="26"/>
        </w:rPr>
        <w:t xml:space="preserve"> </w:t>
      </w:r>
      <w:r w:rsidR="00BF5469">
        <w:rPr>
          <w:rFonts w:ascii="Times New Roman" w:eastAsia="Times New Roman" w:hAnsi="Times New Roman" w:cs="Times New Roman"/>
          <w:b/>
          <w:bCs/>
          <w:sz w:val="26"/>
          <w:szCs w:val="26"/>
        </w:rPr>
        <w:t>m</w:t>
      </w:r>
      <w:r w:rsidR="002C5F90" w:rsidRPr="00F85381">
        <w:rPr>
          <w:rFonts w:ascii="Times New Roman" w:eastAsia="Times New Roman" w:hAnsi="Times New Roman" w:cs="Times New Roman"/>
          <w:b/>
          <w:bCs/>
          <w:sz w:val="26"/>
          <w:szCs w:val="26"/>
        </w:rPr>
        <w:t>odel</w:t>
      </w:r>
    </w:p>
    <w:p w14:paraId="60359818" w14:textId="17CBB5B2" w:rsidR="009F26E3" w:rsidRPr="00F85381" w:rsidRDefault="00F50BBA">
      <w:pPr>
        <w:spacing w:line="240" w:lineRule="auto"/>
        <w:jc w:val="center"/>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 xml:space="preserve">Maryam </w:t>
      </w:r>
      <w:proofErr w:type="spellStart"/>
      <w:proofErr w:type="gramStart"/>
      <w:r w:rsidRPr="00F85381">
        <w:rPr>
          <w:rFonts w:ascii="Times New Roman" w:eastAsia="Times New Roman" w:hAnsi="Times New Roman" w:cs="Times New Roman"/>
          <w:sz w:val="20"/>
          <w:szCs w:val="20"/>
        </w:rPr>
        <w:t>Imani</w:t>
      </w:r>
      <w:r w:rsidRPr="00F85381">
        <w:rPr>
          <w:rFonts w:ascii="Times New Roman" w:eastAsia="Times New Roman" w:hAnsi="Times New Roman" w:cs="Times New Roman"/>
          <w:sz w:val="20"/>
          <w:szCs w:val="20"/>
          <w:vertAlign w:val="superscript"/>
        </w:rPr>
        <w:t>a</w:t>
      </w:r>
      <w:proofErr w:type="spellEnd"/>
      <w:r w:rsidRPr="00F85381">
        <w:rPr>
          <w:rFonts w:ascii="Times New Roman" w:eastAsia="Times New Roman" w:hAnsi="Times New Roman" w:cs="Times New Roman"/>
          <w:sz w:val="20"/>
          <w:szCs w:val="20"/>
          <w:vertAlign w:val="superscript"/>
        </w:rPr>
        <w:t>,*</w:t>
      </w:r>
      <w:proofErr w:type="gramEnd"/>
      <w:r w:rsidRPr="00F85381">
        <w:rPr>
          <w:rFonts w:ascii="Times New Roman" w:eastAsia="Times New Roman" w:hAnsi="Times New Roman" w:cs="Times New Roman"/>
          <w:sz w:val="20"/>
          <w:szCs w:val="20"/>
        </w:rPr>
        <w:t xml:space="preserve">, Md Mahmudul </w:t>
      </w:r>
      <w:proofErr w:type="spellStart"/>
      <w:r w:rsidRPr="00F85381">
        <w:rPr>
          <w:rFonts w:ascii="Times New Roman" w:eastAsia="Times New Roman" w:hAnsi="Times New Roman" w:cs="Times New Roman"/>
          <w:sz w:val="20"/>
          <w:szCs w:val="20"/>
        </w:rPr>
        <w:t>Hasan</w:t>
      </w:r>
      <w:r w:rsidRPr="00F85381">
        <w:rPr>
          <w:rFonts w:ascii="Times New Roman" w:eastAsia="Times New Roman" w:hAnsi="Times New Roman" w:cs="Times New Roman"/>
          <w:sz w:val="20"/>
          <w:szCs w:val="20"/>
          <w:vertAlign w:val="superscript"/>
        </w:rPr>
        <w:t>b</w:t>
      </w:r>
      <w:proofErr w:type="spellEnd"/>
      <w:r w:rsidR="00C755A8" w:rsidRPr="00F85381">
        <w:rPr>
          <w:rFonts w:ascii="Times New Roman" w:eastAsia="Times New Roman" w:hAnsi="Times New Roman" w:cs="Times New Roman"/>
          <w:sz w:val="20"/>
          <w:szCs w:val="20"/>
          <w:vertAlign w:val="superscript"/>
        </w:rPr>
        <w:t>,</w:t>
      </w:r>
      <w:r w:rsidR="00C755A8" w:rsidRPr="00F85381">
        <w:rPr>
          <w:rStyle w:val="FootnoteReference"/>
        </w:rPr>
        <w:footnoteReference w:id="2"/>
      </w:r>
      <w:r w:rsidRPr="00F85381">
        <w:rPr>
          <w:rFonts w:ascii="Times New Roman" w:eastAsia="Times New Roman" w:hAnsi="Times New Roman" w:cs="Times New Roman"/>
          <w:sz w:val="20"/>
          <w:szCs w:val="20"/>
        </w:rPr>
        <w:t xml:space="preserve">, Luiz Fernando </w:t>
      </w:r>
      <w:proofErr w:type="spellStart"/>
      <w:r w:rsidRPr="00F85381">
        <w:rPr>
          <w:rFonts w:ascii="Times New Roman" w:eastAsia="Times New Roman" w:hAnsi="Times New Roman" w:cs="Times New Roman"/>
          <w:sz w:val="20"/>
          <w:szCs w:val="20"/>
        </w:rPr>
        <w:t>Bittencourt</w:t>
      </w:r>
      <w:r w:rsidRPr="00F85381">
        <w:rPr>
          <w:rFonts w:ascii="Times New Roman" w:eastAsia="Times New Roman" w:hAnsi="Times New Roman" w:cs="Times New Roman"/>
          <w:sz w:val="20"/>
          <w:szCs w:val="20"/>
          <w:vertAlign w:val="superscript"/>
        </w:rPr>
        <w:t>c</w:t>
      </w:r>
      <w:proofErr w:type="spellEnd"/>
      <w:r w:rsidRPr="00F85381">
        <w:rPr>
          <w:rFonts w:ascii="Times New Roman" w:eastAsia="Times New Roman" w:hAnsi="Times New Roman" w:cs="Times New Roman"/>
          <w:sz w:val="20"/>
          <w:szCs w:val="20"/>
        </w:rPr>
        <w:t xml:space="preserve">, </w:t>
      </w:r>
      <w:r w:rsidR="009024B9" w:rsidRPr="00F85381">
        <w:rPr>
          <w:rFonts w:ascii="Times New Roman" w:eastAsia="Times New Roman" w:hAnsi="Times New Roman" w:cs="Times New Roman"/>
          <w:sz w:val="20"/>
          <w:szCs w:val="20"/>
        </w:rPr>
        <w:t xml:space="preserve">Kent </w:t>
      </w:r>
      <w:proofErr w:type="spellStart"/>
      <w:r w:rsidR="009024B9" w:rsidRPr="00F85381">
        <w:rPr>
          <w:rFonts w:ascii="Times New Roman" w:eastAsia="Times New Roman" w:hAnsi="Times New Roman" w:cs="Times New Roman"/>
          <w:sz w:val="20"/>
          <w:szCs w:val="20"/>
        </w:rPr>
        <w:t>McClymont</w:t>
      </w:r>
      <w:r w:rsidR="009024B9" w:rsidRPr="00F85381">
        <w:rPr>
          <w:rFonts w:ascii="Times New Roman" w:eastAsia="Times New Roman" w:hAnsi="Times New Roman" w:cs="Times New Roman"/>
          <w:sz w:val="20"/>
          <w:szCs w:val="20"/>
          <w:vertAlign w:val="superscript"/>
        </w:rPr>
        <w:t>a</w:t>
      </w:r>
      <w:proofErr w:type="spellEnd"/>
      <w:r w:rsidR="00C755A8" w:rsidRPr="00F85381">
        <w:rPr>
          <w:rFonts w:ascii="Times New Roman" w:eastAsia="Times New Roman" w:hAnsi="Times New Roman" w:cs="Times New Roman"/>
          <w:sz w:val="20"/>
          <w:szCs w:val="20"/>
          <w:vertAlign w:val="superscript"/>
        </w:rPr>
        <w:t>,</w:t>
      </w:r>
      <w:r w:rsidR="00C755A8" w:rsidRPr="00F85381">
        <w:rPr>
          <w:rStyle w:val="FootnoteReference"/>
        </w:rPr>
        <w:footnoteReference w:id="3"/>
      </w:r>
      <w:r w:rsidR="009024B9" w:rsidRPr="00F85381">
        <w:rPr>
          <w:rFonts w:ascii="Times New Roman" w:eastAsia="Times New Roman" w:hAnsi="Times New Roman" w:cs="Times New Roman"/>
          <w:sz w:val="20"/>
          <w:szCs w:val="20"/>
        </w:rPr>
        <w:t xml:space="preserve">, </w:t>
      </w:r>
      <w:r w:rsidRPr="00F85381">
        <w:rPr>
          <w:rFonts w:ascii="Times New Roman" w:eastAsia="Times New Roman" w:hAnsi="Times New Roman" w:cs="Times New Roman"/>
          <w:sz w:val="20"/>
          <w:szCs w:val="20"/>
        </w:rPr>
        <w:t xml:space="preserve">Zoran </w:t>
      </w:r>
      <w:proofErr w:type="spellStart"/>
      <w:r w:rsidRPr="00F85381">
        <w:rPr>
          <w:rFonts w:ascii="Times New Roman" w:eastAsia="Times New Roman" w:hAnsi="Times New Roman" w:cs="Times New Roman"/>
          <w:sz w:val="20"/>
          <w:szCs w:val="20"/>
        </w:rPr>
        <w:t>Kapelan</w:t>
      </w:r>
      <w:r w:rsidRPr="00F85381">
        <w:rPr>
          <w:rFonts w:ascii="Times New Roman" w:eastAsia="Times New Roman" w:hAnsi="Times New Roman" w:cs="Times New Roman"/>
          <w:sz w:val="20"/>
          <w:szCs w:val="20"/>
          <w:vertAlign w:val="superscript"/>
        </w:rPr>
        <w:t>d</w:t>
      </w:r>
      <w:proofErr w:type="spellEnd"/>
      <w:r w:rsidRPr="00F85381">
        <w:rPr>
          <w:rFonts w:ascii="Times New Roman" w:eastAsia="Times New Roman" w:hAnsi="Times New Roman" w:cs="Times New Roman"/>
          <w:sz w:val="20"/>
          <w:szCs w:val="20"/>
        </w:rPr>
        <w:t xml:space="preserve"> </w:t>
      </w:r>
    </w:p>
    <w:p w14:paraId="0318AD1C" w14:textId="77777777" w:rsidR="009F26E3" w:rsidRPr="00F85381" w:rsidRDefault="009F26E3">
      <w:pPr>
        <w:spacing w:line="240" w:lineRule="auto"/>
        <w:jc w:val="center"/>
        <w:rPr>
          <w:rFonts w:ascii="Times New Roman" w:eastAsia="Times New Roman" w:hAnsi="Times New Roman" w:cs="Times New Roman"/>
          <w:sz w:val="20"/>
          <w:szCs w:val="20"/>
        </w:rPr>
      </w:pPr>
    </w:p>
    <w:p w14:paraId="64B5BD39" w14:textId="77777777" w:rsidR="009F26E3" w:rsidRPr="00F85381" w:rsidRDefault="00F50BBA">
      <w:pPr>
        <w:spacing w:line="240" w:lineRule="auto"/>
        <w:jc w:val="center"/>
        <w:rPr>
          <w:rFonts w:ascii="Times New Roman" w:eastAsia="Times New Roman" w:hAnsi="Times New Roman" w:cs="Times New Roman"/>
          <w:i/>
          <w:sz w:val="18"/>
          <w:szCs w:val="18"/>
        </w:rPr>
      </w:pPr>
      <w:proofErr w:type="spellStart"/>
      <w:r w:rsidRPr="00F85381">
        <w:rPr>
          <w:rFonts w:ascii="Times New Roman" w:eastAsia="Times New Roman" w:hAnsi="Times New Roman" w:cs="Times New Roman"/>
          <w:i/>
          <w:sz w:val="18"/>
          <w:szCs w:val="18"/>
          <w:vertAlign w:val="superscript"/>
        </w:rPr>
        <w:t>a</w:t>
      </w:r>
      <w:r w:rsidRPr="00F85381">
        <w:rPr>
          <w:rFonts w:ascii="Times New Roman" w:eastAsia="Times New Roman" w:hAnsi="Times New Roman" w:cs="Times New Roman"/>
          <w:i/>
          <w:sz w:val="18"/>
          <w:szCs w:val="18"/>
        </w:rPr>
        <w:t>School</w:t>
      </w:r>
      <w:proofErr w:type="spellEnd"/>
      <w:r w:rsidRPr="00F85381">
        <w:rPr>
          <w:rFonts w:ascii="Times New Roman" w:eastAsia="Times New Roman" w:hAnsi="Times New Roman" w:cs="Times New Roman"/>
          <w:i/>
          <w:sz w:val="18"/>
          <w:szCs w:val="18"/>
        </w:rPr>
        <w:t xml:space="preserve"> of Engineering &amp; the Built Environment, Faculty of Science and Engineering, Anglia Ruskin University, Chelmsford, Essex, CM1 1SQ, United Kingdom, </w:t>
      </w:r>
      <w:hyperlink r:id="rId11">
        <w:r w:rsidRPr="00F85381">
          <w:rPr>
            <w:rFonts w:ascii="Times New Roman" w:eastAsia="Times New Roman" w:hAnsi="Times New Roman" w:cs="Times New Roman"/>
            <w:i/>
            <w:sz w:val="18"/>
            <w:szCs w:val="18"/>
            <w:u w:val="single"/>
          </w:rPr>
          <w:t>Maryam.Imani@aru.ac.uk</w:t>
        </w:r>
      </w:hyperlink>
    </w:p>
    <w:p w14:paraId="2B291A70" w14:textId="272CBD05" w:rsidR="009F26E3" w:rsidRPr="00F85381" w:rsidRDefault="00F50BBA">
      <w:pPr>
        <w:spacing w:line="240" w:lineRule="auto"/>
        <w:jc w:val="center"/>
        <w:rPr>
          <w:rFonts w:ascii="Times New Roman" w:eastAsia="Times New Roman" w:hAnsi="Times New Roman" w:cs="Times New Roman"/>
          <w:i/>
          <w:sz w:val="18"/>
          <w:szCs w:val="18"/>
        </w:rPr>
      </w:pPr>
      <w:proofErr w:type="spellStart"/>
      <w:r w:rsidRPr="00F85381">
        <w:rPr>
          <w:rFonts w:ascii="Times New Roman" w:eastAsia="Times New Roman" w:hAnsi="Times New Roman" w:cs="Times New Roman"/>
          <w:i/>
          <w:sz w:val="18"/>
          <w:szCs w:val="18"/>
          <w:vertAlign w:val="superscript"/>
        </w:rPr>
        <w:t>b</w:t>
      </w:r>
      <w:r w:rsidRPr="00F85381">
        <w:rPr>
          <w:rFonts w:ascii="Times New Roman" w:eastAsia="Times New Roman" w:hAnsi="Times New Roman" w:cs="Times New Roman"/>
          <w:i/>
          <w:sz w:val="18"/>
          <w:szCs w:val="18"/>
        </w:rPr>
        <w:t>Anglia</w:t>
      </w:r>
      <w:proofErr w:type="spellEnd"/>
      <w:r w:rsidRPr="00F85381">
        <w:rPr>
          <w:rFonts w:ascii="Times New Roman" w:eastAsia="Times New Roman" w:hAnsi="Times New Roman" w:cs="Times New Roman"/>
          <w:i/>
          <w:sz w:val="18"/>
          <w:szCs w:val="18"/>
        </w:rPr>
        <w:t xml:space="preserve"> Ruskin IT Research Institute, Anglia Ruskin University, Chelmsford, CM11SQ, United Kingdom, </w:t>
      </w:r>
      <w:hyperlink r:id="rId12">
        <w:r w:rsidRPr="00F85381">
          <w:rPr>
            <w:rFonts w:ascii="Times New Roman" w:eastAsia="Times New Roman" w:hAnsi="Times New Roman" w:cs="Times New Roman"/>
            <w:i/>
            <w:sz w:val="18"/>
            <w:szCs w:val="18"/>
            <w:u w:val="single"/>
            <w:shd w:val="clear" w:color="auto" w:fill="F9F9F9"/>
          </w:rPr>
          <w:t>md.hasan62@pgr.anglia.ac.uk</w:t>
        </w:r>
      </w:hyperlink>
    </w:p>
    <w:p w14:paraId="62E8064A" w14:textId="77777777" w:rsidR="009F26E3" w:rsidRPr="00F85381" w:rsidRDefault="00F50BBA">
      <w:pPr>
        <w:spacing w:line="240" w:lineRule="auto"/>
        <w:jc w:val="center"/>
        <w:rPr>
          <w:rFonts w:ascii="Times New Roman" w:eastAsia="Times New Roman" w:hAnsi="Times New Roman" w:cs="Times New Roman"/>
          <w:i/>
          <w:sz w:val="18"/>
          <w:szCs w:val="18"/>
        </w:rPr>
      </w:pPr>
      <w:proofErr w:type="spellStart"/>
      <w:r w:rsidRPr="00F85381">
        <w:rPr>
          <w:rFonts w:ascii="Times New Roman" w:eastAsia="Times New Roman" w:hAnsi="Times New Roman" w:cs="Times New Roman"/>
          <w:i/>
          <w:sz w:val="18"/>
          <w:szCs w:val="18"/>
          <w:vertAlign w:val="superscript"/>
        </w:rPr>
        <w:t>c</w:t>
      </w:r>
      <w:r w:rsidRPr="00F85381">
        <w:rPr>
          <w:rFonts w:ascii="Times New Roman" w:eastAsia="Times New Roman" w:hAnsi="Times New Roman" w:cs="Times New Roman"/>
          <w:i/>
          <w:sz w:val="18"/>
          <w:szCs w:val="18"/>
        </w:rPr>
        <w:t>Universidade</w:t>
      </w:r>
      <w:proofErr w:type="spellEnd"/>
      <w:r w:rsidRPr="00F85381">
        <w:rPr>
          <w:rFonts w:ascii="Times New Roman" w:eastAsia="Times New Roman" w:hAnsi="Times New Roman" w:cs="Times New Roman"/>
          <w:i/>
          <w:sz w:val="18"/>
          <w:szCs w:val="18"/>
        </w:rPr>
        <w:t xml:space="preserve"> </w:t>
      </w:r>
      <w:proofErr w:type="spellStart"/>
      <w:r w:rsidRPr="00F85381">
        <w:rPr>
          <w:rFonts w:ascii="Times New Roman" w:eastAsia="Times New Roman" w:hAnsi="Times New Roman" w:cs="Times New Roman"/>
          <w:i/>
          <w:sz w:val="18"/>
          <w:szCs w:val="18"/>
        </w:rPr>
        <w:t>Estadual</w:t>
      </w:r>
      <w:proofErr w:type="spellEnd"/>
      <w:r w:rsidRPr="00F85381">
        <w:rPr>
          <w:rFonts w:ascii="Times New Roman" w:eastAsia="Times New Roman" w:hAnsi="Times New Roman" w:cs="Times New Roman"/>
          <w:i/>
          <w:sz w:val="18"/>
          <w:szCs w:val="18"/>
        </w:rPr>
        <w:t xml:space="preserve"> de Campinas, Instituto de </w:t>
      </w:r>
      <w:proofErr w:type="spellStart"/>
      <w:r w:rsidRPr="00F85381">
        <w:rPr>
          <w:rFonts w:ascii="Times New Roman" w:eastAsia="Times New Roman" w:hAnsi="Times New Roman" w:cs="Times New Roman"/>
          <w:i/>
          <w:sz w:val="18"/>
          <w:szCs w:val="18"/>
        </w:rPr>
        <w:t>Computação</w:t>
      </w:r>
      <w:proofErr w:type="spellEnd"/>
      <w:r w:rsidRPr="00F85381">
        <w:rPr>
          <w:rFonts w:ascii="Times New Roman" w:eastAsia="Times New Roman" w:hAnsi="Times New Roman" w:cs="Times New Roman"/>
          <w:i/>
          <w:sz w:val="18"/>
          <w:szCs w:val="18"/>
        </w:rPr>
        <w:t xml:space="preserve">, Computer Networks Laboratory, 13083-852, Campinas, São Paulo State, Brazil, </w:t>
      </w:r>
      <w:hyperlink r:id="rId13">
        <w:r w:rsidRPr="00F85381">
          <w:rPr>
            <w:rFonts w:ascii="Times New Roman" w:eastAsia="Times New Roman" w:hAnsi="Times New Roman" w:cs="Times New Roman"/>
            <w:i/>
            <w:sz w:val="18"/>
            <w:szCs w:val="18"/>
            <w:u w:val="single"/>
          </w:rPr>
          <w:t>bit@ic.unicamp.br</w:t>
        </w:r>
      </w:hyperlink>
    </w:p>
    <w:p w14:paraId="7A462949" w14:textId="55AEB488" w:rsidR="009F26E3" w:rsidRPr="00F85381" w:rsidRDefault="00F50BBA">
      <w:pPr>
        <w:spacing w:line="240" w:lineRule="auto"/>
        <w:jc w:val="center"/>
        <w:rPr>
          <w:rFonts w:ascii="Times New Roman" w:eastAsia="Times New Roman" w:hAnsi="Times New Roman" w:cs="Times New Roman"/>
          <w:i/>
          <w:sz w:val="18"/>
          <w:szCs w:val="18"/>
        </w:rPr>
      </w:pPr>
      <w:proofErr w:type="spellStart"/>
      <w:r w:rsidRPr="00F85381">
        <w:rPr>
          <w:rFonts w:ascii="Times New Roman" w:eastAsia="Times New Roman" w:hAnsi="Times New Roman" w:cs="Times New Roman"/>
          <w:i/>
          <w:sz w:val="18"/>
          <w:szCs w:val="18"/>
          <w:vertAlign w:val="superscript"/>
        </w:rPr>
        <w:t>d</w:t>
      </w:r>
      <w:r w:rsidRPr="00F85381">
        <w:rPr>
          <w:rFonts w:ascii="Times New Roman" w:eastAsia="Times New Roman" w:hAnsi="Times New Roman" w:cs="Times New Roman"/>
          <w:i/>
          <w:sz w:val="18"/>
          <w:szCs w:val="18"/>
        </w:rPr>
        <w:t>Delft</w:t>
      </w:r>
      <w:proofErr w:type="spellEnd"/>
      <w:r w:rsidRPr="00F85381">
        <w:rPr>
          <w:rFonts w:ascii="Times New Roman" w:eastAsia="Times New Roman" w:hAnsi="Times New Roman" w:cs="Times New Roman"/>
          <w:i/>
          <w:sz w:val="18"/>
          <w:szCs w:val="18"/>
        </w:rPr>
        <w:t xml:space="preserve"> University of Technology, Faculty of Civil Engineering and Geosciences, Department of Water Management, </w:t>
      </w:r>
      <w:proofErr w:type="spellStart"/>
      <w:r w:rsidRPr="00F85381">
        <w:rPr>
          <w:rFonts w:ascii="Times New Roman" w:eastAsia="Times New Roman" w:hAnsi="Times New Roman" w:cs="Times New Roman"/>
          <w:i/>
          <w:sz w:val="18"/>
          <w:szCs w:val="18"/>
        </w:rPr>
        <w:t>Stevinweg</w:t>
      </w:r>
      <w:proofErr w:type="spellEnd"/>
      <w:r w:rsidRPr="00F85381">
        <w:rPr>
          <w:rFonts w:ascii="Times New Roman" w:eastAsia="Times New Roman" w:hAnsi="Times New Roman" w:cs="Times New Roman"/>
          <w:i/>
          <w:sz w:val="18"/>
          <w:szCs w:val="18"/>
        </w:rPr>
        <w:t xml:space="preserve"> 1, 2628 CN Delft,</w:t>
      </w:r>
      <w:r w:rsidR="00BF5469">
        <w:rPr>
          <w:rFonts w:ascii="Times New Roman" w:eastAsia="Times New Roman" w:hAnsi="Times New Roman" w:cs="Times New Roman"/>
          <w:i/>
          <w:sz w:val="18"/>
          <w:szCs w:val="18"/>
        </w:rPr>
        <w:t xml:space="preserve"> Netherlands,</w:t>
      </w:r>
      <w:r w:rsidRPr="00F85381">
        <w:rPr>
          <w:rFonts w:ascii="Times New Roman" w:eastAsia="Times New Roman" w:hAnsi="Times New Roman" w:cs="Times New Roman"/>
          <w:i/>
          <w:sz w:val="18"/>
          <w:szCs w:val="18"/>
        </w:rPr>
        <w:t xml:space="preserve"> </w:t>
      </w:r>
      <w:hyperlink r:id="rId14">
        <w:r w:rsidRPr="00F85381">
          <w:rPr>
            <w:rFonts w:ascii="Times New Roman" w:eastAsia="Times New Roman" w:hAnsi="Times New Roman" w:cs="Times New Roman"/>
            <w:i/>
            <w:sz w:val="18"/>
            <w:szCs w:val="18"/>
            <w:u w:val="single"/>
          </w:rPr>
          <w:t>z.kapelan@tudelft.nl</w:t>
        </w:r>
      </w:hyperlink>
    </w:p>
    <w:p w14:paraId="70AABEA4" w14:textId="77777777" w:rsidR="009F26E3" w:rsidRPr="00F85381" w:rsidRDefault="009F26E3">
      <w:pPr>
        <w:spacing w:line="240" w:lineRule="auto"/>
        <w:jc w:val="left"/>
        <w:rPr>
          <w:rFonts w:ascii="Times New Roman" w:eastAsia="Times New Roman" w:hAnsi="Times New Roman" w:cs="Times New Roman"/>
          <w:i/>
          <w:sz w:val="18"/>
          <w:szCs w:val="18"/>
        </w:rPr>
      </w:pPr>
    </w:p>
    <w:p w14:paraId="616093C9" w14:textId="77777777" w:rsidR="009F26E3" w:rsidRPr="00F85381" w:rsidRDefault="009F26E3">
      <w:pPr>
        <w:spacing w:line="240" w:lineRule="auto"/>
        <w:jc w:val="center"/>
        <w:rPr>
          <w:rFonts w:ascii="Times New Roman" w:eastAsia="Times New Roman" w:hAnsi="Times New Roman" w:cs="Times New Roman"/>
          <w:i/>
          <w:sz w:val="18"/>
          <w:szCs w:val="18"/>
        </w:rPr>
      </w:pPr>
    </w:p>
    <w:p w14:paraId="511269C0" w14:textId="77777777" w:rsidR="009F26E3" w:rsidRPr="00F85381" w:rsidRDefault="009F26E3">
      <w:pPr>
        <w:spacing w:line="240" w:lineRule="auto"/>
        <w:jc w:val="center"/>
        <w:rPr>
          <w:rFonts w:ascii="Times New Roman" w:eastAsia="Times New Roman" w:hAnsi="Times New Roman" w:cs="Times New Roman"/>
          <w:sz w:val="18"/>
          <w:szCs w:val="18"/>
        </w:rPr>
      </w:pPr>
    </w:p>
    <w:p w14:paraId="4A6FBB86" w14:textId="77777777" w:rsidR="009F26E3" w:rsidRPr="00F85381" w:rsidRDefault="00F50BBA">
      <w:pPr>
        <w:spacing w:after="160" w:line="259" w:lineRule="auto"/>
        <w:jc w:val="left"/>
        <w:rPr>
          <w:rFonts w:ascii="Times New Roman" w:eastAsia="Times New Roman" w:hAnsi="Times New Roman" w:cs="Times New Roman"/>
        </w:rPr>
      </w:pPr>
      <w:r w:rsidRPr="00F85381">
        <w:rPr>
          <w:rFonts w:ascii="Times New Roman" w:eastAsia="Times New Roman" w:hAnsi="Times New Roman" w:cs="Times New Roman"/>
          <w:b/>
          <w:sz w:val="28"/>
          <w:szCs w:val="28"/>
        </w:rPr>
        <w:t>Abstract</w:t>
      </w:r>
    </w:p>
    <w:p w14:paraId="3B79D62D" w14:textId="30EF0AC5" w:rsidR="009F26E3" w:rsidRPr="00F85381" w:rsidRDefault="009A7B76" w:rsidP="00261C72">
      <w:pPr>
        <w:spacing w:line="480" w:lineRule="auto"/>
        <w:rPr>
          <w:rFonts w:ascii="Times New Roman" w:eastAsia="Times New Roman" w:hAnsi="Times New Roman" w:cs="Times New Roman"/>
        </w:rPr>
      </w:pPr>
      <w:r w:rsidRPr="00F85381">
        <w:rPr>
          <w:rFonts w:ascii="Times New Roman" w:eastAsia="Times New Roman" w:hAnsi="Times New Roman" w:cs="Times New Roman"/>
        </w:rPr>
        <w:t>Resilience-informed water quality management embraces the growing environmental challenges and provides greater accuracy by unpacking the systems</w:t>
      </w:r>
      <w:r w:rsidR="00A476E4">
        <w:rPr>
          <w:rFonts w:ascii="Times New Roman" w:eastAsia="Times New Roman" w:hAnsi="Times New Roman" w:cs="Times New Roman"/>
        </w:rPr>
        <w:t>’</w:t>
      </w:r>
      <w:r w:rsidRPr="00F85381">
        <w:rPr>
          <w:rFonts w:ascii="Times New Roman" w:eastAsia="Times New Roman" w:hAnsi="Times New Roman" w:cs="Times New Roman"/>
        </w:rPr>
        <w:t xml:space="preserve"> characteristics in response to failure conditions </w:t>
      </w:r>
      <w:proofErr w:type="gramStart"/>
      <w:r w:rsidRPr="00F85381">
        <w:rPr>
          <w:rFonts w:ascii="Times New Roman" w:eastAsia="Times New Roman" w:hAnsi="Times New Roman" w:cs="Times New Roman"/>
        </w:rPr>
        <w:t>in order to</w:t>
      </w:r>
      <w:proofErr w:type="gramEnd"/>
      <w:r w:rsidRPr="00F85381">
        <w:rPr>
          <w:rFonts w:ascii="Times New Roman" w:eastAsia="Times New Roman" w:hAnsi="Times New Roman" w:cs="Times New Roman"/>
        </w:rPr>
        <w:t xml:space="preserve"> identify more effective opportunities for intervention. Assessing the resilience of water quality requires complex analysis of influential parameters which can be challenging, time consuming and costly to compute. It may also require building detailed conceptual and/or physically process-based models that are difficult to build, calibrate and validate. This study utilises Artificial Neural Network (ANN) to develop a novel application to predict water quality resilience to simplify resilience evaluation. The Fuzzy Analytic Hierarchy Process method is used to rank water basins based on their level of resilience and to identify the ones that demand prompt restoration strategies. The commonly used ‘magnitude * duration of being in failure state’ quantification method has been used to formulate and evaluate resilience. A 17-years long water quality dataset from the 22 water basins in the State of São Paulo, Brazil, was used to train and test the ANN model. The overall agreement between the measured and simulated WQI resilience values is satisfactory and hence, can be used by planners and decision makers for improved water management. Moreover, comparative analyses show similarities and differences between the ‘level of criticalities’ reported in each zone by Environment Agency of the state of São Paulo (CETESB) and by the resilience model in this study</w:t>
      </w:r>
      <w:r w:rsidR="47CB78F3" w:rsidRPr="00F85381">
        <w:rPr>
          <w:rFonts w:ascii="Times New Roman" w:eastAsia="Times New Roman" w:hAnsi="Times New Roman" w:cs="Times New Roman"/>
        </w:rPr>
        <w:t>.</w:t>
      </w:r>
    </w:p>
    <w:p w14:paraId="29552204" w14:textId="24D2336A" w:rsidR="009F26E3" w:rsidRPr="00F85381" w:rsidRDefault="00F50BBA" w:rsidP="00C759D5">
      <w:pPr>
        <w:spacing w:after="120" w:line="259" w:lineRule="auto"/>
        <w:rPr>
          <w:rFonts w:ascii="Times New Roman" w:eastAsia="Times New Roman" w:hAnsi="Times New Roman" w:cs="Times New Roman"/>
          <w:b/>
        </w:rPr>
        <w:sectPr w:rsidR="009F26E3" w:rsidRPr="00F85381" w:rsidSect="00674EF3">
          <w:headerReference w:type="even" r:id="rId15"/>
          <w:headerReference w:type="default" r:id="rId16"/>
          <w:footerReference w:type="even" r:id="rId17"/>
          <w:footerReference w:type="default" r:id="rId18"/>
          <w:headerReference w:type="first" r:id="rId19"/>
          <w:footerReference w:type="first" r:id="rId20"/>
          <w:pgSz w:w="11909" w:h="16834"/>
          <w:pgMar w:top="1440" w:right="1440" w:bottom="1440" w:left="1440" w:header="720" w:footer="720" w:gutter="0"/>
          <w:lnNumType w:countBy="1" w:restart="continuous"/>
          <w:pgNumType w:start="1"/>
          <w:cols w:space="720"/>
          <w:docGrid w:linePitch="299"/>
        </w:sectPr>
      </w:pPr>
      <w:r w:rsidRPr="00F85381">
        <w:rPr>
          <w:rFonts w:ascii="Times New Roman" w:eastAsia="Times New Roman" w:hAnsi="Times New Roman" w:cs="Times New Roman"/>
          <w:b/>
        </w:rPr>
        <w:t xml:space="preserve">Keywords: </w:t>
      </w:r>
      <w:r w:rsidRPr="00F85381">
        <w:rPr>
          <w:rFonts w:ascii="Times New Roman" w:eastAsia="Times New Roman" w:hAnsi="Times New Roman" w:cs="Times New Roman"/>
        </w:rPr>
        <w:t xml:space="preserve">Artificial neural network, </w:t>
      </w:r>
      <w:r w:rsidR="00BF5469">
        <w:rPr>
          <w:rFonts w:ascii="Times New Roman" w:eastAsia="Times New Roman" w:hAnsi="Times New Roman" w:cs="Times New Roman"/>
        </w:rPr>
        <w:t>A</w:t>
      </w:r>
      <w:r w:rsidRPr="00F85381">
        <w:rPr>
          <w:rFonts w:ascii="Times New Roman" w:eastAsia="Times New Roman" w:hAnsi="Times New Roman" w:cs="Times New Roman"/>
        </w:rPr>
        <w:t xml:space="preserve">nalytic hierarchy process, </w:t>
      </w:r>
      <w:r w:rsidR="00BF5469">
        <w:rPr>
          <w:rFonts w:ascii="Times New Roman" w:eastAsia="Times New Roman" w:hAnsi="Times New Roman" w:cs="Times New Roman"/>
        </w:rPr>
        <w:t>F</w:t>
      </w:r>
      <w:r w:rsidRPr="00F85381">
        <w:rPr>
          <w:rFonts w:ascii="Times New Roman" w:eastAsia="Times New Roman" w:hAnsi="Times New Roman" w:cs="Times New Roman"/>
        </w:rPr>
        <w:t xml:space="preserve">uzzy logic, </w:t>
      </w:r>
      <w:r w:rsidR="00BF5469">
        <w:rPr>
          <w:rFonts w:ascii="Times New Roman" w:eastAsia="Times New Roman" w:hAnsi="Times New Roman" w:cs="Times New Roman"/>
        </w:rPr>
        <w:t>T</w:t>
      </w:r>
      <w:r w:rsidR="00D6245A" w:rsidRPr="00F85381">
        <w:rPr>
          <w:rFonts w:ascii="Times New Roman" w:eastAsia="Times New Roman" w:hAnsi="Times New Roman" w:cs="Times New Roman"/>
        </w:rPr>
        <w:t xml:space="preserve">riangular fuzzy number, </w:t>
      </w:r>
      <w:r w:rsidR="00BF5469">
        <w:rPr>
          <w:rFonts w:ascii="Times New Roman" w:eastAsia="Times New Roman" w:hAnsi="Times New Roman" w:cs="Times New Roman"/>
        </w:rPr>
        <w:t>M</w:t>
      </w:r>
      <w:r w:rsidRPr="00F85381">
        <w:rPr>
          <w:rFonts w:ascii="Times New Roman" w:eastAsia="Times New Roman" w:hAnsi="Times New Roman" w:cs="Times New Roman"/>
        </w:rPr>
        <w:t xml:space="preserve">achine learning, </w:t>
      </w:r>
      <w:r w:rsidR="00BF5469">
        <w:rPr>
          <w:rFonts w:ascii="Times New Roman" w:eastAsia="Times New Roman" w:hAnsi="Times New Roman" w:cs="Times New Roman"/>
        </w:rPr>
        <w:t>R</w:t>
      </w:r>
      <w:r w:rsidRPr="00F85381">
        <w:rPr>
          <w:rFonts w:ascii="Times New Roman" w:eastAsia="Times New Roman" w:hAnsi="Times New Roman" w:cs="Times New Roman"/>
        </w:rPr>
        <w:t xml:space="preserve">esilience, </w:t>
      </w:r>
      <w:r w:rsidR="00BF5469">
        <w:rPr>
          <w:rFonts w:ascii="Times New Roman" w:eastAsia="Times New Roman" w:hAnsi="Times New Roman" w:cs="Times New Roman"/>
        </w:rPr>
        <w:t>W</w:t>
      </w:r>
      <w:r w:rsidRPr="00F85381">
        <w:rPr>
          <w:rFonts w:ascii="Times New Roman" w:eastAsia="Times New Roman" w:hAnsi="Times New Roman" w:cs="Times New Roman"/>
        </w:rPr>
        <w:t>ater quality</w:t>
      </w:r>
    </w:p>
    <w:p w14:paraId="4206C354" w14:textId="77777777" w:rsidR="009F26E3" w:rsidRPr="00F85381" w:rsidRDefault="00F50BBA">
      <w:pPr>
        <w:pStyle w:val="Heading1"/>
        <w:numPr>
          <w:ilvl w:val="0"/>
          <w:numId w:val="1"/>
        </w:numPr>
      </w:pPr>
      <w:r w:rsidRPr="00F85381">
        <w:lastRenderedPageBreak/>
        <w:t>Introduction</w:t>
      </w:r>
    </w:p>
    <w:p w14:paraId="60A29122" w14:textId="0EC0741E" w:rsidR="00E401CD" w:rsidRPr="00F85381" w:rsidRDefault="00FF4C5B" w:rsidP="00FF4C5B">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Historically, environmental status of water resources in an area is assessed against pre-defined water quality</w:t>
      </w:r>
      <w:r w:rsidR="007B5BF6" w:rsidRPr="00F85381">
        <w:rPr>
          <w:rFonts w:ascii="Times New Roman" w:eastAsia="Times New Roman" w:hAnsi="Times New Roman" w:cs="Times New Roman"/>
        </w:rPr>
        <w:t xml:space="preserve"> (WQ)</w:t>
      </w:r>
      <w:r w:rsidRPr="00F85381">
        <w:rPr>
          <w:rFonts w:ascii="Times New Roman" w:eastAsia="Times New Roman" w:hAnsi="Times New Roman" w:cs="Times New Roman"/>
        </w:rPr>
        <w:t xml:space="preserve"> standards. For this purpose, spatial and temporal changes (e.g. monthly or annually) </w:t>
      </w:r>
      <w:r w:rsidR="00320856" w:rsidRPr="00F85381">
        <w:rPr>
          <w:rFonts w:ascii="Times New Roman" w:eastAsia="Times New Roman" w:hAnsi="Times New Roman" w:cs="Times New Roman"/>
        </w:rPr>
        <w:t xml:space="preserve">of </w:t>
      </w:r>
      <w:r w:rsidR="00E77CA0" w:rsidRPr="00F85381">
        <w:rPr>
          <w:rFonts w:ascii="Times New Roman" w:eastAsia="Times New Roman" w:hAnsi="Times New Roman" w:cs="Times New Roman"/>
        </w:rPr>
        <w:t xml:space="preserve">WQ parameters (or WQ indexes) </w:t>
      </w:r>
      <w:r w:rsidRPr="00F85381">
        <w:rPr>
          <w:rFonts w:ascii="Times New Roman" w:eastAsia="Times New Roman" w:hAnsi="Times New Roman" w:cs="Times New Roman"/>
        </w:rPr>
        <w:t xml:space="preserve">are </w:t>
      </w:r>
      <w:r w:rsidR="00320856" w:rsidRPr="00F85381">
        <w:rPr>
          <w:rFonts w:ascii="Times New Roman" w:eastAsia="Times New Roman" w:hAnsi="Times New Roman" w:cs="Times New Roman"/>
        </w:rPr>
        <w:t xml:space="preserve">collected and </w:t>
      </w:r>
      <w:r w:rsidRPr="00F85381">
        <w:rPr>
          <w:rFonts w:ascii="Times New Roman" w:eastAsia="Times New Roman" w:hAnsi="Times New Roman" w:cs="Times New Roman"/>
        </w:rPr>
        <w:t>used to identify and assess WQ characteristics due to natural and man-made influences (</w:t>
      </w:r>
      <w:proofErr w:type="spellStart"/>
      <w:r w:rsidRPr="00F85381">
        <w:rPr>
          <w:rFonts w:ascii="Times New Roman" w:eastAsia="Times New Roman" w:hAnsi="Times New Roman" w:cs="Times New Roman"/>
        </w:rPr>
        <w:t>Chounlamany</w:t>
      </w:r>
      <w:proofErr w:type="spellEnd"/>
      <w:r w:rsidRPr="00F85381">
        <w:rPr>
          <w:rFonts w:ascii="Times New Roman" w:eastAsia="Times New Roman" w:hAnsi="Times New Roman" w:cs="Times New Roman"/>
        </w:rPr>
        <w:t xml:space="preserve"> et al., 2017) or for life cycle assessment of geomorphological dynamics (Tooth, 2018). In line with this, risk-based approaches are </w:t>
      </w:r>
      <w:r w:rsidR="00AF6C8B" w:rsidRPr="00F85381">
        <w:rPr>
          <w:rFonts w:ascii="Times New Roman" w:eastAsia="Times New Roman" w:hAnsi="Times New Roman" w:cs="Times New Roman"/>
        </w:rPr>
        <w:t xml:space="preserve">also </w:t>
      </w:r>
      <w:r w:rsidRPr="00F85381">
        <w:rPr>
          <w:rFonts w:ascii="Times New Roman" w:eastAsia="Times New Roman" w:hAnsi="Times New Roman" w:cs="Times New Roman"/>
        </w:rPr>
        <w:t xml:space="preserve">commonly used to tackle the sparsity of WQ data and the limitations of statistical methods to reconstruct the time-series for WQ analysis (Maier et al., 2001; Hart et al., 2003; Mondal and </w:t>
      </w:r>
      <w:proofErr w:type="spellStart"/>
      <w:r w:rsidRPr="00F85381">
        <w:rPr>
          <w:rFonts w:ascii="Times New Roman" w:eastAsia="Times New Roman" w:hAnsi="Times New Roman" w:cs="Times New Roman"/>
        </w:rPr>
        <w:t>Wasimi</w:t>
      </w:r>
      <w:proofErr w:type="spellEnd"/>
      <w:r w:rsidRPr="00F85381">
        <w:rPr>
          <w:rFonts w:ascii="Times New Roman" w:eastAsia="Times New Roman" w:hAnsi="Times New Roman" w:cs="Times New Roman"/>
        </w:rPr>
        <w:t xml:space="preserve">, 2007; Sarang et al., 2008; </w:t>
      </w:r>
      <w:proofErr w:type="spellStart"/>
      <w:r w:rsidRPr="00F85381">
        <w:rPr>
          <w:rFonts w:ascii="Times New Roman" w:eastAsia="Times New Roman" w:hAnsi="Times New Roman" w:cs="Times New Roman"/>
        </w:rPr>
        <w:t>Asefa</w:t>
      </w:r>
      <w:proofErr w:type="spellEnd"/>
      <w:r w:rsidRPr="00F85381">
        <w:rPr>
          <w:rFonts w:ascii="Times New Roman" w:eastAsia="Times New Roman" w:hAnsi="Times New Roman" w:cs="Times New Roman"/>
        </w:rPr>
        <w:t xml:space="preserve"> et al., 2014; Hoque et al., 2013, 2016). However, in practice, there are limitations to traditional WQ assessment </w:t>
      </w:r>
      <w:r w:rsidR="009634CB" w:rsidRPr="00F85381">
        <w:rPr>
          <w:rFonts w:ascii="Times New Roman" w:eastAsia="Times New Roman" w:hAnsi="Times New Roman" w:cs="Times New Roman"/>
        </w:rPr>
        <w:t xml:space="preserve">methods and approaches used </w:t>
      </w:r>
      <w:r w:rsidRPr="00F85381">
        <w:rPr>
          <w:rFonts w:ascii="Times New Roman" w:eastAsia="Times New Roman" w:hAnsi="Times New Roman" w:cs="Times New Roman"/>
        </w:rPr>
        <w:t>due to first, a high degree of uncertainty in emerging threats; second, time blindness of risk measures</w:t>
      </w:r>
      <w:r w:rsidR="00FA14ED" w:rsidRPr="00F85381">
        <w:rPr>
          <w:rFonts w:ascii="Times New Roman" w:eastAsia="Times New Roman" w:hAnsi="Times New Roman" w:cs="Times New Roman"/>
        </w:rPr>
        <w:t xml:space="preserve"> used</w:t>
      </w:r>
      <w:r w:rsidRPr="00F85381">
        <w:rPr>
          <w:rFonts w:ascii="Times New Roman" w:eastAsia="Times New Roman" w:hAnsi="Times New Roman" w:cs="Times New Roman"/>
        </w:rPr>
        <w:t>; third, complexity of their consequence</w:t>
      </w:r>
      <w:r w:rsidR="0027399C" w:rsidRPr="00F85381">
        <w:rPr>
          <w:rFonts w:ascii="Times New Roman" w:eastAsia="Times New Roman" w:hAnsi="Times New Roman" w:cs="Times New Roman"/>
        </w:rPr>
        <w:t xml:space="preserve">s </w:t>
      </w:r>
      <w:r w:rsidRPr="00F85381">
        <w:rPr>
          <w:rFonts w:ascii="Times New Roman" w:eastAsia="Times New Roman" w:hAnsi="Times New Roman" w:cs="Times New Roman"/>
        </w:rPr>
        <w:t xml:space="preserve">(Park et al., 2012; Sweetapple et al., 2018). </w:t>
      </w:r>
      <w:r w:rsidR="00B3608A" w:rsidRPr="00F85381">
        <w:rPr>
          <w:rFonts w:ascii="Times New Roman" w:eastAsia="Times New Roman" w:hAnsi="Times New Roman" w:cs="Times New Roman"/>
        </w:rPr>
        <w:t>S</w:t>
      </w:r>
      <w:r w:rsidR="004F34ED" w:rsidRPr="00F85381">
        <w:rPr>
          <w:rFonts w:ascii="Times New Roman" w:eastAsia="Times New Roman" w:hAnsi="Times New Roman" w:cs="Times New Roman"/>
        </w:rPr>
        <w:t>ome latest studies have proposed resilience as a complementary measure to risk for a more robust decision-making in WQ management</w:t>
      </w:r>
      <w:r w:rsidR="00887F94" w:rsidRPr="00F85381">
        <w:rPr>
          <w:rFonts w:ascii="Times New Roman" w:eastAsia="Times New Roman" w:hAnsi="Times New Roman" w:cs="Times New Roman"/>
        </w:rPr>
        <w:t xml:space="preserve"> (Sweetapple et al., 2018</w:t>
      </w:r>
      <w:r w:rsidR="00424973" w:rsidRPr="00F85381">
        <w:rPr>
          <w:rFonts w:ascii="Times New Roman" w:eastAsia="Times New Roman" w:hAnsi="Times New Roman" w:cs="Times New Roman"/>
        </w:rPr>
        <w:t>)</w:t>
      </w:r>
      <w:r w:rsidR="008D216D" w:rsidRPr="00F85381">
        <w:rPr>
          <w:rFonts w:ascii="Times New Roman" w:eastAsia="Times New Roman" w:hAnsi="Times New Roman" w:cs="Times New Roman"/>
        </w:rPr>
        <w:t>. These studies</w:t>
      </w:r>
      <w:r w:rsidR="004F34ED" w:rsidRPr="00F85381">
        <w:rPr>
          <w:rFonts w:ascii="Times New Roman" w:eastAsia="Times New Roman" w:hAnsi="Times New Roman" w:cs="Times New Roman"/>
        </w:rPr>
        <w:t xml:space="preserve"> focus on the promotion of key drivers, attributes and role players’ adaptive capacities to cope with changing conditions rather than the use of control-based risk management (van Den Hoek et al., 2011; Hoque et al., 2012; </w:t>
      </w:r>
      <w:proofErr w:type="spellStart"/>
      <w:r w:rsidR="004F34ED" w:rsidRPr="00F85381">
        <w:rPr>
          <w:rFonts w:ascii="Times New Roman" w:eastAsia="Times New Roman" w:hAnsi="Times New Roman" w:cs="Times New Roman"/>
        </w:rPr>
        <w:t>Mallya</w:t>
      </w:r>
      <w:proofErr w:type="spellEnd"/>
      <w:r w:rsidR="004F34ED" w:rsidRPr="00F85381">
        <w:rPr>
          <w:rFonts w:ascii="Times New Roman" w:eastAsia="Times New Roman" w:hAnsi="Times New Roman" w:cs="Times New Roman"/>
        </w:rPr>
        <w:t xml:space="preserve"> et al., 2018). </w:t>
      </w:r>
      <w:r w:rsidR="003E5A38" w:rsidRPr="00F85381">
        <w:rPr>
          <w:rFonts w:ascii="Times New Roman" w:eastAsia="Times New Roman" w:hAnsi="Times New Roman" w:cs="Times New Roman"/>
        </w:rPr>
        <w:t>Conventional</w:t>
      </w:r>
      <w:r w:rsidR="00D10D1D" w:rsidRPr="00F85381">
        <w:rPr>
          <w:rFonts w:ascii="Times New Roman" w:eastAsia="Times New Roman" w:hAnsi="Times New Roman" w:cs="Times New Roman"/>
        </w:rPr>
        <w:t xml:space="preserve"> </w:t>
      </w:r>
      <w:r w:rsidR="006F4C9D" w:rsidRPr="00F85381">
        <w:rPr>
          <w:rFonts w:ascii="Times New Roman" w:eastAsia="Times New Roman" w:hAnsi="Times New Roman" w:cs="Times New Roman"/>
        </w:rPr>
        <w:t xml:space="preserve">WQ </w:t>
      </w:r>
      <w:r w:rsidR="00EF25DF" w:rsidRPr="00F85381">
        <w:rPr>
          <w:rFonts w:ascii="Times New Roman" w:eastAsia="Times New Roman" w:hAnsi="Times New Roman" w:cs="Times New Roman"/>
        </w:rPr>
        <w:t xml:space="preserve">management relies on the ability to project </w:t>
      </w:r>
      <w:r w:rsidR="00235D72" w:rsidRPr="00F85381">
        <w:rPr>
          <w:rFonts w:ascii="Times New Roman" w:eastAsia="Times New Roman" w:hAnsi="Times New Roman" w:cs="Times New Roman"/>
        </w:rPr>
        <w:t xml:space="preserve">future change </w:t>
      </w:r>
      <w:proofErr w:type="gramStart"/>
      <w:r w:rsidR="002270EF" w:rsidRPr="00F85381">
        <w:rPr>
          <w:rFonts w:ascii="Times New Roman" w:eastAsia="Times New Roman" w:hAnsi="Times New Roman" w:cs="Times New Roman"/>
        </w:rPr>
        <w:t>in order to</w:t>
      </w:r>
      <w:proofErr w:type="gramEnd"/>
      <w:r w:rsidR="002270EF" w:rsidRPr="00F85381">
        <w:rPr>
          <w:rFonts w:ascii="Times New Roman" w:eastAsia="Times New Roman" w:hAnsi="Times New Roman" w:cs="Times New Roman"/>
        </w:rPr>
        <w:t xml:space="preserve"> </w:t>
      </w:r>
      <w:r w:rsidR="00D01E44" w:rsidRPr="00F85381">
        <w:rPr>
          <w:rFonts w:ascii="Times New Roman" w:eastAsia="Times New Roman" w:hAnsi="Times New Roman" w:cs="Times New Roman"/>
        </w:rPr>
        <w:t>design</w:t>
      </w:r>
      <w:r w:rsidR="002270EF" w:rsidRPr="00F85381">
        <w:rPr>
          <w:rFonts w:ascii="Times New Roman" w:eastAsia="Times New Roman" w:hAnsi="Times New Roman" w:cs="Times New Roman"/>
        </w:rPr>
        <w:t xml:space="preserve"> </w:t>
      </w:r>
      <w:r w:rsidR="00BA388C" w:rsidRPr="00F85381">
        <w:rPr>
          <w:rFonts w:ascii="Times New Roman" w:eastAsia="Times New Roman" w:hAnsi="Times New Roman" w:cs="Times New Roman"/>
        </w:rPr>
        <w:t>res</w:t>
      </w:r>
      <w:r w:rsidR="002034F2" w:rsidRPr="00F85381">
        <w:rPr>
          <w:rFonts w:ascii="Times New Roman" w:eastAsia="Times New Roman" w:hAnsi="Times New Roman" w:cs="Times New Roman"/>
        </w:rPr>
        <w:t>toration</w:t>
      </w:r>
      <w:r w:rsidR="00702585" w:rsidRPr="00F85381">
        <w:rPr>
          <w:rFonts w:ascii="Times New Roman" w:eastAsia="Times New Roman" w:hAnsi="Times New Roman" w:cs="Times New Roman"/>
        </w:rPr>
        <w:t xml:space="preserve"> </w:t>
      </w:r>
      <w:r w:rsidR="002034F2" w:rsidRPr="00F85381">
        <w:rPr>
          <w:rFonts w:ascii="Times New Roman" w:eastAsia="Times New Roman" w:hAnsi="Times New Roman" w:cs="Times New Roman"/>
        </w:rPr>
        <w:t>strategies</w:t>
      </w:r>
      <w:r w:rsidR="002270EF" w:rsidRPr="00F85381">
        <w:rPr>
          <w:rFonts w:ascii="Times New Roman" w:eastAsia="Times New Roman" w:hAnsi="Times New Roman" w:cs="Times New Roman"/>
        </w:rPr>
        <w:t xml:space="preserve"> </w:t>
      </w:r>
      <w:r w:rsidR="00702585" w:rsidRPr="00F85381">
        <w:rPr>
          <w:rFonts w:ascii="Times New Roman" w:eastAsia="Times New Roman" w:hAnsi="Times New Roman" w:cs="Times New Roman"/>
        </w:rPr>
        <w:t>to well-known and defined problem</w:t>
      </w:r>
      <w:r w:rsidR="00424973" w:rsidRPr="00F85381">
        <w:rPr>
          <w:rFonts w:ascii="Times New Roman" w:eastAsia="Times New Roman" w:hAnsi="Times New Roman" w:cs="Times New Roman"/>
        </w:rPr>
        <w:t>s</w:t>
      </w:r>
      <w:r w:rsidR="00982AE6" w:rsidRPr="00F85381">
        <w:rPr>
          <w:rFonts w:ascii="Times New Roman" w:eastAsia="Times New Roman" w:hAnsi="Times New Roman" w:cs="Times New Roman"/>
        </w:rPr>
        <w:t xml:space="preserve"> </w:t>
      </w:r>
      <w:r w:rsidR="00FE3574" w:rsidRPr="00F85381">
        <w:rPr>
          <w:rFonts w:ascii="Times New Roman" w:eastAsia="Times New Roman" w:hAnsi="Times New Roman" w:cs="Times New Roman"/>
        </w:rPr>
        <w:t>(</w:t>
      </w:r>
      <w:proofErr w:type="spellStart"/>
      <w:r w:rsidR="00982AE6" w:rsidRPr="00F85381">
        <w:rPr>
          <w:rFonts w:ascii="Times New Roman" w:eastAsia="Times New Roman" w:hAnsi="Times New Roman" w:cs="Times New Roman"/>
        </w:rPr>
        <w:t>Pahl‐Wostl</w:t>
      </w:r>
      <w:proofErr w:type="spellEnd"/>
      <w:r w:rsidR="00982AE6" w:rsidRPr="00F85381">
        <w:rPr>
          <w:rFonts w:ascii="Times New Roman" w:eastAsia="Times New Roman" w:hAnsi="Times New Roman" w:cs="Times New Roman"/>
        </w:rPr>
        <w:t xml:space="preserve"> et al. 20</w:t>
      </w:r>
      <w:r w:rsidR="00FE3574" w:rsidRPr="00F85381">
        <w:rPr>
          <w:rFonts w:ascii="Times New Roman" w:eastAsia="Times New Roman" w:hAnsi="Times New Roman" w:cs="Times New Roman"/>
        </w:rPr>
        <w:t>11)</w:t>
      </w:r>
      <w:r w:rsidR="00887F94" w:rsidRPr="00F85381">
        <w:rPr>
          <w:rFonts w:ascii="Times New Roman" w:eastAsia="Times New Roman" w:hAnsi="Times New Roman" w:cs="Times New Roman"/>
        </w:rPr>
        <w:t xml:space="preserve">. </w:t>
      </w:r>
      <w:r w:rsidR="00DE18FD" w:rsidRPr="00F85381">
        <w:rPr>
          <w:rFonts w:ascii="Times New Roman" w:eastAsia="Times New Roman" w:hAnsi="Times New Roman" w:cs="Times New Roman"/>
        </w:rPr>
        <w:t>The</w:t>
      </w:r>
      <w:r w:rsidR="00507C11" w:rsidRPr="00F85381">
        <w:rPr>
          <w:rFonts w:ascii="Times New Roman" w:eastAsia="Times New Roman" w:hAnsi="Times New Roman" w:cs="Times New Roman"/>
        </w:rPr>
        <w:t>refore, the</w:t>
      </w:r>
      <w:r w:rsidR="00DE18FD" w:rsidRPr="00F85381">
        <w:rPr>
          <w:rFonts w:ascii="Times New Roman" w:eastAsia="Times New Roman" w:hAnsi="Times New Roman" w:cs="Times New Roman"/>
        </w:rPr>
        <w:t xml:space="preserve"> </w:t>
      </w:r>
      <w:r w:rsidR="006F4C9D" w:rsidRPr="00F85381">
        <w:rPr>
          <w:rFonts w:ascii="Times New Roman" w:eastAsia="Times New Roman" w:hAnsi="Times New Roman" w:cs="Times New Roman"/>
        </w:rPr>
        <w:t>assessment methods</w:t>
      </w:r>
      <w:r w:rsidR="006F53F4" w:rsidRPr="00F85381">
        <w:rPr>
          <w:rFonts w:ascii="Times New Roman" w:eastAsia="Times New Roman" w:hAnsi="Times New Roman" w:cs="Times New Roman"/>
        </w:rPr>
        <w:t xml:space="preserve"> </w:t>
      </w:r>
      <w:r w:rsidR="004863CF" w:rsidRPr="00F85381">
        <w:rPr>
          <w:rFonts w:ascii="Times New Roman" w:eastAsia="Times New Roman" w:hAnsi="Times New Roman" w:cs="Times New Roman"/>
        </w:rPr>
        <w:t>used</w:t>
      </w:r>
      <w:r w:rsidR="0029327A" w:rsidRPr="00F85381">
        <w:rPr>
          <w:rFonts w:ascii="Times New Roman" w:eastAsia="Times New Roman" w:hAnsi="Times New Roman" w:cs="Times New Roman"/>
        </w:rPr>
        <w:t>,</w:t>
      </w:r>
      <w:r w:rsidR="004863CF" w:rsidRPr="00F85381">
        <w:rPr>
          <w:rFonts w:ascii="Times New Roman" w:eastAsia="Times New Roman" w:hAnsi="Times New Roman" w:cs="Times New Roman"/>
        </w:rPr>
        <w:t xml:space="preserve"> </w:t>
      </w:r>
      <w:r w:rsidR="00E75F39" w:rsidRPr="00F85381">
        <w:rPr>
          <w:rFonts w:ascii="Times New Roman" w:eastAsia="Times New Roman" w:hAnsi="Times New Roman" w:cs="Times New Roman"/>
        </w:rPr>
        <w:t xml:space="preserve">tend </w:t>
      </w:r>
      <w:r w:rsidR="006F53F4" w:rsidRPr="00F85381">
        <w:rPr>
          <w:rFonts w:ascii="Times New Roman" w:eastAsia="Times New Roman" w:hAnsi="Times New Roman" w:cs="Times New Roman"/>
        </w:rPr>
        <w:t>to</w:t>
      </w:r>
      <w:r w:rsidR="00D10D1D" w:rsidRPr="00F85381">
        <w:rPr>
          <w:rFonts w:ascii="Times New Roman" w:eastAsia="Times New Roman" w:hAnsi="Times New Roman" w:cs="Times New Roman"/>
        </w:rPr>
        <w:t xml:space="preserve"> overlook the </w:t>
      </w:r>
      <w:r w:rsidR="00270949" w:rsidRPr="00F85381">
        <w:rPr>
          <w:rFonts w:ascii="Times New Roman" w:eastAsia="Times New Roman" w:hAnsi="Times New Roman" w:cs="Times New Roman"/>
        </w:rPr>
        <w:t>collective</w:t>
      </w:r>
      <w:r w:rsidR="006B4759" w:rsidRPr="00F85381">
        <w:rPr>
          <w:rFonts w:ascii="Times New Roman" w:eastAsia="Times New Roman" w:hAnsi="Times New Roman" w:cs="Times New Roman"/>
        </w:rPr>
        <w:t xml:space="preserve"> interaction of </w:t>
      </w:r>
      <w:r w:rsidR="00D10D1D" w:rsidRPr="00F85381">
        <w:rPr>
          <w:rFonts w:ascii="Times New Roman" w:eastAsia="Times New Roman" w:hAnsi="Times New Roman" w:cs="Times New Roman"/>
        </w:rPr>
        <w:t>magnitude, frequency</w:t>
      </w:r>
      <w:r w:rsidR="00442F67" w:rsidRPr="00F85381">
        <w:rPr>
          <w:rFonts w:ascii="Times New Roman" w:eastAsia="Times New Roman" w:hAnsi="Times New Roman" w:cs="Times New Roman"/>
        </w:rPr>
        <w:t>,</w:t>
      </w:r>
      <w:r w:rsidR="00D10D1D" w:rsidRPr="00F85381">
        <w:rPr>
          <w:rFonts w:ascii="Times New Roman" w:eastAsia="Times New Roman" w:hAnsi="Times New Roman" w:cs="Times New Roman"/>
        </w:rPr>
        <w:t xml:space="preserve"> and duration of failing periods </w:t>
      </w:r>
      <w:proofErr w:type="gramStart"/>
      <w:r w:rsidR="00D10D1D" w:rsidRPr="00F85381">
        <w:rPr>
          <w:rFonts w:ascii="Times New Roman" w:eastAsia="Times New Roman" w:hAnsi="Times New Roman" w:cs="Times New Roman"/>
        </w:rPr>
        <w:t>as long as</w:t>
      </w:r>
      <w:proofErr w:type="gramEnd"/>
      <w:r w:rsidR="00D10D1D" w:rsidRPr="00F85381">
        <w:rPr>
          <w:rFonts w:ascii="Times New Roman" w:eastAsia="Times New Roman" w:hAnsi="Times New Roman" w:cs="Times New Roman"/>
        </w:rPr>
        <w:t xml:space="preserve"> the </w:t>
      </w:r>
      <w:r w:rsidR="004863CF" w:rsidRPr="00F85381">
        <w:rPr>
          <w:rFonts w:ascii="Times New Roman" w:eastAsia="Times New Roman" w:hAnsi="Times New Roman" w:cs="Times New Roman"/>
        </w:rPr>
        <w:t>overall performance (</w:t>
      </w:r>
      <w:r w:rsidR="00D10D1D" w:rsidRPr="00F85381">
        <w:rPr>
          <w:rFonts w:ascii="Times New Roman" w:eastAsia="Times New Roman" w:hAnsi="Times New Roman" w:cs="Times New Roman"/>
        </w:rPr>
        <w:t>e.g.</w:t>
      </w:r>
      <w:r w:rsidR="00972F2B">
        <w:rPr>
          <w:rFonts w:ascii="Times New Roman" w:eastAsia="Times New Roman" w:hAnsi="Times New Roman" w:cs="Times New Roman"/>
        </w:rPr>
        <w:t>,</w:t>
      </w:r>
      <w:r w:rsidR="00D10D1D" w:rsidRPr="00F85381">
        <w:rPr>
          <w:rFonts w:ascii="Times New Roman" w:eastAsia="Times New Roman" w:hAnsi="Times New Roman" w:cs="Times New Roman"/>
        </w:rPr>
        <w:t xml:space="preserve"> annual average</w:t>
      </w:r>
      <w:r w:rsidR="004863CF" w:rsidRPr="00F85381">
        <w:rPr>
          <w:rFonts w:ascii="Times New Roman" w:eastAsia="Times New Roman" w:hAnsi="Times New Roman" w:cs="Times New Roman"/>
        </w:rPr>
        <w:t>)</w:t>
      </w:r>
      <w:r w:rsidR="00D10D1D" w:rsidRPr="00F85381">
        <w:rPr>
          <w:rFonts w:ascii="Times New Roman" w:eastAsia="Times New Roman" w:hAnsi="Times New Roman" w:cs="Times New Roman"/>
        </w:rPr>
        <w:t xml:space="preserve"> can fairly satisfy the desired standards.</w:t>
      </w:r>
      <w:r w:rsidR="00DE3647" w:rsidRPr="00F85381">
        <w:rPr>
          <w:rFonts w:ascii="Times New Roman" w:eastAsia="Times New Roman" w:hAnsi="Times New Roman" w:cs="Times New Roman"/>
        </w:rPr>
        <w:t xml:space="preserve"> This approach </w:t>
      </w:r>
      <w:r w:rsidR="0090362E" w:rsidRPr="00F85381">
        <w:rPr>
          <w:rFonts w:ascii="Times New Roman" w:eastAsia="Times New Roman" w:hAnsi="Times New Roman" w:cs="Times New Roman"/>
        </w:rPr>
        <w:t>can</w:t>
      </w:r>
      <w:r w:rsidR="00DE3647" w:rsidRPr="00F85381">
        <w:rPr>
          <w:rFonts w:ascii="Times New Roman" w:eastAsia="Times New Roman" w:hAnsi="Times New Roman" w:cs="Times New Roman"/>
        </w:rPr>
        <w:t xml:space="preserve"> </w:t>
      </w:r>
      <w:r w:rsidR="001D5CC6" w:rsidRPr="00F85381">
        <w:rPr>
          <w:rFonts w:ascii="Times New Roman" w:eastAsia="Times New Roman" w:hAnsi="Times New Roman" w:cs="Times New Roman"/>
        </w:rPr>
        <w:t xml:space="preserve">potentially </w:t>
      </w:r>
      <w:r w:rsidR="008D432B" w:rsidRPr="00F85381">
        <w:rPr>
          <w:rFonts w:ascii="Times New Roman" w:eastAsia="Times New Roman" w:hAnsi="Times New Roman" w:cs="Times New Roman"/>
        </w:rPr>
        <w:t xml:space="preserve">become more difficult to maintain under highly </w:t>
      </w:r>
      <w:r w:rsidR="00C726F6" w:rsidRPr="00F85381">
        <w:rPr>
          <w:rFonts w:ascii="Times New Roman" w:eastAsia="Times New Roman" w:hAnsi="Times New Roman" w:cs="Times New Roman"/>
        </w:rPr>
        <w:t xml:space="preserve">variable future with numerous </w:t>
      </w:r>
      <w:r w:rsidR="003F009B" w:rsidRPr="00F85381">
        <w:rPr>
          <w:rFonts w:ascii="Times New Roman" w:eastAsia="Times New Roman" w:hAnsi="Times New Roman" w:cs="Times New Roman"/>
        </w:rPr>
        <w:t>interconnected</w:t>
      </w:r>
      <w:r w:rsidR="00C726F6" w:rsidRPr="00F85381">
        <w:rPr>
          <w:rFonts w:ascii="Times New Roman" w:eastAsia="Times New Roman" w:hAnsi="Times New Roman" w:cs="Times New Roman"/>
        </w:rPr>
        <w:t xml:space="preserve"> stressors leading to failure incidents</w:t>
      </w:r>
      <w:r w:rsidR="006D21A2" w:rsidRPr="00F85381">
        <w:rPr>
          <w:rFonts w:ascii="Times New Roman" w:eastAsia="Times New Roman" w:hAnsi="Times New Roman" w:cs="Times New Roman"/>
        </w:rPr>
        <w:t xml:space="preserve"> (Zimmerman et al. 2008</w:t>
      </w:r>
      <w:r w:rsidR="00D07A2A" w:rsidRPr="00F85381">
        <w:rPr>
          <w:rFonts w:ascii="Times New Roman" w:eastAsia="Times New Roman" w:hAnsi="Times New Roman" w:cs="Times New Roman"/>
        </w:rPr>
        <w:t>; Butler et al., 2016</w:t>
      </w:r>
      <w:r w:rsidR="006D21A2" w:rsidRPr="00F85381">
        <w:rPr>
          <w:rFonts w:ascii="Times New Roman" w:eastAsia="Times New Roman" w:hAnsi="Times New Roman" w:cs="Times New Roman"/>
        </w:rPr>
        <w:t>)</w:t>
      </w:r>
      <w:r w:rsidR="00C726F6" w:rsidRPr="00F85381">
        <w:rPr>
          <w:rFonts w:ascii="Times New Roman" w:eastAsia="Times New Roman" w:hAnsi="Times New Roman" w:cs="Times New Roman"/>
        </w:rPr>
        <w:t xml:space="preserve">. </w:t>
      </w:r>
      <w:r w:rsidR="00DA3D60" w:rsidRPr="00F85381">
        <w:rPr>
          <w:rFonts w:ascii="Times New Roman" w:eastAsia="Times New Roman" w:hAnsi="Times New Roman" w:cs="Times New Roman"/>
        </w:rPr>
        <w:t>Resilience-informed water quality management embraces the growing environmental challenges and provides greater accuracy by unpacking the systems</w:t>
      </w:r>
      <w:r w:rsidR="00CE6412">
        <w:rPr>
          <w:rFonts w:ascii="Times New Roman" w:eastAsia="Times New Roman" w:hAnsi="Times New Roman" w:cs="Times New Roman"/>
        </w:rPr>
        <w:t>’</w:t>
      </w:r>
      <w:r w:rsidR="00DA3D60" w:rsidRPr="00F85381">
        <w:rPr>
          <w:rFonts w:ascii="Times New Roman" w:eastAsia="Times New Roman" w:hAnsi="Times New Roman" w:cs="Times New Roman"/>
        </w:rPr>
        <w:t xml:space="preserve"> characteristics in response to failure conditions </w:t>
      </w:r>
      <w:proofErr w:type="gramStart"/>
      <w:r w:rsidR="00DA3D60" w:rsidRPr="00F85381">
        <w:rPr>
          <w:rFonts w:ascii="Times New Roman" w:eastAsia="Times New Roman" w:hAnsi="Times New Roman" w:cs="Times New Roman"/>
        </w:rPr>
        <w:t>in order to</w:t>
      </w:r>
      <w:proofErr w:type="gramEnd"/>
      <w:r w:rsidR="00DA3D60" w:rsidRPr="00F85381">
        <w:rPr>
          <w:rFonts w:ascii="Times New Roman" w:eastAsia="Times New Roman" w:hAnsi="Times New Roman" w:cs="Times New Roman"/>
        </w:rPr>
        <w:t xml:space="preserve"> identify more effective opportunities for intervention</w:t>
      </w:r>
      <w:r w:rsidRPr="00F85381">
        <w:rPr>
          <w:rFonts w:ascii="Times New Roman" w:eastAsia="Times New Roman" w:hAnsi="Times New Roman" w:cs="Times New Roman"/>
        </w:rPr>
        <w:t xml:space="preserve">. </w:t>
      </w:r>
    </w:p>
    <w:p w14:paraId="2D0EA564" w14:textId="005B44C7" w:rsidR="007117DA" w:rsidRPr="00F85381" w:rsidRDefault="00A03A80" w:rsidP="009E6DB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Drawing on </w:t>
      </w:r>
      <w:r w:rsidR="0075788C" w:rsidRPr="00F85381">
        <w:rPr>
          <w:rFonts w:ascii="Times New Roman" w:eastAsia="Times New Roman" w:hAnsi="Times New Roman" w:cs="Times New Roman"/>
        </w:rPr>
        <w:t xml:space="preserve">the </w:t>
      </w:r>
      <w:r w:rsidR="002B4567" w:rsidRPr="00F85381">
        <w:rPr>
          <w:rFonts w:ascii="Times New Roman" w:eastAsia="Times New Roman" w:hAnsi="Times New Roman" w:cs="Times New Roman"/>
        </w:rPr>
        <w:t xml:space="preserve">above </w:t>
      </w:r>
      <w:r w:rsidR="0075788C" w:rsidRPr="00F85381">
        <w:rPr>
          <w:rFonts w:ascii="Times New Roman" w:eastAsia="Times New Roman" w:hAnsi="Times New Roman" w:cs="Times New Roman"/>
        </w:rPr>
        <w:t>discussion</w:t>
      </w:r>
      <w:r w:rsidRPr="00F85381">
        <w:rPr>
          <w:rFonts w:ascii="Times New Roman" w:eastAsia="Times New Roman" w:hAnsi="Times New Roman" w:cs="Times New Roman"/>
        </w:rPr>
        <w:t xml:space="preserve">, </w:t>
      </w:r>
      <w:proofErr w:type="gramStart"/>
      <w:r w:rsidRPr="00F85381">
        <w:rPr>
          <w:rFonts w:ascii="Times New Roman" w:eastAsia="Times New Roman" w:hAnsi="Times New Roman" w:cs="Times New Roman"/>
        </w:rPr>
        <w:t>resilience-informed</w:t>
      </w:r>
      <w:proofErr w:type="gramEnd"/>
      <w:r w:rsidRPr="00F85381">
        <w:rPr>
          <w:rFonts w:ascii="Times New Roman" w:eastAsia="Times New Roman" w:hAnsi="Times New Roman" w:cs="Times New Roman"/>
        </w:rPr>
        <w:t xml:space="preserve"> WQ </w:t>
      </w:r>
      <w:r w:rsidR="000F6C0A" w:rsidRPr="00F85381">
        <w:rPr>
          <w:rFonts w:ascii="Times New Roman" w:eastAsia="Times New Roman" w:hAnsi="Times New Roman" w:cs="Times New Roman"/>
        </w:rPr>
        <w:t xml:space="preserve">assessment </w:t>
      </w:r>
      <w:r w:rsidRPr="00F85381">
        <w:rPr>
          <w:rFonts w:ascii="Times New Roman" w:eastAsia="Times New Roman" w:hAnsi="Times New Roman" w:cs="Times New Roman"/>
        </w:rPr>
        <w:t xml:space="preserve">requires WQ </w:t>
      </w:r>
      <w:r w:rsidR="001E59C4" w:rsidRPr="00F85381">
        <w:rPr>
          <w:rFonts w:ascii="Times New Roman" w:eastAsia="Times New Roman" w:hAnsi="Times New Roman" w:cs="Times New Roman"/>
        </w:rPr>
        <w:t xml:space="preserve">data and information </w:t>
      </w:r>
      <w:r w:rsidRPr="00F85381">
        <w:rPr>
          <w:rFonts w:ascii="Times New Roman" w:eastAsia="Times New Roman" w:hAnsi="Times New Roman" w:cs="Times New Roman"/>
        </w:rPr>
        <w:t>that are generally expensive and time-consuming</w:t>
      </w:r>
      <w:r w:rsidR="000F6C0A" w:rsidRPr="00F85381">
        <w:rPr>
          <w:rFonts w:ascii="Times New Roman" w:eastAsia="Times New Roman" w:hAnsi="Times New Roman" w:cs="Times New Roman"/>
        </w:rPr>
        <w:t xml:space="preserve"> to collect</w:t>
      </w:r>
      <w:r w:rsidRPr="00F85381">
        <w:rPr>
          <w:rFonts w:ascii="Times New Roman" w:eastAsia="Times New Roman" w:hAnsi="Times New Roman" w:cs="Times New Roman"/>
        </w:rPr>
        <w:t>, particularly for large-scale and complex catchments (</w:t>
      </w:r>
      <w:r w:rsidR="006E32B2" w:rsidRPr="00F85381">
        <w:rPr>
          <w:rFonts w:ascii="Times New Roman" w:eastAsia="Times New Roman" w:hAnsi="Times New Roman" w:cs="Times New Roman"/>
        </w:rPr>
        <w:t>Cumming, 2011</w:t>
      </w:r>
      <w:r w:rsidR="00076382"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Rowny</w:t>
      </w:r>
      <w:proofErr w:type="spellEnd"/>
      <w:r w:rsidRPr="00F85381">
        <w:rPr>
          <w:rFonts w:ascii="Times New Roman" w:eastAsia="Times New Roman" w:hAnsi="Times New Roman" w:cs="Times New Roman"/>
        </w:rPr>
        <w:t xml:space="preserve"> and Stewart, 2012; Zeng et al., 2013</w:t>
      </w:r>
      <w:r w:rsidR="00076382" w:rsidRPr="00F85381">
        <w:rPr>
          <w:rFonts w:ascii="Times New Roman" w:eastAsia="Times New Roman" w:hAnsi="Times New Roman" w:cs="Times New Roman"/>
        </w:rPr>
        <w:t>; Li et al., 2014</w:t>
      </w:r>
      <w:r w:rsidRPr="00F85381">
        <w:rPr>
          <w:rFonts w:ascii="Times New Roman" w:eastAsia="Times New Roman" w:hAnsi="Times New Roman" w:cs="Times New Roman"/>
        </w:rPr>
        <w:t>).</w:t>
      </w:r>
      <w:r w:rsidR="00C02206" w:rsidRPr="00F85381">
        <w:rPr>
          <w:rFonts w:ascii="Times New Roman" w:eastAsia="Times New Roman" w:hAnsi="Times New Roman" w:cs="Times New Roman"/>
        </w:rPr>
        <w:t xml:space="preserve"> </w:t>
      </w:r>
      <w:r w:rsidR="00B9434B" w:rsidRPr="00F85381">
        <w:rPr>
          <w:rFonts w:ascii="Times New Roman" w:eastAsia="Times New Roman" w:hAnsi="Times New Roman" w:cs="Times New Roman"/>
        </w:rPr>
        <w:t>B</w:t>
      </w:r>
      <w:r w:rsidR="009E6DB2" w:rsidRPr="00F85381" w:rsidDel="00A33DC1">
        <w:rPr>
          <w:rFonts w:ascii="Times New Roman" w:eastAsia="Times New Roman" w:hAnsi="Times New Roman" w:cs="Times New Roman"/>
        </w:rPr>
        <w:t xml:space="preserve">uilding </w:t>
      </w:r>
      <w:r w:rsidR="009E6DB2" w:rsidRPr="00F85381" w:rsidDel="00A33DC1">
        <w:rPr>
          <w:rFonts w:ascii="Times New Roman" w:eastAsia="Times New Roman" w:hAnsi="Times New Roman" w:cs="Times New Roman"/>
        </w:rPr>
        <w:lastRenderedPageBreak/>
        <w:t xml:space="preserve">surrogate models and/or methods proved to be effective </w:t>
      </w:r>
      <w:r w:rsidR="00DF789B" w:rsidRPr="00F85381">
        <w:rPr>
          <w:rFonts w:ascii="Times New Roman" w:eastAsia="Times New Roman" w:hAnsi="Times New Roman" w:cs="Times New Roman"/>
        </w:rPr>
        <w:t>methods</w:t>
      </w:r>
      <w:r w:rsidR="009E6DB2" w:rsidRPr="00F85381" w:rsidDel="00A33DC1">
        <w:rPr>
          <w:rFonts w:ascii="Times New Roman" w:eastAsia="Times New Roman" w:hAnsi="Times New Roman" w:cs="Times New Roman"/>
        </w:rPr>
        <w:t xml:space="preserve"> </w:t>
      </w:r>
      <w:r w:rsidR="007E6AF4" w:rsidRPr="00F85381">
        <w:rPr>
          <w:rFonts w:ascii="Times New Roman" w:eastAsia="Times New Roman" w:hAnsi="Times New Roman" w:cs="Times New Roman"/>
        </w:rPr>
        <w:t>in water</w:t>
      </w:r>
      <w:r w:rsidR="00DF789B" w:rsidRPr="00F85381">
        <w:rPr>
          <w:rFonts w:ascii="Times New Roman" w:eastAsia="Times New Roman" w:hAnsi="Times New Roman" w:cs="Times New Roman"/>
        </w:rPr>
        <w:t xml:space="preserve"> quality (WQ)</w:t>
      </w:r>
      <w:r w:rsidR="007E6AF4" w:rsidRPr="00F85381">
        <w:rPr>
          <w:rFonts w:ascii="Times New Roman" w:eastAsia="Times New Roman" w:hAnsi="Times New Roman" w:cs="Times New Roman"/>
        </w:rPr>
        <w:t xml:space="preserve"> management </w:t>
      </w:r>
      <w:r w:rsidR="009E6DB2" w:rsidRPr="00F85381" w:rsidDel="00A33DC1">
        <w:rPr>
          <w:rFonts w:ascii="Times New Roman" w:eastAsia="Times New Roman" w:hAnsi="Times New Roman" w:cs="Times New Roman"/>
        </w:rPr>
        <w:t>to evaluate and demonstrate the relationship between different components in a system - particularly the effect of different interventions.</w:t>
      </w:r>
      <w:r w:rsidR="009E6DB2" w:rsidRPr="00F85381">
        <w:rPr>
          <w:rFonts w:ascii="Times New Roman" w:eastAsia="Times New Roman" w:hAnsi="Times New Roman" w:cs="Times New Roman"/>
        </w:rPr>
        <w:t xml:space="preserve"> Historically, Machine Learning</w:t>
      </w:r>
      <w:r w:rsidR="00C15D6E" w:rsidRPr="00F85381">
        <w:rPr>
          <w:rFonts w:ascii="Times New Roman" w:eastAsia="Times New Roman" w:hAnsi="Times New Roman" w:cs="Times New Roman"/>
        </w:rPr>
        <w:t xml:space="preserve"> (ML)</w:t>
      </w:r>
      <w:r w:rsidR="009E6DB2" w:rsidRPr="00F85381">
        <w:rPr>
          <w:rFonts w:ascii="Times New Roman" w:eastAsia="Times New Roman" w:hAnsi="Times New Roman" w:cs="Times New Roman"/>
        </w:rPr>
        <w:t xml:space="preserve"> techniques such as Artificial Neural Network (ANN) have been widely used for prediction and forecasting in water</w:t>
      </w:r>
      <w:r w:rsidR="00A8664F" w:rsidRPr="00F85381">
        <w:rPr>
          <w:rFonts w:ascii="Times New Roman" w:eastAsia="Times New Roman" w:hAnsi="Times New Roman" w:cs="Times New Roman"/>
        </w:rPr>
        <w:t xml:space="preserve"> quality</w:t>
      </w:r>
      <w:r w:rsidR="009E6DB2" w:rsidRPr="00F85381">
        <w:rPr>
          <w:rFonts w:ascii="Times New Roman" w:eastAsia="Times New Roman" w:hAnsi="Times New Roman" w:cs="Times New Roman"/>
        </w:rPr>
        <w:t xml:space="preserve"> studies (</w:t>
      </w:r>
      <w:proofErr w:type="spellStart"/>
      <w:r w:rsidR="009E6DB2" w:rsidRPr="00F85381">
        <w:rPr>
          <w:rFonts w:ascii="Times New Roman" w:eastAsia="Times New Roman" w:hAnsi="Times New Roman" w:cs="Times New Roman"/>
        </w:rPr>
        <w:t>Mitrović</w:t>
      </w:r>
      <w:proofErr w:type="spellEnd"/>
      <w:r w:rsidR="009E6DB2" w:rsidRPr="00F85381">
        <w:rPr>
          <w:rFonts w:ascii="Times New Roman" w:eastAsia="Times New Roman" w:hAnsi="Times New Roman" w:cs="Times New Roman"/>
        </w:rPr>
        <w:t xml:space="preserve"> et al., 2019; </w:t>
      </w:r>
      <w:r w:rsidR="00C05A84" w:rsidRPr="00F85381">
        <w:rPr>
          <w:rFonts w:ascii="Times New Roman" w:eastAsia="Times New Roman" w:hAnsi="Times New Roman" w:cs="Times New Roman"/>
        </w:rPr>
        <w:t xml:space="preserve">Ahmed et al., 2019; </w:t>
      </w:r>
      <w:r w:rsidR="009E6DB2" w:rsidRPr="00F85381">
        <w:rPr>
          <w:rFonts w:ascii="Times New Roman" w:eastAsia="Times New Roman" w:hAnsi="Times New Roman" w:cs="Times New Roman"/>
        </w:rPr>
        <w:t xml:space="preserve">Zhu and </w:t>
      </w:r>
      <w:proofErr w:type="spellStart"/>
      <w:r w:rsidR="009E6DB2" w:rsidRPr="00F85381">
        <w:rPr>
          <w:rFonts w:ascii="Times New Roman" w:eastAsia="Times New Roman" w:hAnsi="Times New Roman" w:cs="Times New Roman"/>
        </w:rPr>
        <w:t>Heddam</w:t>
      </w:r>
      <w:proofErr w:type="spellEnd"/>
      <w:r w:rsidR="009E6DB2" w:rsidRPr="00F85381">
        <w:rPr>
          <w:rFonts w:ascii="Times New Roman" w:eastAsia="Times New Roman" w:hAnsi="Times New Roman" w:cs="Times New Roman"/>
        </w:rPr>
        <w:t xml:space="preserve">, 2020; </w:t>
      </w:r>
      <w:hyperlink r:id="rId21" w:anchor="auth-1" w:history="1">
        <w:proofErr w:type="spellStart"/>
        <w:r w:rsidR="009E6DB2" w:rsidRPr="00F85381">
          <w:rPr>
            <w:rFonts w:ascii="Times New Roman" w:eastAsia="Times New Roman" w:hAnsi="Times New Roman" w:cs="Times New Roman"/>
          </w:rPr>
          <w:t>Antanasijević</w:t>
        </w:r>
        <w:proofErr w:type="spellEnd"/>
      </w:hyperlink>
      <w:r w:rsidR="009E6DB2" w:rsidRPr="00F85381">
        <w:t xml:space="preserve"> </w:t>
      </w:r>
      <w:r w:rsidR="009E6DB2" w:rsidRPr="00F85381">
        <w:rPr>
          <w:rFonts w:ascii="Times New Roman" w:eastAsia="Times New Roman" w:hAnsi="Times New Roman" w:cs="Times New Roman"/>
        </w:rPr>
        <w:t>et al.,</w:t>
      </w:r>
      <w:r w:rsidR="009E6DB2" w:rsidRPr="00F85381">
        <w:t xml:space="preserve"> </w:t>
      </w:r>
      <w:r w:rsidR="009E6DB2" w:rsidRPr="00F85381">
        <w:rPr>
          <w:rFonts w:ascii="Times New Roman" w:eastAsia="Times New Roman" w:hAnsi="Times New Roman" w:cs="Times New Roman"/>
        </w:rPr>
        <w:t>202</w:t>
      </w:r>
      <w:r w:rsidR="009E6DB2" w:rsidRPr="00F85381">
        <w:t>0</w:t>
      </w:r>
      <w:r w:rsidR="009E6DB2" w:rsidRPr="00F85381">
        <w:rPr>
          <w:rFonts w:ascii="Times New Roman" w:eastAsia="Times New Roman" w:hAnsi="Times New Roman" w:cs="Times New Roman"/>
        </w:rPr>
        <w:t xml:space="preserve">), </w:t>
      </w:r>
      <w:r w:rsidR="006B1B91" w:rsidRPr="00F85381">
        <w:rPr>
          <w:rFonts w:ascii="Times New Roman" w:eastAsia="Times New Roman" w:hAnsi="Times New Roman" w:cs="Times New Roman"/>
        </w:rPr>
        <w:t>especially</w:t>
      </w:r>
      <w:r w:rsidR="009E6DB2" w:rsidRPr="00F85381">
        <w:rPr>
          <w:rFonts w:ascii="Times New Roman" w:eastAsia="Times New Roman" w:hAnsi="Times New Roman" w:cs="Times New Roman"/>
        </w:rPr>
        <w:t xml:space="preserve"> in WQ predictions (Palani et al., 2008; Singh et al., 2009; Khalil et al., 2011; Khan and See, 2016; </w:t>
      </w:r>
      <w:proofErr w:type="spellStart"/>
      <w:r w:rsidR="009E6DB2" w:rsidRPr="00F85381">
        <w:rPr>
          <w:rFonts w:ascii="Times New Roman" w:eastAsia="Times New Roman" w:hAnsi="Times New Roman" w:cs="Times New Roman"/>
        </w:rPr>
        <w:t>Seo</w:t>
      </w:r>
      <w:proofErr w:type="spellEnd"/>
      <w:r w:rsidR="009E6DB2" w:rsidRPr="00F85381">
        <w:rPr>
          <w:rFonts w:ascii="Times New Roman" w:eastAsia="Times New Roman" w:hAnsi="Times New Roman" w:cs="Times New Roman"/>
        </w:rPr>
        <w:t xml:space="preserve"> et al., 2016) and also in WQ indexes predictions (</w:t>
      </w:r>
      <w:proofErr w:type="spellStart"/>
      <w:r w:rsidR="009E6DB2" w:rsidRPr="00F85381">
        <w:rPr>
          <w:rFonts w:ascii="Times New Roman" w:eastAsia="Times New Roman" w:hAnsi="Times New Roman" w:cs="Times New Roman"/>
        </w:rPr>
        <w:t>Gazzaz</w:t>
      </w:r>
      <w:proofErr w:type="spellEnd"/>
      <w:r w:rsidR="009E6DB2" w:rsidRPr="00F85381">
        <w:rPr>
          <w:rFonts w:ascii="Times New Roman" w:eastAsia="Times New Roman" w:hAnsi="Times New Roman" w:cs="Times New Roman"/>
        </w:rPr>
        <w:t xml:space="preserve"> et al., 2015; </w:t>
      </w:r>
      <w:proofErr w:type="spellStart"/>
      <w:r w:rsidR="009E6DB2" w:rsidRPr="00F85381">
        <w:rPr>
          <w:rFonts w:ascii="Times New Roman" w:eastAsia="Times New Roman" w:hAnsi="Times New Roman" w:cs="Times New Roman"/>
        </w:rPr>
        <w:t>Elshemy</w:t>
      </w:r>
      <w:proofErr w:type="spellEnd"/>
      <w:r w:rsidR="009E6DB2" w:rsidRPr="00F85381">
        <w:rPr>
          <w:rFonts w:ascii="Times New Roman" w:eastAsia="Times New Roman" w:hAnsi="Times New Roman" w:cs="Times New Roman"/>
        </w:rPr>
        <w:t xml:space="preserve"> and </w:t>
      </w:r>
      <w:proofErr w:type="spellStart"/>
      <w:r w:rsidR="009E6DB2" w:rsidRPr="00F85381">
        <w:rPr>
          <w:rFonts w:ascii="Times New Roman" w:eastAsia="Times New Roman" w:hAnsi="Times New Roman" w:cs="Times New Roman"/>
        </w:rPr>
        <w:t>Meon</w:t>
      </w:r>
      <w:proofErr w:type="spellEnd"/>
      <w:r w:rsidR="009E6DB2" w:rsidRPr="00F85381">
        <w:rPr>
          <w:rFonts w:ascii="Times New Roman" w:eastAsia="Times New Roman" w:hAnsi="Times New Roman" w:cs="Times New Roman"/>
        </w:rPr>
        <w:t xml:space="preserve">, 2017). In addition, there are many advantages of using ANNs for prediction purposes such as: eliminating the need for </w:t>
      </w:r>
      <w:r w:rsidR="009E6DB2" w:rsidRPr="00F85381">
        <w:rPr>
          <w:rFonts w:ascii="Times New Roman" w:eastAsia="Times New Roman" w:hAnsi="Times New Roman" w:cs="Times New Roman"/>
          <w:i/>
        </w:rPr>
        <w:t>a priori</w:t>
      </w:r>
      <w:r w:rsidR="009E6DB2" w:rsidRPr="00F85381">
        <w:rPr>
          <w:rFonts w:ascii="Times New Roman" w:eastAsia="Times New Roman" w:hAnsi="Times New Roman" w:cs="Times New Roman"/>
        </w:rPr>
        <w:t xml:space="preserve"> knowledge of the underlying process and the existing complex relationships of the system elements (Kalin et al., 2010; Sarkar and Pandey, 2015). ANNs are often combined with other AI-based and/or evolutionary techniques to improve quality and accuracy of predictions in various applications for analysis and decision-making (Chau, 2006; </w:t>
      </w:r>
      <w:proofErr w:type="spellStart"/>
      <w:r w:rsidR="009E6DB2" w:rsidRPr="00F85381">
        <w:rPr>
          <w:rFonts w:ascii="Times New Roman" w:eastAsia="Times New Roman" w:hAnsi="Times New Roman" w:cs="Times New Roman"/>
        </w:rPr>
        <w:t>Kuo</w:t>
      </w:r>
      <w:proofErr w:type="spellEnd"/>
      <w:r w:rsidR="009E6DB2" w:rsidRPr="00F85381">
        <w:rPr>
          <w:rFonts w:ascii="Times New Roman" w:eastAsia="Times New Roman" w:hAnsi="Times New Roman" w:cs="Times New Roman"/>
        </w:rPr>
        <w:t xml:space="preserve"> et al., 2006; Zhang and Lai, 2011; Chen </w:t>
      </w:r>
      <w:r w:rsidR="00BF5469">
        <w:rPr>
          <w:rFonts w:ascii="Times New Roman" w:eastAsia="Times New Roman" w:hAnsi="Times New Roman" w:cs="Times New Roman"/>
        </w:rPr>
        <w:t>and Liu,</w:t>
      </w:r>
      <w:r w:rsidR="009E6DB2" w:rsidRPr="00F85381">
        <w:rPr>
          <w:rFonts w:ascii="Times New Roman" w:eastAsia="Times New Roman" w:hAnsi="Times New Roman" w:cs="Times New Roman"/>
        </w:rPr>
        <w:t xml:space="preserve"> 2015; Chen et al., 2015; </w:t>
      </w:r>
      <w:proofErr w:type="spellStart"/>
      <w:r w:rsidR="009E6DB2" w:rsidRPr="00F85381">
        <w:rPr>
          <w:rFonts w:ascii="Times New Roman" w:eastAsia="Times New Roman" w:hAnsi="Times New Roman" w:cs="Times New Roman"/>
        </w:rPr>
        <w:t>Mahmoudi</w:t>
      </w:r>
      <w:proofErr w:type="spellEnd"/>
      <w:r w:rsidR="009E6DB2" w:rsidRPr="00F85381">
        <w:rPr>
          <w:rFonts w:ascii="Times New Roman" w:eastAsia="Times New Roman" w:hAnsi="Times New Roman" w:cs="Times New Roman"/>
        </w:rPr>
        <w:t xml:space="preserve"> et al., 2016</w:t>
      </w:r>
      <w:r w:rsidR="0055654C" w:rsidRPr="00F85381">
        <w:rPr>
          <w:rFonts w:ascii="Times New Roman" w:eastAsia="Times New Roman" w:hAnsi="Times New Roman" w:cs="Times New Roman"/>
        </w:rPr>
        <w:t>; Noori et</w:t>
      </w:r>
      <w:r w:rsidR="00825DD6" w:rsidRPr="00F85381">
        <w:rPr>
          <w:rFonts w:ascii="Times New Roman" w:eastAsia="Times New Roman" w:hAnsi="Times New Roman" w:cs="Times New Roman"/>
        </w:rPr>
        <w:t xml:space="preserve"> al., 2020</w:t>
      </w:r>
      <w:r w:rsidR="009E6DB2" w:rsidRPr="00F85381">
        <w:rPr>
          <w:rFonts w:ascii="Times New Roman" w:eastAsia="Times New Roman" w:hAnsi="Times New Roman" w:cs="Times New Roman"/>
        </w:rPr>
        <w:t xml:space="preserve">). Moreover, there are several studies based on multiple linear regression methods combined with AI methods to develop WQ models (Ji et al., 2017; Slaughter et al., 2017; Tomas et al., 2017; Wu et al., 2018; </w:t>
      </w:r>
      <w:proofErr w:type="spellStart"/>
      <w:r w:rsidR="009E6DB2" w:rsidRPr="00F85381">
        <w:rPr>
          <w:rFonts w:ascii="Times New Roman" w:eastAsia="Times New Roman" w:hAnsi="Times New Roman" w:cs="Times New Roman"/>
        </w:rPr>
        <w:t>Antanasijević</w:t>
      </w:r>
      <w:proofErr w:type="spellEnd"/>
      <w:r w:rsidR="009E6DB2" w:rsidRPr="00F85381">
        <w:rPr>
          <w:rFonts w:ascii="Times New Roman" w:eastAsia="Times New Roman" w:hAnsi="Times New Roman" w:cs="Times New Roman"/>
        </w:rPr>
        <w:t xml:space="preserve"> et al., 2020</w:t>
      </w:r>
      <w:r w:rsidR="002A2F85" w:rsidRPr="00F85381">
        <w:rPr>
          <w:rFonts w:ascii="Times New Roman" w:eastAsia="Times New Roman" w:hAnsi="Times New Roman" w:cs="Times New Roman"/>
        </w:rPr>
        <w:t xml:space="preserve">; </w:t>
      </w:r>
      <w:proofErr w:type="spellStart"/>
      <w:r w:rsidR="002A2F85" w:rsidRPr="00F85381">
        <w:rPr>
          <w:rFonts w:ascii="Times New Roman" w:eastAsia="Times New Roman" w:hAnsi="Times New Roman" w:cs="Times New Roman"/>
        </w:rPr>
        <w:t>Rajaee</w:t>
      </w:r>
      <w:proofErr w:type="spellEnd"/>
      <w:r w:rsidR="002A2F85" w:rsidRPr="00F85381">
        <w:rPr>
          <w:rFonts w:ascii="Times New Roman" w:eastAsia="Times New Roman" w:hAnsi="Times New Roman" w:cs="Times New Roman"/>
        </w:rPr>
        <w:t xml:space="preserve"> et al., 2020</w:t>
      </w:r>
      <w:r w:rsidR="009E6DB2" w:rsidRPr="00F85381">
        <w:rPr>
          <w:rFonts w:ascii="Times New Roman" w:eastAsia="Times New Roman" w:hAnsi="Times New Roman" w:cs="Times New Roman"/>
        </w:rPr>
        <w:t xml:space="preserve">). </w:t>
      </w:r>
    </w:p>
    <w:p w14:paraId="113A9CDF" w14:textId="6EE4D581" w:rsidR="00BA1582" w:rsidRPr="00F85381" w:rsidRDefault="007117DA" w:rsidP="00261C72">
      <w:pPr>
        <w:spacing w:after="120" w:line="480" w:lineRule="auto"/>
        <w:rPr>
          <w:rFonts w:ascii="Times New Roman" w:eastAsia="Times New Roman" w:hAnsi="Times New Roman" w:cs="Times New Roman"/>
        </w:rPr>
      </w:pPr>
      <w:r w:rsidRPr="00F85381">
        <w:rPr>
          <w:rFonts w:ascii="Times New Roman" w:hAnsi="Times New Roman" w:cs="Times New Roman"/>
        </w:rPr>
        <w:t xml:space="preserve">In recent years, </w:t>
      </w:r>
      <w:r w:rsidR="005C6038" w:rsidRPr="00F85381">
        <w:rPr>
          <w:rFonts w:ascii="Times New Roman" w:hAnsi="Times New Roman" w:cs="Times New Roman"/>
        </w:rPr>
        <w:t xml:space="preserve">advancement and </w:t>
      </w:r>
      <w:r w:rsidR="00C3797A" w:rsidRPr="00F85381">
        <w:rPr>
          <w:rFonts w:ascii="Times New Roman" w:hAnsi="Times New Roman" w:cs="Times New Roman"/>
        </w:rPr>
        <w:t>innovations</w:t>
      </w:r>
      <w:r w:rsidR="005C6038" w:rsidRPr="00F85381">
        <w:rPr>
          <w:rFonts w:ascii="Times New Roman" w:hAnsi="Times New Roman" w:cs="Times New Roman"/>
        </w:rPr>
        <w:t xml:space="preserve"> have been made in relation to </w:t>
      </w:r>
      <w:r w:rsidR="00B517BB" w:rsidRPr="00F85381">
        <w:rPr>
          <w:rFonts w:ascii="Times New Roman" w:hAnsi="Times New Roman" w:cs="Times New Roman"/>
        </w:rPr>
        <w:t>resilience-</w:t>
      </w:r>
      <w:r w:rsidR="00A03C7E" w:rsidRPr="00F85381">
        <w:rPr>
          <w:rFonts w:ascii="Times New Roman" w:hAnsi="Times New Roman" w:cs="Times New Roman"/>
        </w:rPr>
        <w:t xml:space="preserve">informed </w:t>
      </w:r>
      <w:r w:rsidR="00C3797A" w:rsidRPr="00F85381">
        <w:rPr>
          <w:rFonts w:ascii="Times New Roman" w:hAnsi="Times New Roman" w:cs="Times New Roman"/>
        </w:rPr>
        <w:t xml:space="preserve">disasters management </w:t>
      </w:r>
      <w:r w:rsidR="00A03C7E" w:rsidRPr="00F85381">
        <w:rPr>
          <w:rFonts w:ascii="Times New Roman" w:hAnsi="Times New Roman" w:cs="Times New Roman"/>
        </w:rPr>
        <w:t>(</w:t>
      </w:r>
      <w:r w:rsidR="00C3797A" w:rsidRPr="00F85381">
        <w:rPr>
          <w:rFonts w:ascii="Times New Roman" w:hAnsi="Times New Roman" w:cs="Times New Roman"/>
        </w:rPr>
        <w:t xml:space="preserve">such as </w:t>
      </w:r>
      <w:r w:rsidRPr="00F85381">
        <w:rPr>
          <w:rFonts w:ascii="Times New Roman" w:hAnsi="Times New Roman" w:cs="Times New Roman"/>
        </w:rPr>
        <w:t>flood resilience) but</w:t>
      </w:r>
      <w:r w:rsidR="004D78F9" w:rsidRPr="00F85381">
        <w:rPr>
          <w:rFonts w:ascii="Times New Roman" w:hAnsi="Times New Roman" w:cs="Times New Roman"/>
        </w:rPr>
        <w:t xml:space="preserve"> </w:t>
      </w:r>
      <w:r w:rsidR="006D3F43" w:rsidRPr="00F85381">
        <w:rPr>
          <w:rFonts w:ascii="Times New Roman" w:hAnsi="Times New Roman" w:cs="Times New Roman"/>
        </w:rPr>
        <w:t xml:space="preserve">very </w:t>
      </w:r>
      <w:r w:rsidR="004D78F9" w:rsidRPr="00F85381">
        <w:rPr>
          <w:rFonts w:ascii="Times New Roman" w:hAnsi="Times New Roman" w:cs="Times New Roman"/>
        </w:rPr>
        <w:t>limited studies are available in</w:t>
      </w:r>
      <w:r w:rsidRPr="00F85381">
        <w:rPr>
          <w:rFonts w:ascii="Times New Roman" w:hAnsi="Times New Roman" w:cs="Times New Roman"/>
        </w:rPr>
        <w:t xml:space="preserve"> the context of WQ management, partly due to non-acute and less visible impacts and consequences.</w:t>
      </w:r>
      <w:r w:rsidR="00EE7623" w:rsidRPr="00F85381">
        <w:rPr>
          <w:rFonts w:ascii="Times New Roman" w:hAnsi="Times New Roman" w:cs="Times New Roman"/>
        </w:rPr>
        <w:t xml:space="preserve"> </w:t>
      </w:r>
      <w:r w:rsidR="006667C6" w:rsidRPr="00F85381">
        <w:rPr>
          <w:rFonts w:ascii="Times New Roman" w:eastAsia="Times New Roman" w:hAnsi="Times New Roman" w:cs="Times New Roman"/>
        </w:rPr>
        <w:t xml:space="preserve">To the date of this paper, WQ resilience has been quantified and analysed in a few studies using adaptive cycle algorithm (Li et al., 2016), functionality loss metrics and evolutionary algorithm-based optimisation (Zhang et al., 2020) and remained functionality metrics (Hoque et al., 2012; Sweetapple et al., 2018). These studies rely on case studies’ data sets/archives and physical models to evaluate resilience and validate the results which are quite challenging. Having a resilience predictive model, in conjunction with the existing evaluation methods, can support WQ resilience management by reducing the reliance on physical data/model for evaluation and validation purposes and additionally, it can support future planning for resilience by making predictions. To data of this paper such model is yet to be studied and this is the gap that this study aims to tap in. </w:t>
      </w:r>
      <w:r w:rsidR="00836EB4" w:rsidRPr="00F85381">
        <w:rPr>
          <w:rFonts w:ascii="Times New Roman" w:eastAsia="Times New Roman" w:hAnsi="Times New Roman" w:cs="Times New Roman"/>
        </w:rPr>
        <w:t xml:space="preserve">Hence, the key novelty of this </w:t>
      </w:r>
      <w:r w:rsidR="00FA2249" w:rsidRPr="00F85381">
        <w:rPr>
          <w:rFonts w:ascii="Times New Roman" w:eastAsia="Times New Roman" w:hAnsi="Times New Roman" w:cs="Times New Roman"/>
        </w:rPr>
        <w:t>research</w:t>
      </w:r>
      <w:r w:rsidR="00836EB4" w:rsidRPr="00F85381">
        <w:rPr>
          <w:rFonts w:ascii="Times New Roman" w:eastAsia="Times New Roman" w:hAnsi="Times New Roman" w:cs="Times New Roman"/>
        </w:rPr>
        <w:t xml:space="preserve"> embeds in development of a new model to predict WQI </w:t>
      </w:r>
      <w:r w:rsidR="00836EB4" w:rsidRPr="00F85381">
        <w:rPr>
          <w:rFonts w:ascii="Times New Roman" w:eastAsia="Times New Roman" w:hAnsi="Times New Roman" w:cs="Times New Roman"/>
        </w:rPr>
        <w:lastRenderedPageBreak/>
        <w:t xml:space="preserve">resilience. </w:t>
      </w:r>
      <w:r w:rsidR="006667C6" w:rsidRPr="00F85381">
        <w:rPr>
          <w:rFonts w:ascii="Times New Roman" w:eastAsia="Times New Roman" w:hAnsi="Times New Roman" w:cs="Times New Roman"/>
        </w:rPr>
        <w:t>It should be noted that this paper will not introduce any new machine learning method or algorithms, rather, it utilises the commonly used algorithms and methods in a new application (i.e.</w:t>
      </w:r>
      <w:r w:rsidR="00EA15AE">
        <w:rPr>
          <w:rFonts w:ascii="Times New Roman" w:eastAsia="Times New Roman" w:hAnsi="Times New Roman" w:cs="Times New Roman"/>
        </w:rPr>
        <w:t>,</w:t>
      </w:r>
      <w:r w:rsidR="006667C6" w:rsidRPr="00F85381">
        <w:rPr>
          <w:rFonts w:ascii="Times New Roman" w:eastAsia="Times New Roman" w:hAnsi="Times New Roman" w:cs="Times New Roman"/>
        </w:rPr>
        <w:t xml:space="preserve"> </w:t>
      </w:r>
      <w:proofErr w:type="gramStart"/>
      <w:r w:rsidR="006667C6" w:rsidRPr="00F85381">
        <w:rPr>
          <w:rFonts w:ascii="Times New Roman" w:eastAsia="Times New Roman" w:hAnsi="Times New Roman" w:cs="Times New Roman"/>
        </w:rPr>
        <w:t>resilience-informed</w:t>
      </w:r>
      <w:proofErr w:type="gramEnd"/>
      <w:r w:rsidR="006667C6" w:rsidRPr="00F85381">
        <w:rPr>
          <w:rFonts w:ascii="Times New Roman" w:eastAsia="Times New Roman" w:hAnsi="Times New Roman" w:cs="Times New Roman"/>
        </w:rPr>
        <w:t xml:space="preserve"> WQ assessment).</w:t>
      </w:r>
      <w:r w:rsidR="00042847" w:rsidRPr="00F85381">
        <w:rPr>
          <w:rFonts w:ascii="Times New Roman" w:eastAsia="Times New Roman" w:hAnsi="Times New Roman" w:cs="Times New Roman"/>
        </w:rPr>
        <w:t xml:space="preserve"> </w:t>
      </w:r>
    </w:p>
    <w:p w14:paraId="7605175A" w14:textId="17DCEB46" w:rsidR="00292F85" w:rsidRPr="00F85381" w:rsidRDefault="006A4C22"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In general, three stages can be defined for resilience-informed WQ management at a catchment level: 1. modelling, assessing, evaluating resilience of the catchment; 2. prioritising the areas (e.g. (sub)-catchments) needing restorative intervention on the basis of their resilience level; and 3. determining the appropriate intervention to those most at risk. This paper focuses on the first stage and how it can inform prioritisation process in the second stage. </w:t>
      </w:r>
      <w:bookmarkStart w:id="0" w:name="_y4invt5hoq43" w:colFirst="0" w:colLast="0"/>
      <w:bookmarkStart w:id="1" w:name="_vt5y0lm4sm2r" w:colFirst="0" w:colLast="0"/>
      <w:bookmarkEnd w:id="0"/>
      <w:bookmarkEnd w:id="1"/>
    </w:p>
    <w:p w14:paraId="79622049" w14:textId="34DC3360" w:rsidR="000B31EA" w:rsidRPr="00F85381" w:rsidRDefault="00CD0F0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In this study, the resilience prediction model </w:t>
      </w:r>
      <w:r w:rsidR="008072E8" w:rsidRPr="00F85381">
        <w:rPr>
          <w:rFonts w:ascii="Times New Roman" w:eastAsia="Times New Roman" w:hAnsi="Times New Roman" w:cs="Times New Roman"/>
        </w:rPr>
        <w:t xml:space="preserve">is </w:t>
      </w:r>
      <w:r w:rsidRPr="00F85381">
        <w:rPr>
          <w:rFonts w:ascii="Times New Roman" w:eastAsia="Times New Roman" w:hAnsi="Times New Roman" w:cs="Times New Roman"/>
        </w:rPr>
        <w:t xml:space="preserve">set up for the case study of São Paulo city in Brazil to identify vulnerable contaminated areas (so-called critical zones or sub-catchments). </w:t>
      </w:r>
      <w:r w:rsidR="0089372E" w:rsidRPr="00F85381">
        <w:rPr>
          <w:rFonts w:ascii="Times New Roman" w:eastAsia="Times New Roman" w:hAnsi="Times New Roman" w:cs="Times New Roman"/>
        </w:rPr>
        <w:t>Prediction of resilience (spatially/temporally) provides a tool for resilience planning by capturing the trend of resilience fluctuations (e.g.</w:t>
      </w:r>
      <w:r w:rsidR="008B670C">
        <w:rPr>
          <w:rFonts w:ascii="Times New Roman" w:eastAsia="Times New Roman" w:hAnsi="Times New Roman" w:cs="Times New Roman"/>
        </w:rPr>
        <w:t>,</w:t>
      </w:r>
      <w:r w:rsidR="0089372E" w:rsidRPr="00F85381">
        <w:rPr>
          <w:rFonts w:ascii="Times New Roman" w:eastAsia="Times New Roman" w:hAnsi="Times New Roman" w:cs="Times New Roman"/>
        </w:rPr>
        <w:t xml:space="preserve"> on an annual basis) </w:t>
      </w:r>
      <w:proofErr w:type="gramStart"/>
      <w:r w:rsidR="0089372E" w:rsidRPr="00F85381">
        <w:rPr>
          <w:rFonts w:ascii="Times New Roman" w:eastAsia="Times New Roman" w:hAnsi="Times New Roman" w:cs="Times New Roman"/>
        </w:rPr>
        <w:t>in order to</w:t>
      </w:r>
      <w:proofErr w:type="gramEnd"/>
      <w:r w:rsidR="0089372E" w:rsidRPr="00F85381">
        <w:rPr>
          <w:rFonts w:ascii="Times New Roman" w:eastAsia="Times New Roman" w:hAnsi="Times New Roman" w:cs="Times New Roman"/>
        </w:rPr>
        <w:t xml:space="preserve"> characteri</w:t>
      </w:r>
      <w:r w:rsidR="006B1B91">
        <w:rPr>
          <w:rFonts w:ascii="Times New Roman" w:eastAsia="Times New Roman" w:hAnsi="Times New Roman" w:cs="Times New Roman"/>
        </w:rPr>
        <w:t>z</w:t>
      </w:r>
      <w:r w:rsidR="0089372E" w:rsidRPr="00F85381">
        <w:rPr>
          <w:rFonts w:ascii="Times New Roman" w:eastAsia="Times New Roman" w:hAnsi="Times New Roman" w:cs="Times New Roman"/>
        </w:rPr>
        <w:t xml:space="preserve">e, design and evaluate adaptation strategies. </w:t>
      </w:r>
      <w:r w:rsidR="002735FE" w:rsidRPr="00F85381">
        <w:rPr>
          <w:rFonts w:ascii="Times New Roman" w:eastAsia="Times New Roman" w:hAnsi="Times New Roman" w:cs="Times New Roman"/>
        </w:rPr>
        <w:t xml:space="preserve">This predictive model can </w:t>
      </w:r>
      <w:r w:rsidR="00EF46CD" w:rsidRPr="00F85381">
        <w:rPr>
          <w:rFonts w:ascii="Times New Roman" w:eastAsia="Times New Roman" w:hAnsi="Times New Roman" w:cs="Times New Roman"/>
        </w:rPr>
        <w:t xml:space="preserve">potentially </w:t>
      </w:r>
      <w:r w:rsidR="002735FE" w:rsidRPr="00F85381">
        <w:rPr>
          <w:rFonts w:ascii="Times New Roman" w:eastAsia="Times New Roman" w:hAnsi="Times New Roman" w:cs="Times New Roman"/>
        </w:rPr>
        <w:t>assist key stakeholders and decision-makers</w:t>
      </w:r>
      <w:r w:rsidR="002735FE" w:rsidRPr="00F85381" w:rsidDel="002735FE">
        <w:rPr>
          <w:rFonts w:ascii="Times New Roman" w:eastAsia="Times New Roman" w:hAnsi="Times New Roman" w:cs="Times New Roman"/>
        </w:rPr>
        <w:t xml:space="preserve"> </w:t>
      </w:r>
      <w:r w:rsidR="004A02B2" w:rsidRPr="00F85381">
        <w:rPr>
          <w:rFonts w:ascii="Times New Roman" w:eastAsia="Times New Roman" w:hAnsi="Times New Roman" w:cs="Times New Roman"/>
        </w:rPr>
        <w:t>in CETESB in their annual planning for environmental improvement.</w:t>
      </w:r>
    </w:p>
    <w:p w14:paraId="1C9ECA42" w14:textId="485730DA" w:rsidR="00863F47" w:rsidRPr="00F85381" w:rsidRDefault="00F50BBA" w:rsidP="00261C72">
      <w:pPr>
        <w:spacing w:after="120" w:line="480" w:lineRule="auto"/>
        <w:rPr>
          <w:rFonts w:ascii="Times New Roman" w:eastAsia="Times New Roman" w:hAnsi="Times New Roman" w:cs="Times New Roman"/>
        </w:rPr>
      </w:pPr>
      <w:bookmarkStart w:id="2" w:name="_bmmsscxsw8ax" w:colFirst="0" w:colLast="0"/>
      <w:bookmarkEnd w:id="2"/>
      <w:r w:rsidRPr="00F85381">
        <w:rPr>
          <w:rFonts w:ascii="Times New Roman" w:eastAsia="Times New Roman" w:hAnsi="Times New Roman" w:cs="Times New Roman"/>
        </w:rPr>
        <w:t xml:space="preserve">In this paper, the study methodology is explained in Section </w:t>
      </w:r>
      <w:r w:rsidR="00E62716" w:rsidRPr="00F85381">
        <w:rPr>
          <w:rFonts w:ascii="Times New Roman" w:eastAsia="Times New Roman" w:hAnsi="Times New Roman" w:cs="Times New Roman"/>
        </w:rPr>
        <w:t>3</w:t>
      </w:r>
      <w:r w:rsidRPr="00F85381">
        <w:rPr>
          <w:rFonts w:ascii="Times New Roman" w:eastAsia="Times New Roman" w:hAnsi="Times New Roman" w:cs="Times New Roman"/>
        </w:rPr>
        <w:t xml:space="preserve"> with the discussion of measuring water quality resilience and ANN structure. In this section, the </w:t>
      </w:r>
      <w:r w:rsidR="00B51418" w:rsidRPr="00F85381">
        <w:rPr>
          <w:rFonts w:ascii="Times New Roman" w:eastAsia="Times New Roman" w:hAnsi="Times New Roman" w:cs="Times New Roman"/>
        </w:rPr>
        <w:t xml:space="preserve">Fuzzy </w:t>
      </w:r>
      <w:r w:rsidRPr="00F85381">
        <w:rPr>
          <w:rFonts w:ascii="Times New Roman" w:eastAsia="Times New Roman" w:hAnsi="Times New Roman" w:cs="Times New Roman"/>
        </w:rPr>
        <w:t>Analytic Hierarchy Process (</w:t>
      </w:r>
      <w:r w:rsidR="00B51418" w:rsidRPr="00F85381">
        <w:rPr>
          <w:rFonts w:ascii="Times New Roman" w:eastAsia="Times New Roman" w:hAnsi="Times New Roman" w:cs="Times New Roman"/>
        </w:rPr>
        <w:t>F</w:t>
      </w:r>
      <w:r w:rsidRPr="00F85381">
        <w:rPr>
          <w:rFonts w:ascii="Times New Roman" w:eastAsia="Times New Roman" w:hAnsi="Times New Roman" w:cs="Times New Roman"/>
        </w:rPr>
        <w:t xml:space="preserve">AHP) conceptual model with the mathematical representation of that is also explained. In Section </w:t>
      </w:r>
      <w:r w:rsidR="00E62716" w:rsidRPr="00F85381">
        <w:rPr>
          <w:rFonts w:ascii="Times New Roman" w:eastAsia="Times New Roman" w:hAnsi="Times New Roman" w:cs="Times New Roman"/>
        </w:rPr>
        <w:t>4</w:t>
      </w:r>
      <w:r w:rsidRPr="00F85381">
        <w:rPr>
          <w:rFonts w:ascii="Times New Roman" w:eastAsia="Times New Roman" w:hAnsi="Times New Roman" w:cs="Times New Roman"/>
        </w:rPr>
        <w:t xml:space="preserve">, we have discussed the procedure of identifying the critical zones based on the developed model. The results and associated discussions based on the outcomes have been described in Section </w:t>
      </w:r>
      <w:r w:rsidR="00E62716" w:rsidRPr="00F85381">
        <w:rPr>
          <w:rFonts w:ascii="Times New Roman" w:eastAsia="Times New Roman" w:hAnsi="Times New Roman" w:cs="Times New Roman"/>
        </w:rPr>
        <w:t>5</w:t>
      </w:r>
      <w:r w:rsidRPr="00F85381">
        <w:rPr>
          <w:rFonts w:ascii="Times New Roman" w:eastAsia="Times New Roman" w:hAnsi="Times New Roman" w:cs="Times New Roman"/>
        </w:rPr>
        <w:t xml:space="preserve">. The study limitations have been also critically evaluated in this section. The conclusions with the future direction have been drawn in the last section. </w:t>
      </w:r>
    </w:p>
    <w:p w14:paraId="097E1D1E" w14:textId="77777777" w:rsidR="009F26E3" w:rsidRPr="00F85381" w:rsidRDefault="00F50BBA">
      <w:pPr>
        <w:pStyle w:val="Heading1"/>
        <w:numPr>
          <w:ilvl w:val="0"/>
          <w:numId w:val="1"/>
        </w:numPr>
      </w:pPr>
      <w:r w:rsidRPr="00F85381">
        <w:t>Material and methods</w:t>
      </w:r>
    </w:p>
    <w:p w14:paraId="462FC112" w14:textId="2E07CC84"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The methodology section is twofold: the first part describes the development of WQ resilience evaluation framework</w:t>
      </w:r>
      <w:r w:rsidR="00F32876" w:rsidRPr="00F85381">
        <w:rPr>
          <w:rFonts w:ascii="Times New Roman" w:eastAsia="Times New Roman" w:hAnsi="Times New Roman" w:cs="Times New Roman"/>
        </w:rPr>
        <w:t xml:space="preserve"> (i.e. </w:t>
      </w:r>
      <w:r w:rsidR="00F32876" w:rsidRPr="00F85381">
        <w:rPr>
          <w:rFonts w:ascii="Times New Roman" w:eastAsia="Times New Roman" w:hAnsi="Times New Roman" w:cs="Times New Roman"/>
          <w:i/>
        </w:rPr>
        <w:t>stage 1</w:t>
      </w:r>
      <w:r w:rsidR="00F32876" w:rsidRPr="00F85381">
        <w:rPr>
          <w:rFonts w:ascii="Times New Roman" w:eastAsia="Times New Roman" w:hAnsi="Times New Roman" w:cs="Times New Roman"/>
        </w:rPr>
        <w:t xml:space="preserve"> mentioned above)</w:t>
      </w:r>
      <w:r w:rsidRPr="00F85381">
        <w:rPr>
          <w:rFonts w:ascii="Times New Roman" w:eastAsia="Times New Roman" w:hAnsi="Times New Roman" w:cs="Times New Roman"/>
        </w:rPr>
        <w:t>; and the second part focuses on the integration of the ANN model as a surrogate for calculating WQ values</w:t>
      </w:r>
      <w:r w:rsidR="00F32876" w:rsidRPr="00F85381">
        <w:rPr>
          <w:rFonts w:ascii="Times New Roman" w:eastAsia="Times New Roman" w:hAnsi="Times New Roman" w:cs="Times New Roman"/>
        </w:rPr>
        <w:t xml:space="preserve"> (i.e. </w:t>
      </w:r>
      <w:r w:rsidR="00F32876" w:rsidRPr="00F85381">
        <w:rPr>
          <w:rFonts w:ascii="Times New Roman" w:eastAsia="Times New Roman" w:hAnsi="Times New Roman" w:cs="Times New Roman"/>
          <w:i/>
        </w:rPr>
        <w:t>stage 2</w:t>
      </w:r>
      <w:r w:rsidR="00F32876" w:rsidRPr="00F85381">
        <w:rPr>
          <w:rFonts w:ascii="Times New Roman" w:eastAsia="Times New Roman" w:hAnsi="Times New Roman" w:cs="Times New Roman"/>
        </w:rPr>
        <w:t xml:space="preserve"> mentioned above)</w:t>
      </w:r>
      <w:r w:rsidRPr="00F85381">
        <w:rPr>
          <w:rFonts w:ascii="Times New Roman" w:eastAsia="Times New Roman" w:hAnsi="Times New Roman" w:cs="Times New Roman"/>
        </w:rPr>
        <w:t>.</w:t>
      </w:r>
    </w:p>
    <w:p w14:paraId="393442C4" w14:textId="77777777" w:rsidR="00F80399" w:rsidRPr="00F85381" w:rsidRDefault="00F80399" w:rsidP="00F80399">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lastRenderedPageBreak/>
        <w:t>The first stage (Section 2.4) explores the feasibility of integrating historical data and conventional machine learning techniques (ANNs) to develop a novel resilience predictive model for WQ without the need of costly physical models. In the second stage (Section 2.5), the widely studied Analytical Hierarchy Process (AHP) (</w:t>
      </w:r>
      <w:proofErr w:type="spellStart"/>
      <w:r w:rsidRPr="00F85381">
        <w:rPr>
          <w:rFonts w:ascii="Times New Roman" w:eastAsia="Times New Roman" w:hAnsi="Times New Roman" w:cs="Times New Roman"/>
        </w:rPr>
        <w:t>Saaty</w:t>
      </w:r>
      <w:proofErr w:type="spellEnd"/>
      <w:r w:rsidRPr="00F85381">
        <w:rPr>
          <w:rFonts w:ascii="Times New Roman" w:eastAsia="Times New Roman" w:hAnsi="Times New Roman" w:cs="Times New Roman"/>
        </w:rPr>
        <w:t xml:space="preserve">, 1982; </w:t>
      </w:r>
      <w:proofErr w:type="spellStart"/>
      <w:r w:rsidRPr="00F85381">
        <w:rPr>
          <w:rFonts w:ascii="Times New Roman" w:eastAsia="Times New Roman" w:hAnsi="Times New Roman" w:cs="Times New Roman"/>
        </w:rPr>
        <w:t>Saaty</w:t>
      </w:r>
      <w:proofErr w:type="spellEnd"/>
      <w:r w:rsidRPr="00F85381">
        <w:rPr>
          <w:rFonts w:ascii="Times New Roman" w:eastAsia="Times New Roman" w:hAnsi="Times New Roman" w:cs="Times New Roman"/>
        </w:rPr>
        <w:t>, 1977) is adopted for the prioritisation process adopting a fuzzy approach due to its simplicity and effectiveness in this kind of problem (</w:t>
      </w:r>
      <w:proofErr w:type="spellStart"/>
      <w:r w:rsidRPr="00F85381">
        <w:rPr>
          <w:rFonts w:ascii="Times New Roman" w:eastAsia="Times New Roman" w:hAnsi="Times New Roman" w:cs="Times New Roman"/>
        </w:rPr>
        <w:t>Kahraman</w:t>
      </w:r>
      <w:proofErr w:type="spellEnd"/>
      <w:r w:rsidRPr="00F85381">
        <w:rPr>
          <w:rFonts w:ascii="Times New Roman" w:eastAsia="Times New Roman" w:hAnsi="Times New Roman" w:cs="Times New Roman"/>
        </w:rPr>
        <w:t xml:space="preserve"> et al., 2004; </w:t>
      </w:r>
      <w:proofErr w:type="spellStart"/>
      <w:r w:rsidRPr="00F85381">
        <w:rPr>
          <w:rFonts w:ascii="Times New Roman" w:eastAsia="Times New Roman" w:hAnsi="Times New Roman" w:cs="Times New Roman"/>
        </w:rPr>
        <w:t>Moktadir</w:t>
      </w:r>
      <w:proofErr w:type="spellEnd"/>
      <w:r w:rsidRPr="00F85381">
        <w:rPr>
          <w:rFonts w:ascii="Times New Roman" w:eastAsia="Times New Roman" w:hAnsi="Times New Roman" w:cs="Times New Roman"/>
        </w:rPr>
        <w:t xml:space="preserve"> et al., 2017).</w:t>
      </w:r>
    </w:p>
    <w:p w14:paraId="24F22110" w14:textId="77777777" w:rsidR="00F80399" w:rsidRPr="00F85381" w:rsidRDefault="00F80399" w:rsidP="00F80399">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This predictive model can assist key stakeholders and decision-makers in two possible ways; first, in creating effective long-term actions to promote regional water resources resilience; second, in developing strategies that focus on desirable priorities such as environmental compliance, social equity or economic prosperity. The predictive model is particularly useful to overcome the challenges of costly and time-consuming manual data collection. In addition to being costly, manual data collection has its own challenges such as significant accessibility and safety issues particularly in the case study used. Also, data quality is critical in improving model accuracy and reducing uncertainty; and it can significantly be affected by the lack of automated monitoring systems. It should be noted that this is a feasibility study and not a comprehensive evaluation of the approach.</w:t>
      </w:r>
    </w:p>
    <w:p w14:paraId="7AF985A8" w14:textId="21AD41F1" w:rsidR="004F4859" w:rsidRPr="00F85381" w:rsidRDefault="004F4859" w:rsidP="004F4859">
      <w:pPr>
        <w:pStyle w:val="Heading2"/>
        <w:numPr>
          <w:ilvl w:val="1"/>
          <w:numId w:val="1"/>
        </w:numPr>
      </w:pPr>
      <w:r w:rsidRPr="00F85381">
        <w:t>Case study</w:t>
      </w:r>
    </w:p>
    <w:p w14:paraId="73DC2B45" w14:textId="4A8AE148" w:rsidR="004F4859" w:rsidRPr="00F85381" w:rsidRDefault="007A1211"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Surface water resources in the state of São Paulo </w:t>
      </w:r>
      <w:r w:rsidR="00BC2802" w:rsidRPr="00F85381">
        <w:rPr>
          <w:rFonts w:ascii="Times New Roman" w:eastAsia="Times New Roman" w:hAnsi="Times New Roman" w:cs="Times New Roman"/>
        </w:rPr>
        <w:t xml:space="preserve">(SP) </w:t>
      </w:r>
      <w:r w:rsidRPr="00F85381">
        <w:rPr>
          <w:rFonts w:ascii="Times New Roman" w:eastAsia="Times New Roman" w:hAnsi="Times New Roman" w:cs="Times New Roman"/>
        </w:rPr>
        <w:t xml:space="preserve">in Brazil have been used as </w:t>
      </w:r>
      <w:r w:rsidR="00BC2802" w:rsidRPr="00F85381">
        <w:rPr>
          <w:rFonts w:ascii="Times New Roman" w:eastAsia="Times New Roman" w:hAnsi="Times New Roman" w:cs="Times New Roman"/>
        </w:rPr>
        <w:t>a</w:t>
      </w:r>
      <w:r w:rsidRPr="00F85381">
        <w:rPr>
          <w:rFonts w:ascii="Times New Roman" w:eastAsia="Times New Roman" w:hAnsi="Times New Roman" w:cs="Times New Roman"/>
        </w:rPr>
        <w:t xml:space="preserve"> case study in this research.  </w:t>
      </w:r>
      <w:r w:rsidR="00BC2802" w:rsidRPr="00F85381">
        <w:rPr>
          <w:rFonts w:ascii="Times New Roman" w:eastAsia="Times New Roman" w:hAnsi="Times New Roman" w:cs="Times New Roman"/>
        </w:rPr>
        <w:t>SP</w:t>
      </w:r>
      <w:r w:rsidR="004F4859" w:rsidRPr="00F85381">
        <w:rPr>
          <w:rFonts w:ascii="Times New Roman" w:eastAsia="Times New Roman" w:hAnsi="Times New Roman" w:cs="Times New Roman"/>
        </w:rPr>
        <w:t xml:space="preserve"> is located </w:t>
      </w:r>
      <w:hyperlink r:id="rId22">
        <w:r w:rsidR="004F4859" w:rsidRPr="00F85381">
          <w:rPr>
            <w:rFonts w:ascii="Times New Roman" w:eastAsia="Times New Roman" w:hAnsi="Times New Roman" w:cs="Times New Roman"/>
          </w:rPr>
          <w:t>southeast of Brazil with</w:t>
        </w:r>
      </w:hyperlink>
      <w:r w:rsidR="004F4859" w:rsidRPr="00F85381">
        <w:rPr>
          <w:rFonts w:ascii="Times New Roman" w:eastAsia="Times New Roman" w:hAnsi="Times New Roman" w:cs="Times New Roman"/>
        </w:rPr>
        <w:t xml:space="preserve"> a state area of 248,000 km</w:t>
      </w:r>
      <w:r w:rsidR="004F4859" w:rsidRPr="00F85381">
        <w:rPr>
          <w:rFonts w:ascii="Times New Roman" w:eastAsia="Times New Roman" w:hAnsi="Times New Roman" w:cs="Times New Roman"/>
          <w:vertAlign w:val="superscript"/>
        </w:rPr>
        <w:t xml:space="preserve">2 </w:t>
      </w:r>
      <w:r w:rsidR="004F4859" w:rsidRPr="00F85381">
        <w:rPr>
          <w:rFonts w:ascii="Times New Roman" w:eastAsia="Times New Roman" w:hAnsi="Times New Roman" w:cs="Times New Roman"/>
        </w:rPr>
        <w:t xml:space="preserve">and is the </w:t>
      </w:r>
      <w:hyperlink r:id="rId23">
        <w:r w:rsidR="004F4859" w:rsidRPr="00F85381">
          <w:rPr>
            <w:rFonts w:ascii="Times New Roman" w:eastAsia="Times New Roman" w:hAnsi="Times New Roman" w:cs="Times New Roman"/>
          </w:rPr>
          <w:t>most populous</w:t>
        </w:r>
      </w:hyperlink>
      <w:r w:rsidR="004F4859" w:rsidRPr="00F85381">
        <w:rPr>
          <w:rFonts w:ascii="Times New Roman" w:eastAsia="Times New Roman" w:hAnsi="Times New Roman" w:cs="Times New Roman"/>
        </w:rPr>
        <w:t> state in Brazil (IBGE, 2014). It is divided into 22 Hydrographic Units of Water Resources Management (UGR</w:t>
      </w:r>
      <w:r w:rsidR="00146B34" w:rsidRPr="00F85381">
        <w:rPr>
          <w:rFonts w:ascii="Times New Roman" w:eastAsia="Times New Roman" w:hAnsi="Times New Roman" w:cs="Times New Roman"/>
        </w:rPr>
        <w:t>H</w:t>
      </w:r>
      <w:r w:rsidR="004F4859" w:rsidRPr="00F85381">
        <w:rPr>
          <w:rFonts w:ascii="Times New Roman" w:eastAsia="Times New Roman" w:hAnsi="Times New Roman" w:cs="Times New Roman"/>
        </w:rPr>
        <w:t xml:space="preserve">I) (Instituto </w:t>
      </w:r>
      <w:proofErr w:type="spellStart"/>
      <w:r w:rsidR="004F4859" w:rsidRPr="00F85381">
        <w:rPr>
          <w:rFonts w:ascii="Times New Roman" w:eastAsia="Times New Roman" w:hAnsi="Times New Roman" w:cs="Times New Roman"/>
        </w:rPr>
        <w:t>Socioambiental</w:t>
      </w:r>
      <w:proofErr w:type="spellEnd"/>
      <w:r w:rsidR="004F4859" w:rsidRPr="00F85381">
        <w:rPr>
          <w:rFonts w:ascii="Times New Roman" w:eastAsia="Times New Roman" w:hAnsi="Times New Roman" w:cs="Times New Roman"/>
        </w:rPr>
        <w:t xml:space="preserve">, 2009) with three </w:t>
      </w:r>
      <w:hyperlink r:id="rId24">
        <w:r w:rsidR="004F4859" w:rsidRPr="00F85381">
          <w:rPr>
            <w:rFonts w:ascii="Times New Roman" w:eastAsia="Times New Roman" w:hAnsi="Times New Roman" w:cs="Times New Roman"/>
          </w:rPr>
          <w:t>river basin</w:t>
        </w:r>
      </w:hyperlink>
      <w:r w:rsidR="004F4859" w:rsidRPr="00F85381">
        <w:rPr>
          <w:rFonts w:ascii="Times New Roman" w:eastAsia="Times New Roman" w:hAnsi="Times New Roman" w:cs="Times New Roman"/>
        </w:rPr>
        <w:t xml:space="preserve"> districts and seven distinct climates. Surface water and groundwater resources together account for about 80% and 20% of water supply in </w:t>
      </w:r>
      <w:r w:rsidR="00BC2802" w:rsidRPr="00F85381">
        <w:rPr>
          <w:rFonts w:ascii="Times New Roman" w:eastAsia="Times New Roman" w:hAnsi="Times New Roman" w:cs="Times New Roman"/>
        </w:rPr>
        <w:t>SP</w:t>
      </w:r>
      <w:r w:rsidR="004F4859" w:rsidRPr="00F85381">
        <w:rPr>
          <w:rFonts w:ascii="Times New Roman" w:eastAsia="Times New Roman" w:hAnsi="Times New Roman" w:cs="Times New Roman"/>
        </w:rPr>
        <w:t xml:space="preserve">, respectively. </w:t>
      </w:r>
      <w:r w:rsidR="00BC2802" w:rsidRPr="00F85381">
        <w:rPr>
          <w:rFonts w:ascii="Times New Roman" w:eastAsia="Times New Roman" w:hAnsi="Times New Roman" w:cs="Times New Roman"/>
        </w:rPr>
        <w:t>It</w:t>
      </w:r>
      <w:r w:rsidR="004F4859" w:rsidRPr="00F85381">
        <w:rPr>
          <w:rFonts w:ascii="Times New Roman" w:eastAsia="Times New Roman" w:hAnsi="Times New Roman" w:cs="Times New Roman"/>
        </w:rPr>
        <w:t xml:space="preserve"> has benefited from rapid economic and urban growth over recent decades which has come at the cost of compromising the quality of local water resources. This reduction in WQ has occurred for various reasons, mainly water management conflicts and the absence of clear long-term sustainable development plans for both urban areas and wastewater infrastructure. </w:t>
      </w:r>
      <w:r w:rsidRPr="00F85381">
        <w:rPr>
          <w:rFonts w:ascii="Times New Roman" w:eastAsia="Times New Roman" w:hAnsi="Times New Roman" w:cs="Times New Roman"/>
        </w:rPr>
        <w:t>Environment Agency of the state of São Paulo (</w:t>
      </w:r>
      <w:r w:rsidR="004F4859" w:rsidRPr="00F85381">
        <w:rPr>
          <w:rFonts w:ascii="Times New Roman" w:eastAsia="Times New Roman" w:hAnsi="Times New Roman" w:cs="Times New Roman"/>
        </w:rPr>
        <w:t>CETESB</w:t>
      </w:r>
      <w:r w:rsidRPr="00F85381">
        <w:rPr>
          <w:rFonts w:ascii="Times New Roman" w:eastAsia="Times New Roman" w:hAnsi="Times New Roman" w:cs="Times New Roman"/>
        </w:rPr>
        <w:t>)</w:t>
      </w:r>
      <w:r w:rsidR="004F4859" w:rsidRPr="00F85381">
        <w:rPr>
          <w:rFonts w:ascii="Times New Roman" w:eastAsia="Times New Roman" w:hAnsi="Times New Roman" w:cs="Times New Roman"/>
        </w:rPr>
        <w:t xml:space="preserve"> operates 425 manual and 44 automatic freshwater quality monitoring stations </w:t>
      </w:r>
      <w:r w:rsidR="001147FB" w:rsidRPr="00F85381">
        <w:rPr>
          <w:rFonts w:ascii="Times New Roman" w:eastAsia="Times New Roman" w:hAnsi="Times New Roman" w:cs="Times New Roman"/>
        </w:rPr>
        <w:t xml:space="preserve">(in total: 469 stations) </w:t>
      </w:r>
      <w:r w:rsidR="004F4859" w:rsidRPr="00F85381">
        <w:rPr>
          <w:rFonts w:ascii="Times New Roman" w:eastAsia="Times New Roman" w:hAnsi="Times New Roman" w:cs="Times New Roman"/>
        </w:rPr>
        <w:t xml:space="preserve">and the number of collected WQ samples could vary from one season to </w:t>
      </w:r>
      <w:r w:rsidR="004F4859" w:rsidRPr="00F85381">
        <w:rPr>
          <w:rFonts w:ascii="Times New Roman" w:eastAsia="Times New Roman" w:hAnsi="Times New Roman" w:cs="Times New Roman"/>
        </w:rPr>
        <w:lastRenderedPageBreak/>
        <w:t xml:space="preserve">another in each station depending on climatic conditions. </w:t>
      </w:r>
      <w:r w:rsidRPr="00F85381">
        <w:rPr>
          <w:rFonts w:ascii="Times New Roman" w:eastAsia="Times New Roman" w:hAnsi="Times New Roman" w:cs="Times New Roman"/>
        </w:rPr>
        <w:t xml:space="preserve">These data are used by CETESB for WQ management in the state of </w:t>
      </w:r>
      <w:r w:rsidR="00D7336E" w:rsidRPr="00F85381">
        <w:rPr>
          <w:rFonts w:ascii="Times New Roman" w:eastAsia="Times New Roman" w:hAnsi="Times New Roman" w:cs="Times New Roman"/>
        </w:rPr>
        <w:t xml:space="preserve">SP. </w:t>
      </w:r>
    </w:p>
    <w:p w14:paraId="310E99B8" w14:textId="77777777" w:rsidR="009F26E3" w:rsidRPr="00F85381" w:rsidRDefault="00F50BBA">
      <w:pPr>
        <w:pStyle w:val="Heading2"/>
        <w:numPr>
          <w:ilvl w:val="1"/>
          <w:numId w:val="1"/>
        </w:numPr>
      </w:pPr>
      <w:r w:rsidRPr="00F85381">
        <w:t>Water quality data</w:t>
      </w:r>
    </w:p>
    <w:p w14:paraId="182BFAF1" w14:textId="7527F846"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Decision makers in CETESB and the imposed environmental and social concerns of unsustainable developments in the state of </w:t>
      </w:r>
      <w:r w:rsidR="006F73C3" w:rsidRPr="00F85381">
        <w:rPr>
          <w:rFonts w:ascii="Times New Roman" w:eastAsia="Times New Roman" w:hAnsi="Times New Roman" w:cs="Times New Roman"/>
        </w:rPr>
        <w:t>SP</w:t>
      </w:r>
      <w:r w:rsidRPr="00F85381">
        <w:rPr>
          <w:rFonts w:ascii="Times New Roman" w:eastAsia="Times New Roman" w:hAnsi="Times New Roman" w:cs="Times New Roman"/>
        </w:rPr>
        <w:t xml:space="preserve"> have created the need for a great deal of information to be collected in response to public policies and the monitoring of their effects. To aid this data collection and analysis, </w:t>
      </w:r>
      <w:r w:rsidR="00872234" w:rsidRPr="00F85381">
        <w:rPr>
          <w:rFonts w:ascii="Times New Roman" w:eastAsia="Times New Roman" w:hAnsi="Times New Roman" w:cs="Times New Roman"/>
        </w:rPr>
        <w:t xml:space="preserve">CETESB has developed water </w:t>
      </w:r>
      <w:r w:rsidR="006F73C3" w:rsidRPr="00F85381">
        <w:rPr>
          <w:rFonts w:ascii="Times New Roman" w:eastAsia="Times New Roman" w:hAnsi="Times New Roman" w:cs="Times New Roman"/>
        </w:rPr>
        <w:t>quality indexes (</w:t>
      </w:r>
      <w:r w:rsidRPr="00F85381">
        <w:rPr>
          <w:rFonts w:ascii="Times New Roman" w:eastAsia="Times New Roman" w:hAnsi="Times New Roman" w:cs="Times New Roman"/>
        </w:rPr>
        <w:t>WQI</w:t>
      </w:r>
      <w:r w:rsidR="00872234" w:rsidRPr="00F85381">
        <w:rPr>
          <w:rFonts w:ascii="Times New Roman" w:eastAsia="Times New Roman" w:hAnsi="Times New Roman" w:cs="Times New Roman"/>
        </w:rPr>
        <w:t>) that</w:t>
      </w:r>
      <w:r w:rsidRPr="00F85381">
        <w:rPr>
          <w:rFonts w:ascii="Times New Roman" w:eastAsia="Times New Roman" w:hAnsi="Times New Roman" w:cs="Times New Roman"/>
        </w:rPr>
        <w:t xml:space="preserve"> process increasing quantities of information, in a systematic and </w:t>
      </w:r>
      <w:r w:rsidR="00872234" w:rsidRPr="00F85381">
        <w:rPr>
          <w:rFonts w:ascii="Times New Roman" w:eastAsia="Times New Roman" w:hAnsi="Times New Roman" w:cs="Times New Roman"/>
        </w:rPr>
        <w:t xml:space="preserve">accessible way </w:t>
      </w:r>
      <w:r w:rsidRPr="00F85381">
        <w:rPr>
          <w:rFonts w:ascii="Times New Roman" w:eastAsia="Times New Roman" w:hAnsi="Times New Roman" w:cs="Times New Roman"/>
        </w:rPr>
        <w:t>for decision makers.</w:t>
      </w:r>
      <w:r w:rsidR="00872234" w:rsidRPr="00F85381">
        <w:rPr>
          <w:rFonts w:ascii="Times New Roman" w:eastAsia="Times New Roman" w:hAnsi="Times New Roman" w:cs="Times New Roman"/>
        </w:rPr>
        <w:t xml:space="preserve"> The main advantages of the indexes are the ease of communication with the lay public, the status greater than the isolated variables and the fact that it represents an average of several variables in a single number by combining different units of measure into a single unit (CETESB-Appendix C, 2017).</w:t>
      </w:r>
    </w:p>
    <w:p w14:paraId="412A0A48" w14:textId="55271C9B" w:rsidR="0029481F"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This study will focus on the impairment of surface WQ due to organic substances (mainly arisen from the lack of sufficient and efficient sewage collection and treatment systems) and in relation to aquatic life. </w:t>
      </w:r>
      <w:r w:rsidR="007B13C8" w:rsidRPr="00F85381">
        <w:rPr>
          <w:rFonts w:ascii="Times New Roman" w:eastAsia="Times New Roman" w:hAnsi="Times New Roman" w:cs="Times New Roman"/>
        </w:rPr>
        <w:t>Therefore, T</w:t>
      </w:r>
      <w:r w:rsidR="004F708A" w:rsidRPr="00F85381">
        <w:rPr>
          <w:rFonts w:ascii="Times New Roman" w:eastAsia="Times New Roman" w:hAnsi="Times New Roman" w:cs="Times New Roman"/>
        </w:rPr>
        <w:t xml:space="preserve">able 1 </w:t>
      </w:r>
      <w:r w:rsidR="006D545E" w:rsidRPr="00F85381">
        <w:rPr>
          <w:rFonts w:ascii="Times New Roman" w:eastAsia="Times New Roman" w:hAnsi="Times New Roman" w:cs="Times New Roman"/>
        </w:rPr>
        <w:t xml:space="preserve">in Supplementary Information (SI) </w:t>
      </w:r>
      <w:r w:rsidR="004F708A" w:rsidRPr="00F85381">
        <w:rPr>
          <w:rFonts w:ascii="Times New Roman" w:eastAsia="Times New Roman" w:hAnsi="Times New Roman" w:cs="Times New Roman"/>
        </w:rPr>
        <w:t xml:space="preserve">outlines </w:t>
      </w:r>
      <w:r w:rsidR="007B13C8" w:rsidRPr="00F85381">
        <w:rPr>
          <w:rFonts w:ascii="Times New Roman" w:eastAsia="Times New Roman" w:hAnsi="Times New Roman" w:cs="Times New Roman"/>
        </w:rPr>
        <w:t>CETESB’s thr</w:t>
      </w:r>
      <w:r w:rsidR="004F708A" w:rsidRPr="00F85381">
        <w:rPr>
          <w:rFonts w:ascii="Times New Roman" w:eastAsia="Times New Roman" w:hAnsi="Times New Roman" w:cs="Times New Roman"/>
        </w:rPr>
        <w:t xml:space="preserve">ee </w:t>
      </w:r>
      <w:r w:rsidR="00515AAF" w:rsidRPr="00F85381">
        <w:rPr>
          <w:rFonts w:ascii="Times New Roman" w:eastAsia="Times New Roman" w:hAnsi="Times New Roman" w:cs="Times New Roman"/>
        </w:rPr>
        <w:t xml:space="preserve">relevant </w:t>
      </w:r>
      <w:r w:rsidR="004F708A" w:rsidRPr="00F85381">
        <w:rPr>
          <w:rFonts w:ascii="Times New Roman" w:eastAsia="Times New Roman" w:hAnsi="Times New Roman" w:cs="Times New Roman"/>
        </w:rPr>
        <w:t>WQI</w:t>
      </w:r>
      <w:r w:rsidR="00240263" w:rsidRPr="00F85381">
        <w:rPr>
          <w:rFonts w:ascii="Times New Roman" w:eastAsia="Times New Roman" w:hAnsi="Times New Roman" w:cs="Times New Roman"/>
        </w:rPr>
        <w:t>s</w:t>
      </w:r>
      <w:r w:rsidR="00C81D6A" w:rsidRPr="00F85381">
        <w:rPr>
          <w:rFonts w:ascii="Times New Roman" w:eastAsia="Times New Roman" w:hAnsi="Times New Roman" w:cs="Times New Roman"/>
        </w:rPr>
        <w:t xml:space="preserve"> (IQA, IET, and IVA)</w:t>
      </w:r>
      <w:r w:rsidR="00240263" w:rsidRPr="00F85381">
        <w:rPr>
          <w:rFonts w:ascii="Times New Roman" w:eastAsia="Times New Roman" w:hAnsi="Times New Roman" w:cs="Times New Roman"/>
        </w:rPr>
        <w:t xml:space="preserve"> for decision-making on </w:t>
      </w:r>
      <w:r w:rsidR="007B13C8" w:rsidRPr="00F85381">
        <w:rPr>
          <w:rFonts w:ascii="Times New Roman" w:eastAsia="Times New Roman" w:hAnsi="Times New Roman" w:cs="Times New Roman"/>
        </w:rPr>
        <w:t>WQ</w:t>
      </w:r>
      <w:r w:rsidR="00240263" w:rsidRPr="00F85381">
        <w:rPr>
          <w:rFonts w:ascii="Times New Roman" w:eastAsia="Times New Roman" w:hAnsi="Times New Roman" w:cs="Times New Roman"/>
        </w:rPr>
        <w:t xml:space="preserve"> policies and in </w:t>
      </w:r>
      <w:r w:rsidR="007B13C8" w:rsidRPr="00F85381">
        <w:rPr>
          <w:rFonts w:ascii="Times New Roman" w:eastAsia="Times New Roman" w:hAnsi="Times New Roman" w:cs="Times New Roman"/>
        </w:rPr>
        <w:t>line with the focus of this paper</w:t>
      </w:r>
      <w:r w:rsidR="00240263" w:rsidRPr="00F85381">
        <w:rPr>
          <w:rFonts w:ascii="Times New Roman" w:eastAsia="Times New Roman" w:hAnsi="Times New Roman" w:cs="Times New Roman"/>
        </w:rPr>
        <w:t>.</w:t>
      </w:r>
      <w:r w:rsidR="004F5D5C" w:rsidRPr="00F85381">
        <w:rPr>
          <w:rFonts w:ascii="Times New Roman" w:eastAsia="Times New Roman" w:hAnsi="Times New Roman" w:cs="Times New Roman"/>
        </w:rPr>
        <w:t xml:space="preserve"> </w:t>
      </w:r>
    </w:p>
    <w:p w14:paraId="6A46B3E2" w14:textId="241A3238" w:rsidR="009F26E3" w:rsidRPr="00F85381" w:rsidRDefault="00413883" w:rsidP="00261C72">
      <w:pPr>
        <w:spacing w:after="120" w:line="480" w:lineRule="auto"/>
        <w:rPr>
          <w:rFonts w:ascii="Times New Roman" w:eastAsia="Times New Roman" w:hAnsi="Times New Roman" w:cs="Times New Roman"/>
        </w:rPr>
      </w:pPr>
      <w:bookmarkStart w:id="3" w:name="_Hlk55393720"/>
      <w:r w:rsidRPr="00F85381">
        <w:rPr>
          <w:rFonts w:ascii="Times New Roman" w:eastAsia="Times New Roman" w:hAnsi="Times New Roman" w:cs="Times New Roman"/>
        </w:rPr>
        <w:t xml:space="preserve">This study uses the average monthly values of CETESB’s WQI (shown in Table </w:t>
      </w:r>
      <w:r w:rsidR="00AC53E6" w:rsidRPr="00F85381">
        <w:rPr>
          <w:rFonts w:ascii="Times New Roman" w:eastAsia="Times New Roman" w:hAnsi="Times New Roman" w:cs="Times New Roman"/>
        </w:rPr>
        <w:t>2 in SI</w:t>
      </w:r>
      <w:r w:rsidRPr="00F85381">
        <w:rPr>
          <w:rFonts w:ascii="Times New Roman" w:eastAsia="Times New Roman" w:hAnsi="Times New Roman" w:cs="Times New Roman"/>
        </w:rPr>
        <w:t>) from 200</w:t>
      </w:r>
      <w:r w:rsidR="006B4688">
        <w:rPr>
          <w:rFonts w:ascii="Times New Roman" w:eastAsia="Times New Roman" w:hAnsi="Times New Roman" w:cs="Times New Roman"/>
        </w:rPr>
        <w:t>0</w:t>
      </w:r>
      <w:r w:rsidRPr="00F85381">
        <w:rPr>
          <w:rFonts w:ascii="Times New Roman" w:eastAsia="Times New Roman" w:hAnsi="Times New Roman" w:cs="Times New Roman"/>
        </w:rPr>
        <w:t>-2017 (in total 17 years of data) (CETESB, 200</w:t>
      </w:r>
      <w:r w:rsidR="00BF5469">
        <w:rPr>
          <w:rFonts w:ascii="Times New Roman" w:eastAsia="Times New Roman" w:hAnsi="Times New Roman" w:cs="Times New Roman"/>
        </w:rPr>
        <w:t>0</w:t>
      </w:r>
      <w:r w:rsidRPr="00F85381">
        <w:rPr>
          <w:rFonts w:ascii="Times New Roman" w:eastAsia="Times New Roman" w:hAnsi="Times New Roman" w:cs="Times New Roman"/>
        </w:rPr>
        <w:t>-2017) to develop the predictive WQ resilience model</w:t>
      </w:r>
      <w:r w:rsidR="00D633B0" w:rsidRPr="00F85381">
        <w:rPr>
          <w:rFonts w:ascii="Times New Roman" w:eastAsia="Times New Roman" w:hAnsi="Times New Roman" w:cs="Times New Roman"/>
        </w:rPr>
        <w:t>,</w:t>
      </w:r>
      <w:r w:rsidRPr="00F85381">
        <w:rPr>
          <w:rFonts w:ascii="Times New Roman" w:eastAsia="Times New Roman" w:hAnsi="Times New Roman" w:cs="Times New Roman"/>
        </w:rPr>
        <w:t xml:space="preserve"> which provides a consistent and long-term data set ideal for ANN calibration and validation. As the data published by CETESB from 2010 onwards were more comprehensive, it was necessary to use data sets from latter years i.e. the first 16 years in this study, to develop a more accurate predictive model. The 2017 data set was then used for prediction validation purpose</w:t>
      </w:r>
      <w:r w:rsidR="00DC3DDA" w:rsidRPr="00F85381">
        <w:rPr>
          <w:rFonts w:ascii="Times New Roman" w:eastAsia="Times New Roman" w:hAnsi="Times New Roman" w:cs="Times New Roman"/>
        </w:rPr>
        <w:t>. The data used are publicly available in CETESB’s annual reports and published after rigorous evaluations in terms of quality and accuracy. The data sets are of high quality, resolution, coverage and are used for policy and decision</w:t>
      </w:r>
      <w:r w:rsidR="002667F9" w:rsidRPr="00F85381">
        <w:rPr>
          <w:rFonts w:ascii="Times New Roman" w:eastAsia="Times New Roman" w:hAnsi="Times New Roman" w:cs="Times New Roman"/>
        </w:rPr>
        <w:t>-</w:t>
      </w:r>
      <w:r w:rsidR="00DC3DDA" w:rsidRPr="00F85381">
        <w:rPr>
          <w:rFonts w:ascii="Times New Roman" w:eastAsia="Times New Roman" w:hAnsi="Times New Roman" w:cs="Times New Roman"/>
        </w:rPr>
        <w:t>making, on environmental matters in the region</w:t>
      </w:r>
      <w:r w:rsidR="002667F9" w:rsidRPr="00F85381">
        <w:rPr>
          <w:rFonts w:ascii="Times New Roman" w:eastAsia="Times New Roman" w:hAnsi="Times New Roman" w:cs="Times New Roman"/>
        </w:rPr>
        <w:t>;</w:t>
      </w:r>
      <w:r w:rsidR="00DC3DDA" w:rsidRPr="00F85381">
        <w:rPr>
          <w:rFonts w:ascii="Times New Roman" w:eastAsia="Times New Roman" w:hAnsi="Times New Roman" w:cs="Times New Roman"/>
        </w:rPr>
        <w:t xml:space="preserve"> therefore, no significant data pre-processing was needed (further details can be found in </w:t>
      </w:r>
      <w:r w:rsidR="00FF21DA" w:rsidRPr="00F85381">
        <w:rPr>
          <w:rFonts w:ascii="Times New Roman" w:eastAsia="Times New Roman" w:hAnsi="Times New Roman" w:cs="Times New Roman"/>
        </w:rPr>
        <w:t xml:space="preserve">section 2 </w:t>
      </w:r>
      <w:r w:rsidR="002D283E" w:rsidRPr="00F85381">
        <w:rPr>
          <w:rFonts w:ascii="Times New Roman" w:eastAsia="Times New Roman" w:hAnsi="Times New Roman" w:cs="Times New Roman"/>
        </w:rPr>
        <w:t>in</w:t>
      </w:r>
      <w:r w:rsidR="00DC3DDA" w:rsidRPr="00F85381">
        <w:rPr>
          <w:rFonts w:ascii="Times New Roman" w:eastAsia="Times New Roman" w:hAnsi="Times New Roman" w:cs="Times New Roman"/>
        </w:rPr>
        <w:t xml:space="preserve"> SI). The water quality data used in this study are collected by CETESB from 469 automatic and manual monitoring stations across the State of São Paulo and WQIs are evaluated. These stations are spatially wide-spread</w:t>
      </w:r>
      <w:r w:rsidR="002667F9" w:rsidRPr="00F85381">
        <w:rPr>
          <w:rFonts w:ascii="Times New Roman" w:eastAsia="Times New Roman" w:hAnsi="Times New Roman" w:cs="Times New Roman"/>
        </w:rPr>
        <w:t>,</w:t>
      </w:r>
      <w:r w:rsidR="00DC3DDA" w:rsidRPr="00F85381">
        <w:rPr>
          <w:rFonts w:ascii="Times New Roman" w:eastAsia="Times New Roman" w:hAnsi="Times New Roman" w:cs="Times New Roman"/>
        </w:rPr>
        <w:t xml:space="preserve"> well-representing the whole study area. The quality of the monitoring stations is continuously </w:t>
      </w:r>
      <w:r w:rsidR="00DC3DDA" w:rsidRPr="00F85381">
        <w:rPr>
          <w:rFonts w:ascii="Times New Roman" w:eastAsia="Times New Roman" w:hAnsi="Times New Roman" w:cs="Times New Roman"/>
        </w:rPr>
        <w:lastRenderedPageBreak/>
        <w:t>monitored and improved by CETESB. The data collected represent temporal changes in wet and dry seasons. The collection sites cover the surface water resources such as rivers, streams, lakes, branches, and places of transposition to reservoirs</w:t>
      </w:r>
      <w:bookmarkEnd w:id="3"/>
      <w:r w:rsidR="00F50BBA" w:rsidRPr="00F85381">
        <w:rPr>
          <w:rFonts w:ascii="Times New Roman" w:eastAsia="Times New Roman" w:hAnsi="Times New Roman" w:cs="Times New Roman"/>
        </w:rPr>
        <w:t>.</w:t>
      </w:r>
      <w:r w:rsidR="003F2D2E" w:rsidRPr="00F85381">
        <w:rPr>
          <w:rFonts w:ascii="Times New Roman" w:eastAsia="Times New Roman" w:hAnsi="Times New Roman" w:cs="Times New Roman"/>
        </w:rPr>
        <w:t xml:space="preserve"> </w:t>
      </w:r>
      <w:r w:rsidR="00872234" w:rsidRPr="00F85381">
        <w:rPr>
          <w:rFonts w:ascii="Times New Roman" w:eastAsia="Times New Roman" w:hAnsi="Times New Roman" w:cs="Times New Roman"/>
        </w:rPr>
        <w:t xml:space="preserve"> </w:t>
      </w:r>
      <w:r w:rsidR="003F2D2E" w:rsidRPr="00F85381">
        <w:rPr>
          <w:rFonts w:ascii="Times New Roman" w:eastAsia="Times New Roman" w:hAnsi="Times New Roman" w:cs="Times New Roman"/>
        </w:rPr>
        <w:t>WQI time series are used to calculate the annual resilience values that are used for ranking of the zones using a fuzzy algorithm which will be discussed in section 2.5 in the paper.</w:t>
      </w:r>
    </w:p>
    <w:p w14:paraId="508256B6" w14:textId="75D7113E" w:rsidR="001E605A" w:rsidRPr="00F85381" w:rsidRDefault="004F5D5C"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In addition to that</w:t>
      </w:r>
      <w:r w:rsidR="00F50BBA" w:rsidRPr="00F85381">
        <w:rPr>
          <w:rFonts w:ascii="Times New Roman" w:eastAsia="Times New Roman" w:hAnsi="Times New Roman" w:cs="Times New Roman"/>
        </w:rPr>
        <w:t xml:space="preserve">, to </w:t>
      </w:r>
      <w:r w:rsidRPr="00F85381">
        <w:rPr>
          <w:rFonts w:ascii="Times New Roman" w:eastAsia="Times New Roman" w:hAnsi="Times New Roman" w:cs="Times New Roman"/>
        </w:rPr>
        <w:t xml:space="preserve">evaluate resilience in terms of </w:t>
      </w:r>
      <w:proofErr w:type="gramStart"/>
      <w:r w:rsidRPr="00F85381">
        <w:rPr>
          <w:rFonts w:ascii="Times New Roman" w:eastAsia="Times New Roman" w:hAnsi="Times New Roman" w:cs="Times New Roman"/>
        </w:rPr>
        <w:t>locally-</w:t>
      </w:r>
      <w:r w:rsidR="00F50BBA" w:rsidRPr="00F85381">
        <w:rPr>
          <w:rFonts w:ascii="Times New Roman" w:eastAsia="Times New Roman" w:hAnsi="Times New Roman" w:cs="Times New Roman"/>
        </w:rPr>
        <w:t>defined</w:t>
      </w:r>
      <w:proofErr w:type="gramEnd"/>
      <w:r w:rsidR="00F50BBA" w:rsidRPr="00F85381">
        <w:rPr>
          <w:rFonts w:ascii="Times New Roman" w:eastAsia="Times New Roman" w:hAnsi="Times New Roman" w:cs="Times New Roman"/>
        </w:rPr>
        <w:t xml:space="preserve"> acceptable levels of WQ, CETESB has introduced service thresholds and descriptive classification ranges for</w:t>
      </w:r>
      <w:r w:rsidR="00872234" w:rsidRPr="00F85381">
        <w:rPr>
          <w:rFonts w:ascii="Times New Roman" w:eastAsia="Times New Roman" w:hAnsi="Times New Roman" w:cs="Times New Roman"/>
        </w:rPr>
        <w:t xml:space="preserve"> WQIs </w:t>
      </w:r>
      <w:r w:rsidR="00515AAF" w:rsidRPr="00F85381">
        <w:rPr>
          <w:rFonts w:ascii="Times New Roman" w:eastAsia="Times New Roman" w:hAnsi="Times New Roman" w:cs="Times New Roman"/>
        </w:rPr>
        <w:t xml:space="preserve">as shown in </w:t>
      </w:r>
      <w:r w:rsidR="00872234" w:rsidRPr="00F85381">
        <w:rPr>
          <w:rFonts w:ascii="Times New Roman" w:eastAsia="Times New Roman" w:hAnsi="Times New Roman" w:cs="Times New Roman"/>
        </w:rPr>
        <w:t xml:space="preserve">Table </w:t>
      </w:r>
      <w:r w:rsidR="00AC53E6" w:rsidRPr="00F85381">
        <w:rPr>
          <w:rFonts w:ascii="Times New Roman" w:eastAsia="Times New Roman" w:hAnsi="Times New Roman" w:cs="Times New Roman"/>
        </w:rPr>
        <w:t>2 in SI</w:t>
      </w:r>
      <w:r w:rsidR="00E331F0" w:rsidRPr="00F85381">
        <w:rPr>
          <w:rFonts w:ascii="Times New Roman" w:eastAsia="Times New Roman" w:hAnsi="Times New Roman" w:cs="Times New Roman"/>
        </w:rPr>
        <w:t xml:space="preserve"> (CETESB, 2017)</w:t>
      </w:r>
      <w:r w:rsidRPr="00F85381">
        <w:rPr>
          <w:rFonts w:ascii="Times New Roman" w:eastAsia="Times New Roman" w:hAnsi="Times New Roman" w:cs="Times New Roman"/>
        </w:rPr>
        <w:t>.</w:t>
      </w:r>
      <w:r w:rsidR="00872234" w:rsidRPr="00F85381">
        <w:rPr>
          <w:rFonts w:ascii="Times New Roman" w:eastAsia="Times New Roman" w:hAnsi="Times New Roman" w:cs="Times New Roman"/>
        </w:rPr>
        <w:t xml:space="preserve"> </w:t>
      </w:r>
      <w:r w:rsidR="00F50BBA" w:rsidRPr="00F85381">
        <w:rPr>
          <w:rFonts w:ascii="Times New Roman" w:eastAsia="Times New Roman" w:hAnsi="Times New Roman" w:cs="Times New Roman"/>
        </w:rPr>
        <w:t>The greater IQA value indicates a better quality of surface water resources while this is opposite for IET and IVA (the lower, the better). These thresholds are used throughout the study for resilience evaluation.</w:t>
      </w:r>
      <w:bookmarkStart w:id="4" w:name="_3o7alnk" w:colFirst="0" w:colLast="0"/>
      <w:bookmarkStart w:id="5" w:name="_23ckvvd" w:colFirst="0" w:colLast="0"/>
      <w:bookmarkStart w:id="6" w:name="_ihv636" w:colFirst="0" w:colLast="0"/>
      <w:bookmarkEnd w:id="4"/>
      <w:bookmarkEnd w:id="5"/>
      <w:bookmarkEnd w:id="6"/>
      <w:r w:rsidR="00604C32" w:rsidRPr="00F85381">
        <w:rPr>
          <w:rFonts w:ascii="Times New Roman" w:eastAsia="Times New Roman" w:hAnsi="Times New Roman" w:cs="Times New Roman"/>
        </w:rPr>
        <w:t xml:space="preserve"> </w:t>
      </w:r>
      <w:r w:rsidR="001E605A" w:rsidRPr="00F85381">
        <w:rPr>
          <w:rFonts w:ascii="Times New Roman" w:eastAsia="Times New Roman" w:hAnsi="Times New Roman" w:cs="Times New Roman"/>
        </w:rPr>
        <w:t xml:space="preserve">It should be noted that in this study the lower limits of the ‘average quality class’ in Table </w:t>
      </w:r>
      <w:r w:rsidR="00AC53E6" w:rsidRPr="00F85381">
        <w:rPr>
          <w:rFonts w:ascii="Times New Roman" w:eastAsia="Times New Roman" w:hAnsi="Times New Roman" w:cs="Times New Roman"/>
        </w:rPr>
        <w:t>2 in SI</w:t>
      </w:r>
      <w:r w:rsidR="001E605A" w:rsidRPr="00F85381">
        <w:rPr>
          <w:rFonts w:ascii="Times New Roman" w:eastAsia="Times New Roman" w:hAnsi="Times New Roman" w:cs="Times New Roman"/>
        </w:rPr>
        <w:t xml:space="preserve"> (i.e.</w:t>
      </w:r>
      <w:r w:rsidR="005B6805">
        <w:rPr>
          <w:rFonts w:ascii="Times New Roman" w:eastAsia="Times New Roman" w:hAnsi="Times New Roman" w:cs="Times New Roman"/>
        </w:rPr>
        <w:t>,</w:t>
      </w:r>
      <w:r w:rsidR="001E605A" w:rsidRPr="00F85381">
        <w:rPr>
          <w:rFonts w:ascii="Times New Roman" w:eastAsia="Times New Roman" w:hAnsi="Times New Roman" w:cs="Times New Roman"/>
        </w:rPr>
        <w:t xml:space="preserve"> 36 for IQA, 3.4 for IVA and 52 for IET), are used as the standard threshold (i.e. P</w:t>
      </w:r>
      <w:r w:rsidR="001E605A" w:rsidRPr="00F85381">
        <w:rPr>
          <w:rFonts w:ascii="Times New Roman" w:eastAsia="Times New Roman" w:hAnsi="Times New Roman" w:cs="Times New Roman"/>
          <w:vertAlign w:val="subscript"/>
        </w:rPr>
        <w:t xml:space="preserve">0 </w:t>
      </w:r>
      <w:r w:rsidR="001E605A" w:rsidRPr="00F85381">
        <w:rPr>
          <w:rFonts w:ascii="Times New Roman" w:eastAsia="Times New Roman" w:hAnsi="Times New Roman" w:cs="Times New Roman"/>
        </w:rPr>
        <w:t>in</w:t>
      </w:r>
      <w:r w:rsidR="001E605A" w:rsidRPr="00F85381">
        <w:rPr>
          <w:rFonts w:ascii="Times New Roman" w:eastAsia="Times New Roman" w:hAnsi="Times New Roman" w:cs="Times New Roman"/>
          <w:vertAlign w:val="subscript"/>
        </w:rPr>
        <w:t xml:space="preserve"> </w:t>
      </w:r>
      <w:proofErr w:type="gramStart"/>
      <w:r w:rsidR="00BF5469">
        <w:rPr>
          <w:rFonts w:ascii="Times New Roman" w:eastAsia="Times New Roman" w:hAnsi="Times New Roman" w:cs="Times New Roman"/>
        </w:rPr>
        <w:t>Eq.</w:t>
      </w:r>
      <w:r w:rsidR="00835916">
        <w:rPr>
          <w:rFonts w:ascii="Times New Roman" w:eastAsia="Times New Roman" w:hAnsi="Times New Roman" w:cs="Times New Roman"/>
        </w:rPr>
        <w:t>(</w:t>
      </w:r>
      <w:proofErr w:type="gramEnd"/>
      <w:r w:rsidR="001E605A" w:rsidRPr="00F85381">
        <w:rPr>
          <w:rFonts w:ascii="Times New Roman" w:eastAsia="Times New Roman" w:hAnsi="Times New Roman" w:cs="Times New Roman"/>
        </w:rPr>
        <w:t>2</w:t>
      </w:r>
      <w:r w:rsidR="00835916">
        <w:rPr>
          <w:rFonts w:ascii="Times New Roman" w:eastAsia="Times New Roman" w:hAnsi="Times New Roman" w:cs="Times New Roman"/>
        </w:rPr>
        <w:t>)</w:t>
      </w:r>
      <w:r w:rsidR="004B27F4" w:rsidRPr="00F85381">
        <w:rPr>
          <w:rFonts w:ascii="Times New Roman" w:eastAsia="Times New Roman" w:hAnsi="Times New Roman" w:cs="Times New Roman"/>
        </w:rPr>
        <w:t xml:space="preserve"> in SI</w:t>
      </w:r>
      <w:r w:rsidR="001E605A" w:rsidRPr="00F85381">
        <w:rPr>
          <w:rFonts w:ascii="Times New Roman" w:eastAsia="Times New Roman" w:hAnsi="Times New Roman" w:cs="Times New Roman"/>
        </w:rPr>
        <w:t>) for each WQI. This is in line with CETESB’s approach to ‘average quality’ as an acceptable threshold.</w:t>
      </w:r>
    </w:p>
    <w:p w14:paraId="5D888841" w14:textId="77777777" w:rsidR="009F26E3" w:rsidRPr="00F85381" w:rsidRDefault="00F50BBA">
      <w:pPr>
        <w:pStyle w:val="Heading2"/>
        <w:numPr>
          <w:ilvl w:val="1"/>
          <w:numId w:val="1"/>
        </w:numPr>
      </w:pPr>
      <w:r w:rsidRPr="00F85381">
        <w:t xml:space="preserve">Water quality resilience formulation </w:t>
      </w:r>
    </w:p>
    <w:p w14:paraId="706A7856" w14:textId="77777777" w:rsidR="00B01FB3" w:rsidRPr="00F85381" w:rsidRDefault="00F50BBA" w:rsidP="00261C72">
      <w:pPr>
        <w:spacing w:after="120" w:line="480" w:lineRule="auto"/>
        <w:rPr>
          <w:rFonts w:ascii="Times New Roman" w:eastAsia="Times New Roman" w:hAnsi="Times New Roman" w:cs="Times New Roman"/>
        </w:rPr>
      </w:pPr>
      <w:bookmarkStart w:id="7" w:name="_1hmsyys" w:colFirst="0" w:colLast="0"/>
      <w:bookmarkEnd w:id="7"/>
      <w:r w:rsidRPr="00F85381">
        <w:rPr>
          <w:rFonts w:ascii="Times New Roman" w:eastAsia="Times New Roman" w:hAnsi="Times New Roman" w:cs="Times New Roman"/>
        </w:rPr>
        <w:t xml:space="preserve">In this study, </w:t>
      </w:r>
      <w:r w:rsidR="0085427A" w:rsidRPr="00F85381">
        <w:rPr>
          <w:rFonts w:ascii="Times New Roman" w:eastAsia="Times New Roman" w:hAnsi="Times New Roman" w:cs="Times New Roman"/>
        </w:rPr>
        <w:t>WQ</w:t>
      </w:r>
      <w:r w:rsidRPr="00F85381">
        <w:rPr>
          <w:rFonts w:ascii="Times New Roman" w:eastAsia="Times New Roman" w:hAnsi="Times New Roman" w:cs="Times New Roman"/>
        </w:rPr>
        <w:t xml:space="preserve"> resilience is defined as the capacity of a surface water resource system to cope with, and recover from contamination in order to maintain the required level of service and comply with predefined </w:t>
      </w:r>
      <w:r w:rsidR="0085427A" w:rsidRPr="00F85381">
        <w:rPr>
          <w:rFonts w:ascii="Times New Roman" w:eastAsia="Times New Roman" w:hAnsi="Times New Roman" w:cs="Times New Roman"/>
        </w:rPr>
        <w:t>WQ</w:t>
      </w:r>
      <w:r w:rsidRPr="00F85381">
        <w:rPr>
          <w:rFonts w:ascii="Times New Roman" w:eastAsia="Times New Roman" w:hAnsi="Times New Roman" w:cs="Times New Roman"/>
        </w:rPr>
        <w:t xml:space="preserve"> standards to protect people and the environment. </w:t>
      </w:r>
    </w:p>
    <w:p w14:paraId="237F4528" w14:textId="1490E856" w:rsidR="00093E76" w:rsidRPr="00F85381" w:rsidRDefault="00457FF9" w:rsidP="00261C72">
      <w:pPr>
        <w:spacing w:after="120" w:line="480" w:lineRule="auto"/>
        <w:rPr>
          <w:rStyle w:val="normaltextrun"/>
          <w:rFonts w:ascii="Times New Roman" w:hAnsi="Times New Roman" w:cs="Times New Roman"/>
          <w:bdr w:val="none" w:sz="0" w:space="0" w:color="auto" w:frame="1"/>
        </w:rPr>
      </w:pPr>
      <w:r w:rsidRPr="00F85381">
        <w:rPr>
          <w:rStyle w:val="normaltextrun"/>
          <w:rFonts w:ascii="Times New Roman" w:hAnsi="Times New Roman" w:cs="Times New Roman"/>
          <w:bdr w:val="none" w:sz="0" w:space="0" w:color="auto" w:frame="1"/>
        </w:rPr>
        <w:t>It is important to make a distinction between the emerging concept of resilience and the commonly used assimilative capacity in WQ assessment. Traditionally, assimilative capacity utilises process-based modelling to build a relationship between WQ and quantity to assess whether a waterbody can meet pre-determined criteria for its ecological function and designated use. In other words, assimilative capacity tends to be reliability-driven (i.e. ‘Fail-Safe’ approach) aiming to avoid/prevent failures. On the other hand, resilience embraces assimilative capacity to improve its resistance capacity (one of the characteristics of resilience), but it also takes a ‘Safe-Fail’ approach in order to maximise its adaptation capacity to tackle emerging challenges (and their uncertainties) and to minimise adverse impacts</w:t>
      </w:r>
      <w:r w:rsidR="00312F50" w:rsidRPr="00F85381">
        <w:rPr>
          <w:rStyle w:val="normaltextrun"/>
          <w:rFonts w:ascii="Times New Roman" w:hAnsi="Times New Roman" w:cs="Times New Roman"/>
          <w:bdr w:val="none" w:sz="0" w:space="0" w:color="auto" w:frame="1"/>
        </w:rPr>
        <w:t xml:space="preserve"> (Butler et al., 2016)</w:t>
      </w:r>
      <w:r w:rsidR="00093E76" w:rsidRPr="00F85381">
        <w:rPr>
          <w:rStyle w:val="normaltextrun"/>
          <w:rFonts w:ascii="Times New Roman" w:hAnsi="Times New Roman" w:cs="Times New Roman"/>
          <w:bdr w:val="none" w:sz="0" w:space="0" w:color="auto" w:frame="1"/>
        </w:rPr>
        <w:t>.</w:t>
      </w:r>
      <w:r w:rsidR="002B1F21" w:rsidRPr="00F85381">
        <w:rPr>
          <w:rStyle w:val="normaltextrun"/>
          <w:rFonts w:ascii="Times New Roman" w:hAnsi="Times New Roman" w:cs="Times New Roman"/>
          <w:bdr w:val="none" w:sz="0" w:space="0" w:color="auto" w:frame="1"/>
        </w:rPr>
        <w:t xml:space="preserve"> Further information about </w:t>
      </w:r>
      <w:r w:rsidR="00206C7C" w:rsidRPr="00F85381">
        <w:rPr>
          <w:rStyle w:val="normaltextrun"/>
          <w:rFonts w:ascii="Times New Roman" w:hAnsi="Times New Roman" w:cs="Times New Roman"/>
          <w:bdr w:val="none" w:sz="0" w:space="0" w:color="auto" w:frame="1"/>
        </w:rPr>
        <w:t>some</w:t>
      </w:r>
      <w:r w:rsidR="002B1F21" w:rsidRPr="00F85381">
        <w:rPr>
          <w:rStyle w:val="normaltextrun"/>
          <w:rFonts w:ascii="Times New Roman" w:hAnsi="Times New Roman" w:cs="Times New Roman"/>
          <w:bdr w:val="none" w:sz="0" w:space="0" w:color="auto" w:frame="1"/>
        </w:rPr>
        <w:t xml:space="preserve"> </w:t>
      </w:r>
      <w:r w:rsidR="00206C7C" w:rsidRPr="00F85381">
        <w:rPr>
          <w:rStyle w:val="normaltextrun"/>
          <w:rFonts w:ascii="Times New Roman" w:hAnsi="Times New Roman" w:cs="Times New Roman"/>
          <w:bdr w:val="none" w:sz="0" w:space="0" w:color="auto" w:frame="1"/>
        </w:rPr>
        <w:t xml:space="preserve">potential </w:t>
      </w:r>
      <w:r w:rsidR="002B1F21" w:rsidRPr="00F85381">
        <w:rPr>
          <w:rStyle w:val="normaltextrun"/>
          <w:rFonts w:ascii="Times New Roman" w:hAnsi="Times New Roman" w:cs="Times New Roman"/>
          <w:bdr w:val="none" w:sz="0" w:space="0" w:color="auto" w:frame="1"/>
        </w:rPr>
        <w:t>difference</w:t>
      </w:r>
      <w:r w:rsidR="005140AF" w:rsidRPr="00F85381">
        <w:rPr>
          <w:rStyle w:val="normaltextrun"/>
          <w:rFonts w:ascii="Times New Roman" w:hAnsi="Times New Roman" w:cs="Times New Roman"/>
          <w:bdr w:val="none" w:sz="0" w:space="0" w:color="auto" w:frame="1"/>
        </w:rPr>
        <w:t>s</w:t>
      </w:r>
      <w:r w:rsidR="002B1F21" w:rsidRPr="00F85381">
        <w:rPr>
          <w:rStyle w:val="normaltextrun"/>
          <w:rFonts w:ascii="Times New Roman" w:hAnsi="Times New Roman" w:cs="Times New Roman"/>
          <w:bdr w:val="none" w:sz="0" w:space="0" w:color="auto" w:frame="1"/>
        </w:rPr>
        <w:t xml:space="preserve"> between</w:t>
      </w:r>
      <w:r w:rsidR="00CB4D43" w:rsidRPr="00F85381">
        <w:rPr>
          <w:rStyle w:val="normaltextrun"/>
          <w:rFonts w:ascii="Times New Roman" w:hAnsi="Times New Roman" w:cs="Times New Roman"/>
          <w:bdr w:val="none" w:sz="0" w:space="0" w:color="auto" w:frame="1"/>
        </w:rPr>
        <w:t xml:space="preserve"> traditional environmental assessment method</w:t>
      </w:r>
      <w:r w:rsidR="005140AF" w:rsidRPr="00F85381">
        <w:rPr>
          <w:rStyle w:val="normaltextrun"/>
          <w:rFonts w:ascii="Times New Roman" w:hAnsi="Times New Roman" w:cs="Times New Roman"/>
          <w:bdr w:val="none" w:sz="0" w:space="0" w:color="auto" w:frame="1"/>
        </w:rPr>
        <w:t xml:space="preserve"> and resilience-based assessment methods have been provided in </w:t>
      </w:r>
      <w:r w:rsidR="003D0604" w:rsidRPr="00F85381">
        <w:rPr>
          <w:rStyle w:val="normaltextrun"/>
          <w:rFonts w:ascii="Times New Roman" w:hAnsi="Times New Roman" w:cs="Times New Roman"/>
          <w:bdr w:val="none" w:sz="0" w:space="0" w:color="auto" w:frame="1"/>
        </w:rPr>
        <w:t xml:space="preserve">section </w:t>
      </w:r>
      <w:r w:rsidR="00A76C3D" w:rsidRPr="00F85381">
        <w:rPr>
          <w:rStyle w:val="normaltextrun"/>
          <w:rFonts w:ascii="Times New Roman" w:hAnsi="Times New Roman" w:cs="Times New Roman"/>
          <w:bdr w:val="none" w:sz="0" w:space="0" w:color="auto" w:frame="1"/>
        </w:rPr>
        <w:t xml:space="preserve">1 </w:t>
      </w:r>
      <w:r w:rsidR="003D0604" w:rsidRPr="00F85381">
        <w:rPr>
          <w:rStyle w:val="normaltextrun"/>
          <w:rFonts w:ascii="Times New Roman" w:hAnsi="Times New Roman" w:cs="Times New Roman"/>
          <w:bdr w:val="none" w:sz="0" w:space="0" w:color="auto" w:frame="1"/>
        </w:rPr>
        <w:t xml:space="preserve">in </w:t>
      </w:r>
      <w:r w:rsidR="005140AF" w:rsidRPr="00F85381">
        <w:rPr>
          <w:rStyle w:val="normaltextrun"/>
          <w:rFonts w:ascii="Times New Roman" w:hAnsi="Times New Roman" w:cs="Times New Roman"/>
          <w:bdr w:val="none" w:sz="0" w:space="0" w:color="auto" w:frame="1"/>
        </w:rPr>
        <w:t>the</w:t>
      </w:r>
      <w:r w:rsidR="00A76C3D" w:rsidRPr="00F85381">
        <w:rPr>
          <w:rStyle w:val="normaltextrun"/>
          <w:rFonts w:ascii="Times New Roman" w:hAnsi="Times New Roman" w:cs="Times New Roman"/>
          <w:bdr w:val="none" w:sz="0" w:space="0" w:color="auto" w:frame="1"/>
        </w:rPr>
        <w:t xml:space="preserve"> enclosed</w:t>
      </w:r>
      <w:r w:rsidR="005140AF" w:rsidRPr="00F85381">
        <w:rPr>
          <w:rStyle w:val="normaltextrun"/>
          <w:rFonts w:ascii="Times New Roman" w:hAnsi="Times New Roman" w:cs="Times New Roman"/>
          <w:bdr w:val="none" w:sz="0" w:space="0" w:color="auto" w:frame="1"/>
        </w:rPr>
        <w:t xml:space="preserve"> SI.</w:t>
      </w:r>
    </w:p>
    <w:p w14:paraId="4F905B8F" w14:textId="0E63A77D"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lastRenderedPageBreak/>
        <w:t xml:space="preserve">Several metrics/measures have been developed and introduced in literature to quantify resilience for different contexts in different water systems (Hashimoto et al., 1982; Fowler et al., 2003; </w:t>
      </w:r>
      <w:proofErr w:type="spellStart"/>
      <w:r w:rsidRPr="00F85381">
        <w:rPr>
          <w:rFonts w:ascii="Times New Roman" w:eastAsia="Times New Roman" w:hAnsi="Times New Roman" w:cs="Times New Roman"/>
        </w:rPr>
        <w:t>Matrosov</w:t>
      </w:r>
      <w:proofErr w:type="spellEnd"/>
      <w:r w:rsidRPr="00F85381">
        <w:rPr>
          <w:rFonts w:ascii="Times New Roman" w:eastAsia="Times New Roman" w:hAnsi="Times New Roman" w:cs="Times New Roman"/>
        </w:rPr>
        <w:t xml:space="preserve"> et al., 2012; Jung, 2013; Paton et al., 2014; Butler et al., 2016). This study </w:t>
      </w:r>
      <w:r w:rsidR="002119F1" w:rsidRPr="00F85381">
        <w:rPr>
          <w:rFonts w:ascii="Times New Roman" w:eastAsia="Times New Roman" w:hAnsi="Times New Roman" w:cs="Times New Roman"/>
        </w:rPr>
        <w:t>inspired</w:t>
      </w:r>
      <w:r w:rsidR="00F647F6" w:rsidRPr="00F85381">
        <w:rPr>
          <w:rFonts w:ascii="Times New Roman" w:eastAsia="Times New Roman" w:hAnsi="Times New Roman" w:cs="Times New Roman"/>
        </w:rPr>
        <w:t xml:space="preserve"> by</w:t>
      </w:r>
      <w:r w:rsidR="002119F1" w:rsidRPr="00F85381">
        <w:rPr>
          <w:rFonts w:ascii="Times New Roman" w:eastAsia="Times New Roman" w:hAnsi="Times New Roman" w:cs="Times New Roman"/>
        </w:rPr>
        <w:t xml:space="preserve"> </w:t>
      </w:r>
      <w:r w:rsidRPr="00F85381">
        <w:rPr>
          <w:rFonts w:ascii="Times New Roman" w:eastAsia="Times New Roman" w:hAnsi="Times New Roman" w:cs="Times New Roman"/>
        </w:rPr>
        <w:t>the ‘volume-based resilience metrics’ method, introduced in the study by Roach et al. (</w:t>
      </w:r>
      <w:r w:rsidR="00F647F6" w:rsidRPr="00F85381">
        <w:rPr>
          <w:rFonts w:ascii="Times New Roman" w:eastAsia="Times New Roman" w:hAnsi="Times New Roman" w:cs="Times New Roman"/>
        </w:rPr>
        <w:t>201</w:t>
      </w:r>
      <w:r w:rsidR="00B60ADD" w:rsidRPr="00F85381">
        <w:rPr>
          <w:rFonts w:ascii="Times New Roman" w:eastAsia="Times New Roman" w:hAnsi="Times New Roman" w:cs="Times New Roman"/>
        </w:rPr>
        <w:t>8</w:t>
      </w:r>
      <w:r w:rsidRPr="00F85381">
        <w:rPr>
          <w:rFonts w:ascii="Times New Roman" w:eastAsia="Times New Roman" w:hAnsi="Times New Roman" w:cs="Times New Roman"/>
        </w:rPr>
        <w:t xml:space="preserve">), </w:t>
      </w:r>
      <w:r w:rsidR="004352A3" w:rsidRPr="00F85381">
        <w:rPr>
          <w:rFonts w:ascii="Times New Roman" w:eastAsia="Times New Roman" w:hAnsi="Times New Roman" w:cs="Times New Roman"/>
        </w:rPr>
        <w:t>and formulated by Hasan et al. (2019)</w:t>
      </w:r>
      <w:r w:rsidR="00F647F6" w:rsidRPr="00F85381">
        <w:rPr>
          <w:rFonts w:ascii="Times New Roman" w:eastAsia="Times New Roman" w:hAnsi="Times New Roman" w:cs="Times New Roman"/>
        </w:rPr>
        <w:t xml:space="preserve"> and McClymont</w:t>
      </w:r>
      <w:r w:rsidR="00CE1D1B" w:rsidRPr="00F85381">
        <w:rPr>
          <w:rFonts w:ascii="Times New Roman" w:eastAsia="Times New Roman" w:hAnsi="Times New Roman" w:cs="Times New Roman"/>
        </w:rPr>
        <w:t xml:space="preserve"> et al. (2020)</w:t>
      </w:r>
      <w:r w:rsidR="004352A3" w:rsidRPr="00F85381">
        <w:rPr>
          <w:rFonts w:ascii="Times New Roman" w:eastAsia="Times New Roman" w:hAnsi="Times New Roman" w:cs="Times New Roman"/>
        </w:rPr>
        <w:t xml:space="preserve">, </w:t>
      </w:r>
      <w:r w:rsidRPr="00F85381">
        <w:rPr>
          <w:rFonts w:ascii="Times New Roman" w:eastAsia="Times New Roman" w:hAnsi="Times New Roman" w:cs="Times New Roman"/>
        </w:rPr>
        <w:t xml:space="preserve">to encapsulate a suitable resilience-based performance metric for </w:t>
      </w:r>
      <w:r w:rsidR="0085427A" w:rsidRPr="00F85381">
        <w:rPr>
          <w:rFonts w:ascii="Times New Roman" w:eastAsia="Times New Roman" w:hAnsi="Times New Roman" w:cs="Times New Roman"/>
        </w:rPr>
        <w:t>WQ evaluation</w:t>
      </w:r>
      <w:r w:rsidRPr="00F85381">
        <w:rPr>
          <w:rFonts w:ascii="Times New Roman" w:eastAsia="Times New Roman" w:hAnsi="Times New Roman" w:cs="Times New Roman"/>
        </w:rPr>
        <w:t xml:space="preserve">. </w:t>
      </w:r>
      <w:r w:rsidR="002269A2" w:rsidRPr="00F85381">
        <w:rPr>
          <w:rFonts w:ascii="Times New Roman" w:eastAsia="Times New Roman" w:hAnsi="Times New Roman" w:cs="Times New Roman"/>
        </w:rPr>
        <w:t>Details about formulation of WQR can be found in section</w:t>
      </w:r>
      <w:r w:rsidR="00C40F88" w:rsidRPr="00F85381">
        <w:rPr>
          <w:rFonts w:ascii="Times New Roman" w:eastAsia="Times New Roman" w:hAnsi="Times New Roman" w:cs="Times New Roman"/>
        </w:rPr>
        <w:t xml:space="preserve"> 3 in SI.</w:t>
      </w:r>
      <w:r w:rsidR="00A8327A" w:rsidRPr="00F85381">
        <w:rPr>
          <w:rFonts w:ascii="Times New Roman" w:eastAsia="Times New Roman" w:hAnsi="Times New Roman" w:cs="Times New Roman"/>
        </w:rPr>
        <w:t xml:space="preserve"> </w:t>
      </w:r>
      <w:r w:rsidR="00A74019" w:rsidRPr="00F85381">
        <w:rPr>
          <w:rFonts w:ascii="Times New Roman" w:eastAsia="Times New Roman" w:hAnsi="Times New Roman" w:cs="Times New Roman"/>
        </w:rPr>
        <w:t>Additionally, d</w:t>
      </w:r>
      <w:bookmarkStart w:id="8" w:name="_41mghml" w:colFirst="0" w:colLast="0"/>
      <w:bookmarkEnd w:id="8"/>
      <w:r w:rsidR="008B76A1" w:rsidRPr="00F85381">
        <w:rPr>
          <w:rFonts w:ascii="Times New Roman" w:eastAsia="Times New Roman" w:hAnsi="Times New Roman" w:cs="Times New Roman"/>
        </w:rPr>
        <w:t xml:space="preserve">etails have been provided on data preparation and pre-processing in </w:t>
      </w:r>
      <w:r w:rsidR="00B5286F" w:rsidRPr="00F85381">
        <w:rPr>
          <w:rFonts w:ascii="Times New Roman" w:eastAsia="Times New Roman" w:hAnsi="Times New Roman" w:cs="Times New Roman"/>
        </w:rPr>
        <w:t xml:space="preserve">section 2 </w:t>
      </w:r>
      <w:r w:rsidR="003E1698" w:rsidRPr="00F85381">
        <w:rPr>
          <w:rFonts w:ascii="Times New Roman" w:eastAsia="Times New Roman" w:hAnsi="Times New Roman" w:cs="Times New Roman"/>
        </w:rPr>
        <w:t xml:space="preserve">in </w:t>
      </w:r>
      <w:r w:rsidR="008B76A1" w:rsidRPr="00F85381">
        <w:rPr>
          <w:rFonts w:ascii="Times New Roman" w:eastAsia="Times New Roman" w:hAnsi="Times New Roman" w:cs="Times New Roman"/>
        </w:rPr>
        <w:t xml:space="preserve">SI. </w:t>
      </w:r>
    </w:p>
    <w:p w14:paraId="70154EB2" w14:textId="4707C953" w:rsidR="009F26E3" w:rsidRPr="00F85381" w:rsidRDefault="003854DC">
      <w:pPr>
        <w:pStyle w:val="Heading2"/>
        <w:numPr>
          <w:ilvl w:val="1"/>
          <w:numId w:val="1"/>
        </w:numPr>
      </w:pPr>
      <w:r w:rsidRPr="00F85381">
        <w:t xml:space="preserve">Stage 1 - </w:t>
      </w:r>
      <w:r w:rsidR="00835916">
        <w:t>p</w:t>
      </w:r>
      <w:r w:rsidR="00F50BBA" w:rsidRPr="00F85381">
        <w:t xml:space="preserve">redictive water quality resilience model </w:t>
      </w:r>
    </w:p>
    <w:p w14:paraId="7C78E305" w14:textId="77B6A0BB" w:rsidR="009F26E3" w:rsidRPr="00F85381" w:rsidRDefault="00314E7B"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As mentioned above, </w:t>
      </w:r>
      <w:r w:rsidR="00A712FB" w:rsidRPr="00F85381">
        <w:rPr>
          <w:rFonts w:ascii="Times New Roman" w:eastAsia="Times New Roman" w:hAnsi="Times New Roman" w:cs="Times New Roman"/>
          <w:i/>
        </w:rPr>
        <w:t>S</w:t>
      </w:r>
      <w:r w:rsidR="00AA1B13" w:rsidRPr="00F85381">
        <w:rPr>
          <w:rFonts w:ascii="Times New Roman" w:eastAsia="Times New Roman" w:hAnsi="Times New Roman" w:cs="Times New Roman"/>
          <w:i/>
        </w:rPr>
        <w:t>tage 1</w:t>
      </w:r>
      <w:r w:rsidR="00AA1B13" w:rsidRPr="00F85381">
        <w:rPr>
          <w:rFonts w:ascii="Times New Roman" w:eastAsia="Times New Roman" w:hAnsi="Times New Roman" w:cs="Times New Roman"/>
        </w:rPr>
        <w:t xml:space="preserve"> </w:t>
      </w:r>
      <w:r w:rsidRPr="00F85381">
        <w:rPr>
          <w:rFonts w:ascii="Times New Roman" w:eastAsia="Times New Roman" w:hAnsi="Times New Roman" w:cs="Times New Roman"/>
        </w:rPr>
        <w:t xml:space="preserve">focuses on </w:t>
      </w:r>
      <w:r w:rsidR="00AA1B13" w:rsidRPr="00F85381">
        <w:rPr>
          <w:rFonts w:ascii="Times New Roman" w:eastAsia="Times New Roman" w:hAnsi="Times New Roman" w:cs="Times New Roman"/>
        </w:rPr>
        <w:t xml:space="preserve">development of the </w:t>
      </w:r>
      <w:r w:rsidR="0096796A" w:rsidRPr="00F85381">
        <w:rPr>
          <w:rFonts w:ascii="Times New Roman" w:eastAsia="Times New Roman" w:hAnsi="Times New Roman" w:cs="Times New Roman"/>
        </w:rPr>
        <w:t xml:space="preserve">predictive </w:t>
      </w:r>
      <w:r w:rsidR="00AA1B13" w:rsidRPr="00F85381">
        <w:rPr>
          <w:rFonts w:ascii="Times New Roman" w:eastAsia="Times New Roman" w:hAnsi="Times New Roman" w:cs="Times New Roman"/>
        </w:rPr>
        <w:t>WQ</w:t>
      </w:r>
      <w:r w:rsidRPr="00F85381">
        <w:rPr>
          <w:rFonts w:ascii="Times New Roman" w:eastAsia="Times New Roman" w:hAnsi="Times New Roman" w:cs="Times New Roman"/>
        </w:rPr>
        <w:t xml:space="preserve"> resilience model</w:t>
      </w:r>
      <w:r w:rsidR="00A712FB" w:rsidRPr="00F85381">
        <w:rPr>
          <w:rFonts w:ascii="Times New Roman" w:eastAsia="Times New Roman" w:hAnsi="Times New Roman" w:cs="Times New Roman"/>
        </w:rPr>
        <w:t xml:space="preserve"> and its output </w:t>
      </w:r>
      <w:r w:rsidR="0096796A" w:rsidRPr="00F85381">
        <w:rPr>
          <w:rFonts w:ascii="Times New Roman" w:eastAsia="Times New Roman" w:hAnsi="Times New Roman" w:cs="Times New Roman"/>
        </w:rPr>
        <w:t>can be</w:t>
      </w:r>
      <w:r w:rsidR="00A712FB" w:rsidRPr="00F85381">
        <w:rPr>
          <w:rFonts w:ascii="Times New Roman" w:eastAsia="Times New Roman" w:hAnsi="Times New Roman" w:cs="Times New Roman"/>
        </w:rPr>
        <w:t xml:space="preserve"> the resilience value predicted </w:t>
      </w:r>
      <w:r w:rsidR="0096796A" w:rsidRPr="00F85381">
        <w:rPr>
          <w:rFonts w:ascii="Times New Roman" w:eastAsia="Times New Roman" w:hAnsi="Times New Roman" w:cs="Times New Roman"/>
        </w:rPr>
        <w:t xml:space="preserve">in a </w:t>
      </w:r>
      <w:r w:rsidR="00A712FB" w:rsidRPr="00F85381">
        <w:rPr>
          <w:rFonts w:ascii="Times New Roman" w:eastAsia="Times New Roman" w:hAnsi="Times New Roman" w:cs="Times New Roman"/>
        </w:rPr>
        <w:t>zone</w:t>
      </w:r>
      <w:r w:rsidR="00605171" w:rsidRPr="00F85381">
        <w:rPr>
          <w:rFonts w:ascii="Times New Roman" w:eastAsia="Times New Roman" w:hAnsi="Times New Roman" w:cs="Times New Roman"/>
        </w:rPr>
        <w:t xml:space="preserve"> (or a station</w:t>
      </w:r>
      <w:r w:rsidR="00A712FB" w:rsidRPr="00F85381">
        <w:rPr>
          <w:rFonts w:ascii="Times New Roman" w:eastAsia="Times New Roman" w:hAnsi="Times New Roman" w:cs="Times New Roman"/>
        </w:rPr>
        <w:t xml:space="preserve"> </w:t>
      </w:r>
      <w:r w:rsidR="00605171" w:rsidRPr="00F85381">
        <w:rPr>
          <w:rFonts w:ascii="Times New Roman" w:eastAsia="Times New Roman" w:hAnsi="Times New Roman" w:cs="Times New Roman"/>
        </w:rPr>
        <w:t xml:space="preserve">in a zone) </w:t>
      </w:r>
      <w:r w:rsidR="00A712FB" w:rsidRPr="00F85381">
        <w:rPr>
          <w:rFonts w:ascii="Times New Roman" w:eastAsia="Times New Roman" w:hAnsi="Times New Roman" w:cs="Times New Roman"/>
        </w:rPr>
        <w:t>in the study area.</w:t>
      </w:r>
      <w:r w:rsidRPr="00F85381">
        <w:rPr>
          <w:rFonts w:ascii="Times New Roman" w:eastAsia="Times New Roman" w:hAnsi="Times New Roman" w:cs="Times New Roman"/>
        </w:rPr>
        <w:t xml:space="preserve"> </w:t>
      </w:r>
      <w:r w:rsidR="00F50BBA" w:rsidRPr="00F85381">
        <w:rPr>
          <w:rFonts w:ascii="Times New Roman" w:eastAsia="Times New Roman" w:hAnsi="Times New Roman" w:cs="Times New Roman"/>
        </w:rPr>
        <w:t>The predictive WQ resilience model integrates the WQ resilience evaluation method (section 2.</w:t>
      </w:r>
      <w:r w:rsidR="00F32876" w:rsidRPr="00F85381">
        <w:rPr>
          <w:rFonts w:ascii="Times New Roman" w:eastAsia="Times New Roman" w:hAnsi="Times New Roman" w:cs="Times New Roman"/>
        </w:rPr>
        <w:t>3</w:t>
      </w:r>
      <w:r w:rsidR="00F50BBA" w:rsidRPr="00F85381">
        <w:rPr>
          <w:rFonts w:ascii="Times New Roman" w:eastAsia="Times New Roman" w:hAnsi="Times New Roman" w:cs="Times New Roman"/>
        </w:rPr>
        <w:t xml:space="preserve">) and the ANN. This model can be used to assess water resource adaptive capacity in order to identify the most vulnerable/critical contaminated </w:t>
      </w:r>
      <w:r w:rsidR="005973AE" w:rsidRPr="00F85381">
        <w:rPr>
          <w:rFonts w:ascii="Times New Roman" w:eastAsia="Times New Roman" w:hAnsi="Times New Roman" w:cs="Times New Roman"/>
        </w:rPr>
        <w:t>UG</w:t>
      </w:r>
      <w:r w:rsidR="002D5A19" w:rsidRPr="00F85381">
        <w:rPr>
          <w:rFonts w:ascii="Times New Roman" w:eastAsia="Times New Roman" w:hAnsi="Times New Roman" w:cs="Times New Roman"/>
        </w:rPr>
        <w:t>R</w:t>
      </w:r>
      <w:r w:rsidR="005973AE" w:rsidRPr="00F85381">
        <w:rPr>
          <w:rFonts w:ascii="Times New Roman" w:eastAsia="Times New Roman" w:hAnsi="Times New Roman" w:cs="Times New Roman"/>
        </w:rPr>
        <w:t xml:space="preserve">HIs </w:t>
      </w:r>
      <w:r w:rsidR="00F32876" w:rsidRPr="00F85381">
        <w:rPr>
          <w:rFonts w:ascii="Times New Roman" w:eastAsia="Times New Roman" w:hAnsi="Times New Roman" w:cs="Times New Roman"/>
        </w:rPr>
        <w:t xml:space="preserve">(so-called </w:t>
      </w:r>
      <w:r w:rsidR="00F50BBA" w:rsidRPr="00F85381">
        <w:rPr>
          <w:rFonts w:ascii="Times New Roman" w:eastAsia="Times New Roman" w:hAnsi="Times New Roman" w:cs="Times New Roman"/>
        </w:rPr>
        <w:t>zones</w:t>
      </w:r>
      <w:r w:rsidR="00F32876" w:rsidRPr="00F85381">
        <w:rPr>
          <w:rFonts w:ascii="Times New Roman" w:eastAsia="Times New Roman" w:hAnsi="Times New Roman" w:cs="Times New Roman"/>
        </w:rPr>
        <w:t xml:space="preserve"> in this paper)</w:t>
      </w:r>
      <w:r w:rsidR="00F50BBA" w:rsidRPr="00F85381">
        <w:rPr>
          <w:rFonts w:ascii="Times New Roman" w:eastAsia="Times New Roman" w:hAnsi="Times New Roman" w:cs="Times New Roman"/>
        </w:rPr>
        <w:t xml:space="preserve"> without the need for a great deal of costly data collection and time-consuming system modelling. Additionally, it can enable water and environment sectors to map the spatial and temporal dynamics of resilience fluctuations across the study area</w:t>
      </w:r>
      <w:r w:rsidR="00643F8E" w:rsidRPr="00F85381">
        <w:rPr>
          <w:rFonts w:ascii="Times New Roman" w:eastAsia="Times New Roman" w:hAnsi="Times New Roman" w:cs="Times New Roman"/>
        </w:rPr>
        <w:t xml:space="preserve"> and time </w:t>
      </w:r>
      <w:r w:rsidR="00643F8E" w:rsidRPr="00F85381">
        <w:rPr>
          <w:rFonts w:ascii="Times New Roman" w:eastAsia="Times New Roman" w:hAnsi="Times New Roman" w:cs="Times New Roman"/>
        </w:rPr>
        <w:fldChar w:fldCharType="begin" w:fldLock="1"/>
      </w:r>
      <w:r w:rsidR="00D367B3" w:rsidRPr="00F85381">
        <w:rPr>
          <w:rFonts w:ascii="Times New Roman" w:eastAsia="Times New Roman" w:hAnsi="Times New Roman" w:cs="Times New Roman"/>
        </w:rPr>
        <w:instrText>ADDIN CSL_CITATION {"citationItems":[{"id":"ITEM-1","itemData":{"DOI":"10.1016/J.ENGAPPAI.2019.08.014","ISSN":"0952-1976","abstract":"Dynamic multi-objective optimisation problem (DMOP) has brought a great challenge to the reinforcement learning (RL) research area due to its dynamic nature such as objective functions, constraints and problem parameters that may change over time. This study aims to identify the lacking in the existing benchmarks for multi-objective optimisation for the dynamic environment in the RL settings. Hence, a dynamic multi-objective testbed has been created which is a modified version of the conventional deep-sea treasure (DST) hunt testbed. This modified testbed fulfils the changing aspects of the dynamic environment in terms of the characteristics where the changes occur based on time. To the authors’ knowledge, this is the first dynamic multi-objective testbed for RL research, especially for deep reinforcement learning. In addition to that, a generic algorithm is proposed to solve the multi-objective optimisation problem in a dynamic constrained environment that maintains equilibrium by mapping different objectives simultaneously to provide the most compromised solution that closed to the true Pareto front (PF). As a proof of concept, the developed algorithm has been implemented to build an expert system for a real-world scenario using Markov decision process to identify the vulnerable zones based on water quality resilience in São Paulo, Brazil. The outcome of the implementation reveals that the proposed parity-Q deep Q network (PQDQN) algorithm is an efficient way to optimise the decision in a dynamic environment. Moreover, the result shows PQDQN algorithm performs better compared to the other state-of-the-art solutions both in the simulated and the real-world scenario.","author":[{"dropping-particle":"","family":"Hasan","given":"Md Mahmudul","non-dropping-particle":"","parse-names":false,"suffix":""},{"dropping-particle":"","family":"Lwin","given":"Khin","non-dropping-particle":"","parse-names":false,"suffix":""},{"dropping-particle":"","family":"Imani","given":"Maryam","non-dropping-particle":"","parse-names":false,"suffix":""},{"dropping-particle":"","family":"Shabut","given":"Antesar","non-dropping-particle":"","parse-names":false,"suffix":""},{"dropping-particle":"","family":"Bittencourt","given":"Luiz Fernando","non-dropping-particle":"","parse-names":false,"suffix":""},{"dropping-particle":"","family":"Hossain","given":"M.A.","non-dropping-particle":"","parse-names":false,"suffix":""}],"container-title":"Engineering Applications of Artificial Intelligence","id":"ITEM-1","issued":{"date-parts":[["2019","11","1"]]},"page":"107-135","publisher":"Pergamon","title":"Dynamic multi-objective optimisation using deep reinforcement learning: benchmark, algorithm and an application to identify vulnerable zones based on water quality","type":"article-journal","volume":"86"},"uris":["http://www.mendeley.com/documents/?uuid=8b629d1a-adbd-3311-9f85-025d8290c88e"]}],"mendeley":{"formattedCitation":"(M. M. Hasan et al., 2019)","plainTextFormattedCitation":"(M. M. Hasan et al., 2019)","previouslyFormattedCitation":"(Hasan et al., 2019)"},"properties":{"noteIndex":0},"schema":"https://github.com/citation-style-language/schema/raw/master/csl-citation.json"}</w:instrText>
      </w:r>
      <w:r w:rsidR="00643F8E" w:rsidRPr="00F85381">
        <w:rPr>
          <w:rFonts w:ascii="Times New Roman" w:eastAsia="Times New Roman" w:hAnsi="Times New Roman" w:cs="Times New Roman"/>
        </w:rPr>
        <w:fldChar w:fldCharType="separate"/>
      </w:r>
      <w:r w:rsidR="00D367B3" w:rsidRPr="00F85381">
        <w:rPr>
          <w:rFonts w:ascii="Times New Roman" w:eastAsia="Times New Roman" w:hAnsi="Times New Roman" w:cs="Times New Roman"/>
          <w:noProof/>
        </w:rPr>
        <w:t>(Hasan et al., 2019)</w:t>
      </w:r>
      <w:r w:rsidR="00643F8E" w:rsidRPr="00F85381">
        <w:rPr>
          <w:rFonts w:ascii="Times New Roman" w:eastAsia="Times New Roman" w:hAnsi="Times New Roman" w:cs="Times New Roman"/>
        </w:rPr>
        <w:fldChar w:fldCharType="end"/>
      </w:r>
      <w:r w:rsidR="00F50BBA" w:rsidRPr="00F85381">
        <w:rPr>
          <w:rFonts w:ascii="Times New Roman" w:eastAsia="Times New Roman" w:hAnsi="Times New Roman" w:cs="Times New Roman"/>
        </w:rPr>
        <w:t>, without direct characterisation of the influential factors (e.g.</w:t>
      </w:r>
      <w:r w:rsidR="000E26C5">
        <w:rPr>
          <w:rFonts w:ascii="Times New Roman" w:eastAsia="Times New Roman" w:hAnsi="Times New Roman" w:cs="Times New Roman"/>
        </w:rPr>
        <w:t>,</w:t>
      </w:r>
      <w:r w:rsidR="00F50BBA" w:rsidRPr="00F85381">
        <w:rPr>
          <w:rFonts w:ascii="Times New Roman" w:eastAsia="Times New Roman" w:hAnsi="Times New Roman" w:cs="Times New Roman"/>
        </w:rPr>
        <w:t xml:space="preserve"> land use pattern, hydrological parameters, etc.). The proposed predictive model can be utilised to make predictions of future </w:t>
      </w:r>
      <w:r w:rsidR="00F32876" w:rsidRPr="00F85381">
        <w:rPr>
          <w:rFonts w:ascii="Times New Roman" w:eastAsia="Times New Roman" w:hAnsi="Times New Roman" w:cs="Times New Roman"/>
        </w:rPr>
        <w:t>WQ</w:t>
      </w:r>
      <w:r w:rsidR="00F50BBA" w:rsidRPr="00F85381">
        <w:rPr>
          <w:rFonts w:ascii="Times New Roman" w:eastAsia="Times New Roman" w:hAnsi="Times New Roman" w:cs="Times New Roman"/>
        </w:rPr>
        <w:t xml:space="preserve"> resilience and therefore</w:t>
      </w:r>
      <w:r w:rsidR="00F32876" w:rsidRPr="00F85381">
        <w:rPr>
          <w:rFonts w:ascii="Times New Roman" w:eastAsia="Times New Roman" w:hAnsi="Times New Roman" w:cs="Times New Roman"/>
        </w:rPr>
        <w:t>,</w:t>
      </w:r>
      <w:r w:rsidR="00F50BBA" w:rsidRPr="00F85381">
        <w:rPr>
          <w:rFonts w:ascii="Times New Roman" w:eastAsia="Times New Roman" w:hAnsi="Times New Roman" w:cs="Times New Roman"/>
        </w:rPr>
        <w:t xml:space="preserve"> enable</w:t>
      </w:r>
      <w:r w:rsidR="00F32876" w:rsidRPr="00F85381">
        <w:rPr>
          <w:rFonts w:ascii="Times New Roman" w:eastAsia="Times New Roman" w:hAnsi="Times New Roman" w:cs="Times New Roman"/>
        </w:rPr>
        <w:t>s</w:t>
      </w:r>
      <w:r w:rsidR="00F50BBA" w:rsidRPr="00F85381">
        <w:rPr>
          <w:rFonts w:ascii="Times New Roman" w:eastAsia="Times New Roman" w:hAnsi="Times New Roman" w:cs="Times New Roman"/>
        </w:rPr>
        <w:t xml:space="preserve"> proactive resilience planning. The key advantage of the predictive model is that it can be integrated into complex process-based models, for example as a surrogate to assess </w:t>
      </w:r>
      <w:r w:rsidR="00F32876" w:rsidRPr="00F85381">
        <w:rPr>
          <w:rFonts w:ascii="Times New Roman" w:eastAsia="Times New Roman" w:hAnsi="Times New Roman" w:cs="Times New Roman"/>
        </w:rPr>
        <w:t>WQ</w:t>
      </w:r>
      <w:r w:rsidR="00F50BBA" w:rsidRPr="00F85381">
        <w:rPr>
          <w:rFonts w:ascii="Times New Roman" w:eastAsia="Times New Roman" w:hAnsi="Times New Roman" w:cs="Times New Roman"/>
        </w:rPr>
        <w:t xml:space="preserve"> resilience in ungauged catchments or for a fast resilience evaluation to enhance resilience-informed land-water system planning. It should be noted that resilience thresholds (how much resilience is needed, feasible, good enough, acceptable, low, high, etc.) have been recognised as playing a key role in resilience planning strategies and to the best of the authors’ knowledge, these thresholds are yet to be developed due to the complexity and challenges involved. The predictive model can assist and facilitate in the development of these resilience thresholds.</w:t>
      </w:r>
    </w:p>
    <w:p w14:paraId="44AA276F" w14:textId="77777777" w:rsidR="009F26E3" w:rsidRPr="00835916" w:rsidRDefault="00F50BBA" w:rsidP="0077705F">
      <w:pPr>
        <w:pStyle w:val="Heading2"/>
        <w:numPr>
          <w:ilvl w:val="2"/>
          <w:numId w:val="1"/>
        </w:numPr>
        <w:rPr>
          <w:i/>
          <w:iCs/>
        </w:rPr>
      </w:pPr>
      <w:r w:rsidRPr="00835916">
        <w:rPr>
          <w:i/>
          <w:iCs/>
        </w:rPr>
        <w:lastRenderedPageBreak/>
        <w:t>ANN structure</w:t>
      </w:r>
    </w:p>
    <w:p w14:paraId="12FE57A1" w14:textId="722B03D3" w:rsidR="005973AE" w:rsidRPr="00F85381" w:rsidRDefault="0077705F" w:rsidP="00261C72">
      <w:pPr>
        <w:spacing w:after="120" w:line="480" w:lineRule="auto"/>
        <w:rPr>
          <w:rFonts w:ascii="Times New Roman" w:hAnsi="Times New Roman" w:cs="Times New Roman"/>
        </w:rPr>
      </w:pPr>
      <w:r w:rsidRPr="00F85381">
        <w:rPr>
          <w:rFonts w:ascii="Times New Roman" w:hAnsi="Times New Roman" w:cs="Times New Roman"/>
        </w:rPr>
        <w:t xml:space="preserve">ANN and its algorithms have played a crucial role in predicting, </w:t>
      </w:r>
      <w:proofErr w:type="gramStart"/>
      <w:r w:rsidRPr="00F85381">
        <w:rPr>
          <w:rFonts w:ascii="Times New Roman" w:hAnsi="Times New Roman" w:cs="Times New Roman"/>
        </w:rPr>
        <w:t>modelling</w:t>
      </w:r>
      <w:proofErr w:type="gramEnd"/>
      <w:r w:rsidRPr="00F85381">
        <w:rPr>
          <w:rFonts w:ascii="Times New Roman" w:hAnsi="Times New Roman" w:cs="Times New Roman"/>
        </w:rPr>
        <w:t xml:space="preserve"> and classifying </w:t>
      </w:r>
      <w:r w:rsidR="00F32876" w:rsidRPr="00F85381">
        <w:rPr>
          <w:rFonts w:ascii="Times New Roman" w:hAnsi="Times New Roman" w:cs="Times New Roman"/>
        </w:rPr>
        <w:t>WQ</w:t>
      </w:r>
      <w:r w:rsidRPr="00F85381">
        <w:rPr>
          <w:rFonts w:ascii="Times New Roman" w:hAnsi="Times New Roman" w:cs="Times New Roman"/>
        </w:rPr>
        <w:t xml:space="preserve"> parameters.</w:t>
      </w:r>
      <w:r w:rsidRPr="00F85381">
        <w:rPr>
          <w:rFonts w:ascii="Times New Roman" w:eastAsia="Times New Roman" w:hAnsi="Times New Roman" w:cs="Times New Roman"/>
        </w:rPr>
        <w:t xml:space="preserve"> </w:t>
      </w:r>
      <w:r w:rsidR="00462C29" w:rsidRPr="00F85381">
        <w:rPr>
          <w:rFonts w:ascii="Times New Roman" w:eastAsia="Times New Roman" w:hAnsi="Times New Roman" w:cs="Times New Roman"/>
        </w:rPr>
        <w:t xml:space="preserve">The predictive model </w:t>
      </w:r>
      <w:r w:rsidR="008A4DE8" w:rsidRPr="00F85381">
        <w:rPr>
          <w:rFonts w:ascii="Times New Roman" w:eastAsia="Times New Roman" w:hAnsi="Times New Roman" w:cs="Times New Roman"/>
        </w:rPr>
        <w:t>developed</w:t>
      </w:r>
      <w:r w:rsidR="00462C29" w:rsidRPr="00F85381">
        <w:rPr>
          <w:rFonts w:ascii="Times New Roman" w:eastAsia="Times New Roman" w:hAnsi="Times New Roman" w:cs="Times New Roman"/>
        </w:rPr>
        <w:t xml:space="preserve"> in this study </w:t>
      </w:r>
      <w:r w:rsidR="008A4DE8" w:rsidRPr="00F85381">
        <w:rPr>
          <w:rFonts w:ascii="Times New Roman" w:eastAsia="Times New Roman" w:hAnsi="Times New Roman" w:cs="Times New Roman"/>
        </w:rPr>
        <w:t>is a</w:t>
      </w:r>
      <w:r w:rsidR="00462C29" w:rsidRPr="00F85381">
        <w:rPr>
          <w:rFonts w:ascii="Times New Roman" w:eastAsia="Times New Roman" w:hAnsi="Times New Roman" w:cs="Times New Roman"/>
        </w:rPr>
        <w:t xml:space="preserve"> </w:t>
      </w:r>
      <w:r w:rsidR="00462C29" w:rsidRPr="00F85381">
        <w:rPr>
          <w:rFonts w:ascii="Times New Roman" w:hAnsi="Times New Roman" w:cs="Times New Roman"/>
        </w:rPr>
        <w:t>multilayer perceptron neural network (MLPNN)</w:t>
      </w:r>
      <w:r w:rsidR="008A4DE8" w:rsidRPr="00F85381">
        <w:rPr>
          <w:rFonts w:ascii="Times New Roman" w:hAnsi="Times New Roman" w:cs="Times New Roman"/>
        </w:rPr>
        <w:t>.</w:t>
      </w:r>
      <w:r w:rsidR="00462C29" w:rsidRPr="00F85381">
        <w:rPr>
          <w:rFonts w:ascii="Times New Roman" w:eastAsia="Times New Roman" w:hAnsi="Times New Roman" w:cs="Times New Roman"/>
        </w:rPr>
        <w:t xml:space="preserve"> </w:t>
      </w:r>
      <w:r w:rsidRPr="00F85381">
        <w:rPr>
          <w:rFonts w:ascii="Times New Roman" w:eastAsia="Times New Roman" w:hAnsi="Times New Roman" w:cs="Times New Roman"/>
        </w:rPr>
        <w:t>Th</w:t>
      </w:r>
      <w:r w:rsidR="008A4DE8" w:rsidRPr="00F85381">
        <w:rPr>
          <w:rFonts w:ascii="Times New Roman" w:eastAsia="Times New Roman" w:hAnsi="Times New Roman" w:cs="Times New Roman"/>
        </w:rPr>
        <w:t>is</w:t>
      </w:r>
      <w:r w:rsidRPr="00F85381">
        <w:rPr>
          <w:rFonts w:ascii="Times New Roman" w:eastAsia="Times New Roman" w:hAnsi="Times New Roman" w:cs="Times New Roman"/>
        </w:rPr>
        <w:t xml:space="preserve"> ANN model is formed in three layers: input layer</w:t>
      </w:r>
      <w:r w:rsidR="003F2450" w:rsidRPr="00F85381">
        <w:rPr>
          <w:rFonts w:ascii="Times New Roman" w:hAnsi="Times New Roman" w:cs="Times New Roman"/>
        </w:rPr>
        <w:t xml:space="preserve"> that contains </w:t>
      </w:r>
      <w:r w:rsidR="003F2450" w:rsidRPr="00F85381">
        <w:rPr>
          <w:rFonts w:ascii="Times New Roman" w:eastAsia="Times New Roman" w:hAnsi="Times New Roman" w:cs="Times New Roman"/>
        </w:rPr>
        <w:t xml:space="preserve">WQI </w:t>
      </w:r>
      <w:r w:rsidR="006F3A08" w:rsidRPr="00F85381">
        <w:rPr>
          <w:rFonts w:ascii="Times New Roman" w:eastAsia="Times New Roman" w:hAnsi="Times New Roman" w:cs="Times New Roman"/>
        </w:rPr>
        <w:t>value</w:t>
      </w:r>
      <w:r w:rsidR="005973AE" w:rsidRPr="00F85381">
        <w:rPr>
          <w:rFonts w:ascii="Times New Roman" w:eastAsia="Times New Roman" w:hAnsi="Times New Roman" w:cs="Times New Roman"/>
        </w:rPr>
        <w:t>s</w:t>
      </w:r>
      <w:r w:rsidR="00FE4F6D" w:rsidRPr="00F85381">
        <w:rPr>
          <w:rFonts w:ascii="Times New Roman" w:eastAsia="Times New Roman" w:hAnsi="Times New Roman" w:cs="Times New Roman"/>
        </w:rPr>
        <w:t xml:space="preserve"> in a zone</w:t>
      </w:r>
      <w:r w:rsidR="006F3A08" w:rsidRPr="00F85381">
        <w:rPr>
          <w:rFonts w:ascii="Times New Roman" w:eastAsia="Times New Roman" w:hAnsi="Times New Roman" w:cs="Times New Roman"/>
        </w:rPr>
        <w:t xml:space="preserve"> </w:t>
      </w:r>
      <w:r w:rsidR="003F2450" w:rsidRPr="00F85381">
        <w:rPr>
          <w:rFonts w:ascii="Times New Roman" w:eastAsia="Times New Roman" w:hAnsi="Times New Roman" w:cs="Times New Roman"/>
        </w:rPr>
        <w:t>(IQA</w:t>
      </w:r>
      <w:r w:rsidR="00DC3218" w:rsidRPr="00F85381">
        <w:rPr>
          <w:rFonts w:ascii="Times New Roman" w:eastAsia="Times New Roman" w:hAnsi="Times New Roman" w:cs="Times New Roman"/>
        </w:rPr>
        <w:t xml:space="preserve"> or</w:t>
      </w:r>
      <w:r w:rsidR="003F2450" w:rsidRPr="00F85381">
        <w:rPr>
          <w:rFonts w:ascii="Times New Roman" w:eastAsia="Times New Roman" w:hAnsi="Times New Roman" w:cs="Times New Roman"/>
        </w:rPr>
        <w:t xml:space="preserve"> IET or IVA)</w:t>
      </w:r>
      <w:r w:rsidRPr="00F85381">
        <w:rPr>
          <w:rFonts w:ascii="Times New Roman" w:eastAsia="Times New Roman" w:hAnsi="Times New Roman" w:cs="Times New Roman"/>
        </w:rPr>
        <w:t>, hidden layers and output layer</w:t>
      </w:r>
      <w:r w:rsidR="003F2450" w:rsidRPr="00F85381">
        <w:rPr>
          <w:rFonts w:ascii="Times New Roman" w:hAnsi="Times New Roman" w:cs="Times New Roman"/>
        </w:rPr>
        <w:t xml:space="preserve"> having the dependent variable (i.e. </w:t>
      </w:r>
      <w:r w:rsidR="003F2450" w:rsidRPr="00F85381">
        <w:rPr>
          <w:rFonts w:ascii="Times New Roman" w:eastAsia="Times New Roman" w:hAnsi="Times New Roman" w:cs="Times New Roman"/>
        </w:rPr>
        <w:t>the predicted resilience value associated with each WQI</w:t>
      </w:r>
      <w:r w:rsidR="00FE4F6D" w:rsidRPr="00F85381">
        <w:rPr>
          <w:rFonts w:ascii="Times New Roman" w:eastAsia="Times New Roman" w:hAnsi="Times New Roman" w:cs="Times New Roman"/>
        </w:rPr>
        <w:t xml:space="preserve"> in a zone</w:t>
      </w:r>
      <w:r w:rsidR="003F2450" w:rsidRPr="00F85381">
        <w:rPr>
          <w:rFonts w:ascii="Times New Roman" w:eastAsia="Times New Roman" w:hAnsi="Times New Roman" w:cs="Times New Roman"/>
        </w:rPr>
        <w:t>)</w:t>
      </w:r>
      <w:r w:rsidRPr="00F85381">
        <w:rPr>
          <w:rFonts w:ascii="Times New Roman" w:eastAsia="Times New Roman" w:hAnsi="Times New Roman" w:cs="Times New Roman"/>
        </w:rPr>
        <w:t xml:space="preserve">. </w:t>
      </w:r>
      <w:r w:rsidR="006F3A08" w:rsidRPr="00F85381">
        <w:rPr>
          <w:rFonts w:ascii="Times New Roman" w:eastAsia="Times New Roman" w:hAnsi="Times New Roman" w:cs="Times New Roman"/>
        </w:rPr>
        <w:t xml:space="preserve">It should be noted that, in this study, separated </w:t>
      </w:r>
      <w:r w:rsidR="006F3A08" w:rsidRPr="00F85381">
        <w:rPr>
          <w:rFonts w:ascii="Times New Roman" w:hAnsi="Times New Roman" w:cs="Times New Roman"/>
        </w:rPr>
        <w:t>networks for each WQI have been produced (i.e. three separated networks). This reflects CETESB’ approach to distinct remedial planning for surface water protection as defined in Table 1</w:t>
      </w:r>
      <w:r w:rsidR="007205A8" w:rsidRPr="00F85381">
        <w:rPr>
          <w:rFonts w:ascii="Times New Roman" w:hAnsi="Times New Roman" w:cs="Times New Roman"/>
        </w:rPr>
        <w:t xml:space="preserve"> in SI</w:t>
      </w:r>
      <w:r w:rsidR="006F3A08" w:rsidRPr="00F85381">
        <w:rPr>
          <w:rFonts w:ascii="Times New Roman" w:hAnsi="Times New Roman" w:cs="Times New Roman"/>
        </w:rPr>
        <w:t xml:space="preserve">. </w:t>
      </w:r>
    </w:p>
    <w:p w14:paraId="3529B49C" w14:textId="37A831B3" w:rsidR="00B002AF" w:rsidRPr="00F85381" w:rsidRDefault="004D55F5" w:rsidP="00261C72">
      <w:pPr>
        <w:spacing w:after="120" w:line="480" w:lineRule="auto"/>
        <w:rPr>
          <w:rFonts w:ascii="Times New Roman" w:hAnsi="Times New Roman" w:cs="Times New Roman"/>
        </w:rPr>
      </w:pPr>
      <w:r w:rsidRPr="00F85381">
        <w:rPr>
          <w:rFonts w:ascii="Times New Roman" w:eastAsia="Times New Roman" w:hAnsi="Times New Roman" w:cs="Times New Roman"/>
        </w:rPr>
        <w:t xml:space="preserve">A log-sigmoid function widely used as a transform function to update weights and biases in the hidden layer and a linear transfer function for the output layer. All these layers contain </w:t>
      </w:r>
      <w:proofErr w:type="gramStart"/>
      <w:r w:rsidRPr="00F85381">
        <w:rPr>
          <w:rFonts w:ascii="Times New Roman" w:eastAsia="Times New Roman" w:hAnsi="Times New Roman" w:cs="Times New Roman"/>
        </w:rPr>
        <w:t>a number of</w:t>
      </w:r>
      <w:proofErr w:type="gramEnd"/>
      <w:r w:rsidRPr="00F85381">
        <w:rPr>
          <w:rFonts w:ascii="Times New Roman" w:eastAsia="Times New Roman" w:hAnsi="Times New Roman" w:cs="Times New Roman"/>
        </w:rPr>
        <w:t xml:space="preserve"> interconnected neurons (i.e.</w:t>
      </w:r>
      <w:r w:rsidR="003E335A">
        <w:rPr>
          <w:rFonts w:ascii="Times New Roman" w:eastAsia="Times New Roman" w:hAnsi="Times New Roman" w:cs="Times New Roman"/>
        </w:rPr>
        <w:t>,</w:t>
      </w:r>
      <w:r w:rsidRPr="00F85381">
        <w:rPr>
          <w:rFonts w:ascii="Times New Roman" w:eastAsia="Times New Roman" w:hAnsi="Times New Roman" w:cs="Times New Roman"/>
        </w:rPr>
        <w:t xml:space="preserve"> processing units). </w:t>
      </w:r>
      <w:r w:rsidRPr="00F85381">
        <w:rPr>
          <w:rFonts w:ascii="Times New Roman" w:hAnsi="Times New Roman" w:cs="Times New Roman"/>
        </w:rPr>
        <w:t xml:space="preserve">The </w:t>
      </w:r>
      <w:r w:rsidRPr="00F85381">
        <w:rPr>
          <w:rFonts w:ascii="Times New Roman" w:eastAsia="Times New Roman" w:hAnsi="Times New Roman" w:cs="Times New Roman"/>
        </w:rPr>
        <w:t>optimal</w:t>
      </w:r>
      <w:r w:rsidRPr="00F85381">
        <w:rPr>
          <w:rFonts w:ascii="Times New Roman" w:hAnsi="Times New Roman" w:cs="Times New Roman"/>
        </w:rPr>
        <w:t xml:space="preserve"> number of neurons in the hidden layer is proceeded by trial and error using the backpropagation (BP) algorithm and the mean square error (MSE). </w:t>
      </w:r>
      <w:r w:rsidRPr="00F85381">
        <w:rPr>
          <w:rFonts w:ascii="Times New Roman" w:eastAsia="Times New Roman" w:hAnsi="Times New Roman" w:cs="Times New Roman"/>
        </w:rPr>
        <w:t>In this study, the best network training results were achieved with 11, 10 and 13 neurons in the hidden layer for IQA, IET and IVA datasets, respectively</w:t>
      </w:r>
      <w:r w:rsidR="00626D33" w:rsidRPr="00F85381">
        <w:rPr>
          <w:rFonts w:ascii="Times New Roman" w:eastAsia="Times New Roman" w:hAnsi="Times New Roman" w:cs="Times New Roman"/>
        </w:rPr>
        <w:t>.</w:t>
      </w:r>
    </w:p>
    <w:p w14:paraId="4C5BE461" w14:textId="03B443D2" w:rsidR="00472648" w:rsidRPr="00F85381" w:rsidRDefault="00BF5469" w:rsidP="00261C72">
      <w:pPr>
        <w:spacing w:after="120" w:line="480" w:lineRule="auto"/>
        <w:rPr>
          <w:rFonts w:ascii="Calibri" w:eastAsia="Calibri" w:hAnsi="Calibri" w:cs="Calibri"/>
        </w:rPr>
      </w:pPr>
      <w:r>
        <w:rPr>
          <w:rFonts w:ascii="Times New Roman" w:eastAsia="Times New Roman" w:hAnsi="Times New Roman" w:cs="Times New Roman"/>
        </w:rPr>
        <w:t>Fig.</w:t>
      </w:r>
      <w:r w:rsidR="008B0F4C" w:rsidRPr="00F85381">
        <w:rPr>
          <w:rFonts w:ascii="Times New Roman" w:eastAsia="Times New Roman" w:hAnsi="Times New Roman" w:cs="Times New Roman"/>
        </w:rPr>
        <w:t xml:space="preserve">1a </w:t>
      </w:r>
      <w:r w:rsidR="00F002A7" w:rsidRPr="00F85381">
        <w:rPr>
          <w:rFonts w:ascii="Times New Roman" w:hAnsi="Times New Roman" w:cs="Times New Roman"/>
        </w:rPr>
        <w:t xml:space="preserve">demonstrates the </w:t>
      </w:r>
      <w:r w:rsidR="008841D4" w:rsidRPr="00F85381">
        <w:rPr>
          <w:rFonts w:ascii="Times New Roman" w:hAnsi="Times New Roman" w:cs="Times New Roman"/>
        </w:rPr>
        <w:t>overall</w:t>
      </w:r>
      <w:r w:rsidR="00F002A7" w:rsidRPr="00F85381">
        <w:rPr>
          <w:rFonts w:ascii="Times New Roman" w:hAnsi="Times New Roman" w:cs="Times New Roman"/>
        </w:rPr>
        <w:t xml:space="preserve"> architecture of the predictive model in this study with WQI as the input neuron (IQA or IET or IVA) and its associated resilience value predicted, in output layer. </w:t>
      </w:r>
      <w:r>
        <w:rPr>
          <w:rFonts w:ascii="Times New Roman" w:hAnsi="Times New Roman" w:cs="Times New Roman"/>
        </w:rPr>
        <w:t>Fig.</w:t>
      </w:r>
      <w:r w:rsidR="00530D49" w:rsidRPr="00F85381">
        <w:rPr>
          <w:rFonts w:ascii="Times New Roman" w:hAnsi="Times New Roman" w:cs="Times New Roman"/>
        </w:rPr>
        <w:t xml:space="preserve">1b </w:t>
      </w:r>
      <w:r w:rsidR="00F002A7" w:rsidRPr="00F85381">
        <w:rPr>
          <w:rFonts w:ascii="Times New Roman" w:hAnsi="Times New Roman" w:cs="Times New Roman"/>
        </w:rPr>
        <w:t>demonstrates the network architecture in ‘training phase’. In training phase, the</w:t>
      </w:r>
      <w:r w:rsidR="00F002A7" w:rsidRPr="00F85381">
        <w:rPr>
          <w:rFonts w:ascii="Times New Roman" w:eastAsia="Times New Roman" w:hAnsi="Times New Roman" w:cs="Times New Roman"/>
        </w:rPr>
        <w:t xml:space="preserve"> input layer has 22 input neurons representing annual WQI (i.e.</w:t>
      </w:r>
      <w:r w:rsidR="00B818BF">
        <w:rPr>
          <w:rFonts w:ascii="Times New Roman" w:eastAsia="Times New Roman" w:hAnsi="Times New Roman" w:cs="Times New Roman"/>
        </w:rPr>
        <w:t>,</w:t>
      </w:r>
      <w:r w:rsidR="00F002A7" w:rsidRPr="00F85381">
        <w:rPr>
          <w:rFonts w:ascii="Times New Roman" w:eastAsia="Times New Roman" w:hAnsi="Times New Roman" w:cs="Times New Roman"/>
        </w:rPr>
        <w:t xml:space="preserve"> IQA or IET or IVA) in each of 22 UG</w:t>
      </w:r>
      <w:r w:rsidR="002D5A19" w:rsidRPr="00F85381">
        <w:rPr>
          <w:rFonts w:ascii="Times New Roman" w:eastAsia="Times New Roman" w:hAnsi="Times New Roman" w:cs="Times New Roman"/>
        </w:rPr>
        <w:t>R</w:t>
      </w:r>
      <w:r w:rsidR="00F002A7" w:rsidRPr="00F85381">
        <w:rPr>
          <w:rFonts w:ascii="Times New Roman" w:eastAsia="Times New Roman" w:hAnsi="Times New Roman" w:cs="Times New Roman"/>
        </w:rPr>
        <w:t xml:space="preserve">HIs (or zones) and their associated resilience values (using </w:t>
      </w:r>
      <w:r>
        <w:rPr>
          <w:rFonts w:ascii="Times New Roman" w:eastAsia="Times New Roman" w:hAnsi="Times New Roman" w:cs="Times New Roman"/>
        </w:rPr>
        <w:t>Eq.</w:t>
      </w:r>
      <w:r w:rsidR="00B818BF">
        <w:rPr>
          <w:rFonts w:ascii="Times New Roman" w:eastAsia="Times New Roman" w:hAnsi="Times New Roman" w:cs="Times New Roman"/>
        </w:rPr>
        <w:t xml:space="preserve"> (</w:t>
      </w:r>
      <w:r w:rsidR="00F002A7" w:rsidRPr="00F85381">
        <w:rPr>
          <w:rFonts w:ascii="Times New Roman" w:eastAsia="Times New Roman" w:hAnsi="Times New Roman" w:cs="Times New Roman"/>
        </w:rPr>
        <w:t>3</w:t>
      </w:r>
      <w:r w:rsidR="00B818BF">
        <w:rPr>
          <w:rFonts w:ascii="Times New Roman" w:eastAsia="Times New Roman" w:hAnsi="Times New Roman" w:cs="Times New Roman"/>
        </w:rPr>
        <w:t>)</w:t>
      </w:r>
      <w:r w:rsidR="00E760BC" w:rsidRPr="00F85381">
        <w:rPr>
          <w:rFonts w:ascii="Times New Roman" w:eastAsia="Times New Roman" w:hAnsi="Times New Roman" w:cs="Times New Roman"/>
        </w:rPr>
        <w:t xml:space="preserve"> in section 3 in SI</w:t>
      </w:r>
      <w:r w:rsidR="00F002A7" w:rsidRPr="00F85381">
        <w:rPr>
          <w:rFonts w:ascii="Times New Roman" w:eastAsia="Times New Roman" w:hAnsi="Times New Roman" w:cs="Times New Roman"/>
        </w:rPr>
        <w:t xml:space="preserve">). Hence, the total number of input neurons adds up to 44 for each WQI in this phase. Table </w:t>
      </w:r>
      <w:r w:rsidR="005E77F1" w:rsidRPr="00F85381">
        <w:rPr>
          <w:rFonts w:ascii="Times New Roman" w:eastAsia="Times New Roman" w:hAnsi="Times New Roman" w:cs="Times New Roman"/>
        </w:rPr>
        <w:t>1</w:t>
      </w:r>
      <w:r w:rsidR="00631F37" w:rsidRPr="00F85381">
        <w:rPr>
          <w:rFonts w:ascii="Times New Roman" w:eastAsia="Times New Roman" w:hAnsi="Times New Roman" w:cs="Times New Roman"/>
        </w:rPr>
        <w:t xml:space="preserve"> </w:t>
      </w:r>
      <w:r w:rsidR="00F002A7" w:rsidRPr="00F85381">
        <w:rPr>
          <w:rFonts w:ascii="Times New Roman" w:eastAsia="Times New Roman" w:hAnsi="Times New Roman" w:cs="Times New Roman"/>
        </w:rPr>
        <w:t xml:space="preserve">summarises the details of the network in training phase and also illustrates the number of epochs, gradient and Mu values for each input dataset </w:t>
      </w:r>
      <w:r w:rsidR="0078440D" w:rsidRPr="00F85381">
        <w:rPr>
          <w:rFonts w:ascii="Times New Roman" w:eastAsia="Times New Roman" w:hAnsi="Times New Roman" w:cs="Times New Roman"/>
        </w:rPr>
        <w:t xml:space="preserve">in training phase and </w:t>
      </w:r>
      <w:r w:rsidR="00472648" w:rsidRPr="00F85381">
        <w:rPr>
          <w:rFonts w:ascii="Times New Roman" w:eastAsia="Times New Roman" w:hAnsi="Times New Roman" w:cs="Times New Roman"/>
        </w:rPr>
        <w:t>also illustrates the number of epochs, gradient and Mu values for each input dataset.</w:t>
      </w:r>
    </w:p>
    <w:tbl>
      <w:tblPr>
        <w:tblStyle w:val="TableGrid"/>
        <w:tblW w:w="832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8"/>
        <w:gridCol w:w="4147"/>
      </w:tblGrid>
      <w:tr w:rsidR="00C675E2" w:rsidRPr="00F85381" w14:paraId="44E59A8A" w14:textId="77777777" w:rsidTr="47CB78F3">
        <w:trPr>
          <w:jc w:val="center"/>
        </w:trPr>
        <w:tc>
          <w:tcPr>
            <w:tcW w:w="4178" w:type="dxa"/>
          </w:tcPr>
          <w:p w14:paraId="7EFB3CDD" w14:textId="77777777" w:rsidR="00F002A7" w:rsidRPr="00F85381" w:rsidRDefault="00F002A7" w:rsidP="009D2D62">
            <w:pPr>
              <w:spacing w:after="160" w:line="259" w:lineRule="auto"/>
              <w:rPr>
                <w:rFonts w:ascii="Times New Roman" w:hAnsi="Times New Roman" w:cs="Times New Roman"/>
              </w:rPr>
            </w:pPr>
            <w:r w:rsidRPr="00F85381">
              <w:rPr>
                <w:noProof/>
              </w:rPr>
              <w:lastRenderedPageBreak/>
              <w:drawing>
                <wp:inline distT="0" distB="0" distL="0" distR="0" wp14:anchorId="2A6EB3C5" wp14:editId="4D0C555A">
                  <wp:extent cx="2068134" cy="2155767"/>
                  <wp:effectExtent l="0" t="0" r="8890" b="0"/>
                  <wp:docPr id="2" name="Picture 2" descr="Figure 1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1 a"/>
                          <pic:cNvPicPr/>
                        </pic:nvPicPr>
                        <pic:blipFill>
                          <a:blip r:embed="rId25">
                            <a:extLst>
                              <a:ext uri="{28A0092B-C50C-407E-A947-70E740481C1C}">
                                <a14:useLocalDpi xmlns:a14="http://schemas.microsoft.com/office/drawing/2010/main" val="0"/>
                              </a:ext>
                            </a:extLst>
                          </a:blip>
                          <a:stretch>
                            <a:fillRect/>
                          </a:stretch>
                        </pic:blipFill>
                        <pic:spPr>
                          <a:xfrm>
                            <a:off x="0" y="0"/>
                            <a:ext cx="2068134" cy="2155767"/>
                          </a:xfrm>
                          <a:prstGeom prst="rect">
                            <a:avLst/>
                          </a:prstGeom>
                        </pic:spPr>
                      </pic:pic>
                    </a:graphicData>
                  </a:graphic>
                </wp:inline>
              </w:drawing>
            </w:r>
          </w:p>
        </w:tc>
        <w:tc>
          <w:tcPr>
            <w:tcW w:w="4147" w:type="dxa"/>
          </w:tcPr>
          <w:p w14:paraId="075AE3E6" w14:textId="77777777" w:rsidR="00F002A7" w:rsidRPr="00F85381" w:rsidRDefault="00F002A7" w:rsidP="009D2D62">
            <w:pPr>
              <w:spacing w:after="160" w:line="259" w:lineRule="auto"/>
              <w:rPr>
                <w:rFonts w:ascii="Times New Roman" w:hAnsi="Times New Roman" w:cs="Times New Roman"/>
              </w:rPr>
            </w:pPr>
            <w:r w:rsidRPr="00F85381">
              <w:rPr>
                <w:noProof/>
              </w:rPr>
              <w:drawing>
                <wp:inline distT="0" distB="0" distL="0" distR="0" wp14:anchorId="57A763C0" wp14:editId="6EFEA8D6">
                  <wp:extent cx="2109664" cy="2194560"/>
                  <wp:effectExtent l="0" t="0" r="5080" b="0"/>
                  <wp:docPr id="4" name="Picture 4" descr="Figure 1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 b"/>
                          <pic:cNvPicPr/>
                        </pic:nvPicPr>
                        <pic:blipFill>
                          <a:blip r:embed="rId26">
                            <a:extLst>
                              <a:ext uri="{28A0092B-C50C-407E-A947-70E740481C1C}">
                                <a14:useLocalDpi xmlns:a14="http://schemas.microsoft.com/office/drawing/2010/main" val="0"/>
                              </a:ext>
                            </a:extLst>
                          </a:blip>
                          <a:stretch>
                            <a:fillRect/>
                          </a:stretch>
                        </pic:blipFill>
                        <pic:spPr>
                          <a:xfrm>
                            <a:off x="0" y="0"/>
                            <a:ext cx="2109664" cy="2194560"/>
                          </a:xfrm>
                          <a:prstGeom prst="rect">
                            <a:avLst/>
                          </a:prstGeom>
                        </pic:spPr>
                      </pic:pic>
                    </a:graphicData>
                  </a:graphic>
                </wp:inline>
              </w:drawing>
            </w:r>
          </w:p>
        </w:tc>
      </w:tr>
    </w:tbl>
    <w:p w14:paraId="16AD968B" w14:textId="6F256D2E" w:rsidR="007B2DD8" w:rsidRPr="00F85381" w:rsidRDefault="00BF5469" w:rsidP="002D49C3">
      <w:pPr>
        <w:spacing w:after="160" w:line="259" w:lineRule="auto"/>
        <w:jc w:val="center"/>
        <w:rPr>
          <w:rFonts w:ascii="Times New Roman" w:eastAsia="Times New Roman" w:hAnsi="Times New Roman" w:cs="Times New Roman"/>
        </w:rPr>
      </w:pPr>
      <w:r>
        <w:rPr>
          <w:rFonts w:ascii="Times New Roman" w:hAnsi="Times New Roman" w:cs="Times New Roman"/>
          <w:shd w:val="clear" w:color="auto" w:fill="FFFFFF"/>
        </w:rPr>
        <w:t>Fig.</w:t>
      </w:r>
      <w:r w:rsidR="007B2DD8" w:rsidRPr="00F85381">
        <w:rPr>
          <w:rFonts w:ascii="Times New Roman" w:hAnsi="Times New Roman" w:cs="Times New Roman"/>
          <w:shd w:val="clear" w:color="auto" w:fill="FFFFFF"/>
        </w:rPr>
        <w:t xml:space="preserve"> </w:t>
      </w:r>
      <w:r w:rsidR="008B0F4C" w:rsidRPr="00F85381">
        <w:rPr>
          <w:rFonts w:ascii="Times New Roman" w:hAnsi="Times New Roman" w:cs="Times New Roman"/>
          <w:shd w:val="clear" w:color="auto" w:fill="FFFFFF"/>
        </w:rPr>
        <w:t>1</w:t>
      </w:r>
      <w:r w:rsidR="007B2DD8" w:rsidRPr="00F85381">
        <w:rPr>
          <w:rFonts w:ascii="Times New Roman" w:hAnsi="Times New Roman" w:cs="Times New Roman"/>
          <w:shd w:val="clear" w:color="auto" w:fill="FFFFFF"/>
        </w:rPr>
        <w:t>- ANN predictive model; a) Architecture of the predictive network and b) Predictive network architecture in the 'training phase'</w:t>
      </w:r>
      <w:r w:rsidR="005F34AA">
        <w:rPr>
          <w:rFonts w:ascii="Times New Roman" w:hAnsi="Times New Roman" w:cs="Times New Roman"/>
          <w:shd w:val="clear" w:color="auto" w:fill="FFFFFF"/>
        </w:rPr>
        <w:t>.</w:t>
      </w:r>
    </w:p>
    <w:p w14:paraId="60D46FD6" w14:textId="4AA3C0F7" w:rsidR="000316DE" w:rsidRPr="00F85381" w:rsidRDefault="000316DE" w:rsidP="002D49C3">
      <w:pPr>
        <w:spacing w:after="160" w:line="259" w:lineRule="auto"/>
        <w:jc w:val="center"/>
        <w:rPr>
          <w:rFonts w:ascii="Times New Roman" w:eastAsia="Times New Roman" w:hAnsi="Times New Roman" w:cs="Times New Roman"/>
        </w:rPr>
      </w:pPr>
      <w:r w:rsidRPr="00F85381">
        <w:rPr>
          <w:rFonts w:ascii="Times New Roman" w:eastAsia="Times New Roman" w:hAnsi="Times New Roman" w:cs="Times New Roman"/>
        </w:rPr>
        <w:t xml:space="preserve">Table </w:t>
      </w:r>
      <w:r w:rsidR="005E77F1" w:rsidRPr="00F85381">
        <w:rPr>
          <w:rFonts w:ascii="Times New Roman" w:eastAsia="Times New Roman" w:hAnsi="Times New Roman" w:cs="Times New Roman"/>
        </w:rPr>
        <w:t>1</w:t>
      </w:r>
      <w:r w:rsidR="00E760BC" w:rsidRPr="00F85381">
        <w:rPr>
          <w:rFonts w:ascii="Times New Roman" w:eastAsia="Times New Roman" w:hAnsi="Times New Roman" w:cs="Times New Roman"/>
        </w:rPr>
        <w:t xml:space="preserve"> </w:t>
      </w:r>
      <w:r w:rsidRPr="00F85381">
        <w:rPr>
          <w:rFonts w:ascii="Times New Roman" w:eastAsia="Times New Roman" w:hAnsi="Times New Roman" w:cs="Times New Roman"/>
        </w:rPr>
        <w:t xml:space="preserve">- Structure of the predictive model </w:t>
      </w:r>
      <w:r w:rsidR="002D49C3" w:rsidRPr="00F85381">
        <w:rPr>
          <w:rFonts w:ascii="Times New Roman" w:eastAsia="Times New Roman" w:hAnsi="Times New Roman" w:cs="Times New Roman"/>
        </w:rPr>
        <w:t xml:space="preserve">in </w:t>
      </w:r>
      <w:r w:rsidR="00186FC2" w:rsidRPr="00F85381">
        <w:rPr>
          <w:rFonts w:ascii="Times New Roman" w:eastAsia="Times New Roman" w:hAnsi="Times New Roman" w:cs="Times New Roman"/>
        </w:rPr>
        <w:t>‘</w:t>
      </w:r>
      <w:r w:rsidR="002D49C3" w:rsidRPr="00F85381">
        <w:rPr>
          <w:rFonts w:ascii="Times New Roman" w:eastAsia="Times New Roman" w:hAnsi="Times New Roman" w:cs="Times New Roman"/>
        </w:rPr>
        <w:t>training phase</w:t>
      </w:r>
      <w:r w:rsidR="00186FC2" w:rsidRPr="00F85381">
        <w:rPr>
          <w:rFonts w:ascii="Times New Roman" w:eastAsia="Times New Roman" w:hAnsi="Times New Roman" w:cs="Times New Roman"/>
        </w:rPr>
        <w:t>’</w:t>
      </w:r>
      <w:r w:rsidR="002D49C3" w:rsidRPr="00F85381">
        <w:rPr>
          <w:rFonts w:ascii="Times New Roman" w:eastAsia="Times New Roman" w:hAnsi="Times New Roman" w:cs="Times New Roman"/>
        </w:rPr>
        <w:t xml:space="preserve"> for each WQI</w:t>
      </w:r>
      <w:r w:rsidR="005F34AA">
        <w:rPr>
          <w:rFonts w:ascii="Times New Roman" w:eastAsia="Times New Roman" w:hAnsi="Times New Roman" w:cs="Times New Roman"/>
        </w:rPr>
        <w:t>.</w:t>
      </w:r>
    </w:p>
    <w:tbl>
      <w:tblPr>
        <w:tblW w:w="5319" w:type="pct"/>
        <w:jc w:val="center"/>
        <w:tblBorders>
          <w:top w:val="single" w:sz="4" w:space="0" w:color="000000"/>
          <w:bottom w:val="single" w:sz="4" w:space="0" w:color="000000"/>
          <w:insideH w:val="single" w:sz="4" w:space="0" w:color="000000"/>
        </w:tblBorders>
        <w:tblCellMar>
          <w:left w:w="115" w:type="dxa"/>
          <w:right w:w="115" w:type="dxa"/>
        </w:tblCellMar>
        <w:tblLook w:val="0400" w:firstRow="0" w:lastRow="0" w:firstColumn="0" w:lastColumn="0" w:noHBand="0" w:noVBand="1"/>
      </w:tblPr>
      <w:tblGrid>
        <w:gridCol w:w="1344"/>
        <w:gridCol w:w="920"/>
        <w:gridCol w:w="920"/>
        <w:gridCol w:w="1020"/>
        <w:gridCol w:w="853"/>
        <w:gridCol w:w="920"/>
        <w:gridCol w:w="986"/>
        <w:gridCol w:w="853"/>
        <w:gridCol w:w="1009"/>
        <w:gridCol w:w="780"/>
      </w:tblGrid>
      <w:tr w:rsidR="00C675E2" w:rsidRPr="00F85381" w14:paraId="5CD58904" w14:textId="77777777" w:rsidTr="00D01343">
        <w:trPr>
          <w:trHeight w:val="717"/>
          <w:jc w:val="center"/>
        </w:trPr>
        <w:tc>
          <w:tcPr>
            <w:tcW w:w="700" w:type="pct"/>
            <w:shd w:val="clear" w:color="auto" w:fill="auto"/>
          </w:tcPr>
          <w:p w14:paraId="50D353DC" w14:textId="77777777" w:rsidR="000316DE" w:rsidRPr="00F85381" w:rsidRDefault="000316DE" w:rsidP="007C02B2">
            <w:pPr>
              <w:spacing w:line="240" w:lineRule="auto"/>
              <w:rPr>
                <w:rFonts w:ascii="Times New Roman" w:eastAsia="Times New Roman" w:hAnsi="Times New Roman" w:cs="Times New Roman"/>
                <w:b/>
                <w:sz w:val="20"/>
                <w:szCs w:val="20"/>
              </w:rPr>
            </w:pPr>
            <w:r w:rsidRPr="00F85381">
              <w:rPr>
                <w:rFonts w:ascii="Times New Roman" w:eastAsia="Times New Roman" w:hAnsi="Times New Roman" w:cs="Times New Roman"/>
                <w:b/>
                <w:sz w:val="20"/>
                <w:szCs w:val="20"/>
              </w:rPr>
              <w:t>Input datasets</w:t>
            </w:r>
          </w:p>
        </w:tc>
        <w:tc>
          <w:tcPr>
            <w:tcW w:w="479" w:type="pct"/>
            <w:shd w:val="clear" w:color="auto" w:fill="auto"/>
          </w:tcPr>
          <w:p w14:paraId="56450712" w14:textId="77777777" w:rsidR="000316DE" w:rsidRPr="00F85381" w:rsidRDefault="000316DE" w:rsidP="007C02B2">
            <w:pPr>
              <w:spacing w:line="240" w:lineRule="auto"/>
              <w:jc w:val="left"/>
              <w:rPr>
                <w:rFonts w:ascii="Times New Roman" w:eastAsia="Times New Roman" w:hAnsi="Times New Roman" w:cs="Times New Roman"/>
                <w:b/>
                <w:sz w:val="20"/>
                <w:szCs w:val="20"/>
              </w:rPr>
            </w:pPr>
            <w:r w:rsidRPr="00F85381">
              <w:rPr>
                <w:rFonts w:ascii="Times New Roman" w:eastAsia="Times New Roman" w:hAnsi="Times New Roman" w:cs="Times New Roman"/>
                <w:b/>
                <w:sz w:val="20"/>
                <w:szCs w:val="20"/>
              </w:rPr>
              <w:t xml:space="preserve">Total number of </w:t>
            </w:r>
            <w:proofErr w:type="gramStart"/>
            <w:r w:rsidRPr="00F85381">
              <w:rPr>
                <w:rFonts w:ascii="Times New Roman" w:eastAsia="Times New Roman" w:hAnsi="Times New Roman" w:cs="Times New Roman"/>
                <w:b/>
                <w:sz w:val="20"/>
                <w:szCs w:val="20"/>
              </w:rPr>
              <w:t>input  neurons</w:t>
            </w:r>
            <w:proofErr w:type="gramEnd"/>
          </w:p>
        </w:tc>
        <w:tc>
          <w:tcPr>
            <w:tcW w:w="479" w:type="pct"/>
            <w:shd w:val="clear" w:color="auto" w:fill="auto"/>
          </w:tcPr>
          <w:p w14:paraId="312D29D0" w14:textId="77777777" w:rsidR="000316DE" w:rsidRPr="00F85381" w:rsidRDefault="000316DE" w:rsidP="007C02B2">
            <w:pPr>
              <w:spacing w:line="240" w:lineRule="auto"/>
              <w:rPr>
                <w:rFonts w:ascii="Times New Roman" w:eastAsia="Times New Roman" w:hAnsi="Times New Roman" w:cs="Times New Roman"/>
                <w:b/>
                <w:sz w:val="20"/>
                <w:szCs w:val="20"/>
              </w:rPr>
            </w:pPr>
            <w:proofErr w:type="gramStart"/>
            <w:r w:rsidRPr="00F85381">
              <w:rPr>
                <w:rFonts w:ascii="Times New Roman" w:eastAsia="Times New Roman" w:hAnsi="Times New Roman" w:cs="Times New Roman"/>
                <w:b/>
                <w:sz w:val="20"/>
                <w:szCs w:val="20"/>
              </w:rPr>
              <w:t>Hidden  neurons</w:t>
            </w:r>
            <w:proofErr w:type="gramEnd"/>
          </w:p>
        </w:tc>
        <w:tc>
          <w:tcPr>
            <w:tcW w:w="531" w:type="pct"/>
            <w:shd w:val="clear" w:color="auto" w:fill="auto"/>
          </w:tcPr>
          <w:p w14:paraId="2CA9D619" w14:textId="77777777" w:rsidR="000316DE" w:rsidRPr="00F85381" w:rsidRDefault="000316DE" w:rsidP="007C02B2">
            <w:pPr>
              <w:spacing w:line="240" w:lineRule="auto"/>
              <w:jc w:val="left"/>
              <w:rPr>
                <w:rFonts w:ascii="Times New Roman" w:eastAsia="Times New Roman" w:hAnsi="Times New Roman" w:cs="Times New Roman"/>
                <w:b/>
                <w:sz w:val="20"/>
                <w:szCs w:val="20"/>
              </w:rPr>
            </w:pPr>
            <w:r w:rsidRPr="00F85381">
              <w:rPr>
                <w:rFonts w:ascii="Times New Roman" w:eastAsia="Times New Roman" w:hAnsi="Times New Roman" w:cs="Times New Roman"/>
                <w:b/>
                <w:sz w:val="20"/>
                <w:szCs w:val="20"/>
              </w:rPr>
              <w:t>Transfer functions for Hidden layers</w:t>
            </w:r>
          </w:p>
        </w:tc>
        <w:tc>
          <w:tcPr>
            <w:tcW w:w="444" w:type="pct"/>
          </w:tcPr>
          <w:p w14:paraId="0A874624" w14:textId="77777777" w:rsidR="000316DE" w:rsidRPr="00F85381" w:rsidRDefault="000316DE" w:rsidP="007C02B2">
            <w:pPr>
              <w:spacing w:line="240" w:lineRule="auto"/>
              <w:rPr>
                <w:rFonts w:ascii="Times New Roman" w:eastAsia="Times New Roman" w:hAnsi="Times New Roman" w:cs="Times New Roman"/>
                <w:b/>
                <w:sz w:val="20"/>
                <w:szCs w:val="20"/>
              </w:rPr>
            </w:pPr>
            <w:r w:rsidRPr="00F85381">
              <w:rPr>
                <w:rFonts w:ascii="Times New Roman" w:eastAsia="Times New Roman" w:hAnsi="Times New Roman" w:cs="Times New Roman"/>
                <w:b/>
                <w:sz w:val="20"/>
                <w:szCs w:val="20"/>
              </w:rPr>
              <w:t>Output dataset</w:t>
            </w:r>
          </w:p>
        </w:tc>
        <w:tc>
          <w:tcPr>
            <w:tcW w:w="479" w:type="pct"/>
            <w:shd w:val="clear" w:color="auto" w:fill="auto"/>
          </w:tcPr>
          <w:p w14:paraId="029A8A61" w14:textId="77777777" w:rsidR="000316DE" w:rsidRPr="00F85381" w:rsidRDefault="000316DE" w:rsidP="007C02B2">
            <w:pPr>
              <w:spacing w:line="240" w:lineRule="auto"/>
              <w:rPr>
                <w:rFonts w:ascii="Times New Roman" w:eastAsia="Times New Roman" w:hAnsi="Times New Roman" w:cs="Times New Roman"/>
                <w:b/>
                <w:sz w:val="20"/>
                <w:szCs w:val="20"/>
              </w:rPr>
            </w:pPr>
            <w:r w:rsidRPr="00F85381">
              <w:rPr>
                <w:rFonts w:ascii="Times New Roman" w:eastAsia="Times New Roman" w:hAnsi="Times New Roman" w:cs="Times New Roman"/>
                <w:b/>
                <w:sz w:val="20"/>
                <w:szCs w:val="20"/>
              </w:rPr>
              <w:t xml:space="preserve">Total number of </w:t>
            </w:r>
            <w:proofErr w:type="gramStart"/>
            <w:r w:rsidRPr="00F85381">
              <w:rPr>
                <w:rFonts w:ascii="Times New Roman" w:eastAsia="Times New Roman" w:hAnsi="Times New Roman" w:cs="Times New Roman"/>
                <w:b/>
                <w:sz w:val="20"/>
                <w:szCs w:val="20"/>
              </w:rPr>
              <w:t>output  neurons</w:t>
            </w:r>
            <w:proofErr w:type="gramEnd"/>
          </w:p>
        </w:tc>
        <w:tc>
          <w:tcPr>
            <w:tcW w:w="513" w:type="pct"/>
            <w:shd w:val="clear" w:color="auto" w:fill="auto"/>
          </w:tcPr>
          <w:p w14:paraId="7DBB60A9" w14:textId="77777777" w:rsidR="000316DE" w:rsidRPr="00F85381" w:rsidRDefault="000316DE" w:rsidP="007C02B2">
            <w:pPr>
              <w:spacing w:line="240" w:lineRule="auto"/>
              <w:jc w:val="left"/>
              <w:rPr>
                <w:rFonts w:ascii="Times New Roman" w:eastAsia="Times New Roman" w:hAnsi="Times New Roman" w:cs="Times New Roman"/>
                <w:b/>
                <w:sz w:val="20"/>
                <w:szCs w:val="20"/>
              </w:rPr>
            </w:pPr>
            <w:r w:rsidRPr="00F85381">
              <w:rPr>
                <w:rFonts w:ascii="Times New Roman" w:eastAsia="Times New Roman" w:hAnsi="Times New Roman" w:cs="Times New Roman"/>
                <w:b/>
                <w:sz w:val="20"/>
                <w:szCs w:val="20"/>
              </w:rPr>
              <w:t>Transfer function for output layer</w:t>
            </w:r>
          </w:p>
        </w:tc>
        <w:tc>
          <w:tcPr>
            <w:tcW w:w="444" w:type="pct"/>
            <w:shd w:val="clear" w:color="auto" w:fill="auto"/>
          </w:tcPr>
          <w:p w14:paraId="187820CC" w14:textId="77777777" w:rsidR="000316DE" w:rsidRPr="00F85381" w:rsidRDefault="000316DE" w:rsidP="007C02B2">
            <w:pPr>
              <w:spacing w:line="240" w:lineRule="auto"/>
              <w:rPr>
                <w:rFonts w:ascii="Times New Roman" w:eastAsia="Times New Roman" w:hAnsi="Times New Roman" w:cs="Times New Roman"/>
                <w:b/>
                <w:sz w:val="20"/>
                <w:szCs w:val="20"/>
              </w:rPr>
            </w:pPr>
            <w:r w:rsidRPr="00F85381">
              <w:rPr>
                <w:rFonts w:ascii="Times New Roman" w:eastAsia="Times New Roman" w:hAnsi="Times New Roman" w:cs="Times New Roman"/>
                <w:b/>
                <w:sz w:val="20"/>
                <w:szCs w:val="20"/>
              </w:rPr>
              <w:t>Epochs</w:t>
            </w:r>
          </w:p>
        </w:tc>
        <w:tc>
          <w:tcPr>
            <w:tcW w:w="525" w:type="pct"/>
            <w:shd w:val="clear" w:color="auto" w:fill="auto"/>
          </w:tcPr>
          <w:p w14:paraId="538EDDCB" w14:textId="77777777" w:rsidR="000316DE" w:rsidRPr="00F85381" w:rsidRDefault="000316DE" w:rsidP="007C02B2">
            <w:pPr>
              <w:spacing w:line="240" w:lineRule="auto"/>
              <w:rPr>
                <w:rFonts w:ascii="Times New Roman" w:eastAsia="Times New Roman" w:hAnsi="Times New Roman" w:cs="Times New Roman"/>
                <w:b/>
                <w:sz w:val="20"/>
                <w:szCs w:val="20"/>
              </w:rPr>
            </w:pPr>
            <w:r w:rsidRPr="00F85381">
              <w:rPr>
                <w:rFonts w:ascii="Times New Roman" w:eastAsia="Times New Roman" w:hAnsi="Times New Roman" w:cs="Times New Roman"/>
                <w:b/>
                <w:sz w:val="20"/>
                <w:szCs w:val="20"/>
              </w:rPr>
              <w:t>Gradient</w:t>
            </w:r>
          </w:p>
        </w:tc>
        <w:tc>
          <w:tcPr>
            <w:tcW w:w="406" w:type="pct"/>
            <w:shd w:val="clear" w:color="auto" w:fill="auto"/>
          </w:tcPr>
          <w:p w14:paraId="2ADF8A9E" w14:textId="77777777" w:rsidR="000316DE" w:rsidRPr="00F85381" w:rsidRDefault="000316DE" w:rsidP="007C02B2">
            <w:pPr>
              <w:spacing w:line="240" w:lineRule="auto"/>
              <w:rPr>
                <w:rFonts w:ascii="Times New Roman" w:eastAsia="Times New Roman" w:hAnsi="Times New Roman" w:cs="Times New Roman"/>
                <w:b/>
                <w:sz w:val="20"/>
                <w:szCs w:val="20"/>
              </w:rPr>
            </w:pPr>
            <w:r w:rsidRPr="00F85381">
              <w:rPr>
                <w:rFonts w:ascii="Times New Roman" w:eastAsia="Times New Roman" w:hAnsi="Times New Roman" w:cs="Times New Roman"/>
                <w:b/>
                <w:sz w:val="20"/>
                <w:szCs w:val="20"/>
              </w:rPr>
              <w:t>Mu</w:t>
            </w:r>
          </w:p>
        </w:tc>
      </w:tr>
      <w:tr w:rsidR="00C675E2" w:rsidRPr="00F85381" w14:paraId="6997E9D0" w14:textId="77777777" w:rsidTr="00D01343">
        <w:trPr>
          <w:trHeight w:val="273"/>
          <w:jc w:val="center"/>
        </w:trPr>
        <w:tc>
          <w:tcPr>
            <w:tcW w:w="700" w:type="pct"/>
            <w:shd w:val="clear" w:color="auto" w:fill="auto"/>
          </w:tcPr>
          <w:p w14:paraId="06F65272" w14:textId="4400F3C5" w:rsidR="000316DE" w:rsidRPr="00F85381" w:rsidRDefault="000316DE"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[IQA</w:t>
            </w:r>
            <w:r w:rsidR="0078440D" w:rsidRPr="00F85381">
              <w:rPr>
                <w:rFonts w:ascii="Times New Roman" w:eastAsia="Times New Roman" w:hAnsi="Times New Roman" w:cs="Times New Roman"/>
                <w:sz w:val="20"/>
                <w:szCs w:val="20"/>
              </w:rPr>
              <w:t>, R</w:t>
            </w:r>
            <w:r w:rsidR="0078440D" w:rsidRPr="00F85381">
              <w:rPr>
                <w:rFonts w:ascii="Times New Roman" w:eastAsia="Times New Roman" w:hAnsi="Times New Roman" w:cs="Times New Roman"/>
                <w:sz w:val="20"/>
                <w:szCs w:val="20"/>
                <w:vertAlign w:val="subscript"/>
              </w:rPr>
              <w:t>IQA</w:t>
            </w:r>
            <w:r w:rsidRPr="00F85381">
              <w:rPr>
                <w:rFonts w:ascii="Times New Roman" w:eastAsia="Times New Roman" w:hAnsi="Times New Roman" w:cs="Times New Roman"/>
                <w:sz w:val="20"/>
                <w:szCs w:val="20"/>
              </w:rPr>
              <w:t>]</w:t>
            </w:r>
          </w:p>
        </w:tc>
        <w:tc>
          <w:tcPr>
            <w:tcW w:w="479" w:type="pct"/>
            <w:shd w:val="clear" w:color="auto" w:fill="auto"/>
          </w:tcPr>
          <w:p w14:paraId="32C599C9" w14:textId="69208B23" w:rsidR="000316DE" w:rsidRPr="00F85381" w:rsidRDefault="00CD1493"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44</w:t>
            </w:r>
          </w:p>
        </w:tc>
        <w:tc>
          <w:tcPr>
            <w:tcW w:w="479" w:type="pct"/>
            <w:shd w:val="clear" w:color="auto" w:fill="auto"/>
          </w:tcPr>
          <w:p w14:paraId="61A97A9A" w14:textId="77777777" w:rsidR="000316DE" w:rsidRPr="00F85381" w:rsidRDefault="000316DE"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11</w:t>
            </w:r>
          </w:p>
        </w:tc>
        <w:tc>
          <w:tcPr>
            <w:tcW w:w="531" w:type="pct"/>
            <w:vMerge w:val="restart"/>
            <w:shd w:val="clear" w:color="auto" w:fill="auto"/>
            <w:vAlign w:val="center"/>
          </w:tcPr>
          <w:p w14:paraId="3DD143D5" w14:textId="77777777" w:rsidR="000316DE" w:rsidRPr="00F85381" w:rsidRDefault="000316DE" w:rsidP="007C02B2">
            <w:pPr>
              <w:spacing w:line="240" w:lineRule="auto"/>
              <w:jc w:val="left"/>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Log-Sigmoid</w:t>
            </w:r>
          </w:p>
        </w:tc>
        <w:tc>
          <w:tcPr>
            <w:tcW w:w="444" w:type="pct"/>
          </w:tcPr>
          <w:p w14:paraId="20240CB6" w14:textId="77777777" w:rsidR="000316DE" w:rsidRPr="00F85381" w:rsidRDefault="000316DE"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i/>
              </w:rPr>
              <w:t>R</w:t>
            </w:r>
            <w:r w:rsidRPr="00F85381">
              <w:rPr>
                <w:rFonts w:ascii="Times New Roman" w:eastAsia="Times New Roman" w:hAnsi="Times New Roman" w:cs="Times New Roman"/>
                <w:i/>
                <w:vertAlign w:val="subscript"/>
              </w:rPr>
              <w:t>IQA</w:t>
            </w:r>
          </w:p>
        </w:tc>
        <w:tc>
          <w:tcPr>
            <w:tcW w:w="479" w:type="pct"/>
            <w:shd w:val="clear" w:color="auto" w:fill="auto"/>
          </w:tcPr>
          <w:p w14:paraId="22085CCA" w14:textId="77777777" w:rsidR="000316DE" w:rsidRPr="00F85381" w:rsidRDefault="000316DE"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1</w:t>
            </w:r>
          </w:p>
        </w:tc>
        <w:tc>
          <w:tcPr>
            <w:tcW w:w="513" w:type="pct"/>
            <w:vMerge w:val="restart"/>
            <w:shd w:val="clear" w:color="auto" w:fill="auto"/>
            <w:vAlign w:val="center"/>
          </w:tcPr>
          <w:p w14:paraId="35DC6D7A" w14:textId="77777777" w:rsidR="000316DE" w:rsidRPr="00F85381" w:rsidRDefault="000316DE" w:rsidP="007C02B2">
            <w:pPr>
              <w:spacing w:line="240" w:lineRule="auto"/>
              <w:jc w:val="left"/>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Linear</w:t>
            </w:r>
          </w:p>
        </w:tc>
        <w:tc>
          <w:tcPr>
            <w:tcW w:w="444" w:type="pct"/>
            <w:shd w:val="clear" w:color="auto" w:fill="auto"/>
          </w:tcPr>
          <w:p w14:paraId="6460AEB8" w14:textId="77777777" w:rsidR="000316DE" w:rsidRPr="00F85381" w:rsidRDefault="000316DE"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60</w:t>
            </w:r>
          </w:p>
        </w:tc>
        <w:tc>
          <w:tcPr>
            <w:tcW w:w="525" w:type="pct"/>
            <w:shd w:val="clear" w:color="auto" w:fill="auto"/>
          </w:tcPr>
          <w:p w14:paraId="6C1BBB08" w14:textId="77777777" w:rsidR="000316DE" w:rsidRPr="00F85381" w:rsidRDefault="000316DE"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9.6178</w:t>
            </w:r>
          </w:p>
        </w:tc>
        <w:tc>
          <w:tcPr>
            <w:tcW w:w="406" w:type="pct"/>
            <w:shd w:val="clear" w:color="auto" w:fill="auto"/>
          </w:tcPr>
          <w:p w14:paraId="7EE31B36" w14:textId="77777777" w:rsidR="000316DE" w:rsidRPr="00F85381" w:rsidRDefault="000316DE"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0.1</w:t>
            </w:r>
          </w:p>
        </w:tc>
      </w:tr>
      <w:tr w:rsidR="00C675E2" w:rsidRPr="00F85381" w14:paraId="29096053" w14:textId="77777777" w:rsidTr="00D01343">
        <w:trPr>
          <w:trHeight w:val="277"/>
          <w:jc w:val="center"/>
        </w:trPr>
        <w:tc>
          <w:tcPr>
            <w:tcW w:w="700" w:type="pct"/>
            <w:shd w:val="clear" w:color="auto" w:fill="auto"/>
          </w:tcPr>
          <w:p w14:paraId="03F1D2DE" w14:textId="2D8426B7" w:rsidR="000316DE" w:rsidRPr="00F85381" w:rsidRDefault="000316DE"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[IET</w:t>
            </w:r>
            <w:r w:rsidR="0078440D" w:rsidRPr="00F85381">
              <w:rPr>
                <w:rFonts w:ascii="Times New Roman" w:eastAsia="Times New Roman" w:hAnsi="Times New Roman" w:cs="Times New Roman"/>
                <w:sz w:val="20"/>
                <w:szCs w:val="20"/>
              </w:rPr>
              <w:t>, R</w:t>
            </w:r>
            <w:r w:rsidR="0078440D" w:rsidRPr="00F85381">
              <w:rPr>
                <w:rFonts w:ascii="Times New Roman" w:eastAsia="Times New Roman" w:hAnsi="Times New Roman" w:cs="Times New Roman"/>
                <w:sz w:val="20"/>
                <w:szCs w:val="20"/>
                <w:vertAlign w:val="subscript"/>
              </w:rPr>
              <w:t>IET</w:t>
            </w:r>
            <w:r w:rsidRPr="00F85381">
              <w:rPr>
                <w:rFonts w:ascii="Times New Roman" w:eastAsia="Times New Roman" w:hAnsi="Times New Roman" w:cs="Times New Roman"/>
                <w:sz w:val="20"/>
                <w:szCs w:val="20"/>
              </w:rPr>
              <w:t>]</w:t>
            </w:r>
          </w:p>
        </w:tc>
        <w:tc>
          <w:tcPr>
            <w:tcW w:w="479" w:type="pct"/>
            <w:shd w:val="clear" w:color="auto" w:fill="auto"/>
          </w:tcPr>
          <w:p w14:paraId="6F333D40" w14:textId="7D285180" w:rsidR="000316DE" w:rsidRPr="00F85381" w:rsidRDefault="00CD1493"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44</w:t>
            </w:r>
          </w:p>
        </w:tc>
        <w:tc>
          <w:tcPr>
            <w:tcW w:w="479" w:type="pct"/>
            <w:shd w:val="clear" w:color="auto" w:fill="auto"/>
          </w:tcPr>
          <w:p w14:paraId="1BC1BFB5" w14:textId="77777777" w:rsidR="000316DE" w:rsidRPr="00F85381" w:rsidRDefault="000316DE"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10</w:t>
            </w:r>
          </w:p>
        </w:tc>
        <w:tc>
          <w:tcPr>
            <w:tcW w:w="531" w:type="pct"/>
            <w:vMerge/>
            <w:shd w:val="clear" w:color="auto" w:fill="auto"/>
            <w:vAlign w:val="center"/>
          </w:tcPr>
          <w:p w14:paraId="72E4352E" w14:textId="77777777" w:rsidR="000316DE" w:rsidRPr="00F85381" w:rsidRDefault="000316DE" w:rsidP="007C02B2">
            <w:pPr>
              <w:widowControl w:val="0"/>
              <w:jc w:val="left"/>
              <w:rPr>
                <w:rFonts w:ascii="Times New Roman" w:eastAsia="Times New Roman" w:hAnsi="Times New Roman" w:cs="Times New Roman"/>
                <w:sz w:val="20"/>
                <w:szCs w:val="20"/>
              </w:rPr>
            </w:pPr>
          </w:p>
        </w:tc>
        <w:tc>
          <w:tcPr>
            <w:tcW w:w="444" w:type="pct"/>
          </w:tcPr>
          <w:p w14:paraId="37D908EB" w14:textId="77777777" w:rsidR="000316DE" w:rsidRPr="00F85381" w:rsidRDefault="000316DE"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i/>
              </w:rPr>
              <w:t>R</w:t>
            </w:r>
            <w:r w:rsidRPr="00F85381">
              <w:rPr>
                <w:rFonts w:ascii="Times New Roman" w:eastAsia="Times New Roman" w:hAnsi="Times New Roman" w:cs="Times New Roman"/>
                <w:i/>
                <w:vertAlign w:val="subscript"/>
              </w:rPr>
              <w:t>IET</w:t>
            </w:r>
          </w:p>
        </w:tc>
        <w:tc>
          <w:tcPr>
            <w:tcW w:w="479" w:type="pct"/>
            <w:shd w:val="clear" w:color="auto" w:fill="auto"/>
          </w:tcPr>
          <w:p w14:paraId="1C37E5BB" w14:textId="77777777" w:rsidR="000316DE" w:rsidRPr="00F85381" w:rsidRDefault="000316DE"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1</w:t>
            </w:r>
          </w:p>
        </w:tc>
        <w:tc>
          <w:tcPr>
            <w:tcW w:w="513" w:type="pct"/>
            <w:vMerge/>
            <w:shd w:val="clear" w:color="auto" w:fill="auto"/>
            <w:vAlign w:val="center"/>
          </w:tcPr>
          <w:p w14:paraId="2774FFEA" w14:textId="77777777" w:rsidR="000316DE" w:rsidRPr="00F85381" w:rsidRDefault="000316DE" w:rsidP="007C02B2">
            <w:pPr>
              <w:widowControl w:val="0"/>
              <w:jc w:val="left"/>
              <w:rPr>
                <w:rFonts w:ascii="Times New Roman" w:eastAsia="Times New Roman" w:hAnsi="Times New Roman" w:cs="Times New Roman"/>
                <w:sz w:val="20"/>
                <w:szCs w:val="20"/>
              </w:rPr>
            </w:pPr>
          </w:p>
        </w:tc>
        <w:tc>
          <w:tcPr>
            <w:tcW w:w="444" w:type="pct"/>
            <w:shd w:val="clear" w:color="auto" w:fill="auto"/>
          </w:tcPr>
          <w:p w14:paraId="4E8A8AB3" w14:textId="77777777" w:rsidR="000316DE" w:rsidRPr="00F85381" w:rsidRDefault="000316DE"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22</w:t>
            </w:r>
          </w:p>
        </w:tc>
        <w:tc>
          <w:tcPr>
            <w:tcW w:w="525" w:type="pct"/>
            <w:shd w:val="clear" w:color="auto" w:fill="auto"/>
          </w:tcPr>
          <w:p w14:paraId="33F7D4F0" w14:textId="77777777" w:rsidR="000316DE" w:rsidRPr="00F85381" w:rsidRDefault="000316DE"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0.1977</w:t>
            </w:r>
          </w:p>
        </w:tc>
        <w:tc>
          <w:tcPr>
            <w:tcW w:w="406" w:type="pct"/>
            <w:shd w:val="clear" w:color="auto" w:fill="auto"/>
          </w:tcPr>
          <w:p w14:paraId="45B0C1D8" w14:textId="77777777" w:rsidR="000316DE" w:rsidRPr="00F85381" w:rsidRDefault="000316DE"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0.01</w:t>
            </w:r>
          </w:p>
        </w:tc>
      </w:tr>
      <w:tr w:rsidR="0078440D" w:rsidRPr="00F85381" w14:paraId="730C3354" w14:textId="77777777" w:rsidTr="00D01343">
        <w:trPr>
          <w:trHeight w:val="53"/>
          <w:jc w:val="center"/>
        </w:trPr>
        <w:tc>
          <w:tcPr>
            <w:tcW w:w="700" w:type="pct"/>
            <w:shd w:val="clear" w:color="auto" w:fill="auto"/>
          </w:tcPr>
          <w:p w14:paraId="67C1165C" w14:textId="07E391B9" w:rsidR="000316DE" w:rsidRPr="00F85381" w:rsidRDefault="000316DE"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[IVA</w:t>
            </w:r>
            <w:r w:rsidR="0078440D" w:rsidRPr="00F85381">
              <w:rPr>
                <w:rFonts w:ascii="Times New Roman" w:eastAsia="Times New Roman" w:hAnsi="Times New Roman" w:cs="Times New Roman"/>
                <w:sz w:val="20"/>
                <w:szCs w:val="20"/>
              </w:rPr>
              <w:t>, R</w:t>
            </w:r>
            <w:r w:rsidR="0078440D" w:rsidRPr="00F85381">
              <w:rPr>
                <w:rFonts w:ascii="Times New Roman" w:eastAsia="Times New Roman" w:hAnsi="Times New Roman" w:cs="Times New Roman"/>
                <w:sz w:val="20"/>
                <w:szCs w:val="20"/>
                <w:vertAlign w:val="subscript"/>
              </w:rPr>
              <w:t>IVA</w:t>
            </w:r>
            <w:r w:rsidRPr="00F85381">
              <w:rPr>
                <w:rFonts w:ascii="Times New Roman" w:eastAsia="Times New Roman" w:hAnsi="Times New Roman" w:cs="Times New Roman"/>
                <w:sz w:val="20"/>
                <w:szCs w:val="20"/>
              </w:rPr>
              <w:t>]</w:t>
            </w:r>
          </w:p>
        </w:tc>
        <w:tc>
          <w:tcPr>
            <w:tcW w:w="479" w:type="pct"/>
            <w:shd w:val="clear" w:color="auto" w:fill="auto"/>
          </w:tcPr>
          <w:p w14:paraId="7583A8D3" w14:textId="37EC77E2" w:rsidR="000316DE" w:rsidRPr="00F85381" w:rsidRDefault="00CD1493"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44</w:t>
            </w:r>
          </w:p>
        </w:tc>
        <w:tc>
          <w:tcPr>
            <w:tcW w:w="479" w:type="pct"/>
            <w:shd w:val="clear" w:color="auto" w:fill="auto"/>
          </w:tcPr>
          <w:p w14:paraId="56F0ABF3" w14:textId="77777777" w:rsidR="000316DE" w:rsidRPr="00F85381" w:rsidRDefault="000316DE"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13</w:t>
            </w:r>
          </w:p>
        </w:tc>
        <w:tc>
          <w:tcPr>
            <w:tcW w:w="531" w:type="pct"/>
            <w:vMerge/>
            <w:shd w:val="clear" w:color="auto" w:fill="auto"/>
            <w:vAlign w:val="center"/>
          </w:tcPr>
          <w:p w14:paraId="6A016882" w14:textId="77777777" w:rsidR="000316DE" w:rsidRPr="00F85381" w:rsidRDefault="000316DE" w:rsidP="007C02B2">
            <w:pPr>
              <w:widowControl w:val="0"/>
              <w:jc w:val="left"/>
              <w:rPr>
                <w:rFonts w:ascii="Times New Roman" w:eastAsia="Times New Roman" w:hAnsi="Times New Roman" w:cs="Times New Roman"/>
                <w:sz w:val="20"/>
                <w:szCs w:val="20"/>
              </w:rPr>
            </w:pPr>
          </w:p>
        </w:tc>
        <w:tc>
          <w:tcPr>
            <w:tcW w:w="444" w:type="pct"/>
          </w:tcPr>
          <w:p w14:paraId="53133E42" w14:textId="77777777" w:rsidR="000316DE" w:rsidRPr="00F85381" w:rsidRDefault="000316DE"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i/>
              </w:rPr>
              <w:t>R</w:t>
            </w:r>
            <w:r w:rsidRPr="00F85381">
              <w:rPr>
                <w:rFonts w:ascii="Times New Roman" w:eastAsia="Times New Roman" w:hAnsi="Times New Roman" w:cs="Times New Roman"/>
                <w:i/>
                <w:vertAlign w:val="subscript"/>
              </w:rPr>
              <w:t>IVA</w:t>
            </w:r>
          </w:p>
        </w:tc>
        <w:tc>
          <w:tcPr>
            <w:tcW w:w="479" w:type="pct"/>
            <w:shd w:val="clear" w:color="auto" w:fill="auto"/>
          </w:tcPr>
          <w:p w14:paraId="24484D8F" w14:textId="77777777" w:rsidR="000316DE" w:rsidRPr="00F85381" w:rsidRDefault="000316DE"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1</w:t>
            </w:r>
          </w:p>
        </w:tc>
        <w:tc>
          <w:tcPr>
            <w:tcW w:w="513" w:type="pct"/>
            <w:vMerge/>
            <w:shd w:val="clear" w:color="auto" w:fill="auto"/>
            <w:vAlign w:val="center"/>
          </w:tcPr>
          <w:p w14:paraId="04D429CA" w14:textId="77777777" w:rsidR="000316DE" w:rsidRPr="00F85381" w:rsidRDefault="000316DE" w:rsidP="007C02B2">
            <w:pPr>
              <w:widowControl w:val="0"/>
              <w:jc w:val="left"/>
              <w:rPr>
                <w:rFonts w:ascii="Times New Roman" w:eastAsia="Times New Roman" w:hAnsi="Times New Roman" w:cs="Times New Roman"/>
                <w:sz w:val="20"/>
                <w:szCs w:val="20"/>
              </w:rPr>
            </w:pPr>
          </w:p>
        </w:tc>
        <w:tc>
          <w:tcPr>
            <w:tcW w:w="444" w:type="pct"/>
            <w:shd w:val="clear" w:color="auto" w:fill="auto"/>
          </w:tcPr>
          <w:p w14:paraId="5A53DEC2" w14:textId="77777777" w:rsidR="000316DE" w:rsidRPr="00F85381" w:rsidRDefault="000316DE"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30</w:t>
            </w:r>
          </w:p>
        </w:tc>
        <w:tc>
          <w:tcPr>
            <w:tcW w:w="525" w:type="pct"/>
            <w:shd w:val="clear" w:color="auto" w:fill="auto"/>
          </w:tcPr>
          <w:p w14:paraId="5E95910A" w14:textId="77777777" w:rsidR="000316DE" w:rsidRPr="00F85381" w:rsidRDefault="000316DE"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0.0025</w:t>
            </w:r>
          </w:p>
        </w:tc>
        <w:tc>
          <w:tcPr>
            <w:tcW w:w="406" w:type="pct"/>
            <w:shd w:val="clear" w:color="auto" w:fill="auto"/>
          </w:tcPr>
          <w:p w14:paraId="2AEA214C" w14:textId="77777777" w:rsidR="000316DE" w:rsidRPr="00F85381" w:rsidRDefault="000316DE" w:rsidP="007C02B2">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0.0001</w:t>
            </w:r>
          </w:p>
        </w:tc>
      </w:tr>
    </w:tbl>
    <w:p w14:paraId="361A0BBC" w14:textId="77777777" w:rsidR="000316DE" w:rsidRPr="00F85381" w:rsidRDefault="000316DE" w:rsidP="000316DE">
      <w:pPr>
        <w:spacing w:line="259" w:lineRule="auto"/>
        <w:ind w:left="360" w:hanging="720"/>
        <w:rPr>
          <w:rFonts w:ascii="Times New Roman" w:eastAsia="Times New Roman" w:hAnsi="Times New Roman" w:cs="Times New Roman"/>
        </w:rPr>
      </w:pPr>
    </w:p>
    <w:p w14:paraId="4EB7A776" w14:textId="2742B4A2" w:rsidR="009F26E3" w:rsidRPr="00F85381" w:rsidRDefault="00156AE0"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In this study, a feed-forward back propagation ANN (i.e.</w:t>
      </w:r>
      <w:r w:rsidR="00651CC0">
        <w:rPr>
          <w:rFonts w:ascii="Times New Roman" w:eastAsia="Times New Roman" w:hAnsi="Times New Roman" w:cs="Times New Roman"/>
        </w:rPr>
        <w:t>,</w:t>
      </w:r>
      <w:r w:rsidRPr="00F85381">
        <w:rPr>
          <w:rFonts w:ascii="Times New Roman" w:eastAsia="Times New Roman" w:hAnsi="Times New Roman" w:cs="Times New Roman"/>
        </w:rPr>
        <w:t xml:space="preserve"> ANN trained using the </w:t>
      </w:r>
      <w:r w:rsidR="000D3FD2" w:rsidRPr="00F85381">
        <w:rPr>
          <w:rFonts w:ascii="Times New Roman" w:eastAsia="Times New Roman" w:hAnsi="Times New Roman" w:cs="Times New Roman"/>
        </w:rPr>
        <w:t>Levenberg-Marquardt (</w:t>
      </w:r>
      <w:r w:rsidRPr="00F85381">
        <w:rPr>
          <w:rFonts w:ascii="Times New Roman" w:eastAsia="Times New Roman" w:hAnsi="Times New Roman" w:cs="Times New Roman"/>
        </w:rPr>
        <w:t>LM</w:t>
      </w:r>
      <w:r w:rsidR="000D3FD2" w:rsidRPr="00F85381">
        <w:rPr>
          <w:rFonts w:ascii="Times New Roman" w:eastAsia="Times New Roman" w:hAnsi="Times New Roman" w:cs="Times New Roman"/>
        </w:rPr>
        <w:t>)</w:t>
      </w:r>
      <w:r w:rsidRPr="00F85381">
        <w:rPr>
          <w:rFonts w:ascii="Times New Roman" w:eastAsia="Times New Roman" w:hAnsi="Times New Roman" w:cs="Times New Roman"/>
        </w:rPr>
        <w:t xml:space="preserve"> method), which has been widely used in developing predictive models for water systems (</w:t>
      </w:r>
      <w:r w:rsidR="00292D7C" w:rsidRPr="00F85381">
        <w:rPr>
          <w:rFonts w:ascii="Times New Roman" w:eastAsia="Times New Roman" w:hAnsi="Times New Roman" w:cs="Times New Roman"/>
        </w:rPr>
        <w:t>Sarkar</w:t>
      </w:r>
      <w:r w:rsidRPr="00F85381">
        <w:rPr>
          <w:rFonts w:ascii="Times New Roman" w:eastAsia="Times New Roman" w:hAnsi="Times New Roman" w:cs="Times New Roman"/>
        </w:rPr>
        <w:t xml:space="preserve"> </w:t>
      </w:r>
      <w:r w:rsidR="00BF5469">
        <w:rPr>
          <w:rFonts w:ascii="Times New Roman" w:eastAsia="Times New Roman" w:hAnsi="Times New Roman" w:cs="Times New Roman"/>
        </w:rPr>
        <w:t>and Pandey</w:t>
      </w:r>
      <w:r w:rsidRPr="00F85381">
        <w:rPr>
          <w:rFonts w:ascii="Times New Roman" w:eastAsia="Times New Roman" w:hAnsi="Times New Roman" w:cs="Times New Roman"/>
        </w:rPr>
        <w:t xml:space="preserve">, </w:t>
      </w:r>
      <w:r w:rsidR="00292D7C" w:rsidRPr="00F85381">
        <w:rPr>
          <w:rFonts w:ascii="Times New Roman" w:eastAsia="Times New Roman" w:hAnsi="Times New Roman" w:cs="Times New Roman"/>
        </w:rPr>
        <w:t>2015</w:t>
      </w:r>
      <w:r w:rsidRPr="00F85381">
        <w:rPr>
          <w:rFonts w:ascii="Times New Roman" w:eastAsia="Times New Roman" w:hAnsi="Times New Roman" w:cs="Times New Roman"/>
        </w:rPr>
        <w:t xml:space="preserve">), is set to approximate WQ resilience. For this purpose, </w:t>
      </w:r>
      <w:r w:rsidR="00F50BBA" w:rsidRPr="00F85381">
        <w:rPr>
          <w:rFonts w:ascii="Times New Roman" w:eastAsia="Times New Roman" w:hAnsi="Times New Roman" w:cs="Times New Roman"/>
        </w:rPr>
        <w:t>LM algorithm is used in the curve fitting process, Bayesian Regularization (BR) algorithm is used for nonlinear regression conversions during training process, and Scaled Conjugate Gradient (SCG) algorithm is used for batch learning method while computing the errors.</w:t>
      </w:r>
      <w:r w:rsidR="00F50BBA" w:rsidRPr="00F85381">
        <w:rPr>
          <w:rFonts w:ascii="Times New Roman" w:eastAsia="Times New Roman" w:hAnsi="Times New Roman" w:cs="Times New Roman"/>
          <w:sz w:val="20"/>
          <w:szCs w:val="20"/>
        </w:rPr>
        <w:t xml:space="preserve"> </w:t>
      </w:r>
      <w:r w:rsidR="00F50BBA" w:rsidRPr="00F85381">
        <w:rPr>
          <w:rFonts w:ascii="Times New Roman" w:eastAsia="Times New Roman" w:hAnsi="Times New Roman" w:cs="Times New Roman"/>
        </w:rPr>
        <w:t xml:space="preserve">These are commonly well-performed ANN algorithms in a wide range of applications (including WQ evaluations) (Xiang et al., 2006; Palani et al., 2008; Singh et al., 2009; Najah et al., 2013; Sarkar </w:t>
      </w:r>
      <w:r w:rsidR="003520C5" w:rsidRPr="00F85381">
        <w:rPr>
          <w:rFonts w:ascii="Times New Roman" w:eastAsia="Times New Roman" w:hAnsi="Times New Roman" w:cs="Times New Roman"/>
        </w:rPr>
        <w:t>and</w:t>
      </w:r>
      <w:r w:rsidR="00F50BBA" w:rsidRPr="00F85381">
        <w:rPr>
          <w:rFonts w:ascii="Times New Roman" w:eastAsia="Times New Roman" w:hAnsi="Times New Roman" w:cs="Times New Roman"/>
        </w:rPr>
        <w:t xml:space="preserve"> Pandey, 2015; </w:t>
      </w:r>
      <w:proofErr w:type="spellStart"/>
      <w:r w:rsidR="00F50BBA" w:rsidRPr="00F85381">
        <w:rPr>
          <w:rFonts w:ascii="Times New Roman" w:eastAsia="Times New Roman" w:hAnsi="Times New Roman" w:cs="Times New Roman"/>
        </w:rPr>
        <w:t>Se</w:t>
      </w:r>
      <w:r w:rsidR="00AE4508" w:rsidRPr="00F85381">
        <w:rPr>
          <w:rFonts w:ascii="Times New Roman" w:eastAsia="Times New Roman" w:hAnsi="Times New Roman" w:cs="Times New Roman"/>
        </w:rPr>
        <w:t>o</w:t>
      </w:r>
      <w:proofErr w:type="spellEnd"/>
      <w:r w:rsidR="00F50BBA" w:rsidRPr="00F85381">
        <w:rPr>
          <w:rFonts w:ascii="Times New Roman" w:eastAsia="Times New Roman" w:hAnsi="Times New Roman" w:cs="Times New Roman"/>
        </w:rPr>
        <w:t xml:space="preserve"> et al., 2016).</w:t>
      </w:r>
    </w:p>
    <w:p w14:paraId="76A04769" w14:textId="4507A278"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The BR back propagation method is used for its accurate predictions in training (</w:t>
      </w:r>
      <w:proofErr w:type="spellStart"/>
      <w:r w:rsidRPr="00F85381">
        <w:rPr>
          <w:rFonts w:ascii="Times New Roman" w:eastAsia="Times New Roman" w:hAnsi="Times New Roman" w:cs="Times New Roman"/>
        </w:rPr>
        <w:t>Alvisi</w:t>
      </w:r>
      <w:proofErr w:type="spellEnd"/>
      <w:r w:rsidRPr="00F85381">
        <w:rPr>
          <w:rFonts w:ascii="Times New Roman" w:eastAsia="Times New Roman" w:hAnsi="Times New Roman" w:cs="Times New Roman"/>
        </w:rPr>
        <w:t xml:space="preserve"> and </w:t>
      </w:r>
      <w:proofErr w:type="spellStart"/>
      <w:r w:rsidRPr="00F85381">
        <w:rPr>
          <w:rFonts w:ascii="Times New Roman" w:eastAsia="Times New Roman" w:hAnsi="Times New Roman" w:cs="Times New Roman"/>
        </w:rPr>
        <w:t>Franchini</w:t>
      </w:r>
      <w:proofErr w:type="spellEnd"/>
      <w:r w:rsidRPr="00F85381">
        <w:rPr>
          <w:rFonts w:ascii="Times New Roman" w:eastAsia="Times New Roman" w:hAnsi="Times New Roman" w:cs="Times New Roman"/>
        </w:rPr>
        <w:t xml:space="preserve">, 2011; Ha and </w:t>
      </w:r>
      <w:proofErr w:type="spellStart"/>
      <w:r w:rsidRPr="00F85381">
        <w:rPr>
          <w:rFonts w:ascii="Times New Roman" w:eastAsia="Times New Roman" w:hAnsi="Times New Roman" w:cs="Times New Roman"/>
        </w:rPr>
        <w:t>Stenstrom</w:t>
      </w:r>
      <w:proofErr w:type="spellEnd"/>
      <w:r w:rsidRPr="00F85381">
        <w:rPr>
          <w:rFonts w:ascii="Times New Roman" w:eastAsia="Times New Roman" w:hAnsi="Times New Roman" w:cs="Times New Roman"/>
        </w:rPr>
        <w:t xml:space="preserve">, 2003; </w:t>
      </w:r>
      <w:proofErr w:type="spellStart"/>
      <w:r w:rsidRPr="00F85381">
        <w:rPr>
          <w:rFonts w:ascii="Times New Roman" w:eastAsia="Times New Roman" w:hAnsi="Times New Roman" w:cs="Times New Roman"/>
        </w:rPr>
        <w:t>Malekmohammadi</w:t>
      </w:r>
      <w:proofErr w:type="spellEnd"/>
      <w:r w:rsidRPr="00F85381">
        <w:rPr>
          <w:rFonts w:ascii="Times New Roman" w:eastAsia="Times New Roman" w:hAnsi="Times New Roman" w:cs="Times New Roman"/>
        </w:rPr>
        <w:t xml:space="preserve">, et al., 2009). A batch mode of training is applied to enter the inputs to the network before the weights to be updated utilising SCG algorithm. The network training is finished when the specified number of epochs or training accuracy is achieved. The number of epochs represents the time needed for training of the network. If the training time is shorter, the network </w:t>
      </w:r>
      <w:r w:rsidRPr="00F85381">
        <w:rPr>
          <w:rFonts w:ascii="Times New Roman" w:eastAsia="Times New Roman" w:hAnsi="Times New Roman" w:cs="Times New Roman"/>
        </w:rPr>
        <w:lastRenderedPageBreak/>
        <w:t>architecture is more efficient. Similarly, the fewer number of weights indicate that the net will better generalize to validation, test</w:t>
      </w:r>
      <w:r w:rsidR="00631F37" w:rsidRPr="00F85381">
        <w:rPr>
          <w:rFonts w:ascii="Times New Roman" w:eastAsia="Times New Roman" w:hAnsi="Times New Roman" w:cs="Times New Roman"/>
        </w:rPr>
        <w:t>,</w:t>
      </w:r>
      <w:r w:rsidRPr="00F85381">
        <w:rPr>
          <w:rFonts w:ascii="Times New Roman" w:eastAsia="Times New Roman" w:hAnsi="Times New Roman" w:cs="Times New Roman"/>
        </w:rPr>
        <w:t xml:space="preserve"> and new data with the same statistical attributes. </w:t>
      </w:r>
    </w:p>
    <w:p w14:paraId="0D73339B" w14:textId="0A32F21D" w:rsidR="00D10F9B" w:rsidRPr="00F85381" w:rsidRDefault="00D10F9B"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Given the ANN structure, each input dataset (Table </w:t>
      </w:r>
      <w:r w:rsidR="005E77F1" w:rsidRPr="00F85381">
        <w:rPr>
          <w:rFonts w:ascii="Times New Roman" w:eastAsia="Times New Roman" w:hAnsi="Times New Roman" w:cs="Times New Roman"/>
        </w:rPr>
        <w:t>1</w:t>
      </w:r>
      <w:r w:rsidRPr="00F85381">
        <w:rPr>
          <w:rFonts w:ascii="Times New Roman" w:eastAsia="Times New Roman" w:hAnsi="Times New Roman" w:cs="Times New Roman"/>
        </w:rPr>
        <w:t>) was randomly distributed into a 70% set for training, 15% set for validation and 15% set for testing, using the 469 WQ monitoring stations collected data across the 22 zones in São Paulo state.</w:t>
      </w:r>
    </w:p>
    <w:p w14:paraId="3B7F2669" w14:textId="1D8A7465" w:rsidR="009F26E3" w:rsidRPr="00F85381" w:rsidRDefault="00F50BBA" w:rsidP="00261C72">
      <w:pPr>
        <w:spacing w:after="120" w:line="480" w:lineRule="auto"/>
        <w:rPr>
          <w:rFonts w:ascii="Cambria Math" w:eastAsia="Cambria Math" w:hAnsi="Cambria Math" w:cs="Cambria Math"/>
        </w:rPr>
      </w:pPr>
      <w:bookmarkStart w:id="9" w:name="_2u6wntf" w:colFirst="0" w:colLast="0"/>
      <w:bookmarkEnd w:id="9"/>
      <w:r w:rsidRPr="00F85381">
        <w:rPr>
          <w:rFonts w:ascii="Times New Roman" w:eastAsia="Times New Roman" w:hAnsi="Times New Roman" w:cs="Times New Roman"/>
        </w:rPr>
        <w:t>It should be noted that authors are aware of further studies that could be conducted to identify the most suitable ANN algorithms and functions in a more systematic way. However, this is a feasibility study aiming to explore the possibility of developing a reliable model for resilience prediction</w:t>
      </w:r>
      <w:r w:rsidR="00A8029B" w:rsidRPr="00F85381">
        <w:rPr>
          <w:rFonts w:ascii="Times New Roman" w:eastAsia="Times New Roman" w:hAnsi="Times New Roman" w:cs="Times New Roman"/>
        </w:rPr>
        <w:t xml:space="preserve"> in a water system application</w:t>
      </w:r>
      <w:r w:rsidRPr="00F85381">
        <w:rPr>
          <w:rFonts w:ascii="Times New Roman" w:eastAsia="Times New Roman" w:hAnsi="Times New Roman" w:cs="Times New Roman"/>
        </w:rPr>
        <w:t>.</w:t>
      </w:r>
      <w:r w:rsidRPr="00F85381">
        <w:rPr>
          <w:rFonts w:ascii="Cambria Math" w:eastAsia="Cambria Math" w:hAnsi="Cambria Math" w:cs="Cambria Math"/>
        </w:rPr>
        <w:t xml:space="preserve">          </w:t>
      </w:r>
      <w:r w:rsidRPr="00F85381">
        <w:rPr>
          <w:rFonts w:ascii="Cambria Math" w:eastAsia="Cambria Math" w:hAnsi="Cambria Math" w:cs="Cambria Math"/>
        </w:rPr>
        <w:tab/>
        <w:t xml:space="preserve">                       </w:t>
      </w:r>
    </w:p>
    <w:p w14:paraId="17F15FB8" w14:textId="3A5BF6DC" w:rsidR="009F26E3" w:rsidRPr="00F85381" w:rsidRDefault="003854DC" w:rsidP="00F60462">
      <w:pPr>
        <w:pStyle w:val="Heading2"/>
        <w:numPr>
          <w:ilvl w:val="1"/>
          <w:numId w:val="1"/>
        </w:numPr>
      </w:pPr>
      <w:r w:rsidRPr="00F85381">
        <w:t xml:space="preserve">Stage 2 - </w:t>
      </w:r>
      <w:r w:rsidR="00651CC0">
        <w:t>p</w:t>
      </w:r>
      <w:r w:rsidR="00F50BBA" w:rsidRPr="00F85381">
        <w:t xml:space="preserve">redictive model application: to identify the critical </w:t>
      </w:r>
      <w:proofErr w:type="gramStart"/>
      <w:r w:rsidR="00F50BBA" w:rsidRPr="00F85381">
        <w:t>zones</w:t>
      </w:r>
      <w:proofErr w:type="gramEnd"/>
    </w:p>
    <w:p w14:paraId="21F1C1FB" w14:textId="575CCC3F" w:rsidR="009F26E3" w:rsidRPr="00F85381" w:rsidRDefault="00BD698D"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Stage 2 embraces CETESB’s approach in prioritisation of zones </w:t>
      </w:r>
      <w:r w:rsidR="00980178" w:rsidRPr="00F85381">
        <w:rPr>
          <w:rFonts w:ascii="Times New Roman" w:eastAsia="Times New Roman" w:hAnsi="Times New Roman" w:cs="Times New Roman"/>
        </w:rPr>
        <w:t>most</w:t>
      </w:r>
      <w:r w:rsidR="00593655" w:rsidRPr="00F85381">
        <w:rPr>
          <w:rFonts w:ascii="Times New Roman" w:eastAsia="Times New Roman" w:hAnsi="Times New Roman" w:cs="Times New Roman"/>
        </w:rPr>
        <w:t xml:space="preserve"> in need for interventions. </w:t>
      </w:r>
      <w:r w:rsidR="00980178" w:rsidRPr="00F85381">
        <w:rPr>
          <w:rFonts w:ascii="Times New Roman" w:eastAsia="Times New Roman" w:hAnsi="Times New Roman" w:cs="Times New Roman"/>
        </w:rPr>
        <w:t>This could be easily implemented by evaluating the resilience of each zone. However, due to t</w:t>
      </w:r>
      <w:r w:rsidR="00F50BBA" w:rsidRPr="00F85381">
        <w:rPr>
          <w:rFonts w:ascii="Times New Roman" w:eastAsia="Times New Roman" w:hAnsi="Times New Roman" w:cs="Times New Roman"/>
        </w:rPr>
        <w:t>he existing conflicting interactions among the three WQIs</w:t>
      </w:r>
      <w:r w:rsidR="00980178" w:rsidRPr="00F85381">
        <w:rPr>
          <w:rFonts w:ascii="Times New Roman" w:eastAsia="Times New Roman" w:hAnsi="Times New Roman" w:cs="Times New Roman"/>
        </w:rPr>
        <w:t>,</w:t>
      </w:r>
      <w:r w:rsidR="00F50BBA" w:rsidRPr="00F85381">
        <w:rPr>
          <w:rFonts w:ascii="Times New Roman" w:eastAsia="Times New Roman" w:hAnsi="Times New Roman" w:cs="Times New Roman"/>
        </w:rPr>
        <w:t xml:space="preserve"> identification and prioritisation of critical zones </w:t>
      </w:r>
      <w:r w:rsidR="00980178" w:rsidRPr="00F85381">
        <w:rPr>
          <w:rFonts w:ascii="Times New Roman" w:eastAsia="Times New Roman" w:hAnsi="Times New Roman" w:cs="Times New Roman"/>
        </w:rPr>
        <w:t xml:space="preserve">can be </w:t>
      </w:r>
      <w:r w:rsidR="00F50BBA" w:rsidRPr="00F85381">
        <w:rPr>
          <w:rFonts w:ascii="Times New Roman" w:eastAsia="Times New Roman" w:hAnsi="Times New Roman" w:cs="Times New Roman"/>
        </w:rPr>
        <w:t xml:space="preserve">quite challenging. Hence, this study has developed a </w:t>
      </w:r>
      <w:proofErr w:type="gramStart"/>
      <w:r w:rsidR="00F50BBA" w:rsidRPr="00F85381">
        <w:rPr>
          <w:rFonts w:ascii="Times New Roman" w:eastAsia="Times New Roman" w:hAnsi="Times New Roman" w:cs="Times New Roman"/>
        </w:rPr>
        <w:t>multi-criteria</w:t>
      </w:r>
      <w:proofErr w:type="gramEnd"/>
      <w:r w:rsidR="00F50BBA" w:rsidRPr="00F85381">
        <w:rPr>
          <w:rFonts w:ascii="Times New Roman" w:eastAsia="Times New Roman" w:hAnsi="Times New Roman" w:cs="Times New Roman"/>
        </w:rPr>
        <w:t xml:space="preserve"> ranking method by integrating </w:t>
      </w:r>
      <w:r w:rsidR="00980178" w:rsidRPr="00F85381">
        <w:rPr>
          <w:rFonts w:ascii="Times New Roman" w:eastAsia="Times New Roman" w:hAnsi="Times New Roman" w:cs="Times New Roman"/>
        </w:rPr>
        <w:t xml:space="preserve">predicted resilience in each zone (i.e. </w:t>
      </w:r>
      <w:r w:rsidR="00F50BBA" w:rsidRPr="00F85381">
        <w:rPr>
          <w:rFonts w:ascii="Times New Roman" w:eastAsia="Times New Roman" w:hAnsi="Times New Roman" w:cs="Times New Roman"/>
        </w:rPr>
        <w:t>the outcomes of the</w:t>
      </w:r>
      <w:r w:rsidRPr="00F85381">
        <w:rPr>
          <w:rFonts w:ascii="Times New Roman" w:eastAsia="Times New Roman" w:hAnsi="Times New Roman" w:cs="Times New Roman"/>
        </w:rPr>
        <w:t xml:space="preserve"> Stage 1)</w:t>
      </w:r>
      <w:r w:rsidR="00F50BBA" w:rsidRPr="00F85381">
        <w:rPr>
          <w:rFonts w:ascii="Times New Roman" w:eastAsia="Times New Roman" w:hAnsi="Times New Roman" w:cs="Times New Roman"/>
        </w:rPr>
        <w:t xml:space="preserve"> and Fuzzy Logic to overcome </w:t>
      </w:r>
      <w:r w:rsidR="00980178" w:rsidRPr="00F85381">
        <w:rPr>
          <w:rFonts w:ascii="Times New Roman" w:eastAsia="Times New Roman" w:hAnsi="Times New Roman" w:cs="Times New Roman"/>
        </w:rPr>
        <w:t>the abovementioned</w:t>
      </w:r>
      <w:r w:rsidR="00F50BBA" w:rsidRPr="00F85381">
        <w:rPr>
          <w:rFonts w:ascii="Times New Roman" w:eastAsia="Times New Roman" w:hAnsi="Times New Roman" w:cs="Times New Roman"/>
        </w:rPr>
        <w:t xml:space="preserve"> challenge. </w:t>
      </w:r>
      <w:r w:rsidR="001463FD" w:rsidRPr="00F85381">
        <w:rPr>
          <w:rFonts w:ascii="Times New Roman" w:eastAsia="Times New Roman" w:hAnsi="Times New Roman" w:cs="Times New Roman"/>
        </w:rPr>
        <w:t xml:space="preserve">In line with this, </w:t>
      </w:r>
      <w:r w:rsidR="00F50BBA" w:rsidRPr="00F85381">
        <w:rPr>
          <w:rFonts w:ascii="Times New Roman" w:eastAsia="Times New Roman" w:hAnsi="Times New Roman" w:cs="Times New Roman"/>
        </w:rPr>
        <w:t>FAHP method has been utilised in this study for its proven robustness and flexibility in resolving multi-criteria decision-making problems.</w:t>
      </w:r>
      <w:r w:rsidR="00E03C33" w:rsidRPr="00F85381">
        <w:rPr>
          <w:rFonts w:ascii="Times New Roman" w:eastAsia="Times New Roman" w:hAnsi="Times New Roman" w:cs="Times New Roman"/>
        </w:rPr>
        <w:t xml:space="preserve"> </w:t>
      </w:r>
      <w:r w:rsidR="007553E4" w:rsidRPr="00F85381">
        <w:rPr>
          <w:rFonts w:ascii="Times New Roman" w:eastAsia="Times New Roman" w:hAnsi="Times New Roman" w:cs="Times New Roman"/>
        </w:rPr>
        <w:t>It should be noted that, t</w:t>
      </w:r>
      <w:r w:rsidR="00E03C33" w:rsidRPr="00F85381">
        <w:rPr>
          <w:rFonts w:ascii="Times New Roman" w:hAnsi="Times New Roman" w:cs="Times New Roman"/>
        </w:rPr>
        <w:t>here are several approaches</w:t>
      </w:r>
      <w:r w:rsidR="007553E4" w:rsidRPr="00F85381">
        <w:rPr>
          <w:rFonts w:ascii="Times New Roman" w:hAnsi="Times New Roman" w:cs="Times New Roman"/>
        </w:rPr>
        <w:t xml:space="preserve"> available</w:t>
      </w:r>
      <w:r w:rsidR="00E03C33" w:rsidRPr="00F85381">
        <w:rPr>
          <w:rFonts w:ascii="Times New Roman" w:hAnsi="Times New Roman" w:cs="Times New Roman"/>
        </w:rPr>
        <w:t xml:space="preserve"> in AHP methods such as weighted linear optimisation approach, ABC clustering approaches (Lolli et al., </w:t>
      </w:r>
      <w:r w:rsidR="00EE2404" w:rsidRPr="00F85381">
        <w:rPr>
          <w:rFonts w:ascii="Times New Roman" w:hAnsi="Times New Roman" w:cs="Times New Roman"/>
        </w:rPr>
        <w:t>2014) a</w:t>
      </w:r>
      <w:r w:rsidR="00E03C33" w:rsidRPr="00F85381">
        <w:rPr>
          <w:rFonts w:ascii="Times New Roman" w:hAnsi="Times New Roman" w:cs="Times New Roman"/>
        </w:rPr>
        <w:t>nd triangular fuzzy number (TFN).</w:t>
      </w:r>
      <w:r w:rsidR="005578EE" w:rsidRPr="00F85381">
        <w:rPr>
          <w:i/>
          <w:iCs/>
        </w:rPr>
        <w:t xml:space="preserve"> </w:t>
      </w:r>
      <w:r w:rsidR="005578EE" w:rsidRPr="00F85381">
        <w:rPr>
          <w:rFonts w:ascii="Times New Roman" w:hAnsi="Times New Roman" w:cs="Times New Roman"/>
        </w:rPr>
        <w:t>In the context of this application and using TFN, there are several approaches that have been explored such as distance</w:t>
      </w:r>
      <w:r w:rsidR="0066587A" w:rsidRPr="00F85381">
        <w:rPr>
          <w:rFonts w:ascii="Times New Roman" w:hAnsi="Times New Roman" w:cs="Times New Roman"/>
        </w:rPr>
        <w:t>-</w:t>
      </w:r>
      <w:r w:rsidR="005578EE" w:rsidRPr="00F85381">
        <w:rPr>
          <w:rFonts w:ascii="Times New Roman" w:hAnsi="Times New Roman" w:cs="Times New Roman"/>
        </w:rPr>
        <w:t>based trapezoidal fuzzy number, graded mean integration representation and pairwise comparison matrix (Zhang</w:t>
      </w:r>
      <w:r w:rsidR="00BF5469">
        <w:rPr>
          <w:rFonts w:ascii="Times New Roman" w:hAnsi="Times New Roman" w:cs="Times New Roman"/>
        </w:rPr>
        <w:t xml:space="preserve"> and Ma</w:t>
      </w:r>
      <w:r w:rsidR="005578EE" w:rsidRPr="00F85381">
        <w:rPr>
          <w:rFonts w:ascii="Times New Roman" w:hAnsi="Times New Roman" w:cs="Times New Roman"/>
        </w:rPr>
        <w:t>, 2014).</w:t>
      </w:r>
      <w:r w:rsidR="00F50BBA" w:rsidRPr="00F85381">
        <w:rPr>
          <w:rFonts w:ascii="Times New Roman" w:eastAsia="Times New Roman" w:hAnsi="Times New Roman" w:cs="Times New Roman"/>
        </w:rPr>
        <w:t xml:space="preserve"> The step-by-step process is illustrated in </w:t>
      </w:r>
      <w:r w:rsidR="00BF5469">
        <w:rPr>
          <w:rFonts w:ascii="Times New Roman" w:eastAsia="Times New Roman" w:hAnsi="Times New Roman" w:cs="Times New Roman"/>
        </w:rPr>
        <w:t>Fig.</w:t>
      </w:r>
      <w:r w:rsidR="00AC53E6" w:rsidRPr="00F85381">
        <w:rPr>
          <w:rFonts w:ascii="Times New Roman" w:eastAsia="Times New Roman" w:hAnsi="Times New Roman" w:cs="Times New Roman"/>
        </w:rPr>
        <w:t>6 in SI</w:t>
      </w:r>
      <w:r w:rsidR="005E77F1" w:rsidRPr="00F85381">
        <w:rPr>
          <w:rFonts w:ascii="Times New Roman" w:eastAsia="Times New Roman" w:hAnsi="Times New Roman" w:cs="Times New Roman"/>
        </w:rPr>
        <w:t>.</w:t>
      </w:r>
    </w:p>
    <w:p w14:paraId="688D8654" w14:textId="4FCD038F" w:rsidR="009F26E3" w:rsidRPr="00400490" w:rsidRDefault="00400490">
      <w:pPr>
        <w:spacing w:after="160" w:line="259" w:lineRule="auto"/>
        <w:jc w:val="left"/>
        <w:rPr>
          <w:rFonts w:ascii="Times New Roman" w:eastAsia="Times New Roman" w:hAnsi="Times New Roman" w:cs="Times New Roman"/>
          <w:b/>
          <w:i/>
          <w:iCs/>
        </w:rPr>
      </w:pPr>
      <w:bookmarkStart w:id="10" w:name="_37m2jsg" w:colFirst="0" w:colLast="0"/>
      <w:bookmarkEnd w:id="10"/>
      <w:r>
        <w:rPr>
          <w:rFonts w:ascii="Times New Roman" w:eastAsia="Times New Roman" w:hAnsi="Times New Roman" w:cs="Times New Roman"/>
          <w:b/>
          <w:i/>
          <w:iCs/>
        </w:rPr>
        <w:t>2.5.1</w:t>
      </w:r>
      <w:r w:rsidR="002C2032">
        <w:rPr>
          <w:rFonts w:ascii="Times New Roman" w:eastAsia="Times New Roman" w:hAnsi="Times New Roman" w:cs="Times New Roman"/>
          <w:b/>
          <w:i/>
          <w:iCs/>
        </w:rPr>
        <w:t xml:space="preserve"> </w:t>
      </w:r>
      <w:r w:rsidR="00F50BBA" w:rsidRPr="00400490">
        <w:rPr>
          <w:rFonts w:ascii="Times New Roman" w:eastAsia="Times New Roman" w:hAnsi="Times New Roman" w:cs="Times New Roman"/>
          <w:b/>
          <w:i/>
          <w:iCs/>
        </w:rPr>
        <w:t xml:space="preserve">Step 1: </w:t>
      </w:r>
      <w:r>
        <w:rPr>
          <w:rFonts w:ascii="Times New Roman" w:eastAsia="Times New Roman" w:hAnsi="Times New Roman" w:cs="Times New Roman"/>
          <w:b/>
          <w:i/>
          <w:iCs/>
        </w:rPr>
        <w:t>s</w:t>
      </w:r>
      <w:r w:rsidR="00F50BBA" w:rsidRPr="00400490">
        <w:rPr>
          <w:rFonts w:ascii="Times New Roman" w:eastAsia="Times New Roman" w:hAnsi="Times New Roman" w:cs="Times New Roman"/>
          <w:b/>
          <w:i/>
          <w:iCs/>
        </w:rPr>
        <w:t xml:space="preserve">et the geometric </w:t>
      </w:r>
      <w:proofErr w:type="gramStart"/>
      <w:r w:rsidR="00F50BBA" w:rsidRPr="00400490">
        <w:rPr>
          <w:rFonts w:ascii="Times New Roman" w:eastAsia="Times New Roman" w:hAnsi="Times New Roman" w:cs="Times New Roman"/>
          <w:b/>
          <w:i/>
          <w:iCs/>
        </w:rPr>
        <w:t>fuzzy</w:t>
      </w:r>
      <w:proofErr w:type="gramEnd"/>
      <w:r w:rsidR="00F50BBA" w:rsidRPr="00400490">
        <w:rPr>
          <w:rFonts w:ascii="Times New Roman" w:eastAsia="Times New Roman" w:hAnsi="Times New Roman" w:cs="Times New Roman"/>
          <w:b/>
          <w:i/>
          <w:iCs/>
        </w:rPr>
        <w:t xml:space="preserve"> </w:t>
      </w:r>
    </w:p>
    <w:p w14:paraId="3565AE1B" w14:textId="3D03EC77" w:rsidR="00CF0E1A" w:rsidRPr="00F85381" w:rsidRDefault="00226E90" w:rsidP="001B3571">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In this step, </w:t>
      </w:r>
      <w:r w:rsidR="00F50BBA" w:rsidRPr="00F85381">
        <w:rPr>
          <w:rFonts w:ascii="Times New Roman" w:eastAsia="Times New Roman" w:hAnsi="Times New Roman" w:cs="Times New Roman"/>
        </w:rPr>
        <w:t xml:space="preserve">a fuzzy algorithm is used to measure the importance of each WQI for each monitoring station based on its overall resilience value </w:t>
      </w:r>
      <w:r w:rsidRPr="00F85381">
        <w:rPr>
          <w:rFonts w:ascii="Times New Roman" w:eastAsia="Times New Roman" w:hAnsi="Times New Roman" w:cs="Times New Roman"/>
        </w:rPr>
        <w:t xml:space="preserve">(from Stage 1) </w:t>
      </w:r>
      <w:r w:rsidR="00F50BBA" w:rsidRPr="00F85381">
        <w:rPr>
          <w:rFonts w:ascii="Times New Roman" w:eastAsia="Times New Roman" w:hAnsi="Times New Roman" w:cs="Times New Roman"/>
        </w:rPr>
        <w:t xml:space="preserve">over the </w:t>
      </w:r>
      <w:proofErr w:type="gramStart"/>
      <w:r w:rsidR="00F50BBA" w:rsidRPr="00F85381">
        <w:rPr>
          <w:rFonts w:ascii="Times New Roman" w:eastAsia="Times New Roman" w:hAnsi="Times New Roman" w:cs="Times New Roman"/>
        </w:rPr>
        <w:t>time period</w:t>
      </w:r>
      <w:proofErr w:type="gramEnd"/>
      <w:r w:rsidR="00F50BBA" w:rsidRPr="00F85381">
        <w:rPr>
          <w:rFonts w:ascii="Times New Roman" w:eastAsia="Times New Roman" w:hAnsi="Times New Roman" w:cs="Times New Roman"/>
        </w:rPr>
        <w:t xml:space="preserve"> of study. </w:t>
      </w:r>
      <w:bookmarkStart w:id="11" w:name="_Hlk54178245"/>
      <w:r w:rsidR="00CF0E1A" w:rsidRPr="00F85381">
        <w:rPr>
          <w:rFonts w:ascii="Times New Roman" w:eastAsia="Times New Roman" w:hAnsi="Times New Roman" w:cs="Times New Roman"/>
        </w:rPr>
        <w:t xml:space="preserve">Fuzzy analysis has been used in this study because of its inherent ability and flexibility in solving multi-criteria decision-making </w:t>
      </w:r>
      <w:r w:rsidR="00CF0E1A" w:rsidRPr="00F85381">
        <w:rPr>
          <w:rFonts w:ascii="Times New Roman" w:eastAsia="Times New Roman" w:hAnsi="Times New Roman" w:cs="Times New Roman"/>
        </w:rPr>
        <w:lastRenderedPageBreak/>
        <w:t>problems with embedded vagueness and uncertainties. Fuzzy linguistic labels are particularly great assets in the methodology to represent significant intensity in the context of resilience levels/thresholds</w:t>
      </w:r>
      <w:r w:rsidR="00364354" w:rsidRPr="00F85381">
        <w:rPr>
          <w:rFonts w:ascii="Times New Roman" w:eastAsia="Times New Roman" w:hAnsi="Times New Roman" w:cs="Times New Roman"/>
        </w:rPr>
        <w:t>.</w:t>
      </w:r>
      <w:r w:rsidR="00242685" w:rsidRPr="00F85381">
        <w:rPr>
          <w:rFonts w:ascii="Times New Roman" w:eastAsia="Times New Roman" w:hAnsi="Times New Roman" w:cs="Times New Roman"/>
        </w:rPr>
        <w:t xml:space="preserve"> </w:t>
      </w:r>
    </w:p>
    <w:p w14:paraId="1867367C" w14:textId="18959A36" w:rsidR="009F26E3" w:rsidRPr="00F85381" w:rsidRDefault="00A62F4B" w:rsidP="001B3571">
      <w:pPr>
        <w:spacing w:after="120" w:line="480" w:lineRule="auto"/>
        <w:rPr>
          <w:rFonts w:ascii="Calibri" w:eastAsiaTheme="minorHAnsi" w:hAnsi="Calibri" w:cstheme="minorBidi"/>
          <w:szCs w:val="21"/>
          <w:lang w:eastAsia="en-US"/>
        </w:rPr>
      </w:pPr>
      <w:r w:rsidRPr="00F85381">
        <w:rPr>
          <w:rFonts w:ascii="Times New Roman" w:hAnsi="Times New Roman" w:cs="Times New Roman"/>
        </w:rPr>
        <w:t xml:space="preserve">TFN </w:t>
      </w:r>
      <w:r w:rsidR="00CB6998" w:rsidRPr="00F85381">
        <w:rPr>
          <w:rFonts w:ascii="Times New Roman" w:hAnsi="Times New Roman" w:cs="Times New Roman"/>
        </w:rPr>
        <w:t xml:space="preserve">has been </w:t>
      </w:r>
      <w:r w:rsidR="00FD60C9" w:rsidRPr="00F85381">
        <w:rPr>
          <w:rFonts w:ascii="Times New Roman" w:eastAsia="Times New Roman" w:hAnsi="Times New Roman" w:cs="Times New Roman"/>
        </w:rPr>
        <w:t xml:space="preserve">utilised </w:t>
      </w:r>
      <w:r w:rsidR="00CB6998" w:rsidRPr="00F85381">
        <w:rPr>
          <w:rFonts w:ascii="Times New Roman" w:eastAsia="Times New Roman" w:hAnsi="Times New Roman" w:cs="Times New Roman"/>
        </w:rPr>
        <w:t xml:space="preserve">in this </w:t>
      </w:r>
      <w:r w:rsidR="00917CD1" w:rsidRPr="00F85381">
        <w:rPr>
          <w:rFonts w:ascii="Times New Roman" w:eastAsia="Times New Roman" w:hAnsi="Times New Roman" w:cs="Times New Roman"/>
        </w:rPr>
        <w:t>study because</w:t>
      </w:r>
      <w:r w:rsidR="00FD60C9" w:rsidRPr="00F85381">
        <w:rPr>
          <w:rFonts w:ascii="Times New Roman" w:eastAsia="Times New Roman" w:hAnsi="Times New Roman" w:cs="Times New Roman"/>
        </w:rPr>
        <w:t xml:space="preserve"> of its </w:t>
      </w:r>
      <w:r w:rsidR="006A7BD9" w:rsidRPr="00F85381">
        <w:rPr>
          <w:rFonts w:ascii="Times New Roman" w:eastAsia="Times New Roman" w:hAnsi="Times New Roman" w:cs="Times New Roman"/>
        </w:rPr>
        <w:t xml:space="preserve">proven simplicity and </w:t>
      </w:r>
      <w:r w:rsidR="00FD60C9" w:rsidRPr="00F85381">
        <w:rPr>
          <w:rFonts w:ascii="Times New Roman" w:eastAsia="Times New Roman" w:hAnsi="Times New Roman" w:cs="Times New Roman"/>
        </w:rPr>
        <w:t>suitability to scale the ‘significance intensity’ (i.e. importance) of each WQI (in each station) based on its evaluated resilience value</w:t>
      </w:r>
      <w:r w:rsidR="00E051F9" w:rsidRPr="00F85381">
        <w:rPr>
          <w:rFonts w:ascii="Times New Roman" w:eastAsia="Times New Roman" w:hAnsi="Times New Roman" w:cs="Times New Roman"/>
        </w:rPr>
        <w:t xml:space="preserve">; </w:t>
      </w:r>
      <w:r w:rsidR="00867E66" w:rsidRPr="00F85381">
        <w:rPr>
          <w:rFonts w:ascii="Times New Roman" w:eastAsia="Times New Roman" w:hAnsi="Times New Roman" w:cs="Times New Roman"/>
        </w:rPr>
        <w:t xml:space="preserve">and </w:t>
      </w:r>
      <w:r w:rsidR="00E051F9" w:rsidRPr="00F85381">
        <w:rPr>
          <w:rFonts w:ascii="Times New Roman" w:eastAsia="Times New Roman" w:hAnsi="Times New Roman" w:cs="Times New Roman"/>
        </w:rPr>
        <w:t>the</w:t>
      </w:r>
      <w:r w:rsidR="00FC5481" w:rsidRPr="00F85381">
        <w:rPr>
          <w:rFonts w:ascii="Times New Roman" w:eastAsia="Times New Roman" w:hAnsi="Times New Roman" w:cs="Times New Roman"/>
        </w:rPr>
        <w:t xml:space="preserve"> </w:t>
      </w:r>
      <w:r w:rsidRPr="00F85381">
        <w:rPr>
          <w:rFonts w:ascii="Times New Roman" w:hAnsi="Times New Roman" w:cs="Times New Roman"/>
        </w:rPr>
        <w:t xml:space="preserve">multi-criteria system </w:t>
      </w:r>
      <w:r w:rsidR="00E051F9" w:rsidRPr="00F85381">
        <w:rPr>
          <w:rFonts w:ascii="Times New Roman" w:hAnsi="Times New Roman" w:cs="Times New Roman"/>
        </w:rPr>
        <w:t xml:space="preserve">required </w:t>
      </w:r>
      <w:r w:rsidRPr="00F85381">
        <w:rPr>
          <w:rFonts w:ascii="Times New Roman" w:hAnsi="Times New Roman" w:cs="Times New Roman"/>
        </w:rPr>
        <w:t xml:space="preserve">(IET, IQA, IVA) to create the perception of different alternatives according to the criterion </w:t>
      </w:r>
      <w:r w:rsidR="00AA65CD" w:rsidRPr="00F85381">
        <w:rPr>
          <w:rFonts w:ascii="Times New Roman" w:hAnsi="Times New Roman" w:cs="Times New Roman"/>
        </w:rPr>
        <w:t>(wan</w:t>
      </w:r>
      <w:r w:rsidR="0093232F" w:rsidRPr="00F85381">
        <w:rPr>
          <w:rFonts w:ascii="Times New Roman" w:hAnsi="Times New Roman" w:cs="Times New Roman"/>
        </w:rPr>
        <w:t>g et al., 2016)</w:t>
      </w:r>
      <w:r w:rsidR="00272D06" w:rsidRPr="00F85381">
        <w:rPr>
          <w:rFonts w:ascii="Times New Roman" w:hAnsi="Times New Roman" w:cs="Times New Roman"/>
        </w:rPr>
        <w:t>.</w:t>
      </w:r>
      <w:r w:rsidR="0093232F" w:rsidRPr="00F85381">
        <w:rPr>
          <w:rFonts w:ascii="Times New Roman" w:hAnsi="Times New Roman" w:cs="Times New Roman"/>
        </w:rPr>
        <w:t xml:space="preserve"> </w:t>
      </w:r>
      <w:r w:rsidR="00414F06" w:rsidRPr="00F85381">
        <w:rPr>
          <w:rFonts w:ascii="Times New Roman" w:hAnsi="Times New Roman" w:cs="Times New Roman"/>
        </w:rPr>
        <w:t>It should be noted that</w:t>
      </w:r>
      <w:r w:rsidRPr="00F85381">
        <w:rPr>
          <w:rFonts w:ascii="Times New Roman" w:hAnsi="Times New Roman" w:cs="Times New Roman"/>
        </w:rPr>
        <w:t xml:space="preserve"> TFN </w:t>
      </w:r>
      <w:r w:rsidR="00414F06" w:rsidRPr="00F85381">
        <w:rPr>
          <w:rFonts w:ascii="Times New Roman" w:hAnsi="Times New Roman" w:cs="Times New Roman"/>
        </w:rPr>
        <w:t xml:space="preserve">is </w:t>
      </w:r>
      <w:r w:rsidRPr="00F85381">
        <w:rPr>
          <w:rFonts w:ascii="Times New Roman" w:hAnsi="Times New Roman" w:cs="Times New Roman"/>
        </w:rPr>
        <w:t xml:space="preserve">used in this study based on the pairwise comparison matrix. </w:t>
      </w:r>
      <w:bookmarkEnd w:id="11"/>
      <w:r w:rsidR="00F50BBA" w:rsidRPr="00F85381">
        <w:rPr>
          <w:rFonts w:ascii="Times New Roman" w:eastAsia="Times New Roman" w:hAnsi="Times New Roman" w:cs="Times New Roman"/>
        </w:rPr>
        <w:t xml:space="preserve">The TFN scales shown for each WQI in Table </w:t>
      </w:r>
      <w:r w:rsidR="00977C9A" w:rsidRPr="00F85381">
        <w:rPr>
          <w:rFonts w:ascii="Times New Roman" w:eastAsia="Times New Roman" w:hAnsi="Times New Roman" w:cs="Times New Roman"/>
        </w:rPr>
        <w:t>2</w:t>
      </w:r>
      <w:r w:rsidR="00F50BBA" w:rsidRPr="00F85381">
        <w:rPr>
          <w:rFonts w:ascii="Times New Roman" w:eastAsia="Times New Roman" w:hAnsi="Times New Roman" w:cs="Times New Roman"/>
        </w:rPr>
        <w:t>, have been widely used for group assessment and approximation (</w:t>
      </w:r>
      <w:proofErr w:type="spellStart"/>
      <w:r w:rsidR="00F50BBA" w:rsidRPr="00F85381">
        <w:rPr>
          <w:rFonts w:ascii="Times New Roman" w:eastAsia="Times New Roman" w:hAnsi="Times New Roman" w:cs="Times New Roman"/>
        </w:rPr>
        <w:t>Dagdeviren</w:t>
      </w:r>
      <w:proofErr w:type="spellEnd"/>
      <w:r w:rsidR="00F50BBA" w:rsidRPr="00F85381">
        <w:rPr>
          <w:rFonts w:ascii="Times New Roman" w:eastAsia="Times New Roman" w:hAnsi="Times New Roman" w:cs="Times New Roman"/>
        </w:rPr>
        <w:t xml:space="preserve"> and </w:t>
      </w:r>
      <w:proofErr w:type="spellStart"/>
      <w:r w:rsidR="00F50BBA" w:rsidRPr="00F85381">
        <w:rPr>
          <w:rFonts w:ascii="Times New Roman" w:eastAsia="Times New Roman" w:hAnsi="Times New Roman" w:cs="Times New Roman"/>
        </w:rPr>
        <w:t>Yüksel</w:t>
      </w:r>
      <w:proofErr w:type="spellEnd"/>
      <w:r w:rsidR="00F50BBA" w:rsidRPr="00F85381">
        <w:rPr>
          <w:rFonts w:ascii="Times New Roman" w:eastAsia="Times New Roman" w:hAnsi="Times New Roman" w:cs="Times New Roman"/>
        </w:rPr>
        <w:t xml:space="preserve">, 2008; Wang et al., 2008). A set of membership functions have been defined and used by the triplet (l, m, n), as shown in </w:t>
      </w:r>
      <w:r w:rsidR="00F900E9" w:rsidRPr="00F85381">
        <w:rPr>
          <w:rFonts w:ascii="Times New Roman" w:eastAsia="Times New Roman" w:hAnsi="Times New Roman" w:cs="Times New Roman"/>
        </w:rPr>
        <w:t xml:space="preserve">section 4, </w:t>
      </w:r>
      <w:r w:rsidR="00BF5469">
        <w:rPr>
          <w:rFonts w:ascii="Times New Roman" w:eastAsia="Times New Roman" w:hAnsi="Times New Roman" w:cs="Times New Roman"/>
        </w:rPr>
        <w:t>Eq.</w:t>
      </w:r>
      <w:r w:rsidR="00F50BBA" w:rsidRPr="00F85381">
        <w:rPr>
          <w:rFonts w:ascii="Times New Roman" w:eastAsia="Times New Roman" w:hAnsi="Times New Roman" w:cs="Times New Roman"/>
        </w:rPr>
        <w:t xml:space="preserve"> (</w:t>
      </w:r>
      <w:r w:rsidR="00AB3977" w:rsidRPr="00F85381">
        <w:rPr>
          <w:rFonts w:ascii="Times New Roman" w:eastAsia="Times New Roman" w:hAnsi="Times New Roman" w:cs="Times New Roman"/>
        </w:rPr>
        <w:t>6</w:t>
      </w:r>
      <w:r w:rsidR="00F50BBA" w:rsidRPr="00F85381">
        <w:rPr>
          <w:rFonts w:ascii="Times New Roman" w:eastAsia="Times New Roman" w:hAnsi="Times New Roman" w:cs="Times New Roman"/>
        </w:rPr>
        <w:t>)</w:t>
      </w:r>
      <w:r w:rsidR="00AB3977" w:rsidRPr="00F85381">
        <w:rPr>
          <w:rFonts w:ascii="Times New Roman" w:eastAsia="Times New Roman" w:hAnsi="Times New Roman" w:cs="Times New Roman"/>
        </w:rPr>
        <w:t xml:space="preserve"> </w:t>
      </w:r>
      <w:r w:rsidR="00F50BBA" w:rsidRPr="00F85381">
        <w:rPr>
          <w:rFonts w:ascii="Times New Roman" w:eastAsia="Times New Roman" w:hAnsi="Times New Roman" w:cs="Times New Roman"/>
        </w:rPr>
        <w:t xml:space="preserve">and </w:t>
      </w:r>
      <w:r w:rsidR="00BF5469">
        <w:rPr>
          <w:rFonts w:ascii="Times New Roman" w:eastAsia="Times New Roman" w:hAnsi="Times New Roman" w:cs="Times New Roman"/>
        </w:rPr>
        <w:t>Fig.</w:t>
      </w:r>
      <w:r w:rsidR="00F50BBA" w:rsidRPr="00F85381">
        <w:rPr>
          <w:rFonts w:ascii="Times New Roman" w:eastAsia="Times New Roman" w:hAnsi="Times New Roman" w:cs="Times New Roman"/>
        </w:rPr>
        <w:t xml:space="preserve"> </w:t>
      </w:r>
      <w:r w:rsidR="00F900E9" w:rsidRPr="00F85381">
        <w:rPr>
          <w:rFonts w:ascii="Times New Roman" w:eastAsia="Times New Roman" w:hAnsi="Times New Roman" w:cs="Times New Roman"/>
        </w:rPr>
        <w:t>3 in SI</w:t>
      </w:r>
      <w:r w:rsidR="00F50BBA" w:rsidRPr="00F85381">
        <w:rPr>
          <w:rFonts w:ascii="Times New Roman" w:eastAsia="Times New Roman" w:hAnsi="Times New Roman" w:cs="Times New Roman"/>
        </w:rPr>
        <w:t>, in relation to the required fuzzy algorithm.</w:t>
      </w:r>
      <w:r w:rsidR="00226E90" w:rsidRPr="00F85381">
        <w:rPr>
          <w:rFonts w:ascii="Times New Roman" w:eastAsia="Times New Roman" w:hAnsi="Times New Roman" w:cs="Times New Roman"/>
        </w:rPr>
        <w:t xml:space="preserve"> </w:t>
      </w:r>
    </w:p>
    <w:p w14:paraId="6FEFA0DD" w14:textId="0F048341" w:rsidR="009F26E3" w:rsidRPr="00F85381" w:rsidRDefault="00F50BBA" w:rsidP="00261C72">
      <w:pPr>
        <w:spacing w:after="120" w:line="480" w:lineRule="auto"/>
        <w:rPr>
          <w:rFonts w:ascii="Times New Roman" w:eastAsia="Times New Roman" w:hAnsi="Times New Roman" w:cs="Times New Roman"/>
        </w:rPr>
      </w:pPr>
      <w:bookmarkStart w:id="12" w:name="_2lwamvv" w:colFirst="0" w:colLast="0"/>
      <w:bookmarkEnd w:id="12"/>
      <w:r w:rsidRPr="00F85381">
        <w:rPr>
          <w:rFonts w:ascii="Times New Roman" w:eastAsia="Times New Roman" w:hAnsi="Times New Roman" w:cs="Times New Roman"/>
        </w:rPr>
        <w:t xml:space="preserve">In this study, </w:t>
      </w:r>
      <w:r w:rsidRPr="00F85381">
        <w:rPr>
          <w:rFonts w:ascii="Times New Roman" w:eastAsia="Times New Roman" w:hAnsi="Times New Roman" w:cs="Times New Roman"/>
          <w:i/>
        </w:rPr>
        <w:t>l</w:t>
      </w:r>
      <w:r w:rsidRPr="00F85381">
        <w:rPr>
          <w:rFonts w:ascii="Times New Roman" w:eastAsia="Times New Roman" w:hAnsi="Times New Roman" w:cs="Times New Roman"/>
        </w:rPr>
        <w:t xml:space="preserve">, </w:t>
      </w:r>
      <w:proofErr w:type="gramStart"/>
      <w:r w:rsidRPr="00F85381">
        <w:rPr>
          <w:rFonts w:ascii="Times New Roman" w:eastAsia="Times New Roman" w:hAnsi="Times New Roman" w:cs="Times New Roman"/>
          <w:i/>
        </w:rPr>
        <w:t>m</w:t>
      </w:r>
      <w:proofErr w:type="gramEnd"/>
      <w:r w:rsidRPr="00F85381">
        <w:rPr>
          <w:rFonts w:ascii="Times New Roman" w:eastAsia="Times New Roman" w:hAnsi="Times New Roman" w:cs="Times New Roman"/>
        </w:rPr>
        <w:t xml:space="preserve"> and </w:t>
      </w:r>
      <w:r w:rsidRPr="00F85381">
        <w:rPr>
          <w:rFonts w:ascii="Times New Roman" w:eastAsia="Times New Roman" w:hAnsi="Times New Roman" w:cs="Times New Roman"/>
          <w:i/>
        </w:rPr>
        <w:t>n</w:t>
      </w:r>
      <w:r w:rsidRPr="00F85381">
        <w:rPr>
          <w:rFonts w:ascii="Times New Roman" w:eastAsia="Times New Roman" w:hAnsi="Times New Roman" w:cs="Times New Roman"/>
        </w:rPr>
        <w:t xml:space="preserve"> are the representatives for the upper, middle and lower values in a fuzzy AHP, adopted from TFN by </w:t>
      </w:r>
      <w:proofErr w:type="spellStart"/>
      <w:r w:rsidRPr="00F85381">
        <w:rPr>
          <w:rFonts w:ascii="Times New Roman" w:eastAsia="Times New Roman" w:hAnsi="Times New Roman" w:cs="Times New Roman"/>
        </w:rPr>
        <w:t>Kahraman</w:t>
      </w:r>
      <w:proofErr w:type="spellEnd"/>
      <w:r w:rsidRPr="00F85381">
        <w:rPr>
          <w:rFonts w:ascii="Times New Roman" w:eastAsia="Times New Roman" w:hAnsi="Times New Roman" w:cs="Times New Roman"/>
        </w:rPr>
        <w:t xml:space="preserve"> et al. (2004). A knowledge contrivance is created by utilising AHP (</w:t>
      </w:r>
      <w:proofErr w:type="spellStart"/>
      <w:r w:rsidRPr="00F85381">
        <w:rPr>
          <w:rFonts w:ascii="Times New Roman" w:eastAsia="Times New Roman" w:hAnsi="Times New Roman" w:cs="Times New Roman"/>
        </w:rPr>
        <w:t>Saaty</w:t>
      </w:r>
      <w:proofErr w:type="spellEnd"/>
      <w:r w:rsidRPr="00F85381">
        <w:rPr>
          <w:rFonts w:ascii="Times New Roman" w:eastAsia="Times New Roman" w:hAnsi="Times New Roman" w:cs="Times New Roman"/>
        </w:rPr>
        <w:t xml:space="preserve">, 1977), which is a technique to solve multi-criteria-based complex systems. To facilitate the decision-making process in this study, linguistic variables (e.g. high quality, poor quality, etc.) (Zadeh, 1975) are created and scaled to categorise resilience as presented in Table </w:t>
      </w:r>
      <w:r w:rsidR="005E77F1" w:rsidRPr="00F85381">
        <w:rPr>
          <w:rFonts w:ascii="Times New Roman" w:eastAsia="Times New Roman" w:hAnsi="Times New Roman" w:cs="Times New Roman"/>
        </w:rPr>
        <w:t>2</w:t>
      </w:r>
      <w:r w:rsidRPr="00F85381">
        <w:rPr>
          <w:rFonts w:ascii="Times New Roman" w:eastAsia="Times New Roman" w:hAnsi="Times New Roman" w:cs="Times New Roman"/>
        </w:rPr>
        <w:t xml:space="preserve"> (high resilience, low resilience, etc).</w:t>
      </w:r>
    </w:p>
    <w:p w14:paraId="00008E81" w14:textId="640ECFF2" w:rsidR="009F26E3" w:rsidRPr="00F85381" w:rsidRDefault="00F50BBA">
      <w:pPr>
        <w:spacing w:after="200" w:line="240" w:lineRule="auto"/>
        <w:jc w:val="center"/>
        <w:rPr>
          <w:rFonts w:ascii="Times New Roman" w:eastAsia="Times New Roman" w:hAnsi="Times New Roman" w:cs="Times New Roman"/>
        </w:rPr>
      </w:pPr>
      <w:r w:rsidRPr="00F85381">
        <w:rPr>
          <w:rFonts w:ascii="Times New Roman" w:eastAsia="Times New Roman" w:hAnsi="Times New Roman" w:cs="Times New Roman"/>
        </w:rPr>
        <w:t xml:space="preserve">  Table </w:t>
      </w:r>
      <w:r w:rsidR="005E77F1" w:rsidRPr="00F85381">
        <w:rPr>
          <w:rFonts w:ascii="Times New Roman" w:eastAsia="Times New Roman" w:hAnsi="Times New Roman" w:cs="Times New Roman"/>
        </w:rPr>
        <w:t>2</w:t>
      </w:r>
      <w:r w:rsidR="00D55426" w:rsidRPr="00F85381">
        <w:rPr>
          <w:rFonts w:ascii="Times New Roman" w:eastAsia="Times New Roman" w:hAnsi="Times New Roman" w:cs="Times New Roman"/>
        </w:rPr>
        <w:t xml:space="preserve"> </w:t>
      </w:r>
      <w:r w:rsidRPr="00F85381">
        <w:rPr>
          <w:rFonts w:ascii="Times New Roman" w:eastAsia="Times New Roman" w:hAnsi="Times New Roman" w:cs="Times New Roman"/>
        </w:rPr>
        <w:t>– ‘Significance intensity’ of WQI by AHP and TFN (</w:t>
      </w:r>
      <w:proofErr w:type="spellStart"/>
      <w:r w:rsidRPr="00F85381">
        <w:rPr>
          <w:rFonts w:ascii="Times New Roman" w:eastAsia="Times New Roman" w:hAnsi="Times New Roman" w:cs="Times New Roman"/>
        </w:rPr>
        <w:t>Kahraman</w:t>
      </w:r>
      <w:proofErr w:type="spellEnd"/>
      <w:r w:rsidRPr="00F85381">
        <w:rPr>
          <w:rFonts w:ascii="Times New Roman" w:eastAsia="Times New Roman" w:hAnsi="Times New Roman" w:cs="Times New Roman"/>
        </w:rPr>
        <w:t xml:space="preserve"> et al., 2004)</w:t>
      </w:r>
      <w:r w:rsidR="005F34AA">
        <w:rPr>
          <w:rFonts w:ascii="Times New Roman" w:eastAsia="Times New Roman" w:hAnsi="Times New Roman" w:cs="Times New Roman"/>
        </w:rPr>
        <w:t>.</w:t>
      </w:r>
    </w:p>
    <w:tbl>
      <w:tblPr>
        <w:tblW w:w="8575" w:type="dxa"/>
        <w:jc w:val="center"/>
        <w:tblBorders>
          <w:bottom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701"/>
        <w:gridCol w:w="1134"/>
        <w:gridCol w:w="1350"/>
        <w:gridCol w:w="2194"/>
        <w:gridCol w:w="992"/>
        <w:gridCol w:w="1204"/>
      </w:tblGrid>
      <w:tr w:rsidR="00C675E2" w:rsidRPr="00F85381" w14:paraId="71A14505" w14:textId="77777777">
        <w:trPr>
          <w:jc w:val="center"/>
        </w:trPr>
        <w:tc>
          <w:tcPr>
            <w:tcW w:w="4185" w:type="dxa"/>
            <w:gridSpan w:val="3"/>
            <w:tcBorders>
              <w:top w:val="single" w:sz="4" w:space="0" w:color="000000"/>
              <w:bottom w:val="single" w:sz="4" w:space="0" w:color="000000"/>
              <w:right w:val="single" w:sz="4" w:space="0" w:color="000000"/>
            </w:tcBorders>
            <w:shd w:val="clear" w:color="auto" w:fill="auto"/>
            <w:vAlign w:val="center"/>
          </w:tcPr>
          <w:p w14:paraId="3067A9F4" w14:textId="77777777" w:rsidR="009F26E3" w:rsidRPr="00F85381" w:rsidRDefault="00F50BBA">
            <w:pPr>
              <w:spacing w:line="228" w:lineRule="auto"/>
              <w:jc w:val="center"/>
              <w:rPr>
                <w:rFonts w:ascii="Times New Roman" w:eastAsia="Times New Roman" w:hAnsi="Times New Roman" w:cs="Times New Roman"/>
                <w:b/>
                <w:sz w:val="20"/>
                <w:szCs w:val="20"/>
              </w:rPr>
            </w:pPr>
            <w:r w:rsidRPr="00F85381">
              <w:rPr>
                <w:rFonts w:ascii="Times New Roman" w:eastAsia="Times New Roman" w:hAnsi="Times New Roman" w:cs="Times New Roman"/>
                <w:b/>
                <w:sz w:val="20"/>
                <w:szCs w:val="20"/>
              </w:rPr>
              <w:t>IQA Resilience</w:t>
            </w:r>
          </w:p>
        </w:tc>
        <w:tc>
          <w:tcPr>
            <w:tcW w:w="4390" w:type="dxa"/>
            <w:gridSpan w:val="3"/>
            <w:tcBorders>
              <w:top w:val="single" w:sz="4" w:space="0" w:color="000000"/>
              <w:left w:val="single" w:sz="4" w:space="0" w:color="000000"/>
              <w:bottom w:val="single" w:sz="4" w:space="0" w:color="000000"/>
            </w:tcBorders>
            <w:shd w:val="clear" w:color="auto" w:fill="auto"/>
            <w:vAlign w:val="center"/>
          </w:tcPr>
          <w:p w14:paraId="13EFCD3C" w14:textId="77777777" w:rsidR="009F26E3" w:rsidRPr="00F85381" w:rsidRDefault="00F50BBA">
            <w:pPr>
              <w:spacing w:line="228" w:lineRule="auto"/>
              <w:jc w:val="center"/>
              <w:rPr>
                <w:rFonts w:ascii="Times New Roman" w:eastAsia="Times New Roman" w:hAnsi="Times New Roman" w:cs="Times New Roman"/>
                <w:b/>
                <w:sz w:val="20"/>
                <w:szCs w:val="20"/>
              </w:rPr>
            </w:pPr>
            <w:r w:rsidRPr="00F85381">
              <w:rPr>
                <w:rFonts w:ascii="Times New Roman" w:eastAsia="Times New Roman" w:hAnsi="Times New Roman" w:cs="Times New Roman"/>
                <w:b/>
                <w:sz w:val="20"/>
                <w:szCs w:val="20"/>
              </w:rPr>
              <w:t>IVA/IET Resilience</w:t>
            </w:r>
          </w:p>
        </w:tc>
      </w:tr>
      <w:tr w:rsidR="00C675E2" w:rsidRPr="00F85381" w14:paraId="3CC83FAC" w14:textId="77777777" w:rsidTr="009024B9">
        <w:trPr>
          <w:trHeight w:val="257"/>
          <w:jc w:val="center"/>
        </w:trPr>
        <w:tc>
          <w:tcPr>
            <w:tcW w:w="1701" w:type="dxa"/>
            <w:tcBorders>
              <w:top w:val="single" w:sz="4" w:space="0" w:color="000000"/>
              <w:bottom w:val="single" w:sz="4" w:space="0" w:color="000000"/>
              <w:right w:val="nil"/>
            </w:tcBorders>
            <w:shd w:val="clear" w:color="auto" w:fill="D9D9D9"/>
            <w:vAlign w:val="center"/>
          </w:tcPr>
          <w:p w14:paraId="52E1C2EE"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Significance intensity</w:t>
            </w:r>
          </w:p>
        </w:tc>
        <w:tc>
          <w:tcPr>
            <w:tcW w:w="1134" w:type="dxa"/>
            <w:tcBorders>
              <w:top w:val="single" w:sz="4" w:space="0" w:color="000000"/>
              <w:left w:val="nil"/>
              <w:bottom w:val="single" w:sz="4" w:space="0" w:color="000000"/>
              <w:right w:val="nil"/>
            </w:tcBorders>
            <w:shd w:val="clear" w:color="auto" w:fill="D9D9D9"/>
            <w:vAlign w:val="center"/>
          </w:tcPr>
          <w:p w14:paraId="3A0016E1" w14:textId="77777777" w:rsidR="009F26E3" w:rsidRPr="00F85381" w:rsidRDefault="00F50BBA">
            <w:pPr>
              <w:spacing w:line="228" w:lineRule="auto"/>
              <w:jc w:val="center"/>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FAHP</w:t>
            </w:r>
          </w:p>
          <w:p w14:paraId="307A773A" w14:textId="77777777" w:rsidR="009F26E3" w:rsidRPr="00F85381" w:rsidRDefault="00F50BBA">
            <w:pPr>
              <w:spacing w:line="228" w:lineRule="auto"/>
              <w:jc w:val="center"/>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Scale (</w:t>
            </w:r>
            <w:r w:rsidRPr="00F85381">
              <w:rPr>
                <w:rFonts w:ascii="Times New Roman" w:eastAsia="Times New Roman" w:hAnsi="Times New Roman" w:cs="Times New Roman"/>
                <w:sz w:val="20"/>
                <w:szCs w:val="20"/>
              </w:rPr>
              <w:t>λ)</w:t>
            </w:r>
            <w:r w:rsidRPr="00F85381">
              <w:rPr>
                <w:rFonts w:ascii="Times New Roman" w:eastAsia="Times New Roman" w:hAnsi="Times New Roman" w:cs="Times New Roman"/>
                <w:sz w:val="16"/>
                <w:szCs w:val="16"/>
              </w:rPr>
              <w:t xml:space="preserve">  </w:t>
            </w:r>
          </w:p>
        </w:tc>
        <w:tc>
          <w:tcPr>
            <w:tcW w:w="1350" w:type="dxa"/>
            <w:tcBorders>
              <w:top w:val="single" w:sz="4" w:space="0" w:color="000000"/>
              <w:left w:val="nil"/>
              <w:bottom w:val="single" w:sz="4" w:space="0" w:color="000000"/>
              <w:right w:val="single" w:sz="4" w:space="0" w:color="000000"/>
            </w:tcBorders>
            <w:shd w:val="clear" w:color="auto" w:fill="D9D9D9"/>
            <w:vAlign w:val="center"/>
          </w:tcPr>
          <w:p w14:paraId="653CBC77"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TFN Scale</w:t>
            </w:r>
          </w:p>
          <w:p w14:paraId="66171D9C"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(l, m, n)</w:t>
            </w:r>
          </w:p>
        </w:tc>
        <w:tc>
          <w:tcPr>
            <w:tcW w:w="2194" w:type="dxa"/>
            <w:tcBorders>
              <w:top w:val="single" w:sz="4" w:space="0" w:color="000000"/>
              <w:left w:val="single" w:sz="4" w:space="0" w:color="000000"/>
              <w:right w:val="nil"/>
            </w:tcBorders>
            <w:shd w:val="clear" w:color="auto" w:fill="D9D9D9"/>
            <w:vAlign w:val="center"/>
          </w:tcPr>
          <w:p w14:paraId="1FD7D798"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 xml:space="preserve">Significance intensity </w:t>
            </w:r>
          </w:p>
        </w:tc>
        <w:tc>
          <w:tcPr>
            <w:tcW w:w="992" w:type="dxa"/>
            <w:tcBorders>
              <w:top w:val="single" w:sz="4" w:space="0" w:color="000000"/>
              <w:left w:val="nil"/>
              <w:right w:val="nil"/>
            </w:tcBorders>
            <w:shd w:val="clear" w:color="auto" w:fill="D9D9D9"/>
            <w:vAlign w:val="center"/>
          </w:tcPr>
          <w:p w14:paraId="3676A79A" w14:textId="77777777" w:rsidR="009F26E3" w:rsidRPr="00F85381" w:rsidRDefault="00F50BBA">
            <w:pPr>
              <w:spacing w:line="228" w:lineRule="auto"/>
              <w:jc w:val="center"/>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 xml:space="preserve">FAHP </w:t>
            </w:r>
          </w:p>
          <w:p w14:paraId="0108A06E" w14:textId="77777777" w:rsidR="009F26E3" w:rsidRPr="00F85381" w:rsidRDefault="00F50BBA">
            <w:pPr>
              <w:spacing w:line="228" w:lineRule="auto"/>
              <w:jc w:val="center"/>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Scale (</w:t>
            </w:r>
            <w:r w:rsidRPr="00F85381">
              <w:rPr>
                <w:rFonts w:ascii="Times New Roman" w:eastAsia="Times New Roman" w:hAnsi="Times New Roman" w:cs="Times New Roman"/>
                <w:sz w:val="18"/>
                <w:szCs w:val="18"/>
              </w:rPr>
              <w:t>σ</w:t>
            </w:r>
            <w:r w:rsidRPr="00F85381">
              <w:rPr>
                <w:rFonts w:ascii="Times New Roman" w:eastAsia="Times New Roman" w:hAnsi="Times New Roman" w:cs="Times New Roman"/>
                <w:sz w:val="16"/>
                <w:szCs w:val="16"/>
              </w:rPr>
              <w:t xml:space="preserve">) </w:t>
            </w:r>
          </w:p>
        </w:tc>
        <w:tc>
          <w:tcPr>
            <w:tcW w:w="1204" w:type="dxa"/>
            <w:tcBorders>
              <w:top w:val="single" w:sz="4" w:space="0" w:color="000000"/>
              <w:left w:val="nil"/>
              <w:right w:val="nil"/>
            </w:tcBorders>
            <w:shd w:val="clear" w:color="auto" w:fill="D9D9D9"/>
            <w:vAlign w:val="center"/>
          </w:tcPr>
          <w:p w14:paraId="42FF5B80"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 xml:space="preserve">TFN Scale  </w:t>
            </w:r>
          </w:p>
          <w:p w14:paraId="5966188A"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(l, m, n)</w:t>
            </w:r>
          </w:p>
        </w:tc>
      </w:tr>
      <w:tr w:rsidR="00C675E2" w:rsidRPr="00F85381" w14:paraId="5DE5375B" w14:textId="77777777" w:rsidTr="009024B9">
        <w:trPr>
          <w:jc w:val="center"/>
        </w:trPr>
        <w:tc>
          <w:tcPr>
            <w:tcW w:w="1701" w:type="dxa"/>
            <w:tcBorders>
              <w:top w:val="single" w:sz="4" w:space="0" w:color="000000"/>
              <w:bottom w:val="single" w:sz="4" w:space="0" w:color="000000"/>
              <w:right w:val="nil"/>
            </w:tcBorders>
            <w:shd w:val="clear" w:color="auto" w:fill="auto"/>
            <w:vAlign w:val="center"/>
          </w:tcPr>
          <w:p w14:paraId="693F85A5"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 xml:space="preserve">Very low resilience </w:t>
            </w:r>
          </w:p>
          <w:p w14:paraId="44F6F4D1"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 xml:space="preserve">(very poor WQ) </w:t>
            </w:r>
          </w:p>
        </w:tc>
        <w:tc>
          <w:tcPr>
            <w:tcW w:w="1134" w:type="dxa"/>
            <w:tcBorders>
              <w:top w:val="single" w:sz="4" w:space="0" w:color="000000"/>
              <w:left w:val="nil"/>
              <w:bottom w:val="single" w:sz="4" w:space="0" w:color="000000"/>
              <w:right w:val="nil"/>
            </w:tcBorders>
            <w:shd w:val="clear" w:color="auto" w:fill="auto"/>
            <w:vAlign w:val="center"/>
          </w:tcPr>
          <w:p w14:paraId="511AC2A7" w14:textId="77777777" w:rsidR="009F26E3" w:rsidRPr="00F85381" w:rsidRDefault="00F50BBA">
            <w:pPr>
              <w:spacing w:line="228" w:lineRule="auto"/>
              <w:jc w:val="center"/>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1</w:t>
            </w:r>
          </w:p>
        </w:tc>
        <w:tc>
          <w:tcPr>
            <w:tcW w:w="1350" w:type="dxa"/>
            <w:tcBorders>
              <w:top w:val="single" w:sz="4" w:space="0" w:color="000000"/>
              <w:left w:val="nil"/>
              <w:bottom w:val="single" w:sz="4" w:space="0" w:color="000000"/>
              <w:right w:val="single" w:sz="4" w:space="0" w:color="000000"/>
            </w:tcBorders>
            <w:shd w:val="clear" w:color="auto" w:fill="auto"/>
            <w:vAlign w:val="center"/>
          </w:tcPr>
          <w:p w14:paraId="0AAA5A83"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(0.1,0.2,0.3)</w:t>
            </w:r>
          </w:p>
        </w:tc>
        <w:tc>
          <w:tcPr>
            <w:tcW w:w="2194" w:type="dxa"/>
            <w:tcBorders>
              <w:top w:val="single" w:sz="4" w:space="0" w:color="000000"/>
              <w:left w:val="single" w:sz="4" w:space="0" w:color="000000"/>
              <w:bottom w:val="single" w:sz="4" w:space="0" w:color="000000"/>
              <w:right w:val="nil"/>
            </w:tcBorders>
            <w:shd w:val="clear" w:color="auto" w:fill="auto"/>
            <w:vAlign w:val="center"/>
          </w:tcPr>
          <w:p w14:paraId="445EFEE6"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 xml:space="preserve">Very high resilience </w:t>
            </w:r>
          </w:p>
          <w:p w14:paraId="0B6596F3"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(very high WQ)</w:t>
            </w:r>
          </w:p>
        </w:tc>
        <w:tc>
          <w:tcPr>
            <w:tcW w:w="992" w:type="dxa"/>
            <w:tcBorders>
              <w:top w:val="single" w:sz="4" w:space="0" w:color="000000"/>
              <w:left w:val="nil"/>
              <w:bottom w:val="single" w:sz="4" w:space="0" w:color="000000"/>
              <w:right w:val="nil"/>
            </w:tcBorders>
            <w:shd w:val="clear" w:color="auto" w:fill="auto"/>
            <w:vAlign w:val="center"/>
          </w:tcPr>
          <w:p w14:paraId="535C9023" w14:textId="77777777" w:rsidR="009F26E3" w:rsidRPr="00F85381" w:rsidRDefault="00F50BBA">
            <w:pPr>
              <w:spacing w:line="228" w:lineRule="auto"/>
              <w:jc w:val="center"/>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6</w:t>
            </w:r>
          </w:p>
        </w:tc>
        <w:tc>
          <w:tcPr>
            <w:tcW w:w="1204" w:type="dxa"/>
            <w:tcBorders>
              <w:top w:val="single" w:sz="4" w:space="0" w:color="000000"/>
              <w:left w:val="nil"/>
              <w:bottom w:val="single" w:sz="4" w:space="0" w:color="000000"/>
              <w:right w:val="nil"/>
            </w:tcBorders>
            <w:shd w:val="clear" w:color="auto" w:fill="auto"/>
            <w:vAlign w:val="center"/>
          </w:tcPr>
          <w:p w14:paraId="211280D5"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(0.9, 1.0,1.0)</w:t>
            </w:r>
          </w:p>
        </w:tc>
      </w:tr>
      <w:tr w:rsidR="00C675E2" w:rsidRPr="00F85381" w14:paraId="23C72C3A" w14:textId="77777777" w:rsidTr="009024B9">
        <w:trPr>
          <w:jc w:val="center"/>
        </w:trPr>
        <w:tc>
          <w:tcPr>
            <w:tcW w:w="1701" w:type="dxa"/>
            <w:tcBorders>
              <w:top w:val="single" w:sz="4" w:space="0" w:color="000000"/>
              <w:bottom w:val="single" w:sz="4" w:space="0" w:color="000000"/>
              <w:right w:val="nil"/>
            </w:tcBorders>
            <w:shd w:val="clear" w:color="auto" w:fill="auto"/>
            <w:vAlign w:val="center"/>
          </w:tcPr>
          <w:p w14:paraId="3D897EF1"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 xml:space="preserve">Low resilience (poor WQ) </w:t>
            </w:r>
          </w:p>
        </w:tc>
        <w:tc>
          <w:tcPr>
            <w:tcW w:w="1134" w:type="dxa"/>
            <w:tcBorders>
              <w:top w:val="single" w:sz="4" w:space="0" w:color="000000"/>
              <w:left w:val="nil"/>
              <w:bottom w:val="single" w:sz="4" w:space="0" w:color="000000"/>
              <w:right w:val="nil"/>
            </w:tcBorders>
            <w:shd w:val="clear" w:color="auto" w:fill="auto"/>
            <w:vAlign w:val="center"/>
          </w:tcPr>
          <w:p w14:paraId="5ED7B811" w14:textId="77777777" w:rsidR="009F26E3" w:rsidRPr="00F85381" w:rsidRDefault="00F50BBA">
            <w:pPr>
              <w:spacing w:line="228" w:lineRule="auto"/>
              <w:jc w:val="center"/>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2</w:t>
            </w:r>
          </w:p>
        </w:tc>
        <w:tc>
          <w:tcPr>
            <w:tcW w:w="1350" w:type="dxa"/>
            <w:tcBorders>
              <w:top w:val="single" w:sz="4" w:space="0" w:color="000000"/>
              <w:left w:val="nil"/>
              <w:bottom w:val="single" w:sz="4" w:space="0" w:color="000000"/>
              <w:right w:val="single" w:sz="4" w:space="0" w:color="000000"/>
            </w:tcBorders>
            <w:shd w:val="clear" w:color="auto" w:fill="auto"/>
            <w:vAlign w:val="center"/>
          </w:tcPr>
          <w:p w14:paraId="14BD602F"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(0.3,0.4,0.5)</w:t>
            </w:r>
          </w:p>
        </w:tc>
        <w:tc>
          <w:tcPr>
            <w:tcW w:w="2194" w:type="dxa"/>
            <w:tcBorders>
              <w:top w:val="single" w:sz="4" w:space="0" w:color="000000"/>
              <w:left w:val="single" w:sz="4" w:space="0" w:color="000000"/>
              <w:right w:val="nil"/>
            </w:tcBorders>
            <w:shd w:val="clear" w:color="auto" w:fill="auto"/>
            <w:vAlign w:val="center"/>
          </w:tcPr>
          <w:p w14:paraId="401FB627"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High resilience (high WQ)</w:t>
            </w:r>
          </w:p>
        </w:tc>
        <w:tc>
          <w:tcPr>
            <w:tcW w:w="992" w:type="dxa"/>
            <w:tcBorders>
              <w:top w:val="single" w:sz="4" w:space="0" w:color="000000"/>
              <w:left w:val="nil"/>
              <w:right w:val="nil"/>
            </w:tcBorders>
            <w:shd w:val="clear" w:color="auto" w:fill="auto"/>
            <w:vAlign w:val="center"/>
          </w:tcPr>
          <w:p w14:paraId="1B9BD029" w14:textId="77777777" w:rsidR="009F26E3" w:rsidRPr="00F85381" w:rsidRDefault="00F50BBA">
            <w:pPr>
              <w:spacing w:line="228" w:lineRule="auto"/>
              <w:jc w:val="center"/>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5</w:t>
            </w:r>
          </w:p>
        </w:tc>
        <w:tc>
          <w:tcPr>
            <w:tcW w:w="1204" w:type="dxa"/>
            <w:tcBorders>
              <w:top w:val="single" w:sz="4" w:space="0" w:color="000000"/>
              <w:left w:val="nil"/>
              <w:right w:val="nil"/>
            </w:tcBorders>
            <w:shd w:val="clear" w:color="auto" w:fill="auto"/>
            <w:vAlign w:val="center"/>
          </w:tcPr>
          <w:p w14:paraId="438D6E24"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(0.8,0.9,1.0)</w:t>
            </w:r>
          </w:p>
        </w:tc>
      </w:tr>
      <w:tr w:rsidR="00C675E2" w:rsidRPr="00F85381" w14:paraId="5801AE9A" w14:textId="77777777" w:rsidTr="009024B9">
        <w:trPr>
          <w:jc w:val="center"/>
        </w:trPr>
        <w:tc>
          <w:tcPr>
            <w:tcW w:w="1701" w:type="dxa"/>
            <w:tcBorders>
              <w:top w:val="single" w:sz="4" w:space="0" w:color="000000"/>
              <w:bottom w:val="single" w:sz="4" w:space="0" w:color="000000"/>
              <w:right w:val="nil"/>
            </w:tcBorders>
            <w:shd w:val="clear" w:color="auto" w:fill="auto"/>
            <w:vAlign w:val="center"/>
          </w:tcPr>
          <w:p w14:paraId="2AF87C0C"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 xml:space="preserve">Average resilience (average WQ) </w:t>
            </w:r>
          </w:p>
        </w:tc>
        <w:tc>
          <w:tcPr>
            <w:tcW w:w="1134" w:type="dxa"/>
            <w:tcBorders>
              <w:top w:val="single" w:sz="4" w:space="0" w:color="000000"/>
              <w:left w:val="nil"/>
              <w:bottom w:val="single" w:sz="4" w:space="0" w:color="000000"/>
              <w:right w:val="nil"/>
            </w:tcBorders>
            <w:shd w:val="clear" w:color="auto" w:fill="auto"/>
            <w:vAlign w:val="center"/>
          </w:tcPr>
          <w:p w14:paraId="19BB9D12" w14:textId="77777777" w:rsidR="009F26E3" w:rsidRPr="00F85381" w:rsidRDefault="00F50BBA">
            <w:pPr>
              <w:spacing w:line="228" w:lineRule="auto"/>
              <w:jc w:val="center"/>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3</w:t>
            </w:r>
          </w:p>
        </w:tc>
        <w:tc>
          <w:tcPr>
            <w:tcW w:w="1350" w:type="dxa"/>
            <w:tcBorders>
              <w:top w:val="single" w:sz="4" w:space="0" w:color="000000"/>
              <w:left w:val="nil"/>
              <w:bottom w:val="single" w:sz="4" w:space="0" w:color="000000"/>
              <w:right w:val="single" w:sz="4" w:space="0" w:color="000000"/>
            </w:tcBorders>
            <w:shd w:val="clear" w:color="auto" w:fill="auto"/>
            <w:vAlign w:val="center"/>
          </w:tcPr>
          <w:p w14:paraId="4D8584AB"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(0.5,0.6,0.7)</w:t>
            </w:r>
          </w:p>
        </w:tc>
        <w:tc>
          <w:tcPr>
            <w:tcW w:w="2194" w:type="dxa"/>
            <w:tcBorders>
              <w:top w:val="single" w:sz="4" w:space="0" w:color="000000"/>
              <w:left w:val="single" w:sz="4" w:space="0" w:color="000000"/>
              <w:right w:val="nil"/>
            </w:tcBorders>
            <w:shd w:val="clear" w:color="auto" w:fill="auto"/>
            <w:vAlign w:val="center"/>
          </w:tcPr>
          <w:p w14:paraId="163F78C1"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Good resilience (good WQ)</w:t>
            </w:r>
          </w:p>
        </w:tc>
        <w:tc>
          <w:tcPr>
            <w:tcW w:w="992" w:type="dxa"/>
            <w:tcBorders>
              <w:top w:val="single" w:sz="4" w:space="0" w:color="000000"/>
              <w:left w:val="nil"/>
              <w:right w:val="nil"/>
            </w:tcBorders>
            <w:shd w:val="clear" w:color="auto" w:fill="auto"/>
            <w:vAlign w:val="center"/>
          </w:tcPr>
          <w:p w14:paraId="1C08356B" w14:textId="77777777" w:rsidR="009F26E3" w:rsidRPr="00F85381" w:rsidRDefault="00F50BBA">
            <w:pPr>
              <w:spacing w:line="228" w:lineRule="auto"/>
              <w:jc w:val="center"/>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4</w:t>
            </w:r>
          </w:p>
        </w:tc>
        <w:tc>
          <w:tcPr>
            <w:tcW w:w="1204" w:type="dxa"/>
            <w:tcBorders>
              <w:top w:val="single" w:sz="4" w:space="0" w:color="000000"/>
              <w:left w:val="nil"/>
              <w:right w:val="nil"/>
            </w:tcBorders>
            <w:shd w:val="clear" w:color="auto" w:fill="auto"/>
            <w:vAlign w:val="center"/>
          </w:tcPr>
          <w:p w14:paraId="01F61148"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(0.7,0.8,0.9)</w:t>
            </w:r>
          </w:p>
        </w:tc>
      </w:tr>
      <w:tr w:rsidR="00C675E2" w:rsidRPr="00F85381" w14:paraId="359C33E6" w14:textId="77777777" w:rsidTr="009024B9">
        <w:trPr>
          <w:jc w:val="center"/>
        </w:trPr>
        <w:tc>
          <w:tcPr>
            <w:tcW w:w="1701" w:type="dxa"/>
            <w:tcBorders>
              <w:top w:val="single" w:sz="4" w:space="0" w:color="000000"/>
              <w:bottom w:val="single" w:sz="4" w:space="0" w:color="000000"/>
              <w:right w:val="nil"/>
            </w:tcBorders>
            <w:shd w:val="clear" w:color="auto" w:fill="auto"/>
            <w:vAlign w:val="center"/>
          </w:tcPr>
          <w:p w14:paraId="539433AC"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Good resilience (good WQ)</w:t>
            </w:r>
          </w:p>
        </w:tc>
        <w:tc>
          <w:tcPr>
            <w:tcW w:w="1134" w:type="dxa"/>
            <w:tcBorders>
              <w:top w:val="single" w:sz="4" w:space="0" w:color="000000"/>
              <w:left w:val="nil"/>
              <w:bottom w:val="single" w:sz="4" w:space="0" w:color="000000"/>
              <w:right w:val="nil"/>
            </w:tcBorders>
            <w:shd w:val="clear" w:color="auto" w:fill="auto"/>
            <w:vAlign w:val="center"/>
          </w:tcPr>
          <w:p w14:paraId="778F2346" w14:textId="77777777" w:rsidR="009F26E3" w:rsidRPr="00F85381" w:rsidRDefault="00F50BBA">
            <w:pPr>
              <w:spacing w:line="228" w:lineRule="auto"/>
              <w:jc w:val="center"/>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4</w:t>
            </w:r>
          </w:p>
        </w:tc>
        <w:tc>
          <w:tcPr>
            <w:tcW w:w="1350" w:type="dxa"/>
            <w:tcBorders>
              <w:top w:val="single" w:sz="4" w:space="0" w:color="000000"/>
              <w:left w:val="nil"/>
              <w:bottom w:val="single" w:sz="4" w:space="0" w:color="000000"/>
              <w:right w:val="single" w:sz="4" w:space="0" w:color="000000"/>
            </w:tcBorders>
            <w:shd w:val="clear" w:color="auto" w:fill="auto"/>
            <w:vAlign w:val="center"/>
          </w:tcPr>
          <w:p w14:paraId="494933CF"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(0.7,0.8,0.9)</w:t>
            </w:r>
          </w:p>
        </w:tc>
        <w:tc>
          <w:tcPr>
            <w:tcW w:w="2194" w:type="dxa"/>
            <w:tcBorders>
              <w:top w:val="single" w:sz="4" w:space="0" w:color="000000"/>
              <w:left w:val="single" w:sz="4" w:space="0" w:color="000000"/>
              <w:right w:val="nil"/>
            </w:tcBorders>
            <w:shd w:val="clear" w:color="auto" w:fill="auto"/>
            <w:vAlign w:val="center"/>
          </w:tcPr>
          <w:p w14:paraId="18555DF3"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Average resilience (average WQ)</w:t>
            </w:r>
          </w:p>
        </w:tc>
        <w:tc>
          <w:tcPr>
            <w:tcW w:w="992" w:type="dxa"/>
            <w:tcBorders>
              <w:top w:val="single" w:sz="4" w:space="0" w:color="000000"/>
              <w:left w:val="nil"/>
              <w:right w:val="nil"/>
            </w:tcBorders>
            <w:shd w:val="clear" w:color="auto" w:fill="auto"/>
            <w:vAlign w:val="center"/>
          </w:tcPr>
          <w:p w14:paraId="1E01ED46" w14:textId="77777777" w:rsidR="009F26E3" w:rsidRPr="00F85381" w:rsidRDefault="00F50BBA">
            <w:pPr>
              <w:spacing w:line="228" w:lineRule="auto"/>
              <w:jc w:val="center"/>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3</w:t>
            </w:r>
          </w:p>
        </w:tc>
        <w:tc>
          <w:tcPr>
            <w:tcW w:w="1204" w:type="dxa"/>
            <w:tcBorders>
              <w:top w:val="single" w:sz="4" w:space="0" w:color="000000"/>
              <w:left w:val="nil"/>
              <w:right w:val="nil"/>
            </w:tcBorders>
            <w:shd w:val="clear" w:color="auto" w:fill="auto"/>
            <w:vAlign w:val="center"/>
          </w:tcPr>
          <w:p w14:paraId="4AF86089"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(0.4,0.5,0.6)</w:t>
            </w:r>
          </w:p>
        </w:tc>
      </w:tr>
      <w:tr w:rsidR="00C675E2" w:rsidRPr="00F85381" w14:paraId="0B5ED05F" w14:textId="77777777" w:rsidTr="009024B9">
        <w:trPr>
          <w:jc w:val="center"/>
        </w:trPr>
        <w:tc>
          <w:tcPr>
            <w:tcW w:w="1701" w:type="dxa"/>
            <w:tcBorders>
              <w:top w:val="single" w:sz="4" w:space="0" w:color="000000"/>
              <w:bottom w:val="single" w:sz="4" w:space="0" w:color="000000"/>
              <w:right w:val="nil"/>
            </w:tcBorders>
            <w:shd w:val="clear" w:color="auto" w:fill="auto"/>
            <w:vAlign w:val="center"/>
          </w:tcPr>
          <w:p w14:paraId="447FC703"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High resilience (high WQ)</w:t>
            </w:r>
          </w:p>
        </w:tc>
        <w:tc>
          <w:tcPr>
            <w:tcW w:w="1134" w:type="dxa"/>
            <w:tcBorders>
              <w:top w:val="single" w:sz="4" w:space="0" w:color="000000"/>
              <w:left w:val="nil"/>
              <w:bottom w:val="single" w:sz="4" w:space="0" w:color="000000"/>
              <w:right w:val="nil"/>
            </w:tcBorders>
            <w:shd w:val="clear" w:color="auto" w:fill="auto"/>
            <w:vAlign w:val="center"/>
          </w:tcPr>
          <w:p w14:paraId="75028A5D" w14:textId="77777777" w:rsidR="009F26E3" w:rsidRPr="00F85381" w:rsidRDefault="00F50BBA">
            <w:pPr>
              <w:spacing w:line="228" w:lineRule="auto"/>
              <w:jc w:val="center"/>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5</w:t>
            </w:r>
          </w:p>
        </w:tc>
        <w:tc>
          <w:tcPr>
            <w:tcW w:w="1350" w:type="dxa"/>
            <w:tcBorders>
              <w:top w:val="single" w:sz="4" w:space="0" w:color="000000"/>
              <w:left w:val="nil"/>
              <w:bottom w:val="single" w:sz="4" w:space="0" w:color="000000"/>
              <w:right w:val="single" w:sz="4" w:space="0" w:color="000000"/>
            </w:tcBorders>
            <w:shd w:val="clear" w:color="auto" w:fill="auto"/>
            <w:vAlign w:val="center"/>
          </w:tcPr>
          <w:p w14:paraId="7D830E8A"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(0.9,1.0,1.0)</w:t>
            </w:r>
          </w:p>
        </w:tc>
        <w:tc>
          <w:tcPr>
            <w:tcW w:w="2194" w:type="dxa"/>
            <w:tcBorders>
              <w:top w:val="single" w:sz="4" w:space="0" w:color="000000"/>
              <w:left w:val="single" w:sz="4" w:space="0" w:color="000000"/>
              <w:right w:val="nil"/>
            </w:tcBorders>
            <w:shd w:val="clear" w:color="auto" w:fill="auto"/>
            <w:vAlign w:val="center"/>
          </w:tcPr>
          <w:p w14:paraId="27D1AE9C" w14:textId="77777777" w:rsidR="009F26E3" w:rsidRPr="00F85381" w:rsidRDefault="00F50BBA">
            <w:pPr>
              <w:spacing w:line="240"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Low resilience (poor WQ)</w:t>
            </w:r>
          </w:p>
        </w:tc>
        <w:tc>
          <w:tcPr>
            <w:tcW w:w="992" w:type="dxa"/>
            <w:tcBorders>
              <w:top w:val="single" w:sz="4" w:space="0" w:color="000000"/>
              <w:left w:val="nil"/>
              <w:right w:val="nil"/>
            </w:tcBorders>
            <w:shd w:val="clear" w:color="auto" w:fill="auto"/>
            <w:vAlign w:val="center"/>
          </w:tcPr>
          <w:p w14:paraId="32244E7F" w14:textId="77777777" w:rsidR="009F26E3" w:rsidRPr="00F85381" w:rsidRDefault="00F50BBA">
            <w:pPr>
              <w:spacing w:line="228" w:lineRule="auto"/>
              <w:jc w:val="center"/>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2</w:t>
            </w:r>
          </w:p>
        </w:tc>
        <w:tc>
          <w:tcPr>
            <w:tcW w:w="1204" w:type="dxa"/>
            <w:tcBorders>
              <w:top w:val="single" w:sz="4" w:space="0" w:color="000000"/>
              <w:left w:val="nil"/>
              <w:right w:val="nil"/>
            </w:tcBorders>
            <w:shd w:val="clear" w:color="auto" w:fill="auto"/>
            <w:vAlign w:val="center"/>
          </w:tcPr>
          <w:p w14:paraId="35E41DFA"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(0.0,0.1,0.2)</w:t>
            </w:r>
          </w:p>
        </w:tc>
      </w:tr>
      <w:tr w:rsidR="00C675E2" w:rsidRPr="00F85381" w14:paraId="17CB6CCF" w14:textId="77777777" w:rsidTr="009024B9">
        <w:trPr>
          <w:jc w:val="center"/>
        </w:trPr>
        <w:tc>
          <w:tcPr>
            <w:tcW w:w="1701" w:type="dxa"/>
            <w:tcBorders>
              <w:top w:val="single" w:sz="4" w:space="0" w:color="000000"/>
              <w:bottom w:val="nil"/>
              <w:right w:val="nil"/>
            </w:tcBorders>
            <w:shd w:val="clear" w:color="auto" w:fill="auto"/>
            <w:vAlign w:val="center"/>
          </w:tcPr>
          <w:p w14:paraId="4F6C8A1A" w14:textId="77777777" w:rsidR="009F26E3" w:rsidRPr="00F85381" w:rsidRDefault="009F26E3">
            <w:pPr>
              <w:spacing w:line="228" w:lineRule="auto"/>
              <w:jc w:val="left"/>
              <w:rPr>
                <w:rFonts w:ascii="Times New Roman" w:eastAsia="Times New Roman" w:hAnsi="Times New Roman" w:cs="Times New Roman"/>
                <w:sz w:val="16"/>
                <w:szCs w:val="16"/>
              </w:rPr>
            </w:pPr>
          </w:p>
        </w:tc>
        <w:tc>
          <w:tcPr>
            <w:tcW w:w="1134" w:type="dxa"/>
            <w:tcBorders>
              <w:top w:val="single" w:sz="4" w:space="0" w:color="000000"/>
              <w:left w:val="nil"/>
              <w:bottom w:val="nil"/>
              <w:right w:val="nil"/>
            </w:tcBorders>
            <w:shd w:val="clear" w:color="auto" w:fill="auto"/>
            <w:vAlign w:val="center"/>
          </w:tcPr>
          <w:p w14:paraId="11FAED20" w14:textId="77777777" w:rsidR="009F26E3" w:rsidRPr="00F85381" w:rsidRDefault="009F26E3">
            <w:pPr>
              <w:spacing w:line="228" w:lineRule="auto"/>
              <w:jc w:val="left"/>
              <w:rPr>
                <w:rFonts w:ascii="Times New Roman" w:eastAsia="Times New Roman" w:hAnsi="Times New Roman" w:cs="Times New Roman"/>
                <w:sz w:val="16"/>
                <w:szCs w:val="16"/>
              </w:rPr>
            </w:pPr>
          </w:p>
        </w:tc>
        <w:tc>
          <w:tcPr>
            <w:tcW w:w="1350" w:type="dxa"/>
            <w:tcBorders>
              <w:top w:val="single" w:sz="4" w:space="0" w:color="000000"/>
              <w:left w:val="nil"/>
              <w:bottom w:val="nil"/>
              <w:right w:val="single" w:sz="4" w:space="0" w:color="000000"/>
            </w:tcBorders>
            <w:shd w:val="clear" w:color="auto" w:fill="auto"/>
            <w:vAlign w:val="center"/>
          </w:tcPr>
          <w:p w14:paraId="6267AAC2" w14:textId="77777777" w:rsidR="009F26E3" w:rsidRPr="00F85381" w:rsidRDefault="009F26E3">
            <w:pPr>
              <w:spacing w:line="228" w:lineRule="auto"/>
              <w:jc w:val="left"/>
              <w:rPr>
                <w:rFonts w:ascii="Times New Roman" w:eastAsia="Times New Roman" w:hAnsi="Times New Roman" w:cs="Times New Roman"/>
                <w:sz w:val="16"/>
                <w:szCs w:val="16"/>
              </w:rPr>
            </w:pPr>
          </w:p>
        </w:tc>
        <w:tc>
          <w:tcPr>
            <w:tcW w:w="2194" w:type="dxa"/>
            <w:tcBorders>
              <w:top w:val="single" w:sz="4" w:space="0" w:color="000000"/>
              <w:left w:val="single" w:sz="4" w:space="0" w:color="000000"/>
              <w:right w:val="nil"/>
            </w:tcBorders>
            <w:shd w:val="clear" w:color="auto" w:fill="auto"/>
            <w:vAlign w:val="center"/>
          </w:tcPr>
          <w:p w14:paraId="3E0EAEEA" w14:textId="77777777" w:rsidR="009F26E3" w:rsidRPr="00F85381" w:rsidRDefault="00F50BBA">
            <w:pPr>
              <w:spacing w:line="240"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Very low resilience (very poor WQ)</w:t>
            </w:r>
          </w:p>
        </w:tc>
        <w:tc>
          <w:tcPr>
            <w:tcW w:w="992" w:type="dxa"/>
            <w:tcBorders>
              <w:top w:val="single" w:sz="4" w:space="0" w:color="000000"/>
              <w:left w:val="nil"/>
              <w:right w:val="nil"/>
            </w:tcBorders>
            <w:shd w:val="clear" w:color="auto" w:fill="auto"/>
            <w:vAlign w:val="center"/>
          </w:tcPr>
          <w:p w14:paraId="54592A10" w14:textId="77777777" w:rsidR="009F26E3" w:rsidRPr="00F85381" w:rsidRDefault="00F50BBA">
            <w:pPr>
              <w:spacing w:line="228" w:lineRule="auto"/>
              <w:jc w:val="center"/>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1</w:t>
            </w:r>
          </w:p>
        </w:tc>
        <w:tc>
          <w:tcPr>
            <w:tcW w:w="1204" w:type="dxa"/>
            <w:tcBorders>
              <w:top w:val="single" w:sz="4" w:space="0" w:color="000000"/>
              <w:left w:val="nil"/>
              <w:right w:val="nil"/>
            </w:tcBorders>
            <w:shd w:val="clear" w:color="auto" w:fill="auto"/>
            <w:vAlign w:val="center"/>
          </w:tcPr>
          <w:p w14:paraId="7BAF8698" w14:textId="77777777" w:rsidR="009F26E3" w:rsidRPr="00F85381" w:rsidRDefault="00F50BBA">
            <w:pPr>
              <w:spacing w:line="228" w:lineRule="auto"/>
              <w:jc w:val="left"/>
              <w:rPr>
                <w:rFonts w:ascii="Times New Roman" w:eastAsia="Times New Roman" w:hAnsi="Times New Roman" w:cs="Times New Roman"/>
                <w:sz w:val="16"/>
                <w:szCs w:val="16"/>
              </w:rPr>
            </w:pPr>
            <w:r w:rsidRPr="00F85381">
              <w:rPr>
                <w:rFonts w:ascii="Times New Roman" w:eastAsia="Times New Roman" w:hAnsi="Times New Roman" w:cs="Times New Roman"/>
                <w:sz w:val="16"/>
                <w:szCs w:val="16"/>
              </w:rPr>
              <w:t>(0.0,0.1,0.2)</w:t>
            </w:r>
          </w:p>
        </w:tc>
      </w:tr>
    </w:tbl>
    <w:p w14:paraId="7219F0C7" w14:textId="13BC9332" w:rsidR="009F26E3" w:rsidRPr="00F85381" w:rsidRDefault="00F50BBA" w:rsidP="00261C72">
      <w:pPr>
        <w:spacing w:after="120" w:line="480" w:lineRule="auto"/>
        <w:rPr>
          <w:rFonts w:ascii="Times New Roman" w:eastAsia="Times New Roman" w:hAnsi="Times New Roman" w:cs="Times New Roman"/>
          <w:b/>
        </w:rPr>
      </w:pPr>
      <w:r w:rsidRPr="00F85381">
        <w:rPr>
          <w:rFonts w:ascii="Times New Roman" w:eastAsia="Times New Roman" w:hAnsi="Times New Roman" w:cs="Times New Roman"/>
        </w:rPr>
        <w:t xml:space="preserve">In this study, </w:t>
      </w:r>
      <w:r w:rsidR="000A2A7D" w:rsidRPr="00F85381">
        <w:rPr>
          <w:rFonts w:ascii="Times New Roman" w:eastAsia="Times New Roman" w:hAnsi="Times New Roman" w:cs="Times New Roman"/>
        </w:rPr>
        <w:t xml:space="preserve">the </w:t>
      </w:r>
      <w:r w:rsidRPr="00F85381">
        <w:rPr>
          <w:rFonts w:ascii="Times New Roman" w:eastAsia="Times New Roman" w:hAnsi="Times New Roman" w:cs="Times New Roman"/>
        </w:rPr>
        <w:t>‘criticality’ (of the zones) is set using TFN and scaled between 0 (resilient) and 1 (critical).</w:t>
      </w:r>
    </w:p>
    <w:p w14:paraId="6836E93E" w14:textId="3F2442B3" w:rsidR="009F26E3" w:rsidRPr="003E335A" w:rsidRDefault="003E335A">
      <w:pPr>
        <w:spacing w:after="160" w:line="259" w:lineRule="auto"/>
        <w:jc w:val="left"/>
        <w:rPr>
          <w:rFonts w:ascii="Times New Roman" w:eastAsia="Times New Roman" w:hAnsi="Times New Roman" w:cs="Times New Roman"/>
          <w:b/>
          <w:i/>
          <w:iCs/>
        </w:rPr>
      </w:pPr>
      <w:r w:rsidRPr="003E335A">
        <w:rPr>
          <w:rFonts w:ascii="Times New Roman" w:eastAsia="Times New Roman" w:hAnsi="Times New Roman" w:cs="Times New Roman"/>
          <w:b/>
          <w:i/>
          <w:iCs/>
        </w:rPr>
        <w:t xml:space="preserve">2.5.2 </w:t>
      </w:r>
      <w:r w:rsidR="00F50BBA" w:rsidRPr="003E335A">
        <w:rPr>
          <w:rFonts w:ascii="Times New Roman" w:eastAsia="Times New Roman" w:hAnsi="Times New Roman" w:cs="Times New Roman"/>
          <w:b/>
          <w:i/>
          <w:iCs/>
        </w:rPr>
        <w:t xml:space="preserve">Step 2: </w:t>
      </w:r>
      <w:r w:rsidRPr="003E335A">
        <w:rPr>
          <w:rFonts w:ascii="Times New Roman" w:eastAsia="Times New Roman" w:hAnsi="Times New Roman" w:cs="Times New Roman"/>
          <w:b/>
          <w:i/>
          <w:iCs/>
        </w:rPr>
        <w:t>s</w:t>
      </w:r>
      <w:r w:rsidR="00F50BBA" w:rsidRPr="003E335A">
        <w:rPr>
          <w:rFonts w:ascii="Times New Roman" w:eastAsia="Times New Roman" w:hAnsi="Times New Roman" w:cs="Times New Roman"/>
          <w:b/>
          <w:i/>
          <w:iCs/>
        </w:rPr>
        <w:t xml:space="preserve">et the global index of monitoring </w:t>
      </w:r>
      <w:proofErr w:type="gramStart"/>
      <w:r w:rsidR="00F50BBA" w:rsidRPr="003E335A">
        <w:rPr>
          <w:rFonts w:ascii="Times New Roman" w:eastAsia="Times New Roman" w:hAnsi="Times New Roman" w:cs="Times New Roman"/>
          <w:b/>
          <w:i/>
          <w:iCs/>
        </w:rPr>
        <w:t>stations</w:t>
      </w:r>
      <w:proofErr w:type="gramEnd"/>
    </w:p>
    <w:p w14:paraId="1D9EDF8B" w14:textId="6C9A2E3F"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In this step, a fuzzy-based global index is developed to measure the overall importance of each zone. The global index will be used to identify the critical zones based on their overall resilience value. </w:t>
      </w:r>
      <w:proofErr w:type="gramStart"/>
      <w:r w:rsidR="00BF5469">
        <w:rPr>
          <w:rFonts w:ascii="Times New Roman" w:eastAsia="Times New Roman" w:hAnsi="Times New Roman" w:cs="Times New Roman"/>
        </w:rPr>
        <w:t>Eq.</w:t>
      </w:r>
      <w:r w:rsidRPr="00F85381">
        <w:rPr>
          <w:rFonts w:ascii="Times New Roman" w:eastAsia="Times New Roman" w:hAnsi="Times New Roman" w:cs="Times New Roman"/>
        </w:rPr>
        <w:t>(</w:t>
      </w:r>
      <w:proofErr w:type="gramEnd"/>
      <w:r w:rsidR="00053090" w:rsidRPr="00F85381">
        <w:rPr>
          <w:rFonts w:ascii="Times New Roman" w:eastAsia="Times New Roman" w:hAnsi="Times New Roman" w:cs="Times New Roman"/>
        </w:rPr>
        <w:t>1</w:t>
      </w:r>
      <w:r w:rsidRPr="00F85381">
        <w:rPr>
          <w:rFonts w:ascii="Times New Roman" w:eastAsia="Times New Roman" w:hAnsi="Times New Roman" w:cs="Times New Roman"/>
        </w:rPr>
        <w:t xml:space="preserve">) calculates the aforementioned global index using FAHP and TFN scales shown in Table </w:t>
      </w:r>
      <w:r w:rsidR="002103C0" w:rsidRPr="00F85381">
        <w:rPr>
          <w:rFonts w:ascii="Times New Roman" w:eastAsia="Times New Roman" w:hAnsi="Times New Roman" w:cs="Times New Roman"/>
        </w:rPr>
        <w:t>3</w:t>
      </w:r>
      <w:r w:rsidRPr="00F85381">
        <w:rPr>
          <w:rFonts w:ascii="Times New Roman" w:eastAsia="Times New Roman" w:hAnsi="Times New Roman" w:cs="Times New Roman"/>
        </w:rPr>
        <w:t xml:space="preserve">. </w:t>
      </w:r>
    </w:p>
    <w:p w14:paraId="72F2A02C" w14:textId="5B84B7A5" w:rsidR="009F26E3" w:rsidRPr="00F85381" w:rsidRDefault="000B7F85">
      <w:pPr>
        <w:spacing w:after="120" w:line="228" w:lineRule="auto"/>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hAnsi="Cambria Math"/>
              </w:rPr>
              <m:t>δ</m:t>
            </m:r>
          </m:e>
          <m:sub>
            <m:r>
              <w:rPr>
                <w:rFonts w:ascii="Cambria Math" w:eastAsia="Cambria Math" w:hAnsi="Cambria Math" w:cs="Cambria Math"/>
              </w:rPr>
              <m:t>k</m:t>
            </m:r>
          </m:sub>
          <m:sup>
            <m:r>
              <w:rPr>
                <w:rFonts w:ascii="Cambria Math" w:eastAsia="Cambria Math" w:hAnsi="Cambria Math" w:cs="Cambria Math"/>
              </w:rPr>
              <m:t>z</m:t>
            </m:r>
          </m:sup>
        </m:sSubSup>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λ</m:t>
            </m:r>
          </m:e>
          <m:sub>
            <m:r>
              <w:rPr>
                <w:rFonts w:ascii="Cambria Math" w:eastAsia="Cambria Math" w:hAnsi="Cambria Math" w:cs="Cambria Math"/>
              </w:rPr>
              <m:t>j</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σ</m:t>
            </m:r>
          </m:e>
          <m:sub>
            <m:r>
              <w:rPr>
                <w:rFonts w:ascii="Cambria Math" w:eastAsia="Cambria Math" w:hAnsi="Cambria Math" w:cs="Cambria Math"/>
              </w:rPr>
              <m:t>j</m:t>
            </m:r>
          </m:sub>
        </m:sSub>
      </m:oMath>
      <w:r w:rsidR="00F50BBA" w:rsidRPr="00F85381">
        <w:rPr>
          <w:rFonts w:ascii="Times New Roman" w:eastAsia="Times New Roman" w:hAnsi="Times New Roman" w:cs="Times New Roman"/>
        </w:rPr>
        <w:tab/>
      </w:r>
      <w:r w:rsidR="00F50BBA" w:rsidRPr="00F85381">
        <w:rPr>
          <w:rFonts w:ascii="Times New Roman" w:eastAsia="Times New Roman" w:hAnsi="Times New Roman" w:cs="Times New Roman"/>
        </w:rPr>
        <w:tab/>
      </w:r>
      <w:r w:rsidR="00F50BBA" w:rsidRPr="00F85381">
        <w:rPr>
          <w:rFonts w:ascii="Times New Roman" w:eastAsia="Times New Roman" w:hAnsi="Times New Roman" w:cs="Times New Roman"/>
        </w:rPr>
        <w:tab/>
      </w:r>
      <w:r w:rsidR="00F50BBA" w:rsidRPr="00F85381">
        <w:rPr>
          <w:rFonts w:ascii="Times New Roman" w:eastAsia="Times New Roman" w:hAnsi="Times New Roman" w:cs="Times New Roman"/>
        </w:rPr>
        <w:tab/>
      </w:r>
      <w:r w:rsidR="00F50BBA" w:rsidRPr="00F85381">
        <w:rPr>
          <w:rFonts w:ascii="Times New Roman" w:eastAsia="Times New Roman" w:hAnsi="Times New Roman" w:cs="Times New Roman"/>
        </w:rPr>
        <w:tab/>
      </w:r>
      <w:r w:rsidR="00F50BBA" w:rsidRPr="00F85381">
        <w:rPr>
          <w:rFonts w:ascii="Times New Roman" w:eastAsia="Times New Roman" w:hAnsi="Times New Roman" w:cs="Times New Roman"/>
        </w:rPr>
        <w:tab/>
      </w:r>
      <w:r w:rsidR="00F50BBA" w:rsidRPr="00F85381">
        <w:rPr>
          <w:rFonts w:ascii="Times New Roman" w:eastAsia="Times New Roman" w:hAnsi="Times New Roman" w:cs="Times New Roman"/>
        </w:rPr>
        <w:tab/>
      </w:r>
      <w:r w:rsidR="00F50BBA" w:rsidRPr="00F85381">
        <w:rPr>
          <w:rFonts w:ascii="Times New Roman" w:eastAsia="Times New Roman" w:hAnsi="Times New Roman" w:cs="Times New Roman"/>
        </w:rPr>
        <w:tab/>
      </w:r>
      <w:r w:rsidR="00F50BBA" w:rsidRPr="00F85381">
        <w:rPr>
          <w:rFonts w:ascii="Times New Roman" w:eastAsia="Times New Roman" w:hAnsi="Times New Roman" w:cs="Times New Roman"/>
        </w:rPr>
        <w:tab/>
      </w:r>
      <w:r w:rsidR="00F50BBA" w:rsidRPr="00F85381">
        <w:rPr>
          <w:rFonts w:ascii="Times New Roman" w:eastAsia="Times New Roman" w:hAnsi="Times New Roman" w:cs="Times New Roman"/>
        </w:rPr>
        <w:tab/>
        <w:t xml:space="preserve"> </w:t>
      </w:r>
      <w:r w:rsidR="00F50BBA" w:rsidRPr="00F85381">
        <w:rPr>
          <w:rFonts w:ascii="Times New Roman" w:eastAsia="Times New Roman" w:hAnsi="Times New Roman" w:cs="Times New Roman"/>
        </w:rPr>
        <w:tab/>
        <w:t xml:space="preserve">  (</w:t>
      </w:r>
      <w:r w:rsidR="00053090" w:rsidRPr="00F85381">
        <w:rPr>
          <w:rFonts w:ascii="Times New Roman" w:eastAsia="Times New Roman" w:hAnsi="Times New Roman" w:cs="Times New Roman"/>
        </w:rPr>
        <w:t>1</w:t>
      </w:r>
      <w:r w:rsidR="00F50BBA" w:rsidRPr="00F85381">
        <w:rPr>
          <w:rFonts w:ascii="Times New Roman" w:eastAsia="Times New Roman" w:hAnsi="Times New Roman" w:cs="Times New Roman"/>
        </w:rPr>
        <w:t>)</w:t>
      </w:r>
    </w:p>
    <w:p w14:paraId="60F7BF87" w14:textId="2C83B1C5"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where, </w:t>
      </w:r>
      <m:oMath>
        <m:sSubSup>
          <m:sSubSupPr>
            <m:ctrlPr>
              <w:rPr>
                <w:rFonts w:ascii="Cambria Math" w:eastAsia="Cambria Math" w:hAnsi="Cambria Math" w:cs="Cambria Math"/>
              </w:rPr>
            </m:ctrlPr>
          </m:sSubSupPr>
          <m:e>
            <m:r>
              <w:rPr>
                <w:rFonts w:ascii="Cambria Math" w:hAnsi="Cambria Math"/>
              </w:rPr>
              <m:t>δ</m:t>
            </m:r>
          </m:e>
          <m:sub>
            <m:r>
              <w:rPr>
                <w:rFonts w:ascii="Cambria Math" w:eastAsia="Cambria Math" w:hAnsi="Cambria Math" w:cs="Cambria Math"/>
              </w:rPr>
              <m:t>k</m:t>
            </m:r>
          </m:sub>
          <m:sup>
            <m:r>
              <w:rPr>
                <w:rFonts w:ascii="Cambria Math" w:eastAsia="Cambria Math" w:hAnsi="Cambria Math" w:cs="Cambria Math"/>
              </w:rPr>
              <m:t>z</m:t>
            </m:r>
          </m:sup>
        </m:sSubSup>
      </m:oMath>
      <w:r w:rsidRPr="00F85381">
        <w:rPr>
          <w:rFonts w:ascii="Times New Roman" w:eastAsia="Times New Roman" w:hAnsi="Times New Roman" w:cs="Times New Roman"/>
        </w:rPr>
        <w:t xml:space="preserve"> denotes the fuzzy global index associated to a zone (</w:t>
      </w:r>
      <w:r w:rsidRPr="00F85381">
        <w:rPr>
          <w:rFonts w:ascii="Times New Roman" w:eastAsia="Times New Roman" w:hAnsi="Times New Roman" w:cs="Times New Roman"/>
          <w:i/>
        </w:rPr>
        <w:t>z=1,..,22)</w:t>
      </w:r>
      <w:r w:rsidRPr="00F85381">
        <w:rPr>
          <w:rFonts w:ascii="Times New Roman" w:eastAsia="Times New Roman" w:hAnsi="Times New Roman" w:cs="Times New Roman"/>
        </w:rPr>
        <w:t xml:space="preserve">; λ and σ are the significance intensity of each monitoring station in a zone (Table </w:t>
      </w:r>
      <w:r w:rsidR="00053090" w:rsidRPr="00F85381">
        <w:rPr>
          <w:rFonts w:ascii="Times New Roman" w:eastAsia="Times New Roman" w:hAnsi="Times New Roman" w:cs="Times New Roman"/>
        </w:rPr>
        <w:t>3</w:t>
      </w:r>
      <w:r w:rsidRPr="00F85381">
        <w:rPr>
          <w:rFonts w:ascii="Times New Roman" w:eastAsia="Times New Roman" w:hAnsi="Times New Roman" w:cs="Times New Roman"/>
        </w:rPr>
        <w:t xml:space="preserve">); and </w:t>
      </w:r>
      <w:r w:rsidRPr="00F85381">
        <w:rPr>
          <w:rFonts w:ascii="Times New Roman" w:eastAsia="Times New Roman" w:hAnsi="Times New Roman" w:cs="Times New Roman"/>
          <w:i/>
        </w:rPr>
        <w:t>k</w:t>
      </w:r>
      <w:r w:rsidRPr="00F85381">
        <w:rPr>
          <w:rFonts w:ascii="Times New Roman" w:eastAsia="Times New Roman" w:hAnsi="Times New Roman" w:cs="Times New Roman"/>
        </w:rPr>
        <w:t xml:space="preserve"> denotes the number of monitoring stations in a zone.</w:t>
      </w:r>
    </w:p>
    <w:p w14:paraId="1B7B8E83" w14:textId="19C809BF" w:rsidR="009F26E3" w:rsidRPr="003E335A" w:rsidRDefault="003E335A">
      <w:pPr>
        <w:spacing w:after="160" w:line="259" w:lineRule="auto"/>
        <w:jc w:val="left"/>
        <w:rPr>
          <w:rFonts w:ascii="Times New Roman" w:eastAsia="Times New Roman" w:hAnsi="Times New Roman" w:cs="Times New Roman"/>
          <w:b/>
          <w:i/>
          <w:iCs/>
        </w:rPr>
      </w:pPr>
      <w:r w:rsidRPr="003E335A">
        <w:rPr>
          <w:rFonts w:ascii="Times New Roman" w:eastAsia="Times New Roman" w:hAnsi="Times New Roman" w:cs="Times New Roman"/>
          <w:b/>
          <w:i/>
          <w:iCs/>
        </w:rPr>
        <w:t xml:space="preserve">2.5.3 </w:t>
      </w:r>
      <w:r w:rsidR="00F50BBA" w:rsidRPr="003E335A">
        <w:rPr>
          <w:rFonts w:ascii="Times New Roman" w:eastAsia="Times New Roman" w:hAnsi="Times New Roman" w:cs="Times New Roman"/>
          <w:b/>
          <w:i/>
          <w:iCs/>
        </w:rPr>
        <w:t xml:space="preserve">Step 3: </w:t>
      </w:r>
      <w:r w:rsidRPr="003E335A">
        <w:rPr>
          <w:rFonts w:ascii="Times New Roman" w:eastAsia="Times New Roman" w:hAnsi="Times New Roman" w:cs="Times New Roman"/>
          <w:b/>
          <w:i/>
          <w:iCs/>
        </w:rPr>
        <w:t>s</w:t>
      </w:r>
      <w:r w:rsidR="00F50BBA" w:rsidRPr="003E335A">
        <w:rPr>
          <w:rFonts w:ascii="Times New Roman" w:eastAsia="Times New Roman" w:hAnsi="Times New Roman" w:cs="Times New Roman"/>
          <w:b/>
          <w:i/>
          <w:iCs/>
        </w:rPr>
        <w:t xml:space="preserve">et the fuzzy weight of each </w:t>
      </w:r>
      <w:proofErr w:type="gramStart"/>
      <w:r w:rsidR="00F50BBA" w:rsidRPr="003E335A">
        <w:rPr>
          <w:rFonts w:ascii="Times New Roman" w:eastAsia="Times New Roman" w:hAnsi="Times New Roman" w:cs="Times New Roman"/>
          <w:b/>
          <w:i/>
          <w:iCs/>
        </w:rPr>
        <w:t>WQI</w:t>
      </w:r>
      <w:proofErr w:type="gramEnd"/>
      <w:r w:rsidR="00F50BBA" w:rsidRPr="003E335A">
        <w:rPr>
          <w:rFonts w:ascii="Times New Roman" w:eastAsia="Times New Roman" w:hAnsi="Times New Roman" w:cs="Times New Roman"/>
          <w:b/>
          <w:i/>
          <w:iCs/>
        </w:rPr>
        <w:t xml:space="preserve"> </w:t>
      </w:r>
    </w:p>
    <w:p w14:paraId="6E1703B7" w14:textId="2A8E14D0"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In this step, the weight of each WQI is determined by fuzzy mean using TFN scale (in Table </w:t>
      </w:r>
      <w:r w:rsidR="00053090" w:rsidRPr="00F85381">
        <w:rPr>
          <w:rFonts w:ascii="Times New Roman" w:eastAsia="Times New Roman" w:hAnsi="Times New Roman" w:cs="Times New Roman"/>
        </w:rPr>
        <w:t>3</w:t>
      </w:r>
      <w:r w:rsidRPr="00F85381">
        <w:rPr>
          <w:rFonts w:ascii="Times New Roman" w:eastAsia="Times New Roman" w:hAnsi="Times New Roman" w:cs="Times New Roman"/>
        </w:rPr>
        <w:t xml:space="preserve">), indicating the ‘significance intensity (importance)’ of that WQI, in its zone (as shown in </w:t>
      </w:r>
      <w:r w:rsidR="00BF5469">
        <w:rPr>
          <w:rFonts w:ascii="Times New Roman" w:eastAsia="Times New Roman" w:hAnsi="Times New Roman" w:cs="Times New Roman"/>
        </w:rPr>
        <w:t>Eq.</w:t>
      </w:r>
      <w:r w:rsidRPr="00F85381">
        <w:rPr>
          <w:rFonts w:ascii="Times New Roman" w:eastAsia="Times New Roman" w:hAnsi="Times New Roman" w:cs="Times New Roman"/>
        </w:rPr>
        <w:t xml:space="preserve"> (</w:t>
      </w:r>
      <w:r w:rsidR="00053090" w:rsidRPr="00F85381">
        <w:rPr>
          <w:rFonts w:ascii="Times New Roman" w:eastAsia="Times New Roman" w:hAnsi="Times New Roman" w:cs="Times New Roman"/>
        </w:rPr>
        <w:t>2</w:t>
      </w:r>
      <w:r w:rsidRPr="00F85381">
        <w:rPr>
          <w:rFonts w:ascii="Times New Roman" w:eastAsia="Times New Roman" w:hAnsi="Times New Roman" w:cs="Times New Roman"/>
        </w:rPr>
        <w:t>)):</w:t>
      </w:r>
    </w:p>
    <w:p w14:paraId="03F6724E" w14:textId="496FAB08" w:rsidR="009F26E3" w:rsidRPr="00F85381" w:rsidRDefault="000B7F85">
      <w:pPr>
        <w:spacing w:after="120" w:line="228" w:lineRule="auto"/>
        <w:rPr>
          <w:rFonts w:ascii="Times New Roman" w:eastAsia="Times New Roman" w:hAnsi="Times New Roman" w:cs="Times New Roman"/>
        </w:rPr>
      </w:pPr>
      <m:oMath>
        <m:bar>
          <m:barPr>
            <m:ctrlPr>
              <w:rPr>
                <w:rFonts w:ascii="Cambria Math" w:hAnsi="Cambria Math"/>
              </w:rPr>
            </m:ctrlPr>
          </m:barPr>
          <m:e>
            <m:sSub>
              <m:sSubPr>
                <m:ctrlPr>
                  <w:rPr>
                    <w:rFonts w:ascii="Cambria Math" w:eastAsia="Cambria Math" w:hAnsi="Cambria Math" w:cs="Cambria Math"/>
                  </w:rPr>
                </m:ctrlPr>
              </m:sSubPr>
              <m:e>
                <m:r>
                  <w:rPr>
                    <w:rFonts w:ascii="Cambria Math" w:eastAsia="Cambria Math" w:hAnsi="Cambria Math" w:cs="Cambria Math"/>
                  </w:rPr>
                  <m:t>w</m:t>
                </m:r>
              </m:e>
              <m:sub>
                <m:r>
                  <w:rPr>
                    <w:rFonts w:ascii="Cambria Math" w:eastAsia="Cambria Math" w:hAnsi="Cambria Math" w:cs="Cambria Math"/>
                  </w:rPr>
                  <m:t>z</m:t>
                </m:r>
              </m:sub>
            </m:sSub>
          </m:e>
        </m:bar>
        <m:r>
          <w:rPr>
            <w:rFonts w:ascii="Cambria Math" w:eastAsia="Cambria Math" w:hAnsi="Cambria Math" w:cs="Cambria Math"/>
          </w:rPr>
          <m:t>=</m:t>
        </m:r>
        <m:d>
          <m:dPr>
            <m:begChr m:val="["/>
            <m:endChr m:val="]"/>
            <m:ctrlPr>
              <w:rPr>
                <w:rFonts w:ascii="Cambria Math" w:eastAsia="Cambria Math" w:hAnsi="Cambria Math" w:cs="Cambria Math"/>
              </w:rPr>
            </m:ctrlPr>
          </m:dPr>
          <m:e>
            <m:f>
              <m:fPr>
                <m:ctrlPr>
                  <w:rPr>
                    <w:rFonts w:ascii="Cambria Math" w:eastAsia="Cambria Math" w:hAnsi="Cambria Math" w:cs="Cambria Math"/>
                  </w:rPr>
                </m:ctrlPr>
              </m:fPr>
              <m:num>
                <m:sSub>
                  <m:sSubPr>
                    <m:ctrlPr>
                      <w:rPr>
                        <w:rFonts w:ascii="Cambria Math" w:eastAsia="Cambria Math" w:hAnsi="Cambria Math" w:cs="Cambria Math"/>
                      </w:rPr>
                    </m:ctrlPr>
                  </m:sSubPr>
                  <m:e>
                    <m:r>
                      <w:rPr>
                        <w:rFonts w:ascii="Cambria Math" w:eastAsia="Cambria Math" w:hAnsi="Cambria Math" w:cs="Cambria Math"/>
                      </w:rPr>
                      <m:t>l</m:t>
                    </m:r>
                  </m:e>
                  <m:sub>
                    <m:r>
                      <w:rPr>
                        <w:rFonts w:ascii="Cambria Math" w:eastAsia="Cambria Math" w:hAnsi="Cambria Math" w:cs="Cambria Math"/>
                      </w:rPr>
                      <m:t>i</m:t>
                    </m:r>
                  </m:sub>
                </m:sSub>
              </m:num>
              <m:den>
                <m:nary>
                  <m:naryPr>
                    <m:chr m:val="∑"/>
                    <m:ctrlPr>
                      <w:rPr>
                        <w:rFonts w:ascii="Cambria Math" w:eastAsia="Cambria Math" w:hAnsi="Cambria Math" w:cs="Cambria Math"/>
                      </w:rPr>
                    </m:ctrlPr>
                  </m:naryPr>
                  <m:sub>
                    <m:r>
                      <w:rPr>
                        <w:rFonts w:ascii="Cambria Math" w:eastAsia="Cambria Math" w:hAnsi="Cambria Math" w:cs="Cambria Math"/>
                      </w:rPr>
                      <m:t>i=1</m:t>
                    </m:r>
                  </m:sub>
                  <m:sup>
                    <m:r>
                      <w:rPr>
                        <w:rFonts w:ascii="Cambria Math" w:eastAsia="Cambria Math" w:hAnsi="Cambria Math" w:cs="Cambria Math"/>
                      </w:rPr>
                      <m:t>k</m:t>
                    </m:r>
                  </m:sup>
                  <m:e>
                    <m:sSub>
                      <m:sSubPr>
                        <m:ctrlPr>
                          <w:rPr>
                            <w:rFonts w:ascii="Cambria Math" w:eastAsia="Cambria Math" w:hAnsi="Cambria Math" w:cs="Cambria Math"/>
                          </w:rPr>
                        </m:ctrlPr>
                      </m:sSubPr>
                      <m:e>
                        <m:r>
                          <w:rPr>
                            <w:rFonts w:ascii="Cambria Math" w:eastAsia="Cambria Math" w:hAnsi="Cambria Math" w:cs="Cambria Math"/>
                          </w:rPr>
                          <m:t>l</m:t>
                        </m:r>
                      </m:e>
                      <m:sub>
                        <m:r>
                          <w:rPr>
                            <w:rFonts w:ascii="Cambria Math" w:eastAsia="Cambria Math" w:hAnsi="Cambria Math" w:cs="Cambria Math"/>
                          </w:rPr>
                          <m:t>i</m:t>
                        </m:r>
                      </m:sub>
                    </m:sSub>
                  </m:e>
                </m:nary>
              </m:den>
            </m:f>
            <m:r>
              <w:rPr>
                <w:rFonts w:ascii="Cambria Math" w:eastAsia="Cambria Math" w:hAnsi="Cambria Math" w:cs="Cambria Math"/>
              </w:rPr>
              <m:t>,</m:t>
            </m:r>
            <m:f>
              <m:fPr>
                <m:ctrlPr>
                  <w:rPr>
                    <w:rFonts w:ascii="Cambria Math" w:eastAsia="Cambria Math" w:hAnsi="Cambria Math" w:cs="Cambria Math"/>
                  </w:rPr>
                </m:ctrlPr>
              </m:fPr>
              <m:num>
                <m:sSub>
                  <m:sSubPr>
                    <m:ctrlPr>
                      <w:rPr>
                        <w:rFonts w:ascii="Cambria Math" w:eastAsia="Cambria Math" w:hAnsi="Cambria Math" w:cs="Cambria Math"/>
                      </w:rPr>
                    </m:ctrlPr>
                  </m:sSubPr>
                  <m:e>
                    <m:r>
                      <w:rPr>
                        <w:rFonts w:ascii="Cambria Math" w:eastAsia="Cambria Math" w:hAnsi="Cambria Math" w:cs="Cambria Math"/>
                      </w:rPr>
                      <m:t>m</m:t>
                    </m:r>
                  </m:e>
                  <m:sub>
                    <m:r>
                      <w:rPr>
                        <w:rFonts w:ascii="Cambria Math" w:eastAsia="Cambria Math" w:hAnsi="Cambria Math" w:cs="Cambria Math"/>
                      </w:rPr>
                      <m:t>i</m:t>
                    </m:r>
                  </m:sub>
                </m:sSub>
              </m:num>
              <m:den>
                <m:nary>
                  <m:naryPr>
                    <m:chr m:val="∑"/>
                    <m:ctrlPr>
                      <w:rPr>
                        <w:rFonts w:ascii="Cambria Math" w:eastAsia="Cambria Math" w:hAnsi="Cambria Math" w:cs="Cambria Math"/>
                      </w:rPr>
                    </m:ctrlPr>
                  </m:naryPr>
                  <m:sub>
                    <m:r>
                      <w:rPr>
                        <w:rFonts w:ascii="Cambria Math" w:eastAsia="Cambria Math" w:hAnsi="Cambria Math" w:cs="Cambria Math"/>
                      </w:rPr>
                      <m:t>i=1</m:t>
                    </m:r>
                  </m:sub>
                  <m:sup>
                    <m:r>
                      <w:rPr>
                        <w:rFonts w:ascii="Cambria Math" w:eastAsia="Cambria Math" w:hAnsi="Cambria Math" w:cs="Cambria Math"/>
                      </w:rPr>
                      <m:t>k</m:t>
                    </m:r>
                  </m:sup>
                  <m:e>
                    <m:sSub>
                      <m:sSubPr>
                        <m:ctrlPr>
                          <w:rPr>
                            <w:rFonts w:ascii="Cambria Math" w:eastAsia="Cambria Math" w:hAnsi="Cambria Math" w:cs="Cambria Math"/>
                          </w:rPr>
                        </m:ctrlPr>
                      </m:sSubPr>
                      <m:e>
                        <m:r>
                          <w:rPr>
                            <w:rFonts w:ascii="Cambria Math" w:eastAsia="Cambria Math" w:hAnsi="Cambria Math" w:cs="Cambria Math"/>
                          </w:rPr>
                          <m:t>m</m:t>
                        </m:r>
                      </m:e>
                      <m:sub>
                        <m:r>
                          <w:rPr>
                            <w:rFonts w:ascii="Cambria Math" w:eastAsia="Cambria Math" w:hAnsi="Cambria Math" w:cs="Cambria Math"/>
                          </w:rPr>
                          <m:t>i</m:t>
                        </m:r>
                      </m:sub>
                    </m:sSub>
                  </m:e>
                </m:nary>
              </m:den>
            </m:f>
            <m:r>
              <w:rPr>
                <w:rFonts w:ascii="Cambria Math" w:eastAsia="Cambria Math" w:hAnsi="Cambria Math" w:cs="Cambria Math"/>
              </w:rPr>
              <m:t>,</m:t>
            </m:r>
            <m:f>
              <m:fPr>
                <m:ctrlPr>
                  <w:rPr>
                    <w:rFonts w:ascii="Cambria Math" w:eastAsia="Cambria Math" w:hAnsi="Cambria Math" w:cs="Cambria Math"/>
                  </w:rPr>
                </m:ctrlPr>
              </m:fPr>
              <m:num>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i</m:t>
                    </m:r>
                  </m:sub>
                </m:sSub>
              </m:num>
              <m:den>
                <m:nary>
                  <m:naryPr>
                    <m:chr m:val="∑"/>
                    <m:ctrlPr>
                      <w:rPr>
                        <w:rFonts w:ascii="Cambria Math" w:eastAsia="Cambria Math" w:hAnsi="Cambria Math" w:cs="Cambria Math"/>
                      </w:rPr>
                    </m:ctrlPr>
                  </m:naryPr>
                  <m:sub>
                    <m:r>
                      <w:rPr>
                        <w:rFonts w:ascii="Cambria Math" w:eastAsia="Cambria Math" w:hAnsi="Cambria Math" w:cs="Cambria Math"/>
                      </w:rPr>
                      <m:t>i=1</m:t>
                    </m:r>
                  </m:sub>
                  <m:sup>
                    <m:r>
                      <w:rPr>
                        <w:rFonts w:ascii="Cambria Math" w:eastAsia="Cambria Math" w:hAnsi="Cambria Math" w:cs="Cambria Math"/>
                      </w:rPr>
                      <m:t>k</m:t>
                    </m:r>
                  </m:sup>
                  <m:e>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i</m:t>
                        </m:r>
                      </m:sub>
                    </m:sSub>
                  </m:e>
                </m:nary>
              </m:den>
            </m:f>
          </m:e>
        </m:d>
      </m:oMath>
      <w:r w:rsidR="00F50BBA" w:rsidRPr="00F85381">
        <w:rPr>
          <w:rFonts w:ascii="Times New Roman" w:eastAsia="Times New Roman" w:hAnsi="Times New Roman" w:cs="Times New Roman"/>
        </w:rPr>
        <w:tab/>
      </w:r>
      <w:r w:rsidR="00F50BBA" w:rsidRPr="00F85381">
        <w:rPr>
          <w:rFonts w:ascii="Times New Roman" w:eastAsia="Times New Roman" w:hAnsi="Times New Roman" w:cs="Times New Roman"/>
        </w:rPr>
        <w:tab/>
      </w:r>
      <w:r w:rsidR="00F50BBA" w:rsidRPr="00F85381">
        <w:rPr>
          <w:rFonts w:ascii="Times New Roman" w:eastAsia="Times New Roman" w:hAnsi="Times New Roman" w:cs="Times New Roman"/>
        </w:rPr>
        <w:tab/>
      </w:r>
      <w:r w:rsidR="00F50BBA" w:rsidRPr="00F85381">
        <w:rPr>
          <w:rFonts w:ascii="Times New Roman" w:eastAsia="Times New Roman" w:hAnsi="Times New Roman" w:cs="Times New Roman"/>
        </w:rPr>
        <w:tab/>
      </w:r>
      <w:r w:rsidR="00F50BBA" w:rsidRPr="00F85381">
        <w:rPr>
          <w:rFonts w:ascii="Times New Roman" w:eastAsia="Times New Roman" w:hAnsi="Times New Roman" w:cs="Times New Roman"/>
        </w:rPr>
        <w:tab/>
      </w:r>
      <w:r w:rsidR="00F50BBA" w:rsidRPr="00F85381">
        <w:rPr>
          <w:rFonts w:ascii="Times New Roman" w:eastAsia="Times New Roman" w:hAnsi="Times New Roman" w:cs="Times New Roman"/>
        </w:rPr>
        <w:tab/>
      </w:r>
      <w:r w:rsidR="00F50BBA" w:rsidRPr="00F85381">
        <w:rPr>
          <w:rFonts w:ascii="Times New Roman" w:eastAsia="Times New Roman" w:hAnsi="Times New Roman" w:cs="Times New Roman"/>
        </w:rPr>
        <w:tab/>
      </w:r>
      <w:r w:rsidR="00F50BBA" w:rsidRPr="00F85381">
        <w:rPr>
          <w:rFonts w:ascii="Times New Roman" w:eastAsia="Times New Roman" w:hAnsi="Times New Roman" w:cs="Times New Roman"/>
        </w:rPr>
        <w:tab/>
      </w:r>
      <w:r w:rsidR="00F50BBA" w:rsidRPr="00F85381">
        <w:rPr>
          <w:rFonts w:ascii="Times New Roman" w:eastAsia="Times New Roman" w:hAnsi="Times New Roman" w:cs="Times New Roman"/>
        </w:rPr>
        <w:tab/>
        <w:t xml:space="preserve">  (</w:t>
      </w:r>
      <w:r w:rsidR="00053090" w:rsidRPr="00F85381">
        <w:rPr>
          <w:rFonts w:ascii="Times New Roman" w:eastAsia="Times New Roman" w:hAnsi="Times New Roman" w:cs="Times New Roman"/>
        </w:rPr>
        <w:t>2</w:t>
      </w:r>
      <w:r w:rsidR="00F50BBA" w:rsidRPr="00F85381">
        <w:rPr>
          <w:rFonts w:ascii="Times New Roman" w:eastAsia="Times New Roman" w:hAnsi="Times New Roman" w:cs="Times New Roman"/>
        </w:rPr>
        <w:t>)</w:t>
      </w:r>
    </w:p>
    <w:p w14:paraId="2C5E0D84" w14:textId="506439EA"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where, </w:t>
      </w:r>
      <m:oMath>
        <m:bar>
          <m:barPr>
            <m:ctrlPr>
              <w:rPr>
                <w:rFonts w:ascii="Cambria Math" w:eastAsia="Cambria Math" w:hAnsi="Cambria Math" w:cs="Cambria Math"/>
              </w:rPr>
            </m:ctrlPr>
          </m:barPr>
          <m:e>
            <m:r>
              <w:rPr>
                <w:rFonts w:ascii="Cambria Math" w:eastAsia="Cambria Math" w:hAnsi="Cambria Math" w:cs="Cambria Math"/>
              </w:rPr>
              <m:t>w</m:t>
            </m:r>
          </m:e>
        </m:bar>
      </m:oMath>
      <w:r w:rsidRPr="00F85381">
        <w:rPr>
          <w:rFonts w:ascii="Times New Roman" w:eastAsia="Times New Roman" w:hAnsi="Times New Roman" w:cs="Times New Roman"/>
        </w:rPr>
        <w:t xml:space="preserve"> denotes the fuzzy mean; </w:t>
      </w:r>
      <w:r w:rsidRPr="00F85381">
        <w:rPr>
          <w:rFonts w:ascii="Times New Roman" w:eastAsia="Times New Roman" w:hAnsi="Times New Roman" w:cs="Times New Roman"/>
          <w:i/>
        </w:rPr>
        <w:t>l</w:t>
      </w:r>
      <w:r w:rsidRPr="00F85381">
        <w:rPr>
          <w:rFonts w:ascii="Times New Roman" w:eastAsia="Times New Roman" w:hAnsi="Times New Roman" w:cs="Times New Roman"/>
        </w:rPr>
        <w:t xml:space="preserve">, </w:t>
      </w:r>
      <w:r w:rsidRPr="00F85381">
        <w:rPr>
          <w:rFonts w:ascii="Times New Roman" w:eastAsia="Times New Roman" w:hAnsi="Times New Roman" w:cs="Times New Roman"/>
          <w:i/>
        </w:rPr>
        <w:t xml:space="preserve">m </w:t>
      </w:r>
      <w:r w:rsidRPr="00F85381">
        <w:rPr>
          <w:rFonts w:ascii="Times New Roman" w:eastAsia="Times New Roman" w:hAnsi="Times New Roman" w:cs="Times New Roman"/>
        </w:rPr>
        <w:t xml:space="preserve">and </w:t>
      </w:r>
      <w:r w:rsidRPr="00F85381">
        <w:rPr>
          <w:rFonts w:ascii="Times New Roman" w:eastAsia="Times New Roman" w:hAnsi="Times New Roman" w:cs="Times New Roman"/>
          <w:i/>
        </w:rPr>
        <w:t>n</w:t>
      </w:r>
      <w:r w:rsidRPr="00F85381">
        <w:rPr>
          <w:rFonts w:ascii="Times New Roman" w:eastAsia="Times New Roman" w:hAnsi="Times New Roman" w:cs="Times New Roman"/>
        </w:rPr>
        <w:t xml:space="preserve"> are the membership functions (as shown in Table </w:t>
      </w:r>
      <w:r w:rsidR="002C2032">
        <w:rPr>
          <w:rFonts w:ascii="Times New Roman" w:eastAsia="Times New Roman" w:hAnsi="Times New Roman" w:cs="Times New Roman"/>
        </w:rPr>
        <w:t>2</w:t>
      </w:r>
      <w:r w:rsidRPr="00F85381">
        <w:rPr>
          <w:rFonts w:ascii="Times New Roman" w:eastAsia="Times New Roman" w:hAnsi="Times New Roman" w:cs="Times New Roman"/>
        </w:rPr>
        <w:t xml:space="preserve">); </w:t>
      </w:r>
      <w:r w:rsidRPr="00F85381">
        <w:rPr>
          <w:rFonts w:ascii="Times New Roman" w:eastAsia="Times New Roman" w:hAnsi="Times New Roman" w:cs="Times New Roman"/>
          <w:i/>
        </w:rPr>
        <w:t>k</w:t>
      </w:r>
      <w:r w:rsidRPr="00F85381">
        <w:rPr>
          <w:rFonts w:ascii="Times New Roman" w:eastAsia="Times New Roman" w:hAnsi="Times New Roman" w:cs="Times New Roman"/>
        </w:rPr>
        <w:t xml:space="preserve"> represents the number of stations in a zone; and </w:t>
      </w:r>
      <w:r w:rsidRPr="00F85381">
        <w:rPr>
          <w:rFonts w:ascii="Times New Roman" w:eastAsia="Times New Roman" w:hAnsi="Times New Roman" w:cs="Times New Roman"/>
          <w:i/>
        </w:rPr>
        <w:t>z</w:t>
      </w:r>
      <w:r w:rsidRPr="00F85381">
        <w:rPr>
          <w:rFonts w:ascii="Times New Roman" w:eastAsia="Times New Roman" w:hAnsi="Times New Roman" w:cs="Times New Roman"/>
        </w:rPr>
        <w:t xml:space="preserve"> represents the zone number. </w:t>
      </w:r>
      <m:oMath>
        <m:bar>
          <m:barPr>
            <m:ctrlPr>
              <w:rPr>
                <w:rFonts w:ascii="Cambria Math" w:hAnsi="Cambria Math"/>
              </w:rPr>
            </m:ctrlPr>
          </m:barPr>
          <m:e>
            <m:sSub>
              <m:sSubPr>
                <m:ctrlPr>
                  <w:rPr>
                    <w:rFonts w:ascii="Cambria Math" w:eastAsia="Cambria Math" w:hAnsi="Cambria Math" w:cs="Cambria Math"/>
                  </w:rPr>
                </m:ctrlPr>
              </m:sSubPr>
              <m:e>
                <m:r>
                  <w:rPr>
                    <w:rFonts w:ascii="Cambria Math" w:eastAsia="Cambria Math" w:hAnsi="Cambria Math" w:cs="Cambria Math"/>
                  </w:rPr>
                  <m:t>w</m:t>
                </m:r>
              </m:e>
              <m:sub>
                <m:r>
                  <w:rPr>
                    <w:rFonts w:ascii="Cambria Math" w:eastAsia="Cambria Math" w:hAnsi="Cambria Math" w:cs="Cambria Math"/>
                  </w:rPr>
                  <m:t>z</m:t>
                </m:r>
              </m:sub>
            </m:sSub>
          </m:e>
        </m:bar>
      </m:oMath>
      <w:r w:rsidRPr="00F85381">
        <w:rPr>
          <w:rFonts w:ascii="Times New Roman" w:eastAsia="Times New Roman" w:hAnsi="Times New Roman" w:cs="Times New Roman"/>
        </w:rPr>
        <w:t xml:space="preserve"> is then used to evaluate the total weight of each WQI, across the 22 zones, by combining the entire upper and lower values and dividing them by the sum of the α-cut values as shown in </w:t>
      </w:r>
      <w:r w:rsidR="00BF5469">
        <w:rPr>
          <w:rFonts w:ascii="Times New Roman" w:eastAsia="Times New Roman" w:hAnsi="Times New Roman" w:cs="Times New Roman"/>
        </w:rPr>
        <w:t>Eq.</w:t>
      </w:r>
      <w:r w:rsidRPr="00F85381">
        <w:rPr>
          <w:rFonts w:ascii="Times New Roman" w:eastAsia="Times New Roman" w:hAnsi="Times New Roman" w:cs="Times New Roman"/>
        </w:rPr>
        <w:t xml:space="preserve"> (</w:t>
      </w:r>
      <w:r w:rsidR="002F7F38" w:rsidRPr="00F85381">
        <w:rPr>
          <w:rFonts w:ascii="Times New Roman" w:eastAsia="Times New Roman" w:hAnsi="Times New Roman" w:cs="Times New Roman"/>
        </w:rPr>
        <w:t>3</w:t>
      </w:r>
      <w:r w:rsidRPr="00F85381">
        <w:rPr>
          <w:rFonts w:ascii="Times New Roman" w:eastAsia="Times New Roman" w:hAnsi="Times New Roman" w:cs="Times New Roman"/>
        </w:rPr>
        <w:t>).</w:t>
      </w:r>
    </w:p>
    <w:p w14:paraId="2F3940DE" w14:textId="71FFED2E" w:rsidR="009F26E3" w:rsidRPr="00F85381" w:rsidRDefault="000B7F85">
      <w:pPr>
        <w:spacing w:after="120" w:line="228" w:lineRule="auto"/>
        <w:rPr>
          <w:rFonts w:ascii="Times New Roman" w:eastAsia="Times New Roman" w:hAnsi="Times New Roman" w:cs="Times New Roman"/>
          <w:sz w:val="20"/>
          <w:szCs w:val="20"/>
        </w:rPr>
      </w:pPr>
      <m:oMath>
        <m:sSub>
          <m:sSubPr>
            <m:ctrlPr>
              <w:rPr>
                <w:rFonts w:ascii="Cambria Math" w:eastAsia="Cambria Math" w:hAnsi="Cambria Math" w:cs="Cambria Math"/>
              </w:rPr>
            </m:ctrlPr>
          </m:sSubPr>
          <m:e>
            <m:r>
              <w:rPr>
                <w:rFonts w:ascii="Cambria Math" w:eastAsia="Cambria Math" w:hAnsi="Cambria Math" w:cs="Cambria Math"/>
              </w:rPr>
              <m:t>W</m:t>
            </m:r>
          </m:e>
          <m:sub>
            <m:r>
              <w:rPr>
                <w:rFonts w:ascii="Cambria Math" w:eastAsia="Cambria Math" w:hAnsi="Cambria Math" w:cs="Cambria Math"/>
              </w:rPr>
              <m:t>idx</m:t>
            </m:r>
          </m:sub>
        </m:sSub>
        <m:r>
          <w:rPr>
            <w:rFonts w:ascii="Cambria Math" w:eastAsia="Cambria Math" w:hAnsi="Cambria Math" w:cs="Cambria Math"/>
          </w:rPr>
          <m:t>=</m:t>
        </m:r>
        <m:d>
          <m:dPr>
            <m:ctrlPr>
              <w:rPr>
                <w:rFonts w:ascii="Cambria Math" w:eastAsia="Cambria Math" w:hAnsi="Cambria Math" w:cs="Cambria Math"/>
              </w:rPr>
            </m:ctrlPr>
          </m:dPr>
          <m:e>
            <m:f>
              <m:fPr>
                <m:ctrlPr>
                  <w:rPr>
                    <w:rFonts w:ascii="Cambria Math" w:eastAsia="Cambria Math" w:hAnsi="Cambria Math" w:cs="Cambria Math"/>
                  </w:rPr>
                </m:ctrlPr>
              </m:fPr>
              <m:num>
                <m:r>
                  <w:rPr>
                    <w:rFonts w:ascii="Cambria Math" w:eastAsia="Cambria Math" w:hAnsi="Cambria Math" w:cs="Cambria Math"/>
                  </w:rPr>
                  <m:t>α</m:t>
                </m:r>
                <m:d>
                  <m:dPr>
                    <m:ctrlPr>
                      <w:rPr>
                        <w:rFonts w:ascii="Cambria Math" w:eastAsia="Cambria Math" w:hAnsi="Cambria Math" w:cs="Cambria Math"/>
                      </w:rPr>
                    </m:ctrlPr>
                  </m:dPr>
                  <m:e>
                    <m:sSub>
                      <m:sSubPr>
                        <m:ctrlPr>
                          <w:rPr>
                            <w:rFonts w:ascii="Cambria Math" w:eastAsia="Cambria Math" w:hAnsi="Cambria Math" w:cs="Cambria Math"/>
                          </w:rPr>
                        </m:ctrlPr>
                      </m:sSubPr>
                      <m:e>
                        <m:bar>
                          <m:barPr>
                            <m:ctrlPr>
                              <w:rPr>
                                <w:rFonts w:ascii="Cambria Math" w:eastAsia="Cambria Math" w:hAnsi="Cambria Math" w:cs="Cambria Math"/>
                              </w:rPr>
                            </m:ctrlPr>
                          </m:barPr>
                          <m:e>
                            <m:sSub>
                              <m:sSubPr>
                                <m:ctrlPr>
                                  <w:rPr>
                                    <w:rFonts w:ascii="Cambria Math" w:eastAsia="Cambria Math" w:hAnsi="Cambria Math" w:cs="Cambria Math"/>
                                  </w:rPr>
                                </m:ctrlPr>
                              </m:sSubPr>
                              <m:e>
                                <m:r>
                                  <w:rPr>
                                    <w:rFonts w:ascii="Cambria Math" w:eastAsia="Cambria Math" w:hAnsi="Cambria Math" w:cs="Cambria Math"/>
                                  </w:rPr>
                                  <m:t>W</m:t>
                                </m:r>
                              </m:e>
                              <m:sub>
                                <m:r>
                                  <w:rPr>
                                    <w:rFonts w:ascii="Cambria Math" w:eastAsia="Cambria Math" w:hAnsi="Cambria Math" w:cs="Cambria Math"/>
                                  </w:rPr>
                                  <m:t>Z</m:t>
                                </m:r>
                              </m:sub>
                            </m:sSub>
                          </m:e>
                        </m:bar>
                      </m:e>
                      <m:sub>
                        <m:r>
                          <w:rPr>
                            <w:rFonts w:ascii="Cambria Math" w:eastAsia="Cambria Math" w:hAnsi="Cambria Math" w:cs="Cambria Math"/>
                          </w:rPr>
                          <m:t>lower</m:t>
                        </m:r>
                      </m:sub>
                    </m:sSub>
                  </m:e>
                </m:d>
              </m:num>
              <m:den>
                <m:nary>
                  <m:naryPr>
                    <m:chr m:val="∑"/>
                    <m:ctrlPr>
                      <w:rPr>
                        <w:rFonts w:ascii="Cambria Math" w:eastAsia="Cambria Math" w:hAnsi="Cambria Math" w:cs="Cambria Math"/>
                      </w:rPr>
                    </m:ctrlPr>
                  </m:naryPr>
                  <m:sub>
                    <m:r>
                      <w:rPr>
                        <w:rFonts w:ascii="Cambria Math" w:eastAsia="Cambria Math" w:hAnsi="Cambria Math" w:cs="Cambria Math"/>
                      </w:rPr>
                      <m:t>i=1</m:t>
                    </m:r>
                  </m:sub>
                  <m:sup>
                    <m:r>
                      <w:rPr>
                        <w:rFonts w:ascii="Cambria Math" w:eastAsia="Cambria Math" w:hAnsi="Cambria Math" w:cs="Cambria Math"/>
                      </w:rPr>
                      <m:t>z</m:t>
                    </m:r>
                  </m:sup>
                  <m:e>
                    <m:sSub>
                      <m:sSubPr>
                        <m:ctrlPr>
                          <w:rPr>
                            <w:rFonts w:ascii="Cambria Math" w:eastAsia="Cambria Math" w:hAnsi="Cambria Math" w:cs="Cambria Math"/>
                          </w:rPr>
                        </m:ctrlPr>
                      </m:sSubPr>
                      <m:e>
                        <m:r>
                          <w:rPr>
                            <w:rFonts w:ascii="Cambria Math" w:eastAsia="Cambria Math" w:hAnsi="Cambria Math" w:cs="Cambria Math"/>
                          </w:rPr>
                          <m:t>α</m:t>
                        </m:r>
                      </m:e>
                      <m:sub>
                        <m:r>
                          <w:rPr>
                            <w:rFonts w:ascii="Cambria Math" w:eastAsia="Cambria Math" w:hAnsi="Cambria Math" w:cs="Cambria Math"/>
                          </w:rPr>
                          <m:t>i</m:t>
                        </m:r>
                      </m:sub>
                    </m:sSub>
                  </m:e>
                </m:nary>
              </m:den>
            </m:f>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α</m:t>
                </m:r>
                <m:d>
                  <m:dPr>
                    <m:ctrlPr>
                      <w:rPr>
                        <w:rFonts w:ascii="Cambria Math" w:eastAsia="Cambria Math" w:hAnsi="Cambria Math" w:cs="Cambria Math"/>
                      </w:rPr>
                    </m:ctrlPr>
                  </m:dPr>
                  <m:e>
                    <m:sSub>
                      <m:sSubPr>
                        <m:ctrlPr>
                          <w:rPr>
                            <w:rFonts w:ascii="Cambria Math" w:eastAsia="Cambria Math" w:hAnsi="Cambria Math" w:cs="Cambria Math"/>
                          </w:rPr>
                        </m:ctrlPr>
                      </m:sSubPr>
                      <m:e>
                        <m:bar>
                          <m:barPr>
                            <m:ctrlPr>
                              <w:rPr>
                                <w:rFonts w:ascii="Cambria Math" w:eastAsia="Cambria Math" w:hAnsi="Cambria Math" w:cs="Cambria Math"/>
                              </w:rPr>
                            </m:ctrlPr>
                          </m:barPr>
                          <m:e>
                            <m:sSub>
                              <m:sSubPr>
                                <m:ctrlPr>
                                  <w:rPr>
                                    <w:rFonts w:ascii="Cambria Math" w:eastAsia="Cambria Math" w:hAnsi="Cambria Math" w:cs="Cambria Math"/>
                                  </w:rPr>
                                </m:ctrlPr>
                              </m:sSubPr>
                              <m:e>
                                <m:r>
                                  <w:rPr>
                                    <w:rFonts w:ascii="Cambria Math" w:eastAsia="Cambria Math" w:hAnsi="Cambria Math" w:cs="Cambria Math"/>
                                  </w:rPr>
                                  <m:t>W</m:t>
                                </m:r>
                              </m:e>
                              <m:sub>
                                <m:r>
                                  <w:rPr>
                                    <w:rFonts w:ascii="Cambria Math" w:eastAsia="Cambria Math" w:hAnsi="Cambria Math" w:cs="Cambria Math"/>
                                  </w:rPr>
                                  <m:t>Z</m:t>
                                </m:r>
                              </m:sub>
                            </m:sSub>
                          </m:e>
                        </m:bar>
                      </m:e>
                      <m:sub>
                        <m:r>
                          <w:rPr>
                            <w:rFonts w:ascii="Cambria Math" w:eastAsia="Cambria Math" w:hAnsi="Cambria Math" w:cs="Cambria Math"/>
                          </w:rPr>
                          <m:t>upper</m:t>
                        </m:r>
                      </m:sub>
                    </m:sSub>
                  </m:e>
                </m:d>
              </m:num>
              <m:den>
                <m:nary>
                  <m:naryPr>
                    <m:chr m:val="∑"/>
                    <m:ctrlPr>
                      <w:rPr>
                        <w:rFonts w:ascii="Cambria Math" w:eastAsia="Cambria Math" w:hAnsi="Cambria Math" w:cs="Cambria Math"/>
                      </w:rPr>
                    </m:ctrlPr>
                  </m:naryPr>
                  <m:sub>
                    <m:r>
                      <w:rPr>
                        <w:rFonts w:ascii="Cambria Math" w:eastAsia="Cambria Math" w:hAnsi="Cambria Math" w:cs="Cambria Math"/>
                      </w:rPr>
                      <m:t>i=1</m:t>
                    </m:r>
                  </m:sub>
                  <m:sup>
                    <m:r>
                      <w:rPr>
                        <w:rFonts w:ascii="Cambria Math" w:eastAsia="Cambria Math" w:hAnsi="Cambria Math" w:cs="Cambria Math"/>
                      </w:rPr>
                      <m:t>z</m:t>
                    </m:r>
                  </m:sup>
                  <m:e>
                    <m:sSub>
                      <m:sSubPr>
                        <m:ctrlPr>
                          <w:rPr>
                            <w:rFonts w:ascii="Cambria Math" w:eastAsia="Cambria Math" w:hAnsi="Cambria Math" w:cs="Cambria Math"/>
                          </w:rPr>
                        </m:ctrlPr>
                      </m:sSubPr>
                      <m:e>
                        <m:r>
                          <w:rPr>
                            <w:rFonts w:ascii="Cambria Math" w:eastAsia="Cambria Math" w:hAnsi="Cambria Math" w:cs="Cambria Math"/>
                          </w:rPr>
                          <m:t>α</m:t>
                        </m:r>
                      </m:e>
                      <m:sub>
                        <m:r>
                          <w:rPr>
                            <w:rFonts w:ascii="Cambria Math" w:eastAsia="Cambria Math" w:hAnsi="Cambria Math" w:cs="Cambria Math"/>
                          </w:rPr>
                          <m:t>i</m:t>
                        </m:r>
                      </m:sub>
                    </m:sSub>
                  </m:e>
                </m:nary>
              </m:den>
            </m:f>
            <m:r>
              <w:rPr>
                <w:rFonts w:ascii="Cambria Math" w:eastAsia="Cambria Math" w:hAnsi="Cambria Math" w:cs="Cambria Math"/>
              </w:rPr>
              <m:t xml:space="preserve"> </m:t>
            </m:r>
          </m:e>
        </m:d>
        <m:r>
          <w:rPr>
            <w:rFonts w:ascii="Cambria Math" w:eastAsia="Cambria Math" w:hAnsi="Cambria Math" w:cs="Cambria Math"/>
          </w:rPr>
          <m:t xml:space="preserve">      z=1,…, 22</m:t>
        </m:r>
      </m:oMath>
      <w:r w:rsidR="00F50BBA" w:rsidRPr="00F85381">
        <w:rPr>
          <w:rFonts w:ascii="Times New Roman" w:eastAsia="Times New Roman" w:hAnsi="Times New Roman" w:cs="Times New Roman"/>
          <w:sz w:val="20"/>
          <w:szCs w:val="20"/>
        </w:rPr>
        <w:tab/>
      </w:r>
      <w:r w:rsidR="00F50BBA" w:rsidRPr="00F85381">
        <w:rPr>
          <w:rFonts w:ascii="Times New Roman" w:eastAsia="Times New Roman" w:hAnsi="Times New Roman" w:cs="Times New Roman"/>
          <w:sz w:val="20"/>
          <w:szCs w:val="20"/>
        </w:rPr>
        <w:tab/>
      </w:r>
      <w:r w:rsidR="00F50BBA" w:rsidRPr="00F85381">
        <w:rPr>
          <w:rFonts w:ascii="Times New Roman" w:eastAsia="Times New Roman" w:hAnsi="Times New Roman" w:cs="Times New Roman"/>
          <w:sz w:val="20"/>
          <w:szCs w:val="20"/>
        </w:rPr>
        <w:tab/>
      </w:r>
      <w:r w:rsidR="00F50BBA" w:rsidRPr="00F85381">
        <w:rPr>
          <w:rFonts w:ascii="Times New Roman" w:eastAsia="Times New Roman" w:hAnsi="Times New Roman" w:cs="Times New Roman"/>
          <w:sz w:val="20"/>
          <w:szCs w:val="20"/>
        </w:rPr>
        <w:tab/>
      </w:r>
      <w:r w:rsidR="00F50BBA" w:rsidRPr="00F85381">
        <w:rPr>
          <w:rFonts w:ascii="Times New Roman" w:eastAsia="Times New Roman" w:hAnsi="Times New Roman" w:cs="Times New Roman"/>
          <w:sz w:val="20"/>
          <w:szCs w:val="20"/>
        </w:rPr>
        <w:tab/>
      </w:r>
      <w:r w:rsidR="00F50BBA" w:rsidRPr="00F85381">
        <w:rPr>
          <w:rFonts w:ascii="Times New Roman" w:eastAsia="Times New Roman" w:hAnsi="Times New Roman" w:cs="Times New Roman"/>
          <w:sz w:val="20"/>
          <w:szCs w:val="20"/>
        </w:rPr>
        <w:tab/>
        <w:t xml:space="preserve">  </w:t>
      </w:r>
      <w:r w:rsidR="00F50BBA" w:rsidRPr="00F85381">
        <w:rPr>
          <w:rFonts w:ascii="Times New Roman" w:eastAsia="Times New Roman" w:hAnsi="Times New Roman" w:cs="Times New Roman"/>
        </w:rPr>
        <w:t>(</w:t>
      </w:r>
      <w:r w:rsidR="002F7F38" w:rsidRPr="00F85381">
        <w:rPr>
          <w:rFonts w:ascii="Times New Roman" w:eastAsia="Times New Roman" w:hAnsi="Times New Roman" w:cs="Times New Roman"/>
        </w:rPr>
        <w:t>3</w:t>
      </w:r>
      <w:r w:rsidR="00F50BBA" w:rsidRPr="00F85381">
        <w:rPr>
          <w:rFonts w:ascii="Times New Roman" w:eastAsia="Times New Roman" w:hAnsi="Times New Roman" w:cs="Times New Roman"/>
        </w:rPr>
        <w:t>)</w:t>
      </w:r>
    </w:p>
    <w:p w14:paraId="427A5C2A" w14:textId="33A2DA3C"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where, </w:t>
      </w:r>
      <w:proofErr w:type="spellStart"/>
      <w:r w:rsidRPr="00F85381">
        <w:rPr>
          <w:rFonts w:ascii="Times New Roman" w:eastAsia="Times New Roman" w:hAnsi="Times New Roman" w:cs="Times New Roman"/>
          <w:i/>
        </w:rPr>
        <w:t>W</w:t>
      </w:r>
      <w:r w:rsidRPr="00F85381">
        <w:rPr>
          <w:rFonts w:ascii="Times New Roman" w:eastAsia="Times New Roman" w:hAnsi="Times New Roman" w:cs="Times New Roman"/>
          <w:i/>
          <w:vertAlign w:val="subscript"/>
        </w:rPr>
        <w:t>idx</w:t>
      </w:r>
      <w:proofErr w:type="spellEnd"/>
      <w:r w:rsidRPr="00F85381">
        <w:rPr>
          <w:rFonts w:ascii="Times New Roman" w:eastAsia="Times New Roman" w:hAnsi="Times New Roman" w:cs="Times New Roman"/>
        </w:rPr>
        <w:t xml:space="preserve"> denotes the fuzzy weight of each WQI; </w:t>
      </w:r>
      <m:oMath>
        <m:r>
          <w:rPr>
            <w:rFonts w:ascii="Cambria Math" w:hAnsi="Cambria Math"/>
          </w:rPr>
          <m:t>α</m:t>
        </m:r>
      </m:oMath>
      <w:r w:rsidRPr="00F85381">
        <w:rPr>
          <w:rFonts w:ascii="Times New Roman" w:eastAsia="Times New Roman" w:hAnsi="Times New Roman" w:cs="Times New Roman"/>
        </w:rPr>
        <w:t xml:space="preserve"> denotes the cut values in the crisp values; </w:t>
      </w:r>
      <w:r w:rsidRPr="00F85381">
        <w:rPr>
          <w:rFonts w:ascii="Times New Roman" w:eastAsia="Times New Roman" w:hAnsi="Times New Roman" w:cs="Times New Roman"/>
          <w:i/>
        </w:rPr>
        <w:t>z</w:t>
      </w:r>
      <w:r w:rsidRPr="00F85381">
        <w:rPr>
          <w:rFonts w:ascii="Times New Roman" w:eastAsia="Times New Roman" w:hAnsi="Times New Roman" w:cs="Times New Roman"/>
        </w:rPr>
        <w:t xml:space="preserve"> presents the number of zones; </w:t>
      </w:r>
      <m:oMath>
        <m:sSub>
          <m:sSubPr>
            <m:ctrlPr>
              <w:rPr>
                <w:rFonts w:ascii="Cambria Math" w:eastAsia="Cambria Math" w:hAnsi="Cambria Math" w:cs="Cambria Math"/>
                <w:sz w:val="18"/>
                <w:szCs w:val="18"/>
              </w:rPr>
            </m:ctrlPr>
          </m:sSubPr>
          <m:e>
            <m:bar>
              <m:barPr>
                <m:ctrlPr>
                  <w:rPr>
                    <w:rFonts w:ascii="Cambria Math" w:hAnsi="Cambria Math"/>
                  </w:rPr>
                </m:ctrlPr>
              </m:barPr>
              <m:e>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W</m:t>
                    </m:r>
                  </m:e>
                  <m:sub>
                    <m:r>
                      <w:rPr>
                        <w:rFonts w:ascii="Cambria Math" w:eastAsia="Cambria Math" w:hAnsi="Cambria Math" w:cs="Cambria Math"/>
                        <w:sz w:val="18"/>
                        <w:szCs w:val="18"/>
                      </w:rPr>
                      <m:t>Z</m:t>
                    </m:r>
                  </m:sub>
                </m:sSub>
              </m:e>
            </m:bar>
          </m:e>
          <m:sub>
            <m:r>
              <w:rPr>
                <w:rFonts w:ascii="Cambria Math" w:eastAsia="Cambria Math" w:hAnsi="Cambria Math" w:cs="Cambria Math"/>
                <w:sz w:val="18"/>
                <w:szCs w:val="18"/>
              </w:rPr>
              <m:t>lower</m:t>
            </m:r>
          </m:sub>
        </m:sSub>
      </m:oMath>
      <w:r w:rsidRPr="00F85381">
        <w:rPr>
          <w:rFonts w:ascii="Times New Roman" w:eastAsia="Times New Roman" w:hAnsi="Times New Roman" w:cs="Times New Roman"/>
        </w:rPr>
        <w:t xml:space="preserve"> and </w:t>
      </w:r>
      <m:oMath>
        <m:sSub>
          <m:sSubPr>
            <m:ctrlPr>
              <w:rPr>
                <w:rFonts w:ascii="Cambria Math" w:eastAsia="Cambria Math" w:hAnsi="Cambria Math" w:cs="Cambria Math"/>
                <w:sz w:val="18"/>
                <w:szCs w:val="18"/>
              </w:rPr>
            </m:ctrlPr>
          </m:sSubPr>
          <m:e>
            <m:bar>
              <m:barPr>
                <m:ctrlPr>
                  <w:rPr>
                    <w:rFonts w:ascii="Cambria Math" w:hAnsi="Cambria Math"/>
                  </w:rPr>
                </m:ctrlPr>
              </m:barPr>
              <m:e>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W</m:t>
                    </m:r>
                  </m:e>
                  <m:sub>
                    <m:r>
                      <w:rPr>
                        <w:rFonts w:ascii="Cambria Math" w:eastAsia="Cambria Math" w:hAnsi="Cambria Math" w:cs="Cambria Math"/>
                        <w:sz w:val="18"/>
                        <w:szCs w:val="18"/>
                      </w:rPr>
                      <m:t>Z</m:t>
                    </m:r>
                  </m:sub>
                </m:sSub>
              </m:e>
            </m:bar>
          </m:e>
          <m:sub>
            <m:r>
              <w:rPr>
                <w:rFonts w:ascii="Cambria Math" w:eastAsia="Cambria Math" w:hAnsi="Cambria Math" w:cs="Cambria Math"/>
                <w:sz w:val="18"/>
                <w:szCs w:val="18"/>
              </w:rPr>
              <m:t>upper</m:t>
            </m:r>
          </m:sub>
        </m:sSub>
      </m:oMath>
      <w:r w:rsidRPr="00F85381">
        <w:rPr>
          <w:rFonts w:ascii="Times New Roman" w:eastAsia="Times New Roman" w:hAnsi="Times New Roman" w:cs="Times New Roman"/>
        </w:rPr>
        <w:t xml:space="preserve"> are the upper and lower bounds of the </w:t>
      </w:r>
      <m:oMath>
        <m:r>
          <w:rPr>
            <w:rFonts w:ascii="Cambria Math" w:hAnsi="Cambria Math"/>
          </w:rPr>
          <m:t>α</m:t>
        </m:r>
      </m:oMath>
      <w:r w:rsidRPr="00F85381">
        <w:rPr>
          <w:rFonts w:ascii="Times New Roman" w:eastAsia="Times New Roman" w:hAnsi="Times New Roman" w:cs="Times New Roman"/>
        </w:rPr>
        <w:t>-cut values, respectively,</w:t>
      </w:r>
      <w:r w:rsidR="00424F3A" w:rsidRPr="00F85381">
        <w:rPr>
          <w:rFonts w:ascii="Times New Roman" w:eastAsia="Times New Roman" w:hAnsi="Times New Roman" w:cs="Times New Roman"/>
        </w:rPr>
        <w:t xml:space="preserve"> </w:t>
      </w:r>
      <w:r w:rsidRPr="00F85381">
        <w:rPr>
          <w:rFonts w:ascii="Times New Roman" w:eastAsia="Times New Roman" w:hAnsi="Times New Roman" w:cs="Times New Roman"/>
        </w:rPr>
        <w:t xml:space="preserve">using the weighting average method (Kim </w:t>
      </w:r>
      <w:r w:rsidR="006E6278" w:rsidRPr="00F85381">
        <w:rPr>
          <w:rFonts w:ascii="Times New Roman" w:eastAsia="Times New Roman" w:hAnsi="Times New Roman" w:cs="Times New Roman"/>
        </w:rPr>
        <w:t>and</w:t>
      </w:r>
      <w:r w:rsidRPr="00F85381">
        <w:rPr>
          <w:rFonts w:ascii="Times New Roman" w:eastAsia="Times New Roman" w:hAnsi="Times New Roman" w:cs="Times New Roman"/>
        </w:rPr>
        <w:t xml:space="preserve"> Park, 1990; </w:t>
      </w:r>
      <w:proofErr w:type="spellStart"/>
      <w:r w:rsidRPr="00F85381">
        <w:rPr>
          <w:rFonts w:ascii="Times New Roman" w:eastAsia="Times New Roman" w:hAnsi="Times New Roman" w:cs="Times New Roman"/>
        </w:rPr>
        <w:t>Klir</w:t>
      </w:r>
      <w:proofErr w:type="spellEnd"/>
      <w:r w:rsidRPr="00F85381">
        <w:rPr>
          <w:rFonts w:ascii="Times New Roman" w:eastAsia="Times New Roman" w:hAnsi="Times New Roman" w:cs="Times New Roman"/>
        </w:rPr>
        <w:t xml:space="preserve"> </w:t>
      </w:r>
      <w:r w:rsidR="005E4D34" w:rsidRPr="00F85381">
        <w:rPr>
          <w:rFonts w:ascii="Times New Roman" w:eastAsia="Times New Roman" w:hAnsi="Times New Roman" w:cs="Times New Roman"/>
        </w:rPr>
        <w:t>and</w:t>
      </w:r>
      <w:r w:rsidRPr="00F85381">
        <w:rPr>
          <w:rFonts w:ascii="Times New Roman" w:eastAsia="Times New Roman" w:hAnsi="Times New Roman" w:cs="Times New Roman"/>
        </w:rPr>
        <w:t xml:space="preserve"> Yuan, 1995). It should be noted that the factors belonging to the IQA have five </w:t>
      </w:r>
      <m:oMath>
        <m:r>
          <w:rPr>
            <w:rFonts w:ascii="Cambria Math" w:hAnsi="Cambria Math"/>
          </w:rPr>
          <m:t>α</m:t>
        </m:r>
      </m:oMath>
      <w:r w:rsidRPr="00F85381">
        <w:rPr>
          <w:rFonts w:ascii="Times New Roman" w:eastAsia="Times New Roman" w:hAnsi="Times New Roman" w:cs="Times New Roman"/>
        </w:rPr>
        <w:t xml:space="preserve">-cut values and IET have IVA, six cut values. </w:t>
      </w:r>
    </w:p>
    <w:p w14:paraId="6B2E9717" w14:textId="5C190540" w:rsidR="009F26E3" w:rsidRPr="003E335A" w:rsidRDefault="003E335A">
      <w:pPr>
        <w:spacing w:after="120" w:line="228" w:lineRule="auto"/>
        <w:rPr>
          <w:rFonts w:ascii="Times New Roman" w:eastAsia="Times New Roman" w:hAnsi="Times New Roman" w:cs="Times New Roman"/>
          <w:b/>
          <w:i/>
          <w:iCs/>
        </w:rPr>
      </w:pPr>
      <w:r w:rsidRPr="003E335A">
        <w:rPr>
          <w:rFonts w:ascii="Times New Roman" w:eastAsia="Times New Roman" w:hAnsi="Times New Roman" w:cs="Times New Roman"/>
          <w:b/>
          <w:i/>
          <w:iCs/>
        </w:rPr>
        <w:t xml:space="preserve">2.5.4 </w:t>
      </w:r>
      <w:r w:rsidR="00F50BBA" w:rsidRPr="003E335A">
        <w:rPr>
          <w:rFonts w:ascii="Times New Roman" w:eastAsia="Times New Roman" w:hAnsi="Times New Roman" w:cs="Times New Roman"/>
          <w:b/>
          <w:i/>
          <w:iCs/>
        </w:rPr>
        <w:t xml:space="preserve">Step 4: </w:t>
      </w:r>
      <w:proofErr w:type="spellStart"/>
      <w:r w:rsidRPr="003E335A">
        <w:rPr>
          <w:rFonts w:ascii="Times New Roman" w:eastAsia="Times New Roman" w:hAnsi="Times New Roman" w:cs="Times New Roman"/>
          <w:b/>
          <w:i/>
          <w:iCs/>
        </w:rPr>
        <w:t>d</w:t>
      </w:r>
      <w:r w:rsidR="00F50BBA" w:rsidRPr="003E335A">
        <w:rPr>
          <w:rFonts w:ascii="Times New Roman" w:eastAsia="Times New Roman" w:hAnsi="Times New Roman" w:cs="Times New Roman"/>
          <w:b/>
          <w:i/>
          <w:iCs/>
        </w:rPr>
        <w:t>efuzzify</w:t>
      </w:r>
      <w:proofErr w:type="spellEnd"/>
      <w:r w:rsidR="00F50BBA" w:rsidRPr="003E335A">
        <w:rPr>
          <w:rFonts w:ascii="Times New Roman" w:eastAsia="Times New Roman" w:hAnsi="Times New Roman" w:cs="Times New Roman"/>
          <w:b/>
          <w:i/>
          <w:iCs/>
        </w:rPr>
        <w:t xml:space="preserve"> the total weight of each WQI</w:t>
      </w:r>
    </w:p>
    <w:p w14:paraId="75673368" w14:textId="5C2F8466"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In this step, </w:t>
      </w:r>
      <w:proofErr w:type="spellStart"/>
      <w:r w:rsidRPr="00F85381">
        <w:rPr>
          <w:rFonts w:ascii="Times New Roman" w:eastAsia="Times New Roman" w:hAnsi="Times New Roman" w:cs="Times New Roman"/>
          <w:i/>
        </w:rPr>
        <w:t>W</w:t>
      </w:r>
      <w:r w:rsidRPr="00F85381">
        <w:rPr>
          <w:rFonts w:ascii="Times New Roman" w:eastAsia="Times New Roman" w:hAnsi="Times New Roman" w:cs="Times New Roman"/>
          <w:i/>
          <w:vertAlign w:val="subscript"/>
        </w:rPr>
        <w:t>idx</w:t>
      </w:r>
      <w:proofErr w:type="spellEnd"/>
      <w:r w:rsidRPr="00F85381">
        <w:rPr>
          <w:rFonts w:ascii="Times New Roman" w:eastAsia="Times New Roman" w:hAnsi="Times New Roman" w:cs="Times New Roman"/>
        </w:rPr>
        <w:t xml:space="preserve"> is </w:t>
      </w:r>
      <w:proofErr w:type="spellStart"/>
      <w:r w:rsidRPr="00F85381">
        <w:rPr>
          <w:rFonts w:ascii="Times New Roman" w:eastAsia="Times New Roman" w:hAnsi="Times New Roman" w:cs="Times New Roman"/>
        </w:rPr>
        <w:t>defuzzified</w:t>
      </w:r>
      <w:proofErr w:type="spellEnd"/>
      <w:r w:rsidRPr="00F85381">
        <w:rPr>
          <w:rFonts w:ascii="Times New Roman" w:eastAsia="Times New Roman" w:hAnsi="Times New Roman" w:cs="Times New Roman"/>
        </w:rPr>
        <w:t xml:space="preserve"> using </w:t>
      </w:r>
      <w:proofErr w:type="gramStart"/>
      <w:r w:rsidR="00BF5469">
        <w:rPr>
          <w:rFonts w:ascii="Times New Roman" w:eastAsia="Times New Roman" w:hAnsi="Times New Roman" w:cs="Times New Roman"/>
        </w:rPr>
        <w:t>Eq.</w:t>
      </w:r>
      <w:r w:rsidRPr="00F85381">
        <w:rPr>
          <w:rFonts w:ascii="Times New Roman" w:eastAsia="Times New Roman" w:hAnsi="Times New Roman" w:cs="Times New Roman"/>
        </w:rPr>
        <w:t>(</w:t>
      </w:r>
      <w:proofErr w:type="gramEnd"/>
      <w:r w:rsidR="002F7F38" w:rsidRPr="00F85381">
        <w:rPr>
          <w:rFonts w:ascii="Times New Roman" w:eastAsia="Times New Roman" w:hAnsi="Times New Roman" w:cs="Times New Roman"/>
        </w:rPr>
        <w:t>4</w:t>
      </w:r>
      <w:r w:rsidRPr="00F85381">
        <w:rPr>
          <w:rFonts w:ascii="Times New Roman" w:eastAsia="Times New Roman" w:hAnsi="Times New Roman" w:cs="Times New Roman"/>
        </w:rPr>
        <w:t xml:space="preserve">). This process interprets membership degrees into a specific decision. </w:t>
      </w:r>
    </w:p>
    <w:p w14:paraId="132C05E9" w14:textId="72C839EF" w:rsidR="009F26E3" w:rsidRPr="00F85381" w:rsidRDefault="000B7F85" w:rsidP="00424F3A">
      <w:pPr>
        <w:spacing w:after="120" w:line="240" w:lineRule="auto"/>
        <w:rPr>
          <w:rFonts w:ascii="Times New Roman" w:eastAsia="Times New Roman" w:hAnsi="Times New Roman" w:cs="Times New Roman"/>
        </w:rPr>
      </w:pPr>
      <m:oMath>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W</m:t>
            </m:r>
          </m:e>
          <m:sub>
            <m:r>
              <w:rPr>
                <w:rFonts w:ascii="Cambria Math" w:eastAsia="Cambria Math" w:hAnsi="Cambria Math" w:cs="Cambria Math"/>
                <w:sz w:val="18"/>
                <w:szCs w:val="18"/>
              </w:rPr>
              <m:t>id</m:t>
            </m:r>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x</m:t>
                </m:r>
              </m:e>
              <m:sub>
                <m:r>
                  <w:rPr>
                    <w:rFonts w:ascii="Cambria Math" w:eastAsia="Cambria Math" w:hAnsi="Cambria Math" w:cs="Cambria Math"/>
                    <w:sz w:val="18"/>
                    <w:szCs w:val="18"/>
                  </w:rPr>
                  <m:t>T</m:t>
                </m:r>
              </m:sub>
            </m:sSub>
          </m:sub>
        </m:sSub>
        <m:r>
          <w:rPr>
            <w:rFonts w:ascii="Cambria Math" w:eastAsia="Cambria Math" w:hAnsi="Cambria Math" w:cs="Cambria Math"/>
            <w:sz w:val="18"/>
            <w:szCs w:val="18"/>
          </w:rPr>
          <m:t>=</m:t>
        </m:r>
        <m:d>
          <m:dPr>
            <m:begChr m:val="["/>
            <m:endChr m:val="]"/>
            <m:ctrlPr>
              <w:rPr>
                <w:rFonts w:ascii="Cambria Math" w:eastAsia="Cambria Math" w:hAnsi="Cambria Math" w:cs="Cambria Math"/>
                <w:sz w:val="18"/>
                <w:szCs w:val="18"/>
              </w:rPr>
            </m:ctrlPr>
          </m:dPr>
          <m:e>
            <m:r>
              <w:rPr>
                <w:rFonts w:ascii="Cambria Math" w:eastAsia="Cambria Math" w:hAnsi="Cambria Math" w:cs="Cambria Math"/>
                <w:sz w:val="18"/>
                <w:szCs w:val="18"/>
              </w:rPr>
              <m:t>γ</m:t>
            </m:r>
            <m:d>
              <m:dPr>
                <m:ctrlPr>
                  <w:rPr>
                    <w:rFonts w:ascii="Cambria Math" w:eastAsia="Cambria Math" w:hAnsi="Cambria Math" w:cs="Cambria Math"/>
                    <w:sz w:val="18"/>
                    <w:szCs w:val="18"/>
                  </w:rPr>
                </m:ctrlPr>
              </m:dPr>
              <m:e>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W</m:t>
                    </m:r>
                  </m:e>
                  <m:sub>
                    <m:r>
                      <w:rPr>
                        <w:rFonts w:ascii="Cambria Math" w:eastAsia="Cambria Math" w:hAnsi="Cambria Math" w:cs="Cambria Math"/>
                        <w:sz w:val="18"/>
                        <w:szCs w:val="18"/>
                      </w:rPr>
                      <m:t>idx(</m:t>
                    </m:r>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w</m:t>
                        </m:r>
                      </m:e>
                      <m:sub>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z</m:t>
                            </m:r>
                          </m:e>
                          <m:sub>
                            <m:r>
                              <w:rPr>
                                <w:rFonts w:ascii="Cambria Math" w:eastAsia="Cambria Math" w:hAnsi="Cambria Math" w:cs="Cambria Math"/>
                                <w:sz w:val="18"/>
                                <w:szCs w:val="18"/>
                              </w:rPr>
                              <m:t>lower</m:t>
                            </m:r>
                          </m:sub>
                        </m:sSub>
                      </m:sub>
                    </m:sSub>
                    <m:r>
                      <w:rPr>
                        <w:rFonts w:ascii="Cambria Math" w:eastAsia="Cambria Math" w:hAnsi="Cambria Math" w:cs="Cambria Math"/>
                        <w:sz w:val="18"/>
                        <w:szCs w:val="18"/>
                      </w:rPr>
                      <m:t>)</m:t>
                    </m:r>
                  </m:sub>
                </m:sSub>
              </m:e>
            </m:d>
            <m:r>
              <w:rPr>
                <w:rFonts w:ascii="Cambria Math" w:eastAsia="Cambria Math" w:hAnsi="Cambria Math" w:cs="Cambria Math"/>
                <w:sz w:val="18"/>
                <w:szCs w:val="18"/>
              </w:rPr>
              <m:t>×</m:t>
            </m:r>
            <m:d>
              <m:dPr>
                <m:ctrlPr>
                  <w:rPr>
                    <w:rFonts w:ascii="Cambria Math" w:eastAsia="Cambria Math" w:hAnsi="Cambria Math" w:cs="Cambria Math"/>
                    <w:sz w:val="18"/>
                    <w:szCs w:val="18"/>
                  </w:rPr>
                </m:ctrlPr>
              </m:dPr>
              <m:e>
                <m:r>
                  <w:rPr>
                    <w:rFonts w:ascii="Cambria Math" w:eastAsia="Cambria Math" w:hAnsi="Cambria Math" w:cs="Cambria Math"/>
                    <w:sz w:val="18"/>
                    <w:szCs w:val="18"/>
                  </w:rPr>
                  <m:t>1-γ</m:t>
                </m:r>
              </m:e>
            </m:d>
            <m:d>
              <m:dPr>
                <m:ctrlPr>
                  <w:rPr>
                    <w:rFonts w:ascii="Cambria Math" w:eastAsia="Cambria Math" w:hAnsi="Cambria Math" w:cs="Cambria Math"/>
                    <w:sz w:val="18"/>
                    <w:szCs w:val="18"/>
                  </w:rPr>
                </m:ctrlPr>
              </m:dPr>
              <m:e>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W</m:t>
                    </m:r>
                  </m:e>
                  <m:sub>
                    <m:r>
                      <w:rPr>
                        <w:rFonts w:ascii="Cambria Math" w:eastAsia="Cambria Math" w:hAnsi="Cambria Math" w:cs="Cambria Math"/>
                        <w:sz w:val="18"/>
                        <w:szCs w:val="18"/>
                      </w:rPr>
                      <m:t>idx(</m:t>
                    </m:r>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w</m:t>
                        </m:r>
                      </m:e>
                      <m:sub>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z</m:t>
                            </m:r>
                          </m:e>
                          <m:sub>
                            <m:r>
                              <w:rPr>
                                <w:rFonts w:ascii="Cambria Math" w:eastAsia="Cambria Math" w:hAnsi="Cambria Math" w:cs="Cambria Math"/>
                                <w:sz w:val="18"/>
                                <w:szCs w:val="18"/>
                              </w:rPr>
                              <m:t>upper</m:t>
                            </m:r>
                          </m:sub>
                        </m:sSub>
                      </m:sub>
                    </m:sSub>
                    <m:r>
                      <w:rPr>
                        <w:rFonts w:ascii="Cambria Math" w:eastAsia="Cambria Math" w:hAnsi="Cambria Math" w:cs="Cambria Math"/>
                        <w:sz w:val="18"/>
                        <w:szCs w:val="18"/>
                      </w:rPr>
                      <m:t>)</m:t>
                    </m:r>
                  </m:sub>
                </m:sSub>
              </m:e>
            </m:d>
          </m:e>
        </m:d>
        <m:r>
          <w:rPr>
            <w:rFonts w:ascii="Cambria Math" w:eastAsia="Cambria Math" w:hAnsi="Cambria Math" w:cs="Cambria Math"/>
            <w:sz w:val="18"/>
            <w:szCs w:val="18"/>
          </w:rPr>
          <m:t>; γ∈[0,1]</m:t>
        </m:r>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W</m:t>
            </m:r>
          </m:e>
          <m:sub>
            <m:r>
              <w:rPr>
                <w:rFonts w:ascii="Cambria Math" w:eastAsia="Cambria Math" w:hAnsi="Cambria Math" w:cs="Cambria Math"/>
                <w:sz w:val="18"/>
                <w:szCs w:val="18"/>
              </w:rPr>
              <m:t>id</m:t>
            </m:r>
          </m:sub>
        </m:sSub>
        <m:r>
          <w:rPr>
            <w:rFonts w:ascii="Cambria Math" w:eastAsia="Cambria Math" w:hAnsi="Cambria Math" w:cs="Cambria Math"/>
            <w:sz w:val="18"/>
            <w:szCs w:val="18"/>
          </w:rPr>
          <m:t>=</m:t>
        </m:r>
        <m:d>
          <m:dPr>
            <m:begChr m:val="["/>
            <m:endChr m:val="]"/>
            <m:ctrlPr>
              <w:rPr>
                <w:rFonts w:ascii="Cambria Math" w:eastAsia="Cambria Math" w:hAnsi="Cambria Math" w:cs="Cambria Math"/>
                <w:sz w:val="18"/>
                <w:szCs w:val="18"/>
              </w:rPr>
            </m:ctrlPr>
          </m:dPr>
          <m:e>
            <m:r>
              <w:rPr>
                <w:rFonts w:ascii="Cambria Math" w:eastAsia="Cambria Math" w:hAnsi="Cambria Math" w:cs="Cambria Math"/>
                <w:sz w:val="18"/>
                <w:szCs w:val="18"/>
              </w:rPr>
              <m:t>γ</m:t>
            </m:r>
            <m:d>
              <m:dPr>
                <m:ctrlPr>
                  <w:rPr>
                    <w:rFonts w:ascii="Cambria Math" w:eastAsia="Cambria Math" w:hAnsi="Cambria Math" w:cs="Cambria Math"/>
                    <w:sz w:val="18"/>
                    <w:szCs w:val="18"/>
                  </w:rPr>
                </m:ctrlPr>
              </m:dPr>
              <m:e>
                <m:f>
                  <m:fPr>
                    <m:ctrlPr>
                      <w:rPr>
                        <w:rFonts w:ascii="Cambria Math" w:eastAsia="Cambria Math" w:hAnsi="Cambria Math" w:cs="Cambria Math"/>
                        <w:sz w:val="18"/>
                        <w:szCs w:val="18"/>
                      </w:rPr>
                    </m:ctrlPr>
                  </m:fPr>
                  <m:num>
                    <m:r>
                      <w:rPr>
                        <w:rFonts w:ascii="Cambria Math" w:eastAsia="Cambria Math" w:hAnsi="Cambria Math" w:cs="Cambria Math"/>
                        <w:sz w:val="18"/>
                        <w:szCs w:val="18"/>
                      </w:rPr>
                      <m:t>α</m:t>
                    </m:r>
                    <m:d>
                      <m:dPr>
                        <m:ctrlPr>
                          <w:rPr>
                            <w:rFonts w:ascii="Cambria Math" w:eastAsia="Cambria Math" w:hAnsi="Cambria Math" w:cs="Cambria Math"/>
                            <w:sz w:val="18"/>
                            <w:szCs w:val="18"/>
                          </w:rPr>
                        </m:ctrlPr>
                      </m:dPr>
                      <m:e>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w</m:t>
                            </m:r>
                          </m:e>
                          <m:sub>
                            <m:r>
                              <w:rPr>
                                <w:rFonts w:ascii="Cambria Math" w:eastAsia="Cambria Math" w:hAnsi="Cambria Math" w:cs="Cambria Math"/>
                                <w:sz w:val="18"/>
                                <w:szCs w:val="18"/>
                              </w:rPr>
                              <m:t>in</m:t>
                            </m:r>
                          </m:sub>
                        </m:sSub>
                      </m:e>
                    </m:d>
                  </m:num>
                  <m:den>
                    <m:nary>
                      <m:naryPr>
                        <m:chr m:val="∑"/>
                        <m:ctrlPr>
                          <w:rPr>
                            <w:rFonts w:ascii="Cambria Math" w:eastAsia="Cambria Math" w:hAnsi="Cambria Math" w:cs="Cambria Math"/>
                            <w:sz w:val="18"/>
                            <w:szCs w:val="18"/>
                          </w:rPr>
                        </m:ctrlPr>
                      </m:naryPr>
                      <m:sub>
                        <m:r>
                          <w:rPr>
                            <w:rFonts w:ascii="Cambria Math" w:eastAsia="Cambria Math" w:hAnsi="Cambria Math" w:cs="Cambria Math"/>
                            <w:sz w:val="18"/>
                            <w:szCs w:val="18"/>
                          </w:rPr>
                          <m:t>i=1</m:t>
                        </m:r>
                      </m:sub>
                      <m:sup>
                        <m:r>
                          <w:rPr>
                            <w:rFonts w:ascii="Cambria Math" w:eastAsia="Cambria Math" w:hAnsi="Cambria Math" w:cs="Cambria Math"/>
                            <w:sz w:val="18"/>
                            <w:szCs w:val="18"/>
                          </w:rPr>
                          <m:t>z</m:t>
                        </m:r>
                      </m:sup>
                      <m:e>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α</m:t>
                            </m:r>
                          </m:e>
                          <m:sub>
                            <m:r>
                              <w:rPr>
                                <w:rFonts w:ascii="Cambria Math" w:eastAsia="Cambria Math" w:hAnsi="Cambria Math" w:cs="Cambria Math"/>
                                <w:sz w:val="18"/>
                                <w:szCs w:val="18"/>
                              </w:rPr>
                              <m:t>i</m:t>
                            </m:r>
                          </m:sub>
                        </m:sSub>
                      </m:e>
                    </m:nary>
                  </m:den>
                </m:f>
              </m:e>
            </m:d>
            <m:r>
              <w:rPr>
                <w:rFonts w:ascii="Cambria Math" w:eastAsia="Cambria Math" w:hAnsi="Cambria Math" w:cs="Cambria Math"/>
                <w:sz w:val="18"/>
                <w:szCs w:val="18"/>
              </w:rPr>
              <m:t>×</m:t>
            </m:r>
            <m:d>
              <m:dPr>
                <m:ctrlPr>
                  <w:rPr>
                    <w:rFonts w:ascii="Cambria Math" w:eastAsia="Cambria Math" w:hAnsi="Cambria Math" w:cs="Cambria Math"/>
                    <w:sz w:val="18"/>
                    <w:szCs w:val="18"/>
                  </w:rPr>
                </m:ctrlPr>
              </m:dPr>
              <m:e>
                <m:r>
                  <w:rPr>
                    <w:rFonts w:ascii="Cambria Math" w:eastAsia="Cambria Math" w:hAnsi="Cambria Math" w:cs="Cambria Math"/>
                    <w:sz w:val="18"/>
                    <w:szCs w:val="18"/>
                  </w:rPr>
                  <m:t>1-γ</m:t>
                </m:r>
              </m:e>
            </m:d>
            <m:d>
              <m:dPr>
                <m:ctrlPr>
                  <w:rPr>
                    <w:rFonts w:ascii="Cambria Math" w:eastAsia="Cambria Math" w:hAnsi="Cambria Math" w:cs="Cambria Math"/>
                    <w:sz w:val="18"/>
                    <w:szCs w:val="18"/>
                  </w:rPr>
                </m:ctrlPr>
              </m:dPr>
              <m:e>
                <m:f>
                  <m:fPr>
                    <m:ctrlPr>
                      <w:rPr>
                        <w:rFonts w:ascii="Cambria Math" w:eastAsia="Cambria Math" w:hAnsi="Cambria Math" w:cs="Cambria Math"/>
                        <w:sz w:val="18"/>
                        <w:szCs w:val="18"/>
                      </w:rPr>
                    </m:ctrlPr>
                  </m:fPr>
                  <m:num>
                    <m:r>
                      <w:rPr>
                        <w:rFonts w:ascii="Cambria Math" w:eastAsia="Cambria Math" w:hAnsi="Cambria Math" w:cs="Cambria Math"/>
                        <w:sz w:val="18"/>
                        <w:szCs w:val="18"/>
                      </w:rPr>
                      <m:t>α</m:t>
                    </m:r>
                    <m:d>
                      <m:dPr>
                        <m:ctrlPr>
                          <w:rPr>
                            <w:rFonts w:ascii="Cambria Math" w:eastAsia="Cambria Math" w:hAnsi="Cambria Math" w:cs="Cambria Math"/>
                            <w:sz w:val="18"/>
                            <w:szCs w:val="18"/>
                          </w:rPr>
                        </m:ctrlPr>
                      </m:dPr>
                      <m:e>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w</m:t>
                            </m:r>
                          </m:e>
                          <m:sub>
                            <m:r>
                              <w:rPr>
                                <w:rFonts w:ascii="Cambria Math" w:eastAsia="Cambria Math" w:hAnsi="Cambria Math" w:cs="Cambria Math"/>
                                <w:sz w:val="18"/>
                                <w:szCs w:val="18"/>
                              </w:rPr>
                              <m:t>il</m:t>
                            </m:r>
                          </m:sub>
                        </m:sSub>
                      </m:e>
                    </m:d>
                  </m:num>
                  <m:den>
                    <m:nary>
                      <m:naryPr>
                        <m:chr m:val="∑"/>
                        <m:ctrlPr>
                          <w:rPr>
                            <w:rFonts w:ascii="Cambria Math" w:eastAsia="Cambria Math" w:hAnsi="Cambria Math" w:cs="Cambria Math"/>
                            <w:sz w:val="18"/>
                            <w:szCs w:val="18"/>
                          </w:rPr>
                        </m:ctrlPr>
                      </m:naryPr>
                      <m:sub>
                        <m:r>
                          <w:rPr>
                            <w:rFonts w:ascii="Cambria Math" w:eastAsia="Cambria Math" w:hAnsi="Cambria Math" w:cs="Cambria Math"/>
                            <w:sz w:val="18"/>
                            <w:szCs w:val="18"/>
                          </w:rPr>
                          <m:t>i=1</m:t>
                        </m:r>
                      </m:sub>
                      <m:sup>
                        <m:r>
                          <w:rPr>
                            <w:rFonts w:ascii="Cambria Math" w:eastAsia="Cambria Math" w:hAnsi="Cambria Math" w:cs="Cambria Math"/>
                            <w:sz w:val="18"/>
                            <w:szCs w:val="18"/>
                          </w:rPr>
                          <m:t>z</m:t>
                        </m:r>
                      </m:sup>
                      <m:e>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α</m:t>
                            </m:r>
                          </m:e>
                          <m:sub>
                            <m:r>
                              <w:rPr>
                                <w:rFonts w:ascii="Cambria Math" w:eastAsia="Cambria Math" w:hAnsi="Cambria Math" w:cs="Cambria Math"/>
                                <w:sz w:val="18"/>
                                <w:szCs w:val="18"/>
                              </w:rPr>
                              <m:t>i</m:t>
                            </m:r>
                          </m:sub>
                        </m:sSub>
                      </m:e>
                    </m:nary>
                  </m:den>
                </m:f>
              </m:e>
            </m:d>
          </m:e>
        </m:d>
        <m:r>
          <w:rPr>
            <w:rFonts w:ascii="Cambria Math" w:eastAsia="Cambria Math" w:hAnsi="Cambria Math" w:cs="Cambria Math"/>
            <w:sz w:val="18"/>
            <w:szCs w:val="18"/>
          </w:rPr>
          <m:t>; γ∈[0,1]</m:t>
        </m:r>
      </m:oMath>
      <w:r w:rsidR="00F50BBA" w:rsidRPr="00F85381">
        <w:rPr>
          <w:rFonts w:ascii="Times New Roman" w:eastAsia="Times New Roman" w:hAnsi="Times New Roman" w:cs="Times New Roman"/>
        </w:rPr>
        <w:tab/>
        <w:t>(</w:t>
      </w:r>
      <w:r w:rsidR="002F7F38" w:rsidRPr="00F85381">
        <w:rPr>
          <w:rFonts w:ascii="Times New Roman" w:eastAsia="Times New Roman" w:hAnsi="Times New Roman" w:cs="Times New Roman"/>
        </w:rPr>
        <w:t>4</w:t>
      </w:r>
      <w:r w:rsidR="00F50BBA" w:rsidRPr="00F85381">
        <w:rPr>
          <w:rFonts w:ascii="Times New Roman" w:eastAsia="Times New Roman" w:hAnsi="Times New Roman" w:cs="Times New Roman"/>
        </w:rPr>
        <w:t>)</w:t>
      </w:r>
    </w:p>
    <w:p w14:paraId="1AEB6921" w14:textId="77777777"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where, </w:t>
      </w:r>
      <m:oMath>
        <m:sSub>
          <m:sSubPr>
            <m:ctrlPr>
              <w:rPr>
                <w:rFonts w:ascii="Cambria Math" w:eastAsia="Cambria Math" w:hAnsi="Cambria Math" w:cs="Cambria Math"/>
              </w:rPr>
            </m:ctrlPr>
          </m:sSubPr>
          <m:e>
            <m:r>
              <w:rPr>
                <w:rFonts w:ascii="Cambria Math" w:eastAsia="Cambria Math" w:hAnsi="Cambria Math" w:cs="Cambria Math"/>
              </w:rPr>
              <m:t>W</m:t>
            </m:r>
          </m:e>
          <m:sub>
            <m:r>
              <w:rPr>
                <w:rFonts w:ascii="Cambria Math" w:eastAsia="Cambria Math" w:hAnsi="Cambria Math" w:cs="Cambria Math"/>
              </w:rPr>
              <m:t>id</m:t>
            </m:r>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T</m:t>
                </m:r>
              </m:sub>
            </m:sSub>
          </m:sub>
        </m:sSub>
      </m:oMath>
      <w:r w:rsidRPr="00F85381">
        <w:rPr>
          <w:rFonts w:ascii="Times New Roman" w:eastAsia="Times New Roman" w:hAnsi="Times New Roman" w:cs="Times New Roman"/>
        </w:rPr>
        <w:t xml:space="preserve"> denotes the total weight of each WQI in a zone;</w:t>
      </w:r>
      <w:r w:rsidRPr="00F85381">
        <w:rPr>
          <w:rFonts w:ascii="Times New Roman" w:eastAsia="Times New Roman" w:hAnsi="Times New Roman" w:cs="Times New Roman"/>
          <w:i/>
        </w:rPr>
        <w:t xml:space="preserve"> </w:t>
      </w:r>
      <m:oMath>
        <m:r>
          <w:rPr>
            <w:rFonts w:ascii="Cambria Math" w:hAnsi="Cambria Math"/>
          </w:rPr>
          <m:t>γ</m:t>
        </m:r>
        <m:r>
          <w:rPr>
            <w:rFonts w:ascii="Cambria Math" w:eastAsia="Cambria Math" w:hAnsi="Cambria Math" w:cs="Cambria Math"/>
          </w:rPr>
          <m:t xml:space="preserve"> </m:t>
        </m:r>
      </m:oMath>
      <w:r w:rsidRPr="00F85381">
        <w:rPr>
          <w:rFonts w:ascii="Times New Roman" w:eastAsia="Times New Roman" w:hAnsi="Times New Roman" w:cs="Times New Roman"/>
        </w:rPr>
        <w:t xml:space="preserve">represents optimism index (i.e. reflects risk-taking attitude of decision makers); </w:t>
      </w:r>
      <w:r w:rsidRPr="00F85381">
        <w:rPr>
          <w:rFonts w:ascii="Times New Roman" w:eastAsia="Times New Roman" w:hAnsi="Times New Roman" w:cs="Times New Roman"/>
          <w:i/>
        </w:rPr>
        <w:t>z</w:t>
      </w:r>
      <w:r w:rsidRPr="00F85381">
        <w:rPr>
          <w:rFonts w:ascii="Times New Roman" w:eastAsia="Times New Roman" w:hAnsi="Times New Roman" w:cs="Times New Roman"/>
        </w:rPr>
        <w:t xml:space="preserve"> presents the number of zones.</w:t>
      </w:r>
    </w:p>
    <w:p w14:paraId="542CD447" w14:textId="63FB1061" w:rsidR="009F26E3" w:rsidRPr="004D31AA" w:rsidRDefault="004D31AA">
      <w:pPr>
        <w:spacing w:after="120" w:line="228" w:lineRule="auto"/>
        <w:rPr>
          <w:rFonts w:ascii="Times New Roman" w:eastAsia="Times New Roman" w:hAnsi="Times New Roman" w:cs="Times New Roman"/>
          <w:b/>
          <w:i/>
          <w:iCs/>
        </w:rPr>
      </w:pPr>
      <w:r w:rsidRPr="004D31AA">
        <w:rPr>
          <w:rFonts w:ascii="Times New Roman" w:eastAsia="Times New Roman" w:hAnsi="Times New Roman" w:cs="Times New Roman"/>
          <w:b/>
          <w:i/>
          <w:iCs/>
        </w:rPr>
        <w:t xml:space="preserve">2.5.5 </w:t>
      </w:r>
      <w:r w:rsidR="00F50BBA" w:rsidRPr="004D31AA">
        <w:rPr>
          <w:rFonts w:ascii="Times New Roman" w:eastAsia="Times New Roman" w:hAnsi="Times New Roman" w:cs="Times New Roman"/>
          <w:b/>
          <w:i/>
          <w:iCs/>
        </w:rPr>
        <w:t xml:space="preserve">Step 5: </w:t>
      </w:r>
      <w:r w:rsidRPr="004D31AA">
        <w:rPr>
          <w:rFonts w:ascii="Times New Roman" w:eastAsia="Times New Roman" w:hAnsi="Times New Roman" w:cs="Times New Roman"/>
          <w:b/>
          <w:i/>
          <w:iCs/>
        </w:rPr>
        <w:t>f</w:t>
      </w:r>
      <w:r w:rsidR="00F50BBA" w:rsidRPr="004D31AA">
        <w:rPr>
          <w:rFonts w:ascii="Times New Roman" w:eastAsia="Times New Roman" w:hAnsi="Times New Roman" w:cs="Times New Roman"/>
          <w:b/>
          <w:i/>
          <w:iCs/>
        </w:rPr>
        <w:t xml:space="preserve">ine-tune the </w:t>
      </w:r>
      <w:proofErr w:type="gramStart"/>
      <w:r w:rsidR="00F50BBA" w:rsidRPr="004D31AA">
        <w:rPr>
          <w:rFonts w:ascii="Times New Roman" w:eastAsia="Times New Roman" w:hAnsi="Times New Roman" w:cs="Times New Roman"/>
          <w:b/>
          <w:i/>
          <w:iCs/>
        </w:rPr>
        <w:t>parameters</w:t>
      </w:r>
      <w:proofErr w:type="gramEnd"/>
      <w:r w:rsidR="00F50BBA" w:rsidRPr="004D31AA">
        <w:rPr>
          <w:rFonts w:ascii="Times New Roman" w:eastAsia="Times New Roman" w:hAnsi="Times New Roman" w:cs="Times New Roman"/>
          <w:b/>
          <w:i/>
          <w:iCs/>
        </w:rPr>
        <w:t xml:space="preserve"> </w:t>
      </w:r>
    </w:p>
    <w:p w14:paraId="56D897F6" w14:textId="77777777"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In this step, the ANN parameters are fine-tuned until the minimum errors are obtained. The root mean square error (RMSE) method is used to calculate the errors.</w:t>
      </w:r>
    </w:p>
    <w:p w14:paraId="4E4A8EFC" w14:textId="4D5F8593" w:rsidR="009F26E3" w:rsidRPr="004D31AA" w:rsidRDefault="004D31AA">
      <w:pPr>
        <w:spacing w:after="120" w:line="228" w:lineRule="auto"/>
        <w:rPr>
          <w:rFonts w:ascii="Times New Roman" w:eastAsia="Times New Roman" w:hAnsi="Times New Roman" w:cs="Times New Roman"/>
          <w:b/>
          <w:i/>
          <w:iCs/>
        </w:rPr>
      </w:pPr>
      <w:r w:rsidRPr="004D31AA">
        <w:rPr>
          <w:rFonts w:ascii="Times New Roman" w:eastAsia="Times New Roman" w:hAnsi="Times New Roman" w:cs="Times New Roman"/>
          <w:b/>
          <w:i/>
          <w:iCs/>
        </w:rPr>
        <w:lastRenderedPageBreak/>
        <w:t xml:space="preserve">2.5.6 </w:t>
      </w:r>
      <w:r w:rsidR="00F50BBA" w:rsidRPr="004D31AA">
        <w:rPr>
          <w:rFonts w:ascii="Times New Roman" w:eastAsia="Times New Roman" w:hAnsi="Times New Roman" w:cs="Times New Roman"/>
          <w:b/>
          <w:i/>
          <w:iCs/>
        </w:rPr>
        <w:t xml:space="preserve">Step 6: </w:t>
      </w:r>
      <w:r w:rsidRPr="004D31AA">
        <w:rPr>
          <w:rFonts w:ascii="Times New Roman" w:eastAsia="Times New Roman" w:hAnsi="Times New Roman" w:cs="Times New Roman"/>
          <w:b/>
          <w:i/>
          <w:iCs/>
        </w:rPr>
        <w:t>i</w:t>
      </w:r>
      <w:r w:rsidR="00F50BBA" w:rsidRPr="004D31AA">
        <w:rPr>
          <w:rFonts w:ascii="Times New Roman" w:eastAsia="Times New Roman" w:hAnsi="Times New Roman" w:cs="Times New Roman"/>
          <w:b/>
          <w:i/>
          <w:iCs/>
        </w:rPr>
        <w:t xml:space="preserve">dentify and rank the critical </w:t>
      </w:r>
      <w:proofErr w:type="gramStart"/>
      <w:r w:rsidR="00F50BBA" w:rsidRPr="004D31AA">
        <w:rPr>
          <w:rFonts w:ascii="Times New Roman" w:eastAsia="Times New Roman" w:hAnsi="Times New Roman" w:cs="Times New Roman"/>
          <w:b/>
          <w:i/>
          <w:iCs/>
        </w:rPr>
        <w:t>zones</w:t>
      </w:r>
      <w:proofErr w:type="gramEnd"/>
      <w:r w:rsidR="00F50BBA" w:rsidRPr="004D31AA">
        <w:rPr>
          <w:rFonts w:ascii="Times New Roman" w:eastAsia="Times New Roman" w:hAnsi="Times New Roman" w:cs="Times New Roman"/>
          <w:b/>
          <w:i/>
          <w:iCs/>
        </w:rPr>
        <w:t xml:space="preserve"> </w:t>
      </w:r>
    </w:p>
    <w:p w14:paraId="1D5C327D" w14:textId="1EB67694"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Generally, the critical zones are determined using </w:t>
      </w:r>
      <m:oMath>
        <m:sSub>
          <m:sSubPr>
            <m:ctrlPr>
              <w:rPr>
                <w:rFonts w:ascii="Cambria Math" w:eastAsia="Cambria Math" w:hAnsi="Cambria Math" w:cs="Cambria Math"/>
              </w:rPr>
            </m:ctrlPr>
          </m:sSubPr>
          <m:e>
            <m:r>
              <w:rPr>
                <w:rFonts w:ascii="Cambria Math" w:hAnsi="Cambria Math"/>
              </w:rPr>
              <m:t>δ</m:t>
            </m:r>
          </m:e>
          <m:sub>
            <m:r>
              <w:rPr>
                <w:rFonts w:ascii="Cambria Math" w:eastAsia="Cambria Math" w:hAnsi="Cambria Math" w:cs="Cambria Math"/>
              </w:rPr>
              <m:t>k</m:t>
            </m:r>
          </m:sub>
        </m:sSub>
      </m:oMath>
      <w:r w:rsidRPr="00F85381">
        <w:rPr>
          <w:rFonts w:ascii="Times New Roman" w:eastAsia="Times New Roman" w:hAnsi="Times New Roman" w:cs="Times New Roman"/>
        </w:rPr>
        <w:t xml:space="preserve"> and </w:t>
      </w:r>
      <m:oMath>
        <m:sSub>
          <m:sSubPr>
            <m:ctrlPr>
              <w:rPr>
                <w:rFonts w:ascii="Cambria Math" w:eastAsia="Cambria Math" w:hAnsi="Cambria Math" w:cs="Cambria Math"/>
              </w:rPr>
            </m:ctrlPr>
          </m:sSubPr>
          <m:e>
            <m:r>
              <w:rPr>
                <w:rFonts w:ascii="Cambria Math" w:eastAsia="Cambria Math" w:hAnsi="Cambria Math" w:cs="Cambria Math"/>
              </w:rPr>
              <m:t>W</m:t>
            </m:r>
          </m:e>
          <m:sub>
            <m:r>
              <w:rPr>
                <w:rFonts w:ascii="Cambria Math" w:eastAsia="Cambria Math" w:hAnsi="Cambria Math" w:cs="Cambria Math"/>
              </w:rPr>
              <m:t>id</m:t>
            </m:r>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T</m:t>
                </m:r>
              </m:sub>
            </m:sSub>
          </m:sub>
        </m:sSub>
      </m:oMath>
      <w:r w:rsidRPr="00F85381">
        <w:rPr>
          <w:rFonts w:ascii="Times New Roman" w:eastAsia="Times New Roman" w:hAnsi="Times New Roman" w:cs="Times New Roman"/>
        </w:rPr>
        <w:t xml:space="preserve"> as shown in </w:t>
      </w:r>
      <w:r w:rsidR="00BF5469">
        <w:rPr>
          <w:rFonts w:ascii="Times New Roman" w:eastAsia="Times New Roman" w:hAnsi="Times New Roman" w:cs="Times New Roman"/>
        </w:rPr>
        <w:t>Eq.</w:t>
      </w:r>
      <w:r w:rsidRPr="00F85381">
        <w:rPr>
          <w:rFonts w:ascii="Times New Roman" w:eastAsia="Times New Roman" w:hAnsi="Times New Roman" w:cs="Times New Roman"/>
        </w:rPr>
        <w:t xml:space="preserve"> (</w:t>
      </w:r>
      <w:r w:rsidR="00DE74C1" w:rsidRPr="00F85381">
        <w:rPr>
          <w:rFonts w:ascii="Times New Roman" w:eastAsia="Times New Roman" w:hAnsi="Times New Roman" w:cs="Times New Roman"/>
        </w:rPr>
        <w:t>3</w:t>
      </w:r>
      <w:r w:rsidRPr="00F85381">
        <w:rPr>
          <w:rFonts w:ascii="Times New Roman" w:eastAsia="Times New Roman" w:hAnsi="Times New Roman" w:cs="Times New Roman"/>
        </w:rPr>
        <w:t xml:space="preserve">). To identify the most critical zones, initially all zones are ranked based on their </w:t>
      </w:r>
      <m:oMath>
        <m:sSub>
          <m:sSubPr>
            <m:ctrlPr>
              <w:rPr>
                <w:rFonts w:ascii="Cambria Math" w:eastAsia="Cambria Math" w:hAnsi="Cambria Math" w:cs="Cambria Math"/>
              </w:rPr>
            </m:ctrlPr>
          </m:sSubPr>
          <m:e>
            <m:r>
              <w:rPr>
                <w:rFonts w:ascii="Cambria Math" w:eastAsia="Cambria Math" w:hAnsi="Cambria Math" w:cs="Cambria Math"/>
              </w:rPr>
              <m:t>W</m:t>
            </m:r>
          </m:e>
          <m:sub>
            <m:r>
              <w:rPr>
                <w:rFonts w:ascii="Cambria Math" w:eastAsia="Cambria Math" w:hAnsi="Cambria Math" w:cs="Cambria Math"/>
              </w:rPr>
              <m:t>id</m:t>
            </m:r>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T</m:t>
                </m:r>
              </m:sub>
            </m:sSub>
          </m:sub>
        </m:sSub>
      </m:oMath>
      <w:r w:rsidRPr="00F85381">
        <w:rPr>
          <w:rFonts w:ascii="Times New Roman" w:eastAsia="Times New Roman" w:hAnsi="Times New Roman" w:cs="Times New Roman"/>
        </w:rPr>
        <w:t xml:space="preserve"> (for each WQI). The higher </w:t>
      </w:r>
      <m:oMath>
        <m:sSub>
          <m:sSubPr>
            <m:ctrlPr>
              <w:rPr>
                <w:rFonts w:ascii="Cambria Math" w:eastAsia="Cambria Math" w:hAnsi="Cambria Math" w:cs="Cambria Math"/>
              </w:rPr>
            </m:ctrlPr>
          </m:sSubPr>
          <m:e>
            <m:r>
              <w:rPr>
                <w:rFonts w:ascii="Cambria Math" w:eastAsia="Cambria Math" w:hAnsi="Cambria Math" w:cs="Cambria Math"/>
              </w:rPr>
              <m:t>W</m:t>
            </m:r>
          </m:e>
          <m:sub>
            <m:r>
              <w:rPr>
                <w:rFonts w:ascii="Cambria Math" w:eastAsia="Cambria Math" w:hAnsi="Cambria Math" w:cs="Cambria Math"/>
              </w:rPr>
              <m:t>id</m:t>
            </m:r>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T</m:t>
                </m:r>
              </m:sub>
            </m:sSub>
          </m:sub>
        </m:sSub>
      </m:oMath>
      <w:r w:rsidRPr="00F85381">
        <w:rPr>
          <w:rFonts w:ascii="Times New Roman" w:eastAsia="Times New Roman" w:hAnsi="Times New Roman" w:cs="Times New Roman"/>
        </w:rPr>
        <w:t>values represent more criticality (lower resilience</w:t>
      </w:r>
      <w:proofErr w:type="gramStart"/>
      <w:r w:rsidRPr="00F85381">
        <w:rPr>
          <w:rFonts w:ascii="Times New Roman" w:eastAsia="Times New Roman" w:hAnsi="Times New Roman" w:cs="Times New Roman"/>
        </w:rPr>
        <w:t>)</w:t>
      </w:r>
      <w:proofErr w:type="gramEnd"/>
      <w:r w:rsidRPr="00F85381">
        <w:rPr>
          <w:rFonts w:ascii="Times New Roman" w:eastAsia="Times New Roman" w:hAnsi="Times New Roman" w:cs="Times New Roman"/>
        </w:rPr>
        <w:t xml:space="preserve"> and the lower ones represent less criticality (higher resilience). </w:t>
      </w:r>
    </w:p>
    <w:p w14:paraId="7509B030" w14:textId="5A198A07"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The ranking process follows the ‘stack principle’ in a standard data structure for a given list. In other words, the ‘stack’ contains the most critical zones. For example, if the stack contains a lower </w:t>
      </w:r>
      <m:oMath>
        <m:sSub>
          <m:sSubPr>
            <m:ctrlPr>
              <w:rPr>
                <w:rFonts w:ascii="Cambria Math" w:eastAsia="Cambria Math" w:hAnsi="Cambria Math" w:cs="Cambria Math"/>
              </w:rPr>
            </m:ctrlPr>
          </m:sSubPr>
          <m:e>
            <m:r>
              <w:rPr>
                <w:rFonts w:ascii="Cambria Math" w:eastAsia="Cambria Math" w:hAnsi="Cambria Math" w:cs="Cambria Math"/>
              </w:rPr>
              <m:t>W</m:t>
            </m:r>
          </m:e>
          <m:sub>
            <m:r>
              <w:rPr>
                <w:rFonts w:ascii="Cambria Math" w:eastAsia="Cambria Math" w:hAnsi="Cambria Math" w:cs="Cambria Math"/>
              </w:rPr>
              <m:t>id</m:t>
            </m:r>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T</m:t>
                </m:r>
              </m:sub>
            </m:sSub>
          </m:sub>
        </m:sSub>
      </m:oMath>
      <w:r w:rsidRPr="00F85381">
        <w:rPr>
          <w:rFonts w:ascii="Times New Roman" w:eastAsia="Times New Roman" w:hAnsi="Times New Roman" w:cs="Times New Roman"/>
        </w:rPr>
        <w:t xml:space="preserve"> for IQA (i.e. less critical) in one zone and a higher </w:t>
      </w:r>
      <m:oMath>
        <m:sSub>
          <m:sSubPr>
            <m:ctrlPr>
              <w:rPr>
                <w:rFonts w:ascii="Cambria Math" w:eastAsia="Cambria Math" w:hAnsi="Cambria Math" w:cs="Cambria Math"/>
              </w:rPr>
            </m:ctrlPr>
          </m:sSubPr>
          <m:e>
            <m:r>
              <w:rPr>
                <w:rFonts w:ascii="Cambria Math" w:eastAsia="Cambria Math" w:hAnsi="Cambria Math" w:cs="Cambria Math"/>
              </w:rPr>
              <m:t>W</m:t>
            </m:r>
          </m:e>
          <m:sub>
            <m:r>
              <w:rPr>
                <w:rFonts w:ascii="Cambria Math" w:eastAsia="Cambria Math" w:hAnsi="Cambria Math" w:cs="Cambria Math"/>
              </w:rPr>
              <m:t>id</m:t>
            </m:r>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T</m:t>
                </m:r>
              </m:sub>
            </m:sSub>
          </m:sub>
        </m:sSub>
      </m:oMath>
      <w:r w:rsidRPr="00F85381">
        <w:rPr>
          <w:rFonts w:ascii="Times New Roman" w:eastAsia="Times New Roman" w:hAnsi="Times New Roman" w:cs="Times New Roman"/>
        </w:rPr>
        <w:t xml:space="preserve"> for IQA in the next one (i.e. more critical), then the stack pops that zone and pushes the new one. In this study, it includes the highest values for IET and IVA and the lowest values for IQA in a monitoring station (see </w:t>
      </w:r>
      <w:r w:rsidR="00BF5469">
        <w:rPr>
          <w:rFonts w:ascii="Times New Roman" w:eastAsia="Times New Roman" w:hAnsi="Times New Roman" w:cs="Times New Roman"/>
        </w:rPr>
        <w:t>Eq.</w:t>
      </w:r>
      <w:r w:rsidRPr="00F85381">
        <w:rPr>
          <w:rFonts w:ascii="Times New Roman" w:eastAsia="Times New Roman" w:hAnsi="Times New Roman" w:cs="Times New Roman"/>
        </w:rPr>
        <w:t xml:space="preserve"> (</w:t>
      </w:r>
      <w:r w:rsidR="00E95A0E" w:rsidRPr="00F85381">
        <w:rPr>
          <w:rFonts w:ascii="Times New Roman" w:eastAsia="Times New Roman" w:hAnsi="Times New Roman" w:cs="Times New Roman"/>
        </w:rPr>
        <w:t>5</w:t>
      </w:r>
      <w:r w:rsidRPr="00F85381">
        <w:rPr>
          <w:rFonts w:ascii="Times New Roman" w:eastAsia="Times New Roman" w:hAnsi="Times New Roman" w:cs="Times New Roman"/>
        </w:rPr>
        <w:t xml:space="preserve">)). </w:t>
      </w:r>
      <w:r w:rsidR="00BF5469">
        <w:rPr>
          <w:rFonts w:ascii="Times New Roman" w:eastAsia="Times New Roman" w:hAnsi="Times New Roman" w:cs="Times New Roman"/>
        </w:rPr>
        <w:t>Eq.</w:t>
      </w:r>
      <w:r w:rsidRPr="00F85381">
        <w:rPr>
          <w:rFonts w:ascii="Times New Roman" w:eastAsia="Times New Roman" w:hAnsi="Times New Roman" w:cs="Times New Roman"/>
        </w:rPr>
        <w:t xml:space="preserve"> (</w:t>
      </w:r>
      <w:r w:rsidR="00E95A0E" w:rsidRPr="00F85381">
        <w:rPr>
          <w:rFonts w:ascii="Times New Roman" w:eastAsia="Times New Roman" w:hAnsi="Times New Roman" w:cs="Times New Roman"/>
        </w:rPr>
        <w:t>5</w:t>
      </w:r>
      <w:r w:rsidRPr="00F85381">
        <w:rPr>
          <w:rFonts w:ascii="Times New Roman" w:eastAsia="Times New Roman" w:hAnsi="Times New Roman" w:cs="Times New Roman"/>
        </w:rPr>
        <w:t xml:space="preserve">) illustrates the critical monitoring stations based on the combined WQI importance. This study only considers a zone with more than two critical stations for each WQI. Drawing on these, each monitoring station can be expressed by </w:t>
      </w:r>
      <w:r w:rsidR="00BF5469">
        <w:rPr>
          <w:rFonts w:ascii="Times New Roman" w:eastAsia="Times New Roman" w:hAnsi="Times New Roman" w:cs="Times New Roman"/>
        </w:rPr>
        <w:t>Eq.</w:t>
      </w:r>
      <w:r w:rsidRPr="00F85381">
        <w:rPr>
          <w:rFonts w:ascii="Times New Roman" w:eastAsia="Times New Roman" w:hAnsi="Times New Roman" w:cs="Times New Roman"/>
        </w:rPr>
        <w:t xml:space="preserve"> (</w:t>
      </w:r>
      <w:r w:rsidR="00360183" w:rsidRPr="00F85381">
        <w:rPr>
          <w:rFonts w:ascii="Times New Roman" w:eastAsia="Times New Roman" w:hAnsi="Times New Roman" w:cs="Times New Roman"/>
        </w:rPr>
        <w:t>3</w:t>
      </w:r>
      <w:r w:rsidRPr="00F85381">
        <w:rPr>
          <w:rFonts w:ascii="Times New Roman" w:eastAsia="Times New Roman" w:hAnsi="Times New Roman" w:cs="Times New Roman"/>
        </w:rPr>
        <w:t xml:space="preserve">): </w:t>
      </w:r>
    </w:p>
    <w:p w14:paraId="0FB905EB" w14:textId="2030625F" w:rsidR="009F26E3" w:rsidRPr="00F85381" w:rsidRDefault="000B7F85">
      <w:pPr>
        <w:spacing w:after="120" w:line="228" w:lineRule="auto"/>
        <w:rPr>
          <w:rFonts w:ascii="Times New Roman" w:eastAsia="Times New Roman" w:hAnsi="Times New Roman" w:cs="Times New Roman"/>
        </w:rPr>
      </w:pPr>
      <m:oMath>
        <m:sSubSup>
          <m:sSubSupPr>
            <m:ctrlPr>
              <w:rPr>
                <w:rFonts w:ascii="Cambria Math" w:eastAsia="Cambria Math" w:hAnsi="Cambria Math" w:cs="Cambria Math"/>
                <w:sz w:val="18"/>
                <w:szCs w:val="18"/>
              </w:rPr>
            </m:ctrlPr>
          </m:sSubSupPr>
          <m:e>
            <m:r>
              <w:rPr>
                <w:rFonts w:ascii="Cambria Math" w:eastAsia="Cambria Math" w:hAnsi="Cambria Math" w:cs="Cambria Math"/>
                <w:sz w:val="18"/>
                <w:szCs w:val="18"/>
              </w:rPr>
              <m:t>CS</m:t>
            </m:r>
          </m:e>
          <m:sub>
            <m:r>
              <w:rPr>
                <w:rFonts w:ascii="Cambria Math" w:eastAsia="Cambria Math" w:hAnsi="Cambria Math" w:cs="Cambria Math"/>
                <w:sz w:val="18"/>
                <w:szCs w:val="18"/>
              </w:rPr>
              <m:t>i</m:t>
            </m:r>
          </m:sub>
          <m:sup>
            <m:r>
              <w:rPr>
                <w:rFonts w:ascii="Cambria Math" w:eastAsia="Cambria Math" w:hAnsi="Cambria Math" w:cs="Cambria Math"/>
                <w:sz w:val="18"/>
                <w:szCs w:val="18"/>
              </w:rPr>
              <m:t>k</m:t>
            </m:r>
          </m:sup>
        </m:sSubSup>
        <m:r>
          <w:rPr>
            <w:rFonts w:ascii="Cambria Math" w:eastAsia="Cambria Math" w:hAnsi="Cambria Math" w:cs="Cambria Math"/>
            <w:sz w:val="18"/>
            <w:szCs w:val="18"/>
          </w:rPr>
          <m:t xml:space="preserve">=Maximise: </m:t>
        </m:r>
        <m:nary>
          <m:naryPr>
            <m:chr m:val="∑"/>
            <m:ctrlPr>
              <w:rPr>
                <w:rFonts w:ascii="Cambria Math" w:eastAsia="Cambria Math" w:hAnsi="Cambria Math" w:cs="Cambria Math"/>
                <w:sz w:val="18"/>
                <w:szCs w:val="18"/>
              </w:rPr>
            </m:ctrlPr>
          </m:naryPr>
          <m:sub>
            <m:r>
              <w:rPr>
                <w:rFonts w:ascii="Cambria Math" w:eastAsia="Cambria Math" w:hAnsi="Cambria Math" w:cs="Cambria Math"/>
                <w:sz w:val="18"/>
                <w:szCs w:val="18"/>
              </w:rPr>
              <m:t>i=1</m:t>
            </m:r>
          </m:sub>
          <m:sup>
            <m:r>
              <w:rPr>
                <w:rFonts w:ascii="Cambria Math" w:eastAsia="Cambria Math" w:hAnsi="Cambria Math" w:cs="Cambria Math"/>
                <w:sz w:val="18"/>
                <w:szCs w:val="18"/>
              </w:rPr>
              <m:t>n</m:t>
            </m:r>
          </m:sup>
          <m:e>
            <m:r>
              <w:rPr>
                <w:rFonts w:ascii="Cambria Math" w:eastAsia="Cambria Math" w:hAnsi="Cambria Math" w:cs="Cambria Math"/>
                <w:sz w:val="18"/>
                <w:szCs w:val="18"/>
              </w:rPr>
              <m:t>[</m:t>
            </m:r>
            <m:d>
              <m:dPr>
                <m:ctrlPr>
                  <w:rPr>
                    <w:rFonts w:ascii="Cambria Math" w:eastAsia="Cambria Math" w:hAnsi="Cambria Math" w:cs="Cambria Math"/>
                    <w:sz w:val="18"/>
                    <w:szCs w:val="18"/>
                  </w:rPr>
                </m:ctrlPr>
              </m:dPr>
              <m:e>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W</m:t>
                    </m:r>
                  </m:e>
                  <m:sub>
                    <m:r>
                      <w:rPr>
                        <w:rFonts w:ascii="Cambria Math" w:eastAsia="Cambria Math" w:hAnsi="Cambria Math" w:cs="Cambria Math"/>
                        <w:sz w:val="18"/>
                        <w:szCs w:val="18"/>
                      </w:rPr>
                      <m:t>id</m:t>
                    </m:r>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x</m:t>
                        </m:r>
                      </m:e>
                      <m:sub>
                        <m:r>
                          <w:rPr>
                            <w:rFonts w:ascii="Cambria Math" w:eastAsia="Cambria Math" w:hAnsi="Cambria Math" w:cs="Cambria Math"/>
                            <w:sz w:val="18"/>
                            <w:szCs w:val="18"/>
                          </w:rPr>
                          <m:t>T</m:t>
                        </m:r>
                      </m:sub>
                    </m:sSub>
                  </m:sub>
                </m:sSub>
                <m:d>
                  <m:dPr>
                    <m:begChr m:val="|"/>
                    <m:endChr m:val="|"/>
                    <m:ctrlPr>
                      <w:rPr>
                        <w:rFonts w:ascii="Cambria Math" w:eastAsia="Cambria Math" w:hAnsi="Cambria Math" w:cs="Cambria Math"/>
                        <w:sz w:val="18"/>
                        <w:szCs w:val="18"/>
                      </w:rPr>
                    </m:ctrlPr>
                  </m:dPr>
                  <m:e>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IVA</m:t>
                        </m:r>
                      </m:e>
                      <m:sub>
                        <m:r>
                          <w:rPr>
                            <w:rFonts w:ascii="Cambria Math" w:eastAsia="Cambria Math" w:hAnsi="Cambria Math" w:cs="Cambria Math"/>
                            <w:sz w:val="18"/>
                            <w:szCs w:val="18"/>
                          </w:rPr>
                          <m:t>z</m:t>
                        </m:r>
                      </m:sub>
                    </m:sSub>
                  </m:e>
                </m:d>
                <m:r>
                  <w:rPr>
                    <w:rFonts w:ascii="Cambria Math" w:eastAsia="Cambria Math" w:hAnsi="Cambria Math" w:cs="Cambria Math"/>
                    <w:sz w:val="18"/>
                    <w:szCs w:val="18"/>
                  </w:rPr>
                  <m:t xml:space="preserve">, </m:t>
                </m:r>
                <m:nary>
                  <m:naryPr>
                    <m:chr m:val="∑"/>
                    <m:ctrlPr>
                      <w:rPr>
                        <w:rFonts w:ascii="Cambria Math" w:eastAsia="Cambria Math" w:hAnsi="Cambria Math" w:cs="Cambria Math"/>
                        <w:sz w:val="18"/>
                        <w:szCs w:val="18"/>
                      </w:rPr>
                    </m:ctrlPr>
                  </m:naryPr>
                  <m:sub>
                    <m:r>
                      <w:rPr>
                        <w:rFonts w:ascii="Cambria Math" w:eastAsia="Cambria Math" w:hAnsi="Cambria Math" w:cs="Cambria Math"/>
                        <w:sz w:val="18"/>
                        <w:szCs w:val="18"/>
                      </w:rPr>
                      <m:t>i=1</m:t>
                    </m:r>
                  </m:sub>
                  <m:sup>
                    <m:r>
                      <w:rPr>
                        <w:rFonts w:ascii="Cambria Math" w:eastAsia="Cambria Math" w:hAnsi="Cambria Math" w:cs="Cambria Math"/>
                        <w:sz w:val="18"/>
                        <w:szCs w:val="18"/>
                      </w:rPr>
                      <m:t>z</m:t>
                    </m:r>
                  </m:sup>
                  <m:e>
                    <m:sSubSup>
                      <m:sSubSupPr>
                        <m:ctrlPr>
                          <w:rPr>
                            <w:rFonts w:ascii="Cambria Math" w:eastAsia="Cambria Math" w:hAnsi="Cambria Math" w:cs="Cambria Math"/>
                            <w:sz w:val="18"/>
                            <w:szCs w:val="18"/>
                          </w:rPr>
                        </m:ctrlPr>
                      </m:sSubSupPr>
                      <m:e>
                        <m:r>
                          <w:rPr>
                            <w:rFonts w:ascii="Cambria Math" w:eastAsia="Cambria Math" w:hAnsi="Cambria Math" w:cs="Cambria Math"/>
                            <w:sz w:val="18"/>
                            <w:szCs w:val="18"/>
                          </w:rPr>
                          <m:t>δ</m:t>
                        </m:r>
                      </m:e>
                      <m:sub>
                        <m:r>
                          <w:rPr>
                            <w:rFonts w:ascii="Cambria Math" w:eastAsia="Cambria Math" w:hAnsi="Cambria Math" w:cs="Cambria Math"/>
                            <w:sz w:val="18"/>
                            <w:szCs w:val="18"/>
                          </w:rPr>
                          <m:t>i</m:t>
                        </m:r>
                      </m:sub>
                      <m:sup>
                        <m:r>
                          <w:rPr>
                            <w:rFonts w:ascii="Cambria Math" w:eastAsia="Cambria Math" w:hAnsi="Cambria Math" w:cs="Cambria Math"/>
                            <w:sz w:val="18"/>
                            <w:szCs w:val="18"/>
                          </w:rPr>
                          <m:t>k</m:t>
                        </m:r>
                      </m:sup>
                    </m:sSubSup>
                  </m:e>
                </m:nary>
              </m:e>
            </m:d>
            <m:r>
              <w:rPr>
                <w:rFonts w:ascii="Cambria Math" w:eastAsia="Cambria Math" w:hAnsi="Cambria Math" w:cs="Cambria Math"/>
                <w:sz w:val="18"/>
                <w:szCs w:val="18"/>
              </w:rPr>
              <m:t xml:space="preserve">&amp; </m:t>
            </m:r>
            <m:d>
              <m:dPr>
                <m:ctrlPr>
                  <w:rPr>
                    <w:rFonts w:ascii="Cambria Math" w:eastAsia="Cambria Math" w:hAnsi="Cambria Math" w:cs="Cambria Math"/>
                    <w:sz w:val="18"/>
                    <w:szCs w:val="18"/>
                  </w:rPr>
                </m:ctrlPr>
              </m:dPr>
              <m:e>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W</m:t>
                    </m:r>
                  </m:e>
                  <m:sub>
                    <m:r>
                      <w:rPr>
                        <w:rFonts w:ascii="Cambria Math" w:eastAsia="Cambria Math" w:hAnsi="Cambria Math" w:cs="Cambria Math"/>
                        <w:sz w:val="18"/>
                        <w:szCs w:val="18"/>
                      </w:rPr>
                      <m:t>id</m:t>
                    </m:r>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x</m:t>
                        </m:r>
                      </m:e>
                      <m:sub>
                        <m:r>
                          <w:rPr>
                            <w:rFonts w:ascii="Cambria Math" w:eastAsia="Cambria Math" w:hAnsi="Cambria Math" w:cs="Cambria Math"/>
                            <w:sz w:val="18"/>
                            <w:szCs w:val="18"/>
                          </w:rPr>
                          <m:t>T</m:t>
                        </m:r>
                      </m:sub>
                    </m:sSub>
                  </m:sub>
                </m:sSub>
                <m:d>
                  <m:dPr>
                    <m:begChr m:val="|"/>
                    <m:endChr m:val="|"/>
                    <m:ctrlPr>
                      <w:rPr>
                        <w:rFonts w:ascii="Cambria Math" w:eastAsia="Cambria Math" w:hAnsi="Cambria Math" w:cs="Cambria Math"/>
                        <w:sz w:val="18"/>
                        <w:szCs w:val="18"/>
                      </w:rPr>
                    </m:ctrlPr>
                  </m:dPr>
                  <m:e>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IET</m:t>
                        </m:r>
                      </m:e>
                      <m:sub>
                        <m:r>
                          <w:rPr>
                            <w:rFonts w:ascii="Cambria Math" w:eastAsia="Cambria Math" w:hAnsi="Cambria Math" w:cs="Cambria Math"/>
                            <w:sz w:val="18"/>
                            <w:szCs w:val="18"/>
                          </w:rPr>
                          <m:t>z</m:t>
                        </m:r>
                      </m:sub>
                    </m:sSub>
                  </m:e>
                </m:d>
                <m:r>
                  <w:rPr>
                    <w:rFonts w:ascii="Cambria Math" w:eastAsia="Cambria Math" w:hAnsi="Cambria Math" w:cs="Cambria Math"/>
                    <w:sz w:val="18"/>
                    <w:szCs w:val="18"/>
                  </w:rPr>
                  <m:t xml:space="preserve">, </m:t>
                </m:r>
                <m:nary>
                  <m:naryPr>
                    <m:chr m:val="∑"/>
                    <m:ctrlPr>
                      <w:rPr>
                        <w:rFonts w:ascii="Cambria Math" w:eastAsia="Cambria Math" w:hAnsi="Cambria Math" w:cs="Cambria Math"/>
                        <w:sz w:val="18"/>
                        <w:szCs w:val="18"/>
                      </w:rPr>
                    </m:ctrlPr>
                  </m:naryPr>
                  <m:sub>
                    <m:r>
                      <w:rPr>
                        <w:rFonts w:ascii="Cambria Math" w:eastAsia="Cambria Math" w:hAnsi="Cambria Math" w:cs="Cambria Math"/>
                        <w:sz w:val="18"/>
                        <w:szCs w:val="18"/>
                      </w:rPr>
                      <m:t>i=1</m:t>
                    </m:r>
                  </m:sub>
                  <m:sup>
                    <m:r>
                      <w:rPr>
                        <w:rFonts w:ascii="Cambria Math" w:eastAsia="Cambria Math" w:hAnsi="Cambria Math" w:cs="Cambria Math"/>
                        <w:sz w:val="18"/>
                        <w:szCs w:val="18"/>
                      </w:rPr>
                      <m:t>z</m:t>
                    </m:r>
                  </m:sup>
                  <m:e>
                    <m:sSubSup>
                      <m:sSubSupPr>
                        <m:ctrlPr>
                          <w:rPr>
                            <w:rFonts w:ascii="Cambria Math" w:eastAsia="Cambria Math" w:hAnsi="Cambria Math" w:cs="Cambria Math"/>
                            <w:sz w:val="18"/>
                            <w:szCs w:val="18"/>
                          </w:rPr>
                        </m:ctrlPr>
                      </m:sSubSupPr>
                      <m:e>
                        <m:r>
                          <w:rPr>
                            <w:rFonts w:ascii="Cambria Math" w:eastAsia="Cambria Math" w:hAnsi="Cambria Math" w:cs="Cambria Math"/>
                            <w:sz w:val="18"/>
                            <w:szCs w:val="18"/>
                          </w:rPr>
                          <m:t>δ</m:t>
                        </m:r>
                      </m:e>
                      <m:sub>
                        <m:r>
                          <w:rPr>
                            <w:rFonts w:ascii="Cambria Math" w:eastAsia="Cambria Math" w:hAnsi="Cambria Math" w:cs="Cambria Math"/>
                            <w:sz w:val="18"/>
                            <w:szCs w:val="18"/>
                          </w:rPr>
                          <m:t>i</m:t>
                        </m:r>
                      </m:sub>
                      <m:sup>
                        <m:r>
                          <w:rPr>
                            <w:rFonts w:ascii="Cambria Math" w:eastAsia="Cambria Math" w:hAnsi="Cambria Math" w:cs="Cambria Math"/>
                            <w:sz w:val="18"/>
                            <w:szCs w:val="18"/>
                          </w:rPr>
                          <m:t>k</m:t>
                        </m:r>
                      </m:sup>
                    </m:sSubSup>
                  </m:e>
                </m:nary>
              </m:e>
            </m:d>
            <m:r>
              <w:rPr>
                <w:rFonts w:ascii="Cambria Math" w:eastAsia="Cambria Math" w:hAnsi="Cambria Math" w:cs="Cambria Math"/>
                <w:sz w:val="18"/>
                <w:szCs w:val="18"/>
              </w:rPr>
              <m:t xml:space="preserve">]+Minimise: </m:t>
            </m:r>
            <m:d>
              <m:dPr>
                <m:ctrlPr>
                  <w:rPr>
                    <w:rFonts w:ascii="Cambria Math" w:eastAsia="Cambria Math" w:hAnsi="Cambria Math" w:cs="Cambria Math"/>
                    <w:sz w:val="18"/>
                    <w:szCs w:val="18"/>
                  </w:rPr>
                </m:ctrlPr>
              </m:dPr>
              <m:e>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W</m:t>
                    </m:r>
                  </m:e>
                  <m:sub>
                    <m:r>
                      <w:rPr>
                        <w:rFonts w:ascii="Cambria Math" w:eastAsia="Cambria Math" w:hAnsi="Cambria Math" w:cs="Cambria Math"/>
                        <w:sz w:val="18"/>
                        <w:szCs w:val="18"/>
                      </w:rPr>
                      <m:t>id</m:t>
                    </m:r>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x</m:t>
                        </m:r>
                      </m:e>
                      <m:sub>
                        <m:r>
                          <w:rPr>
                            <w:rFonts w:ascii="Cambria Math" w:eastAsia="Cambria Math" w:hAnsi="Cambria Math" w:cs="Cambria Math"/>
                            <w:sz w:val="18"/>
                            <w:szCs w:val="18"/>
                          </w:rPr>
                          <m:t>T</m:t>
                        </m:r>
                      </m:sub>
                    </m:sSub>
                  </m:sub>
                </m:sSub>
                <m:d>
                  <m:dPr>
                    <m:begChr m:val="|"/>
                    <m:endChr m:val="|"/>
                    <m:ctrlPr>
                      <w:rPr>
                        <w:rFonts w:ascii="Cambria Math" w:eastAsia="Cambria Math" w:hAnsi="Cambria Math" w:cs="Cambria Math"/>
                        <w:sz w:val="18"/>
                        <w:szCs w:val="18"/>
                      </w:rPr>
                    </m:ctrlPr>
                  </m:dPr>
                  <m:e>
                    <m:sSub>
                      <m:sSubPr>
                        <m:ctrlPr>
                          <w:rPr>
                            <w:rFonts w:ascii="Cambria Math" w:eastAsia="Cambria Math" w:hAnsi="Cambria Math" w:cs="Cambria Math"/>
                            <w:sz w:val="18"/>
                            <w:szCs w:val="18"/>
                          </w:rPr>
                        </m:ctrlPr>
                      </m:sSubPr>
                      <m:e>
                        <m:r>
                          <w:rPr>
                            <w:rFonts w:ascii="Cambria Math" w:eastAsia="Cambria Math" w:hAnsi="Cambria Math" w:cs="Cambria Math"/>
                            <w:sz w:val="18"/>
                            <w:szCs w:val="18"/>
                          </w:rPr>
                          <m:t>IQA</m:t>
                        </m:r>
                      </m:e>
                      <m:sub>
                        <m:r>
                          <w:rPr>
                            <w:rFonts w:ascii="Cambria Math" w:eastAsia="Cambria Math" w:hAnsi="Cambria Math" w:cs="Cambria Math"/>
                            <w:sz w:val="18"/>
                            <w:szCs w:val="18"/>
                          </w:rPr>
                          <m:t>z</m:t>
                        </m:r>
                      </m:sub>
                    </m:sSub>
                  </m:e>
                </m:d>
                <m:r>
                  <w:rPr>
                    <w:rFonts w:ascii="Cambria Math" w:eastAsia="Cambria Math" w:hAnsi="Cambria Math" w:cs="Cambria Math"/>
                    <w:sz w:val="18"/>
                    <w:szCs w:val="18"/>
                  </w:rPr>
                  <m:t xml:space="preserve">, </m:t>
                </m:r>
                <m:nary>
                  <m:naryPr>
                    <m:chr m:val="∑"/>
                    <m:ctrlPr>
                      <w:rPr>
                        <w:rFonts w:ascii="Cambria Math" w:eastAsia="Cambria Math" w:hAnsi="Cambria Math" w:cs="Cambria Math"/>
                        <w:sz w:val="18"/>
                        <w:szCs w:val="18"/>
                      </w:rPr>
                    </m:ctrlPr>
                  </m:naryPr>
                  <m:sub>
                    <m:r>
                      <w:rPr>
                        <w:rFonts w:ascii="Cambria Math" w:eastAsia="Cambria Math" w:hAnsi="Cambria Math" w:cs="Cambria Math"/>
                        <w:sz w:val="18"/>
                        <w:szCs w:val="18"/>
                      </w:rPr>
                      <m:t>i=1</m:t>
                    </m:r>
                  </m:sub>
                  <m:sup>
                    <m:r>
                      <w:rPr>
                        <w:rFonts w:ascii="Cambria Math" w:eastAsia="Cambria Math" w:hAnsi="Cambria Math" w:cs="Cambria Math"/>
                        <w:sz w:val="18"/>
                        <w:szCs w:val="18"/>
                      </w:rPr>
                      <m:t>z</m:t>
                    </m:r>
                  </m:sup>
                  <m:e>
                    <m:sSubSup>
                      <m:sSubSupPr>
                        <m:ctrlPr>
                          <w:rPr>
                            <w:rFonts w:ascii="Cambria Math" w:eastAsia="Cambria Math" w:hAnsi="Cambria Math" w:cs="Cambria Math"/>
                            <w:sz w:val="18"/>
                            <w:szCs w:val="18"/>
                          </w:rPr>
                        </m:ctrlPr>
                      </m:sSubSupPr>
                      <m:e>
                        <m:r>
                          <w:rPr>
                            <w:rFonts w:ascii="Cambria Math" w:eastAsia="Cambria Math" w:hAnsi="Cambria Math" w:cs="Cambria Math"/>
                            <w:sz w:val="18"/>
                            <w:szCs w:val="18"/>
                          </w:rPr>
                          <m:t>δ</m:t>
                        </m:r>
                      </m:e>
                      <m:sub>
                        <m:r>
                          <w:rPr>
                            <w:rFonts w:ascii="Cambria Math" w:eastAsia="Cambria Math" w:hAnsi="Cambria Math" w:cs="Cambria Math"/>
                            <w:sz w:val="18"/>
                            <w:szCs w:val="18"/>
                          </w:rPr>
                          <m:t>i</m:t>
                        </m:r>
                      </m:sub>
                      <m:sup>
                        <m:r>
                          <w:rPr>
                            <w:rFonts w:ascii="Cambria Math" w:eastAsia="Cambria Math" w:hAnsi="Cambria Math" w:cs="Cambria Math"/>
                            <w:sz w:val="18"/>
                            <w:szCs w:val="18"/>
                          </w:rPr>
                          <m:t>k</m:t>
                        </m:r>
                      </m:sup>
                    </m:sSubSup>
                  </m:e>
                </m:nary>
              </m:e>
            </m:d>
          </m:e>
        </m:nary>
      </m:oMath>
      <w:r w:rsidR="00F50BBA" w:rsidRPr="00F85381">
        <w:rPr>
          <w:rFonts w:ascii="Times New Roman" w:eastAsia="Times New Roman" w:hAnsi="Times New Roman" w:cs="Times New Roman"/>
          <w:sz w:val="16"/>
          <w:szCs w:val="16"/>
        </w:rPr>
        <w:tab/>
        <w:t xml:space="preserve">   </w:t>
      </w:r>
      <w:r w:rsidR="00F50BBA" w:rsidRPr="00F85381">
        <w:rPr>
          <w:rFonts w:ascii="Times New Roman" w:eastAsia="Times New Roman" w:hAnsi="Times New Roman" w:cs="Times New Roman"/>
        </w:rPr>
        <w:t>(</w:t>
      </w:r>
      <w:r w:rsidR="00E95A0E" w:rsidRPr="00F85381">
        <w:rPr>
          <w:rFonts w:ascii="Times New Roman" w:eastAsia="Times New Roman" w:hAnsi="Times New Roman" w:cs="Times New Roman"/>
        </w:rPr>
        <w:t>5</w:t>
      </w:r>
      <w:r w:rsidR="00F50BBA" w:rsidRPr="00F85381">
        <w:rPr>
          <w:rFonts w:ascii="Times New Roman" w:eastAsia="Times New Roman" w:hAnsi="Times New Roman" w:cs="Times New Roman"/>
        </w:rPr>
        <w:t>)</w:t>
      </w:r>
    </w:p>
    <w:p w14:paraId="4824D22D" w14:textId="77777777"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where, </w:t>
      </w:r>
      <m:oMath>
        <m:sSubSup>
          <m:sSubSupPr>
            <m:ctrlPr>
              <w:rPr>
                <w:rFonts w:ascii="Cambria Math" w:eastAsia="Cambria Math" w:hAnsi="Cambria Math" w:cs="Cambria Math"/>
              </w:rPr>
            </m:ctrlPr>
          </m:sSubSupPr>
          <m:e>
            <m:r>
              <w:rPr>
                <w:rFonts w:ascii="Cambria Math" w:eastAsia="Cambria Math" w:hAnsi="Cambria Math" w:cs="Cambria Math"/>
              </w:rPr>
              <m:t>CS</m:t>
            </m:r>
          </m:e>
          <m:sub>
            <m:r>
              <w:rPr>
                <w:rFonts w:ascii="Cambria Math" w:eastAsia="Cambria Math" w:hAnsi="Cambria Math" w:cs="Cambria Math"/>
              </w:rPr>
              <m:t>i</m:t>
            </m:r>
          </m:sub>
          <m:sup>
            <m:r>
              <w:rPr>
                <w:rFonts w:ascii="Cambria Math" w:eastAsia="Cambria Math" w:hAnsi="Cambria Math" w:cs="Cambria Math"/>
              </w:rPr>
              <m:t>k</m:t>
            </m:r>
          </m:sup>
        </m:sSubSup>
      </m:oMath>
      <w:r w:rsidRPr="00F85381">
        <w:rPr>
          <w:rFonts w:ascii="Times New Roman" w:eastAsia="Times New Roman" w:hAnsi="Times New Roman" w:cs="Times New Roman"/>
        </w:rPr>
        <w:t xml:space="preserve"> denotes the identified critical monitoring stations in each zone (based on combined WQI); </w:t>
      </w:r>
      <w:r w:rsidRPr="00F85381">
        <w:rPr>
          <w:rFonts w:ascii="Times New Roman" w:eastAsia="Times New Roman" w:hAnsi="Times New Roman" w:cs="Times New Roman"/>
          <w:i/>
        </w:rPr>
        <w:t>n</w:t>
      </w:r>
      <w:r w:rsidRPr="00F85381">
        <w:rPr>
          <w:rFonts w:ascii="Times New Roman" w:eastAsia="Times New Roman" w:hAnsi="Times New Roman" w:cs="Times New Roman"/>
        </w:rPr>
        <w:t xml:space="preserve"> denotes the number of monitoring stations (it varies for each WQI); </w:t>
      </w:r>
      <w:r w:rsidRPr="00F85381">
        <w:rPr>
          <w:rFonts w:ascii="Times New Roman" w:eastAsia="Times New Roman" w:hAnsi="Times New Roman" w:cs="Times New Roman"/>
          <w:i/>
        </w:rPr>
        <w:t>z</w:t>
      </w:r>
      <w:r w:rsidRPr="00F85381">
        <w:rPr>
          <w:rFonts w:ascii="Times New Roman" w:eastAsia="Times New Roman" w:hAnsi="Times New Roman" w:cs="Times New Roman"/>
        </w:rPr>
        <w:t xml:space="preserve"> and </w:t>
      </w:r>
      <w:r w:rsidRPr="00F85381">
        <w:rPr>
          <w:rFonts w:ascii="Times New Roman" w:eastAsia="Times New Roman" w:hAnsi="Times New Roman" w:cs="Times New Roman"/>
          <w:i/>
        </w:rPr>
        <w:t>k</w:t>
      </w:r>
      <w:r w:rsidRPr="00F85381">
        <w:rPr>
          <w:rFonts w:ascii="Times New Roman" w:eastAsia="Times New Roman" w:hAnsi="Times New Roman" w:cs="Times New Roman"/>
        </w:rPr>
        <w:t xml:space="preserve"> present the number of zones and monitoring stations in that zone, respectively; </w:t>
      </w:r>
      <m:oMath>
        <m:r>
          <w:rPr>
            <w:rFonts w:ascii="Cambria Math" w:hAnsi="Cambria Math"/>
          </w:rPr>
          <m:t>δ</m:t>
        </m:r>
      </m:oMath>
      <w:r w:rsidRPr="00F85381">
        <w:rPr>
          <w:rFonts w:ascii="Times New Roman" w:eastAsia="Times New Roman" w:hAnsi="Times New Roman" w:cs="Times New Roman"/>
        </w:rPr>
        <w:t xml:space="preserve"> denotes the global index value.</w:t>
      </w:r>
    </w:p>
    <w:p w14:paraId="479FDEF7" w14:textId="4D817DA0"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Drawing on </w:t>
      </w:r>
      <w:r w:rsidR="00BF5469">
        <w:rPr>
          <w:rFonts w:ascii="Times New Roman" w:eastAsia="Times New Roman" w:hAnsi="Times New Roman" w:cs="Times New Roman"/>
        </w:rPr>
        <w:t>Eq.</w:t>
      </w:r>
      <w:r w:rsidRPr="00F85381">
        <w:rPr>
          <w:rFonts w:ascii="Times New Roman" w:eastAsia="Times New Roman" w:hAnsi="Times New Roman" w:cs="Times New Roman"/>
        </w:rPr>
        <w:t xml:space="preserve"> (</w:t>
      </w:r>
      <w:r w:rsidR="00CD2DCD" w:rsidRPr="00F85381">
        <w:rPr>
          <w:rFonts w:ascii="Times New Roman" w:eastAsia="Times New Roman" w:hAnsi="Times New Roman" w:cs="Times New Roman"/>
        </w:rPr>
        <w:t>5</w:t>
      </w:r>
      <w:r w:rsidRPr="00F85381">
        <w:rPr>
          <w:rFonts w:ascii="Times New Roman" w:eastAsia="Times New Roman" w:hAnsi="Times New Roman" w:cs="Times New Roman"/>
        </w:rPr>
        <w:t xml:space="preserve">), </w:t>
      </w:r>
      <w:r w:rsidR="00BF5469">
        <w:rPr>
          <w:rFonts w:ascii="Times New Roman" w:eastAsia="Times New Roman" w:hAnsi="Times New Roman" w:cs="Times New Roman"/>
        </w:rPr>
        <w:t>Eq.</w:t>
      </w:r>
      <w:r w:rsidRPr="00F85381">
        <w:rPr>
          <w:rFonts w:ascii="Times New Roman" w:eastAsia="Times New Roman" w:hAnsi="Times New Roman" w:cs="Times New Roman"/>
        </w:rPr>
        <w:t xml:space="preserve"> (</w:t>
      </w:r>
      <w:r w:rsidR="00D00F2B" w:rsidRPr="00F85381">
        <w:rPr>
          <w:rFonts w:ascii="Times New Roman" w:eastAsia="Times New Roman" w:hAnsi="Times New Roman" w:cs="Times New Roman"/>
        </w:rPr>
        <w:t>6</w:t>
      </w:r>
      <w:r w:rsidRPr="00F85381">
        <w:rPr>
          <w:rFonts w:ascii="Times New Roman" w:eastAsia="Times New Roman" w:hAnsi="Times New Roman" w:cs="Times New Roman"/>
        </w:rPr>
        <w:t xml:space="preserve">) is finally used to identify the most critical zones in the case study area using </w:t>
      </w:r>
      <m:oMath>
        <m:sSub>
          <m:sSubPr>
            <m:ctrlPr>
              <w:rPr>
                <w:rFonts w:ascii="Cambria Math" w:eastAsia="Cambria Math" w:hAnsi="Cambria Math" w:cs="Cambria Math"/>
              </w:rPr>
            </m:ctrlPr>
          </m:sSubPr>
          <m:e>
            <m:r>
              <w:rPr>
                <w:rFonts w:ascii="Cambria Math" w:eastAsia="Cambria Math" w:hAnsi="Cambria Math" w:cs="Cambria Math"/>
              </w:rPr>
              <m:t>W</m:t>
            </m:r>
          </m:e>
          <m:sub>
            <m:r>
              <w:rPr>
                <w:rFonts w:ascii="Cambria Math" w:eastAsia="Cambria Math" w:hAnsi="Cambria Math" w:cs="Cambria Math"/>
              </w:rPr>
              <m:t>id</m:t>
            </m:r>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T</m:t>
                </m:r>
              </m:sub>
            </m:sSub>
          </m:sub>
        </m:sSub>
      </m:oMath>
      <w:r w:rsidRPr="00F85381">
        <w:rPr>
          <w:rFonts w:ascii="Times New Roman" w:eastAsia="Times New Roman" w:hAnsi="Times New Roman" w:cs="Times New Roman"/>
        </w:rPr>
        <w:t xml:space="preserve"> and </w:t>
      </w:r>
      <m:oMath>
        <m:sSubSup>
          <m:sSubSupPr>
            <m:ctrlPr>
              <w:rPr>
                <w:rFonts w:ascii="Cambria Math" w:eastAsia="Cambria Math" w:hAnsi="Cambria Math" w:cs="Cambria Math"/>
              </w:rPr>
            </m:ctrlPr>
          </m:sSubSupPr>
          <m:e>
            <m:r>
              <w:rPr>
                <w:rFonts w:ascii="Cambria Math" w:eastAsia="Cambria Math" w:hAnsi="Cambria Math" w:cs="Cambria Math"/>
              </w:rPr>
              <m:t>CS</m:t>
            </m:r>
          </m:e>
          <m:sub>
            <m:r>
              <w:rPr>
                <w:rFonts w:ascii="Cambria Math" w:eastAsia="Cambria Math" w:hAnsi="Cambria Math" w:cs="Cambria Math"/>
              </w:rPr>
              <m:t>i</m:t>
            </m:r>
          </m:sub>
          <m:sup>
            <m:r>
              <w:rPr>
                <w:rFonts w:ascii="Cambria Math" w:eastAsia="Cambria Math" w:hAnsi="Cambria Math" w:cs="Cambria Math"/>
              </w:rPr>
              <m:t>k</m:t>
            </m:r>
          </m:sup>
        </m:sSubSup>
      </m:oMath>
      <w:r w:rsidRPr="00F85381">
        <w:rPr>
          <w:rFonts w:ascii="Times New Roman" w:eastAsia="Times New Roman" w:hAnsi="Times New Roman" w:cs="Times New Roman"/>
        </w:rPr>
        <w:t>.</w:t>
      </w:r>
    </w:p>
    <w:p w14:paraId="5B3982AB" w14:textId="0CA8D9C5" w:rsidR="009F26E3" w:rsidRPr="00F85381" w:rsidRDefault="00F50BBA">
      <w:pPr>
        <w:spacing w:after="120" w:line="228" w:lineRule="auto"/>
        <w:rPr>
          <w:rFonts w:ascii="Times New Roman" w:eastAsia="Times New Roman" w:hAnsi="Times New Roman" w:cs="Times New Roman"/>
        </w:rPr>
      </w:pPr>
      <m:oMath>
        <m:r>
          <w:rPr>
            <w:rFonts w:ascii="Cambria Math" w:eastAsia="Cambria Math" w:hAnsi="Cambria Math" w:cs="Cambria Math"/>
            <w:sz w:val="20"/>
            <w:szCs w:val="20"/>
          </w:rPr>
          <m:t>Z=</m:t>
        </m:r>
        <m:d>
          <m:dPr>
            <m:begChr m:val="["/>
            <m:endChr m:val="]"/>
            <m:ctrlPr>
              <w:rPr>
                <w:rFonts w:ascii="Cambria Math" w:eastAsia="Cambria Math" w:hAnsi="Cambria Math" w:cs="Cambria Math"/>
                <w:sz w:val="20"/>
                <w:szCs w:val="20"/>
              </w:rPr>
            </m:ctrlPr>
          </m:dPr>
          <m:e>
            <m:sSub>
              <m:sSubPr>
                <m:ctrlPr>
                  <w:rPr>
                    <w:rFonts w:ascii="Cambria Math" w:eastAsia="Cambria Math" w:hAnsi="Cambria Math" w:cs="Cambria Math"/>
                    <w:sz w:val="20"/>
                    <w:szCs w:val="20"/>
                  </w:rPr>
                </m:ctrlPr>
              </m:sSubPr>
              <m:e>
                <m:r>
                  <w:rPr>
                    <w:rFonts w:ascii="Cambria Math" w:eastAsia="Cambria Math" w:hAnsi="Cambria Math" w:cs="Cambria Math"/>
                    <w:sz w:val="20"/>
                    <w:szCs w:val="20"/>
                  </w:rPr>
                  <m:t>CS</m:t>
                </m:r>
              </m:e>
              <m:sub>
                <m:r>
                  <w:rPr>
                    <w:rFonts w:ascii="Cambria Math" w:eastAsia="Cambria Math" w:hAnsi="Cambria Math" w:cs="Cambria Math"/>
                    <w:sz w:val="20"/>
                    <w:szCs w:val="20"/>
                  </w:rPr>
                  <m:t>z</m:t>
                </m:r>
              </m:sub>
            </m:sSub>
            <m:r>
              <w:rPr>
                <w:rFonts w:ascii="Cambria Math" w:eastAsia="Cambria Math" w:hAnsi="Cambria Math" w:cs="Cambria Math"/>
                <w:sz w:val="20"/>
                <w:szCs w:val="20"/>
              </w:rPr>
              <m:t xml:space="preserve"> </m:t>
            </m:r>
          </m:e>
        </m:d>
      </m:oMath>
      <w:r w:rsidRPr="00F85381">
        <w:rPr>
          <w:rFonts w:ascii="Times New Roman" w:eastAsia="Times New Roman" w:hAnsi="Times New Roman" w:cs="Times New Roman"/>
        </w:rPr>
        <w:t xml:space="preserve">; </w:t>
      </w:r>
      <m:oMath>
        <m:sSub>
          <m:sSubPr>
            <m:ctrlPr>
              <w:rPr>
                <w:rFonts w:ascii="Cambria Math" w:eastAsia="Cambria Math" w:hAnsi="Cambria Math" w:cs="Cambria Math"/>
                <w:sz w:val="20"/>
                <w:szCs w:val="20"/>
              </w:rPr>
            </m:ctrlPr>
          </m:sSubPr>
          <m:e>
            <m:r>
              <w:rPr>
                <w:rFonts w:ascii="Cambria Math" w:hAnsi="Cambria Math"/>
                <w:sz w:val="20"/>
                <w:szCs w:val="20"/>
              </w:rPr>
              <m:t>∀</m:t>
            </m:r>
          </m:e>
          <m:sub>
            <m:r>
              <w:rPr>
                <w:rFonts w:ascii="Cambria Math" w:eastAsia="Cambria Math" w:hAnsi="Cambria Math" w:cs="Cambria Math"/>
                <w:sz w:val="20"/>
                <w:szCs w:val="20"/>
              </w:rPr>
              <m:t xml:space="preserve">stations </m:t>
            </m:r>
          </m:sub>
        </m:sSub>
        <m:sSub>
          <m:sSubPr>
            <m:ctrlPr>
              <w:rPr>
                <w:rFonts w:ascii="Cambria Math" w:eastAsia="Cambria Math" w:hAnsi="Cambria Math" w:cs="Cambria Math"/>
                <w:sz w:val="20"/>
                <w:szCs w:val="20"/>
              </w:rPr>
            </m:ctrlPr>
          </m:sSubPr>
          <m:e>
            <m:r>
              <w:rPr>
                <w:rFonts w:ascii="Cambria Math" w:eastAsia="Cambria Math" w:hAnsi="Cambria Math" w:cs="Cambria Math"/>
                <w:sz w:val="20"/>
                <w:szCs w:val="20"/>
              </w:rPr>
              <m:t>W</m:t>
            </m:r>
          </m:e>
          <m:sub>
            <m:r>
              <w:rPr>
                <w:rFonts w:ascii="Cambria Math" w:eastAsia="Cambria Math" w:hAnsi="Cambria Math" w:cs="Cambria Math"/>
                <w:sz w:val="20"/>
                <w:szCs w:val="20"/>
              </w:rPr>
              <m:t>id</m:t>
            </m:r>
          </m:sub>
        </m:sSub>
        <m:r>
          <w:rPr>
            <w:rFonts w:ascii="Cambria Math" w:eastAsia="Cambria Math" w:hAnsi="Cambria Math" w:cs="Cambria Math"/>
            <w:sz w:val="20"/>
            <w:szCs w:val="20"/>
          </w:rPr>
          <m:t>=</m:t>
        </m:r>
        <m:d>
          <m:dPr>
            <m:begChr m:val="["/>
            <m:endChr m:val="]"/>
            <m:ctrlPr>
              <w:rPr>
                <w:rFonts w:ascii="Cambria Math" w:eastAsia="Cambria Math" w:hAnsi="Cambria Math" w:cs="Cambria Math"/>
                <w:sz w:val="20"/>
                <w:szCs w:val="20"/>
              </w:rPr>
            </m:ctrlPr>
          </m:dPr>
          <m:e>
            <m:r>
              <w:rPr>
                <w:rFonts w:ascii="Cambria Math" w:eastAsia="Cambria Math" w:hAnsi="Cambria Math" w:cs="Cambria Math"/>
                <w:sz w:val="20"/>
                <w:szCs w:val="20"/>
              </w:rPr>
              <m:t>γ</m:t>
            </m:r>
            <m:d>
              <m:dPr>
                <m:ctrlPr>
                  <w:rPr>
                    <w:rFonts w:ascii="Cambria Math" w:eastAsia="Cambria Math" w:hAnsi="Cambria Math" w:cs="Cambria Math"/>
                    <w:sz w:val="20"/>
                    <w:szCs w:val="20"/>
                  </w:rPr>
                </m:ctrlPr>
              </m:dPr>
              <m:e>
                <m:f>
                  <m:fPr>
                    <m:ctrlPr>
                      <w:rPr>
                        <w:rFonts w:ascii="Cambria Math" w:eastAsia="Cambria Math" w:hAnsi="Cambria Math" w:cs="Cambria Math"/>
                        <w:sz w:val="20"/>
                        <w:szCs w:val="20"/>
                      </w:rPr>
                    </m:ctrlPr>
                  </m:fPr>
                  <m:num>
                    <m:r>
                      <w:rPr>
                        <w:rFonts w:ascii="Cambria Math" w:eastAsia="Cambria Math" w:hAnsi="Cambria Math" w:cs="Cambria Math"/>
                        <w:sz w:val="20"/>
                        <w:szCs w:val="20"/>
                      </w:rPr>
                      <m:t>α</m:t>
                    </m:r>
                    <m:d>
                      <m:dPr>
                        <m:ctrlPr>
                          <w:rPr>
                            <w:rFonts w:ascii="Cambria Math" w:eastAsia="Cambria Math" w:hAnsi="Cambria Math" w:cs="Cambria Math"/>
                            <w:sz w:val="20"/>
                            <w:szCs w:val="20"/>
                          </w:rPr>
                        </m:ctrlPr>
                      </m:dPr>
                      <m:e>
                        <m:sSub>
                          <m:sSubPr>
                            <m:ctrlPr>
                              <w:rPr>
                                <w:rFonts w:ascii="Cambria Math" w:eastAsia="Cambria Math" w:hAnsi="Cambria Math" w:cs="Cambria Math"/>
                                <w:sz w:val="20"/>
                                <w:szCs w:val="20"/>
                              </w:rPr>
                            </m:ctrlPr>
                          </m:sSubPr>
                          <m:e>
                            <m:r>
                              <w:rPr>
                                <w:rFonts w:ascii="Cambria Math" w:eastAsia="Cambria Math" w:hAnsi="Cambria Math" w:cs="Cambria Math"/>
                                <w:sz w:val="20"/>
                                <w:szCs w:val="20"/>
                              </w:rPr>
                              <m:t>w</m:t>
                            </m:r>
                          </m:e>
                          <m:sub>
                            <m:r>
                              <w:rPr>
                                <w:rFonts w:ascii="Cambria Math" w:eastAsia="Cambria Math" w:hAnsi="Cambria Math" w:cs="Cambria Math"/>
                                <w:sz w:val="20"/>
                                <w:szCs w:val="20"/>
                              </w:rPr>
                              <m:t>in</m:t>
                            </m:r>
                          </m:sub>
                        </m:sSub>
                      </m:e>
                    </m:d>
                  </m:num>
                  <m:den>
                    <m:nary>
                      <m:naryPr>
                        <m:chr m:val="∑"/>
                        <m:ctrlPr>
                          <w:rPr>
                            <w:rFonts w:ascii="Cambria Math" w:eastAsia="Cambria Math" w:hAnsi="Cambria Math" w:cs="Cambria Math"/>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z</m:t>
                        </m:r>
                      </m:sup>
                      <m:e>
                        <m:sSub>
                          <m:sSubPr>
                            <m:ctrlPr>
                              <w:rPr>
                                <w:rFonts w:ascii="Cambria Math" w:eastAsia="Cambria Math" w:hAnsi="Cambria Math" w:cs="Cambria Math"/>
                                <w:sz w:val="20"/>
                                <w:szCs w:val="20"/>
                              </w:rPr>
                            </m:ctrlPr>
                          </m:sSubPr>
                          <m:e>
                            <m:r>
                              <w:rPr>
                                <w:rFonts w:ascii="Cambria Math" w:eastAsia="Cambria Math" w:hAnsi="Cambria Math" w:cs="Cambria Math"/>
                                <w:sz w:val="20"/>
                                <w:szCs w:val="20"/>
                              </w:rPr>
                              <m:t>α</m:t>
                            </m:r>
                          </m:e>
                          <m:sub>
                            <m:r>
                              <w:rPr>
                                <w:rFonts w:ascii="Cambria Math" w:eastAsia="Cambria Math" w:hAnsi="Cambria Math" w:cs="Cambria Math"/>
                                <w:sz w:val="20"/>
                                <w:szCs w:val="20"/>
                              </w:rPr>
                              <m:t>i</m:t>
                            </m:r>
                          </m:sub>
                        </m:sSub>
                      </m:e>
                    </m:nary>
                  </m:den>
                </m:f>
              </m:e>
            </m:d>
            <m:r>
              <w:rPr>
                <w:rFonts w:ascii="Cambria Math" w:eastAsia="Cambria Math" w:hAnsi="Cambria Math" w:cs="Cambria Math"/>
                <w:sz w:val="20"/>
                <w:szCs w:val="20"/>
              </w:rPr>
              <m:t>×</m:t>
            </m:r>
            <m:d>
              <m:dPr>
                <m:ctrlPr>
                  <w:rPr>
                    <w:rFonts w:ascii="Cambria Math" w:eastAsia="Cambria Math" w:hAnsi="Cambria Math" w:cs="Cambria Math"/>
                    <w:sz w:val="20"/>
                    <w:szCs w:val="20"/>
                  </w:rPr>
                </m:ctrlPr>
              </m:dPr>
              <m:e>
                <m:r>
                  <w:rPr>
                    <w:rFonts w:ascii="Cambria Math" w:eastAsia="Cambria Math" w:hAnsi="Cambria Math" w:cs="Cambria Math"/>
                    <w:sz w:val="20"/>
                    <w:szCs w:val="20"/>
                  </w:rPr>
                  <m:t>1-γ</m:t>
                </m:r>
              </m:e>
            </m:d>
            <m:d>
              <m:dPr>
                <m:ctrlPr>
                  <w:rPr>
                    <w:rFonts w:ascii="Cambria Math" w:eastAsia="Cambria Math" w:hAnsi="Cambria Math" w:cs="Cambria Math"/>
                    <w:sz w:val="20"/>
                    <w:szCs w:val="20"/>
                  </w:rPr>
                </m:ctrlPr>
              </m:dPr>
              <m:e>
                <m:f>
                  <m:fPr>
                    <m:ctrlPr>
                      <w:rPr>
                        <w:rFonts w:ascii="Cambria Math" w:eastAsia="Cambria Math" w:hAnsi="Cambria Math" w:cs="Cambria Math"/>
                        <w:sz w:val="20"/>
                        <w:szCs w:val="20"/>
                      </w:rPr>
                    </m:ctrlPr>
                  </m:fPr>
                  <m:num>
                    <m:r>
                      <w:rPr>
                        <w:rFonts w:ascii="Cambria Math" w:eastAsia="Cambria Math" w:hAnsi="Cambria Math" w:cs="Cambria Math"/>
                        <w:sz w:val="20"/>
                        <w:szCs w:val="20"/>
                      </w:rPr>
                      <m:t>α</m:t>
                    </m:r>
                    <m:d>
                      <m:dPr>
                        <m:ctrlPr>
                          <w:rPr>
                            <w:rFonts w:ascii="Cambria Math" w:eastAsia="Cambria Math" w:hAnsi="Cambria Math" w:cs="Cambria Math"/>
                            <w:sz w:val="20"/>
                            <w:szCs w:val="20"/>
                          </w:rPr>
                        </m:ctrlPr>
                      </m:dPr>
                      <m:e>
                        <m:sSub>
                          <m:sSubPr>
                            <m:ctrlPr>
                              <w:rPr>
                                <w:rFonts w:ascii="Cambria Math" w:eastAsia="Cambria Math" w:hAnsi="Cambria Math" w:cs="Cambria Math"/>
                                <w:sz w:val="20"/>
                                <w:szCs w:val="20"/>
                              </w:rPr>
                            </m:ctrlPr>
                          </m:sSubPr>
                          <m:e>
                            <m:r>
                              <w:rPr>
                                <w:rFonts w:ascii="Cambria Math" w:eastAsia="Cambria Math" w:hAnsi="Cambria Math" w:cs="Cambria Math"/>
                                <w:sz w:val="20"/>
                                <w:szCs w:val="20"/>
                              </w:rPr>
                              <m:t>w</m:t>
                            </m:r>
                          </m:e>
                          <m:sub>
                            <m:r>
                              <w:rPr>
                                <w:rFonts w:ascii="Cambria Math" w:eastAsia="Cambria Math" w:hAnsi="Cambria Math" w:cs="Cambria Math"/>
                                <w:sz w:val="20"/>
                                <w:szCs w:val="20"/>
                              </w:rPr>
                              <m:t>il</m:t>
                            </m:r>
                          </m:sub>
                        </m:sSub>
                      </m:e>
                    </m:d>
                  </m:num>
                  <m:den>
                    <m:nary>
                      <m:naryPr>
                        <m:chr m:val="∑"/>
                        <m:ctrlPr>
                          <w:rPr>
                            <w:rFonts w:ascii="Cambria Math" w:eastAsia="Cambria Math" w:hAnsi="Cambria Math" w:cs="Cambria Math"/>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z</m:t>
                        </m:r>
                      </m:sup>
                      <m:e>
                        <m:sSub>
                          <m:sSubPr>
                            <m:ctrlPr>
                              <w:rPr>
                                <w:rFonts w:ascii="Cambria Math" w:eastAsia="Cambria Math" w:hAnsi="Cambria Math" w:cs="Cambria Math"/>
                                <w:sz w:val="20"/>
                                <w:szCs w:val="20"/>
                              </w:rPr>
                            </m:ctrlPr>
                          </m:sSubPr>
                          <m:e>
                            <m:r>
                              <w:rPr>
                                <w:rFonts w:ascii="Cambria Math" w:eastAsia="Cambria Math" w:hAnsi="Cambria Math" w:cs="Cambria Math"/>
                                <w:sz w:val="20"/>
                                <w:szCs w:val="20"/>
                              </w:rPr>
                              <m:t>α</m:t>
                            </m:r>
                          </m:e>
                          <m:sub>
                            <m:r>
                              <w:rPr>
                                <w:rFonts w:ascii="Cambria Math" w:eastAsia="Cambria Math" w:hAnsi="Cambria Math" w:cs="Cambria Math"/>
                                <w:sz w:val="20"/>
                                <w:szCs w:val="20"/>
                              </w:rPr>
                              <m:t>i</m:t>
                            </m:r>
                          </m:sub>
                        </m:sSub>
                      </m:e>
                    </m:nary>
                  </m:den>
                </m:f>
              </m:e>
            </m:d>
          </m:e>
        </m:d>
        <m:r>
          <w:rPr>
            <w:rFonts w:ascii="Cambria Math" w:eastAsia="Cambria Math" w:hAnsi="Cambria Math" w:cs="Cambria Math"/>
            <w:sz w:val="20"/>
            <w:szCs w:val="20"/>
          </w:rPr>
          <m:t>; γ∈[0,1]</m:t>
        </m:r>
      </m:oMath>
      <w:r w:rsidRPr="00F85381">
        <w:rPr>
          <w:rFonts w:ascii="Times New Roman" w:eastAsia="Times New Roman" w:hAnsi="Times New Roman" w:cs="Times New Roman"/>
        </w:rPr>
        <w:tab/>
      </w:r>
      <w:r w:rsidR="00E70268" w:rsidRPr="00F85381">
        <w:rPr>
          <w:rFonts w:ascii="Times New Roman" w:eastAsia="Times New Roman" w:hAnsi="Times New Roman" w:cs="Times New Roman"/>
        </w:rPr>
        <w:tab/>
      </w:r>
      <w:r w:rsidR="00E70268" w:rsidRPr="00F85381">
        <w:rPr>
          <w:rFonts w:ascii="Times New Roman" w:eastAsia="Times New Roman" w:hAnsi="Times New Roman" w:cs="Times New Roman"/>
        </w:rPr>
        <w:tab/>
      </w:r>
      <w:r w:rsidRPr="00F85381">
        <w:rPr>
          <w:rFonts w:ascii="Times New Roman" w:eastAsia="Times New Roman" w:hAnsi="Times New Roman" w:cs="Times New Roman"/>
        </w:rPr>
        <w:t xml:space="preserve">  </w:t>
      </w:r>
      <w:r w:rsidRPr="00F85381">
        <w:rPr>
          <w:rFonts w:ascii="Times New Roman" w:eastAsia="Times New Roman" w:hAnsi="Times New Roman" w:cs="Times New Roman"/>
        </w:rPr>
        <w:tab/>
      </w:r>
      <w:r w:rsidR="00CD2DCD" w:rsidRPr="00F85381">
        <w:rPr>
          <w:rFonts w:ascii="Times New Roman" w:eastAsia="Times New Roman" w:hAnsi="Times New Roman" w:cs="Times New Roman"/>
        </w:rPr>
        <w:tab/>
      </w:r>
      <w:r w:rsidRPr="00F85381">
        <w:rPr>
          <w:rFonts w:ascii="Times New Roman" w:eastAsia="Times New Roman" w:hAnsi="Times New Roman" w:cs="Times New Roman"/>
        </w:rPr>
        <w:t>(</w:t>
      </w:r>
      <w:r w:rsidR="00CD2DCD" w:rsidRPr="00F85381">
        <w:rPr>
          <w:rFonts w:ascii="Times New Roman" w:eastAsia="Times New Roman" w:hAnsi="Times New Roman" w:cs="Times New Roman"/>
        </w:rPr>
        <w:t>6</w:t>
      </w:r>
      <w:r w:rsidRPr="00F85381">
        <w:rPr>
          <w:rFonts w:ascii="Times New Roman" w:eastAsia="Times New Roman" w:hAnsi="Times New Roman" w:cs="Times New Roman"/>
        </w:rPr>
        <w:t>)</w:t>
      </w:r>
    </w:p>
    <w:p w14:paraId="59EE5E77" w14:textId="629BCB66"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where, Z denotes the critical zones across the case study area (i.e. 22 zones); </w:t>
      </w:r>
      <m:oMath>
        <m:sSub>
          <m:sSubPr>
            <m:ctrlPr>
              <w:rPr>
                <w:rFonts w:ascii="Cambria Math" w:eastAsia="Cambria Math" w:hAnsi="Cambria Math" w:cs="Cambria Math"/>
              </w:rPr>
            </m:ctrlPr>
          </m:sSubPr>
          <m:e>
            <m:r>
              <w:rPr>
                <w:rFonts w:ascii="Cambria Math" w:eastAsia="Cambria Math" w:hAnsi="Cambria Math" w:cs="Cambria Math"/>
              </w:rPr>
              <m:t>CS</m:t>
            </m:r>
          </m:e>
          <m:sub>
            <m:r>
              <w:rPr>
                <w:rFonts w:ascii="Cambria Math" w:eastAsia="Cambria Math" w:hAnsi="Cambria Math" w:cs="Cambria Math"/>
              </w:rPr>
              <m:t>z</m:t>
            </m:r>
          </m:sub>
        </m:sSub>
        <m:r>
          <w:rPr>
            <w:rFonts w:ascii="Cambria Math" w:eastAsia="Cambria Math" w:hAnsi="Cambria Math" w:cs="Cambria Math"/>
          </w:rPr>
          <m:t xml:space="preserve"> </m:t>
        </m:r>
      </m:oMath>
      <w:r w:rsidRPr="00F85381">
        <w:rPr>
          <w:rFonts w:ascii="Times New Roman" w:eastAsia="Times New Roman" w:hAnsi="Times New Roman" w:cs="Times New Roman"/>
        </w:rPr>
        <w:t xml:space="preserve">is the number of critical stations in each zone. </w:t>
      </w:r>
    </w:p>
    <w:p w14:paraId="28AAD84B" w14:textId="77777777" w:rsidR="009F26E3" w:rsidRPr="00F85381" w:rsidRDefault="00F50BBA">
      <w:pPr>
        <w:pStyle w:val="Heading1"/>
        <w:numPr>
          <w:ilvl w:val="0"/>
          <w:numId w:val="1"/>
        </w:numPr>
      </w:pPr>
      <w:r w:rsidRPr="00F85381">
        <w:t>Results and discussion</w:t>
      </w:r>
    </w:p>
    <w:p w14:paraId="7F616BD2" w14:textId="3701BD97" w:rsidR="006664AE"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In this study, the network training stops as soon as any of the following conditions occur: (</w:t>
      </w:r>
      <w:proofErr w:type="spellStart"/>
      <w:r w:rsidRPr="00F85381">
        <w:rPr>
          <w:rFonts w:ascii="Times New Roman" w:eastAsia="Times New Roman" w:hAnsi="Times New Roman" w:cs="Times New Roman"/>
        </w:rPr>
        <w:t>i</w:t>
      </w:r>
      <w:proofErr w:type="spellEnd"/>
      <w:r w:rsidRPr="00F85381">
        <w:rPr>
          <w:rFonts w:ascii="Times New Roman" w:eastAsia="Times New Roman" w:hAnsi="Times New Roman" w:cs="Times New Roman"/>
        </w:rPr>
        <w:t>) model performance in validation dataset decreases abruptly in successive iterations; (ii) the maximum number of epochs of 100 is reached.</w:t>
      </w:r>
      <w:r w:rsidR="006664AE" w:rsidRPr="00F85381">
        <w:rPr>
          <w:rFonts w:ascii="Times New Roman" w:eastAsia="Times New Roman" w:hAnsi="Times New Roman" w:cs="Times New Roman"/>
        </w:rPr>
        <w:t xml:space="preserve"> </w:t>
      </w:r>
    </w:p>
    <w:p w14:paraId="63654152" w14:textId="5C282330" w:rsidR="00384DF1" w:rsidRPr="00F85381" w:rsidRDefault="00BF5469" w:rsidP="00261C72">
      <w:pPr>
        <w:spacing w:after="120" w:line="480" w:lineRule="auto"/>
        <w:rPr>
          <w:rFonts w:ascii="Times New Roman" w:eastAsia="Times New Roman" w:hAnsi="Times New Roman" w:cs="Times New Roman"/>
        </w:rPr>
      </w:pPr>
      <w:r>
        <w:rPr>
          <w:rFonts w:ascii="Times New Roman" w:eastAsia="Times New Roman" w:hAnsi="Times New Roman" w:cs="Times New Roman"/>
        </w:rPr>
        <w:t>Fig.</w:t>
      </w:r>
      <w:r w:rsidR="0079655D" w:rsidRPr="00F85381">
        <w:rPr>
          <w:rFonts w:ascii="Times New Roman" w:eastAsia="Times New Roman" w:hAnsi="Times New Roman" w:cs="Times New Roman"/>
        </w:rPr>
        <w:t>2</w:t>
      </w:r>
      <w:r w:rsidR="007A5F78" w:rsidRPr="00F85381">
        <w:rPr>
          <w:rFonts w:ascii="Times New Roman" w:eastAsia="Times New Roman" w:hAnsi="Times New Roman" w:cs="Times New Roman"/>
        </w:rPr>
        <w:t xml:space="preserve"> </w:t>
      </w:r>
      <w:r w:rsidR="00F50BBA" w:rsidRPr="00F85381">
        <w:rPr>
          <w:rFonts w:ascii="Times New Roman" w:eastAsia="Times New Roman" w:hAnsi="Times New Roman" w:cs="Times New Roman"/>
        </w:rPr>
        <w:t xml:space="preserve">depicts the overall performance of the neural network based on the training, validation and testing dataset for IQA and IET and IVA. In this </w:t>
      </w:r>
      <w:r w:rsidR="00F41E27">
        <w:rPr>
          <w:rFonts w:ascii="Times New Roman" w:eastAsia="Times New Roman" w:hAnsi="Times New Roman" w:cs="Times New Roman"/>
        </w:rPr>
        <w:t>f</w:t>
      </w:r>
      <w:r>
        <w:rPr>
          <w:rFonts w:ascii="Times New Roman" w:eastAsia="Times New Roman" w:hAnsi="Times New Roman" w:cs="Times New Roman"/>
        </w:rPr>
        <w:t>ig</w:t>
      </w:r>
      <w:r w:rsidR="00F41E27">
        <w:rPr>
          <w:rFonts w:ascii="Times New Roman" w:eastAsia="Times New Roman" w:hAnsi="Times New Roman" w:cs="Times New Roman"/>
        </w:rPr>
        <w:t>ure</w:t>
      </w:r>
      <w:r w:rsidR="00F50BBA" w:rsidRPr="00F85381">
        <w:rPr>
          <w:rFonts w:ascii="Times New Roman" w:eastAsia="Times New Roman" w:hAnsi="Times New Roman" w:cs="Times New Roman"/>
        </w:rPr>
        <w:t xml:space="preserve">, the best validation performance occurred at epoch 54, 16 </w:t>
      </w:r>
      <w:r w:rsidR="00F50BBA" w:rsidRPr="00F85381">
        <w:rPr>
          <w:rFonts w:ascii="Times New Roman" w:eastAsia="Times New Roman" w:hAnsi="Times New Roman" w:cs="Times New Roman"/>
        </w:rPr>
        <w:lastRenderedPageBreak/>
        <w:t>and 24 for IQA, IET and IVA, respectively, showing Mean Squared Error (MSE) trend during the learning procedure. The decreasing trend of the validation set confirms that there is no over-fitting in the model.</w:t>
      </w:r>
    </w:p>
    <w:tbl>
      <w:tblPr>
        <w:tblW w:w="8506" w:type="dxa"/>
        <w:jc w:val="center"/>
        <w:tblLayout w:type="fixed"/>
        <w:tblCellMar>
          <w:left w:w="115" w:type="dxa"/>
          <w:right w:w="115" w:type="dxa"/>
        </w:tblCellMar>
        <w:tblLook w:val="0400" w:firstRow="0" w:lastRow="0" w:firstColumn="0" w:lastColumn="0" w:noHBand="0" w:noVBand="1"/>
      </w:tblPr>
      <w:tblGrid>
        <w:gridCol w:w="4248"/>
        <w:gridCol w:w="4258"/>
      </w:tblGrid>
      <w:tr w:rsidR="00C675E2" w:rsidRPr="00F85381" w14:paraId="6E564193" w14:textId="77777777" w:rsidTr="00EC255D">
        <w:trPr>
          <w:jc w:val="center"/>
        </w:trPr>
        <w:tc>
          <w:tcPr>
            <w:tcW w:w="4248" w:type="dxa"/>
            <w:shd w:val="clear" w:color="auto" w:fill="auto"/>
          </w:tcPr>
          <w:p w14:paraId="07CAAD44" w14:textId="77777777" w:rsidR="00AD3D2E" w:rsidRPr="00F85381" w:rsidRDefault="00AD3D2E">
            <w:pPr>
              <w:spacing w:line="240" w:lineRule="auto"/>
              <w:jc w:val="center"/>
              <w:rPr>
                <w:rFonts w:ascii="Times New Roman" w:eastAsia="Times New Roman" w:hAnsi="Times New Roman" w:cs="Times New Roman"/>
                <w:b/>
                <w:bCs/>
              </w:rPr>
            </w:pPr>
            <w:r w:rsidRPr="00F85381">
              <w:rPr>
                <w:rFonts w:ascii="Times New Roman" w:eastAsia="Times New Roman" w:hAnsi="Times New Roman" w:cs="Times New Roman"/>
                <w:b/>
                <w:bCs/>
              </w:rPr>
              <w:t>IQA</w:t>
            </w:r>
          </w:p>
        </w:tc>
        <w:tc>
          <w:tcPr>
            <w:tcW w:w="4258" w:type="dxa"/>
            <w:shd w:val="clear" w:color="auto" w:fill="auto"/>
          </w:tcPr>
          <w:p w14:paraId="0565ABA6" w14:textId="77777777" w:rsidR="00AD3D2E" w:rsidRPr="00F85381" w:rsidRDefault="00AD3D2E">
            <w:pPr>
              <w:spacing w:line="240" w:lineRule="auto"/>
              <w:jc w:val="center"/>
              <w:rPr>
                <w:rFonts w:ascii="Times New Roman" w:eastAsia="Times New Roman" w:hAnsi="Times New Roman" w:cs="Times New Roman"/>
                <w:b/>
                <w:bCs/>
              </w:rPr>
            </w:pPr>
            <w:r w:rsidRPr="00F85381">
              <w:rPr>
                <w:rFonts w:ascii="Times New Roman" w:eastAsia="Times New Roman" w:hAnsi="Times New Roman" w:cs="Times New Roman"/>
                <w:b/>
                <w:bCs/>
              </w:rPr>
              <w:t>IET</w:t>
            </w:r>
          </w:p>
        </w:tc>
      </w:tr>
      <w:tr w:rsidR="00C675E2" w:rsidRPr="00F85381" w14:paraId="28F5F153" w14:textId="77777777" w:rsidTr="00EC255D">
        <w:trPr>
          <w:jc w:val="center"/>
        </w:trPr>
        <w:tc>
          <w:tcPr>
            <w:tcW w:w="4248" w:type="dxa"/>
            <w:shd w:val="clear" w:color="auto" w:fill="auto"/>
          </w:tcPr>
          <w:p w14:paraId="7E1E8E0C" w14:textId="2D3C57FE" w:rsidR="00AD3D2E" w:rsidRPr="00F85381" w:rsidRDefault="00AD3D2E" w:rsidP="00AD3D2E">
            <w:pPr>
              <w:spacing w:line="240" w:lineRule="auto"/>
              <w:jc w:val="center"/>
              <w:rPr>
                <w:rFonts w:ascii="Times New Roman" w:eastAsia="Times New Roman" w:hAnsi="Times New Roman" w:cs="Times New Roman"/>
                <w:sz w:val="20"/>
                <w:szCs w:val="20"/>
              </w:rPr>
            </w:pPr>
            <w:r w:rsidRPr="00F85381">
              <w:rPr>
                <w:rFonts w:ascii="Times New Roman" w:eastAsia="Times New Roman" w:hAnsi="Times New Roman" w:cs="Times New Roman"/>
                <w:noProof/>
                <w:sz w:val="20"/>
                <w:szCs w:val="20"/>
              </w:rPr>
              <w:drawing>
                <wp:inline distT="0" distB="0" distL="0" distR="0" wp14:anchorId="66A24F40" wp14:editId="79BF3FF9">
                  <wp:extent cx="2486256" cy="2077517"/>
                  <wp:effectExtent l="0" t="0" r="0" b="0"/>
                  <wp:docPr id="18" name="Picture 18"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Figure 2"/>
                          <pic:cNvPicPr>
                            <a:picLocks noChangeAspect="1" noChangeArrowheads="1"/>
                          </pic:cNvPicPr>
                        </pic:nvPicPr>
                        <pic:blipFill rotWithShape="1">
                          <a:blip r:embed="rId27">
                            <a:extLst>
                              <a:ext uri="{28A0092B-C50C-407E-A947-70E740481C1C}">
                                <a14:useLocalDpi xmlns:a14="http://schemas.microsoft.com/office/drawing/2010/main" val="0"/>
                              </a:ext>
                            </a:extLst>
                          </a:blip>
                          <a:srcRect l="3688" t="1046" r="7572"/>
                          <a:stretch/>
                        </pic:blipFill>
                        <pic:spPr bwMode="auto">
                          <a:xfrm>
                            <a:off x="0" y="0"/>
                            <a:ext cx="2529446" cy="2113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258" w:type="dxa"/>
            <w:shd w:val="clear" w:color="auto" w:fill="auto"/>
          </w:tcPr>
          <w:p w14:paraId="753C670E" w14:textId="5651F891" w:rsidR="00AD3D2E" w:rsidRPr="00F85381" w:rsidRDefault="00AD3D2E">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noProof/>
                <w:sz w:val="20"/>
                <w:szCs w:val="20"/>
              </w:rPr>
              <w:drawing>
                <wp:inline distT="0" distB="0" distL="0" distR="0" wp14:anchorId="078A8C34" wp14:editId="18E75E98">
                  <wp:extent cx="2585217" cy="2077085"/>
                  <wp:effectExtent l="0" t="0" r="5715" b="0"/>
                  <wp:docPr id="20" name="Picture 20"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Figure 2"/>
                          <pic:cNvPicPr>
                            <a:picLocks noChangeAspect="1" noChangeArrowheads="1"/>
                          </pic:cNvPicPr>
                        </pic:nvPicPr>
                        <pic:blipFill rotWithShape="1">
                          <a:blip r:embed="rId28">
                            <a:extLst>
                              <a:ext uri="{28A0092B-C50C-407E-A947-70E740481C1C}">
                                <a14:useLocalDpi xmlns:a14="http://schemas.microsoft.com/office/drawing/2010/main" val="0"/>
                              </a:ext>
                            </a:extLst>
                          </a:blip>
                          <a:srcRect r="6734"/>
                          <a:stretch/>
                        </pic:blipFill>
                        <pic:spPr bwMode="auto">
                          <a:xfrm>
                            <a:off x="0" y="0"/>
                            <a:ext cx="2615760" cy="2101624"/>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C675E2" w:rsidRPr="00F85381" w14:paraId="4F278DA7" w14:textId="77777777" w:rsidTr="00EC255D">
        <w:trPr>
          <w:jc w:val="center"/>
        </w:trPr>
        <w:tc>
          <w:tcPr>
            <w:tcW w:w="8506" w:type="dxa"/>
            <w:gridSpan w:val="2"/>
            <w:shd w:val="clear" w:color="auto" w:fill="auto"/>
          </w:tcPr>
          <w:p w14:paraId="078AEDFD" w14:textId="055823C7" w:rsidR="00AD3D2E" w:rsidRPr="00F85381" w:rsidRDefault="00AD3D2E" w:rsidP="00AD3D2E">
            <w:pPr>
              <w:spacing w:line="240" w:lineRule="auto"/>
              <w:jc w:val="center"/>
              <w:rPr>
                <w:rFonts w:ascii="Times New Roman" w:eastAsia="Times New Roman" w:hAnsi="Times New Roman" w:cs="Times New Roman"/>
                <w:b/>
                <w:bCs/>
              </w:rPr>
            </w:pPr>
            <w:r w:rsidRPr="00F85381">
              <w:rPr>
                <w:rFonts w:ascii="Times New Roman" w:eastAsia="Times New Roman" w:hAnsi="Times New Roman" w:cs="Times New Roman"/>
                <w:b/>
                <w:bCs/>
                <w:noProof/>
              </w:rPr>
              <w:t>IVA</w:t>
            </w:r>
          </w:p>
        </w:tc>
      </w:tr>
      <w:tr w:rsidR="00C675E2" w:rsidRPr="00F85381" w14:paraId="351D274E" w14:textId="77777777" w:rsidTr="00EC255D">
        <w:trPr>
          <w:jc w:val="center"/>
        </w:trPr>
        <w:tc>
          <w:tcPr>
            <w:tcW w:w="8506" w:type="dxa"/>
            <w:gridSpan w:val="2"/>
            <w:shd w:val="clear" w:color="auto" w:fill="auto"/>
          </w:tcPr>
          <w:p w14:paraId="0F2202F1" w14:textId="23C286B7" w:rsidR="00AD3D2E" w:rsidRPr="00F85381" w:rsidRDefault="00AD3D2E" w:rsidP="00AD3D2E">
            <w:pPr>
              <w:spacing w:line="240" w:lineRule="auto"/>
              <w:jc w:val="center"/>
              <w:rPr>
                <w:rFonts w:ascii="Times New Roman" w:eastAsia="Times New Roman" w:hAnsi="Times New Roman" w:cs="Times New Roman"/>
                <w:sz w:val="20"/>
                <w:szCs w:val="20"/>
              </w:rPr>
            </w:pPr>
            <w:r w:rsidRPr="00F85381">
              <w:rPr>
                <w:rFonts w:ascii="Times New Roman" w:eastAsia="Times New Roman" w:hAnsi="Times New Roman" w:cs="Times New Roman"/>
                <w:noProof/>
                <w:sz w:val="20"/>
                <w:szCs w:val="20"/>
              </w:rPr>
              <w:drawing>
                <wp:inline distT="0" distB="0" distL="0" distR="0" wp14:anchorId="453BA763" wp14:editId="0C74B8C2">
                  <wp:extent cx="2555734" cy="2055571"/>
                  <wp:effectExtent l="0" t="0" r="0" b="1905"/>
                  <wp:docPr id="21" name="Picture 21"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Figure 2"/>
                          <pic:cNvPicPr>
                            <a:picLocks noChangeAspect="1" noChangeArrowheads="1"/>
                          </pic:cNvPicPr>
                        </pic:nvPicPr>
                        <pic:blipFill rotWithShape="1">
                          <a:blip r:embed="rId29">
                            <a:extLst>
                              <a:ext uri="{28A0092B-C50C-407E-A947-70E740481C1C}">
                                <a14:useLocalDpi xmlns:a14="http://schemas.microsoft.com/office/drawing/2010/main" val="0"/>
                              </a:ext>
                            </a:extLst>
                          </a:blip>
                          <a:srcRect r="6832"/>
                          <a:stretch/>
                        </pic:blipFill>
                        <pic:spPr bwMode="auto">
                          <a:xfrm>
                            <a:off x="0" y="0"/>
                            <a:ext cx="2591251" cy="2084137"/>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7E37BE56" w14:textId="66D9D45A" w:rsidR="009F26E3" w:rsidRPr="00F85381" w:rsidRDefault="00BF5469" w:rsidP="00987F2D">
      <w:pPr>
        <w:spacing w:after="120" w:line="240" w:lineRule="auto"/>
        <w:jc w:val="center"/>
        <w:rPr>
          <w:rFonts w:ascii="Times New Roman" w:eastAsia="Times New Roman" w:hAnsi="Times New Roman" w:cs="Times New Roman"/>
        </w:rPr>
      </w:pPr>
      <w:bookmarkStart w:id="13" w:name="_1egqt2p" w:colFirst="0" w:colLast="0"/>
      <w:bookmarkEnd w:id="13"/>
      <w:r>
        <w:rPr>
          <w:rFonts w:ascii="Times New Roman" w:eastAsia="Times New Roman" w:hAnsi="Times New Roman" w:cs="Times New Roman"/>
        </w:rPr>
        <w:t>Fig.</w:t>
      </w:r>
      <w:r w:rsidR="00F50BBA" w:rsidRPr="00F85381">
        <w:rPr>
          <w:rFonts w:ascii="Times New Roman" w:eastAsia="Times New Roman" w:hAnsi="Times New Roman" w:cs="Times New Roman"/>
        </w:rPr>
        <w:t xml:space="preserve"> </w:t>
      </w:r>
      <w:r w:rsidR="0079655D" w:rsidRPr="00F85381">
        <w:rPr>
          <w:rFonts w:ascii="Times New Roman" w:eastAsia="Times New Roman" w:hAnsi="Times New Roman" w:cs="Times New Roman"/>
        </w:rPr>
        <w:t>2</w:t>
      </w:r>
      <w:r w:rsidR="007A5F78" w:rsidRPr="00F85381">
        <w:rPr>
          <w:rFonts w:ascii="Times New Roman" w:eastAsia="Times New Roman" w:hAnsi="Times New Roman" w:cs="Times New Roman"/>
        </w:rPr>
        <w:t xml:space="preserve"> </w:t>
      </w:r>
      <w:r w:rsidR="00F50BBA" w:rsidRPr="00F85381">
        <w:rPr>
          <w:rFonts w:ascii="Times New Roman" w:eastAsia="Times New Roman" w:hAnsi="Times New Roman" w:cs="Times New Roman"/>
        </w:rPr>
        <w:t>- ANN performance</w:t>
      </w:r>
      <w:r w:rsidR="005F34AA">
        <w:rPr>
          <w:rFonts w:ascii="Times New Roman" w:eastAsia="Times New Roman" w:hAnsi="Times New Roman" w:cs="Times New Roman"/>
        </w:rPr>
        <w:t>.</w:t>
      </w:r>
    </w:p>
    <w:p w14:paraId="3B8DEA7E" w14:textId="426485E7" w:rsidR="009F26E3" w:rsidRPr="00F85381" w:rsidRDefault="00BF5469" w:rsidP="00261C72">
      <w:pPr>
        <w:spacing w:after="120" w:line="480" w:lineRule="auto"/>
        <w:rPr>
          <w:rFonts w:ascii="Times New Roman" w:eastAsia="Times New Roman" w:hAnsi="Times New Roman" w:cs="Times New Roman"/>
        </w:rPr>
      </w:pPr>
      <w:r>
        <w:rPr>
          <w:rFonts w:ascii="Times New Roman" w:eastAsia="Times New Roman" w:hAnsi="Times New Roman" w:cs="Times New Roman"/>
        </w:rPr>
        <w:t>Fig.</w:t>
      </w:r>
      <w:r w:rsidR="0079655D" w:rsidRPr="00F85381">
        <w:rPr>
          <w:rFonts w:ascii="Times New Roman" w:eastAsia="Times New Roman" w:hAnsi="Times New Roman" w:cs="Times New Roman"/>
        </w:rPr>
        <w:t>3</w:t>
      </w:r>
      <w:r w:rsidR="003D2C92" w:rsidRPr="00F85381">
        <w:rPr>
          <w:rFonts w:ascii="Times New Roman" w:eastAsia="Times New Roman" w:hAnsi="Times New Roman" w:cs="Times New Roman"/>
        </w:rPr>
        <w:t xml:space="preserve"> </w:t>
      </w:r>
      <w:r w:rsidR="00F50BBA" w:rsidRPr="00F85381">
        <w:rPr>
          <w:rFonts w:ascii="Times New Roman" w:eastAsia="Times New Roman" w:hAnsi="Times New Roman" w:cs="Times New Roman"/>
        </w:rPr>
        <w:t xml:space="preserve">demonstrates the scatter plots of the calculated WQI resilience values using </w:t>
      </w:r>
      <w:proofErr w:type="gramStart"/>
      <w:r>
        <w:rPr>
          <w:rFonts w:ascii="Times New Roman" w:eastAsia="Times New Roman" w:hAnsi="Times New Roman" w:cs="Times New Roman"/>
        </w:rPr>
        <w:t>Eq.</w:t>
      </w:r>
      <w:r w:rsidR="00C36606">
        <w:rPr>
          <w:rFonts w:ascii="Times New Roman" w:eastAsia="Times New Roman" w:hAnsi="Times New Roman" w:cs="Times New Roman"/>
        </w:rPr>
        <w:t>(</w:t>
      </w:r>
      <w:proofErr w:type="gramEnd"/>
      <w:r w:rsidR="00F50BBA" w:rsidRPr="00F85381">
        <w:rPr>
          <w:rFonts w:ascii="Times New Roman" w:eastAsia="Times New Roman" w:hAnsi="Times New Roman" w:cs="Times New Roman"/>
        </w:rPr>
        <w:t>2</w:t>
      </w:r>
      <w:r w:rsidR="00C36606">
        <w:rPr>
          <w:rFonts w:ascii="Times New Roman" w:eastAsia="Times New Roman" w:hAnsi="Times New Roman" w:cs="Times New Roman"/>
        </w:rPr>
        <w:t>)</w:t>
      </w:r>
      <w:r w:rsidR="000D63C0" w:rsidRPr="00F85381">
        <w:rPr>
          <w:rFonts w:ascii="Times New Roman" w:eastAsia="Times New Roman" w:hAnsi="Times New Roman" w:cs="Times New Roman"/>
        </w:rPr>
        <w:t xml:space="preserve"> in SI</w:t>
      </w:r>
      <w:r w:rsidR="00F50BBA" w:rsidRPr="00F85381">
        <w:rPr>
          <w:rFonts w:ascii="Times New Roman" w:eastAsia="Times New Roman" w:hAnsi="Times New Roman" w:cs="Times New Roman"/>
        </w:rPr>
        <w:t xml:space="preserve"> and their corresponding ANN-based resilience prediction model. The observations demonstrate that there is a reasonable approximation by the ANN model across the spectrum of the evaluated WQI resilience values. Therefore, the overall agreement between the measured and simulated WQI resilience values (R values for IQA: 0.98814; IET: 0.99228; and IVA: 0.9999) are satisfactory.</w:t>
      </w:r>
      <w:r w:rsidR="002B0864" w:rsidRPr="00F85381">
        <w:rPr>
          <w:rFonts w:ascii="Times New Roman" w:eastAsia="Times New Roman" w:hAnsi="Times New Roman" w:cs="Times New Roman"/>
        </w:rPr>
        <w:t xml:space="preserve"> </w:t>
      </w:r>
      <w:r w:rsidR="0063172C" w:rsidRPr="00F85381">
        <w:rPr>
          <w:rFonts w:ascii="Times New Roman" w:eastAsia="Times New Roman" w:hAnsi="Times New Roman" w:cs="Times New Roman"/>
        </w:rPr>
        <w:t>Similarly, a set of error histogram</w:t>
      </w:r>
      <w:r w:rsidR="002A6784" w:rsidRPr="00F85381">
        <w:rPr>
          <w:rFonts w:ascii="Times New Roman" w:eastAsia="Times New Roman" w:hAnsi="Times New Roman" w:cs="Times New Roman"/>
        </w:rPr>
        <w:t>s</w:t>
      </w:r>
      <w:r w:rsidR="0063172C" w:rsidRPr="00F85381">
        <w:rPr>
          <w:rFonts w:ascii="Times New Roman" w:eastAsia="Times New Roman" w:hAnsi="Times New Roman" w:cs="Times New Roman"/>
        </w:rPr>
        <w:t xml:space="preserve"> </w:t>
      </w:r>
      <w:r w:rsidR="00C00D93" w:rsidRPr="00F85381">
        <w:rPr>
          <w:rFonts w:ascii="Times New Roman" w:eastAsia="Times New Roman" w:hAnsi="Times New Roman" w:cs="Times New Roman"/>
        </w:rPr>
        <w:t xml:space="preserve">using student’s T-test </w:t>
      </w:r>
      <w:r w:rsidR="00870FB1" w:rsidRPr="00F85381">
        <w:rPr>
          <w:rFonts w:ascii="Times New Roman" w:eastAsia="Times New Roman" w:hAnsi="Times New Roman" w:cs="Times New Roman"/>
        </w:rPr>
        <w:t xml:space="preserve">have been presented in </w:t>
      </w:r>
      <w:r>
        <w:rPr>
          <w:rFonts w:ascii="Times New Roman" w:eastAsia="Times New Roman" w:hAnsi="Times New Roman" w:cs="Times New Roman"/>
        </w:rPr>
        <w:t>Fig.</w:t>
      </w:r>
      <w:r w:rsidR="00870FB1" w:rsidRPr="00F85381">
        <w:rPr>
          <w:rFonts w:ascii="Times New Roman" w:eastAsia="Times New Roman" w:hAnsi="Times New Roman" w:cs="Times New Roman"/>
        </w:rPr>
        <w:t>4 in SI</w:t>
      </w:r>
      <w:r w:rsidR="0063172C" w:rsidRPr="00F85381">
        <w:rPr>
          <w:rFonts w:ascii="Times New Roman" w:eastAsia="Times New Roman" w:hAnsi="Times New Roman" w:cs="Times New Roman"/>
        </w:rPr>
        <w:t>.</w:t>
      </w:r>
      <w:r w:rsidR="00481FF6" w:rsidRPr="00F85381">
        <w:rPr>
          <w:rFonts w:ascii="Times New Roman" w:eastAsia="Times New Roman" w:hAnsi="Times New Roman" w:cs="Times New Roman"/>
        </w:rPr>
        <w:t xml:space="preserve"> Further details about the test can be found in the study by Hasan (2020).</w:t>
      </w:r>
      <w:r w:rsidR="0063172C" w:rsidRPr="00F85381">
        <w:rPr>
          <w:rFonts w:ascii="Times New Roman" w:eastAsia="Times New Roman" w:hAnsi="Times New Roman" w:cs="Times New Roman"/>
        </w:rPr>
        <w:t xml:space="preserve"> </w:t>
      </w:r>
      <w:r w:rsidR="00C00D93" w:rsidRPr="00F85381">
        <w:rPr>
          <w:rFonts w:ascii="Times New Roman" w:eastAsia="Times New Roman" w:hAnsi="Times New Roman" w:cs="Times New Roman"/>
        </w:rPr>
        <w:t xml:space="preserve"> </w:t>
      </w:r>
    </w:p>
    <w:p w14:paraId="56B3A31C" w14:textId="36BB6A16" w:rsidR="00E331F0" w:rsidRDefault="00E331F0" w:rsidP="00261C72">
      <w:pPr>
        <w:spacing w:after="120" w:line="480" w:lineRule="auto"/>
        <w:rPr>
          <w:rFonts w:ascii="Times New Roman" w:eastAsia="Times New Roman" w:hAnsi="Times New Roman" w:cs="Times New Roman"/>
        </w:rPr>
      </w:pPr>
    </w:p>
    <w:p w14:paraId="4EE1A1C3" w14:textId="7C85AC83" w:rsidR="00CB188F" w:rsidRDefault="00CB188F" w:rsidP="00261C72">
      <w:pPr>
        <w:spacing w:after="120" w:line="480" w:lineRule="auto"/>
        <w:rPr>
          <w:rFonts w:ascii="Times New Roman" w:eastAsia="Times New Roman" w:hAnsi="Times New Roman" w:cs="Times New Roman"/>
        </w:rPr>
      </w:pPr>
    </w:p>
    <w:p w14:paraId="2F3819BF" w14:textId="77777777" w:rsidR="00CB188F" w:rsidRPr="00F85381" w:rsidRDefault="00CB188F" w:rsidP="00261C72">
      <w:pPr>
        <w:spacing w:after="120" w:line="480" w:lineRule="auto"/>
        <w:rPr>
          <w:rFonts w:ascii="Times New Roman" w:eastAsia="Times New Roman" w:hAnsi="Times New Roman" w:cs="Times New Roman"/>
        </w:rPr>
      </w:pPr>
    </w:p>
    <w:tbl>
      <w:tblPr>
        <w:tblW w:w="9016" w:type="dxa"/>
        <w:tblBorders>
          <w:bottom w:val="single" w:sz="4" w:space="0" w:color="000000"/>
          <w:insideH w:val="single" w:sz="4" w:space="0" w:color="000000"/>
        </w:tblBorders>
        <w:tblLayout w:type="fixed"/>
        <w:tblCellMar>
          <w:left w:w="115" w:type="dxa"/>
          <w:right w:w="115" w:type="dxa"/>
        </w:tblCellMar>
        <w:tblLook w:val="0400" w:firstRow="0" w:lastRow="0" w:firstColumn="0" w:lastColumn="0" w:noHBand="0" w:noVBand="1"/>
      </w:tblPr>
      <w:tblGrid>
        <w:gridCol w:w="3005"/>
        <w:gridCol w:w="3005"/>
        <w:gridCol w:w="3006"/>
      </w:tblGrid>
      <w:tr w:rsidR="00C675E2" w:rsidRPr="00F85381" w14:paraId="4F74DA23" w14:textId="77777777" w:rsidTr="47CB78F3">
        <w:tc>
          <w:tcPr>
            <w:tcW w:w="3005" w:type="dxa"/>
            <w:shd w:val="clear" w:color="auto" w:fill="auto"/>
          </w:tcPr>
          <w:p w14:paraId="4E69CA5A" w14:textId="77777777" w:rsidR="009F26E3" w:rsidRPr="00F85381" w:rsidRDefault="00F50BBA">
            <w:pPr>
              <w:spacing w:line="240" w:lineRule="auto"/>
              <w:jc w:val="center"/>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lastRenderedPageBreak/>
              <w:t>IQA</w:t>
            </w:r>
          </w:p>
        </w:tc>
        <w:tc>
          <w:tcPr>
            <w:tcW w:w="3005" w:type="dxa"/>
            <w:shd w:val="clear" w:color="auto" w:fill="auto"/>
          </w:tcPr>
          <w:p w14:paraId="4B84ABB9" w14:textId="77777777" w:rsidR="009F26E3" w:rsidRPr="00F85381" w:rsidRDefault="00F50BBA">
            <w:pPr>
              <w:spacing w:line="240" w:lineRule="auto"/>
              <w:jc w:val="center"/>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IET</w:t>
            </w:r>
          </w:p>
        </w:tc>
        <w:tc>
          <w:tcPr>
            <w:tcW w:w="3006" w:type="dxa"/>
            <w:shd w:val="clear" w:color="auto" w:fill="auto"/>
          </w:tcPr>
          <w:p w14:paraId="3BBCA78F" w14:textId="77777777" w:rsidR="009F26E3" w:rsidRPr="00F85381" w:rsidRDefault="00F50BBA">
            <w:pPr>
              <w:spacing w:line="240" w:lineRule="auto"/>
              <w:jc w:val="center"/>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IVA</w:t>
            </w:r>
          </w:p>
        </w:tc>
      </w:tr>
      <w:tr w:rsidR="00C675E2" w:rsidRPr="00F85381" w14:paraId="3609034A" w14:textId="77777777" w:rsidTr="47CB78F3">
        <w:tc>
          <w:tcPr>
            <w:tcW w:w="3005" w:type="dxa"/>
            <w:shd w:val="clear" w:color="auto" w:fill="auto"/>
          </w:tcPr>
          <w:p w14:paraId="50E14B9A" w14:textId="77777777" w:rsidR="009F26E3" w:rsidRPr="00F85381" w:rsidRDefault="00F50BBA">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noProof/>
                <w:sz w:val="20"/>
                <w:szCs w:val="20"/>
              </w:rPr>
              <w:drawing>
                <wp:inline distT="0" distB="0" distL="0" distR="0" wp14:anchorId="1CB7C16F" wp14:editId="37F04AAB">
                  <wp:extent cx="1671955" cy="1733550"/>
                  <wp:effectExtent l="0" t="0" r="0" b="0"/>
                  <wp:docPr id="3" name="image1.png" descr="Figure 3"/>
                  <wp:cNvGraphicFramePr/>
                  <a:graphic xmlns:a="http://schemas.openxmlformats.org/drawingml/2006/main">
                    <a:graphicData uri="http://schemas.openxmlformats.org/drawingml/2006/picture">
                      <pic:pic xmlns:pic="http://schemas.openxmlformats.org/drawingml/2006/picture">
                        <pic:nvPicPr>
                          <pic:cNvPr id="3" name="image1.png" descr="Figure 3"/>
                          <pic:cNvPicPr preferRelativeResize="0"/>
                        </pic:nvPicPr>
                        <pic:blipFill>
                          <a:blip r:embed="rId30"/>
                          <a:srcRect/>
                          <a:stretch>
                            <a:fillRect/>
                          </a:stretch>
                        </pic:blipFill>
                        <pic:spPr>
                          <a:xfrm>
                            <a:off x="0" y="0"/>
                            <a:ext cx="1671955" cy="1733550"/>
                          </a:xfrm>
                          <a:prstGeom prst="rect">
                            <a:avLst/>
                          </a:prstGeom>
                          <a:ln/>
                        </pic:spPr>
                      </pic:pic>
                    </a:graphicData>
                  </a:graphic>
                </wp:inline>
              </w:drawing>
            </w:r>
          </w:p>
        </w:tc>
        <w:tc>
          <w:tcPr>
            <w:tcW w:w="3005" w:type="dxa"/>
            <w:shd w:val="clear" w:color="auto" w:fill="auto"/>
          </w:tcPr>
          <w:p w14:paraId="6E1E3972" w14:textId="77777777" w:rsidR="009F26E3" w:rsidRPr="00F85381" w:rsidRDefault="00F50BBA">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noProof/>
                <w:sz w:val="20"/>
                <w:szCs w:val="20"/>
              </w:rPr>
              <w:drawing>
                <wp:inline distT="0" distB="0" distL="0" distR="0" wp14:anchorId="058824E3" wp14:editId="4AD7C286">
                  <wp:extent cx="1685290" cy="1753870"/>
                  <wp:effectExtent l="0" t="0" r="0" b="0"/>
                  <wp:docPr id="13" name="image13.png" descr="Figure 3"/>
                  <wp:cNvGraphicFramePr/>
                  <a:graphic xmlns:a="http://schemas.openxmlformats.org/drawingml/2006/main">
                    <a:graphicData uri="http://schemas.openxmlformats.org/drawingml/2006/picture">
                      <pic:pic xmlns:pic="http://schemas.openxmlformats.org/drawingml/2006/picture">
                        <pic:nvPicPr>
                          <pic:cNvPr id="13" name="image13.png" descr="Figure 3"/>
                          <pic:cNvPicPr preferRelativeResize="0"/>
                        </pic:nvPicPr>
                        <pic:blipFill>
                          <a:blip r:embed="rId31"/>
                          <a:srcRect/>
                          <a:stretch>
                            <a:fillRect/>
                          </a:stretch>
                        </pic:blipFill>
                        <pic:spPr>
                          <a:xfrm>
                            <a:off x="0" y="0"/>
                            <a:ext cx="1685290" cy="1753870"/>
                          </a:xfrm>
                          <a:prstGeom prst="rect">
                            <a:avLst/>
                          </a:prstGeom>
                          <a:ln/>
                        </pic:spPr>
                      </pic:pic>
                    </a:graphicData>
                  </a:graphic>
                </wp:inline>
              </w:drawing>
            </w:r>
          </w:p>
        </w:tc>
        <w:tc>
          <w:tcPr>
            <w:tcW w:w="3006" w:type="dxa"/>
            <w:shd w:val="clear" w:color="auto" w:fill="auto"/>
          </w:tcPr>
          <w:p w14:paraId="188EB6D7" w14:textId="77777777" w:rsidR="009F26E3" w:rsidRPr="00F85381" w:rsidRDefault="00F50BBA">
            <w:pPr>
              <w:spacing w:line="240" w:lineRule="auto"/>
              <w:rPr>
                <w:rFonts w:ascii="Times New Roman" w:eastAsia="Times New Roman" w:hAnsi="Times New Roman" w:cs="Times New Roman"/>
                <w:sz w:val="20"/>
                <w:szCs w:val="20"/>
              </w:rPr>
            </w:pPr>
            <w:r w:rsidRPr="00F85381">
              <w:rPr>
                <w:rFonts w:ascii="Times New Roman" w:eastAsia="Times New Roman" w:hAnsi="Times New Roman" w:cs="Times New Roman"/>
                <w:noProof/>
                <w:sz w:val="20"/>
                <w:szCs w:val="20"/>
              </w:rPr>
              <w:drawing>
                <wp:inline distT="0" distB="0" distL="0" distR="0" wp14:anchorId="22979988" wp14:editId="11641A5E">
                  <wp:extent cx="1610360" cy="1794510"/>
                  <wp:effectExtent l="0" t="0" r="0" b="0"/>
                  <wp:docPr id="11" name="image10.png" descr="Figure 3"/>
                  <wp:cNvGraphicFramePr/>
                  <a:graphic xmlns:a="http://schemas.openxmlformats.org/drawingml/2006/main">
                    <a:graphicData uri="http://schemas.openxmlformats.org/drawingml/2006/picture">
                      <pic:pic xmlns:pic="http://schemas.openxmlformats.org/drawingml/2006/picture">
                        <pic:nvPicPr>
                          <pic:cNvPr id="11" name="image10.png" descr="Figure 3"/>
                          <pic:cNvPicPr preferRelativeResize="0"/>
                        </pic:nvPicPr>
                        <pic:blipFill>
                          <a:blip r:embed="rId32"/>
                          <a:srcRect/>
                          <a:stretch>
                            <a:fillRect/>
                          </a:stretch>
                        </pic:blipFill>
                        <pic:spPr>
                          <a:xfrm>
                            <a:off x="0" y="0"/>
                            <a:ext cx="1610360" cy="1794510"/>
                          </a:xfrm>
                          <a:prstGeom prst="rect">
                            <a:avLst/>
                          </a:prstGeom>
                          <a:ln/>
                        </pic:spPr>
                      </pic:pic>
                    </a:graphicData>
                  </a:graphic>
                </wp:inline>
              </w:drawing>
            </w:r>
          </w:p>
        </w:tc>
      </w:tr>
    </w:tbl>
    <w:p w14:paraId="12CFF5AB" w14:textId="72FAD17D" w:rsidR="009F26E3" w:rsidRPr="00F85381" w:rsidRDefault="00BF5469">
      <w:pPr>
        <w:spacing w:after="200" w:line="240" w:lineRule="auto"/>
        <w:jc w:val="center"/>
        <w:rPr>
          <w:rFonts w:ascii="Times New Roman" w:eastAsia="Times New Roman" w:hAnsi="Times New Roman" w:cs="Times New Roman"/>
        </w:rPr>
      </w:pPr>
      <w:bookmarkStart w:id="14" w:name="_3ygebqi" w:colFirst="0" w:colLast="0"/>
      <w:bookmarkEnd w:id="14"/>
      <w:r>
        <w:rPr>
          <w:rFonts w:ascii="Times New Roman" w:eastAsia="Times New Roman" w:hAnsi="Times New Roman" w:cs="Times New Roman"/>
        </w:rPr>
        <w:t>Fig.</w:t>
      </w:r>
      <w:r w:rsidR="00F50BBA" w:rsidRPr="00F85381">
        <w:rPr>
          <w:rFonts w:ascii="Times New Roman" w:eastAsia="Times New Roman" w:hAnsi="Times New Roman" w:cs="Times New Roman"/>
        </w:rPr>
        <w:t xml:space="preserve"> </w:t>
      </w:r>
      <w:r w:rsidR="0079655D" w:rsidRPr="00F85381">
        <w:rPr>
          <w:rFonts w:ascii="Times New Roman" w:eastAsia="Times New Roman" w:hAnsi="Times New Roman" w:cs="Times New Roman"/>
        </w:rPr>
        <w:t>3</w:t>
      </w:r>
      <w:r w:rsidR="003D2C92" w:rsidRPr="00F85381">
        <w:rPr>
          <w:rFonts w:ascii="Times New Roman" w:eastAsia="Times New Roman" w:hAnsi="Times New Roman" w:cs="Times New Roman"/>
        </w:rPr>
        <w:t xml:space="preserve"> </w:t>
      </w:r>
      <w:r w:rsidR="00F50BBA" w:rsidRPr="00F85381">
        <w:rPr>
          <w:rFonts w:ascii="Times New Roman" w:eastAsia="Times New Roman" w:hAnsi="Times New Roman" w:cs="Times New Roman"/>
        </w:rPr>
        <w:t>- ANN model validation results.</w:t>
      </w:r>
    </w:p>
    <w:p w14:paraId="4F10550C" w14:textId="3558B419" w:rsidR="009F26E3" w:rsidRPr="00F85381" w:rsidRDefault="00BF5469" w:rsidP="00261C72">
      <w:pPr>
        <w:spacing w:after="120" w:line="480" w:lineRule="auto"/>
        <w:rPr>
          <w:rFonts w:ascii="Times New Roman" w:eastAsia="Times New Roman" w:hAnsi="Times New Roman" w:cs="Times New Roman"/>
        </w:rPr>
      </w:pPr>
      <w:r>
        <w:rPr>
          <w:rFonts w:ascii="Times New Roman" w:eastAsia="Times New Roman" w:hAnsi="Times New Roman" w:cs="Times New Roman"/>
        </w:rPr>
        <w:t>Fig.</w:t>
      </w:r>
      <w:r w:rsidR="00F50BBA" w:rsidRPr="00F85381">
        <w:rPr>
          <w:rFonts w:ascii="Times New Roman" w:eastAsia="Times New Roman" w:hAnsi="Times New Roman" w:cs="Times New Roman"/>
        </w:rPr>
        <w:t xml:space="preserve"> </w:t>
      </w:r>
      <w:r w:rsidR="0079655D" w:rsidRPr="00F85381">
        <w:rPr>
          <w:rFonts w:ascii="Times New Roman" w:eastAsia="Times New Roman" w:hAnsi="Times New Roman" w:cs="Times New Roman"/>
        </w:rPr>
        <w:t>4</w:t>
      </w:r>
      <w:r w:rsidR="003D2C92" w:rsidRPr="00F85381">
        <w:rPr>
          <w:rFonts w:ascii="Times New Roman" w:eastAsia="Times New Roman" w:hAnsi="Times New Roman" w:cs="Times New Roman"/>
        </w:rPr>
        <w:t xml:space="preserve"> </w:t>
      </w:r>
      <w:r w:rsidR="00F50BBA" w:rsidRPr="00F85381">
        <w:rPr>
          <w:rFonts w:ascii="Times New Roman" w:eastAsia="Times New Roman" w:hAnsi="Times New Roman" w:cs="Times New Roman"/>
        </w:rPr>
        <w:t xml:space="preserve">illustrates the </w:t>
      </w:r>
      <w:r w:rsidR="00F50BBA" w:rsidRPr="00F85381">
        <w:rPr>
          <w:rFonts w:ascii="Times New Roman" w:eastAsia="Times New Roman" w:hAnsi="Times New Roman" w:cs="Times New Roman"/>
          <w:i/>
        </w:rPr>
        <w:t>MSE</w:t>
      </w:r>
      <w:r w:rsidR="00F50BBA" w:rsidRPr="00F85381">
        <w:rPr>
          <w:rFonts w:ascii="Times New Roman" w:eastAsia="Times New Roman" w:hAnsi="Times New Roman" w:cs="Times New Roman"/>
        </w:rPr>
        <w:t xml:space="preserve"> and </w:t>
      </w:r>
      <w:r w:rsidR="00F50BBA" w:rsidRPr="00F85381">
        <w:rPr>
          <w:rFonts w:ascii="Times New Roman" w:eastAsia="Times New Roman" w:hAnsi="Times New Roman" w:cs="Times New Roman"/>
          <w:i/>
        </w:rPr>
        <w:t>R</w:t>
      </w:r>
      <w:r w:rsidR="00F50BBA" w:rsidRPr="00F85381">
        <w:rPr>
          <w:rFonts w:ascii="Times New Roman" w:eastAsia="Times New Roman" w:hAnsi="Times New Roman" w:cs="Times New Roman"/>
        </w:rPr>
        <w:t xml:space="preserve"> values of different algorithms for IQA, IET and IVA resilience predictions. It is noticeable in </w:t>
      </w:r>
      <w:r>
        <w:rPr>
          <w:rFonts w:ascii="Times New Roman" w:eastAsia="Times New Roman" w:hAnsi="Times New Roman" w:cs="Times New Roman"/>
        </w:rPr>
        <w:t>Fig.</w:t>
      </w:r>
      <w:r w:rsidR="00F50BBA" w:rsidRPr="00F85381">
        <w:rPr>
          <w:rFonts w:ascii="Times New Roman" w:eastAsia="Times New Roman" w:hAnsi="Times New Roman" w:cs="Times New Roman"/>
        </w:rPr>
        <w:t xml:space="preserve"> </w:t>
      </w:r>
      <w:r w:rsidR="00C77A34" w:rsidRPr="00F85381">
        <w:rPr>
          <w:rFonts w:ascii="Times New Roman" w:eastAsia="Times New Roman" w:hAnsi="Times New Roman" w:cs="Times New Roman"/>
        </w:rPr>
        <w:t>4</w:t>
      </w:r>
      <w:r w:rsidR="003D2C92" w:rsidRPr="00F85381">
        <w:rPr>
          <w:rFonts w:ascii="Times New Roman" w:eastAsia="Times New Roman" w:hAnsi="Times New Roman" w:cs="Times New Roman"/>
        </w:rPr>
        <w:t xml:space="preserve"> </w:t>
      </w:r>
      <w:r w:rsidR="00F50BBA" w:rsidRPr="00F85381">
        <w:rPr>
          <w:rFonts w:ascii="Times New Roman" w:eastAsia="Times New Roman" w:hAnsi="Times New Roman" w:cs="Times New Roman"/>
        </w:rPr>
        <w:t xml:space="preserve">that LM has performed better than BR and SCG for IQA and IET training. However, BR has performed significantly better with the testing dataset in the ANN model. Moreover, in all cases, SCG has shown the weakest performance. A possible reason is the poor convergence due to the adjustments of the weights and eigenvalues. </w:t>
      </w:r>
    </w:p>
    <w:p w14:paraId="409B827A" w14:textId="77777777" w:rsidR="009F26E3" w:rsidRPr="00F85381" w:rsidRDefault="00F50BBA" w:rsidP="00F002A7">
      <w:pPr>
        <w:spacing w:after="120" w:line="240" w:lineRule="auto"/>
        <w:jc w:val="center"/>
        <w:rPr>
          <w:rFonts w:ascii="Times New Roman" w:eastAsia="Times New Roman" w:hAnsi="Times New Roman" w:cs="Times New Roman"/>
        </w:rPr>
      </w:pPr>
      <w:r w:rsidRPr="00F85381">
        <w:rPr>
          <w:rFonts w:ascii="Calibri" w:eastAsia="Calibri" w:hAnsi="Calibri" w:cs="Calibri"/>
          <w:noProof/>
        </w:rPr>
        <w:drawing>
          <wp:inline distT="0" distB="0" distL="0" distR="0" wp14:anchorId="1FC19FC1" wp14:editId="4B9B172A">
            <wp:extent cx="4357532" cy="2851273"/>
            <wp:effectExtent l="0" t="0" r="0" b="0"/>
            <wp:docPr id="8" name="image7.png" descr="Figure 4"/>
            <wp:cNvGraphicFramePr/>
            <a:graphic xmlns:a="http://schemas.openxmlformats.org/drawingml/2006/main">
              <a:graphicData uri="http://schemas.openxmlformats.org/drawingml/2006/picture">
                <pic:pic xmlns:pic="http://schemas.openxmlformats.org/drawingml/2006/picture">
                  <pic:nvPicPr>
                    <pic:cNvPr id="8" name="image7.png" descr="Figure 4"/>
                    <pic:cNvPicPr preferRelativeResize="0"/>
                  </pic:nvPicPr>
                  <pic:blipFill>
                    <a:blip r:embed="rId33"/>
                    <a:srcRect/>
                    <a:stretch>
                      <a:fillRect/>
                    </a:stretch>
                  </pic:blipFill>
                  <pic:spPr>
                    <a:xfrm>
                      <a:off x="0" y="0"/>
                      <a:ext cx="4357532" cy="2851273"/>
                    </a:xfrm>
                    <a:prstGeom prst="rect">
                      <a:avLst/>
                    </a:prstGeom>
                    <a:ln/>
                  </pic:spPr>
                </pic:pic>
              </a:graphicData>
            </a:graphic>
          </wp:inline>
        </w:drawing>
      </w:r>
    </w:p>
    <w:p w14:paraId="28E96959" w14:textId="3492AABA" w:rsidR="009F26E3" w:rsidRPr="00F85381" w:rsidRDefault="00BF5469" w:rsidP="00F002A7">
      <w:pPr>
        <w:spacing w:after="120" w:line="240" w:lineRule="auto"/>
        <w:jc w:val="center"/>
        <w:rPr>
          <w:rFonts w:ascii="Times New Roman" w:eastAsia="Times New Roman" w:hAnsi="Times New Roman" w:cs="Times New Roman"/>
        </w:rPr>
      </w:pPr>
      <w:bookmarkStart w:id="15" w:name="_2dlolyb" w:colFirst="0" w:colLast="0"/>
      <w:bookmarkEnd w:id="15"/>
      <w:r>
        <w:rPr>
          <w:rFonts w:ascii="Times New Roman" w:eastAsia="Times New Roman" w:hAnsi="Times New Roman" w:cs="Times New Roman"/>
        </w:rPr>
        <w:t>Fig.</w:t>
      </w:r>
      <w:r w:rsidR="00F50BBA" w:rsidRPr="00F85381">
        <w:rPr>
          <w:rFonts w:ascii="Times New Roman" w:eastAsia="Times New Roman" w:hAnsi="Times New Roman" w:cs="Times New Roman"/>
        </w:rPr>
        <w:t xml:space="preserve"> </w:t>
      </w:r>
      <w:r w:rsidR="0079655D" w:rsidRPr="00F85381">
        <w:rPr>
          <w:rFonts w:ascii="Times New Roman" w:eastAsia="Times New Roman" w:hAnsi="Times New Roman" w:cs="Times New Roman"/>
        </w:rPr>
        <w:t>4</w:t>
      </w:r>
      <w:r w:rsidR="003D2C92" w:rsidRPr="00F85381">
        <w:rPr>
          <w:rFonts w:ascii="Times New Roman" w:eastAsia="Times New Roman" w:hAnsi="Times New Roman" w:cs="Times New Roman"/>
        </w:rPr>
        <w:t xml:space="preserve"> </w:t>
      </w:r>
      <w:r w:rsidR="00F50BBA" w:rsidRPr="00F85381">
        <w:rPr>
          <w:rFonts w:ascii="Times New Roman" w:eastAsia="Times New Roman" w:hAnsi="Times New Roman" w:cs="Times New Roman"/>
        </w:rPr>
        <w:t>- Performance evaluation of the utilised algorithms</w:t>
      </w:r>
      <w:r w:rsidR="005F34AA">
        <w:rPr>
          <w:rFonts w:ascii="Times New Roman" w:eastAsia="Times New Roman" w:hAnsi="Times New Roman" w:cs="Times New Roman"/>
        </w:rPr>
        <w:t>.</w:t>
      </w:r>
    </w:p>
    <w:p w14:paraId="1D7B4BCF" w14:textId="7235CB54"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Table </w:t>
      </w:r>
      <w:r w:rsidR="005E77F1" w:rsidRPr="00F85381">
        <w:rPr>
          <w:rFonts w:ascii="Times New Roman" w:eastAsia="Times New Roman" w:hAnsi="Times New Roman" w:cs="Times New Roman"/>
        </w:rPr>
        <w:t>3</w:t>
      </w:r>
      <w:r w:rsidR="00025CB7" w:rsidRPr="00F85381">
        <w:rPr>
          <w:rFonts w:ascii="Times New Roman" w:eastAsia="Times New Roman" w:hAnsi="Times New Roman" w:cs="Times New Roman"/>
        </w:rPr>
        <w:t xml:space="preserve"> </w:t>
      </w:r>
      <w:r w:rsidRPr="00F85381">
        <w:rPr>
          <w:rFonts w:ascii="Times New Roman" w:eastAsia="Times New Roman" w:hAnsi="Times New Roman" w:cs="Times New Roman"/>
        </w:rPr>
        <w:t xml:space="preserve">shows the RMSE for the IQA, IET and IVA resilience, where it measures the differences between the resilience values predicted by the developed ANN-based resilience prediction model and the calculated WQI resilience values using </w:t>
      </w:r>
      <w:proofErr w:type="gramStart"/>
      <w:r w:rsidR="00BF5469">
        <w:rPr>
          <w:rFonts w:ascii="Times New Roman" w:eastAsia="Times New Roman" w:hAnsi="Times New Roman" w:cs="Times New Roman"/>
        </w:rPr>
        <w:t>Eq.</w:t>
      </w:r>
      <w:r w:rsidRPr="00F85381">
        <w:rPr>
          <w:rFonts w:ascii="Times New Roman" w:eastAsia="Times New Roman" w:hAnsi="Times New Roman" w:cs="Times New Roman"/>
        </w:rPr>
        <w:t>(</w:t>
      </w:r>
      <w:proofErr w:type="gramEnd"/>
      <w:r w:rsidRPr="00F85381">
        <w:rPr>
          <w:rFonts w:ascii="Times New Roman" w:eastAsia="Times New Roman" w:hAnsi="Times New Roman" w:cs="Times New Roman"/>
        </w:rPr>
        <w:t>2)</w:t>
      </w:r>
      <w:r w:rsidR="004B2CBF" w:rsidRPr="00F85381">
        <w:rPr>
          <w:rFonts w:ascii="Times New Roman" w:eastAsia="Times New Roman" w:hAnsi="Times New Roman" w:cs="Times New Roman"/>
        </w:rPr>
        <w:t xml:space="preserve"> in SI</w:t>
      </w:r>
      <w:r w:rsidRPr="00F85381">
        <w:rPr>
          <w:rFonts w:ascii="Times New Roman" w:eastAsia="Times New Roman" w:hAnsi="Times New Roman" w:cs="Times New Roman"/>
        </w:rPr>
        <w:t xml:space="preserve">. In other words, it shows the goodness-of-fit of generalization of the model. For the IET and IVA resilience, the BR performs significantly better compared to the LM and SCG in training, validation and testing purposes. Similarly, SCG performs poorest in all three WQIs. As a result, the SCG is not a suitable choice for predicting WQ resilience due to its poor accuracy in training, </w:t>
      </w:r>
      <w:r w:rsidRPr="00F85381">
        <w:rPr>
          <w:rFonts w:ascii="Times New Roman" w:eastAsia="Times New Roman" w:hAnsi="Times New Roman" w:cs="Times New Roman"/>
        </w:rPr>
        <w:lastRenderedPageBreak/>
        <w:t>validation and testing phases. In terms of accuracy, the BR is preferable than LM for IET and IVA resilience. However, the average RMSE is slightly better for LM in the dataset of IQA.</w:t>
      </w:r>
    </w:p>
    <w:p w14:paraId="1E17FAD3" w14:textId="2F9B0694" w:rsidR="009F26E3" w:rsidRPr="00F85381" w:rsidRDefault="00F50BBA">
      <w:pPr>
        <w:spacing w:after="120" w:line="240" w:lineRule="auto"/>
        <w:jc w:val="center"/>
        <w:rPr>
          <w:rFonts w:ascii="Times New Roman" w:eastAsia="Times New Roman" w:hAnsi="Times New Roman" w:cs="Times New Roman"/>
        </w:rPr>
      </w:pPr>
      <w:bookmarkStart w:id="16" w:name="_sqyw64" w:colFirst="0" w:colLast="0"/>
      <w:bookmarkEnd w:id="16"/>
      <w:r w:rsidRPr="00F85381">
        <w:rPr>
          <w:rFonts w:ascii="Times New Roman" w:eastAsia="Times New Roman" w:hAnsi="Times New Roman" w:cs="Times New Roman"/>
        </w:rPr>
        <w:t xml:space="preserve">Table </w:t>
      </w:r>
      <w:r w:rsidR="005E77F1" w:rsidRPr="00F85381">
        <w:rPr>
          <w:rFonts w:ascii="Times New Roman" w:eastAsia="Times New Roman" w:hAnsi="Times New Roman" w:cs="Times New Roman"/>
        </w:rPr>
        <w:t>3</w:t>
      </w:r>
      <w:r w:rsidR="00025CB7" w:rsidRPr="00F85381">
        <w:rPr>
          <w:rFonts w:ascii="Times New Roman" w:eastAsia="Times New Roman" w:hAnsi="Times New Roman" w:cs="Times New Roman"/>
        </w:rPr>
        <w:t xml:space="preserve"> </w:t>
      </w:r>
      <w:r w:rsidRPr="00F85381">
        <w:rPr>
          <w:rFonts w:ascii="Times New Roman" w:eastAsia="Times New Roman" w:hAnsi="Times New Roman" w:cs="Times New Roman"/>
        </w:rPr>
        <w:t>- Average RMSE values of the applied algorithms</w:t>
      </w:r>
      <w:r w:rsidR="005F34AA">
        <w:rPr>
          <w:rFonts w:ascii="Times New Roman" w:eastAsia="Times New Roman" w:hAnsi="Times New Roman" w:cs="Times New Roman"/>
        </w:rPr>
        <w:t>.</w:t>
      </w:r>
    </w:p>
    <w:tbl>
      <w:tblPr>
        <w:tblW w:w="6025" w:type="dxa"/>
        <w:jc w:val="center"/>
        <w:tblBorders>
          <w:top w:val="single" w:sz="4" w:space="0" w:color="000000"/>
          <w:bottom w:val="single" w:sz="4" w:space="0" w:color="000000"/>
          <w:insideH w:val="single" w:sz="4" w:space="0" w:color="000000"/>
        </w:tblBorders>
        <w:tblLayout w:type="fixed"/>
        <w:tblCellMar>
          <w:left w:w="115" w:type="dxa"/>
          <w:right w:w="115" w:type="dxa"/>
        </w:tblCellMar>
        <w:tblLook w:val="0400" w:firstRow="0" w:lastRow="0" w:firstColumn="0" w:lastColumn="0" w:noHBand="0" w:noVBand="1"/>
      </w:tblPr>
      <w:tblGrid>
        <w:gridCol w:w="1187"/>
        <w:gridCol w:w="1628"/>
        <w:gridCol w:w="1594"/>
        <w:gridCol w:w="1616"/>
      </w:tblGrid>
      <w:tr w:rsidR="00C675E2" w:rsidRPr="00F85381" w14:paraId="78D2060C" w14:textId="77777777">
        <w:trPr>
          <w:trHeight w:val="233"/>
          <w:jc w:val="center"/>
        </w:trPr>
        <w:tc>
          <w:tcPr>
            <w:tcW w:w="1187" w:type="dxa"/>
            <w:shd w:val="clear" w:color="auto" w:fill="auto"/>
          </w:tcPr>
          <w:p w14:paraId="18FE3417" w14:textId="77777777" w:rsidR="009F26E3" w:rsidRPr="00F85381" w:rsidRDefault="00F50BBA">
            <w:pPr>
              <w:spacing w:line="240" w:lineRule="auto"/>
              <w:jc w:val="left"/>
              <w:rPr>
                <w:rFonts w:ascii="Times New Roman" w:eastAsia="Times New Roman" w:hAnsi="Times New Roman" w:cs="Times New Roman"/>
                <w:b/>
                <w:sz w:val="20"/>
                <w:szCs w:val="20"/>
              </w:rPr>
            </w:pPr>
            <w:r w:rsidRPr="00F85381">
              <w:rPr>
                <w:rFonts w:ascii="Times New Roman" w:eastAsia="Times New Roman" w:hAnsi="Times New Roman" w:cs="Times New Roman"/>
                <w:b/>
                <w:sz w:val="20"/>
                <w:szCs w:val="20"/>
              </w:rPr>
              <w:t>Algorithm</w:t>
            </w:r>
          </w:p>
        </w:tc>
        <w:tc>
          <w:tcPr>
            <w:tcW w:w="1628" w:type="dxa"/>
            <w:shd w:val="clear" w:color="auto" w:fill="auto"/>
          </w:tcPr>
          <w:p w14:paraId="6B211C1D" w14:textId="77777777" w:rsidR="009F26E3" w:rsidRPr="00F85381" w:rsidRDefault="00F50BBA">
            <w:pPr>
              <w:spacing w:line="240" w:lineRule="auto"/>
              <w:jc w:val="left"/>
              <w:rPr>
                <w:rFonts w:ascii="Times New Roman" w:eastAsia="Times New Roman" w:hAnsi="Times New Roman" w:cs="Times New Roman"/>
                <w:b/>
                <w:sz w:val="20"/>
                <w:szCs w:val="20"/>
              </w:rPr>
            </w:pPr>
            <w:r w:rsidRPr="00F85381">
              <w:rPr>
                <w:rFonts w:ascii="Times New Roman" w:eastAsia="Times New Roman" w:hAnsi="Times New Roman" w:cs="Times New Roman"/>
                <w:b/>
                <w:sz w:val="20"/>
                <w:szCs w:val="20"/>
              </w:rPr>
              <w:t>RMSE for IQA</w:t>
            </w:r>
          </w:p>
        </w:tc>
        <w:tc>
          <w:tcPr>
            <w:tcW w:w="1594" w:type="dxa"/>
            <w:shd w:val="clear" w:color="auto" w:fill="auto"/>
          </w:tcPr>
          <w:p w14:paraId="7040627E" w14:textId="77777777" w:rsidR="009F26E3" w:rsidRPr="00F85381" w:rsidRDefault="00F50BBA">
            <w:pPr>
              <w:spacing w:line="240" w:lineRule="auto"/>
              <w:jc w:val="left"/>
              <w:rPr>
                <w:rFonts w:ascii="Times New Roman" w:eastAsia="Times New Roman" w:hAnsi="Times New Roman" w:cs="Times New Roman"/>
                <w:b/>
                <w:sz w:val="20"/>
                <w:szCs w:val="20"/>
              </w:rPr>
            </w:pPr>
            <w:r w:rsidRPr="00F85381">
              <w:rPr>
                <w:rFonts w:ascii="Times New Roman" w:eastAsia="Times New Roman" w:hAnsi="Times New Roman" w:cs="Times New Roman"/>
                <w:b/>
                <w:sz w:val="20"/>
                <w:szCs w:val="20"/>
              </w:rPr>
              <w:t>RMSE for IET</w:t>
            </w:r>
          </w:p>
        </w:tc>
        <w:tc>
          <w:tcPr>
            <w:tcW w:w="1616" w:type="dxa"/>
            <w:shd w:val="clear" w:color="auto" w:fill="auto"/>
          </w:tcPr>
          <w:p w14:paraId="710F7395" w14:textId="77777777" w:rsidR="009F26E3" w:rsidRPr="00F85381" w:rsidRDefault="00F50BBA">
            <w:pPr>
              <w:spacing w:line="240" w:lineRule="auto"/>
              <w:jc w:val="left"/>
              <w:rPr>
                <w:rFonts w:ascii="Times New Roman" w:eastAsia="Times New Roman" w:hAnsi="Times New Roman" w:cs="Times New Roman"/>
                <w:b/>
                <w:sz w:val="20"/>
                <w:szCs w:val="20"/>
              </w:rPr>
            </w:pPr>
            <w:r w:rsidRPr="00F85381">
              <w:rPr>
                <w:rFonts w:ascii="Times New Roman" w:eastAsia="Times New Roman" w:hAnsi="Times New Roman" w:cs="Times New Roman"/>
                <w:b/>
                <w:sz w:val="20"/>
                <w:szCs w:val="20"/>
              </w:rPr>
              <w:t>RMSE for IVA</w:t>
            </w:r>
          </w:p>
        </w:tc>
      </w:tr>
      <w:tr w:rsidR="00C675E2" w:rsidRPr="00F85381" w14:paraId="65329CD6" w14:textId="77777777">
        <w:trPr>
          <w:trHeight w:val="311"/>
          <w:jc w:val="center"/>
        </w:trPr>
        <w:tc>
          <w:tcPr>
            <w:tcW w:w="1187" w:type="dxa"/>
            <w:shd w:val="clear" w:color="auto" w:fill="auto"/>
          </w:tcPr>
          <w:p w14:paraId="2C3F025B" w14:textId="77777777" w:rsidR="009F26E3" w:rsidRPr="00F85381" w:rsidRDefault="00F50BBA">
            <w:pPr>
              <w:spacing w:line="240" w:lineRule="auto"/>
              <w:jc w:val="left"/>
              <w:rPr>
                <w:rFonts w:ascii="Times New Roman" w:eastAsia="Times New Roman" w:hAnsi="Times New Roman" w:cs="Times New Roman"/>
                <w:b/>
                <w:sz w:val="20"/>
                <w:szCs w:val="20"/>
              </w:rPr>
            </w:pPr>
            <w:r w:rsidRPr="00F85381">
              <w:rPr>
                <w:rFonts w:ascii="Times New Roman" w:eastAsia="Times New Roman" w:hAnsi="Times New Roman" w:cs="Times New Roman"/>
                <w:sz w:val="20"/>
                <w:szCs w:val="20"/>
              </w:rPr>
              <w:t>LM</w:t>
            </w:r>
          </w:p>
        </w:tc>
        <w:tc>
          <w:tcPr>
            <w:tcW w:w="1628" w:type="dxa"/>
            <w:shd w:val="clear" w:color="auto" w:fill="auto"/>
          </w:tcPr>
          <w:p w14:paraId="084A2A9D" w14:textId="77777777" w:rsidR="009F26E3" w:rsidRPr="00F85381" w:rsidRDefault="00F50BBA">
            <w:pPr>
              <w:spacing w:line="240" w:lineRule="auto"/>
              <w:jc w:val="left"/>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0.651</w:t>
            </w:r>
          </w:p>
        </w:tc>
        <w:tc>
          <w:tcPr>
            <w:tcW w:w="1594" w:type="dxa"/>
            <w:shd w:val="clear" w:color="auto" w:fill="auto"/>
          </w:tcPr>
          <w:p w14:paraId="20517C70" w14:textId="77777777" w:rsidR="009F26E3" w:rsidRPr="00F85381" w:rsidRDefault="00F50BBA">
            <w:pPr>
              <w:spacing w:line="240" w:lineRule="auto"/>
              <w:jc w:val="left"/>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0.722</w:t>
            </w:r>
          </w:p>
        </w:tc>
        <w:tc>
          <w:tcPr>
            <w:tcW w:w="1616" w:type="dxa"/>
            <w:shd w:val="clear" w:color="auto" w:fill="auto"/>
          </w:tcPr>
          <w:p w14:paraId="711F9F63" w14:textId="77777777" w:rsidR="009F26E3" w:rsidRPr="00F85381" w:rsidRDefault="00F50BBA">
            <w:pPr>
              <w:spacing w:line="240" w:lineRule="auto"/>
              <w:jc w:val="left"/>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0.031</w:t>
            </w:r>
          </w:p>
        </w:tc>
      </w:tr>
      <w:tr w:rsidR="00C675E2" w:rsidRPr="00F85381" w14:paraId="177C243B" w14:textId="77777777">
        <w:trPr>
          <w:trHeight w:val="131"/>
          <w:jc w:val="center"/>
        </w:trPr>
        <w:tc>
          <w:tcPr>
            <w:tcW w:w="1187" w:type="dxa"/>
            <w:shd w:val="clear" w:color="auto" w:fill="auto"/>
          </w:tcPr>
          <w:p w14:paraId="61B7B1F4" w14:textId="77777777" w:rsidR="009F26E3" w:rsidRPr="00F85381" w:rsidRDefault="00F50BBA">
            <w:pPr>
              <w:spacing w:line="240" w:lineRule="auto"/>
              <w:jc w:val="left"/>
              <w:rPr>
                <w:rFonts w:ascii="Times New Roman" w:eastAsia="Times New Roman" w:hAnsi="Times New Roman" w:cs="Times New Roman"/>
                <w:b/>
                <w:sz w:val="20"/>
                <w:szCs w:val="20"/>
              </w:rPr>
            </w:pPr>
            <w:r w:rsidRPr="00F85381">
              <w:rPr>
                <w:rFonts w:ascii="Times New Roman" w:eastAsia="Times New Roman" w:hAnsi="Times New Roman" w:cs="Times New Roman"/>
                <w:sz w:val="20"/>
                <w:szCs w:val="20"/>
              </w:rPr>
              <w:t>BR</w:t>
            </w:r>
          </w:p>
        </w:tc>
        <w:tc>
          <w:tcPr>
            <w:tcW w:w="1628" w:type="dxa"/>
            <w:shd w:val="clear" w:color="auto" w:fill="auto"/>
          </w:tcPr>
          <w:p w14:paraId="5F32D347" w14:textId="77777777" w:rsidR="009F26E3" w:rsidRPr="00F85381" w:rsidRDefault="00F50BBA">
            <w:pPr>
              <w:spacing w:line="240" w:lineRule="auto"/>
              <w:jc w:val="left"/>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0.670</w:t>
            </w:r>
          </w:p>
        </w:tc>
        <w:tc>
          <w:tcPr>
            <w:tcW w:w="1594" w:type="dxa"/>
            <w:shd w:val="clear" w:color="auto" w:fill="auto"/>
          </w:tcPr>
          <w:p w14:paraId="3BE02B60" w14:textId="77777777" w:rsidR="009F26E3" w:rsidRPr="00F85381" w:rsidRDefault="00F50BBA">
            <w:pPr>
              <w:spacing w:line="240" w:lineRule="auto"/>
              <w:jc w:val="left"/>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0.076</w:t>
            </w:r>
          </w:p>
        </w:tc>
        <w:tc>
          <w:tcPr>
            <w:tcW w:w="1616" w:type="dxa"/>
            <w:shd w:val="clear" w:color="auto" w:fill="auto"/>
          </w:tcPr>
          <w:p w14:paraId="21ECE0E3" w14:textId="77777777" w:rsidR="009F26E3" w:rsidRPr="00F85381" w:rsidRDefault="00F50BBA">
            <w:pPr>
              <w:spacing w:line="240" w:lineRule="auto"/>
              <w:jc w:val="left"/>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0.011</w:t>
            </w:r>
          </w:p>
        </w:tc>
      </w:tr>
      <w:tr w:rsidR="00C675E2" w:rsidRPr="00F85381" w14:paraId="1523F7C7" w14:textId="77777777">
        <w:trPr>
          <w:trHeight w:val="319"/>
          <w:jc w:val="center"/>
        </w:trPr>
        <w:tc>
          <w:tcPr>
            <w:tcW w:w="1187" w:type="dxa"/>
            <w:shd w:val="clear" w:color="auto" w:fill="auto"/>
          </w:tcPr>
          <w:p w14:paraId="1086B504" w14:textId="77777777" w:rsidR="009F26E3" w:rsidRPr="00F85381" w:rsidRDefault="00F50BBA">
            <w:pPr>
              <w:spacing w:line="240" w:lineRule="auto"/>
              <w:jc w:val="left"/>
              <w:rPr>
                <w:rFonts w:ascii="Times New Roman" w:eastAsia="Times New Roman" w:hAnsi="Times New Roman" w:cs="Times New Roman"/>
                <w:b/>
                <w:sz w:val="20"/>
                <w:szCs w:val="20"/>
              </w:rPr>
            </w:pPr>
            <w:r w:rsidRPr="00F85381">
              <w:rPr>
                <w:rFonts w:ascii="Times New Roman" w:eastAsia="Times New Roman" w:hAnsi="Times New Roman" w:cs="Times New Roman"/>
                <w:sz w:val="20"/>
                <w:szCs w:val="20"/>
              </w:rPr>
              <w:t>SCG</w:t>
            </w:r>
          </w:p>
        </w:tc>
        <w:tc>
          <w:tcPr>
            <w:tcW w:w="1628" w:type="dxa"/>
            <w:shd w:val="clear" w:color="auto" w:fill="auto"/>
          </w:tcPr>
          <w:p w14:paraId="1ADB1C2B" w14:textId="77777777" w:rsidR="009F26E3" w:rsidRPr="00F85381" w:rsidRDefault="00F50BBA">
            <w:pPr>
              <w:spacing w:line="240" w:lineRule="auto"/>
              <w:jc w:val="left"/>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4.635</w:t>
            </w:r>
          </w:p>
        </w:tc>
        <w:tc>
          <w:tcPr>
            <w:tcW w:w="1594" w:type="dxa"/>
            <w:shd w:val="clear" w:color="auto" w:fill="auto"/>
          </w:tcPr>
          <w:p w14:paraId="62D45C8F" w14:textId="77777777" w:rsidR="009F26E3" w:rsidRPr="00F85381" w:rsidRDefault="00F50BBA">
            <w:pPr>
              <w:spacing w:line="240" w:lineRule="auto"/>
              <w:jc w:val="left"/>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3.479</w:t>
            </w:r>
          </w:p>
        </w:tc>
        <w:tc>
          <w:tcPr>
            <w:tcW w:w="1616" w:type="dxa"/>
            <w:shd w:val="clear" w:color="auto" w:fill="auto"/>
          </w:tcPr>
          <w:p w14:paraId="07EFC9F9" w14:textId="77777777" w:rsidR="009F26E3" w:rsidRPr="00F85381" w:rsidRDefault="00F50BBA">
            <w:pPr>
              <w:spacing w:line="240" w:lineRule="auto"/>
              <w:jc w:val="left"/>
              <w:rPr>
                <w:rFonts w:ascii="Times New Roman" w:eastAsia="Times New Roman" w:hAnsi="Times New Roman" w:cs="Times New Roman"/>
                <w:sz w:val="20"/>
                <w:szCs w:val="20"/>
              </w:rPr>
            </w:pPr>
            <w:r w:rsidRPr="00F85381">
              <w:rPr>
                <w:rFonts w:ascii="Times New Roman" w:eastAsia="Times New Roman" w:hAnsi="Times New Roman" w:cs="Times New Roman"/>
                <w:sz w:val="20"/>
                <w:szCs w:val="20"/>
              </w:rPr>
              <w:t>0.227</w:t>
            </w:r>
          </w:p>
        </w:tc>
      </w:tr>
    </w:tbl>
    <w:p w14:paraId="3A0C4A91" w14:textId="72C15921" w:rsidR="009F26E3" w:rsidRPr="00F85381" w:rsidRDefault="00BF5469" w:rsidP="00261C72">
      <w:pPr>
        <w:spacing w:after="120" w:line="480" w:lineRule="auto"/>
        <w:rPr>
          <w:rFonts w:ascii="Times New Roman" w:eastAsia="Times New Roman" w:hAnsi="Times New Roman" w:cs="Times New Roman"/>
        </w:rPr>
      </w:pPr>
      <w:r>
        <w:rPr>
          <w:rFonts w:ascii="Times New Roman" w:eastAsia="Times New Roman" w:hAnsi="Times New Roman" w:cs="Times New Roman"/>
        </w:rPr>
        <w:t>Fig.</w:t>
      </w:r>
      <w:r w:rsidR="00F50BBA" w:rsidRPr="00F85381">
        <w:rPr>
          <w:rFonts w:ascii="Times New Roman" w:eastAsia="Times New Roman" w:hAnsi="Times New Roman" w:cs="Times New Roman"/>
        </w:rPr>
        <w:t xml:space="preserve"> </w:t>
      </w:r>
      <w:r w:rsidR="0079655D" w:rsidRPr="00F85381">
        <w:rPr>
          <w:rFonts w:ascii="Times New Roman" w:eastAsia="Times New Roman" w:hAnsi="Times New Roman" w:cs="Times New Roman"/>
        </w:rPr>
        <w:t>5</w:t>
      </w:r>
      <w:r w:rsidR="00F45E4B" w:rsidRPr="00F85381">
        <w:rPr>
          <w:rFonts w:ascii="Times New Roman" w:eastAsia="Times New Roman" w:hAnsi="Times New Roman" w:cs="Times New Roman"/>
        </w:rPr>
        <w:t xml:space="preserve"> </w:t>
      </w:r>
      <w:r w:rsidR="00F50BBA" w:rsidRPr="00F85381">
        <w:rPr>
          <w:rFonts w:ascii="Times New Roman" w:eastAsia="Times New Roman" w:hAnsi="Times New Roman" w:cs="Times New Roman"/>
        </w:rPr>
        <w:t xml:space="preserve">maps the identified </w:t>
      </w:r>
      <w:r w:rsidR="000A2A7D" w:rsidRPr="00F85381">
        <w:rPr>
          <w:rFonts w:ascii="Times New Roman" w:eastAsia="Times New Roman" w:hAnsi="Times New Roman" w:cs="Times New Roman"/>
        </w:rPr>
        <w:t xml:space="preserve">critical (so-called </w:t>
      </w:r>
      <w:r w:rsidR="00F50BBA" w:rsidRPr="00F85381">
        <w:rPr>
          <w:rFonts w:ascii="Times New Roman" w:eastAsia="Times New Roman" w:hAnsi="Times New Roman" w:cs="Times New Roman"/>
        </w:rPr>
        <w:t>vulnerable</w:t>
      </w:r>
      <w:r w:rsidR="000A2A7D" w:rsidRPr="00F85381">
        <w:rPr>
          <w:rFonts w:ascii="Times New Roman" w:eastAsia="Times New Roman" w:hAnsi="Times New Roman" w:cs="Times New Roman"/>
        </w:rPr>
        <w:t>)</w:t>
      </w:r>
      <w:r w:rsidR="00F50BBA" w:rsidRPr="00F85381">
        <w:rPr>
          <w:rFonts w:ascii="Times New Roman" w:eastAsia="Times New Roman" w:hAnsi="Times New Roman" w:cs="Times New Roman"/>
        </w:rPr>
        <w:t xml:space="preserve"> zones utilising the predictive ANN-based resilience model and the FAHP method results for the case study area</w:t>
      </w:r>
      <w:r w:rsidR="00F002A7" w:rsidRPr="00F85381">
        <w:rPr>
          <w:rFonts w:ascii="Times New Roman" w:eastAsia="Times New Roman" w:hAnsi="Times New Roman" w:cs="Times New Roman"/>
        </w:rPr>
        <w:t xml:space="preserve"> over the collective study period</w:t>
      </w:r>
      <w:r w:rsidR="00F50BBA" w:rsidRPr="00F85381">
        <w:rPr>
          <w:rFonts w:ascii="Times New Roman" w:eastAsia="Times New Roman" w:hAnsi="Times New Roman" w:cs="Times New Roman"/>
        </w:rPr>
        <w:t>. The zones have been characterised descriptively by colour codes, varying from dark to light colours (most critical to least critical OR low resilience to high resilience). The observations illustrate that the Zones 5, 6</w:t>
      </w:r>
      <w:r w:rsidR="00432F60" w:rsidRPr="00F85381">
        <w:rPr>
          <w:rFonts w:ascii="Times New Roman" w:eastAsia="Times New Roman" w:hAnsi="Times New Roman" w:cs="Times New Roman"/>
        </w:rPr>
        <w:t>, 7</w:t>
      </w:r>
      <w:r w:rsidR="00F50BBA" w:rsidRPr="00F85381">
        <w:rPr>
          <w:rFonts w:ascii="Times New Roman" w:eastAsia="Times New Roman" w:hAnsi="Times New Roman" w:cs="Times New Roman"/>
        </w:rPr>
        <w:t xml:space="preserve"> and 9 have the lowest level of water resources resilience and therefore, in critical condition in São Paulo state. These zones are the most populated zones with rapid </w:t>
      </w:r>
      <w:r w:rsidR="00F67E34" w:rsidRPr="00F85381">
        <w:rPr>
          <w:rFonts w:ascii="Times New Roman" w:eastAsia="Times New Roman" w:hAnsi="Times New Roman" w:cs="Times New Roman"/>
        </w:rPr>
        <w:t xml:space="preserve">urban creeps and </w:t>
      </w:r>
      <w:r w:rsidR="00F50BBA" w:rsidRPr="00F85381">
        <w:rPr>
          <w:rFonts w:ascii="Times New Roman" w:eastAsia="Times New Roman" w:hAnsi="Times New Roman" w:cs="Times New Roman"/>
        </w:rPr>
        <w:t>unsustainable developments leading to deteriorated WQ in the absence of sufficient and efficient wastewater collection and treatment infrastructures.</w:t>
      </w:r>
      <w:r w:rsidR="00432F60" w:rsidRPr="00F85381">
        <w:rPr>
          <w:rFonts w:ascii="Times New Roman" w:eastAsia="Times New Roman" w:hAnsi="Times New Roman" w:cs="Times New Roman"/>
        </w:rPr>
        <w:t xml:space="preserve"> However, prioritisation for intervention in </w:t>
      </w:r>
      <w:r w:rsidR="00923ACE" w:rsidRPr="00F85381">
        <w:rPr>
          <w:rFonts w:ascii="Times New Roman" w:eastAsia="Times New Roman" w:hAnsi="Times New Roman" w:cs="Times New Roman"/>
        </w:rPr>
        <w:t xml:space="preserve">critical </w:t>
      </w:r>
      <w:r w:rsidR="00432F60" w:rsidRPr="00F85381">
        <w:rPr>
          <w:rFonts w:ascii="Times New Roman" w:eastAsia="Times New Roman" w:hAnsi="Times New Roman" w:cs="Times New Roman"/>
        </w:rPr>
        <w:t>Zone</w:t>
      </w:r>
      <w:r w:rsidR="00923ACE" w:rsidRPr="00F85381">
        <w:rPr>
          <w:rFonts w:ascii="Times New Roman" w:eastAsia="Times New Roman" w:hAnsi="Times New Roman" w:cs="Times New Roman"/>
        </w:rPr>
        <w:t>s</w:t>
      </w:r>
      <w:r w:rsidR="00432F60" w:rsidRPr="00F85381">
        <w:rPr>
          <w:rFonts w:ascii="Times New Roman" w:eastAsia="Times New Roman" w:hAnsi="Times New Roman" w:cs="Times New Roman"/>
        </w:rPr>
        <w:t xml:space="preserve"> 5, 6, 7 and 9, where resources are limited, is required</w:t>
      </w:r>
      <w:r w:rsidR="005D70E1" w:rsidRPr="00F85381">
        <w:rPr>
          <w:rFonts w:ascii="Times New Roman" w:eastAsia="Times New Roman" w:hAnsi="Times New Roman" w:cs="Times New Roman"/>
        </w:rPr>
        <w:t xml:space="preserve"> and according to the resilience-driven predictive model,</w:t>
      </w:r>
      <w:r w:rsidR="00432F60" w:rsidRPr="00F85381">
        <w:rPr>
          <w:rFonts w:ascii="Times New Roman" w:eastAsia="Times New Roman" w:hAnsi="Times New Roman" w:cs="Times New Roman"/>
        </w:rPr>
        <w:t xml:space="preserve"> </w:t>
      </w:r>
      <w:r w:rsidR="00F50BBA" w:rsidRPr="00F85381">
        <w:rPr>
          <w:rFonts w:ascii="Times New Roman" w:eastAsia="Times New Roman" w:hAnsi="Times New Roman" w:cs="Times New Roman"/>
        </w:rPr>
        <w:t>Zone 5</w:t>
      </w:r>
      <w:r w:rsidR="00432F60" w:rsidRPr="00F85381">
        <w:rPr>
          <w:rFonts w:ascii="Times New Roman" w:eastAsia="Times New Roman" w:hAnsi="Times New Roman" w:cs="Times New Roman"/>
        </w:rPr>
        <w:t xml:space="preserve"> has the </w:t>
      </w:r>
      <w:r w:rsidR="00923ACE" w:rsidRPr="00F85381">
        <w:rPr>
          <w:rFonts w:ascii="Times New Roman" w:eastAsia="Times New Roman" w:hAnsi="Times New Roman" w:cs="Times New Roman"/>
        </w:rPr>
        <w:t>most</w:t>
      </w:r>
      <w:r w:rsidR="00432F60" w:rsidRPr="00F85381">
        <w:rPr>
          <w:rFonts w:ascii="Times New Roman" w:eastAsia="Times New Roman" w:hAnsi="Times New Roman" w:cs="Times New Roman"/>
        </w:rPr>
        <w:t xml:space="preserve"> priority and Zone</w:t>
      </w:r>
      <w:r w:rsidR="00F50BBA" w:rsidRPr="00F85381">
        <w:rPr>
          <w:rFonts w:ascii="Times New Roman" w:eastAsia="Times New Roman" w:hAnsi="Times New Roman" w:cs="Times New Roman"/>
        </w:rPr>
        <w:t xml:space="preserve"> </w:t>
      </w:r>
      <w:r w:rsidR="00432F60" w:rsidRPr="00F85381">
        <w:rPr>
          <w:rFonts w:ascii="Times New Roman" w:eastAsia="Times New Roman" w:hAnsi="Times New Roman" w:cs="Times New Roman"/>
        </w:rPr>
        <w:t>7</w:t>
      </w:r>
      <w:r w:rsidR="005D70E1" w:rsidRPr="00F85381">
        <w:rPr>
          <w:rFonts w:ascii="Times New Roman" w:eastAsia="Times New Roman" w:hAnsi="Times New Roman" w:cs="Times New Roman"/>
        </w:rPr>
        <w:t>,</w:t>
      </w:r>
      <w:r w:rsidR="00432F60" w:rsidRPr="00F85381">
        <w:rPr>
          <w:rFonts w:ascii="Times New Roman" w:eastAsia="Times New Roman" w:hAnsi="Times New Roman" w:cs="Times New Roman"/>
        </w:rPr>
        <w:t xml:space="preserve"> the </w:t>
      </w:r>
      <w:r w:rsidR="00923ACE" w:rsidRPr="00F85381">
        <w:rPr>
          <w:rFonts w:ascii="Times New Roman" w:eastAsia="Times New Roman" w:hAnsi="Times New Roman" w:cs="Times New Roman"/>
        </w:rPr>
        <w:t>least</w:t>
      </w:r>
      <w:r w:rsidR="00432F60" w:rsidRPr="00F85381">
        <w:rPr>
          <w:rFonts w:ascii="Times New Roman" w:eastAsia="Times New Roman" w:hAnsi="Times New Roman" w:cs="Times New Roman"/>
        </w:rPr>
        <w:t xml:space="preserve">. </w:t>
      </w:r>
    </w:p>
    <w:p w14:paraId="6926A8F9" w14:textId="5E0385EF" w:rsidR="00F53C7F" w:rsidRPr="00F85381" w:rsidRDefault="00903E30" w:rsidP="00903E30">
      <w:pPr>
        <w:spacing w:after="120" w:line="259" w:lineRule="auto"/>
        <w:jc w:val="center"/>
        <w:rPr>
          <w:rFonts w:ascii="Times New Roman" w:eastAsia="Times New Roman" w:hAnsi="Times New Roman" w:cs="Times New Roman"/>
        </w:rPr>
      </w:pPr>
      <w:r w:rsidRPr="00F85381">
        <w:rPr>
          <w:noProof/>
        </w:rPr>
        <w:drawing>
          <wp:inline distT="0" distB="0" distL="0" distR="0" wp14:anchorId="22E5541A" wp14:editId="74FEB432">
            <wp:extent cx="3271235" cy="2493010"/>
            <wp:effectExtent l="0" t="0" r="5715" b="2540"/>
            <wp:docPr id="5" name="image3.png" descr="Figure 5"/>
            <wp:cNvGraphicFramePr/>
            <a:graphic xmlns:a="http://schemas.openxmlformats.org/drawingml/2006/main">
              <a:graphicData uri="http://schemas.openxmlformats.org/drawingml/2006/picture">
                <pic:pic xmlns:pic="http://schemas.openxmlformats.org/drawingml/2006/picture">
                  <pic:nvPicPr>
                    <pic:cNvPr id="5" name="image3.png" descr="Figure 5"/>
                    <pic:cNvPicPr preferRelativeResize="0"/>
                  </pic:nvPicPr>
                  <pic:blipFill rotWithShape="1">
                    <a:blip r:embed="rId34"/>
                    <a:srcRect l="1906" t="902" r="26054" b="35814"/>
                    <a:stretch/>
                  </pic:blipFill>
                  <pic:spPr bwMode="auto">
                    <a:xfrm>
                      <a:off x="0" y="0"/>
                      <a:ext cx="3339449" cy="2544996"/>
                    </a:xfrm>
                    <a:prstGeom prst="rect">
                      <a:avLst/>
                    </a:prstGeom>
                    <a:ln>
                      <a:noFill/>
                    </a:ln>
                    <a:extLst>
                      <a:ext uri="{53640926-AAD7-44D8-BBD7-CCE9431645EC}">
                        <a14:shadowObscured xmlns:a14="http://schemas.microsoft.com/office/drawing/2010/main"/>
                      </a:ext>
                    </a:extLst>
                  </pic:spPr>
                </pic:pic>
              </a:graphicData>
            </a:graphic>
          </wp:inline>
        </w:drawing>
      </w:r>
    </w:p>
    <w:p w14:paraId="4E23DA7E" w14:textId="16651E3A" w:rsidR="009F26E3" w:rsidRPr="00F85381" w:rsidRDefault="00BF5469">
      <w:pPr>
        <w:spacing w:before="120" w:line="240" w:lineRule="auto"/>
        <w:jc w:val="center"/>
        <w:rPr>
          <w:rFonts w:ascii="Times New Roman" w:eastAsia="Times New Roman" w:hAnsi="Times New Roman" w:cs="Times New Roman"/>
        </w:rPr>
      </w:pPr>
      <w:bookmarkStart w:id="17" w:name="_3cqmetx" w:colFirst="0" w:colLast="0"/>
      <w:bookmarkEnd w:id="17"/>
      <w:r>
        <w:rPr>
          <w:rFonts w:ascii="Times New Roman" w:eastAsia="Times New Roman" w:hAnsi="Times New Roman" w:cs="Times New Roman"/>
        </w:rPr>
        <w:t>Fig.</w:t>
      </w:r>
      <w:r w:rsidR="00F50BBA" w:rsidRPr="00F85381">
        <w:rPr>
          <w:rFonts w:ascii="Times New Roman" w:eastAsia="Times New Roman" w:hAnsi="Times New Roman" w:cs="Times New Roman"/>
        </w:rPr>
        <w:t xml:space="preserve"> </w:t>
      </w:r>
      <w:r w:rsidR="0079655D" w:rsidRPr="00F85381">
        <w:rPr>
          <w:rFonts w:ascii="Times New Roman" w:eastAsia="Times New Roman" w:hAnsi="Times New Roman" w:cs="Times New Roman"/>
        </w:rPr>
        <w:t>5</w:t>
      </w:r>
      <w:r w:rsidR="007172E8" w:rsidRPr="00F85381">
        <w:rPr>
          <w:rFonts w:ascii="Times New Roman" w:eastAsia="Times New Roman" w:hAnsi="Times New Roman" w:cs="Times New Roman"/>
        </w:rPr>
        <w:t xml:space="preserve"> </w:t>
      </w:r>
      <w:r w:rsidR="00F50BBA" w:rsidRPr="00F85381">
        <w:rPr>
          <w:rFonts w:ascii="Times New Roman" w:eastAsia="Times New Roman" w:hAnsi="Times New Roman" w:cs="Times New Roman"/>
        </w:rPr>
        <w:t xml:space="preserve">–Mapped </w:t>
      </w:r>
      <w:r w:rsidR="000A2A7D" w:rsidRPr="00F85381">
        <w:rPr>
          <w:rFonts w:ascii="Times New Roman" w:eastAsia="Times New Roman" w:hAnsi="Times New Roman" w:cs="Times New Roman"/>
        </w:rPr>
        <w:t>critical</w:t>
      </w:r>
      <w:r w:rsidR="00F50BBA" w:rsidRPr="00F85381">
        <w:rPr>
          <w:rFonts w:ascii="Times New Roman" w:eastAsia="Times New Roman" w:hAnsi="Times New Roman" w:cs="Times New Roman"/>
        </w:rPr>
        <w:t xml:space="preserve"> zones</w:t>
      </w:r>
      <w:r w:rsidR="005F34AA">
        <w:rPr>
          <w:rFonts w:ascii="Times New Roman" w:eastAsia="Times New Roman" w:hAnsi="Times New Roman" w:cs="Times New Roman"/>
        </w:rPr>
        <w:t>.</w:t>
      </w:r>
    </w:p>
    <w:p w14:paraId="7649626E" w14:textId="622E7777" w:rsidR="003F77F9" w:rsidRPr="00F85381" w:rsidRDefault="003F77F9" w:rsidP="003F77F9">
      <w:pPr>
        <w:spacing w:before="120" w:line="240" w:lineRule="auto"/>
        <w:rPr>
          <w:rFonts w:ascii="Times New Roman" w:eastAsia="Times New Roman" w:hAnsi="Times New Roman" w:cs="Times New Roman"/>
        </w:rPr>
      </w:pPr>
    </w:p>
    <w:p w14:paraId="363106D8" w14:textId="0F1E98B9" w:rsidR="005A569C" w:rsidRPr="00F85381" w:rsidRDefault="00F002A7"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It is </w:t>
      </w:r>
      <w:r w:rsidR="006176AF" w:rsidRPr="00F85381">
        <w:rPr>
          <w:rFonts w:ascii="Times New Roman" w:eastAsia="Times New Roman" w:hAnsi="Times New Roman" w:cs="Times New Roman"/>
        </w:rPr>
        <w:t>important</w:t>
      </w:r>
      <w:r w:rsidR="00B41259" w:rsidRPr="00F85381">
        <w:rPr>
          <w:rFonts w:ascii="Times New Roman" w:eastAsia="Times New Roman" w:hAnsi="Times New Roman" w:cs="Times New Roman"/>
        </w:rPr>
        <w:t xml:space="preserve"> </w:t>
      </w:r>
      <w:r w:rsidRPr="00F85381">
        <w:rPr>
          <w:rFonts w:ascii="Times New Roman" w:eastAsia="Times New Roman" w:hAnsi="Times New Roman" w:cs="Times New Roman"/>
        </w:rPr>
        <w:t xml:space="preserve">to </w:t>
      </w:r>
      <w:r w:rsidR="00B41259" w:rsidRPr="00F85381">
        <w:rPr>
          <w:rFonts w:ascii="Times New Roman" w:eastAsia="Times New Roman" w:hAnsi="Times New Roman" w:cs="Times New Roman"/>
        </w:rPr>
        <w:t xml:space="preserve">investigate </w:t>
      </w:r>
      <w:r w:rsidR="00B5396B" w:rsidRPr="00F85381">
        <w:rPr>
          <w:rFonts w:ascii="Times New Roman" w:eastAsia="Times New Roman" w:hAnsi="Times New Roman" w:cs="Times New Roman"/>
        </w:rPr>
        <w:t xml:space="preserve">the </w:t>
      </w:r>
      <w:r w:rsidRPr="00F85381">
        <w:rPr>
          <w:rFonts w:ascii="Times New Roman" w:eastAsia="Times New Roman" w:hAnsi="Times New Roman" w:cs="Times New Roman"/>
        </w:rPr>
        <w:t xml:space="preserve">ranking of critical zones </w:t>
      </w:r>
      <w:r w:rsidR="009A2B5D" w:rsidRPr="00F85381">
        <w:rPr>
          <w:rFonts w:ascii="Times New Roman" w:eastAsia="Times New Roman" w:hAnsi="Times New Roman" w:cs="Times New Roman"/>
        </w:rPr>
        <w:t>using the r</w:t>
      </w:r>
      <w:r w:rsidRPr="00F85381">
        <w:rPr>
          <w:rFonts w:ascii="Times New Roman" w:eastAsia="Times New Roman" w:hAnsi="Times New Roman" w:cs="Times New Roman"/>
        </w:rPr>
        <w:t>esilience–driven ranking method proposed in this study</w:t>
      </w:r>
      <w:r w:rsidR="009A2B5D" w:rsidRPr="00F85381">
        <w:rPr>
          <w:rFonts w:ascii="Times New Roman" w:eastAsia="Times New Roman" w:hAnsi="Times New Roman" w:cs="Times New Roman"/>
        </w:rPr>
        <w:t xml:space="preserve"> with CETESB’s traditional approach</w:t>
      </w:r>
      <w:r w:rsidR="00955B7D" w:rsidRPr="00F85381">
        <w:rPr>
          <w:rFonts w:ascii="Times New Roman" w:eastAsia="Times New Roman" w:hAnsi="Times New Roman" w:cs="Times New Roman"/>
        </w:rPr>
        <w:t xml:space="preserve"> </w:t>
      </w:r>
      <w:proofErr w:type="gramStart"/>
      <w:r w:rsidR="00955B7D" w:rsidRPr="00F85381">
        <w:rPr>
          <w:rFonts w:ascii="Times New Roman" w:eastAsia="Times New Roman" w:hAnsi="Times New Roman" w:cs="Times New Roman"/>
        </w:rPr>
        <w:t>in order to</w:t>
      </w:r>
      <w:proofErr w:type="gramEnd"/>
      <w:r w:rsidR="00955B7D" w:rsidRPr="00F85381">
        <w:rPr>
          <w:rFonts w:ascii="Times New Roman" w:eastAsia="Times New Roman" w:hAnsi="Times New Roman" w:cs="Times New Roman"/>
        </w:rPr>
        <w:t xml:space="preserve"> gain a better</w:t>
      </w:r>
      <w:r w:rsidR="00E53C2D" w:rsidRPr="00F85381">
        <w:rPr>
          <w:rFonts w:ascii="Times New Roman" w:eastAsia="Times New Roman" w:hAnsi="Times New Roman" w:cs="Times New Roman"/>
        </w:rPr>
        <w:t xml:space="preserve"> understanding of paradigm shift in WQ assessment</w:t>
      </w:r>
      <w:r w:rsidRPr="00F85381">
        <w:rPr>
          <w:rFonts w:ascii="Times New Roman" w:eastAsia="Times New Roman" w:hAnsi="Times New Roman" w:cs="Times New Roman"/>
        </w:rPr>
        <w:t xml:space="preserve">. </w:t>
      </w:r>
      <w:r w:rsidR="005A569C" w:rsidRPr="00F85381">
        <w:rPr>
          <w:rFonts w:ascii="Times New Roman" w:eastAsia="Times New Roman" w:hAnsi="Times New Roman" w:cs="Times New Roman"/>
        </w:rPr>
        <w:t xml:space="preserve">Details </w:t>
      </w:r>
      <w:r w:rsidR="000052D9" w:rsidRPr="00F85381">
        <w:rPr>
          <w:rFonts w:ascii="Times New Roman" w:eastAsia="Times New Roman" w:hAnsi="Times New Roman" w:cs="Times New Roman"/>
        </w:rPr>
        <w:t xml:space="preserve">of these investigation </w:t>
      </w:r>
      <w:r w:rsidR="005A569C" w:rsidRPr="00F85381">
        <w:rPr>
          <w:rFonts w:ascii="Times New Roman" w:eastAsia="Times New Roman" w:hAnsi="Times New Roman" w:cs="Times New Roman"/>
        </w:rPr>
        <w:t xml:space="preserve">can be found in section </w:t>
      </w:r>
      <w:r w:rsidR="00EE0B99" w:rsidRPr="00F85381">
        <w:rPr>
          <w:rFonts w:ascii="Times New Roman" w:eastAsia="Times New Roman" w:hAnsi="Times New Roman" w:cs="Times New Roman"/>
        </w:rPr>
        <w:t>6</w:t>
      </w:r>
      <w:r w:rsidR="00AE2E12" w:rsidRPr="00F85381">
        <w:rPr>
          <w:rFonts w:ascii="Times New Roman" w:eastAsia="Times New Roman" w:hAnsi="Times New Roman" w:cs="Times New Roman"/>
        </w:rPr>
        <w:t xml:space="preserve"> and</w:t>
      </w:r>
      <w:r w:rsidR="005A569C" w:rsidRPr="00F85381">
        <w:rPr>
          <w:rFonts w:ascii="Times New Roman" w:eastAsia="Times New Roman" w:hAnsi="Times New Roman" w:cs="Times New Roman"/>
        </w:rPr>
        <w:t xml:space="preserve"> </w:t>
      </w:r>
      <w:r w:rsidR="00BF5469">
        <w:rPr>
          <w:rFonts w:ascii="Times New Roman" w:eastAsia="Times New Roman" w:hAnsi="Times New Roman" w:cs="Times New Roman"/>
        </w:rPr>
        <w:t>Fig.</w:t>
      </w:r>
      <w:r w:rsidR="005A569C" w:rsidRPr="00F85381">
        <w:rPr>
          <w:rFonts w:ascii="Times New Roman" w:eastAsia="Times New Roman" w:hAnsi="Times New Roman" w:cs="Times New Roman"/>
        </w:rPr>
        <w:t xml:space="preserve"> </w:t>
      </w:r>
      <w:r w:rsidR="002859D7" w:rsidRPr="00F85381">
        <w:rPr>
          <w:rFonts w:ascii="Times New Roman" w:eastAsia="Times New Roman" w:hAnsi="Times New Roman" w:cs="Times New Roman"/>
        </w:rPr>
        <w:t xml:space="preserve">5 </w:t>
      </w:r>
      <w:r w:rsidR="005A569C" w:rsidRPr="00F85381">
        <w:rPr>
          <w:rFonts w:ascii="Times New Roman" w:eastAsia="Times New Roman" w:hAnsi="Times New Roman" w:cs="Times New Roman"/>
        </w:rPr>
        <w:t>in SI.</w:t>
      </w:r>
    </w:p>
    <w:p w14:paraId="5CF2831F" w14:textId="77777777" w:rsidR="009F26E3" w:rsidRPr="00F85381" w:rsidRDefault="00F50BBA" w:rsidP="003C05D7">
      <w:pPr>
        <w:pStyle w:val="Heading1"/>
        <w:numPr>
          <w:ilvl w:val="1"/>
          <w:numId w:val="1"/>
        </w:numPr>
        <w:rPr>
          <w:sz w:val="24"/>
          <w:szCs w:val="24"/>
        </w:rPr>
      </w:pPr>
      <w:r w:rsidRPr="00F85381">
        <w:rPr>
          <w:sz w:val="24"/>
          <w:szCs w:val="24"/>
        </w:rPr>
        <w:lastRenderedPageBreak/>
        <w:t>Limitations</w:t>
      </w:r>
    </w:p>
    <w:p w14:paraId="5E9D2C94" w14:textId="570797E1"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This is a feasibility study to investigate the potential and suitability of using machine learning methods for resilience predictions in water engineering applications. Machine learning methods, and particularly artificial neural networks, have been </w:t>
      </w:r>
      <w:r w:rsidR="00EB652F" w:rsidRPr="00F85381">
        <w:rPr>
          <w:rFonts w:ascii="Times New Roman" w:eastAsia="Times New Roman" w:hAnsi="Times New Roman" w:cs="Times New Roman"/>
        </w:rPr>
        <w:t>commonly</w:t>
      </w:r>
      <w:r w:rsidRPr="00F85381">
        <w:rPr>
          <w:rFonts w:ascii="Times New Roman" w:eastAsia="Times New Roman" w:hAnsi="Times New Roman" w:cs="Times New Roman"/>
        </w:rPr>
        <w:t xml:space="preserve"> </w:t>
      </w:r>
      <w:r w:rsidR="00AE2E12" w:rsidRPr="00F85381">
        <w:rPr>
          <w:rFonts w:ascii="Times New Roman" w:eastAsia="Times New Roman" w:hAnsi="Times New Roman" w:cs="Times New Roman"/>
        </w:rPr>
        <w:t xml:space="preserve">and successfully </w:t>
      </w:r>
      <w:r w:rsidRPr="00F85381">
        <w:rPr>
          <w:rFonts w:ascii="Times New Roman" w:eastAsia="Times New Roman" w:hAnsi="Times New Roman" w:cs="Times New Roman"/>
        </w:rPr>
        <w:t xml:space="preserve">used </w:t>
      </w:r>
      <w:r w:rsidR="00EB652F" w:rsidRPr="00F85381">
        <w:rPr>
          <w:rFonts w:ascii="Times New Roman" w:eastAsia="Times New Roman" w:hAnsi="Times New Roman" w:cs="Times New Roman"/>
        </w:rPr>
        <w:t>in</w:t>
      </w:r>
      <w:r w:rsidR="00AE2E12" w:rsidRPr="00F85381">
        <w:rPr>
          <w:rFonts w:ascii="Times New Roman" w:eastAsia="Times New Roman" w:hAnsi="Times New Roman" w:cs="Times New Roman"/>
        </w:rPr>
        <w:t xml:space="preserve"> </w:t>
      </w:r>
      <w:r w:rsidRPr="00F85381">
        <w:rPr>
          <w:rFonts w:ascii="Times New Roman" w:eastAsia="Times New Roman" w:hAnsi="Times New Roman" w:cs="Times New Roman"/>
        </w:rPr>
        <w:t>water systems</w:t>
      </w:r>
      <w:r w:rsidR="00EB652F" w:rsidRPr="00F85381">
        <w:rPr>
          <w:rFonts w:ascii="Times New Roman" w:eastAsia="Times New Roman" w:hAnsi="Times New Roman" w:cs="Times New Roman"/>
        </w:rPr>
        <w:t xml:space="preserve"> management</w:t>
      </w:r>
      <w:r w:rsidRPr="00F85381">
        <w:rPr>
          <w:rFonts w:ascii="Times New Roman" w:eastAsia="Times New Roman" w:hAnsi="Times New Roman" w:cs="Times New Roman"/>
        </w:rPr>
        <w:t xml:space="preserve">. On the other hand, resilience is a fast-growing concept proved to be an effective approach in preparing engineering systems to tackle and cope with emerging challenges. Authors believe that the integration of machine learning techniques to predict water quality resilience can provide an opportunity for more effective adoption of resilience to tackle the </w:t>
      </w:r>
      <w:r w:rsidR="004C169D" w:rsidRPr="00F85381">
        <w:rPr>
          <w:rFonts w:ascii="Times New Roman" w:eastAsia="Times New Roman" w:hAnsi="Times New Roman" w:cs="Times New Roman"/>
        </w:rPr>
        <w:t xml:space="preserve">emerging </w:t>
      </w:r>
      <w:r w:rsidRPr="00F85381">
        <w:rPr>
          <w:rFonts w:ascii="Times New Roman" w:eastAsia="Times New Roman" w:hAnsi="Times New Roman" w:cs="Times New Roman"/>
        </w:rPr>
        <w:t>challenges. This study is currently at its early stages and will be furthered in future studies. One potential improvement in horizon will be using more effective machine learning methods such as deep learning or deep reinforcement learning.</w:t>
      </w:r>
    </w:p>
    <w:p w14:paraId="4EC40E52" w14:textId="77777777" w:rsidR="009F26E3" w:rsidRPr="00F85381" w:rsidRDefault="00F50BBA">
      <w:pPr>
        <w:pStyle w:val="Heading1"/>
        <w:numPr>
          <w:ilvl w:val="0"/>
          <w:numId w:val="1"/>
        </w:numPr>
      </w:pPr>
      <w:r w:rsidRPr="00F85381">
        <w:t>Conclusions</w:t>
      </w:r>
    </w:p>
    <w:p w14:paraId="5266307C" w14:textId="23CA9517"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Planning water resources and related systems that are resilient in terms of delivering water of sufficient quality despite potential contamination that may occur in the catchment requires complex and integrated physical models that are challenging to build, characterize, and calibrate/validate. Moreover, these models rely on datasets that are costly and time consuming to collect. This study has focused on the application of a machine learning method (i.e. Artificial Neural Network), to develop a predictive model to evaluate resilience using readily available local data. This predictive model can support the key stakeholders and decision makers for targeted investments to improve resilience. The key advantage of the predictive model is that it can be integrated into complex process-based models to enhance resilience-informed land-water system planning. The predictive model can assist and facilitate in the development of the resilience thresholds.</w:t>
      </w:r>
    </w:p>
    <w:p w14:paraId="355EF6F0" w14:textId="121D723A"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This study has </w:t>
      </w:r>
      <w:r w:rsidR="002E68A8" w:rsidRPr="00F85381">
        <w:rPr>
          <w:rFonts w:ascii="Times New Roman" w:eastAsia="Times New Roman" w:hAnsi="Times New Roman" w:cs="Times New Roman"/>
        </w:rPr>
        <w:t>inspired by</w:t>
      </w:r>
      <w:r w:rsidRPr="00F85381">
        <w:rPr>
          <w:rFonts w:ascii="Times New Roman" w:eastAsia="Times New Roman" w:hAnsi="Times New Roman" w:cs="Times New Roman"/>
        </w:rPr>
        <w:t xml:space="preserve"> a ‘volume-based resilience metrics’ method for water quality resilience evaluation. It has also utilised a fuzzy-based algorithm to measure the criticality of water quality parameters with conflicting interactions. Additionally, the Fuzzy Analytical Hierarchy Process was used to develop a multi-criteria rating method to identify and rank the critical areas based on predicted resilience values. </w:t>
      </w:r>
    </w:p>
    <w:p w14:paraId="2479B4FC" w14:textId="326FC21F" w:rsidR="00ED329D"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The model was applied to and tested, using real data, for a case study in São Paulo state in Brazil. The results are satisfactory and demonstrate that the predictive model can make accurate predictions of </w:t>
      </w:r>
      <w:r w:rsidRPr="00F85381">
        <w:rPr>
          <w:rFonts w:ascii="Times New Roman" w:eastAsia="Times New Roman" w:hAnsi="Times New Roman" w:cs="Times New Roman"/>
        </w:rPr>
        <w:lastRenderedPageBreak/>
        <w:t xml:space="preserve">resilience. In this model, Bayesian Regularization algorithm offered better performance as compared to the Levenberg-Marquardt and Scaled Conjugate Gradient in making water quality resilience predictions and Scaled Conjugate Gradient showed the poorest performance. Additionally, the results indicated the low resilience identified in 45% of the 22 zones mainly located on the east and south east of the São Paulo state. These zones are the most populated zones with rapid unsustainable developments and climate change-induced risks leading to the deterioration of water resources quality in the absence of sufficient and efficient wastewater collection and treatment infrastructures. </w:t>
      </w:r>
    </w:p>
    <w:p w14:paraId="1C4495B2" w14:textId="5A5E38AE" w:rsidR="00F10931"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The São Paulo state’s environment agency (CETESB) publishes an annual report on the conditions of water resources quality across the whole region. There is a desire to incorporate ‘resilience mapping’ into this annual report for more effective resilience-informed planning. This can create an opportunity for adoption of the developed predictive model to assist decision makers’ in CETESB in the future. Additionally, the integration of different machine learning techniques</w:t>
      </w:r>
      <w:r w:rsidR="00D65E98" w:rsidRPr="00F85381">
        <w:rPr>
          <w:rFonts w:ascii="Times New Roman" w:eastAsia="Times New Roman" w:hAnsi="Times New Roman" w:cs="Times New Roman"/>
        </w:rPr>
        <w:t xml:space="preserve"> (e.g. deep reinforcement learning, recurrent neural network, convolutional neural network, etc.)</w:t>
      </w:r>
      <w:r w:rsidRPr="00F85381">
        <w:rPr>
          <w:rFonts w:ascii="Times New Roman" w:eastAsia="Times New Roman" w:hAnsi="Times New Roman" w:cs="Times New Roman"/>
        </w:rPr>
        <w:t xml:space="preserve"> with resilience-based methods could be further explored in order to create new techniques/methods for more effective adoption of ‘resilience’ in complex systems (</w:t>
      </w:r>
      <w:r w:rsidR="00D65E98" w:rsidRPr="00F85381">
        <w:rPr>
          <w:rFonts w:ascii="Times New Roman" w:eastAsia="Times New Roman" w:hAnsi="Times New Roman" w:cs="Times New Roman"/>
        </w:rPr>
        <w:t>e.g.</w:t>
      </w:r>
      <w:r w:rsidRPr="00F85381">
        <w:rPr>
          <w:rFonts w:ascii="Times New Roman" w:eastAsia="Times New Roman" w:hAnsi="Times New Roman" w:cs="Times New Roman"/>
        </w:rPr>
        <w:t xml:space="preserve"> integration of the resilience predictive model with physical models). </w:t>
      </w:r>
      <w:r w:rsidR="00763CCF" w:rsidRPr="00F85381">
        <w:rPr>
          <w:rFonts w:ascii="Times New Roman" w:eastAsia="Times New Roman" w:hAnsi="Times New Roman" w:cs="Times New Roman"/>
        </w:rPr>
        <w:t>Moreover, t</w:t>
      </w:r>
      <w:r w:rsidR="00ED329D" w:rsidRPr="00F85381">
        <w:rPr>
          <w:rFonts w:ascii="Times New Roman" w:eastAsia="Times New Roman" w:hAnsi="Times New Roman" w:cs="Times New Roman"/>
        </w:rPr>
        <w:t xml:space="preserve">his study can </w:t>
      </w:r>
      <w:r w:rsidR="00DD6F3F" w:rsidRPr="00F85381">
        <w:rPr>
          <w:rFonts w:ascii="Times New Roman" w:eastAsia="Times New Roman" w:hAnsi="Times New Roman" w:cs="Times New Roman"/>
        </w:rPr>
        <w:t>potentially</w:t>
      </w:r>
      <w:r w:rsidR="00ED329D" w:rsidRPr="00F85381">
        <w:rPr>
          <w:rFonts w:ascii="Times New Roman" w:eastAsia="Times New Roman" w:hAnsi="Times New Roman" w:cs="Times New Roman"/>
        </w:rPr>
        <w:t xml:space="preserve"> </w:t>
      </w:r>
      <w:r w:rsidR="000D3A33" w:rsidRPr="00F85381">
        <w:rPr>
          <w:rFonts w:ascii="Times New Roman" w:eastAsia="Times New Roman" w:hAnsi="Times New Roman" w:cs="Times New Roman"/>
        </w:rPr>
        <w:t>support</w:t>
      </w:r>
      <w:r w:rsidR="00ED329D" w:rsidRPr="00F85381">
        <w:rPr>
          <w:rFonts w:ascii="Times New Roman" w:eastAsia="Times New Roman" w:hAnsi="Times New Roman" w:cs="Times New Roman"/>
        </w:rPr>
        <w:t xml:space="preserve"> reactive and planned maintenance for water supply. It also shows a direction for the researchers to implement the proposed model in various water reservoirs to measure water quality resilience, which may help to reduce the efforts of manual data collection.</w:t>
      </w:r>
      <w:r w:rsidR="00763CCF" w:rsidRPr="00F85381">
        <w:rPr>
          <w:rFonts w:ascii="Times New Roman" w:eastAsia="Times New Roman" w:hAnsi="Times New Roman" w:cs="Times New Roman"/>
        </w:rPr>
        <w:t xml:space="preserve"> </w:t>
      </w:r>
      <w:r w:rsidR="00F10931" w:rsidRPr="00F85381">
        <w:rPr>
          <w:rFonts w:ascii="Times New Roman" w:eastAsia="Times New Roman" w:hAnsi="Times New Roman" w:cs="Times New Roman"/>
        </w:rPr>
        <w:t xml:space="preserve">Therefore, </w:t>
      </w:r>
      <w:r w:rsidR="00FA6C19" w:rsidRPr="00F85381">
        <w:rPr>
          <w:rFonts w:ascii="Times New Roman" w:eastAsia="Times New Roman" w:hAnsi="Times New Roman" w:cs="Times New Roman"/>
        </w:rPr>
        <w:t xml:space="preserve">the </w:t>
      </w:r>
      <w:r w:rsidR="00F10931" w:rsidRPr="00F85381">
        <w:rPr>
          <w:rFonts w:ascii="Times New Roman" w:eastAsia="Times New Roman" w:hAnsi="Times New Roman" w:cs="Times New Roman"/>
        </w:rPr>
        <w:t xml:space="preserve">successful implementation of various </w:t>
      </w:r>
      <w:r w:rsidR="00553173" w:rsidRPr="00F85381">
        <w:rPr>
          <w:rFonts w:ascii="Times New Roman" w:eastAsia="Times New Roman" w:hAnsi="Times New Roman" w:cs="Times New Roman"/>
        </w:rPr>
        <w:t xml:space="preserve">machine learning </w:t>
      </w:r>
      <w:r w:rsidR="00F10931" w:rsidRPr="00F85381">
        <w:rPr>
          <w:rFonts w:ascii="Times New Roman" w:eastAsia="Times New Roman" w:hAnsi="Times New Roman" w:cs="Times New Roman"/>
        </w:rPr>
        <w:t>algorithm</w:t>
      </w:r>
      <w:r w:rsidR="0010385C" w:rsidRPr="00F85381">
        <w:rPr>
          <w:rFonts w:ascii="Times New Roman" w:eastAsia="Times New Roman" w:hAnsi="Times New Roman" w:cs="Times New Roman"/>
        </w:rPr>
        <w:t>s</w:t>
      </w:r>
      <w:r w:rsidR="00F10931" w:rsidRPr="00F85381">
        <w:rPr>
          <w:rFonts w:ascii="Times New Roman" w:eastAsia="Times New Roman" w:hAnsi="Times New Roman" w:cs="Times New Roman"/>
        </w:rPr>
        <w:t xml:space="preserve"> in predicting water quality resilience is a new paradigm and can enrich the implementation of </w:t>
      </w:r>
      <w:r w:rsidR="00553173" w:rsidRPr="00F85381">
        <w:rPr>
          <w:rFonts w:ascii="Times New Roman" w:eastAsia="Times New Roman" w:hAnsi="Times New Roman" w:cs="Times New Roman"/>
        </w:rPr>
        <w:t xml:space="preserve">Artificial </w:t>
      </w:r>
      <w:r w:rsidR="00BE5952" w:rsidRPr="00F85381">
        <w:rPr>
          <w:rFonts w:ascii="Times New Roman" w:eastAsia="Times New Roman" w:hAnsi="Times New Roman" w:cs="Times New Roman"/>
        </w:rPr>
        <w:t>Intelligence</w:t>
      </w:r>
      <w:r w:rsidR="00F10931" w:rsidRPr="00F85381">
        <w:rPr>
          <w:rFonts w:ascii="Times New Roman" w:eastAsia="Times New Roman" w:hAnsi="Times New Roman" w:cs="Times New Roman"/>
        </w:rPr>
        <w:t xml:space="preserve"> and </w:t>
      </w:r>
      <w:r w:rsidR="00553173" w:rsidRPr="00F85381">
        <w:rPr>
          <w:rFonts w:ascii="Times New Roman" w:eastAsia="Times New Roman" w:hAnsi="Times New Roman" w:cs="Times New Roman"/>
        </w:rPr>
        <w:t xml:space="preserve">machine learning </w:t>
      </w:r>
      <w:r w:rsidR="00F10931" w:rsidRPr="00F85381">
        <w:rPr>
          <w:rFonts w:ascii="Times New Roman" w:eastAsia="Times New Roman" w:hAnsi="Times New Roman" w:cs="Times New Roman"/>
        </w:rPr>
        <w:t xml:space="preserve">technologies to study the </w:t>
      </w:r>
      <w:proofErr w:type="spellStart"/>
      <w:r w:rsidR="00F10931" w:rsidRPr="00F85381">
        <w:rPr>
          <w:rFonts w:ascii="Times New Roman" w:eastAsia="Times New Roman" w:hAnsi="Times New Roman" w:cs="Times New Roman"/>
        </w:rPr>
        <w:t>hydroinformatics</w:t>
      </w:r>
      <w:proofErr w:type="spellEnd"/>
      <w:r w:rsidR="00F10931" w:rsidRPr="00F85381">
        <w:rPr>
          <w:rFonts w:ascii="Times New Roman" w:eastAsia="Times New Roman" w:hAnsi="Times New Roman" w:cs="Times New Roman"/>
        </w:rPr>
        <w:t xml:space="preserve"> and hydrodynamics arena.</w:t>
      </w:r>
      <w:r w:rsidR="00BE5952" w:rsidRPr="00F85381">
        <w:rPr>
          <w:rFonts w:ascii="Times New Roman" w:eastAsia="Times New Roman" w:hAnsi="Times New Roman" w:cs="Times New Roman"/>
        </w:rPr>
        <w:t xml:space="preserve"> </w:t>
      </w:r>
      <w:r w:rsidRPr="00F85381">
        <w:rPr>
          <w:rFonts w:ascii="Times New Roman" w:eastAsia="Times New Roman" w:hAnsi="Times New Roman" w:cs="Times New Roman"/>
        </w:rPr>
        <w:t xml:space="preserve">Furthermore, this model can be promoted and expanded by integration of real-time data monitoring systems for a more dynamic resilience prediction system. </w:t>
      </w:r>
    </w:p>
    <w:p w14:paraId="5B62E620" w14:textId="77777777" w:rsidR="009F26E3" w:rsidRPr="00F85381" w:rsidRDefault="00F50BBA" w:rsidP="00767174">
      <w:pPr>
        <w:pStyle w:val="Heading1"/>
        <w:ind w:left="0"/>
        <w:jc w:val="both"/>
        <w:rPr>
          <w:sz w:val="22"/>
          <w:szCs w:val="22"/>
        </w:rPr>
      </w:pPr>
      <w:r w:rsidRPr="00F85381">
        <w:rPr>
          <w:sz w:val="24"/>
          <w:szCs w:val="24"/>
        </w:rPr>
        <w:t>Acknowledgement</w:t>
      </w:r>
    </w:p>
    <w:p w14:paraId="7C232DFE" w14:textId="1B341775"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This research was funded and supported by the UK Royal Academy of Engineering and as part of the Newton Funding- ‘Frontiers of Engineering for Development’ </w:t>
      </w:r>
      <w:r w:rsidR="00F002A7" w:rsidRPr="00F85381">
        <w:rPr>
          <w:rFonts w:ascii="Times New Roman" w:eastAsia="Times New Roman" w:hAnsi="Times New Roman" w:cs="Times New Roman"/>
        </w:rPr>
        <w:t>[</w:t>
      </w:r>
      <w:r w:rsidRPr="00F85381">
        <w:rPr>
          <w:rFonts w:ascii="Times New Roman" w:eastAsia="Times New Roman" w:hAnsi="Times New Roman" w:cs="Times New Roman"/>
        </w:rPr>
        <w:t xml:space="preserve">ref: </w:t>
      </w:r>
      <w:proofErr w:type="spellStart"/>
      <w:r w:rsidRPr="00F85381">
        <w:rPr>
          <w:rFonts w:ascii="Times New Roman" w:eastAsia="Times New Roman" w:hAnsi="Times New Roman" w:cs="Times New Roman"/>
        </w:rPr>
        <w:t>FoE</w:t>
      </w:r>
      <w:proofErr w:type="spellEnd"/>
      <w:r w:rsidRPr="00F85381">
        <w:rPr>
          <w:rFonts w:ascii="Times New Roman" w:eastAsia="Times New Roman" w:hAnsi="Times New Roman" w:cs="Times New Roman"/>
        </w:rPr>
        <w:t xml:space="preserve"> SF1617\1\42</w:t>
      </w:r>
      <w:r w:rsidR="00F002A7" w:rsidRPr="00F85381">
        <w:rPr>
          <w:rFonts w:ascii="Times New Roman" w:eastAsia="Times New Roman" w:hAnsi="Times New Roman" w:cs="Times New Roman"/>
        </w:rPr>
        <w:t>]</w:t>
      </w:r>
      <w:r w:rsidRPr="00F85381">
        <w:rPr>
          <w:rFonts w:ascii="Times New Roman" w:eastAsia="Times New Roman" w:hAnsi="Times New Roman" w:cs="Times New Roman"/>
        </w:rPr>
        <w:t xml:space="preserve"> funding program. Authors would like to thank Dr Leandro Villas and Beatriz Carvalho at the University of Campinas in Brazil for their support during the initial stages of the data collection process.</w:t>
      </w:r>
    </w:p>
    <w:p w14:paraId="112B9E5E" w14:textId="77777777" w:rsidR="009F26E3" w:rsidRPr="00F85381" w:rsidRDefault="00F50BBA" w:rsidP="007E0DBE">
      <w:pPr>
        <w:pStyle w:val="Heading1"/>
        <w:ind w:left="0"/>
        <w:rPr>
          <w:sz w:val="24"/>
          <w:szCs w:val="24"/>
        </w:rPr>
      </w:pPr>
      <w:bookmarkStart w:id="18" w:name="_ljfdpvg9pzze" w:colFirst="0" w:colLast="0"/>
      <w:bookmarkEnd w:id="18"/>
      <w:r w:rsidRPr="00F85381">
        <w:rPr>
          <w:sz w:val="24"/>
          <w:szCs w:val="24"/>
        </w:rPr>
        <w:lastRenderedPageBreak/>
        <w:t>References</w:t>
      </w:r>
    </w:p>
    <w:p w14:paraId="7539E640" w14:textId="0B2707C9" w:rsidR="0022003C" w:rsidRPr="00F85381" w:rsidRDefault="0022003C" w:rsidP="0022003C">
      <w:pPr>
        <w:spacing w:after="120" w:line="480" w:lineRule="auto"/>
        <w:rPr>
          <w:rFonts w:ascii="Times New Roman" w:hAnsi="Times New Roman" w:cs="Times New Roman"/>
        </w:rPr>
      </w:pPr>
      <w:r w:rsidRPr="00F85381">
        <w:rPr>
          <w:rFonts w:ascii="Times New Roman" w:hAnsi="Times New Roman" w:cs="Times New Roman"/>
        </w:rPr>
        <w:t xml:space="preserve">Ahmed, A.N., Othman, F.B., </w:t>
      </w:r>
      <w:proofErr w:type="spellStart"/>
      <w:r w:rsidRPr="00F85381">
        <w:rPr>
          <w:rFonts w:ascii="Times New Roman" w:hAnsi="Times New Roman" w:cs="Times New Roman"/>
        </w:rPr>
        <w:t>Afan</w:t>
      </w:r>
      <w:proofErr w:type="spellEnd"/>
      <w:r w:rsidRPr="00F85381">
        <w:rPr>
          <w:rFonts w:ascii="Times New Roman" w:hAnsi="Times New Roman" w:cs="Times New Roman"/>
        </w:rPr>
        <w:t xml:space="preserve">, H.A., Ibrahim, R.K., Fai, C.M., Hossain, </w:t>
      </w:r>
      <w:proofErr w:type="spellStart"/>
      <w:r w:rsidRPr="00F85381">
        <w:rPr>
          <w:rFonts w:ascii="Times New Roman" w:hAnsi="Times New Roman" w:cs="Times New Roman"/>
        </w:rPr>
        <w:t>Md.S</w:t>
      </w:r>
      <w:proofErr w:type="spellEnd"/>
      <w:r w:rsidRPr="00F85381">
        <w:rPr>
          <w:rFonts w:ascii="Times New Roman" w:hAnsi="Times New Roman" w:cs="Times New Roman"/>
        </w:rPr>
        <w:t xml:space="preserve">., </w:t>
      </w:r>
      <w:proofErr w:type="spellStart"/>
      <w:r w:rsidRPr="00F85381">
        <w:rPr>
          <w:rFonts w:ascii="Times New Roman" w:hAnsi="Times New Roman" w:cs="Times New Roman"/>
        </w:rPr>
        <w:t>Ehteram</w:t>
      </w:r>
      <w:proofErr w:type="spellEnd"/>
      <w:r w:rsidRPr="00F85381">
        <w:rPr>
          <w:rFonts w:ascii="Times New Roman" w:hAnsi="Times New Roman" w:cs="Times New Roman"/>
        </w:rPr>
        <w:t xml:space="preserve">, M., </w:t>
      </w:r>
      <w:proofErr w:type="spellStart"/>
      <w:r w:rsidRPr="00F85381">
        <w:rPr>
          <w:rFonts w:ascii="Times New Roman" w:hAnsi="Times New Roman" w:cs="Times New Roman"/>
        </w:rPr>
        <w:t>Elshafie</w:t>
      </w:r>
      <w:proofErr w:type="spellEnd"/>
      <w:r w:rsidRPr="00F85381">
        <w:rPr>
          <w:rFonts w:ascii="Times New Roman" w:hAnsi="Times New Roman" w:cs="Times New Roman"/>
        </w:rPr>
        <w:t xml:space="preserve">, A., 2019. Machine learning methods for better water quality prediction, </w:t>
      </w:r>
      <w:proofErr w:type="spellStart"/>
      <w:proofErr w:type="gramStart"/>
      <w:r w:rsidRPr="00F85381">
        <w:rPr>
          <w:rFonts w:ascii="Times New Roman" w:hAnsi="Times New Roman" w:cs="Times New Roman"/>
        </w:rPr>
        <w:t>J</w:t>
      </w:r>
      <w:r w:rsidR="0002270C">
        <w:rPr>
          <w:rFonts w:ascii="Times New Roman" w:hAnsi="Times New Roman" w:cs="Times New Roman"/>
        </w:rPr>
        <w:t>.</w:t>
      </w:r>
      <w:r w:rsidRPr="00F85381">
        <w:rPr>
          <w:rFonts w:ascii="Times New Roman" w:hAnsi="Times New Roman" w:cs="Times New Roman"/>
        </w:rPr>
        <w:t>Hydrol</w:t>
      </w:r>
      <w:proofErr w:type="spellEnd"/>
      <w:proofErr w:type="gramEnd"/>
      <w:r w:rsidR="0002270C">
        <w:rPr>
          <w:rFonts w:ascii="Times New Roman" w:hAnsi="Times New Roman" w:cs="Times New Roman"/>
        </w:rPr>
        <w:t>.</w:t>
      </w:r>
      <w:r w:rsidRPr="00F85381">
        <w:rPr>
          <w:rFonts w:ascii="Times New Roman" w:hAnsi="Times New Roman" w:cs="Times New Roman"/>
        </w:rPr>
        <w:t xml:space="preserve"> 578, 124084. </w:t>
      </w:r>
      <w:r w:rsidR="00EA3171">
        <w:rPr>
          <w:rFonts w:ascii="Times New Roman" w:hAnsi="Times New Roman" w:cs="Times New Roman"/>
        </w:rPr>
        <w:t>doi:</w:t>
      </w:r>
      <w:hyperlink r:id="rId35" w:history="1">
        <w:r w:rsidRPr="00F85381">
          <w:rPr>
            <w:rStyle w:val="Hyperlink"/>
            <w:rFonts w:ascii="Times New Roman" w:hAnsi="Times New Roman" w:cs="Times New Roman"/>
            <w:color w:val="auto"/>
          </w:rPr>
          <w:t>10.1016/j.jhydrol.2019.124084</w:t>
        </w:r>
      </w:hyperlink>
      <w:r w:rsidR="0002270C">
        <w:rPr>
          <w:rStyle w:val="Hyperlink"/>
          <w:rFonts w:ascii="Times New Roman" w:hAnsi="Times New Roman" w:cs="Times New Roman"/>
          <w:color w:val="auto"/>
        </w:rPr>
        <w:t>.</w:t>
      </w:r>
    </w:p>
    <w:p w14:paraId="2209A419" w14:textId="0ED7B4B8" w:rsidR="009F26E3" w:rsidRPr="00F85381" w:rsidRDefault="00F50BBA" w:rsidP="00261C72">
      <w:pPr>
        <w:spacing w:after="120" w:line="480" w:lineRule="auto"/>
        <w:rPr>
          <w:sz w:val="18"/>
          <w:szCs w:val="18"/>
        </w:rPr>
      </w:pPr>
      <w:proofErr w:type="spellStart"/>
      <w:r w:rsidRPr="00F85381">
        <w:rPr>
          <w:rFonts w:ascii="Times New Roman" w:eastAsia="Times New Roman" w:hAnsi="Times New Roman" w:cs="Times New Roman"/>
        </w:rPr>
        <w:t>Alvisi</w:t>
      </w:r>
      <w:proofErr w:type="spellEnd"/>
      <w:r w:rsidRPr="00F85381">
        <w:rPr>
          <w:rFonts w:ascii="Times New Roman" w:eastAsia="Times New Roman" w:hAnsi="Times New Roman" w:cs="Times New Roman"/>
        </w:rPr>
        <w:t>, S.</w:t>
      </w:r>
      <w:r w:rsidR="00E4526D" w:rsidRPr="00F85381">
        <w:rPr>
          <w:rFonts w:ascii="Times New Roman" w:eastAsia="Times New Roman" w:hAnsi="Times New Roman" w:cs="Times New Roman"/>
        </w:rPr>
        <w:t>,</w:t>
      </w:r>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Franchini</w:t>
      </w:r>
      <w:proofErr w:type="spellEnd"/>
      <w:r w:rsidRPr="00F85381">
        <w:rPr>
          <w:rFonts w:ascii="Times New Roman" w:eastAsia="Times New Roman" w:hAnsi="Times New Roman" w:cs="Times New Roman"/>
        </w:rPr>
        <w:t>, M., 2011. Fuzzy neural networks for water level and discharge forecasting with uncertainty, Environmental Modelling &amp; Software, 26, 523-537.</w:t>
      </w:r>
      <w:r w:rsidR="00EA3171">
        <w:rPr>
          <w:rFonts w:ascii="Times New Roman" w:eastAsia="Times New Roman" w:hAnsi="Times New Roman" w:cs="Times New Roman"/>
        </w:rPr>
        <w:t xml:space="preserve"> </w:t>
      </w:r>
      <w:proofErr w:type="gramStart"/>
      <w:r w:rsidR="00901957">
        <w:rPr>
          <w:rFonts w:ascii="Times New Roman" w:eastAsia="Times New Roman" w:hAnsi="Times New Roman" w:cs="Times New Roman"/>
        </w:rPr>
        <w:t>d</w:t>
      </w:r>
      <w:r w:rsidR="00EA3171">
        <w:rPr>
          <w:rFonts w:ascii="Times New Roman" w:eastAsia="Times New Roman" w:hAnsi="Times New Roman" w:cs="Times New Roman"/>
        </w:rPr>
        <w:t>oi:</w:t>
      </w:r>
      <w:r w:rsidRPr="00F85381">
        <w:rPr>
          <w:rFonts w:ascii="Times New Roman" w:eastAsia="Times New Roman" w:hAnsi="Times New Roman" w:cs="Times New Roman"/>
          <w:u w:val="single"/>
        </w:rPr>
        <w:t>10.1016/j.envsoft</w:t>
      </w:r>
      <w:proofErr w:type="gramEnd"/>
      <w:r w:rsidRPr="00F85381">
        <w:rPr>
          <w:rFonts w:ascii="Times New Roman" w:eastAsia="Times New Roman" w:hAnsi="Times New Roman" w:cs="Times New Roman"/>
          <w:u w:val="single"/>
        </w:rPr>
        <w:t>.2010.10.016</w:t>
      </w:r>
      <w:r w:rsidR="005F34AA">
        <w:rPr>
          <w:rFonts w:ascii="Times New Roman" w:eastAsia="Times New Roman" w:hAnsi="Times New Roman" w:cs="Times New Roman"/>
          <w:u w:val="single"/>
        </w:rPr>
        <w:t>.</w:t>
      </w:r>
      <w:r w:rsidRPr="00F85381">
        <w:rPr>
          <w:sz w:val="18"/>
          <w:szCs w:val="18"/>
        </w:rPr>
        <w:t> </w:t>
      </w:r>
    </w:p>
    <w:p w14:paraId="4D8FAC92" w14:textId="0BE8B311" w:rsidR="00036EB3" w:rsidRPr="00F85381" w:rsidRDefault="00036EB3" w:rsidP="00261C72">
      <w:pPr>
        <w:spacing w:after="120" w:line="480" w:lineRule="auto"/>
        <w:rPr>
          <w:rFonts w:ascii="Times New Roman" w:hAnsi="Times New Roman" w:cs="Times New Roman"/>
        </w:rPr>
      </w:pPr>
      <w:proofErr w:type="spellStart"/>
      <w:r w:rsidRPr="00F85381">
        <w:rPr>
          <w:rFonts w:ascii="Times New Roman" w:hAnsi="Times New Roman" w:cs="Times New Roman"/>
        </w:rPr>
        <w:t>Antanasijević</w:t>
      </w:r>
      <w:proofErr w:type="spellEnd"/>
      <w:r w:rsidRPr="00F85381">
        <w:rPr>
          <w:rFonts w:ascii="Times New Roman" w:hAnsi="Times New Roman" w:cs="Times New Roman"/>
        </w:rPr>
        <w:t xml:space="preserve">, D., </w:t>
      </w:r>
      <w:proofErr w:type="spellStart"/>
      <w:r w:rsidRPr="00F85381">
        <w:rPr>
          <w:rFonts w:ascii="Times New Roman" w:hAnsi="Times New Roman" w:cs="Times New Roman"/>
        </w:rPr>
        <w:t>Pocajt</w:t>
      </w:r>
      <w:proofErr w:type="spellEnd"/>
      <w:r w:rsidRPr="00F85381">
        <w:rPr>
          <w:rFonts w:ascii="Times New Roman" w:hAnsi="Times New Roman" w:cs="Times New Roman"/>
        </w:rPr>
        <w:t xml:space="preserve">, V., </w:t>
      </w:r>
      <w:proofErr w:type="spellStart"/>
      <w:r w:rsidRPr="00F85381">
        <w:rPr>
          <w:rFonts w:ascii="Times New Roman" w:hAnsi="Times New Roman" w:cs="Times New Roman"/>
        </w:rPr>
        <w:t>Perić-Grujić</w:t>
      </w:r>
      <w:proofErr w:type="spellEnd"/>
      <w:r w:rsidRPr="00F85381">
        <w:rPr>
          <w:rFonts w:ascii="Times New Roman" w:hAnsi="Times New Roman" w:cs="Times New Roman"/>
        </w:rPr>
        <w:t>, A.</w:t>
      </w:r>
      <w:r w:rsidR="001263FE" w:rsidRPr="00F85381">
        <w:rPr>
          <w:rFonts w:ascii="Times New Roman" w:hAnsi="Times New Roman" w:cs="Times New Roman"/>
        </w:rPr>
        <w:t>, Mirjana, R., 2020</w:t>
      </w:r>
      <w:r w:rsidRPr="00F85381">
        <w:rPr>
          <w:rFonts w:ascii="Times New Roman" w:hAnsi="Times New Roman" w:cs="Times New Roman"/>
          <w:i/>
          <w:iCs/>
        </w:rPr>
        <w:t>.</w:t>
      </w:r>
      <w:r w:rsidRPr="00F85381">
        <w:rPr>
          <w:rFonts w:ascii="Times New Roman" w:hAnsi="Times New Roman" w:cs="Times New Roman"/>
        </w:rPr>
        <w:t xml:space="preserve"> Multilevel split of high-dimensional water quality data using artificial neural networks for the prediction of dissolved oxygen in the Danube River. </w:t>
      </w:r>
      <w:r w:rsidRPr="00F85381">
        <w:rPr>
          <w:rFonts w:ascii="Times New Roman" w:hAnsi="Times New Roman" w:cs="Times New Roman"/>
          <w:iCs/>
        </w:rPr>
        <w:t xml:space="preserve">Neural </w:t>
      </w:r>
      <w:proofErr w:type="spellStart"/>
      <w:r w:rsidRPr="00F85381">
        <w:rPr>
          <w:rFonts w:ascii="Times New Roman" w:hAnsi="Times New Roman" w:cs="Times New Roman"/>
          <w:iCs/>
        </w:rPr>
        <w:t>Comput</w:t>
      </w:r>
      <w:proofErr w:type="spellEnd"/>
      <w:r w:rsidR="003073CC">
        <w:rPr>
          <w:rFonts w:ascii="Times New Roman" w:hAnsi="Times New Roman" w:cs="Times New Roman"/>
          <w:iCs/>
        </w:rPr>
        <w:t>.</w:t>
      </w:r>
      <w:r w:rsidRPr="00F85381">
        <w:rPr>
          <w:rFonts w:ascii="Times New Roman" w:hAnsi="Times New Roman" w:cs="Times New Roman"/>
          <w:iCs/>
        </w:rPr>
        <w:t xml:space="preserve"> &amp; </w:t>
      </w:r>
      <w:proofErr w:type="spellStart"/>
      <w:r w:rsidRPr="00F85381">
        <w:rPr>
          <w:rFonts w:ascii="Times New Roman" w:hAnsi="Times New Roman" w:cs="Times New Roman"/>
          <w:iCs/>
        </w:rPr>
        <w:t>Applic</w:t>
      </w:r>
      <w:proofErr w:type="spellEnd"/>
      <w:r w:rsidR="003073CC">
        <w:rPr>
          <w:rFonts w:ascii="Times New Roman" w:hAnsi="Times New Roman" w:cs="Times New Roman"/>
          <w:iCs/>
        </w:rPr>
        <w:t>.</w:t>
      </w:r>
      <w:r w:rsidRPr="00F85381">
        <w:rPr>
          <w:rFonts w:ascii="Times New Roman" w:hAnsi="Times New Roman" w:cs="Times New Roman"/>
        </w:rPr>
        <w:t xml:space="preserve"> </w:t>
      </w:r>
      <w:r w:rsidRPr="00F85381">
        <w:rPr>
          <w:rFonts w:ascii="Times New Roman" w:hAnsi="Times New Roman" w:cs="Times New Roman"/>
          <w:bCs/>
        </w:rPr>
        <w:t xml:space="preserve">32, </w:t>
      </w:r>
      <w:r w:rsidRPr="00F85381">
        <w:rPr>
          <w:rFonts w:ascii="Times New Roman" w:hAnsi="Times New Roman" w:cs="Times New Roman"/>
        </w:rPr>
        <w:t>3957–3966.</w:t>
      </w:r>
      <w:r w:rsidR="00901957">
        <w:rPr>
          <w:rFonts w:ascii="Times New Roman" w:hAnsi="Times New Roman" w:cs="Times New Roman"/>
        </w:rPr>
        <w:t xml:space="preserve"> doi:</w:t>
      </w:r>
      <w:hyperlink r:id="rId36" w:history="1">
        <w:r w:rsidRPr="00F85381">
          <w:rPr>
            <w:rStyle w:val="Hyperlink"/>
            <w:rFonts w:ascii="Times New Roman" w:hAnsi="Times New Roman" w:cs="Times New Roman"/>
            <w:color w:val="auto"/>
          </w:rPr>
          <w:t>10.1007/s00521-019-04079-y</w:t>
        </w:r>
      </w:hyperlink>
      <w:r w:rsidR="003073CC">
        <w:rPr>
          <w:rStyle w:val="Hyperlink"/>
          <w:rFonts w:ascii="Times New Roman" w:hAnsi="Times New Roman" w:cs="Times New Roman"/>
          <w:color w:val="auto"/>
        </w:rPr>
        <w:t>.</w:t>
      </w:r>
    </w:p>
    <w:p w14:paraId="17C6C9EE" w14:textId="2A1A7C54" w:rsidR="009F26E3" w:rsidRPr="00F85381" w:rsidRDefault="00F50BBA" w:rsidP="00261C72">
      <w:pPr>
        <w:spacing w:after="120" w:line="480" w:lineRule="auto"/>
        <w:rPr>
          <w:rFonts w:ascii="Times New Roman" w:eastAsia="Times New Roman" w:hAnsi="Times New Roman" w:cs="Times New Roman"/>
        </w:rPr>
      </w:pPr>
      <w:proofErr w:type="spellStart"/>
      <w:r w:rsidRPr="00F85381">
        <w:rPr>
          <w:rFonts w:ascii="Times New Roman" w:eastAsia="Times New Roman" w:hAnsi="Times New Roman" w:cs="Times New Roman"/>
        </w:rPr>
        <w:t>Asefa</w:t>
      </w:r>
      <w:proofErr w:type="spellEnd"/>
      <w:r w:rsidRPr="00F85381">
        <w:rPr>
          <w:rFonts w:ascii="Times New Roman" w:eastAsia="Times New Roman" w:hAnsi="Times New Roman" w:cs="Times New Roman"/>
        </w:rPr>
        <w:t>, T., Clayton, J., Adams, A.</w:t>
      </w:r>
      <w:r w:rsidR="006D680A" w:rsidRPr="00F85381">
        <w:rPr>
          <w:rFonts w:ascii="Times New Roman" w:eastAsia="Times New Roman" w:hAnsi="Times New Roman" w:cs="Times New Roman"/>
        </w:rPr>
        <w:t>,</w:t>
      </w:r>
      <w:r w:rsidRPr="00F85381">
        <w:rPr>
          <w:rFonts w:ascii="Times New Roman" w:eastAsia="Times New Roman" w:hAnsi="Times New Roman" w:cs="Times New Roman"/>
        </w:rPr>
        <w:t xml:space="preserve"> Anderson, D. 2014. Performance evaluation of a water resources system under varying climatic conditions: Reliability, resilience, vulnerability and beyond, </w:t>
      </w:r>
      <w:proofErr w:type="spellStart"/>
      <w:proofErr w:type="gramStart"/>
      <w:r w:rsidRPr="00F85381">
        <w:rPr>
          <w:rFonts w:ascii="Times New Roman" w:eastAsia="Times New Roman" w:hAnsi="Times New Roman" w:cs="Times New Roman"/>
        </w:rPr>
        <w:t>J</w:t>
      </w:r>
      <w:r w:rsidR="002F384D">
        <w:rPr>
          <w:rFonts w:ascii="Times New Roman" w:eastAsia="Times New Roman" w:hAnsi="Times New Roman" w:cs="Times New Roman"/>
        </w:rPr>
        <w:t>.</w:t>
      </w:r>
      <w:r w:rsidRPr="00F85381">
        <w:rPr>
          <w:rFonts w:ascii="Times New Roman" w:eastAsia="Times New Roman" w:hAnsi="Times New Roman" w:cs="Times New Roman"/>
        </w:rPr>
        <w:t>Hydrol</w:t>
      </w:r>
      <w:proofErr w:type="spellEnd"/>
      <w:proofErr w:type="gramEnd"/>
      <w:r w:rsidR="002F384D">
        <w:rPr>
          <w:rFonts w:ascii="Times New Roman" w:eastAsia="Times New Roman" w:hAnsi="Times New Roman" w:cs="Times New Roman"/>
        </w:rPr>
        <w:t>.</w:t>
      </w:r>
      <w:r w:rsidRPr="00F85381">
        <w:rPr>
          <w:rFonts w:ascii="Times New Roman" w:eastAsia="Times New Roman" w:hAnsi="Times New Roman" w:cs="Times New Roman"/>
        </w:rPr>
        <w:t xml:space="preserve"> 508, 53–65. </w:t>
      </w:r>
      <w:r w:rsidR="00901957">
        <w:rPr>
          <w:rFonts w:ascii="Times New Roman" w:eastAsia="Times New Roman" w:hAnsi="Times New Roman" w:cs="Times New Roman"/>
        </w:rPr>
        <w:t>doi:</w:t>
      </w:r>
      <w:hyperlink r:id="rId37">
        <w:r w:rsidRPr="00F85381">
          <w:rPr>
            <w:rFonts w:ascii="Times New Roman" w:eastAsia="Times New Roman" w:hAnsi="Times New Roman" w:cs="Times New Roman"/>
            <w:u w:val="single"/>
          </w:rPr>
          <w:t>10.1016/j.jhydrol.2013.10.043</w:t>
        </w:r>
      </w:hyperlink>
      <w:r w:rsidR="002F384D">
        <w:rPr>
          <w:rFonts w:ascii="Times New Roman" w:eastAsia="Times New Roman" w:hAnsi="Times New Roman" w:cs="Times New Roman"/>
          <w:u w:val="single"/>
        </w:rPr>
        <w:t>.</w:t>
      </w:r>
    </w:p>
    <w:p w14:paraId="0FFD8C5C" w14:textId="3DC44C3F"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Butler, D., Ward, S., Sweetapple, C., </w:t>
      </w:r>
      <w:proofErr w:type="spellStart"/>
      <w:r w:rsidRPr="00F85381">
        <w:rPr>
          <w:rFonts w:ascii="Times New Roman" w:eastAsia="Times New Roman" w:hAnsi="Times New Roman" w:cs="Times New Roman"/>
        </w:rPr>
        <w:t>Astaraie</w:t>
      </w:r>
      <w:proofErr w:type="spellEnd"/>
      <w:r w:rsidRPr="00F85381">
        <w:rPr>
          <w:rFonts w:ascii="Times New Roman" w:eastAsia="Times New Roman" w:hAnsi="Times New Roman" w:cs="Times New Roman"/>
        </w:rPr>
        <w:t xml:space="preserve">-Imani, M., </w:t>
      </w:r>
      <w:proofErr w:type="spellStart"/>
      <w:r w:rsidRPr="00F85381">
        <w:rPr>
          <w:rFonts w:ascii="Times New Roman" w:eastAsia="Times New Roman" w:hAnsi="Times New Roman" w:cs="Times New Roman"/>
        </w:rPr>
        <w:t>Diao</w:t>
      </w:r>
      <w:proofErr w:type="spellEnd"/>
      <w:r w:rsidRPr="00F85381">
        <w:rPr>
          <w:rFonts w:ascii="Times New Roman" w:eastAsia="Times New Roman" w:hAnsi="Times New Roman" w:cs="Times New Roman"/>
        </w:rPr>
        <w:t xml:space="preserve">, K., </w:t>
      </w:r>
      <w:proofErr w:type="spellStart"/>
      <w:r w:rsidRPr="00F85381">
        <w:rPr>
          <w:rFonts w:ascii="Times New Roman" w:eastAsia="Times New Roman" w:hAnsi="Times New Roman" w:cs="Times New Roman"/>
        </w:rPr>
        <w:t>Farmani</w:t>
      </w:r>
      <w:proofErr w:type="spellEnd"/>
      <w:r w:rsidRPr="00F85381">
        <w:rPr>
          <w:rFonts w:ascii="Times New Roman" w:eastAsia="Times New Roman" w:hAnsi="Times New Roman" w:cs="Times New Roman"/>
        </w:rPr>
        <w:t>, R.</w:t>
      </w:r>
      <w:r w:rsidR="006D680A" w:rsidRPr="00F85381">
        <w:rPr>
          <w:rFonts w:ascii="Times New Roman" w:eastAsia="Times New Roman" w:hAnsi="Times New Roman" w:cs="Times New Roman"/>
        </w:rPr>
        <w:t>,</w:t>
      </w:r>
      <w:r w:rsidRPr="00F85381">
        <w:rPr>
          <w:rFonts w:ascii="Times New Roman" w:eastAsia="Times New Roman" w:hAnsi="Times New Roman" w:cs="Times New Roman"/>
        </w:rPr>
        <w:t xml:space="preserve"> Fu, G. 2016. Reliable, resilient and sustainable water management: The safe &amp; sure approach, </w:t>
      </w:r>
      <w:proofErr w:type="spellStart"/>
      <w:proofErr w:type="gramStart"/>
      <w:r w:rsidRPr="00F85381">
        <w:rPr>
          <w:rFonts w:ascii="Times New Roman" w:eastAsia="Times New Roman" w:hAnsi="Times New Roman" w:cs="Times New Roman"/>
        </w:rPr>
        <w:t>J</w:t>
      </w:r>
      <w:r w:rsidR="004E01AA">
        <w:rPr>
          <w:rFonts w:ascii="Times New Roman" w:eastAsia="Times New Roman" w:hAnsi="Times New Roman" w:cs="Times New Roman"/>
        </w:rPr>
        <w:t>.</w:t>
      </w:r>
      <w:r w:rsidRPr="00F85381">
        <w:rPr>
          <w:rFonts w:ascii="Times New Roman" w:eastAsia="Times New Roman" w:hAnsi="Times New Roman" w:cs="Times New Roman"/>
        </w:rPr>
        <w:t>Glob</w:t>
      </w:r>
      <w:r w:rsidR="004E01AA">
        <w:rPr>
          <w:rFonts w:ascii="Times New Roman" w:eastAsia="Times New Roman" w:hAnsi="Times New Roman" w:cs="Times New Roman"/>
        </w:rPr>
        <w:t>.</w:t>
      </w:r>
      <w:r w:rsidRPr="00F85381">
        <w:rPr>
          <w:rFonts w:ascii="Times New Roman" w:eastAsia="Times New Roman" w:hAnsi="Times New Roman" w:cs="Times New Roman"/>
        </w:rPr>
        <w:t>Chall</w:t>
      </w:r>
      <w:proofErr w:type="spellEnd"/>
      <w:proofErr w:type="gramEnd"/>
      <w:r w:rsidR="004E01AA">
        <w:rPr>
          <w:rFonts w:ascii="Times New Roman" w:eastAsia="Times New Roman" w:hAnsi="Times New Roman" w:cs="Times New Roman"/>
        </w:rPr>
        <w:t xml:space="preserve">. </w:t>
      </w:r>
      <w:r w:rsidRPr="00F85381">
        <w:rPr>
          <w:rFonts w:ascii="Times New Roman" w:eastAsia="Times New Roman" w:hAnsi="Times New Roman" w:cs="Times New Roman"/>
        </w:rPr>
        <w:t xml:space="preserve">1, 63–77. </w:t>
      </w:r>
      <w:r w:rsidR="00722184">
        <w:rPr>
          <w:rFonts w:ascii="Times New Roman" w:eastAsia="Times New Roman" w:hAnsi="Times New Roman" w:cs="Times New Roman"/>
        </w:rPr>
        <w:t>d</w:t>
      </w:r>
      <w:r w:rsidR="003C1866">
        <w:rPr>
          <w:rFonts w:ascii="Times New Roman" w:eastAsia="Times New Roman" w:hAnsi="Times New Roman" w:cs="Times New Roman"/>
        </w:rPr>
        <w:t>oi:</w:t>
      </w:r>
      <w:hyperlink r:id="rId38">
        <w:r w:rsidRPr="00F85381">
          <w:rPr>
            <w:rFonts w:ascii="Times New Roman" w:eastAsia="Times New Roman" w:hAnsi="Times New Roman" w:cs="Times New Roman"/>
            <w:u w:val="single"/>
          </w:rPr>
          <w:t>10.1002/gch2.1010</w:t>
        </w:r>
      </w:hyperlink>
      <w:r w:rsidR="004E01AA">
        <w:rPr>
          <w:rFonts w:ascii="Times New Roman" w:eastAsia="Times New Roman" w:hAnsi="Times New Roman" w:cs="Times New Roman"/>
          <w:u w:val="single"/>
        </w:rPr>
        <w:t>.</w:t>
      </w:r>
    </w:p>
    <w:p w14:paraId="0CFE644A" w14:textId="58BD7AF6"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CETESB, 2000 – 2017. </w:t>
      </w:r>
      <w:proofErr w:type="spellStart"/>
      <w:r w:rsidRPr="00F85381">
        <w:rPr>
          <w:rFonts w:ascii="Times New Roman" w:eastAsia="Times New Roman" w:hAnsi="Times New Roman" w:cs="Times New Roman"/>
        </w:rPr>
        <w:t>Companhia</w:t>
      </w:r>
      <w:proofErr w:type="spellEnd"/>
      <w:r w:rsidRPr="00F85381">
        <w:rPr>
          <w:rFonts w:ascii="Times New Roman" w:eastAsia="Times New Roman" w:hAnsi="Times New Roman" w:cs="Times New Roman"/>
        </w:rPr>
        <w:t xml:space="preserve"> Ambiental do Estado de São Paulo (São Paulo State Environmental Company). </w:t>
      </w:r>
      <w:proofErr w:type="spellStart"/>
      <w:r w:rsidRPr="00F85381">
        <w:rPr>
          <w:rFonts w:ascii="Times New Roman" w:eastAsia="Times New Roman" w:hAnsi="Times New Roman" w:cs="Times New Roman"/>
        </w:rPr>
        <w:t>Relatórios</w:t>
      </w:r>
      <w:proofErr w:type="spellEnd"/>
      <w:r w:rsidRPr="00F85381">
        <w:rPr>
          <w:rFonts w:ascii="Times New Roman" w:eastAsia="Times New Roman" w:hAnsi="Times New Roman" w:cs="Times New Roman"/>
        </w:rPr>
        <w:t xml:space="preserve"> de </w:t>
      </w:r>
      <w:proofErr w:type="spellStart"/>
      <w:r w:rsidRPr="00F85381">
        <w:rPr>
          <w:rFonts w:ascii="Times New Roman" w:eastAsia="Times New Roman" w:hAnsi="Times New Roman" w:cs="Times New Roman"/>
        </w:rPr>
        <w:t>Qualidade</w:t>
      </w:r>
      <w:proofErr w:type="spellEnd"/>
      <w:r w:rsidRPr="00F85381">
        <w:rPr>
          <w:rFonts w:ascii="Times New Roman" w:eastAsia="Times New Roman" w:hAnsi="Times New Roman" w:cs="Times New Roman"/>
        </w:rPr>
        <w:t xml:space="preserve"> das </w:t>
      </w:r>
      <w:proofErr w:type="spellStart"/>
      <w:r w:rsidRPr="00F85381">
        <w:rPr>
          <w:rFonts w:ascii="Times New Roman" w:eastAsia="Times New Roman" w:hAnsi="Times New Roman" w:cs="Times New Roman"/>
        </w:rPr>
        <w:t>Águas</w:t>
      </w:r>
      <w:proofErr w:type="spellEnd"/>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Superficiais</w:t>
      </w:r>
      <w:proofErr w:type="spellEnd"/>
      <w:r w:rsidRPr="00F85381">
        <w:rPr>
          <w:rFonts w:ascii="Times New Roman" w:eastAsia="Times New Roman" w:hAnsi="Times New Roman" w:cs="Times New Roman"/>
        </w:rPr>
        <w:t xml:space="preserve"> do Estado de São Paulo (Reports on Surface Water Quality from São Paulo State). </w:t>
      </w:r>
      <w:proofErr w:type="spellStart"/>
      <w:r w:rsidRPr="00F85381">
        <w:rPr>
          <w:rFonts w:ascii="Times New Roman" w:eastAsia="Times New Roman" w:hAnsi="Times New Roman" w:cs="Times New Roman"/>
        </w:rPr>
        <w:t>Secretaria</w:t>
      </w:r>
      <w:proofErr w:type="spellEnd"/>
      <w:r w:rsidRPr="00F85381">
        <w:rPr>
          <w:rFonts w:ascii="Times New Roman" w:eastAsia="Times New Roman" w:hAnsi="Times New Roman" w:cs="Times New Roman"/>
        </w:rPr>
        <w:t xml:space="preserve"> de Estado do </w:t>
      </w:r>
      <w:proofErr w:type="spellStart"/>
      <w:r w:rsidRPr="00F85381">
        <w:rPr>
          <w:rFonts w:ascii="Times New Roman" w:eastAsia="Times New Roman" w:hAnsi="Times New Roman" w:cs="Times New Roman"/>
        </w:rPr>
        <w:t>Meio</w:t>
      </w:r>
      <w:proofErr w:type="spellEnd"/>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Ambiente</w:t>
      </w:r>
      <w:proofErr w:type="spellEnd"/>
      <w:r w:rsidRPr="00F85381">
        <w:rPr>
          <w:rFonts w:ascii="Times New Roman" w:eastAsia="Times New Roman" w:hAnsi="Times New Roman" w:cs="Times New Roman"/>
        </w:rPr>
        <w:t xml:space="preserve"> (State Secretary for the Environment). </w:t>
      </w:r>
      <w:hyperlink r:id="rId39" w:history="1">
        <w:r w:rsidR="002C4A72" w:rsidRPr="00F85381">
          <w:rPr>
            <w:rStyle w:val="Hyperlink"/>
            <w:rFonts w:ascii="Times New Roman" w:eastAsia="Times New Roman" w:hAnsi="Times New Roman" w:cs="Times New Roman"/>
            <w:color w:val="auto"/>
          </w:rPr>
          <w:t>https://cetesb.sp.gov.br/aguas-interiores/publicacoes-e-relatorios/</w:t>
        </w:r>
      </w:hyperlink>
      <w:r w:rsidR="00AC5CC9">
        <w:rPr>
          <w:rStyle w:val="Hyperlink"/>
          <w:rFonts w:ascii="Times New Roman" w:eastAsia="Times New Roman" w:hAnsi="Times New Roman" w:cs="Times New Roman"/>
          <w:color w:val="auto"/>
        </w:rPr>
        <w:t>.</w:t>
      </w:r>
    </w:p>
    <w:p w14:paraId="165A2D92" w14:textId="452315E0"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CETESB, </w:t>
      </w:r>
      <w:proofErr w:type="spellStart"/>
      <w:r w:rsidRPr="00F85381">
        <w:rPr>
          <w:rFonts w:ascii="Times New Roman" w:eastAsia="Times New Roman" w:hAnsi="Times New Roman" w:cs="Times New Roman"/>
        </w:rPr>
        <w:t>Qualidade</w:t>
      </w:r>
      <w:proofErr w:type="spellEnd"/>
      <w:r w:rsidRPr="00F85381">
        <w:rPr>
          <w:rFonts w:ascii="Times New Roman" w:eastAsia="Times New Roman" w:hAnsi="Times New Roman" w:cs="Times New Roman"/>
        </w:rPr>
        <w:t xml:space="preserve"> das </w:t>
      </w:r>
      <w:proofErr w:type="spellStart"/>
      <w:r w:rsidRPr="00F85381">
        <w:rPr>
          <w:rFonts w:ascii="Times New Roman" w:eastAsia="Times New Roman" w:hAnsi="Times New Roman" w:cs="Times New Roman"/>
        </w:rPr>
        <w:t>Águas</w:t>
      </w:r>
      <w:proofErr w:type="spellEnd"/>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Superficiais</w:t>
      </w:r>
      <w:proofErr w:type="spellEnd"/>
      <w:r w:rsidRPr="00F85381">
        <w:rPr>
          <w:rFonts w:ascii="Times New Roman" w:eastAsia="Times New Roman" w:hAnsi="Times New Roman" w:cs="Times New Roman"/>
        </w:rPr>
        <w:t xml:space="preserve"> no Estado de São Paulo, </w:t>
      </w:r>
      <w:proofErr w:type="spellStart"/>
      <w:r w:rsidRPr="00F85381">
        <w:rPr>
          <w:rFonts w:ascii="Times New Roman" w:eastAsia="Times New Roman" w:hAnsi="Times New Roman" w:cs="Times New Roman"/>
        </w:rPr>
        <w:t>Apêndice</w:t>
      </w:r>
      <w:proofErr w:type="spellEnd"/>
      <w:r w:rsidRPr="00F85381">
        <w:rPr>
          <w:rFonts w:ascii="Times New Roman" w:eastAsia="Times New Roman" w:hAnsi="Times New Roman" w:cs="Times New Roman"/>
        </w:rPr>
        <w:t xml:space="preserve"> C - </w:t>
      </w:r>
      <w:proofErr w:type="spellStart"/>
      <w:r w:rsidRPr="00F85381">
        <w:rPr>
          <w:rFonts w:ascii="Times New Roman" w:eastAsia="Times New Roman" w:hAnsi="Times New Roman" w:cs="Times New Roman"/>
        </w:rPr>
        <w:t>Índices</w:t>
      </w:r>
      <w:proofErr w:type="spellEnd"/>
      <w:r w:rsidRPr="00F85381">
        <w:rPr>
          <w:rFonts w:ascii="Times New Roman" w:eastAsia="Times New Roman" w:hAnsi="Times New Roman" w:cs="Times New Roman"/>
        </w:rPr>
        <w:t xml:space="preserve"> de </w:t>
      </w:r>
      <w:proofErr w:type="spellStart"/>
      <w:r w:rsidRPr="00F85381">
        <w:rPr>
          <w:rFonts w:ascii="Times New Roman" w:eastAsia="Times New Roman" w:hAnsi="Times New Roman" w:cs="Times New Roman"/>
        </w:rPr>
        <w:t>Qualidade</w:t>
      </w:r>
      <w:proofErr w:type="spellEnd"/>
      <w:r w:rsidRPr="00F85381">
        <w:rPr>
          <w:rFonts w:ascii="Times New Roman" w:eastAsia="Times New Roman" w:hAnsi="Times New Roman" w:cs="Times New Roman"/>
        </w:rPr>
        <w:t xml:space="preserve"> das </w:t>
      </w:r>
      <w:proofErr w:type="spellStart"/>
      <w:r w:rsidRPr="00F85381">
        <w:rPr>
          <w:rFonts w:ascii="Times New Roman" w:eastAsia="Times New Roman" w:hAnsi="Times New Roman" w:cs="Times New Roman"/>
        </w:rPr>
        <w:t>Águas</w:t>
      </w:r>
      <w:proofErr w:type="spellEnd"/>
      <w:r w:rsidRPr="00F85381">
        <w:rPr>
          <w:rFonts w:ascii="Times New Roman" w:eastAsia="Times New Roman" w:hAnsi="Times New Roman" w:cs="Times New Roman"/>
        </w:rPr>
        <w:t>.</w:t>
      </w:r>
      <w:r w:rsidR="00240263" w:rsidRPr="00F85381">
        <w:rPr>
          <w:rFonts w:ascii="Times New Roman" w:eastAsia="Times New Roman" w:hAnsi="Times New Roman" w:cs="Times New Roman"/>
        </w:rPr>
        <w:t xml:space="preserve"> 2017.</w:t>
      </w:r>
      <w:r w:rsidRPr="00F85381">
        <w:rPr>
          <w:rFonts w:ascii="Times New Roman" w:eastAsia="Times New Roman" w:hAnsi="Times New Roman" w:cs="Times New Roman"/>
        </w:rPr>
        <w:t xml:space="preserve"> [Access</w:t>
      </w:r>
      <w:r w:rsidR="006D680A" w:rsidRPr="00F85381">
        <w:rPr>
          <w:rFonts w:ascii="Times New Roman" w:eastAsia="Times New Roman" w:hAnsi="Times New Roman" w:cs="Times New Roman"/>
        </w:rPr>
        <w:t>ed</w:t>
      </w:r>
      <w:r w:rsidRPr="00F85381">
        <w:rPr>
          <w:rFonts w:ascii="Times New Roman" w:eastAsia="Times New Roman" w:hAnsi="Times New Roman" w:cs="Times New Roman"/>
        </w:rPr>
        <w:t xml:space="preserve">: </w:t>
      </w:r>
      <w:hyperlink r:id="rId40">
        <w:r w:rsidRPr="00F85381">
          <w:rPr>
            <w:rFonts w:ascii="Times New Roman" w:eastAsia="Times New Roman" w:hAnsi="Times New Roman" w:cs="Times New Roman"/>
            <w:u w:val="single"/>
          </w:rPr>
          <w:t>https://cetesb.sp.gov.br/aguas-interiores/wp-content/uploads/sites/12/2013/11/Apêndice-C-Índices-de-Qualidade-das-Águas-2.pdf</w:t>
        </w:r>
      </w:hyperlink>
      <w:r w:rsidRPr="00F85381">
        <w:rPr>
          <w:rFonts w:ascii="Times New Roman" w:eastAsia="Times New Roman" w:hAnsi="Times New Roman" w:cs="Times New Roman"/>
        </w:rPr>
        <w:t>]</w:t>
      </w:r>
      <w:r w:rsidR="00AC5CC9">
        <w:rPr>
          <w:rFonts w:ascii="Times New Roman" w:eastAsia="Times New Roman" w:hAnsi="Times New Roman" w:cs="Times New Roman"/>
        </w:rPr>
        <w:t>.</w:t>
      </w:r>
    </w:p>
    <w:p w14:paraId="1C9306D8" w14:textId="324739F1"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Chau, K.</w:t>
      </w:r>
      <w:r w:rsidR="00EB39AA" w:rsidRPr="00F85381">
        <w:rPr>
          <w:rFonts w:ascii="Times New Roman" w:eastAsia="Times New Roman" w:hAnsi="Times New Roman" w:cs="Times New Roman"/>
        </w:rPr>
        <w:t>W</w:t>
      </w:r>
      <w:r w:rsidRPr="00F85381">
        <w:rPr>
          <w:rFonts w:ascii="Times New Roman" w:eastAsia="Times New Roman" w:hAnsi="Times New Roman" w:cs="Times New Roman"/>
        </w:rPr>
        <w:t xml:space="preserve">., 2006. A review on integration of artificial intelligence into water quality modelling, Mar. </w:t>
      </w:r>
      <w:proofErr w:type="spellStart"/>
      <w:r w:rsidRPr="00F85381">
        <w:rPr>
          <w:rFonts w:ascii="Times New Roman" w:eastAsia="Times New Roman" w:hAnsi="Times New Roman" w:cs="Times New Roman"/>
        </w:rPr>
        <w:t>Pollut</w:t>
      </w:r>
      <w:proofErr w:type="spellEnd"/>
      <w:r w:rsidRPr="00F85381">
        <w:rPr>
          <w:rFonts w:ascii="Times New Roman" w:eastAsia="Times New Roman" w:hAnsi="Times New Roman" w:cs="Times New Roman"/>
        </w:rPr>
        <w:t>. Bull. 52, 726–733.</w:t>
      </w:r>
      <w:r w:rsidR="00722184">
        <w:rPr>
          <w:rFonts w:ascii="Times New Roman" w:eastAsia="Times New Roman" w:hAnsi="Times New Roman" w:cs="Times New Roman"/>
        </w:rPr>
        <w:t xml:space="preserve"> doi:</w:t>
      </w:r>
      <w:hyperlink r:id="rId41">
        <w:r w:rsidRPr="00F85381">
          <w:rPr>
            <w:rFonts w:ascii="Times New Roman" w:eastAsia="Times New Roman" w:hAnsi="Times New Roman" w:cs="Times New Roman"/>
            <w:u w:val="single"/>
          </w:rPr>
          <w:t>10.1016/j.marpolbul.2006.04.003</w:t>
        </w:r>
      </w:hyperlink>
      <w:r w:rsidR="00AC5CC9">
        <w:rPr>
          <w:rFonts w:ascii="Times New Roman" w:eastAsia="Times New Roman" w:hAnsi="Times New Roman" w:cs="Times New Roman"/>
          <w:u w:val="single"/>
        </w:rPr>
        <w:t>.</w:t>
      </w:r>
    </w:p>
    <w:p w14:paraId="4F7A46EA" w14:textId="70042183" w:rsidR="009F26E3" w:rsidRPr="00F85381" w:rsidRDefault="00F50BBA" w:rsidP="00261C72">
      <w:pPr>
        <w:spacing w:after="120" w:line="480" w:lineRule="auto"/>
        <w:rPr>
          <w:rFonts w:ascii="Times" w:eastAsia="Times" w:hAnsi="Times" w:cs="Times"/>
          <w:sz w:val="26"/>
          <w:szCs w:val="26"/>
        </w:rPr>
      </w:pPr>
      <w:r w:rsidRPr="00F85381">
        <w:rPr>
          <w:rFonts w:ascii="Times New Roman" w:eastAsia="Times New Roman" w:hAnsi="Times New Roman" w:cs="Times New Roman"/>
        </w:rPr>
        <w:t>Chen, W.B.</w:t>
      </w:r>
      <w:r w:rsidR="00323525" w:rsidRPr="00F85381">
        <w:rPr>
          <w:rFonts w:ascii="Times New Roman" w:eastAsia="Times New Roman" w:hAnsi="Times New Roman" w:cs="Times New Roman"/>
        </w:rPr>
        <w:t>,</w:t>
      </w:r>
      <w:r w:rsidRPr="00F85381">
        <w:rPr>
          <w:rFonts w:ascii="Times New Roman" w:eastAsia="Times New Roman" w:hAnsi="Times New Roman" w:cs="Times New Roman"/>
        </w:rPr>
        <w:t xml:space="preserve"> Liu, W.C., 2015a. Water quality </w:t>
      </w:r>
      <w:proofErr w:type="spellStart"/>
      <w:r w:rsidRPr="00F85381">
        <w:rPr>
          <w:rFonts w:ascii="Times New Roman" w:eastAsia="Times New Roman" w:hAnsi="Times New Roman" w:cs="Times New Roman"/>
        </w:rPr>
        <w:t>modeling</w:t>
      </w:r>
      <w:proofErr w:type="spellEnd"/>
      <w:r w:rsidRPr="00F85381">
        <w:rPr>
          <w:rFonts w:ascii="Times New Roman" w:eastAsia="Times New Roman" w:hAnsi="Times New Roman" w:cs="Times New Roman"/>
        </w:rPr>
        <w:t xml:space="preserve"> in reservoirs using multivariate linear regression and two neural network models, Adv. </w:t>
      </w:r>
      <w:proofErr w:type="spellStart"/>
      <w:r w:rsidRPr="00F85381">
        <w:rPr>
          <w:rFonts w:ascii="Times New Roman" w:eastAsia="Times New Roman" w:hAnsi="Times New Roman" w:cs="Times New Roman"/>
        </w:rPr>
        <w:t>Artif</w:t>
      </w:r>
      <w:proofErr w:type="spellEnd"/>
      <w:r w:rsidRPr="00F85381">
        <w:rPr>
          <w:rFonts w:ascii="Times New Roman" w:eastAsia="Times New Roman" w:hAnsi="Times New Roman" w:cs="Times New Roman"/>
        </w:rPr>
        <w:t xml:space="preserve">. Neural </w:t>
      </w:r>
      <w:proofErr w:type="spellStart"/>
      <w:r w:rsidRPr="00F85381">
        <w:rPr>
          <w:rFonts w:ascii="Times New Roman" w:eastAsia="Times New Roman" w:hAnsi="Times New Roman" w:cs="Times New Roman"/>
        </w:rPr>
        <w:t>Syst</w:t>
      </w:r>
      <w:proofErr w:type="spellEnd"/>
      <w:r w:rsidRPr="00F85381">
        <w:rPr>
          <w:rFonts w:ascii="Times New Roman" w:eastAsia="Times New Roman" w:hAnsi="Times New Roman" w:cs="Times New Roman"/>
        </w:rPr>
        <w:t>, 1–12.</w:t>
      </w:r>
      <w:r w:rsidR="00722184">
        <w:rPr>
          <w:rFonts w:ascii="Times New Roman" w:eastAsia="Times New Roman" w:hAnsi="Times New Roman" w:cs="Times New Roman"/>
        </w:rPr>
        <w:t xml:space="preserve"> doi:</w:t>
      </w:r>
      <w:hyperlink r:id="rId42">
        <w:r w:rsidRPr="00F85381">
          <w:rPr>
            <w:rFonts w:ascii="Times New Roman" w:eastAsia="Times New Roman" w:hAnsi="Times New Roman" w:cs="Times New Roman"/>
            <w:u w:val="single"/>
          </w:rPr>
          <w:t>10.1155/2015/521721</w:t>
        </w:r>
      </w:hyperlink>
      <w:r w:rsidR="00AC5CC9">
        <w:rPr>
          <w:rFonts w:ascii="Times New Roman" w:eastAsia="Times New Roman" w:hAnsi="Times New Roman" w:cs="Times New Roman"/>
          <w:u w:val="single"/>
        </w:rPr>
        <w:t>.</w:t>
      </w:r>
    </w:p>
    <w:p w14:paraId="20FF4C90" w14:textId="1125CFB4"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lastRenderedPageBreak/>
        <w:t>Chen, X.Y., Chau, K.W.</w:t>
      </w:r>
      <w:r w:rsidR="00323525" w:rsidRPr="00F85381">
        <w:rPr>
          <w:rFonts w:ascii="Times New Roman" w:eastAsia="Times New Roman" w:hAnsi="Times New Roman" w:cs="Times New Roman"/>
        </w:rPr>
        <w:t>,</w:t>
      </w:r>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Busari</w:t>
      </w:r>
      <w:proofErr w:type="spellEnd"/>
      <w:r w:rsidRPr="00F85381">
        <w:rPr>
          <w:rFonts w:ascii="Times New Roman" w:eastAsia="Times New Roman" w:hAnsi="Times New Roman" w:cs="Times New Roman"/>
        </w:rPr>
        <w:t xml:space="preserve">, A.O., 2015b. A comparative study of population-based optimization algorithms for downstream river flow forecasting by a hybrid neural network model, Eng. Appl. </w:t>
      </w:r>
      <w:proofErr w:type="spellStart"/>
      <w:r w:rsidRPr="00F85381">
        <w:rPr>
          <w:rFonts w:ascii="Times New Roman" w:eastAsia="Times New Roman" w:hAnsi="Times New Roman" w:cs="Times New Roman"/>
        </w:rPr>
        <w:t>Artif</w:t>
      </w:r>
      <w:proofErr w:type="spellEnd"/>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Intell</w:t>
      </w:r>
      <w:proofErr w:type="spellEnd"/>
      <w:r w:rsidRPr="00F85381">
        <w:rPr>
          <w:rFonts w:ascii="Times New Roman" w:eastAsia="Times New Roman" w:hAnsi="Times New Roman" w:cs="Times New Roman"/>
        </w:rPr>
        <w:t>., 46 (Part A), 258–268.</w:t>
      </w:r>
      <w:r w:rsidR="00417E95">
        <w:rPr>
          <w:rFonts w:ascii="Times New Roman" w:eastAsia="Times New Roman" w:hAnsi="Times New Roman" w:cs="Times New Roman"/>
        </w:rPr>
        <w:t xml:space="preserve"> doi:</w:t>
      </w:r>
      <w:hyperlink r:id="rId43">
        <w:r w:rsidRPr="00F85381">
          <w:rPr>
            <w:rFonts w:ascii="Times New Roman" w:eastAsia="Times New Roman" w:hAnsi="Times New Roman" w:cs="Times New Roman"/>
            <w:u w:val="single"/>
          </w:rPr>
          <w:t>10.1016/j.engappai.2015.09.010</w:t>
        </w:r>
      </w:hyperlink>
      <w:r w:rsidR="00AC5CC9">
        <w:rPr>
          <w:rFonts w:ascii="Times New Roman" w:eastAsia="Times New Roman" w:hAnsi="Times New Roman" w:cs="Times New Roman"/>
          <w:u w:val="single"/>
        </w:rPr>
        <w:t>.</w:t>
      </w:r>
    </w:p>
    <w:p w14:paraId="7D28E3B6" w14:textId="1A0B8CA7" w:rsidR="009F26E3" w:rsidRPr="00F85381" w:rsidRDefault="000B7F85" w:rsidP="00261C72">
      <w:pPr>
        <w:spacing w:after="120" w:line="480" w:lineRule="auto"/>
        <w:rPr>
          <w:rFonts w:ascii="inherit" w:eastAsia="inherit" w:hAnsi="inherit" w:cs="inherit"/>
          <w:b/>
        </w:rPr>
      </w:pPr>
      <w:hyperlink r:id="rId44">
        <w:r w:rsidR="00F50BBA" w:rsidRPr="00F85381">
          <w:rPr>
            <w:rFonts w:ascii="Times New Roman" w:eastAsia="Times New Roman" w:hAnsi="Times New Roman" w:cs="Times New Roman"/>
          </w:rPr>
          <w:t>Chounlamany</w:t>
        </w:r>
      </w:hyperlink>
      <w:r w:rsidR="00F50BBA" w:rsidRPr="00F85381">
        <w:rPr>
          <w:rFonts w:ascii="Times New Roman" w:eastAsia="Times New Roman" w:hAnsi="Times New Roman" w:cs="Times New Roman"/>
        </w:rPr>
        <w:t xml:space="preserve">, V., </w:t>
      </w:r>
      <w:hyperlink r:id="rId45">
        <w:r w:rsidR="00F50BBA" w:rsidRPr="00F85381">
          <w:rPr>
            <w:rFonts w:ascii="Times New Roman" w:eastAsia="Times New Roman" w:hAnsi="Times New Roman" w:cs="Times New Roman"/>
          </w:rPr>
          <w:t>Tanchuling</w:t>
        </w:r>
      </w:hyperlink>
      <w:r w:rsidR="00F50BBA" w:rsidRPr="00F85381">
        <w:rPr>
          <w:rFonts w:ascii="Times New Roman" w:eastAsia="Times New Roman" w:hAnsi="Times New Roman" w:cs="Times New Roman"/>
        </w:rPr>
        <w:t xml:space="preserve">, M.A., </w:t>
      </w:r>
      <w:hyperlink r:id="rId46">
        <w:r w:rsidR="00F50BBA" w:rsidRPr="00F85381">
          <w:rPr>
            <w:rFonts w:ascii="Times New Roman" w:eastAsia="Times New Roman" w:hAnsi="Times New Roman" w:cs="Times New Roman"/>
          </w:rPr>
          <w:t>Inoue</w:t>
        </w:r>
      </w:hyperlink>
      <w:r w:rsidR="00F50BBA" w:rsidRPr="00F85381">
        <w:rPr>
          <w:rFonts w:ascii="Times New Roman" w:eastAsia="Times New Roman" w:hAnsi="Times New Roman" w:cs="Times New Roman"/>
        </w:rPr>
        <w:t xml:space="preserve">, T., 2017. Spatial and temporal variation of water quality of a segment of Marikina River using multivariate statistical methods, Water Sci </w:t>
      </w:r>
      <w:proofErr w:type="spellStart"/>
      <w:r w:rsidR="00F50BBA" w:rsidRPr="00F85381">
        <w:rPr>
          <w:rFonts w:ascii="Times New Roman" w:eastAsia="Times New Roman" w:hAnsi="Times New Roman" w:cs="Times New Roman"/>
        </w:rPr>
        <w:t>Technol</w:t>
      </w:r>
      <w:proofErr w:type="spellEnd"/>
      <w:r w:rsidR="00F50BBA" w:rsidRPr="00F85381">
        <w:rPr>
          <w:rFonts w:ascii="Times New Roman" w:eastAsia="Times New Roman" w:hAnsi="Times New Roman" w:cs="Times New Roman"/>
        </w:rPr>
        <w:t xml:space="preserve"> (2017) 76 (6): 1510-1522.</w:t>
      </w:r>
      <w:r w:rsidR="00417E95">
        <w:rPr>
          <w:rFonts w:ascii="Times New Roman" w:eastAsia="Times New Roman" w:hAnsi="Times New Roman" w:cs="Times New Roman"/>
        </w:rPr>
        <w:t xml:space="preserve"> doi:</w:t>
      </w:r>
      <w:hyperlink r:id="rId47">
        <w:r w:rsidR="00F50BBA" w:rsidRPr="00F85381">
          <w:rPr>
            <w:rFonts w:ascii="Times New Roman" w:eastAsia="Times New Roman" w:hAnsi="Times New Roman" w:cs="Times New Roman"/>
            <w:u w:val="single"/>
          </w:rPr>
          <w:t>10.2166/wst.2017.279</w:t>
        </w:r>
      </w:hyperlink>
      <w:r w:rsidR="00AC5CC9">
        <w:rPr>
          <w:rFonts w:ascii="Times New Roman" w:eastAsia="Times New Roman" w:hAnsi="Times New Roman" w:cs="Times New Roman"/>
          <w:u w:val="single"/>
        </w:rPr>
        <w:t>.</w:t>
      </w:r>
    </w:p>
    <w:p w14:paraId="428B1EA9" w14:textId="2EE58FE4"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Cumming, G.S., 2011. Spatial resilience: integrating landscape ecology, resilience, and sustainability, </w:t>
      </w:r>
      <w:proofErr w:type="spellStart"/>
      <w:r w:rsidRPr="00F85381">
        <w:rPr>
          <w:rFonts w:ascii="Times New Roman" w:eastAsia="Times New Roman" w:hAnsi="Times New Roman" w:cs="Times New Roman"/>
        </w:rPr>
        <w:t>Landsc</w:t>
      </w:r>
      <w:r w:rsidR="00AC5CC9">
        <w:rPr>
          <w:rFonts w:ascii="Times New Roman" w:eastAsia="Times New Roman" w:hAnsi="Times New Roman" w:cs="Times New Roman"/>
        </w:rPr>
        <w:t>.</w:t>
      </w:r>
      <w:r w:rsidRPr="00F85381">
        <w:rPr>
          <w:rFonts w:ascii="Times New Roman" w:eastAsia="Times New Roman" w:hAnsi="Times New Roman" w:cs="Times New Roman"/>
        </w:rPr>
        <w:t>Ecol</w:t>
      </w:r>
      <w:proofErr w:type="spellEnd"/>
      <w:r w:rsidR="00AC5CC9">
        <w:rPr>
          <w:rFonts w:ascii="Times New Roman" w:eastAsia="Times New Roman" w:hAnsi="Times New Roman" w:cs="Times New Roman"/>
        </w:rPr>
        <w:t xml:space="preserve">. </w:t>
      </w:r>
      <w:r w:rsidRPr="00F85381">
        <w:rPr>
          <w:rFonts w:ascii="Times New Roman" w:eastAsia="Times New Roman" w:hAnsi="Times New Roman" w:cs="Times New Roman"/>
        </w:rPr>
        <w:t>26, 899–909.</w:t>
      </w:r>
      <w:r w:rsidR="00417E95">
        <w:rPr>
          <w:rFonts w:ascii="Times New Roman" w:eastAsia="Times New Roman" w:hAnsi="Times New Roman" w:cs="Times New Roman"/>
        </w:rPr>
        <w:t xml:space="preserve"> doi:</w:t>
      </w:r>
      <w:hyperlink r:id="rId48" w:history="1">
        <w:r w:rsidR="00AF477C" w:rsidRPr="00F85381">
          <w:rPr>
            <w:rStyle w:val="Hyperlink"/>
            <w:rFonts w:ascii="Times New Roman" w:hAnsi="Times New Roman" w:cs="Times New Roman"/>
            <w:color w:val="auto"/>
            <w:shd w:val="clear" w:color="auto" w:fill="FCFCFC"/>
          </w:rPr>
          <w:t>10.1007/s10980-011-9623-1</w:t>
        </w:r>
      </w:hyperlink>
      <w:r w:rsidR="00AC5CC9">
        <w:rPr>
          <w:rStyle w:val="Hyperlink"/>
          <w:rFonts w:ascii="Times New Roman" w:hAnsi="Times New Roman" w:cs="Times New Roman"/>
          <w:color w:val="auto"/>
          <w:shd w:val="clear" w:color="auto" w:fill="FCFCFC"/>
        </w:rPr>
        <w:t>.</w:t>
      </w:r>
    </w:p>
    <w:p w14:paraId="6E240E36" w14:textId="490604A0" w:rsidR="009F26E3" w:rsidRPr="00F85381" w:rsidRDefault="00F50BBA" w:rsidP="00261C72">
      <w:pPr>
        <w:spacing w:after="120" w:line="480" w:lineRule="auto"/>
        <w:rPr>
          <w:rFonts w:ascii="Times New Roman" w:eastAsia="Times New Roman" w:hAnsi="Times New Roman" w:cs="Times New Roman"/>
        </w:rPr>
      </w:pPr>
      <w:proofErr w:type="spellStart"/>
      <w:r w:rsidRPr="00F85381">
        <w:rPr>
          <w:rFonts w:ascii="Times New Roman" w:eastAsia="Times New Roman" w:hAnsi="Times New Roman" w:cs="Times New Roman"/>
        </w:rPr>
        <w:t>Dagdeviren</w:t>
      </w:r>
      <w:proofErr w:type="spellEnd"/>
      <w:r w:rsidRPr="00F85381">
        <w:rPr>
          <w:rFonts w:ascii="Times New Roman" w:eastAsia="Times New Roman" w:hAnsi="Times New Roman" w:cs="Times New Roman"/>
        </w:rPr>
        <w:t>, M.</w:t>
      </w:r>
      <w:r w:rsidR="005E4D34" w:rsidRPr="00F85381">
        <w:rPr>
          <w:rFonts w:ascii="Times New Roman" w:eastAsia="Times New Roman" w:hAnsi="Times New Roman" w:cs="Times New Roman"/>
        </w:rPr>
        <w:t>,</w:t>
      </w:r>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Yüksel</w:t>
      </w:r>
      <w:proofErr w:type="spellEnd"/>
      <w:r w:rsidRPr="00F85381">
        <w:rPr>
          <w:rFonts w:ascii="Times New Roman" w:eastAsia="Times New Roman" w:hAnsi="Times New Roman" w:cs="Times New Roman"/>
        </w:rPr>
        <w:t xml:space="preserve">, I., 2008. Developing a Fuzzy Analytic Hierarchy Process (AHP) Model for </w:t>
      </w:r>
      <w:proofErr w:type="spellStart"/>
      <w:r w:rsidRPr="00F85381">
        <w:rPr>
          <w:rFonts w:ascii="Times New Roman" w:eastAsia="Times New Roman" w:hAnsi="Times New Roman" w:cs="Times New Roman"/>
        </w:rPr>
        <w:t>Behavior</w:t>
      </w:r>
      <w:proofErr w:type="spellEnd"/>
      <w:r w:rsidRPr="00F85381">
        <w:rPr>
          <w:rFonts w:ascii="Times New Roman" w:eastAsia="Times New Roman" w:hAnsi="Times New Roman" w:cs="Times New Roman"/>
        </w:rPr>
        <w:t xml:space="preserve">-Based Safety Management, </w:t>
      </w:r>
      <w:proofErr w:type="spellStart"/>
      <w:r w:rsidRPr="00F85381">
        <w:rPr>
          <w:rFonts w:ascii="Times New Roman" w:eastAsia="Times New Roman" w:hAnsi="Times New Roman" w:cs="Times New Roman"/>
        </w:rPr>
        <w:t>Inf</w:t>
      </w:r>
      <w:r w:rsidR="00174B9F">
        <w:rPr>
          <w:rFonts w:ascii="Times New Roman" w:eastAsia="Times New Roman" w:hAnsi="Times New Roman" w:cs="Times New Roman"/>
        </w:rPr>
        <w:t>.</w:t>
      </w:r>
      <w:r w:rsidRPr="00F85381">
        <w:rPr>
          <w:rFonts w:ascii="Times New Roman" w:eastAsia="Times New Roman" w:hAnsi="Times New Roman" w:cs="Times New Roman"/>
        </w:rPr>
        <w:t>Sci</w:t>
      </w:r>
      <w:proofErr w:type="spellEnd"/>
      <w:r w:rsidR="00174B9F">
        <w:rPr>
          <w:rFonts w:ascii="Times New Roman" w:eastAsia="Times New Roman" w:hAnsi="Times New Roman" w:cs="Times New Roman"/>
        </w:rPr>
        <w:t xml:space="preserve">. </w:t>
      </w:r>
      <w:r w:rsidRPr="00F85381">
        <w:rPr>
          <w:rFonts w:ascii="Times New Roman" w:eastAsia="Times New Roman" w:hAnsi="Times New Roman" w:cs="Times New Roman"/>
        </w:rPr>
        <w:t>178, 1717-1733. </w:t>
      </w:r>
      <w:r w:rsidRPr="00F85381">
        <w:rPr>
          <w:rFonts w:ascii="Times New Roman" w:eastAsia="Times New Roman" w:hAnsi="Times New Roman" w:cs="Times New Roman"/>
        </w:rPr>
        <w:br/>
      </w:r>
      <w:r w:rsidR="00417E95" w:rsidRPr="00417E95">
        <w:rPr>
          <w:rFonts w:ascii="Times New Roman" w:hAnsi="Times New Roman" w:cs="Times New Roman"/>
        </w:rPr>
        <w:t>doi:</w:t>
      </w:r>
      <w:hyperlink r:id="rId49">
        <w:r w:rsidRPr="00F85381">
          <w:rPr>
            <w:rFonts w:ascii="Times New Roman" w:eastAsia="Times New Roman" w:hAnsi="Times New Roman" w:cs="Times New Roman"/>
            <w:u w:val="single"/>
          </w:rPr>
          <w:t>10.1016/j.ins.2007.10.016</w:t>
        </w:r>
      </w:hyperlink>
      <w:r w:rsidR="00174B9F">
        <w:rPr>
          <w:rFonts w:ascii="Times New Roman" w:eastAsia="Times New Roman" w:hAnsi="Times New Roman" w:cs="Times New Roman"/>
          <w:u w:val="single"/>
        </w:rPr>
        <w:t>.</w:t>
      </w:r>
    </w:p>
    <w:p w14:paraId="79665E21" w14:textId="1CB9E8CD" w:rsidR="009F26E3" w:rsidRPr="00F85381" w:rsidRDefault="00F50BBA" w:rsidP="00261C72">
      <w:pPr>
        <w:spacing w:after="120" w:line="480" w:lineRule="auto"/>
        <w:rPr>
          <w:rFonts w:ascii="Times New Roman" w:eastAsia="Times New Roman" w:hAnsi="Times New Roman" w:cs="Times New Roman"/>
        </w:rPr>
      </w:pPr>
      <w:proofErr w:type="spellStart"/>
      <w:r w:rsidRPr="00F85381">
        <w:rPr>
          <w:rFonts w:ascii="Times New Roman" w:eastAsia="Times New Roman" w:hAnsi="Times New Roman" w:cs="Times New Roman"/>
        </w:rPr>
        <w:t>Elshemy</w:t>
      </w:r>
      <w:proofErr w:type="spellEnd"/>
      <w:r w:rsidRPr="00F85381">
        <w:rPr>
          <w:rFonts w:ascii="Times New Roman" w:eastAsia="Times New Roman" w:hAnsi="Times New Roman" w:cs="Times New Roman"/>
        </w:rPr>
        <w:t xml:space="preserve">, M., </w:t>
      </w:r>
      <w:proofErr w:type="spellStart"/>
      <w:r w:rsidRPr="00F85381">
        <w:rPr>
          <w:rFonts w:ascii="Times New Roman" w:eastAsia="Times New Roman" w:hAnsi="Times New Roman" w:cs="Times New Roman"/>
        </w:rPr>
        <w:t>Meon</w:t>
      </w:r>
      <w:proofErr w:type="spellEnd"/>
      <w:r w:rsidRPr="00F85381">
        <w:rPr>
          <w:rFonts w:ascii="Times New Roman" w:eastAsia="Times New Roman" w:hAnsi="Times New Roman" w:cs="Times New Roman"/>
        </w:rPr>
        <w:t xml:space="preserve">, G., 2017. Water quality assessment of Aswan high dam reservoir. In: </w:t>
      </w:r>
      <w:proofErr w:type="spellStart"/>
      <w:r w:rsidRPr="00F85381">
        <w:rPr>
          <w:rFonts w:ascii="Times New Roman" w:eastAsia="Times New Roman" w:hAnsi="Times New Roman" w:cs="Times New Roman"/>
        </w:rPr>
        <w:t>Negm</w:t>
      </w:r>
      <w:proofErr w:type="spellEnd"/>
      <w:r w:rsidRPr="00F85381">
        <w:rPr>
          <w:rFonts w:ascii="Times New Roman" w:eastAsia="Times New Roman" w:hAnsi="Times New Roman" w:cs="Times New Roman"/>
        </w:rPr>
        <w:t>, A.M. (Ed.), The Nile River. Springer International Publishing, Cham, 105–143</w:t>
      </w:r>
      <w:r w:rsidR="006D6C11" w:rsidRPr="00F85381">
        <w:rPr>
          <w:rFonts w:ascii="Times New Roman" w:eastAsia="Times New Roman" w:hAnsi="Times New Roman" w:cs="Times New Roman"/>
        </w:rPr>
        <w:t>.</w:t>
      </w:r>
    </w:p>
    <w:p w14:paraId="20790B11" w14:textId="7B94CC78"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Fowler, H.J., </w:t>
      </w:r>
      <w:proofErr w:type="spellStart"/>
      <w:r w:rsidRPr="00F85381">
        <w:rPr>
          <w:rFonts w:ascii="Times New Roman" w:eastAsia="Times New Roman" w:hAnsi="Times New Roman" w:cs="Times New Roman"/>
        </w:rPr>
        <w:t>Kilsby</w:t>
      </w:r>
      <w:proofErr w:type="spellEnd"/>
      <w:r w:rsidRPr="00F85381">
        <w:rPr>
          <w:rFonts w:ascii="Times New Roman" w:eastAsia="Times New Roman" w:hAnsi="Times New Roman" w:cs="Times New Roman"/>
        </w:rPr>
        <w:t xml:space="preserve">, C.G., O’Connell, P.E., 2003. </w:t>
      </w:r>
      <w:proofErr w:type="spellStart"/>
      <w:r w:rsidRPr="00F85381">
        <w:rPr>
          <w:rFonts w:ascii="Times New Roman" w:eastAsia="Times New Roman" w:hAnsi="Times New Roman" w:cs="Times New Roman"/>
        </w:rPr>
        <w:t>Modeling</w:t>
      </w:r>
      <w:proofErr w:type="spellEnd"/>
      <w:r w:rsidRPr="00F85381">
        <w:rPr>
          <w:rFonts w:ascii="Times New Roman" w:eastAsia="Times New Roman" w:hAnsi="Times New Roman" w:cs="Times New Roman"/>
        </w:rPr>
        <w:t xml:space="preserve"> the impacts of climatic change and variability on the reliability, resilience, and vulnerability of a water resource system. Water </w:t>
      </w:r>
      <w:proofErr w:type="spellStart"/>
      <w:r w:rsidRPr="00F85381">
        <w:rPr>
          <w:rFonts w:ascii="Times New Roman" w:eastAsia="Times New Roman" w:hAnsi="Times New Roman" w:cs="Times New Roman"/>
        </w:rPr>
        <w:t>Resour</w:t>
      </w:r>
      <w:proofErr w:type="spellEnd"/>
      <w:r w:rsidRPr="00F85381">
        <w:rPr>
          <w:rFonts w:ascii="Times New Roman" w:eastAsia="Times New Roman" w:hAnsi="Times New Roman" w:cs="Times New Roman"/>
        </w:rPr>
        <w:t xml:space="preserve">. Res. 39 (8), 1222. </w:t>
      </w:r>
      <w:hyperlink r:id="rId50">
        <w:r w:rsidR="007A2B4C" w:rsidRPr="007A2B4C">
          <w:rPr>
            <w:rFonts w:ascii="Times New Roman" w:eastAsia="Times New Roman" w:hAnsi="Times New Roman" w:cs="Times New Roman"/>
          </w:rPr>
          <w:t>doi:</w:t>
        </w:r>
        <w:r w:rsidRPr="00F85381">
          <w:rPr>
            <w:rFonts w:ascii="Times New Roman" w:eastAsia="Times New Roman" w:hAnsi="Times New Roman" w:cs="Times New Roman"/>
            <w:u w:val="single"/>
          </w:rPr>
          <w:t>10.1029/2002WR001778</w:t>
        </w:r>
      </w:hyperlink>
      <w:r w:rsidR="007A2B4C">
        <w:rPr>
          <w:rFonts w:ascii="Times New Roman" w:eastAsia="Times New Roman" w:hAnsi="Times New Roman" w:cs="Times New Roman"/>
          <w:u w:val="single"/>
        </w:rPr>
        <w:t>.</w:t>
      </w:r>
    </w:p>
    <w:p w14:paraId="01D0E559" w14:textId="0DEDF3D1" w:rsidR="00321C3B" w:rsidRPr="00F85381" w:rsidRDefault="00F50BBA" w:rsidP="00261C72">
      <w:pPr>
        <w:spacing w:line="480" w:lineRule="auto"/>
        <w:rPr>
          <w:rFonts w:ascii="Times New Roman" w:hAnsi="Times New Roman" w:cs="Times New Roman"/>
        </w:rPr>
      </w:pPr>
      <w:proofErr w:type="spellStart"/>
      <w:r w:rsidRPr="00F85381">
        <w:rPr>
          <w:rFonts w:ascii="Times New Roman" w:eastAsia="Times New Roman" w:hAnsi="Times New Roman" w:cs="Times New Roman"/>
        </w:rPr>
        <w:t>Gazzaz</w:t>
      </w:r>
      <w:proofErr w:type="spellEnd"/>
      <w:r w:rsidRPr="00F85381">
        <w:rPr>
          <w:rFonts w:ascii="Times New Roman" w:eastAsia="Times New Roman" w:hAnsi="Times New Roman" w:cs="Times New Roman"/>
        </w:rPr>
        <w:t xml:space="preserve">, N.M., </w:t>
      </w:r>
      <w:proofErr w:type="spellStart"/>
      <w:r w:rsidRPr="00F85381">
        <w:rPr>
          <w:rFonts w:ascii="Times New Roman" w:eastAsia="Times New Roman" w:hAnsi="Times New Roman" w:cs="Times New Roman"/>
        </w:rPr>
        <w:t>Yousoff</w:t>
      </w:r>
      <w:proofErr w:type="spellEnd"/>
      <w:r w:rsidRPr="00F85381">
        <w:rPr>
          <w:rFonts w:ascii="Times New Roman" w:eastAsia="Times New Roman" w:hAnsi="Times New Roman" w:cs="Times New Roman"/>
        </w:rPr>
        <w:t xml:space="preserve">, M.K., Ramli, M.F., </w:t>
      </w:r>
      <w:proofErr w:type="spellStart"/>
      <w:r w:rsidRPr="00F85381">
        <w:rPr>
          <w:rFonts w:ascii="Times New Roman" w:eastAsia="Times New Roman" w:hAnsi="Times New Roman" w:cs="Times New Roman"/>
        </w:rPr>
        <w:t>Juahir</w:t>
      </w:r>
      <w:proofErr w:type="spellEnd"/>
      <w:r w:rsidRPr="00F85381">
        <w:rPr>
          <w:rFonts w:ascii="Times New Roman" w:eastAsia="Times New Roman" w:hAnsi="Times New Roman" w:cs="Times New Roman"/>
        </w:rPr>
        <w:t>, H.</w:t>
      </w:r>
      <w:r w:rsidR="006D680A" w:rsidRPr="00F85381">
        <w:rPr>
          <w:rFonts w:ascii="Times New Roman" w:eastAsia="Times New Roman" w:hAnsi="Times New Roman" w:cs="Times New Roman"/>
        </w:rPr>
        <w:t>,</w:t>
      </w:r>
      <w:r w:rsidRPr="00F85381">
        <w:rPr>
          <w:rFonts w:ascii="Times New Roman" w:eastAsia="Times New Roman" w:hAnsi="Times New Roman" w:cs="Times New Roman"/>
        </w:rPr>
        <w:t xml:space="preserve"> Aris, A.Z., 2015. A</w:t>
      </w:r>
      <w:r w:rsidR="00321C3B" w:rsidRPr="00F85381">
        <w:rPr>
          <w:rFonts w:ascii="Times New Roman" w:eastAsia="Times New Roman" w:hAnsi="Times New Roman" w:cs="Times New Roman"/>
        </w:rPr>
        <w:t xml:space="preserve">rtificial </w:t>
      </w:r>
      <w:r w:rsidRPr="00F85381">
        <w:rPr>
          <w:rFonts w:ascii="Times New Roman" w:eastAsia="Times New Roman" w:hAnsi="Times New Roman" w:cs="Times New Roman"/>
        </w:rPr>
        <w:t>N</w:t>
      </w:r>
      <w:r w:rsidR="00321C3B" w:rsidRPr="00F85381">
        <w:rPr>
          <w:rFonts w:ascii="Times New Roman" w:eastAsia="Times New Roman" w:hAnsi="Times New Roman" w:cs="Times New Roman"/>
        </w:rPr>
        <w:t xml:space="preserve">eural </w:t>
      </w:r>
      <w:r w:rsidRPr="00F85381">
        <w:rPr>
          <w:rFonts w:ascii="Times New Roman" w:eastAsia="Times New Roman" w:hAnsi="Times New Roman" w:cs="Times New Roman"/>
        </w:rPr>
        <w:t>N</w:t>
      </w:r>
      <w:r w:rsidR="00321C3B" w:rsidRPr="00F85381">
        <w:rPr>
          <w:rFonts w:ascii="Times New Roman" w:eastAsia="Times New Roman" w:hAnsi="Times New Roman" w:cs="Times New Roman"/>
        </w:rPr>
        <w:t>etwork</w:t>
      </w:r>
      <w:r w:rsidRPr="00F85381">
        <w:rPr>
          <w:rFonts w:ascii="Times New Roman" w:eastAsia="Times New Roman" w:hAnsi="Times New Roman" w:cs="Times New Roman"/>
        </w:rPr>
        <w:t xml:space="preserve"> </w:t>
      </w:r>
      <w:proofErr w:type="spellStart"/>
      <w:r w:rsidR="00657283" w:rsidRPr="00F85381">
        <w:rPr>
          <w:rFonts w:ascii="Times New Roman" w:eastAsia="Times New Roman" w:hAnsi="Times New Roman" w:cs="Times New Roman"/>
        </w:rPr>
        <w:t>modeling</w:t>
      </w:r>
      <w:proofErr w:type="spellEnd"/>
      <w:r w:rsidRPr="00F85381">
        <w:rPr>
          <w:rFonts w:ascii="Times New Roman" w:eastAsia="Times New Roman" w:hAnsi="Times New Roman" w:cs="Times New Roman"/>
        </w:rPr>
        <w:t xml:space="preserve"> of the </w:t>
      </w:r>
      <w:r w:rsidR="00321C3B" w:rsidRPr="00F85381">
        <w:rPr>
          <w:rFonts w:ascii="Times New Roman" w:eastAsia="Times New Roman" w:hAnsi="Times New Roman" w:cs="Times New Roman"/>
        </w:rPr>
        <w:t xml:space="preserve">water quality </w:t>
      </w:r>
      <w:r w:rsidRPr="00F85381">
        <w:rPr>
          <w:rFonts w:ascii="Times New Roman" w:eastAsia="Times New Roman" w:hAnsi="Times New Roman" w:cs="Times New Roman"/>
        </w:rPr>
        <w:t>index using land</w:t>
      </w:r>
      <w:r w:rsidR="00321C3B" w:rsidRPr="00F85381">
        <w:rPr>
          <w:rFonts w:ascii="Times New Roman" w:eastAsia="Times New Roman" w:hAnsi="Times New Roman" w:cs="Times New Roman"/>
        </w:rPr>
        <w:t xml:space="preserve"> </w:t>
      </w:r>
      <w:r w:rsidRPr="00F85381">
        <w:rPr>
          <w:rFonts w:ascii="Times New Roman" w:eastAsia="Times New Roman" w:hAnsi="Times New Roman" w:cs="Times New Roman"/>
        </w:rPr>
        <w:t>use areas as predictors</w:t>
      </w:r>
      <w:r w:rsidR="009C425A">
        <w:rPr>
          <w:rFonts w:ascii="Times New Roman" w:eastAsia="Times New Roman" w:hAnsi="Times New Roman" w:cs="Times New Roman"/>
        </w:rPr>
        <w:t>.</w:t>
      </w:r>
      <w:r w:rsidRPr="00F85381">
        <w:rPr>
          <w:rFonts w:ascii="Times New Roman" w:eastAsia="Times New Roman" w:hAnsi="Times New Roman" w:cs="Times New Roman"/>
        </w:rPr>
        <w:t xml:space="preserve"> </w:t>
      </w:r>
      <w:hyperlink r:id="rId51" w:history="1">
        <w:r w:rsidR="009C425A" w:rsidRPr="000D4A4A">
          <w:rPr>
            <w:rStyle w:val="Hyperlink"/>
            <w:rFonts w:ascii="Times New Roman" w:eastAsia="Times New Roman" w:hAnsi="Times New Roman" w:cs="Times New Roman"/>
          </w:rPr>
          <w:t>Water Environ. Res.</w:t>
        </w:r>
      </w:hyperlink>
      <w:r w:rsidRPr="00F85381">
        <w:rPr>
          <w:rFonts w:ascii="Times New Roman" w:eastAsia="Times New Roman" w:hAnsi="Times New Roman" w:cs="Times New Roman"/>
        </w:rPr>
        <w:t xml:space="preserve"> 87(2), 99-112. </w:t>
      </w:r>
      <w:r w:rsidR="008E0F40">
        <w:rPr>
          <w:rFonts w:ascii="Times New Roman" w:eastAsia="Times New Roman" w:hAnsi="Times New Roman" w:cs="Times New Roman"/>
        </w:rPr>
        <w:t>doi:</w:t>
      </w:r>
      <w:hyperlink r:id="rId52" w:history="1">
        <w:r w:rsidR="008E0F40" w:rsidRPr="000D4A4A">
          <w:rPr>
            <w:rStyle w:val="Hyperlink"/>
            <w:rFonts w:ascii="Times New Roman" w:hAnsi="Times New Roman" w:cs="Times New Roman"/>
            <w:bCs/>
          </w:rPr>
          <w:t>10.2175/106143014X14062131179276</w:t>
        </w:r>
      </w:hyperlink>
      <w:r w:rsidR="009C425A">
        <w:rPr>
          <w:rStyle w:val="Hyperlink"/>
          <w:rFonts w:ascii="Times New Roman" w:hAnsi="Times New Roman" w:cs="Times New Roman"/>
          <w:bCs/>
          <w:color w:val="auto"/>
        </w:rPr>
        <w:t>.</w:t>
      </w:r>
    </w:p>
    <w:p w14:paraId="6E9AF0EF" w14:textId="2D11E8DD" w:rsidR="009F26E3" w:rsidRPr="00F85381" w:rsidRDefault="00F50BBA" w:rsidP="00261C72">
      <w:pPr>
        <w:spacing w:after="120" w:line="480" w:lineRule="auto"/>
        <w:rPr>
          <w:sz w:val="17"/>
          <w:szCs w:val="17"/>
        </w:rPr>
      </w:pPr>
      <w:r w:rsidRPr="00F85381">
        <w:rPr>
          <w:rFonts w:ascii="Times New Roman" w:eastAsia="Times New Roman" w:hAnsi="Times New Roman" w:cs="Times New Roman"/>
        </w:rPr>
        <w:t>Ha, H.</w:t>
      </w:r>
      <w:r w:rsidR="006D680A" w:rsidRPr="00F85381">
        <w:rPr>
          <w:rFonts w:ascii="Times New Roman" w:eastAsia="Times New Roman" w:hAnsi="Times New Roman" w:cs="Times New Roman"/>
        </w:rPr>
        <w:t>,</w:t>
      </w:r>
      <w:r w:rsidRPr="00F85381">
        <w:rPr>
          <w:rFonts w:ascii="Times New Roman" w:eastAsia="Times New Roman" w:hAnsi="Times New Roman" w:cs="Times New Roman"/>
        </w:rPr>
        <w:t> </w:t>
      </w:r>
      <w:proofErr w:type="spellStart"/>
      <w:r w:rsidRPr="00F85381">
        <w:rPr>
          <w:rFonts w:ascii="Times New Roman" w:eastAsia="Times New Roman" w:hAnsi="Times New Roman" w:cs="Times New Roman"/>
        </w:rPr>
        <w:t>Stenstrom</w:t>
      </w:r>
      <w:proofErr w:type="spellEnd"/>
      <w:r w:rsidRPr="00F85381">
        <w:rPr>
          <w:rFonts w:ascii="Times New Roman" w:eastAsia="Times New Roman" w:hAnsi="Times New Roman" w:cs="Times New Roman"/>
        </w:rPr>
        <w:t>, M.K., 2003. Identification of land use with water quality data in storm water using a neural network, Water Res</w:t>
      </w:r>
      <w:r w:rsidR="00567EB7">
        <w:rPr>
          <w:rFonts w:ascii="Times New Roman" w:eastAsia="Times New Roman" w:hAnsi="Times New Roman" w:cs="Times New Roman"/>
        </w:rPr>
        <w:t>.</w:t>
      </w:r>
      <w:r w:rsidRPr="00F85381">
        <w:rPr>
          <w:rFonts w:ascii="Times New Roman" w:eastAsia="Times New Roman" w:hAnsi="Times New Roman" w:cs="Times New Roman"/>
        </w:rPr>
        <w:t xml:space="preserve"> 37, 4222-4230. </w:t>
      </w:r>
      <w:r w:rsidR="008E0F40">
        <w:rPr>
          <w:rFonts w:ascii="Times New Roman" w:eastAsia="Times New Roman" w:hAnsi="Times New Roman" w:cs="Times New Roman"/>
        </w:rPr>
        <w:t>doi</w:t>
      </w:r>
      <w:r w:rsidRPr="00F85381">
        <w:rPr>
          <w:rFonts w:ascii="Times New Roman" w:eastAsia="Times New Roman" w:hAnsi="Times New Roman" w:cs="Times New Roman"/>
        </w:rPr>
        <w:t>:</w:t>
      </w:r>
      <w:hyperlink r:id="rId53">
        <w:r w:rsidRPr="00F85381">
          <w:rPr>
            <w:rFonts w:ascii="Times New Roman" w:eastAsia="Times New Roman" w:hAnsi="Times New Roman" w:cs="Times New Roman"/>
            <w:u w:val="single"/>
          </w:rPr>
          <w:t>10.1016/S0043-1354(03)00344-0</w:t>
        </w:r>
      </w:hyperlink>
      <w:r w:rsidR="00567EB7">
        <w:rPr>
          <w:rFonts w:ascii="Times New Roman" w:eastAsia="Times New Roman" w:hAnsi="Times New Roman" w:cs="Times New Roman"/>
          <w:u w:val="single"/>
        </w:rPr>
        <w:t>.</w:t>
      </w:r>
    </w:p>
    <w:p w14:paraId="4919EF92" w14:textId="428D7097" w:rsidR="009F26E3" w:rsidRPr="00F85381" w:rsidRDefault="00F50BBA" w:rsidP="00261C72">
      <w:pPr>
        <w:spacing w:after="120" w:line="480" w:lineRule="auto"/>
        <w:rPr>
          <w:rStyle w:val="Hyperlink"/>
          <w:rFonts w:ascii="Times New Roman" w:hAnsi="Times New Roman" w:cs="Times New Roman"/>
          <w:color w:val="auto"/>
          <w:shd w:val="clear" w:color="auto" w:fill="FFFFFF"/>
        </w:rPr>
      </w:pPr>
      <w:r w:rsidRPr="00F85381">
        <w:rPr>
          <w:rFonts w:ascii="Times New Roman" w:eastAsia="Times New Roman" w:hAnsi="Times New Roman" w:cs="Times New Roman"/>
        </w:rPr>
        <w:t>Hart, B.T., Lake, P.S., Webb, J.A.</w:t>
      </w:r>
      <w:r w:rsidR="006D680A" w:rsidRPr="00F85381">
        <w:rPr>
          <w:rFonts w:ascii="Times New Roman" w:eastAsia="Times New Roman" w:hAnsi="Times New Roman" w:cs="Times New Roman"/>
        </w:rPr>
        <w:t>,</w:t>
      </w:r>
      <w:r w:rsidRPr="00F85381">
        <w:rPr>
          <w:rFonts w:ascii="Times New Roman" w:eastAsia="Times New Roman" w:hAnsi="Times New Roman" w:cs="Times New Roman"/>
        </w:rPr>
        <w:t xml:space="preserve"> Grace, M.R., 2003. Ecological risks to aquatic systems from salinity increases, Aust</w:t>
      </w:r>
      <w:r w:rsidR="00567EB7">
        <w:rPr>
          <w:rFonts w:ascii="Times New Roman" w:eastAsia="Times New Roman" w:hAnsi="Times New Roman" w:cs="Times New Roman"/>
        </w:rPr>
        <w:t>.</w:t>
      </w:r>
      <w:r w:rsidR="00970D36">
        <w:rPr>
          <w:rFonts w:ascii="Times New Roman" w:eastAsia="Times New Roman" w:hAnsi="Times New Roman" w:cs="Times New Roman"/>
        </w:rPr>
        <w:t xml:space="preserve"> </w:t>
      </w:r>
      <w:r w:rsidRPr="00F85381">
        <w:rPr>
          <w:rFonts w:ascii="Times New Roman" w:eastAsia="Times New Roman" w:hAnsi="Times New Roman" w:cs="Times New Roman"/>
        </w:rPr>
        <w:t>J</w:t>
      </w:r>
      <w:r w:rsidR="00970D36">
        <w:rPr>
          <w:rFonts w:ascii="Times New Roman" w:eastAsia="Times New Roman" w:hAnsi="Times New Roman" w:cs="Times New Roman"/>
        </w:rPr>
        <w:t xml:space="preserve">. </w:t>
      </w:r>
      <w:r w:rsidRPr="00F85381">
        <w:rPr>
          <w:rFonts w:ascii="Times New Roman" w:eastAsia="Times New Roman" w:hAnsi="Times New Roman" w:cs="Times New Roman"/>
        </w:rPr>
        <w:t>Bot</w:t>
      </w:r>
      <w:r w:rsidR="00970D36">
        <w:rPr>
          <w:rFonts w:ascii="Times New Roman" w:eastAsia="Times New Roman" w:hAnsi="Times New Roman" w:cs="Times New Roman"/>
        </w:rPr>
        <w:t>.</w:t>
      </w:r>
      <w:r w:rsidRPr="00F85381">
        <w:rPr>
          <w:rFonts w:ascii="Times New Roman" w:eastAsia="Times New Roman" w:hAnsi="Times New Roman" w:cs="Times New Roman"/>
        </w:rPr>
        <w:t xml:space="preserve"> 51 (6), 689-702.</w:t>
      </w:r>
      <w:r w:rsidR="00517648">
        <w:rPr>
          <w:rFonts w:ascii="Times New Roman" w:eastAsia="Times New Roman" w:hAnsi="Times New Roman" w:cs="Times New Roman"/>
        </w:rPr>
        <w:t xml:space="preserve"> doi:</w:t>
      </w:r>
      <w:hyperlink r:id="rId54" w:history="1">
        <w:r w:rsidR="007F0F87" w:rsidRPr="00F85381">
          <w:rPr>
            <w:rStyle w:val="Hyperlink"/>
            <w:rFonts w:ascii="Times New Roman" w:hAnsi="Times New Roman" w:cs="Times New Roman"/>
            <w:color w:val="auto"/>
            <w:shd w:val="clear" w:color="auto" w:fill="FFFFFF"/>
          </w:rPr>
          <w:t>10.1071/BT02111</w:t>
        </w:r>
      </w:hyperlink>
      <w:r w:rsidR="00970D36">
        <w:rPr>
          <w:rStyle w:val="Hyperlink"/>
          <w:rFonts w:ascii="Times New Roman" w:hAnsi="Times New Roman" w:cs="Times New Roman"/>
          <w:color w:val="auto"/>
          <w:shd w:val="clear" w:color="auto" w:fill="FFFFFF"/>
        </w:rPr>
        <w:t>.</w:t>
      </w:r>
    </w:p>
    <w:p w14:paraId="71E01595" w14:textId="7F000D27" w:rsidR="002A0A46" w:rsidRPr="00F85381" w:rsidRDefault="002A0A46" w:rsidP="00261C72">
      <w:pPr>
        <w:spacing w:after="120" w:line="480" w:lineRule="auto"/>
        <w:rPr>
          <w:rFonts w:ascii="Times New Roman" w:hAnsi="Times New Roman" w:cs="Times New Roman"/>
          <w:shd w:val="clear" w:color="auto" w:fill="FFFFFF"/>
        </w:rPr>
      </w:pPr>
      <w:r w:rsidRPr="00F85381">
        <w:rPr>
          <w:rFonts w:ascii="Times New Roman" w:hAnsi="Times New Roman" w:cs="Times New Roman"/>
          <w:shd w:val="clear" w:color="auto" w:fill="FFFFFF"/>
        </w:rPr>
        <w:t>Hasan, M. (2020). An Intelligent Decision-making Scheme in a Dynamic Multi-objective Environment using Deep Reinforcement Learning.</w:t>
      </w:r>
    </w:p>
    <w:p w14:paraId="04B5BE4B" w14:textId="16770E97" w:rsidR="007F0F87" w:rsidRDefault="007F0F87" w:rsidP="00261C72">
      <w:pPr>
        <w:spacing w:after="120" w:line="480" w:lineRule="auto"/>
        <w:rPr>
          <w:rStyle w:val="Hyperlink"/>
          <w:rFonts w:ascii="Times New Roman" w:hAnsi="Times New Roman" w:cs="Times New Roman"/>
          <w:color w:val="auto"/>
          <w:shd w:val="clear" w:color="auto" w:fill="FFFFFF"/>
        </w:rPr>
      </w:pPr>
      <w:r w:rsidRPr="00F85381">
        <w:rPr>
          <w:rFonts w:ascii="Times New Roman" w:eastAsia="Times New Roman" w:hAnsi="Times New Roman" w:cs="Times New Roman"/>
        </w:rPr>
        <w:lastRenderedPageBreak/>
        <w:t xml:space="preserve">Hasan, M.M., Lwin, K., Imani, M., Shabut, A., </w:t>
      </w:r>
      <w:proofErr w:type="spellStart"/>
      <w:r w:rsidRPr="00F85381">
        <w:rPr>
          <w:rFonts w:ascii="Times New Roman" w:eastAsia="Times New Roman" w:hAnsi="Times New Roman" w:cs="Times New Roman"/>
        </w:rPr>
        <w:t>Bittencourt</w:t>
      </w:r>
      <w:proofErr w:type="spellEnd"/>
      <w:r w:rsidRPr="00F85381">
        <w:rPr>
          <w:rFonts w:ascii="Times New Roman" w:eastAsia="Times New Roman" w:hAnsi="Times New Roman" w:cs="Times New Roman"/>
        </w:rPr>
        <w:t xml:space="preserve">, L.F., Hossain, A. 2019. Dynamic multi-objective optimisation using deep reinforcement learning: benchmark, </w:t>
      </w:r>
      <w:proofErr w:type="gramStart"/>
      <w:r w:rsidRPr="00F85381">
        <w:rPr>
          <w:rFonts w:ascii="Times New Roman" w:eastAsia="Times New Roman" w:hAnsi="Times New Roman" w:cs="Times New Roman"/>
        </w:rPr>
        <w:t>algorithm</w:t>
      </w:r>
      <w:proofErr w:type="gramEnd"/>
      <w:r w:rsidRPr="00F85381">
        <w:rPr>
          <w:rFonts w:ascii="Times New Roman" w:eastAsia="Times New Roman" w:hAnsi="Times New Roman" w:cs="Times New Roman"/>
        </w:rPr>
        <w:t xml:space="preserve"> and an application to identify vulnerable zones based on water quality. </w:t>
      </w:r>
      <w:r w:rsidRPr="004F4F77">
        <w:rPr>
          <w:rFonts w:ascii="Times New Roman" w:eastAsia="Times New Roman" w:hAnsi="Times New Roman" w:cs="Times New Roman"/>
        </w:rPr>
        <w:t>Eng</w:t>
      </w:r>
      <w:r w:rsidR="004F4F77" w:rsidRPr="004F4F77">
        <w:rPr>
          <w:rFonts w:ascii="Times New Roman" w:eastAsia="Times New Roman" w:hAnsi="Times New Roman" w:cs="Times New Roman"/>
        </w:rPr>
        <w:t>.</w:t>
      </w:r>
      <w:r w:rsidRPr="004F4F77">
        <w:rPr>
          <w:rFonts w:ascii="Times New Roman" w:eastAsia="Times New Roman" w:hAnsi="Times New Roman" w:cs="Times New Roman"/>
        </w:rPr>
        <w:t xml:space="preserve"> Appl</w:t>
      </w:r>
      <w:r w:rsidR="004F4F77" w:rsidRPr="004F4F77">
        <w:rPr>
          <w:rFonts w:ascii="Times New Roman" w:eastAsia="Times New Roman" w:hAnsi="Times New Roman" w:cs="Times New Roman"/>
        </w:rPr>
        <w:t xml:space="preserve">. </w:t>
      </w:r>
      <w:proofErr w:type="spellStart"/>
      <w:r w:rsidRPr="004F4F77">
        <w:rPr>
          <w:rFonts w:ascii="Times New Roman" w:eastAsia="Times New Roman" w:hAnsi="Times New Roman" w:cs="Times New Roman"/>
        </w:rPr>
        <w:t>Artif</w:t>
      </w:r>
      <w:proofErr w:type="spellEnd"/>
      <w:r w:rsidR="004F4F77" w:rsidRPr="004F4F77">
        <w:rPr>
          <w:rFonts w:ascii="Times New Roman" w:eastAsia="Times New Roman" w:hAnsi="Times New Roman" w:cs="Times New Roman"/>
        </w:rPr>
        <w:t xml:space="preserve">. </w:t>
      </w:r>
      <w:proofErr w:type="spellStart"/>
      <w:r w:rsidRPr="004F4F77">
        <w:rPr>
          <w:rFonts w:ascii="Times New Roman" w:eastAsia="Times New Roman" w:hAnsi="Times New Roman" w:cs="Times New Roman"/>
        </w:rPr>
        <w:t>Intell</w:t>
      </w:r>
      <w:proofErr w:type="spellEnd"/>
      <w:r w:rsidR="004F4F77" w:rsidRPr="004F4F77">
        <w:rPr>
          <w:rFonts w:ascii="Times New Roman" w:eastAsia="Times New Roman" w:hAnsi="Times New Roman" w:cs="Times New Roman"/>
        </w:rPr>
        <w:t>.</w:t>
      </w:r>
      <w:r w:rsidRPr="004F4F77">
        <w:rPr>
          <w:rFonts w:ascii="Times New Roman" w:eastAsia="Times New Roman" w:hAnsi="Times New Roman" w:cs="Times New Roman"/>
        </w:rPr>
        <w:t> 86</w:t>
      </w:r>
      <w:r w:rsidRPr="00F85381">
        <w:rPr>
          <w:rFonts w:ascii="Times New Roman" w:eastAsia="Times New Roman" w:hAnsi="Times New Roman" w:cs="Times New Roman"/>
        </w:rPr>
        <w:t>, 107-135.</w:t>
      </w:r>
      <w:r w:rsidR="00517648">
        <w:rPr>
          <w:rFonts w:ascii="Times New Roman" w:eastAsia="Times New Roman" w:hAnsi="Times New Roman" w:cs="Times New Roman"/>
        </w:rPr>
        <w:t xml:space="preserve"> doi:</w:t>
      </w:r>
      <w:hyperlink r:id="rId55" w:history="1">
        <w:r w:rsidRPr="00F85381">
          <w:rPr>
            <w:rStyle w:val="Hyperlink"/>
            <w:rFonts w:ascii="Times New Roman" w:hAnsi="Times New Roman" w:cs="Times New Roman"/>
            <w:color w:val="auto"/>
            <w:shd w:val="clear" w:color="auto" w:fill="FFFFFF"/>
          </w:rPr>
          <w:t>10.1016/j.engappai.2019.08.014</w:t>
        </w:r>
      </w:hyperlink>
      <w:r w:rsidR="00C56DFE">
        <w:rPr>
          <w:rStyle w:val="Hyperlink"/>
          <w:rFonts w:ascii="Times New Roman" w:hAnsi="Times New Roman" w:cs="Times New Roman"/>
          <w:color w:val="auto"/>
          <w:shd w:val="clear" w:color="auto" w:fill="FFFFFF"/>
        </w:rPr>
        <w:t>.</w:t>
      </w:r>
    </w:p>
    <w:p w14:paraId="7E0BCFA9" w14:textId="1AD25FDF" w:rsidR="00AE5A17" w:rsidRPr="00AE5A17" w:rsidRDefault="00AE5A17" w:rsidP="00AE5A17">
      <w:pPr>
        <w:spacing w:after="120" w:line="480" w:lineRule="auto"/>
        <w:rPr>
          <w:rFonts w:ascii="Times New Roman" w:hAnsi="Times New Roman" w:cs="Times New Roman"/>
          <w:shd w:val="clear" w:color="auto" w:fill="FFFFFF"/>
        </w:rPr>
      </w:pPr>
      <w:r w:rsidRPr="00AE5A17">
        <w:rPr>
          <w:rFonts w:ascii="Times New Roman" w:hAnsi="Times New Roman" w:cs="Times New Roman"/>
          <w:shd w:val="clear" w:color="auto" w:fill="FFFFFF"/>
        </w:rPr>
        <w:t xml:space="preserve">Hashimoto, T., Loucks, D.P., </w:t>
      </w:r>
      <w:proofErr w:type="spellStart"/>
      <w:r w:rsidRPr="00AE5A17">
        <w:rPr>
          <w:rFonts w:ascii="Times New Roman" w:hAnsi="Times New Roman" w:cs="Times New Roman"/>
          <w:shd w:val="clear" w:color="auto" w:fill="FFFFFF"/>
        </w:rPr>
        <w:t>Stedinger</w:t>
      </w:r>
      <w:proofErr w:type="spellEnd"/>
      <w:r w:rsidRPr="00AE5A17">
        <w:rPr>
          <w:rFonts w:ascii="Times New Roman" w:hAnsi="Times New Roman" w:cs="Times New Roman"/>
          <w:shd w:val="clear" w:color="auto" w:fill="FFFFFF"/>
        </w:rPr>
        <w:t xml:space="preserve">, J., 1982. Reliability, </w:t>
      </w:r>
      <w:proofErr w:type="gramStart"/>
      <w:r w:rsidRPr="00AE5A17">
        <w:rPr>
          <w:rFonts w:ascii="Times New Roman" w:hAnsi="Times New Roman" w:cs="Times New Roman"/>
          <w:shd w:val="clear" w:color="auto" w:fill="FFFFFF"/>
        </w:rPr>
        <w:t>resilience</w:t>
      </w:r>
      <w:proofErr w:type="gramEnd"/>
      <w:r w:rsidRPr="00AE5A17">
        <w:rPr>
          <w:rFonts w:ascii="Times New Roman" w:hAnsi="Times New Roman" w:cs="Times New Roman"/>
          <w:shd w:val="clear" w:color="auto" w:fill="FFFFFF"/>
        </w:rPr>
        <w:t xml:space="preserve"> and vulnerability for water resources system performance evaluation. Water </w:t>
      </w:r>
      <w:proofErr w:type="spellStart"/>
      <w:r w:rsidRPr="00AE5A17">
        <w:rPr>
          <w:rFonts w:ascii="Times New Roman" w:hAnsi="Times New Roman" w:cs="Times New Roman"/>
          <w:shd w:val="clear" w:color="auto" w:fill="FFFFFF"/>
        </w:rPr>
        <w:t>Resour</w:t>
      </w:r>
      <w:proofErr w:type="spellEnd"/>
      <w:r w:rsidRPr="00AE5A17">
        <w:rPr>
          <w:rFonts w:ascii="Times New Roman" w:hAnsi="Times New Roman" w:cs="Times New Roman"/>
          <w:shd w:val="clear" w:color="auto" w:fill="FFFFFF"/>
        </w:rPr>
        <w:t>. Res. 18 (1), 14–20.</w:t>
      </w:r>
    </w:p>
    <w:p w14:paraId="030884E4" w14:textId="5C59F16B"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Hoque, Y.M., Tripathi, S., </w:t>
      </w:r>
      <w:proofErr w:type="spellStart"/>
      <w:r w:rsidRPr="00F85381">
        <w:rPr>
          <w:rFonts w:ascii="Times New Roman" w:eastAsia="Times New Roman" w:hAnsi="Times New Roman" w:cs="Times New Roman"/>
        </w:rPr>
        <w:t>Hantush</w:t>
      </w:r>
      <w:proofErr w:type="spellEnd"/>
      <w:r w:rsidRPr="00F85381">
        <w:rPr>
          <w:rFonts w:ascii="Times New Roman" w:eastAsia="Times New Roman" w:hAnsi="Times New Roman" w:cs="Times New Roman"/>
        </w:rPr>
        <w:t>, M.M.</w:t>
      </w:r>
      <w:r w:rsidR="006D680A" w:rsidRPr="00F85381">
        <w:rPr>
          <w:rFonts w:ascii="Times New Roman" w:eastAsia="Times New Roman" w:hAnsi="Times New Roman" w:cs="Times New Roman"/>
        </w:rPr>
        <w:t>,</w:t>
      </w:r>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Govindaraju</w:t>
      </w:r>
      <w:proofErr w:type="spellEnd"/>
      <w:r w:rsidRPr="00F85381">
        <w:rPr>
          <w:rFonts w:ascii="Times New Roman" w:eastAsia="Times New Roman" w:hAnsi="Times New Roman" w:cs="Times New Roman"/>
        </w:rPr>
        <w:t xml:space="preserve">, R.S., 2012. Watershed reliability, resilience and vulnerability analysis under uncertainty using water quality data, J. Environ. </w:t>
      </w:r>
      <w:proofErr w:type="spellStart"/>
      <w:r w:rsidRPr="00F85381">
        <w:rPr>
          <w:rFonts w:ascii="Times New Roman" w:eastAsia="Times New Roman" w:hAnsi="Times New Roman" w:cs="Times New Roman"/>
        </w:rPr>
        <w:t>Manag</w:t>
      </w:r>
      <w:proofErr w:type="spellEnd"/>
      <w:r w:rsidRPr="00F85381">
        <w:rPr>
          <w:rFonts w:ascii="Times New Roman" w:eastAsia="Times New Roman" w:hAnsi="Times New Roman" w:cs="Times New Roman"/>
        </w:rPr>
        <w:t xml:space="preserve">. 109, 101-112. </w:t>
      </w:r>
      <w:r w:rsidR="008A0004">
        <w:rPr>
          <w:rFonts w:ascii="Times New Roman" w:eastAsia="Times New Roman" w:hAnsi="Times New Roman" w:cs="Times New Roman"/>
        </w:rPr>
        <w:t>doi:</w:t>
      </w:r>
      <w:hyperlink r:id="rId56">
        <w:r w:rsidRPr="00F85381">
          <w:rPr>
            <w:rFonts w:ascii="Times New Roman" w:eastAsia="Times New Roman" w:hAnsi="Times New Roman" w:cs="Times New Roman"/>
            <w:u w:val="single"/>
          </w:rPr>
          <w:t>10.1016/j.jenvman.2012.05.010</w:t>
        </w:r>
      </w:hyperlink>
      <w:r w:rsidR="00714B7A">
        <w:rPr>
          <w:rFonts w:ascii="Times New Roman" w:eastAsia="Times New Roman" w:hAnsi="Times New Roman" w:cs="Times New Roman"/>
          <w:u w:val="single"/>
        </w:rPr>
        <w:t>.</w:t>
      </w:r>
    </w:p>
    <w:p w14:paraId="78DED1ED" w14:textId="75CC4D50" w:rsidR="009F26E3" w:rsidRPr="00F85381" w:rsidRDefault="00F50BBA" w:rsidP="00261C72">
      <w:pPr>
        <w:spacing w:after="120" w:line="480" w:lineRule="auto"/>
        <w:rPr>
          <w:rFonts w:ascii="Calibri" w:eastAsia="Calibri" w:hAnsi="Calibri" w:cs="Calibri"/>
        </w:rPr>
      </w:pPr>
      <w:r w:rsidRPr="00F85381">
        <w:rPr>
          <w:rFonts w:ascii="Times New Roman" w:eastAsia="Times New Roman" w:hAnsi="Times New Roman" w:cs="Times New Roman"/>
        </w:rPr>
        <w:t xml:space="preserve">Hoque, Y.M., Raj, C., </w:t>
      </w:r>
      <w:proofErr w:type="spellStart"/>
      <w:r w:rsidRPr="00F85381">
        <w:rPr>
          <w:rFonts w:ascii="Times New Roman" w:eastAsia="Times New Roman" w:hAnsi="Times New Roman" w:cs="Times New Roman"/>
        </w:rPr>
        <w:t>Hantush</w:t>
      </w:r>
      <w:proofErr w:type="spellEnd"/>
      <w:r w:rsidRPr="00F85381">
        <w:rPr>
          <w:rFonts w:ascii="Times New Roman" w:eastAsia="Times New Roman" w:hAnsi="Times New Roman" w:cs="Times New Roman"/>
        </w:rPr>
        <w:t xml:space="preserve">, M.M., </w:t>
      </w:r>
      <w:proofErr w:type="spellStart"/>
      <w:r w:rsidRPr="00F85381">
        <w:rPr>
          <w:rFonts w:ascii="Times New Roman" w:eastAsia="Times New Roman" w:hAnsi="Times New Roman" w:cs="Times New Roman"/>
        </w:rPr>
        <w:t>Chaubey</w:t>
      </w:r>
      <w:proofErr w:type="spellEnd"/>
      <w:r w:rsidRPr="00F85381">
        <w:rPr>
          <w:rFonts w:ascii="Times New Roman" w:eastAsia="Times New Roman" w:hAnsi="Times New Roman" w:cs="Times New Roman"/>
        </w:rPr>
        <w:t>, I.</w:t>
      </w:r>
      <w:r w:rsidR="006D680A" w:rsidRPr="00F85381">
        <w:rPr>
          <w:rFonts w:ascii="Times New Roman" w:eastAsia="Times New Roman" w:hAnsi="Times New Roman" w:cs="Times New Roman"/>
        </w:rPr>
        <w:t>,</w:t>
      </w:r>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Govindaraju</w:t>
      </w:r>
      <w:proofErr w:type="spellEnd"/>
      <w:r w:rsidRPr="00F85381">
        <w:rPr>
          <w:rFonts w:ascii="Times New Roman" w:eastAsia="Times New Roman" w:hAnsi="Times New Roman" w:cs="Times New Roman"/>
        </w:rPr>
        <w:t>, R.S., 2013. How do land-use and climate change affect watershed health? A scenario-based analysis, Water Qual</w:t>
      </w:r>
      <w:r w:rsidR="00A2356A">
        <w:rPr>
          <w:rFonts w:ascii="Times New Roman" w:eastAsia="Times New Roman" w:hAnsi="Times New Roman" w:cs="Times New Roman"/>
        </w:rPr>
        <w:t>.</w:t>
      </w:r>
      <w:r w:rsidRPr="00F85381">
        <w:rPr>
          <w:rFonts w:ascii="Times New Roman" w:eastAsia="Times New Roman" w:hAnsi="Times New Roman" w:cs="Times New Roman"/>
        </w:rPr>
        <w:t xml:space="preserve"> Expo</w:t>
      </w:r>
      <w:r w:rsidR="00A2356A">
        <w:rPr>
          <w:rFonts w:ascii="Times New Roman" w:eastAsia="Times New Roman" w:hAnsi="Times New Roman" w:cs="Times New Roman"/>
        </w:rPr>
        <w:t>.</w:t>
      </w:r>
      <w:r w:rsidRPr="00F85381">
        <w:rPr>
          <w:rFonts w:ascii="Times New Roman" w:eastAsia="Times New Roman" w:hAnsi="Times New Roman" w:cs="Times New Roman"/>
        </w:rPr>
        <w:t xml:space="preserve"> Health 6, 19–33. </w:t>
      </w:r>
      <w:r w:rsidR="008A0004">
        <w:rPr>
          <w:rFonts w:ascii="Times New Roman" w:eastAsia="Times New Roman" w:hAnsi="Times New Roman" w:cs="Times New Roman"/>
        </w:rPr>
        <w:t>doi:</w:t>
      </w:r>
      <w:hyperlink r:id="rId57" w:history="1">
        <w:r w:rsidR="00E13179" w:rsidRPr="00F85381">
          <w:rPr>
            <w:rStyle w:val="Hyperlink"/>
            <w:rFonts w:ascii="Times New Roman" w:hAnsi="Times New Roman" w:cs="Times New Roman"/>
            <w:color w:val="auto"/>
            <w:shd w:val="clear" w:color="auto" w:fill="FCFCFC"/>
          </w:rPr>
          <w:t>10.1007/s12403-013-0102-6</w:t>
        </w:r>
      </w:hyperlink>
      <w:r w:rsidR="00714B7A">
        <w:rPr>
          <w:rStyle w:val="Hyperlink"/>
          <w:rFonts w:ascii="Times New Roman" w:hAnsi="Times New Roman" w:cs="Times New Roman"/>
          <w:color w:val="auto"/>
          <w:shd w:val="clear" w:color="auto" w:fill="FCFCFC"/>
        </w:rPr>
        <w:t>.</w:t>
      </w:r>
    </w:p>
    <w:p w14:paraId="130D26E7" w14:textId="0A118B0B" w:rsidR="00F610F5" w:rsidRPr="00F85381" w:rsidRDefault="00F50BBA" w:rsidP="00261C72">
      <w:pPr>
        <w:spacing w:after="120" w:line="480" w:lineRule="auto"/>
        <w:rPr>
          <w:rFonts w:ascii="Times New Roman" w:hAnsi="Times New Roman" w:cs="Times New Roman"/>
        </w:rPr>
      </w:pPr>
      <w:r w:rsidRPr="00F85381">
        <w:rPr>
          <w:rFonts w:ascii="Times New Roman" w:eastAsia="Times New Roman" w:hAnsi="Times New Roman" w:cs="Times New Roman"/>
        </w:rPr>
        <w:t xml:space="preserve">Hoque, Y.M., Tripathi, S., </w:t>
      </w:r>
      <w:proofErr w:type="spellStart"/>
      <w:r w:rsidRPr="00F85381">
        <w:rPr>
          <w:rFonts w:ascii="Times New Roman" w:eastAsia="Times New Roman" w:hAnsi="Times New Roman" w:cs="Times New Roman"/>
        </w:rPr>
        <w:t>Hantush</w:t>
      </w:r>
      <w:proofErr w:type="spellEnd"/>
      <w:r w:rsidRPr="00F85381">
        <w:rPr>
          <w:rFonts w:ascii="Times New Roman" w:eastAsia="Times New Roman" w:hAnsi="Times New Roman" w:cs="Times New Roman"/>
        </w:rPr>
        <w:t>, M.M.</w:t>
      </w:r>
      <w:r w:rsidR="006D680A" w:rsidRPr="00F85381">
        <w:rPr>
          <w:rFonts w:ascii="Times New Roman" w:eastAsia="Times New Roman" w:hAnsi="Times New Roman" w:cs="Times New Roman"/>
        </w:rPr>
        <w:t>,</w:t>
      </w:r>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Govindaraju</w:t>
      </w:r>
      <w:proofErr w:type="spellEnd"/>
      <w:r w:rsidRPr="00F85381">
        <w:rPr>
          <w:rFonts w:ascii="Times New Roman" w:eastAsia="Times New Roman" w:hAnsi="Times New Roman" w:cs="Times New Roman"/>
        </w:rPr>
        <w:t xml:space="preserve">, R.S., 2016. Aggregate measures of watershed health from reconstructed water quality data with uncertainty, J. Environ. Qual. 45, 709–719. </w:t>
      </w:r>
      <w:r w:rsidR="00A2356A">
        <w:rPr>
          <w:rFonts w:ascii="Times New Roman" w:eastAsia="Times New Roman" w:hAnsi="Times New Roman" w:cs="Times New Roman"/>
        </w:rPr>
        <w:t>doi:</w:t>
      </w:r>
      <w:hyperlink r:id="rId58" w:history="1">
        <w:r w:rsidR="00E13179" w:rsidRPr="00F85381">
          <w:rPr>
            <w:rStyle w:val="Hyperlink"/>
            <w:rFonts w:ascii="Times New Roman" w:hAnsi="Times New Roman" w:cs="Times New Roman"/>
            <w:bCs/>
            <w:color w:val="auto"/>
            <w:shd w:val="clear" w:color="auto" w:fill="FFFFFF"/>
          </w:rPr>
          <w:t>10.2134/jeq2015.10.0508</w:t>
        </w:r>
      </w:hyperlink>
      <w:r w:rsidR="00714B7A">
        <w:rPr>
          <w:rStyle w:val="Hyperlink"/>
          <w:rFonts w:ascii="Times New Roman" w:hAnsi="Times New Roman" w:cs="Times New Roman"/>
          <w:bCs/>
          <w:color w:val="auto"/>
          <w:shd w:val="clear" w:color="auto" w:fill="FFFFFF"/>
        </w:rPr>
        <w:t>.</w:t>
      </w:r>
    </w:p>
    <w:p w14:paraId="38132E68" w14:textId="5FF32578" w:rsidR="009F26E3" w:rsidRDefault="00F50BBA" w:rsidP="00261C72">
      <w:pPr>
        <w:spacing w:after="120" w:line="480" w:lineRule="auto"/>
        <w:jc w:val="left"/>
        <w:rPr>
          <w:rFonts w:ascii="Times New Roman" w:eastAsia="Times New Roman" w:hAnsi="Times New Roman" w:cs="Times New Roman"/>
        </w:rPr>
      </w:pPr>
      <w:r w:rsidRPr="00F85381">
        <w:rPr>
          <w:rFonts w:ascii="Times New Roman" w:eastAsia="Times New Roman" w:hAnsi="Times New Roman" w:cs="Times New Roman"/>
        </w:rPr>
        <w:t xml:space="preserve">IBGE, 2014. </w:t>
      </w:r>
      <w:hyperlink r:id="rId59">
        <w:r w:rsidRPr="00F85381">
          <w:rPr>
            <w:rFonts w:ascii="Times New Roman" w:eastAsia="Times New Roman" w:hAnsi="Times New Roman" w:cs="Times New Roman"/>
          </w:rPr>
          <w:t>Estimativas da população residente no Brasil e Unidades da Federação com data de referência em 1º de julho de 2014</w:t>
        </w:r>
      </w:hyperlink>
      <w:r w:rsidRPr="00F85381">
        <w:rPr>
          <w:rFonts w:ascii="Times New Roman" w:eastAsia="Times New Roman" w:hAnsi="Times New Roman" w:cs="Times New Roman"/>
        </w:rPr>
        <w:t>. [Access</w:t>
      </w:r>
      <w:r w:rsidR="006D680A" w:rsidRPr="00F85381">
        <w:rPr>
          <w:rFonts w:ascii="Times New Roman" w:eastAsia="Times New Roman" w:hAnsi="Times New Roman" w:cs="Times New Roman"/>
        </w:rPr>
        <w:t>ed</w:t>
      </w:r>
      <w:r w:rsidRPr="00F85381">
        <w:rPr>
          <w:rFonts w:ascii="Times New Roman" w:eastAsia="Times New Roman" w:hAnsi="Times New Roman" w:cs="Times New Roman"/>
        </w:rPr>
        <w:t xml:space="preserve">: </w:t>
      </w:r>
      <w:hyperlink r:id="rId60">
        <w:r w:rsidRPr="00F85381">
          <w:rPr>
            <w:rFonts w:ascii="Times New Roman" w:eastAsia="Times New Roman" w:hAnsi="Times New Roman" w:cs="Times New Roman"/>
            <w:u w:val="single"/>
          </w:rPr>
          <w:t>file://anglia.local/fs/StaffHome/ma72/My%20Documents/My%20Downloads/nota_metodologica_2014.pdf</w:t>
        </w:r>
      </w:hyperlink>
      <w:r w:rsidRPr="00F85381">
        <w:rPr>
          <w:rFonts w:ascii="Times New Roman" w:eastAsia="Times New Roman" w:hAnsi="Times New Roman" w:cs="Times New Roman"/>
        </w:rPr>
        <w:t>]</w:t>
      </w:r>
      <w:r w:rsidR="00714B7A">
        <w:rPr>
          <w:rFonts w:ascii="Times New Roman" w:eastAsia="Times New Roman" w:hAnsi="Times New Roman" w:cs="Times New Roman"/>
        </w:rPr>
        <w:t>.</w:t>
      </w:r>
    </w:p>
    <w:p w14:paraId="1139DC70" w14:textId="648A4F18" w:rsidR="0044187A" w:rsidRDefault="0044187A" w:rsidP="0044187A">
      <w:pPr>
        <w:spacing w:after="120" w:line="480" w:lineRule="auto"/>
        <w:rPr>
          <w:rStyle w:val="Hyperlink"/>
          <w:rFonts w:ascii="Times New Roman" w:hAnsi="Times New Roman" w:cs="Times New Roman"/>
          <w:color w:val="auto"/>
        </w:rPr>
      </w:pPr>
      <w:r w:rsidRPr="00F85381">
        <w:rPr>
          <w:rFonts w:ascii="Times New Roman" w:eastAsia="Times New Roman" w:hAnsi="Times New Roman" w:cs="Times New Roman"/>
        </w:rPr>
        <w:t xml:space="preserve">Ji, N., Wang, S., Zhang, L., 2017. Characteristics of dissolved organic phosphorus inputs to freshwater lakes: A case study of Lake </w:t>
      </w:r>
      <w:proofErr w:type="spellStart"/>
      <w:r w:rsidRPr="00F85381">
        <w:rPr>
          <w:rFonts w:ascii="Times New Roman" w:eastAsia="Times New Roman" w:hAnsi="Times New Roman" w:cs="Times New Roman"/>
        </w:rPr>
        <w:t>Erhai</w:t>
      </w:r>
      <w:proofErr w:type="spellEnd"/>
      <w:r w:rsidRPr="00F85381">
        <w:rPr>
          <w:rFonts w:ascii="Times New Roman" w:eastAsia="Times New Roman" w:hAnsi="Times New Roman" w:cs="Times New Roman"/>
        </w:rPr>
        <w:t>, southwest China</w:t>
      </w:r>
      <w:r w:rsidR="00B06368">
        <w:rPr>
          <w:rFonts w:ascii="Times New Roman" w:eastAsia="Times New Roman" w:hAnsi="Times New Roman" w:cs="Times New Roman"/>
        </w:rPr>
        <w:t>.</w:t>
      </w:r>
      <w:r w:rsidRPr="00F85381">
        <w:rPr>
          <w:rFonts w:ascii="Times New Roman" w:eastAsia="Times New Roman" w:hAnsi="Times New Roman" w:cs="Times New Roman"/>
        </w:rPr>
        <w:t xml:space="preserve"> Sci</w:t>
      </w:r>
      <w:r w:rsidR="00B06368">
        <w:rPr>
          <w:rFonts w:ascii="Times New Roman" w:eastAsia="Times New Roman" w:hAnsi="Times New Roman" w:cs="Times New Roman"/>
        </w:rPr>
        <w:t xml:space="preserve">. </w:t>
      </w:r>
      <w:r w:rsidRPr="00F85381">
        <w:rPr>
          <w:rFonts w:ascii="Times New Roman" w:eastAsia="Times New Roman" w:hAnsi="Times New Roman" w:cs="Times New Roman"/>
        </w:rPr>
        <w:t>Total Environ</w:t>
      </w:r>
      <w:r w:rsidR="00B06368">
        <w:rPr>
          <w:rFonts w:ascii="Times New Roman" w:eastAsia="Times New Roman" w:hAnsi="Times New Roman" w:cs="Times New Roman"/>
        </w:rPr>
        <w:t>.</w:t>
      </w:r>
      <w:r w:rsidRPr="00F85381">
        <w:rPr>
          <w:rFonts w:ascii="Times New Roman" w:eastAsia="Times New Roman" w:hAnsi="Times New Roman" w:cs="Times New Roman"/>
        </w:rPr>
        <w:t xml:space="preserve"> 601-602, 1544-1555. </w:t>
      </w:r>
      <w:r w:rsidR="007763E6">
        <w:rPr>
          <w:rFonts w:ascii="Times New Roman" w:eastAsia="Times New Roman" w:hAnsi="Times New Roman" w:cs="Times New Roman"/>
        </w:rPr>
        <w:t>doi:</w:t>
      </w:r>
      <w:hyperlink r:id="rId61" w:tgtFrame="_blank" w:tooltip="Persistent link using digital object identifier" w:history="1">
        <w:r w:rsidRPr="00F85381">
          <w:rPr>
            <w:rStyle w:val="Hyperlink"/>
            <w:rFonts w:ascii="Times New Roman" w:hAnsi="Times New Roman" w:cs="Times New Roman"/>
            <w:color w:val="auto"/>
          </w:rPr>
          <w:t>10.1016/j.scitotenv.2017.05.265</w:t>
        </w:r>
      </w:hyperlink>
      <w:r w:rsidR="00B06368">
        <w:rPr>
          <w:rStyle w:val="Hyperlink"/>
          <w:rFonts w:ascii="Times New Roman" w:hAnsi="Times New Roman" w:cs="Times New Roman"/>
          <w:color w:val="auto"/>
        </w:rPr>
        <w:t>.</w:t>
      </w:r>
    </w:p>
    <w:p w14:paraId="233D4DDB" w14:textId="77777777" w:rsidR="00CC4901" w:rsidRPr="00F85381" w:rsidRDefault="00CC4901" w:rsidP="00CC4901">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Jung, D., 2013. Robust and resilient water distribution systems PhD thesis. University of Arizona, USA.</w:t>
      </w:r>
    </w:p>
    <w:p w14:paraId="52E829F7" w14:textId="05D6D9D0" w:rsidR="009F26E3" w:rsidRPr="00F85381" w:rsidRDefault="00F50BBA" w:rsidP="00261C72">
      <w:pPr>
        <w:spacing w:after="120" w:line="480" w:lineRule="auto"/>
        <w:rPr>
          <w:rFonts w:ascii="Times New Roman" w:eastAsia="Times New Roman" w:hAnsi="Times New Roman" w:cs="Times New Roman"/>
        </w:rPr>
      </w:pPr>
      <w:r w:rsidRPr="00711A88">
        <w:rPr>
          <w:rFonts w:ascii="Times New Roman" w:eastAsia="Times New Roman" w:hAnsi="Times New Roman" w:cs="Times New Roman"/>
        </w:rPr>
        <w:t xml:space="preserve">Instituto </w:t>
      </w:r>
      <w:proofErr w:type="spellStart"/>
      <w:r w:rsidRPr="00711A88">
        <w:rPr>
          <w:rFonts w:ascii="Times New Roman" w:eastAsia="Times New Roman" w:hAnsi="Times New Roman" w:cs="Times New Roman"/>
        </w:rPr>
        <w:t>Socioambiental</w:t>
      </w:r>
      <w:proofErr w:type="spellEnd"/>
      <w:r w:rsidRPr="00711A88">
        <w:rPr>
          <w:rFonts w:ascii="Times New Roman" w:eastAsia="Times New Roman" w:hAnsi="Times New Roman" w:cs="Times New Roman"/>
        </w:rPr>
        <w:t xml:space="preserve">, 2009. De </w:t>
      </w:r>
      <w:proofErr w:type="spellStart"/>
      <w:r w:rsidRPr="00711A88">
        <w:rPr>
          <w:rFonts w:ascii="Times New Roman" w:eastAsia="Times New Roman" w:hAnsi="Times New Roman" w:cs="Times New Roman"/>
        </w:rPr>
        <w:t>Olho</w:t>
      </w:r>
      <w:proofErr w:type="spellEnd"/>
      <w:r w:rsidRPr="00711A88">
        <w:rPr>
          <w:rFonts w:ascii="Times New Roman" w:eastAsia="Times New Roman" w:hAnsi="Times New Roman" w:cs="Times New Roman"/>
        </w:rPr>
        <w:t xml:space="preserve"> </w:t>
      </w:r>
      <w:proofErr w:type="spellStart"/>
      <w:r w:rsidRPr="00711A88">
        <w:rPr>
          <w:rFonts w:ascii="Times New Roman" w:eastAsia="Times New Roman" w:hAnsi="Times New Roman" w:cs="Times New Roman"/>
        </w:rPr>
        <w:t>nos</w:t>
      </w:r>
      <w:proofErr w:type="spellEnd"/>
      <w:r w:rsidRPr="00711A88">
        <w:rPr>
          <w:rFonts w:ascii="Times New Roman" w:eastAsia="Times New Roman" w:hAnsi="Times New Roman" w:cs="Times New Roman"/>
        </w:rPr>
        <w:t xml:space="preserve"> </w:t>
      </w:r>
      <w:proofErr w:type="spellStart"/>
      <w:r w:rsidRPr="00711A88">
        <w:rPr>
          <w:rFonts w:ascii="Times New Roman" w:eastAsia="Times New Roman" w:hAnsi="Times New Roman" w:cs="Times New Roman"/>
        </w:rPr>
        <w:t>Mananciais</w:t>
      </w:r>
      <w:proofErr w:type="spellEnd"/>
      <w:r w:rsidRPr="00711A88">
        <w:rPr>
          <w:rFonts w:ascii="Times New Roman" w:eastAsia="Times New Roman" w:hAnsi="Times New Roman" w:cs="Times New Roman"/>
        </w:rPr>
        <w:t xml:space="preserve"> (Keep an Eye on Water Sources) - A campaign for conserving São Paulo's water sources: </w:t>
      </w:r>
      <w:hyperlink r:id="rId62">
        <w:r w:rsidRPr="00711A88">
          <w:rPr>
            <w:rFonts w:ascii="Times New Roman" w:eastAsia="Times New Roman" w:hAnsi="Times New Roman" w:cs="Times New Roman"/>
          </w:rPr>
          <w:t>Water sources in São Paulo</w:t>
        </w:r>
      </w:hyperlink>
      <w:r w:rsidRPr="00711A88">
        <w:rPr>
          <w:rFonts w:ascii="Times New Roman" w:eastAsia="Times New Roman" w:hAnsi="Times New Roman" w:cs="Times New Roman"/>
        </w:rPr>
        <w:t>.</w:t>
      </w:r>
    </w:p>
    <w:p w14:paraId="5A42AC43" w14:textId="396D82CB" w:rsidR="006D680A" w:rsidRPr="00F85381" w:rsidRDefault="006D680A" w:rsidP="00261C72">
      <w:pPr>
        <w:spacing w:after="120" w:line="480" w:lineRule="auto"/>
        <w:rPr>
          <w:rFonts w:ascii="Times New Roman" w:eastAsia="Times New Roman" w:hAnsi="Times New Roman" w:cs="Times New Roman"/>
        </w:rPr>
      </w:pPr>
      <w:proofErr w:type="spellStart"/>
      <w:r w:rsidRPr="00F85381">
        <w:rPr>
          <w:rFonts w:ascii="Times New Roman" w:eastAsia="Times New Roman" w:hAnsi="Times New Roman" w:cs="Times New Roman"/>
        </w:rPr>
        <w:lastRenderedPageBreak/>
        <w:t>Kahraman</w:t>
      </w:r>
      <w:proofErr w:type="spellEnd"/>
      <w:r w:rsidRPr="00F85381">
        <w:rPr>
          <w:rFonts w:ascii="Times New Roman" w:eastAsia="Times New Roman" w:hAnsi="Times New Roman" w:cs="Times New Roman"/>
        </w:rPr>
        <w:t xml:space="preserve">, C., </w:t>
      </w:r>
      <w:proofErr w:type="spellStart"/>
      <w:r w:rsidRPr="00F85381">
        <w:rPr>
          <w:rFonts w:ascii="Times New Roman" w:eastAsia="Times New Roman" w:hAnsi="Times New Roman" w:cs="Times New Roman"/>
        </w:rPr>
        <w:t>Cebeci</w:t>
      </w:r>
      <w:proofErr w:type="spellEnd"/>
      <w:r w:rsidRPr="00F85381">
        <w:rPr>
          <w:rFonts w:ascii="Times New Roman" w:eastAsia="Times New Roman" w:hAnsi="Times New Roman" w:cs="Times New Roman"/>
        </w:rPr>
        <w:t xml:space="preserve">, U., and </w:t>
      </w:r>
      <w:proofErr w:type="spellStart"/>
      <w:r w:rsidRPr="00F85381">
        <w:rPr>
          <w:rFonts w:ascii="Times New Roman" w:eastAsia="Times New Roman" w:hAnsi="Times New Roman" w:cs="Times New Roman"/>
        </w:rPr>
        <w:t>Ruan</w:t>
      </w:r>
      <w:proofErr w:type="spellEnd"/>
      <w:r w:rsidRPr="00F85381">
        <w:rPr>
          <w:rFonts w:ascii="Times New Roman" w:eastAsia="Times New Roman" w:hAnsi="Times New Roman" w:cs="Times New Roman"/>
        </w:rPr>
        <w:t>, D., 2004. Multi-attribute comparison of catering service companies using fuzzy AHP: The case of TURKEY, Int</w:t>
      </w:r>
      <w:r w:rsidR="00E55EF5">
        <w:rPr>
          <w:rFonts w:ascii="Times New Roman" w:eastAsia="Times New Roman" w:hAnsi="Times New Roman" w:cs="Times New Roman"/>
        </w:rPr>
        <w:t>.</w:t>
      </w:r>
      <w:r w:rsidRPr="00F85381">
        <w:rPr>
          <w:rFonts w:ascii="Times New Roman" w:eastAsia="Times New Roman" w:hAnsi="Times New Roman" w:cs="Times New Roman"/>
        </w:rPr>
        <w:t xml:space="preserve"> J</w:t>
      </w:r>
      <w:r w:rsidR="00E55EF5">
        <w:rPr>
          <w:rFonts w:ascii="Times New Roman" w:eastAsia="Times New Roman" w:hAnsi="Times New Roman" w:cs="Times New Roman"/>
        </w:rPr>
        <w:t>.</w:t>
      </w:r>
      <w:r w:rsidRPr="00F85381">
        <w:rPr>
          <w:rFonts w:ascii="Times New Roman" w:eastAsia="Times New Roman" w:hAnsi="Times New Roman" w:cs="Times New Roman"/>
        </w:rPr>
        <w:t xml:space="preserve"> Prod</w:t>
      </w:r>
      <w:r w:rsidR="0083538F">
        <w:rPr>
          <w:rFonts w:ascii="Times New Roman" w:eastAsia="Times New Roman" w:hAnsi="Times New Roman" w:cs="Times New Roman"/>
        </w:rPr>
        <w:t>.</w:t>
      </w:r>
      <w:r w:rsidRPr="00F85381">
        <w:rPr>
          <w:rFonts w:ascii="Times New Roman" w:eastAsia="Times New Roman" w:hAnsi="Times New Roman" w:cs="Times New Roman"/>
        </w:rPr>
        <w:t xml:space="preserve"> Econ</w:t>
      </w:r>
      <w:r w:rsidR="0083538F">
        <w:rPr>
          <w:rFonts w:ascii="Times New Roman" w:eastAsia="Times New Roman" w:hAnsi="Times New Roman" w:cs="Times New Roman"/>
        </w:rPr>
        <w:t>.</w:t>
      </w:r>
      <w:r w:rsidRPr="00F85381">
        <w:rPr>
          <w:rFonts w:ascii="Times New Roman" w:eastAsia="Times New Roman" w:hAnsi="Times New Roman" w:cs="Times New Roman"/>
        </w:rPr>
        <w:t xml:space="preserve"> 87: 171-184.</w:t>
      </w:r>
      <w:r w:rsidR="007763E6">
        <w:rPr>
          <w:rFonts w:ascii="Times New Roman" w:eastAsia="Times New Roman" w:hAnsi="Times New Roman" w:cs="Times New Roman"/>
        </w:rPr>
        <w:t xml:space="preserve"> doi:</w:t>
      </w:r>
      <w:hyperlink r:id="rId63" w:tgtFrame="_blank" w:tooltip="Persistent link using digital object identifier" w:history="1">
        <w:r w:rsidRPr="00F85381">
          <w:rPr>
            <w:rStyle w:val="Hyperlink"/>
            <w:rFonts w:ascii="Times New Roman" w:hAnsi="Times New Roman" w:cs="Times New Roman"/>
            <w:color w:val="auto"/>
          </w:rPr>
          <w:t>10.1016/S0925-5273(03)00099-9</w:t>
        </w:r>
      </w:hyperlink>
      <w:r w:rsidR="0083538F">
        <w:rPr>
          <w:rStyle w:val="Hyperlink"/>
          <w:rFonts w:ascii="Times New Roman" w:hAnsi="Times New Roman" w:cs="Times New Roman"/>
          <w:color w:val="auto"/>
        </w:rPr>
        <w:t>.</w:t>
      </w:r>
    </w:p>
    <w:p w14:paraId="07715B78" w14:textId="6D97DEBF"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Kalin, L., </w:t>
      </w:r>
      <w:proofErr w:type="spellStart"/>
      <w:r w:rsidRPr="00F85381">
        <w:rPr>
          <w:rFonts w:ascii="Times New Roman" w:eastAsia="Times New Roman" w:hAnsi="Times New Roman" w:cs="Times New Roman"/>
        </w:rPr>
        <w:t>Isik</w:t>
      </w:r>
      <w:proofErr w:type="spellEnd"/>
      <w:r w:rsidRPr="00F85381">
        <w:rPr>
          <w:rFonts w:ascii="Times New Roman" w:eastAsia="Times New Roman" w:hAnsi="Times New Roman" w:cs="Times New Roman"/>
        </w:rPr>
        <w:t>, S., Schoonover, J.E.</w:t>
      </w:r>
      <w:r w:rsidR="006D680A" w:rsidRPr="00F85381">
        <w:rPr>
          <w:rFonts w:ascii="Times New Roman" w:eastAsia="Times New Roman" w:hAnsi="Times New Roman" w:cs="Times New Roman"/>
        </w:rPr>
        <w:t>,</w:t>
      </w:r>
      <w:r w:rsidRPr="00F85381">
        <w:rPr>
          <w:rFonts w:ascii="Times New Roman" w:eastAsia="Times New Roman" w:hAnsi="Times New Roman" w:cs="Times New Roman"/>
        </w:rPr>
        <w:t xml:space="preserve"> Lockaby, B.J., 2010. Predicting WQ in Unmonitored Watersheds Using Artificial Neural Networks, J. Environ. Qual. 39, 1429–1440.</w:t>
      </w:r>
      <w:r w:rsidR="008C0E4A">
        <w:rPr>
          <w:rFonts w:ascii="Times New Roman" w:eastAsia="Times New Roman" w:hAnsi="Times New Roman" w:cs="Times New Roman"/>
        </w:rPr>
        <w:t xml:space="preserve"> doi:</w:t>
      </w:r>
      <w:hyperlink r:id="rId64" w:history="1">
        <w:r w:rsidR="006D6C11" w:rsidRPr="00F85381">
          <w:rPr>
            <w:rStyle w:val="Hyperlink"/>
            <w:rFonts w:ascii="Times New Roman" w:hAnsi="Times New Roman" w:cs="Times New Roman"/>
            <w:bCs/>
            <w:color w:val="auto"/>
          </w:rPr>
          <w:t>10.2134/jeq2009.0441</w:t>
        </w:r>
      </w:hyperlink>
      <w:r w:rsidR="006D6C11" w:rsidRPr="00F85381">
        <w:rPr>
          <w:rFonts w:ascii="Times New Roman" w:hAnsi="Times New Roman" w:cs="Times New Roman"/>
        </w:rPr>
        <w:t>.</w:t>
      </w:r>
      <w:r w:rsidR="006D6C11" w:rsidRPr="00F85381">
        <w:t xml:space="preserve"> </w:t>
      </w:r>
    </w:p>
    <w:p w14:paraId="22CECA0F" w14:textId="5F1C1420"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Khalil, B., </w:t>
      </w:r>
      <w:proofErr w:type="spellStart"/>
      <w:r w:rsidRPr="00F85381">
        <w:rPr>
          <w:rFonts w:ascii="Times New Roman" w:eastAsia="Times New Roman" w:hAnsi="Times New Roman" w:cs="Times New Roman"/>
        </w:rPr>
        <w:t>Ouarda</w:t>
      </w:r>
      <w:proofErr w:type="spellEnd"/>
      <w:r w:rsidRPr="00F85381">
        <w:rPr>
          <w:rFonts w:ascii="Times New Roman" w:eastAsia="Times New Roman" w:hAnsi="Times New Roman" w:cs="Times New Roman"/>
        </w:rPr>
        <w:t>, T.B.M.J.</w:t>
      </w:r>
      <w:r w:rsidR="006D680A" w:rsidRPr="00F85381">
        <w:rPr>
          <w:rFonts w:ascii="Times New Roman" w:eastAsia="Times New Roman" w:hAnsi="Times New Roman" w:cs="Times New Roman"/>
        </w:rPr>
        <w:t>,</w:t>
      </w:r>
      <w:r w:rsidRPr="00F85381">
        <w:rPr>
          <w:rFonts w:ascii="Times New Roman" w:eastAsia="Times New Roman" w:hAnsi="Times New Roman" w:cs="Times New Roman"/>
        </w:rPr>
        <w:t xml:space="preserve"> St-Hilaire, A., 2011. Estimation of WQ characteristics at ungauged sites using ANN and canonical correlation analysis, J.</w:t>
      </w:r>
      <w:r w:rsidR="00770A5D">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Hydrol</w:t>
      </w:r>
      <w:proofErr w:type="spellEnd"/>
      <w:r w:rsidR="00770A5D">
        <w:rPr>
          <w:rFonts w:ascii="Times New Roman" w:eastAsia="Times New Roman" w:hAnsi="Times New Roman" w:cs="Times New Roman"/>
        </w:rPr>
        <w:t>.</w:t>
      </w:r>
      <w:r w:rsidRPr="00F85381">
        <w:rPr>
          <w:rFonts w:ascii="Times New Roman" w:eastAsia="Times New Roman" w:hAnsi="Times New Roman" w:cs="Times New Roman"/>
        </w:rPr>
        <w:t xml:space="preserve"> 405 (3-4), 277-287. </w:t>
      </w:r>
      <w:r w:rsidR="00770A5D">
        <w:rPr>
          <w:rFonts w:ascii="Times New Roman" w:eastAsia="Times New Roman" w:hAnsi="Times New Roman" w:cs="Times New Roman"/>
        </w:rPr>
        <w:t>doi:</w:t>
      </w:r>
      <w:hyperlink r:id="rId65">
        <w:r w:rsidRPr="00F85381">
          <w:rPr>
            <w:rFonts w:ascii="Times New Roman" w:eastAsia="Times New Roman" w:hAnsi="Times New Roman" w:cs="Times New Roman"/>
            <w:u w:val="single"/>
          </w:rPr>
          <w:t>10.1029/2006WR005142</w:t>
        </w:r>
      </w:hyperlink>
      <w:r w:rsidR="00D5523F">
        <w:rPr>
          <w:rFonts w:ascii="Times New Roman" w:eastAsia="Times New Roman" w:hAnsi="Times New Roman" w:cs="Times New Roman"/>
          <w:u w:val="single"/>
        </w:rPr>
        <w:t>.</w:t>
      </w:r>
    </w:p>
    <w:p w14:paraId="722A7584" w14:textId="5BE5F11A"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Khan, Y.</w:t>
      </w:r>
      <w:r w:rsidR="003F79D7" w:rsidRPr="00F85381">
        <w:rPr>
          <w:rFonts w:ascii="Times New Roman" w:eastAsia="Times New Roman" w:hAnsi="Times New Roman" w:cs="Times New Roman"/>
        </w:rPr>
        <w:t>,</w:t>
      </w:r>
      <w:r w:rsidRPr="00F85381">
        <w:rPr>
          <w:rFonts w:ascii="Times New Roman" w:eastAsia="Times New Roman" w:hAnsi="Times New Roman" w:cs="Times New Roman"/>
        </w:rPr>
        <w:t xml:space="preserve"> See, C.S., 2016. Predicting and </w:t>
      </w:r>
      <w:proofErr w:type="spellStart"/>
      <w:r w:rsidRPr="00F85381">
        <w:rPr>
          <w:rFonts w:ascii="Times New Roman" w:eastAsia="Times New Roman" w:hAnsi="Times New Roman" w:cs="Times New Roman"/>
        </w:rPr>
        <w:t>Analyzing</w:t>
      </w:r>
      <w:proofErr w:type="spellEnd"/>
      <w:r w:rsidRPr="00F85381">
        <w:rPr>
          <w:rFonts w:ascii="Times New Roman" w:eastAsia="Times New Roman" w:hAnsi="Times New Roman" w:cs="Times New Roman"/>
        </w:rPr>
        <w:t xml:space="preserve"> Water Quality Using Machine Learning: A Comprehensive Model, IEEE Long Island Systems, </w:t>
      </w:r>
      <w:proofErr w:type="gramStart"/>
      <w:r w:rsidR="00270B0A">
        <w:rPr>
          <w:rFonts w:ascii="Times New Roman" w:eastAsia="Times New Roman" w:hAnsi="Times New Roman" w:cs="Times New Roman"/>
        </w:rPr>
        <w:t>a</w:t>
      </w:r>
      <w:r w:rsidRPr="00F85381">
        <w:rPr>
          <w:rFonts w:ascii="Times New Roman" w:eastAsia="Times New Roman" w:hAnsi="Times New Roman" w:cs="Times New Roman"/>
        </w:rPr>
        <w:t>pplications</w:t>
      </w:r>
      <w:proofErr w:type="gramEnd"/>
      <w:r w:rsidRPr="00F85381">
        <w:rPr>
          <w:rFonts w:ascii="Times New Roman" w:eastAsia="Times New Roman" w:hAnsi="Times New Roman" w:cs="Times New Roman"/>
        </w:rPr>
        <w:t xml:space="preserve"> and </w:t>
      </w:r>
      <w:r w:rsidR="00270B0A">
        <w:rPr>
          <w:rFonts w:ascii="Times New Roman" w:eastAsia="Times New Roman" w:hAnsi="Times New Roman" w:cs="Times New Roman"/>
        </w:rPr>
        <w:t>t</w:t>
      </w:r>
      <w:r w:rsidRPr="00F85381">
        <w:rPr>
          <w:rFonts w:ascii="Times New Roman" w:eastAsia="Times New Roman" w:hAnsi="Times New Roman" w:cs="Times New Roman"/>
        </w:rPr>
        <w:t xml:space="preserve">echnology </w:t>
      </w:r>
      <w:r w:rsidR="00270B0A">
        <w:rPr>
          <w:rFonts w:ascii="Times New Roman" w:eastAsia="Times New Roman" w:hAnsi="Times New Roman" w:cs="Times New Roman"/>
        </w:rPr>
        <w:t>c</w:t>
      </w:r>
      <w:r w:rsidRPr="00F85381">
        <w:rPr>
          <w:rFonts w:ascii="Times New Roman" w:eastAsia="Times New Roman" w:hAnsi="Times New Roman" w:cs="Times New Roman"/>
        </w:rPr>
        <w:t xml:space="preserve">onference (LISAT), 1-6. </w:t>
      </w:r>
      <w:proofErr w:type="spellStart"/>
      <w:r w:rsidR="00770A5D">
        <w:rPr>
          <w:rFonts w:ascii="Times New Roman" w:eastAsia="Times New Roman" w:hAnsi="Times New Roman" w:cs="Times New Roman"/>
        </w:rPr>
        <w:t>doi</w:t>
      </w:r>
      <w:proofErr w:type="spellEnd"/>
      <w:r w:rsidRPr="00F85381">
        <w:rPr>
          <w:rFonts w:ascii="Times New Roman" w:eastAsia="Times New Roman" w:hAnsi="Times New Roman" w:cs="Times New Roman"/>
          <w:b/>
        </w:rPr>
        <w:t>: </w:t>
      </w:r>
      <w:hyperlink r:id="rId66">
        <w:r w:rsidRPr="00F85381">
          <w:rPr>
            <w:rFonts w:ascii="Times New Roman" w:eastAsia="Times New Roman" w:hAnsi="Times New Roman" w:cs="Times New Roman"/>
            <w:u w:val="single"/>
          </w:rPr>
          <w:t>10.1109/LISAT.2016.7494106</w:t>
        </w:r>
      </w:hyperlink>
      <w:r w:rsidR="00270B0A">
        <w:rPr>
          <w:rFonts w:ascii="Times New Roman" w:eastAsia="Times New Roman" w:hAnsi="Times New Roman" w:cs="Times New Roman"/>
          <w:u w:val="single"/>
        </w:rPr>
        <w:t>.</w:t>
      </w:r>
    </w:p>
    <w:p w14:paraId="61EB4183" w14:textId="743DA7D7"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Kim, K., Park, K.S., 1990. Ranking fuzzy numbers with index of optimism, Fuzzy Sets Syst</w:t>
      </w:r>
      <w:r w:rsidR="004F5DE8">
        <w:rPr>
          <w:rFonts w:ascii="Times New Roman" w:eastAsia="Times New Roman" w:hAnsi="Times New Roman" w:cs="Times New Roman"/>
        </w:rPr>
        <w:t>.</w:t>
      </w:r>
      <w:r w:rsidRPr="00F85381">
        <w:rPr>
          <w:rFonts w:ascii="Times New Roman" w:eastAsia="Times New Roman" w:hAnsi="Times New Roman" w:cs="Times New Roman"/>
        </w:rPr>
        <w:t xml:space="preserve"> 35(2), 143-150.</w:t>
      </w:r>
      <w:r w:rsidR="00CD3609">
        <w:rPr>
          <w:rFonts w:ascii="Times New Roman" w:eastAsia="Times New Roman" w:hAnsi="Times New Roman" w:cs="Times New Roman"/>
        </w:rPr>
        <w:t xml:space="preserve"> doi:</w:t>
      </w:r>
      <w:hyperlink r:id="rId67">
        <w:r w:rsidRPr="00F85381">
          <w:rPr>
            <w:rFonts w:ascii="Times New Roman" w:eastAsia="Times New Roman" w:hAnsi="Times New Roman" w:cs="Times New Roman"/>
            <w:u w:val="single"/>
          </w:rPr>
          <w:t>10.1016/0165-0114(90)90189-D</w:t>
        </w:r>
      </w:hyperlink>
      <w:r w:rsidR="004F5DE8">
        <w:rPr>
          <w:rFonts w:ascii="Times New Roman" w:eastAsia="Times New Roman" w:hAnsi="Times New Roman" w:cs="Times New Roman"/>
          <w:u w:val="single"/>
        </w:rPr>
        <w:t>.</w:t>
      </w:r>
    </w:p>
    <w:p w14:paraId="193D2279" w14:textId="11FBA0F1" w:rsidR="009F26E3" w:rsidRPr="00F85381" w:rsidRDefault="00F50BBA" w:rsidP="00261C72">
      <w:pPr>
        <w:spacing w:after="120" w:line="480" w:lineRule="auto"/>
        <w:rPr>
          <w:rFonts w:ascii="Times New Roman" w:eastAsia="Times New Roman" w:hAnsi="Times New Roman" w:cs="Times New Roman"/>
        </w:rPr>
      </w:pPr>
      <w:proofErr w:type="spellStart"/>
      <w:r w:rsidRPr="00F85381">
        <w:rPr>
          <w:rFonts w:ascii="Times New Roman" w:eastAsia="Times New Roman" w:hAnsi="Times New Roman" w:cs="Times New Roman"/>
        </w:rPr>
        <w:t>Klir</w:t>
      </w:r>
      <w:proofErr w:type="spellEnd"/>
      <w:r w:rsidRPr="00F85381">
        <w:rPr>
          <w:rFonts w:ascii="Times New Roman" w:eastAsia="Times New Roman" w:hAnsi="Times New Roman" w:cs="Times New Roman"/>
        </w:rPr>
        <w:t xml:space="preserve">, G.J., Yuan, B., 1995. Fuzzy </w:t>
      </w:r>
      <w:r w:rsidR="00046178">
        <w:rPr>
          <w:rFonts w:ascii="Times New Roman" w:eastAsia="Times New Roman" w:hAnsi="Times New Roman" w:cs="Times New Roman"/>
        </w:rPr>
        <w:t>S</w:t>
      </w:r>
      <w:r w:rsidRPr="00F85381">
        <w:rPr>
          <w:rFonts w:ascii="Times New Roman" w:eastAsia="Times New Roman" w:hAnsi="Times New Roman" w:cs="Times New Roman"/>
        </w:rPr>
        <w:t xml:space="preserve">ets and </w:t>
      </w:r>
      <w:r w:rsidR="00046178">
        <w:rPr>
          <w:rFonts w:ascii="Times New Roman" w:eastAsia="Times New Roman" w:hAnsi="Times New Roman" w:cs="Times New Roman"/>
        </w:rPr>
        <w:t>F</w:t>
      </w:r>
      <w:r w:rsidRPr="00F85381">
        <w:rPr>
          <w:rFonts w:ascii="Times New Roman" w:eastAsia="Times New Roman" w:hAnsi="Times New Roman" w:cs="Times New Roman"/>
        </w:rPr>
        <w:t xml:space="preserve">uzzy </w:t>
      </w:r>
      <w:r w:rsidR="00046178">
        <w:rPr>
          <w:rFonts w:ascii="Times New Roman" w:eastAsia="Times New Roman" w:hAnsi="Times New Roman" w:cs="Times New Roman"/>
        </w:rPr>
        <w:t>L</w:t>
      </w:r>
      <w:r w:rsidRPr="00F85381">
        <w:rPr>
          <w:rFonts w:ascii="Times New Roman" w:eastAsia="Times New Roman" w:hAnsi="Times New Roman" w:cs="Times New Roman"/>
        </w:rPr>
        <w:t xml:space="preserve">ogic: </w:t>
      </w:r>
      <w:r w:rsidR="00046178">
        <w:rPr>
          <w:rFonts w:ascii="Times New Roman" w:eastAsia="Times New Roman" w:hAnsi="Times New Roman" w:cs="Times New Roman"/>
        </w:rPr>
        <w:t>T</w:t>
      </w:r>
      <w:r w:rsidRPr="00F85381">
        <w:rPr>
          <w:rFonts w:ascii="Times New Roman" w:eastAsia="Times New Roman" w:hAnsi="Times New Roman" w:cs="Times New Roman"/>
        </w:rPr>
        <w:t xml:space="preserve">heory and </w:t>
      </w:r>
      <w:r w:rsidR="00046178">
        <w:rPr>
          <w:rFonts w:ascii="Times New Roman" w:eastAsia="Times New Roman" w:hAnsi="Times New Roman" w:cs="Times New Roman"/>
        </w:rPr>
        <w:t>A</w:t>
      </w:r>
      <w:r w:rsidRPr="00F85381">
        <w:rPr>
          <w:rFonts w:ascii="Times New Roman" w:eastAsia="Times New Roman" w:hAnsi="Times New Roman" w:cs="Times New Roman"/>
        </w:rPr>
        <w:t>pplications</w:t>
      </w:r>
      <w:r w:rsidR="003F32D2">
        <w:rPr>
          <w:rFonts w:ascii="Times New Roman" w:eastAsia="Times New Roman" w:hAnsi="Times New Roman" w:cs="Times New Roman"/>
        </w:rPr>
        <w:t>. (</w:t>
      </w:r>
      <w:r w:rsidRPr="00F85381">
        <w:rPr>
          <w:rFonts w:ascii="Times New Roman" w:eastAsia="Times New Roman" w:hAnsi="Times New Roman" w:cs="Times New Roman"/>
        </w:rPr>
        <w:t>Prentice Hall PTR</w:t>
      </w:r>
      <w:r w:rsidR="003F32D2">
        <w:rPr>
          <w:rFonts w:ascii="Times New Roman" w:eastAsia="Times New Roman" w:hAnsi="Times New Roman" w:cs="Times New Roman"/>
        </w:rPr>
        <w:t>)</w:t>
      </w:r>
      <w:r w:rsidRPr="00F85381">
        <w:rPr>
          <w:rFonts w:ascii="Times New Roman" w:eastAsia="Times New Roman" w:hAnsi="Times New Roman" w:cs="Times New Roman"/>
        </w:rPr>
        <w:t>.</w:t>
      </w:r>
    </w:p>
    <w:p w14:paraId="5960344D" w14:textId="4B1B6105" w:rsidR="009F26E3" w:rsidRPr="00F85381" w:rsidRDefault="00F50BBA" w:rsidP="00261C72">
      <w:pPr>
        <w:spacing w:after="120" w:line="480" w:lineRule="auto"/>
        <w:rPr>
          <w:rFonts w:ascii="Times New Roman" w:eastAsia="Times New Roman" w:hAnsi="Times New Roman" w:cs="Times New Roman"/>
        </w:rPr>
      </w:pPr>
      <w:proofErr w:type="spellStart"/>
      <w:r w:rsidRPr="00F85381">
        <w:rPr>
          <w:rFonts w:ascii="Times New Roman" w:eastAsia="Times New Roman" w:hAnsi="Times New Roman" w:cs="Times New Roman"/>
        </w:rPr>
        <w:t>Kuo</w:t>
      </w:r>
      <w:proofErr w:type="spellEnd"/>
      <w:r w:rsidRPr="00F85381">
        <w:rPr>
          <w:rFonts w:ascii="Times New Roman" w:eastAsia="Times New Roman" w:hAnsi="Times New Roman" w:cs="Times New Roman"/>
        </w:rPr>
        <w:t>, J.T., Wang, Y.Y.</w:t>
      </w:r>
      <w:r w:rsidR="00484EDD" w:rsidRPr="00F85381">
        <w:rPr>
          <w:rFonts w:ascii="Times New Roman" w:eastAsia="Times New Roman" w:hAnsi="Times New Roman" w:cs="Times New Roman"/>
        </w:rPr>
        <w:t>,</w:t>
      </w:r>
      <w:r w:rsidRPr="00F85381">
        <w:rPr>
          <w:rFonts w:ascii="Times New Roman" w:eastAsia="Times New Roman" w:hAnsi="Times New Roman" w:cs="Times New Roman"/>
        </w:rPr>
        <w:t xml:space="preserve"> Lung, W.S., 2006. A hybrid neural–genetic algorithm for reservoir water quality management, Water Res. 40, 1367-1376.</w:t>
      </w:r>
      <w:r w:rsidR="00CD3609">
        <w:rPr>
          <w:rFonts w:ascii="Times New Roman" w:eastAsia="Times New Roman" w:hAnsi="Times New Roman" w:cs="Times New Roman"/>
        </w:rPr>
        <w:t xml:space="preserve"> doi:</w:t>
      </w:r>
      <w:hyperlink r:id="rId68">
        <w:r w:rsidRPr="00F85381">
          <w:rPr>
            <w:rFonts w:ascii="Times New Roman" w:eastAsia="Times New Roman" w:hAnsi="Times New Roman" w:cs="Times New Roman"/>
            <w:u w:val="single"/>
          </w:rPr>
          <w:t>10.1016/j.watres.2006.01.046</w:t>
        </w:r>
      </w:hyperlink>
      <w:r w:rsidR="00CD3609">
        <w:rPr>
          <w:rFonts w:ascii="Times New Roman" w:eastAsia="Times New Roman" w:hAnsi="Times New Roman" w:cs="Times New Roman"/>
          <w:u w:val="single"/>
        </w:rPr>
        <w:t>.</w:t>
      </w:r>
    </w:p>
    <w:p w14:paraId="1410A0EC" w14:textId="3A8B10C3" w:rsidR="009F26E3" w:rsidRPr="00F85381" w:rsidRDefault="00F50BBA" w:rsidP="00261C72">
      <w:pPr>
        <w:spacing w:after="120" w:line="480" w:lineRule="auto"/>
        <w:rPr>
          <w:rFonts w:ascii="Times New Roman" w:eastAsia="Times New Roman" w:hAnsi="Times New Roman" w:cs="Times New Roman"/>
          <w:u w:val="single"/>
        </w:rPr>
      </w:pPr>
      <w:r w:rsidRPr="00F85381">
        <w:rPr>
          <w:rFonts w:ascii="Times New Roman" w:eastAsia="Times New Roman" w:hAnsi="Times New Roman" w:cs="Times New Roman"/>
        </w:rPr>
        <w:t>Li, Y., Shi, Y., Qureshi, S., Bruns, A.</w:t>
      </w:r>
      <w:r w:rsidR="00484EDD" w:rsidRPr="00F85381">
        <w:rPr>
          <w:rFonts w:ascii="Times New Roman" w:eastAsia="Times New Roman" w:hAnsi="Times New Roman" w:cs="Times New Roman"/>
        </w:rPr>
        <w:t>,</w:t>
      </w:r>
      <w:r w:rsidRPr="00F85381">
        <w:rPr>
          <w:rFonts w:ascii="Times New Roman" w:eastAsia="Times New Roman" w:hAnsi="Times New Roman" w:cs="Times New Roman"/>
        </w:rPr>
        <w:t xml:space="preserve"> Zhu, X., 2014. Applying the concept of spatial resilience to socio-ecological systems in the urban wetland interface, Ecol</w:t>
      </w:r>
      <w:r w:rsidR="003F32D2">
        <w:rPr>
          <w:rFonts w:ascii="Times New Roman" w:eastAsia="Times New Roman" w:hAnsi="Times New Roman" w:cs="Times New Roman"/>
        </w:rPr>
        <w:t xml:space="preserve">. </w:t>
      </w:r>
      <w:r w:rsidRPr="00F85381">
        <w:rPr>
          <w:rFonts w:ascii="Times New Roman" w:eastAsia="Times New Roman" w:hAnsi="Times New Roman" w:cs="Times New Roman"/>
        </w:rPr>
        <w:t>Indic</w:t>
      </w:r>
      <w:r w:rsidR="003F32D2">
        <w:rPr>
          <w:rFonts w:ascii="Times New Roman" w:eastAsia="Times New Roman" w:hAnsi="Times New Roman" w:cs="Times New Roman"/>
        </w:rPr>
        <w:t>.</w:t>
      </w:r>
      <w:r w:rsidRPr="00F85381">
        <w:rPr>
          <w:rFonts w:ascii="Times New Roman" w:eastAsia="Times New Roman" w:hAnsi="Times New Roman" w:cs="Times New Roman"/>
        </w:rPr>
        <w:t xml:space="preserve"> 42, 135-146. </w:t>
      </w:r>
      <w:r w:rsidR="00CE1EB5">
        <w:rPr>
          <w:rFonts w:ascii="Times New Roman" w:eastAsia="Times New Roman" w:hAnsi="Times New Roman" w:cs="Times New Roman"/>
        </w:rPr>
        <w:t>doi:</w:t>
      </w:r>
      <w:hyperlink r:id="rId69">
        <w:r w:rsidRPr="00F85381">
          <w:rPr>
            <w:rFonts w:ascii="Times New Roman" w:eastAsia="Times New Roman" w:hAnsi="Times New Roman" w:cs="Times New Roman"/>
            <w:u w:val="single"/>
          </w:rPr>
          <w:t>10.1016/j.ecolind.2013.09.032</w:t>
        </w:r>
      </w:hyperlink>
      <w:r w:rsidR="00AF477C" w:rsidRPr="00F85381">
        <w:rPr>
          <w:rFonts w:ascii="Times New Roman" w:eastAsia="Times New Roman" w:hAnsi="Times New Roman" w:cs="Times New Roman"/>
          <w:u w:val="single"/>
        </w:rPr>
        <w:t>.</w:t>
      </w:r>
    </w:p>
    <w:p w14:paraId="7FEBEF0F" w14:textId="17062F7D" w:rsidR="009D6A09" w:rsidRPr="00F85381" w:rsidRDefault="000413DF"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Li, Y., </w:t>
      </w:r>
      <w:proofErr w:type="spellStart"/>
      <w:r w:rsidRPr="00F85381">
        <w:rPr>
          <w:rFonts w:ascii="Times New Roman" w:eastAsia="Times New Roman" w:hAnsi="Times New Roman" w:cs="Times New Roman"/>
        </w:rPr>
        <w:t>Degener</w:t>
      </w:r>
      <w:proofErr w:type="spellEnd"/>
      <w:r w:rsidRPr="00F85381">
        <w:rPr>
          <w:rFonts w:ascii="Times New Roman" w:eastAsia="Times New Roman" w:hAnsi="Times New Roman" w:cs="Times New Roman"/>
        </w:rPr>
        <w:t xml:space="preserve">, J., Gaudreau, M., Li, </w:t>
      </w:r>
      <w:r w:rsidR="001B43EC" w:rsidRPr="00F85381">
        <w:rPr>
          <w:rFonts w:ascii="Times New Roman" w:eastAsia="Times New Roman" w:hAnsi="Times New Roman" w:cs="Times New Roman"/>
        </w:rPr>
        <w:t xml:space="preserve">Y., </w:t>
      </w:r>
      <w:proofErr w:type="spellStart"/>
      <w:r w:rsidR="001B43EC" w:rsidRPr="00F85381">
        <w:rPr>
          <w:rFonts w:ascii="Times New Roman" w:eastAsia="Times New Roman" w:hAnsi="Times New Roman" w:cs="Times New Roman"/>
        </w:rPr>
        <w:t>Kappas</w:t>
      </w:r>
      <w:proofErr w:type="spellEnd"/>
      <w:r w:rsidR="001B43EC" w:rsidRPr="00F85381">
        <w:rPr>
          <w:rFonts w:ascii="Times New Roman" w:eastAsia="Times New Roman" w:hAnsi="Times New Roman" w:cs="Times New Roman"/>
        </w:rPr>
        <w:t xml:space="preserve">, M., 2016. </w:t>
      </w:r>
      <w:r w:rsidRPr="00F85381">
        <w:rPr>
          <w:rFonts w:ascii="Times New Roman" w:eastAsia="Times New Roman" w:hAnsi="Times New Roman" w:cs="Times New Roman"/>
        </w:rPr>
        <w:t>Adaptive capacity</w:t>
      </w:r>
      <w:r w:rsidR="0070426A" w:rsidRPr="00F85381">
        <w:rPr>
          <w:rFonts w:ascii="Times New Roman" w:eastAsia="Times New Roman" w:hAnsi="Times New Roman" w:cs="Times New Roman"/>
        </w:rPr>
        <w:t>-</w:t>
      </w:r>
      <w:r w:rsidRPr="00F85381">
        <w:rPr>
          <w:rFonts w:ascii="Times New Roman" w:eastAsia="Times New Roman" w:hAnsi="Times New Roman" w:cs="Times New Roman"/>
        </w:rPr>
        <w:t>based water quality resilience transformation and policy implications in rapidly urbanizing landscapes</w:t>
      </w:r>
      <w:r w:rsidR="001B43EC" w:rsidRPr="00F85381">
        <w:rPr>
          <w:rFonts w:ascii="Times New Roman" w:eastAsia="Times New Roman" w:hAnsi="Times New Roman" w:cs="Times New Roman"/>
        </w:rPr>
        <w:t xml:space="preserve">, </w:t>
      </w:r>
      <w:r w:rsidR="00D76BDA" w:rsidRPr="00F85381">
        <w:rPr>
          <w:rFonts w:ascii="Times New Roman" w:eastAsia="Times New Roman" w:hAnsi="Times New Roman" w:cs="Times New Roman"/>
        </w:rPr>
        <w:t>Sci. Total Environ.</w:t>
      </w:r>
      <w:r w:rsidR="0070426A" w:rsidRPr="00F85381">
        <w:rPr>
          <w:rFonts w:ascii="Times New Roman" w:eastAsia="Times New Roman" w:hAnsi="Times New Roman" w:cs="Times New Roman"/>
        </w:rPr>
        <w:t xml:space="preserve"> 569–570, 168-178.</w:t>
      </w:r>
      <w:r w:rsidR="00820204">
        <w:rPr>
          <w:rFonts w:ascii="Times New Roman" w:eastAsia="Times New Roman" w:hAnsi="Times New Roman" w:cs="Times New Roman"/>
        </w:rPr>
        <w:t xml:space="preserve"> doi:</w:t>
      </w:r>
      <w:hyperlink r:id="rId70" w:history="1">
        <w:r w:rsidR="00C61BB5" w:rsidRPr="00F85381">
          <w:rPr>
            <w:rStyle w:val="Hyperlink"/>
            <w:rFonts w:ascii="Times New Roman" w:eastAsia="Times New Roman" w:hAnsi="Times New Roman" w:cs="Times New Roman"/>
            <w:color w:val="auto"/>
          </w:rPr>
          <w:t>10.1016/j.scitotenv.2016.06.110</w:t>
        </w:r>
      </w:hyperlink>
    </w:p>
    <w:p w14:paraId="00731E5F" w14:textId="50BC115A" w:rsidR="00F701F9" w:rsidRPr="00F85381" w:rsidRDefault="00BF2980"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Lolli, F., Ishizaka, A., &amp; </w:t>
      </w:r>
      <w:proofErr w:type="spellStart"/>
      <w:r w:rsidRPr="00F85381">
        <w:rPr>
          <w:rFonts w:ascii="Times New Roman" w:eastAsia="Times New Roman" w:hAnsi="Times New Roman" w:cs="Times New Roman"/>
        </w:rPr>
        <w:t>Gamberini</w:t>
      </w:r>
      <w:proofErr w:type="spellEnd"/>
      <w:r w:rsidRPr="00F85381">
        <w:rPr>
          <w:rFonts w:ascii="Times New Roman" w:eastAsia="Times New Roman" w:hAnsi="Times New Roman" w:cs="Times New Roman"/>
        </w:rPr>
        <w:t>, R.</w:t>
      </w:r>
      <w:r w:rsidR="00E34C78">
        <w:rPr>
          <w:rFonts w:ascii="Times New Roman" w:eastAsia="Times New Roman" w:hAnsi="Times New Roman" w:cs="Times New Roman"/>
        </w:rPr>
        <w:t>,</w:t>
      </w:r>
      <w:r w:rsidRPr="00F85381">
        <w:rPr>
          <w:rFonts w:ascii="Times New Roman" w:eastAsia="Times New Roman" w:hAnsi="Times New Roman" w:cs="Times New Roman"/>
        </w:rPr>
        <w:t xml:space="preserve"> 2014. New AHP-based approaches for multi-criteria inventory classification. Int</w:t>
      </w:r>
      <w:r w:rsidR="00E34C78">
        <w:rPr>
          <w:rFonts w:ascii="Times New Roman" w:eastAsia="Times New Roman" w:hAnsi="Times New Roman" w:cs="Times New Roman"/>
        </w:rPr>
        <w:t>.</w:t>
      </w:r>
      <w:r w:rsidRPr="00F85381">
        <w:rPr>
          <w:rFonts w:ascii="Times New Roman" w:eastAsia="Times New Roman" w:hAnsi="Times New Roman" w:cs="Times New Roman"/>
        </w:rPr>
        <w:t xml:space="preserve"> J</w:t>
      </w:r>
      <w:r w:rsidR="00E34C78">
        <w:rPr>
          <w:rFonts w:ascii="Times New Roman" w:eastAsia="Times New Roman" w:hAnsi="Times New Roman" w:cs="Times New Roman"/>
        </w:rPr>
        <w:t>.</w:t>
      </w:r>
      <w:r w:rsidRPr="00F85381">
        <w:rPr>
          <w:rFonts w:ascii="Times New Roman" w:eastAsia="Times New Roman" w:hAnsi="Times New Roman" w:cs="Times New Roman"/>
        </w:rPr>
        <w:t xml:space="preserve"> Prod</w:t>
      </w:r>
      <w:r w:rsidR="00E34C78">
        <w:rPr>
          <w:rFonts w:ascii="Times New Roman" w:eastAsia="Times New Roman" w:hAnsi="Times New Roman" w:cs="Times New Roman"/>
        </w:rPr>
        <w:t>.</w:t>
      </w:r>
      <w:r w:rsidRPr="00F85381">
        <w:rPr>
          <w:rFonts w:ascii="Times New Roman" w:eastAsia="Times New Roman" w:hAnsi="Times New Roman" w:cs="Times New Roman"/>
        </w:rPr>
        <w:t xml:space="preserve"> Econ</w:t>
      </w:r>
      <w:r w:rsidR="00E34C78">
        <w:rPr>
          <w:rFonts w:ascii="Times New Roman" w:eastAsia="Times New Roman" w:hAnsi="Times New Roman" w:cs="Times New Roman"/>
        </w:rPr>
        <w:t>.</w:t>
      </w:r>
      <w:r w:rsidRPr="00F85381">
        <w:rPr>
          <w:rFonts w:ascii="Times New Roman" w:eastAsia="Times New Roman" w:hAnsi="Times New Roman" w:cs="Times New Roman"/>
        </w:rPr>
        <w:t xml:space="preserve"> 156, 62–74.</w:t>
      </w:r>
      <w:r w:rsidR="005A19CF">
        <w:rPr>
          <w:rFonts w:ascii="Times New Roman" w:eastAsia="Times New Roman" w:hAnsi="Times New Roman" w:cs="Times New Roman"/>
        </w:rPr>
        <w:t xml:space="preserve"> </w:t>
      </w:r>
      <w:proofErr w:type="gramStart"/>
      <w:r w:rsidR="005A19CF">
        <w:rPr>
          <w:rFonts w:ascii="Times New Roman" w:eastAsia="Times New Roman" w:hAnsi="Times New Roman" w:cs="Times New Roman"/>
        </w:rPr>
        <w:t>doi:</w:t>
      </w:r>
      <w:r w:rsidRPr="00F85381">
        <w:rPr>
          <w:rFonts w:ascii="Times New Roman" w:eastAsia="Times New Roman" w:hAnsi="Times New Roman" w:cs="Times New Roman"/>
        </w:rPr>
        <w:t>10.1016/j.ijpe</w:t>
      </w:r>
      <w:proofErr w:type="gramEnd"/>
      <w:r w:rsidRPr="00F85381">
        <w:rPr>
          <w:rFonts w:ascii="Times New Roman" w:eastAsia="Times New Roman" w:hAnsi="Times New Roman" w:cs="Times New Roman"/>
        </w:rPr>
        <w:t>.2014.05.015</w:t>
      </w:r>
      <w:r w:rsidR="00E34C78">
        <w:rPr>
          <w:rFonts w:ascii="Times New Roman" w:eastAsia="Times New Roman" w:hAnsi="Times New Roman" w:cs="Times New Roman"/>
        </w:rPr>
        <w:t>.</w:t>
      </w:r>
    </w:p>
    <w:p w14:paraId="5CFA3DF2" w14:textId="11B1E202" w:rsidR="009F26E3" w:rsidRPr="00F85381" w:rsidRDefault="00F50BBA" w:rsidP="00261C72">
      <w:pPr>
        <w:spacing w:after="120" w:line="480" w:lineRule="auto"/>
        <w:rPr>
          <w:rFonts w:ascii="Times New Roman" w:eastAsia="Times New Roman" w:hAnsi="Times New Roman" w:cs="Times New Roman"/>
        </w:rPr>
      </w:pPr>
      <w:proofErr w:type="spellStart"/>
      <w:r w:rsidRPr="00F85381">
        <w:rPr>
          <w:rFonts w:ascii="Times New Roman" w:eastAsia="Times New Roman" w:hAnsi="Times New Roman" w:cs="Times New Roman"/>
        </w:rPr>
        <w:lastRenderedPageBreak/>
        <w:t>Mahmoudi</w:t>
      </w:r>
      <w:proofErr w:type="spellEnd"/>
      <w:r w:rsidRPr="00F85381">
        <w:rPr>
          <w:rFonts w:ascii="Times New Roman" w:eastAsia="Times New Roman" w:hAnsi="Times New Roman" w:cs="Times New Roman"/>
        </w:rPr>
        <w:t xml:space="preserve">, N., </w:t>
      </w:r>
      <w:proofErr w:type="spellStart"/>
      <w:r w:rsidRPr="00F85381">
        <w:rPr>
          <w:rFonts w:ascii="Times New Roman" w:eastAsia="Times New Roman" w:hAnsi="Times New Roman" w:cs="Times New Roman"/>
        </w:rPr>
        <w:t>Orouji</w:t>
      </w:r>
      <w:proofErr w:type="spellEnd"/>
      <w:r w:rsidRPr="00F85381">
        <w:rPr>
          <w:rFonts w:ascii="Times New Roman" w:eastAsia="Times New Roman" w:hAnsi="Times New Roman" w:cs="Times New Roman"/>
        </w:rPr>
        <w:t>, H.</w:t>
      </w:r>
      <w:r w:rsidR="00484EDD" w:rsidRPr="00F85381">
        <w:rPr>
          <w:rFonts w:ascii="Times New Roman" w:eastAsia="Times New Roman" w:hAnsi="Times New Roman" w:cs="Times New Roman"/>
        </w:rPr>
        <w:t>,</w:t>
      </w:r>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Fallah-Mehdipour</w:t>
      </w:r>
      <w:proofErr w:type="spellEnd"/>
      <w:r w:rsidRPr="00F85381">
        <w:rPr>
          <w:rFonts w:ascii="Times New Roman" w:eastAsia="Times New Roman" w:hAnsi="Times New Roman" w:cs="Times New Roman"/>
        </w:rPr>
        <w:t>, E., 2016. Integration of shuffled frog leaping algorithm and support vector regression for prediction of water quality parameters</w:t>
      </w:r>
      <w:r w:rsidR="00B471CC">
        <w:rPr>
          <w:rFonts w:ascii="Times New Roman" w:eastAsia="Times New Roman" w:hAnsi="Times New Roman" w:cs="Times New Roman"/>
        </w:rPr>
        <w:t>.</w:t>
      </w:r>
      <w:r w:rsidRPr="00F85381">
        <w:rPr>
          <w:rFonts w:ascii="Times New Roman" w:eastAsia="Times New Roman" w:hAnsi="Times New Roman" w:cs="Times New Roman"/>
        </w:rPr>
        <w:t xml:space="preserve"> Water </w:t>
      </w:r>
      <w:proofErr w:type="spellStart"/>
      <w:r w:rsidRPr="00F85381">
        <w:rPr>
          <w:rFonts w:ascii="Times New Roman" w:eastAsia="Times New Roman" w:hAnsi="Times New Roman" w:cs="Times New Roman"/>
        </w:rPr>
        <w:t>Resour</w:t>
      </w:r>
      <w:proofErr w:type="spellEnd"/>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Manag</w:t>
      </w:r>
      <w:proofErr w:type="spellEnd"/>
      <w:r w:rsidRPr="00F85381">
        <w:rPr>
          <w:rFonts w:ascii="Times New Roman" w:eastAsia="Times New Roman" w:hAnsi="Times New Roman" w:cs="Times New Roman"/>
        </w:rPr>
        <w:t>. 30, 2195-2211.</w:t>
      </w:r>
      <w:r w:rsidR="00406C64" w:rsidRPr="00F85381">
        <w:rPr>
          <w:rFonts w:ascii="Times New Roman" w:eastAsia="Times New Roman" w:hAnsi="Times New Roman" w:cs="Times New Roman"/>
        </w:rPr>
        <w:t xml:space="preserve"> </w:t>
      </w:r>
      <w:r w:rsidR="005A19CF">
        <w:rPr>
          <w:rFonts w:ascii="Times New Roman" w:eastAsia="Times New Roman" w:hAnsi="Times New Roman" w:cs="Times New Roman"/>
        </w:rPr>
        <w:t>doi:</w:t>
      </w:r>
      <w:hyperlink r:id="rId71" w:history="1">
        <w:r w:rsidR="005A19CF" w:rsidRPr="000D4A4A">
          <w:rPr>
            <w:rStyle w:val="Hyperlink"/>
            <w:rFonts w:ascii="&amp;quot" w:hAnsi="&amp;quot"/>
          </w:rPr>
          <w:t>10.1007/s11269-016-1280-3</w:t>
        </w:r>
      </w:hyperlink>
      <w:r w:rsidR="00406C64" w:rsidRPr="00F85381">
        <w:t>.</w:t>
      </w:r>
    </w:p>
    <w:p w14:paraId="2B007CA7" w14:textId="4235214D" w:rsidR="002D03F0" w:rsidRPr="00F85381" w:rsidRDefault="00F50BBA" w:rsidP="00261C72">
      <w:pPr>
        <w:spacing w:line="480" w:lineRule="auto"/>
        <w:rPr>
          <w:rFonts w:ascii="Times New Roman" w:hAnsi="Times New Roman" w:cs="Times New Roman"/>
        </w:rPr>
      </w:pPr>
      <w:r w:rsidRPr="00F85381">
        <w:rPr>
          <w:rFonts w:ascii="Times New Roman" w:eastAsia="Times New Roman" w:hAnsi="Times New Roman" w:cs="Times New Roman"/>
        </w:rPr>
        <w:t xml:space="preserve">Maier, H.R., </w:t>
      </w:r>
      <w:proofErr w:type="spellStart"/>
      <w:r w:rsidRPr="00F85381">
        <w:rPr>
          <w:rFonts w:ascii="Times New Roman" w:eastAsia="Times New Roman" w:hAnsi="Times New Roman" w:cs="Times New Roman"/>
        </w:rPr>
        <w:t>Lence</w:t>
      </w:r>
      <w:proofErr w:type="spellEnd"/>
      <w:r w:rsidRPr="00F85381">
        <w:rPr>
          <w:rFonts w:ascii="Times New Roman" w:eastAsia="Times New Roman" w:hAnsi="Times New Roman" w:cs="Times New Roman"/>
        </w:rPr>
        <w:t>, B.J., Tolson, B.A.</w:t>
      </w:r>
      <w:r w:rsidR="00484EDD" w:rsidRPr="00F85381">
        <w:rPr>
          <w:rFonts w:ascii="Times New Roman" w:eastAsia="Times New Roman" w:hAnsi="Times New Roman" w:cs="Times New Roman"/>
        </w:rPr>
        <w:t>,</w:t>
      </w:r>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Foschi</w:t>
      </w:r>
      <w:proofErr w:type="spellEnd"/>
      <w:r w:rsidRPr="00F85381">
        <w:rPr>
          <w:rFonts w:ascii="Times New Roman" w:eastAsia="Times New Roman" w:hAnsi="Times New Roman" w:cs="Times New Roman"/>
        </w:rPr>
        <w:t xml:space="preserve">, R.O., 2001. First-order reliability method for estimating reliability, </w:t>
      </w:r>
      <w:proofErr w:type="gramStart"/>
      <w:r w:rsidRPr="00F85381">
        <w:rPr>
          <w:rFonts w:ascii="Times New Roman" w:eastAsia="Times New Roman" w:hAnsi="Times New Roman" w:cs="Times New Roman"/>
        </w:rPr>
        <w:t>vulnerability</w:t>
      </w:r>
      <w:proofErr w:type="gramEnd"/>
      <w:r w:rsidRPr="00F85381">
        <w:rPr>
          <w:rFonts w:ascii="Times New Roman" w:eastAsia="Times New Roman" w:hAnsi="Times New Roman" w:cs="Times New Roman"/>
        </w:rPr>
        <w:t xml:space="preserve"> and resilience</w:t>
      </w:r>
      <w:r w:rsidR="00B471CC">
        <w:rPr>
          <w:rFonts w:ascii="Times New Roman" w:eastAsia="Times New Roman" w:hAnsi="Times New Roman" w:cs="Times New Roman"/>
        </w:rPr>
        <w:t>.</w:t>
      </w:r>
      <w:r w:rsidRPr="00F85381">
        <w:rPr>
          <w:rFonts w:ascii="Times New Roman" w:eastAsia="Times New Roman" w:hAnsi="Times New Roman" w:cs="Times New Roman"/>
        </w:rPr>
        <w:t xml:space="preserve"> Water </w:t>
      </w:r>
      <w:proofErr w:type="spellStart"/>
      <w:r w:rsidRPr="00F85381">
        <w:rPr>
          <w:rFonts w:ascii="Times New Roman" w:eastAsia="Times New Roman" w:hAnsi="Times New Roman" w:cs="Times New Roman"/>
        </w:rPr>
        <w:t>Resour</w:t>
      </w:r>
      <w:proofErr w:type="spellEnd"/>
      <w:r w:rsidR="00B471CC">
        <w:rPr>
          <w:rFonts w:ascii="Times New Roman" w:eastAsia="Times New Roman" w:hAnsi="Times New Roman" w:cs="Times New Roman"/>
        </w:rPr>
        <w:t>.</w:t>
      </w:r>
      <w:r w:rsidRPr="00F85381">
        <w:rPr>
          <w:rFonts w:ascii="Times New Roman" w:eastAsia="Times New Roman" w:hAnsi="Times New Roman" w:cs="Times New Roman"/>
        </w:rPr>
        <w:t xml:space="preserve"> Res</w:t>
      </w:r>
      <w:r w:rsidR="001069D9">
        <w:rPr>
          <w:rFonts w:ascii="Times New Roman" w:eastAsia="Times New Roman" w:hAnsi="Times New Roman" w:cs="Times New Roman"/>
        </w:rPr>
        <w:t xml:space="preserve">. </w:t>
      </w:r>
      <w:r w:rsidRPr="00F85381">
        <w:rPr>
          <w:rFonts w:ascii="Times New Roman" w:eastAsia="Times New Roman" w:hAnsi="Times New Roman" w:cs="Times New Roman"/>
        </w:rPr>
        <w:t xml:space="preserve">37 (3), 779-790. </w:t>
      </w:r>
      <w:r w:rsidR="00697440">
        <w:rPr>
          <w:rFonts w:ascii="Times New Roman" w:eastAsia="Times New Roman" w:hAnsi="Times New Roman" w:cs="Times New Roman"/>
        </w:rPr>
        <w:t>doi:</w:t>
      </w:r>
      <w:hyperlink r:id="rId72" w:history="1">
        <w:r w:rsidR="002D03F0" w:rsidRPr="00F85381">
          <w:rPr>
            <w:rStyle w:val="Hyperlink"/>
            <w:rFonts w:ascii="Times New Roman" w:hAnsi="Times New Roman" w:cs="Times New Roman"/>
            <w:bCs/>
            <w:color w:val="auto"/>
          </w:rPr>
          <w:t>10.1029/2000WR900329</w:t>
        </w:r>
      </w:hyperlink>
      <w:r w:rsidR="001069D9">
        <w:rPr>
          <w:rStyle w:val="Hyperlink"/>
          <w:rFonts w:ascii="Times New Roman" w:hAnsi="Times New Roman" w:cs="Times New Roman"/>
          <w:bCs/>
          <w:color w:val="auto"/>
        </w:rPr>
        <w:t>.</w:t>
      </w:r>
    </w:p>
    <w:p w14:paraId="65B1A420" w14:textId="404B0984" w:rsidR="009F26E3" w:rsidRPr="00F85381" w:rsidRDefault="00F50BBA" w:rsidP="00261C72">
      <w:pPr>
        <w:spacing w:after="120" w:line="480" w:lineRule="auto"/>
        <w:rPr>
          <w:rFonts w:ascii="Times New Roman" w:eastAsia="Times New Roman" w:hAnsi="Times New Roman" w:cs="Times New Roman"/>
        </w:rPr>
      </w:pPr>
      <w:proofErr w:type="spellStart"/>
      <w:r w:rsidRPr="00F85381">
        <w:rPr>
          <w:rFonts w:ascii="Times New Roman" w:eastAsia="Times New Roman" w:hAnsi="Times New Roman" w:cs="Times New Roman"/>
        </w:rPr>
        <w:t>Malekmohammadi</w:t>
      </w:r>
      <w:proofErr w:type="spellEnd"/>
      <w:r w:rsidRPr="00F85381">
        <w:rPr>
          <w:rFonts w:ascii="Times New Roman" w:eastAsia="Times New Roman" w:hAnsi="Times New Roman" w:cs="Times New Roman"/>
        </w:rPr>
        <w:t xml:space="preserve">, B., </w:t>
      </w:r>
      <w:proofErr w:type="spellStart"/>
      <w:r w:rsidRPr="00F85381">
        <w:rPr>
          <w:rFonts w:ascii="Times New Roman" w:eastAsia="Times New Roman" w:hAnsi="Times New Roman" w:cs="Times New Roman"/>
        </w:rPr>
        <w:t>Kerachian</w:t>
      </w:r>
      <w:proofErr w:type="spellEnd"/>
      <w:r w:rsidRPr="00F85381">
        <w:rPr>
          <w:rFonts w:ascii="Times New Roman" w:eastAsia="Times New Roman" w:hAnsi="Times New Roman" w:cs="Times New Roman"/>
        </w:rPr>
        <w:t>, R.</w:t>
      </w:r>
      <w:r w:rsidR="00484EDD" w:rsidRPr="00F85381">
        <w:rPr>
          <w:rFonts w:ascii="Times New Roman" w:eastAsia="Times New Roman" w:hAnsi="Times New Roman" w:cs="Times New Roman"/>
        </w:rPr>
        <w:t>,</w:t>
      </w:r>
      <w:r w:rsidRPr="00F85381">
        <w:rPr>
          <w:rFonts w:ascii="Times New Roman" w:eastAsia="Times New Roman" w:hAnsi="Times New Roman" w:cs="Times New Roman"/>
        </w:rPr>
        <w:t> </w:t>
      </w:r>
      <w:proofErr w:type="spellStart"/>
      <w:r w:rsidRPr="00F85381">
        <w:rPr>
          <w:rFonts w:ascii="Times New Roman" w:eastAsia="Times New Roman" w:hAnsi="Times New Roman" w:cs="Times New Roman"/>
        </w:rPr>
        <w:t>Zahraie</w:t>
      </w:r>
      <w:proofErr w:type="spellEnd"/>
      <w:r w:rsidRPr="00F85381">
        <w:rPr>
          <w:rFonts w:ascii="Times New Roman" w:eastAsia="Times New Roman" w:hAnsi="Times New Roman" w:cs="Times New Roman"/>
        </w:rPr>
        <w:t>, B., 2009. Developing monthly operating rules for a cascade system of reservoirs: Application of Bayesian Networks</w:t>
      </w:r>
      <w:r w:rsidR="00586570">
        <w:rPr>
          <w:rFonts w:ascii="Times New Roman" w:eastAsia="Times New Roman" w:hAnsi="Times New Roman" w:cs="Times New Roman"/>
        </w:rPr>
        <w:t>.</w:t>
      </w:r>
      <w:r w:rsidRPr="00F85381">
        <w:rPr>
          <w:rFonts w:ascii="Times New Roman" w:eastAsia="Times New Roman" w:hAnsi="Times New Roman" w:cs="Times New Roman"/>
        </w:rPr>
        <w:t xml:space="preserve"> Environ</w:t>
      </w:r>
      <w:r w:rsidR="00586570">
        <w:rPr>
          <w:rFonts w:ascii="Times New Roman" w:eastAsia="Times New Roman" w:hAnsi="Times New Roman" w:cs="Times New Roman"/>
        </w:rPr>
        <w:t>.</w:t>
      </w:r>
      <w:r w:rsidRPr="00F85381">
        <w:rPr>
          <w:rFonts w:ascii="Times New Roman" w:eastAsia="Times New Roman" w:hAnsi="Times New Roman" w:cs="Times New Roman"/>
        </w:rPr>
        <w:t xml:space="preserve"> Model</w:t>
      </w:r>
      <w:r w:rsidR="00586570">
        <w:rPr>
          <w:rFonts w:ascii="Times New Roman" w:eastAsia="Times New Roman" w:hAnsi="Times New Roman" w:cs="Times New Roman"/>
        </w:rPr>
        <w:t>.</w:t>
      </w:r>
      <w:r w:rsidRPr="00F85381">
        <w:rPr>
          <w:rFonts w:ascii="Times New Roman" w:eastAsia="Times New Roman" w:hAnsi="Times New Roman" w:cs="Times New Roman"/>
        </w:rPr>
        <w:t xml:space="preserve"> 24, 1420-1432.</w:t>
      </w:r>
      <w:r w:rsidR="00697440">
        <w:rPr>
          <w:rFonts w:ascii="Times New Roman" w:eastAsia="Times New Roman" w:hAnsi="Times New Roman" w:cs="Times New Roman"/>
        </w:rPr>
        <w:t xml:space="preserve"> doi:</w:t>
      </w:r>
      <w:hyperlink r:id="rId73">
        <w:r w:rsidRPr="00F85381">
          <w:rPr>
            <w:rFonts w:ascii="Times New Roman" w:eastAsia="Times New Roman" w:hAnsi="Times New Roman" w:cs="Times New Roman"/>
            <w:u w:val="single"/>
          </w:rPr>
          <w:t>10.1016/j.envsoft.2009.06.008</w:t>
        </w:r>
      </w:hyperlink>
      <w:r w:rsidR="00586570">
        <w:rPr>
          <w:rFonts w:ascii="Times New Roman" w:eastAsia="Times New Roman" w:hAnsi="Times New Roman" w:cs="Times New Roman"/>
          <w:u w:val="single"/>
        </w:rPr>
        <w:t>.</w:t>
      </w:r>
    </w:p>
    <w:p w14:paraId="6AF23A83" w14:textId="6429A347" w:rsidR="009F26E3" w:rsidRDefault="00F50BBA" w:rsidP="00261C72">
      <w:pPr>
        <w:spacing w:after="120" w:line="480" w:lineRule="auto"/>
        <w:rPr>
          <w:rStyle w:val="Hyperlink"/>
          <w:rFonts w:ascii="Times New Roman" w:hAnsi="Times New Roman" w:cs="Times New Roman"/>
          <w:color w:val="auto"/>
        </w:rPr>
      </w:pPr>
      <w:proofErr w:type="spellStart"/>
      <w:r w:rsidRPr="00F85381">
        <w:rPr>
          <w:rFonts w:ascii="Times New Roman" w:eastAsia="Times New Roman" w:hAnsi="Times New Roman" w:cs="Times New Roman"/>
        </w:rPr>
        <w:t>Mallya</w:t>
      </w:r>
      <w:proofErr w:type="spellEnd"/>
      <w:r w:rsidRPr="00F85381">
        <w:rPr>
          <w:rFonts w:ascii="Times New Roman" w:eastAsia="Times New Roman" w:hAnsi="Times New Roman" w:cs="Times New Roman"/>
        </w:rPr>
        <w:t xml:space="preserve">, C., </w:t>
      </w:r>
      <w:proofErr w:type="spellStart"/>
      <w:r w:rsidRPr="00F85381">
        <w:rPr>
          <w:rFonts w:ascii="Times New Roman" w:eastAsia="Times New Roman" w:hAnsi="Times New Roman" w:cs="Times New Roman"/>
        </w:rPr>
        <w:t>Hantush</w:t>
      </w:r>
      <w:proofErr w:type="spellEnd"/>
      <w:r w:rsidRPr="00F85381">
        <w:rPr>
          <w:rFonts w:ascii="Times New Roman" w:eastAsia="Times New Roman" w:hAnsi="Times New Roman" w:cs="Times New Roman"/>
        </w:rPr>
        <w:t>, M.</w:t>
      </w:r>
      <w:r w:rsidR="00484EDD" w:rsidRPr="00F85381">
        <w:rPr>
          <w:rFonts w:ascii="Times New Roman" w:eastAsia="Times New Roman" w:hAnsi="Times New Roman" w:cs="Times New Roman"/>
        </w:rPr>
        <w:t>,</w:t>
      </w:r>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Govindaraju</w:t>
      </w:r>
      <w:proofErr w:type="spellEnd"/>
      <w:r w:rsidRPr="00F85381">
        <w:rPr>
          <w:rFonts w:ascii="Times New Roman" w:eastAsia="Times New Roman" w:hAnsi="Times New Roman" w:cs="Times New Roman"/>
        </w:rPr>
        <w:t>, R.S., 2018. Composite measures of watershed health from a water quality Perspective</w:t>
      </w:r>
      <w:r w:rsidR="00716404">
        <w:rPr>
          <w:rFonts w:ascii="Times New Roman" w:eastAsia="Times New Roman" w:hAnsi="Times New Roman" w:cs="Times New Roman"/>
        </w:rPr>
        <w:t xml:space="preserve">. </w:t>
      </w:r>
      <w:r w:rsidRPr="00F85381">
        <w:rPr>
          <w:rFonts w:ascii="Times New Roman" w:eastAsia="Times New Roman" w:hAnsi="Times New Roman" w:cs="Times New Roman"/>
        </w:rPr>
        <w:t>J</w:t>
      </w:r>
      <w:r w:rsidR="00716404">
        <w:rPr>
          <w:rFonts w:ascii="Times New Roman" w:eastAsia="Times New Roman" w:hAnsi="Times New Roman" w:cs="Times New Roman"/>
        </w:rPr>
        <w:t xml:space="preserve">. </w:t>
      </w:r>
      <w:r w:rsidRPr="00F85381">
        <w:rPr>
          <w:rFonts w:ascii="Times New Roman" w:eastAsia="Times New Roman" w:hAnsi="Times New Roman" w:cs="Times New Roman"/>
        </w:rPr>
        <w:t>Environ</w:t>
      </w:r>
      <w:r w:rsidR="00716404">
        <w:rPr>
          <w:rFonts w:ascii="Times New Roman" w:eastAsia="Times New Roman" w:hAnsi="Times New Roman" w:cs="Times New Roman"/>
        </w:rPr>
        <w:t>.</w:t>
      </w:r>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Manag</w:t>
      </w:r>
      <w:proofErr w:type="spellEnd"/>
      <w:r w:rsidR="00716404">
        <w:rPr>
          <w:rFonts w:ascii="Times New Roman" w:eastAsia="Times New Roman" w:hAnsi="Times New Roman" w:cs="Times New Roman"/>
        </w:rPr>
        <w:t>.</w:t>
      </w:r>
      <w:r w:rsidRPr="00F85381">
        <w:rPr>
          <w:rFonts w:ascii="Times New Roman" w:eastAsia="Times New Roman" w:hAnsi="Times New Roman" w:cs="Times New Roman"/>
        </w:rPr>
        <w:t xml:space="preserve"> 214, 104-124.</w:t>
      </w:r>
      <w:r w:rsidR="00697440">
        <w:rPr>
          <w:rFonts w:ascii="Times New Roman" w:eastAsia="Times New Roman" w:hAnsi="Times New Roman" w:cs="Times New Roman"/>
        </w:rPr>
        <w:t xml:space="preserve"> doi:</w:t>
      </w:r>
      <w:hyperlink r:id="rId74" w:tgtFrame="_blank" w:tooltip="Persistent link using digital object identifier" w:history="1">
        <w:r w:rsidR="00E13179" w:rsidRPr="00F85381">
          <w:rPr>
            <w:rStyle w:val="Hyperlink"/>
            <w:rFonts w:ascii="Times New Roman" w:hAnsi="Times New Roman" w:cs="Times New Roman"/>
            <w:color w:val="auto"/>
          </w:rPr>
          <w:t>10.1016/j.jenvman.2018.02.049</w:t>
        </w:r>
      </w:hyperlink>
      <w:r w:rsidR="00716404">
        <w:rPr>
          <w:rStyle w:val="Hyperlink"/>
          <w:rFonts w:ascii="Times New Roman" w:hAnsi="Times New Roman" w:cs="Times New Roman"/>
          <w:color w:val="auto"/>
        </w:rPr>
        <w:t>.</w:t>
      </w:r>
    </w:p>
    <w:p w14:paraId="1F7468A8" w14:textId="05684547" w:rsidR="007F576F" w:rsidRDefault="007F576F" w:rsidP="007F576F">
      <w:pPr>
        <w:spacing w:after="120" w:line="480" w:lineRule="auto"/>
        <w:rPr>
          <w:rFonts w:ascii="Times New Roman" w:eastAsia="Times New Roman" w:hAnsi="Times New Roman" w:cs="Times New Roman"/>
          <w:u w:val="single"/>
        </w:rPr>
      </w:pPr>
      <w:proofErr w:type="spellStart"/>
      <w:r w:rsidRPr="00F85381">
        <w:rPr>
          <w:rFonts w:ascii="Times New Roman" w:eastAsia="Times New Roman" w:hAnsi="Times New Roman" w:cs="Times New Roman"/>
        </w:rPr>
        <w:t>Matrosov</w:t>
      </w:r>
      <w:proofErr w:type="spellEnd"/>
      <w:r w:rsidRPr="00F85381">
        <w:rPr>
          <w:rFonts w:ascii="Times New Roman" w:eastAsia="Times New Roman" w:hAnsi="Times New Roman" w:cs="Times New Roman"/>
        </w:rPr>
        <w:t xml:space="preserve">, E.S., </w:t>
      </w:r>
      <w:proofErr w:type="spellStart"/>
      <w:r w:rsidRPr="00F85381">
        <w:rPr>
          <w:rFonts w:ascii="Times New Roman" w:eastAsia="Times New Roman" w:hAnsi="Times New Roman" w:cs="Times New Roman"/>
        </w:rPr>
        <w:t>Padula</w:t>
      </w:r>
      <w:proofErr w:type="spellEnd"/>
      <w:r w:rsidRPr="00F85381">
        <w:rPr>
          <w:rFonts w:ascii="Times New Roman" w:eastAsia="Times New Roman" w:hAnsi="Times New Roman" w:cs="Times New Roman"/>
        </w:rPr>
        <w:t xml:space="preserve">, S., </w:t>
      </w:r>
      <w:proofErr w:type="spellStart"/>
      <w:r w:rsidRPr="00F85381">
        <w:rPr>
          <w:rFonts w:ascii="Times New Roman" w:eastAsia="Times New Roman" w:hAnsi="Times New Roman" w:cs="Times New Roman"/>
        </w:rPr>
        <w:t>Harou</w:t>
      </w:r>
      <w:proofErr w:type="spellEnd"/>
      <w:r w:rsidRPr="00F85381">
        <w:rPr>
          <w:rFonts w:ascii="Times New Roman" w:eastAsia="Times New Roman" w:hAnsi="Times New Roman" w:cs="Times New Roman"/>
        </w:rPr>
        <w:t xml:space="preserve">, J.J., 2012. Selecting portfolios of water supply and demand management strategies under uncertainty —contrasting economic optimisation and “robust decision making” approaches. Water </w:t>
      </w:r>
      <w:proofErr w:type="spellStart"/>
      <w:r w:rsidRPr="00F85381">
        <w:rPr>
          <w:rFonts w:ascii="Times New Roman" w:eastAsia="Times New Roman" w:hAnsi="Times New Roman" w:cs="Times New Roman"/>
        </w:rPr>
        <w:t>Resour</w:t>
      </w:r>
      <w:proofErr w:type="spellEnd"/>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Manag</w:t>
      </w:r>
      <w:proofErr w:type="spellEnd"/>
      <w:r w:rsidRPr="00F85381">
        <w:rPr>
          <w:rFonts w:ascii="Times New Roman" w:eastAsia="Times New Roman" w:hAnsi="Times New Roman" w:cs="Times New Roman"/>
        </w:rPr>
        <w:t>. 27 (4), 1123–1148.</w:t>
      </w:r>
      <w:r w:rsidR="00E60F8C">
        <w:rPr>
          <w:rFonts w:ascii="Times New Roman" w:eastAsia="Times New Roman" w:hAnsi="Times New Roman" w:cs="Times New Roman"/>
        </w:rPr>
        <w:t xml:space="preserve"> </w:t>
      </w:r>
      <w:r w:rsidR="00CE2096">
        <w:rPr>
          <w:rFonts w:ascii="Times New Roman" w:eastAsia="Times New Roman" w:hAnsi="Times New Roman" w:cs="Times New Roman"/>
        </w:rPr>
        <w:t>d</w:t>
      </w:r>
      <w:r w:rsidR="00E60F8C">
        <w:rPr>
          <w:rFonts w:ascii="Times New Roman" w:eastAsia="Times New Roman" w:hAnsi="Times New Roman" w:cs="Times New Roman"/>
        </w:rPr>
        <w:t>oi:</w:t>
      </w:r>
      <w:hyperlink r:id="rId75">
        <w:r w:rsidRPr="00F85381">
          <w:rPr>
            <w:rFonts w:ascii="Times New Roman" w:eastAsia="Times New Roman" w:hAnsi="Times New Roman" w:cs="Times New Roman"/>
            <w:u w:val="single"/>
          </w:rPr>
          <w:t>10.1007/s11269-012-0118-x</w:t>
        </w:r>
      </w:hyperlink>
      <w:r w:rsidR="002226A9">
        <w:rPr>
          <w:rFonts w:ascii="Times New Roman" w:eastAsia="Times New Roman" w:hAnsi="Times New Roman" w:cs="Times New Roman"/>
          <w:u w:val="single"/>
        </w:rPr>
        <w:t>.</w:t>
      </w:r>
    </w:p>
    <w:p w14:paraId="5C5D8A1C" w14:textId="1AAE0E7B" w:rsidR="002226A9" w:rsidRPr="00F85381" w:rsidRDefault="002226A9" w:rsidP="002226A9">
      <w:pPr>
        <w:spacing w:after="120" w:line="480" w:lineRule="auto"/>
        <w:rPr>
          <w:rFonts w:ascii="Times New Roman" w:eastAsia="Times New Roman" w:hAnsi="Times New Roman" w:cs="Times New Roman"/>
        </w:rPr>
      </w:pPr>
      <w:r w:rsidRPr="002226A9">
        <w:rPr>
          <w:rFonts w:ascii="Times New Roman" w:eastAsia="Times New Roman" w:hAnsi="Times New Roman" w:cs="Times New Roman"/>
        </w:rPr>
        <w:t>McClymont, K., G.F. Cunha, d., Maidment, C., Ashagre, B., Vasconcelos, A.F., Batalini de Macedo, M., Fernanda Nóbrega Dos Santos, M., Nóbrega Gomes Júnior, M., Mendiondo, E.M., Barbassa, A.P., Rajendran, L., Imani, M., 2020. Towards urban resilience through Sustainable Drainage Systems: A multi-objective optimisation problem</w:t>
      </w:r>
      <w:r w:rsidR="00765E33">
        <w:rPr>
          <w:rFonts w:ascii="Times New Roman" w:eastAsia="Times New Roman" w:hAnsi="Times New Roman" w:cs="Times New Roman"/>
        </w:rPr>
        <w:t>.</w:t>
      </w:r>
      <w:r w:rsidRPr="002226A9">
        <w:rPr>
          <w:rFonts w:ascii="Times New Roman" w:eastAsia="Times New Roman" w:hAnsi="Times New Roman" w:cs="Times New Roman"/>
        </w:rPr>
        <w:t xml:space="preserve"> J</w:t>
      </w:r>
      <w:r w:rsidR="00765E33">
        <w:rPr>
          <w:rFonts w:ascii="Times New Roman" w:eastAsia="Times New Roman" w:hAnsi="Times New Roman" w:cs="Times New Roman"/>
        </w:rPr>
        <w:t>.</w:t>
      </w:r>
      <w:r w:rsidRPr="002226A9">
        <w:rPr>
          <w:rFonts w:ascii="Times New Roman" w:eastAsia="Times New Roman" w:hAnsi="Times New Roman" w:cs="Times New Roman"/>
        </w:rPr>
        <w:t xml:space="preserve"> Environ</w:t>
      </w:r>
      <w:r w:rsidR="00765E33">
        <w:rPr>
          <w:rFonts w:ascii="Times New Roman" w:eastAsia="Times New Roman" w:hAnsi="Times New Roman" w:cs="Times New Roman"/>
        </w:rPr>
        <w:t>.</w:t>
      </w:r>
      <w:r w:rsidRPr="002226A9">
        <w:rPr>
          <w:rFonts w:ascii="Times New Roman" w:eastAsia="Times New Roman" w:hAnsi="Times New Roman" w:cs="Times New Roman"/>
        </w:rPr>
        <w:t xml:space="preserve"> </w:t>
      </w:r>
      <w:proofErr w:type="spellStart"/>
      <w:r w:rsidRPr="002226A9">
        <w:rPr>
          <w:rFonts w:ascii="Times New Roman" w:eastAsia="Times New Roman" w:hAnsi="Times New Roman" w:cs="Times New Roman"/>
        </w:rPr>
        <w:t>Manag</w:t>
      </w:r>
      <w:proofErr w:type="spellEnd"/>
      <w:r w:rsidR="00765E33">
        <w:rPr>
          <w:rFonts w:ascii="Times New Roman" w:eastAsia="Times New Roman" w:hAnsi="Times New Roman" w:cs="Times New Roman"/>
        </w:rPr>
        <w:t>.</w:t>
      </w:r>
      <w:r w:rsidRPr="002226A9">
        <w:rPr>
          <w:rFonts w:ascii="Times New Roman" w:eastAsia="Times New Roman" w:hAnsi="Times New Roman" w:cs="Times New Roman"/>
        </w:rPr>
        <w:t xml:space="preserve"> 275, 111173. </w:t>
      </w:r>
      <w:proofErr w:type="spellStart"/>
      <w:r w:rsidR="00CE2096">
        <w:rPr>
          <w:rFonts w:ascii="Times New Roman" w:eastAsia="Times New Roman" w:hAnsi="Times New Roman" w:cs="Times New Roman"/>
        </w:rPr>
        <w:t>doi</w:t>
      </w:r>
      <w:proofErr w:type="spellEnd"/>
      <w:r w:rsidRPr="002226A9">
        <w:rPr>
          <w:rFonts w:ascii="Times New Roman" w:eastAsia="Times New Roman" w:hAnsi="Times New Roman" w:cs="Times New Roman"/>
        </w:rPr>
        <w:t>: 10.1016/j.jenvman.2020.111173.</w:t>
      </w:r>
    </w:p>
    <w:p w14:paraId="549071E2" w14:textId="5E590F2A" w:rsidR="006D680A" w:rsidRPr="00F85381" w:rsidRDefault="006D680A" w:rsidP="00261C72">
      <w:pPr>
        <w:spacing w:after="120" w:line="480" w:lineRule="auto"/>
        <w:rPr>
          <w:rFonts w:ascii="Times New Roman" w:eastAsia="Times New Roman" w:hAnsi="Times New Roman" w:cs="Times New Roman"/>
        </w:rPr>
      </w:pPr>
      <w:bookmarkStart w:id="19" w:name="bau0005"/>
      <w:proofErr w:type="spellStart"/>
      <w:r w:rsidRPr="00F85381">
        <w:rPr>
          <w:rFonts w:ascii="Times New Roman" w:eastAsia="Times New Roman" w:hAnsi="Times New Roman" w:cs="Times New Roman"/>
        </w:rPr>
        <w:t>Mitrović</w:t>
      </w:r>
      <w:proofErr w:type="spellEnd"/>
      <w:r w:rsidRPr="00F85381">
        <w:rPr>
          <w:rFonts w:ascii="Times New Roman" w:eastAsia="Times New Roman" w:hAnsi="Times New Roman" w:cs="Times New Roman"/>
        </w:rPr>
        <w:t xml:space="preserve">, T., </w:t>
      </w:r>
      <w:bookmarkStart w:id="20" w:name="bau0010"/>
      <w:bookmarkEnd w:id="19"/>
      <w:proofErr w:type="spellStart"/>
      <w:r w:rsidRPr="00F85381">
        <w:rPr>
          <w:rFonts w:ascii="Times New Roman" w:eastAsia="Times New Roman" w:hAnsi="Times New Roman" w:cs="Times New Roman"/>
        </w:rPr>
        <w:t>Antanasijević</w:t>
      </w:r>
      <w:proofErr w:type="spellEnd"/>
      <w:r w:rsidRPr="00F85381">
        <w:rPr>
          <w:rFonts w:ascii="Times New Roman" w:eastAsia="Times New Roman" w:hAnsi="Times New Roman" w:cs="Times New Roman"/>
        </w:rPr>
        <w:t xml:space="preserve">, D., </w:t>
      </w:r>
      <w:bookmarkStart w:id="21" w:name="bau0015"/>
      <w:bookmarkEnd w:id="20"/>
      <w:r w:rsidRPr="00F85381">
        <w:rPr>
          <w:rFonts w:ascii="Times New Roman" w:eastAsia="Times New Roman" w:hAnsi="Times New Roman" w:cs="Times New Roman"/>
        </w:rPr>
        <w:fldChar w:fldCharType="begin"/>
      </w:r>
      <w:r w:rsidRPr="00F85381">
        <w:rPr>
          <w:rFonts w:ascii="Times New Roman" w:eastAsia="Times New Roman" w:hAnsi="Times New Roman" w:cs="Times New Roman"/>
        </w:rPr>
        <w:instrText xml:space="preserve"> HYPERLINK "https://www.sciencedirect.com/science/article/pii/S0048969718345455?via%3Dihub" \l "!" </w:instrText>
      </w:r>
      <w:r w:rsidRPr="00F85381">
        <w:rPr>
          <w:rFonts w:ascii="Times New Roman" w:eastAsia="Times New Roman" w:hAnsi="Times New Roman" w:cs="Times New Roman"/>
        </w:rPr>
        <w:fldChar w:fldCharType="separate"/>
      </w:r>
      <w:proofErr w:type="spellStart"/>
      <w:r w:rsidRPr="00F85381">
        <w:rPr>
          <w:rFonts w:ascii="Times New Roman" w:eastAsia="Times New Roman" w:hAnsi="Times New Roman" w:cs="Times New Roman"/>
        </w:rPr>
        <w:t>Lazović</w:t>
      </w:r>
      <w:proofErr w:type="spellEnd"/>
      <w:r w:rsidRPr="00F85381">
        <w:rPr>
          <w:rFonts w:ascii="Times New Roman" w:eastAsia="Times New Roman" w:hAnsi="Times New Roman" w:cs="Times New Roman"/>
        </w:rPr>
        <w:t xml:space="preserve">, S., </w:t>
      </w:r>
      <w:r w:rsidRPr="00F85381">
        <w:rPr>
          <w:rFonts w:ascii="Times New Roman" w:eastAsia="Times New Roman" w:hAnsi="Times New Roman" w:cs="Times New Roman"/>
        </w:rPr>
        <w:fldChar w:fldCharType="end"/>
      </w:r>
      <w:bookmarkStart w:id="22" w:name="bau0020"/>
      <w:bookmarkEnd w:id="21"/>
      <w:r w:rsidRPr="00F85381">
        <w:rPr>
          <w:rFonts w:ascii="Times New Roman" w:eastAsia="Times New Roman" w:hAnsi="Times New Roman" w:cs="Times New Roman"/>
        </w:rPr>
        <w:fldChar w:fldCharType="begin"/>
      </w:r>
      <w:r w:rsidRPr="00F85381">
        <w:rPr>
          <w:rFonts w:ascii="Times New Roman" w:eastAsia="Times New Roman" w:hAnsi="Times New Roman" w:cs="Times New Roman"/>
        </w:rPr>
        <w:instrText xml:space="preserve"> HYPERLINK "https://www.sciencedirect.com/science/article/pii/S0048969718345455?via%3Dihub" \l "!" </w:instrText>
      </w:r>
      <w:r w:rsidRPr="00F85381">
        <w:rPr>
          <w:rFonts w:ascii="Times New Roman" w:eastAsia="Times New Roman" w:hAnsi="Times New Roman" w:cs="Times New Roman"/>
        </w:rPr>
        <w:fldChar w:fldCharType="separate"/>
      </w:r>
      <w:proofErr w:type="spellStart"/>
      <w:r w:rsidRPr="00F85381">
        <w:rPr>
          <w:rFonts w:ascii="Times New Roman" w:eastAsia="Times New Roman" w:hAnsi="Times New Roman" w:cs="Times New Roman"/>
        </w:rPr>
        <w:t>Perić-Grujić</w:t>
      </w:r>
      <w:proofErr w:type="spellEnd"/>
      <w:r w:rsidRPr="00F85381">
        <w:rPr>
          <w:rFonts w:ascii="Times New Roman" w:eastAsia="Times New Roman" w:hAnsi="Times New Roman" w:cs="Times New Roman"/>
        </w:rPr>
        <w:t xml:space="preserve">, A., </w:t>
      </w:r>
      <w:r w:rsidRPr="00F85381">
        <w:rPr>
          <w:rFonts w:ascii="Times New Roman" w:eastAsia="Times New Roman" w:hAnsi="Times New Roman" w:cs="Times New Roman"/>
        </w:rPr>
        <w:fldChar w:fldCharType="end"/>
      </w:r>
      <w:bookmarkStart w:id="23" w:name="bau0025"/>
      <w:bookmarkEnd w:id="22"/>
      <w:r w:rsidRPr="00F85381">
        <w:rPr>
          <w:rFonts w:ascii="Times New Roman" w:eastAsia="Times New Roman" w:hAnsi="Times New Roman" w:cs="Times New Roman"/>
        </w:rPr>
        <w:fldChar w:fldCharType="begin"/>
      </w:r>
      <w:r w:rsidRPr="00F85381">
        <w:rPr>
          <w:rFonts w:ascii="Times New Roman" w:eastAsia="Times New Roman" w:hAnsi="Times New Roman" w:cs="Times New Roman"/>
        </w:rPr>
        <w:instrText xml:space="preserve"> HYPERLINK "https://www.sciencedirect.com/science/article/pii/S0048969718345455?via%3Dihub" \l "!" </w:instrText>
      </w:r>
      <w:r w:rsidRPr="00F85381">
        <w:rPr>
          <w:rFonts w:ascii="Times New Roman" w:eastAsia="Times New Roman" w:hAnsi="Times New Roman" w:cs="Times New Roman"/>
        </w:rPr>
        <w:fldChar w:fldCharType="separate"/>
      </w:r>
      <w:proofErr w:type="spellStart"/>
      <w:r w:rsidRPr="00F85381">
        <w:rPr>
          <w:rFonts w:ascii="Times New Roman" w:eastAsia="Times New Roman" w:hAnsi="Times New Roman" w:cs="Times New Roman"/>
        </w:rPr>
        <w:t>Ristić</w:t>
      </w:r>
      <w:proofErr w:type="spellEnd"/>
      <w:r w:rsidRPr="00F85381">
        <w:rPr>
          <w:rFonts w:ascii="Times New Roman" w:eastAsia="Times New Roman" w:hAnsi="Times New Roman" w:cs="Times New Roman"/>
        </w:rPr>
        <w:t>,</w:t>
      </w:r>
      <w:r w:rsidRPr="00F85381">
        <w:rPr>
          <w:rFonts w:ascii="Times New Roman" w:eastAsia="Times New Roman" w:hAnsi="Times New Roman" w:cs="Times New Roman"/>
        </w:rPr>
        <w:fldChar w:fldCharType="end"/>
      </w:r>
      <w:bookmarkEnd w:id="23"/>
      <w:r w:rsidRPr="00F85381">
        <w:rPr>
          <w:rFonts w:ascii="Times New Roman" w:eastAsia="Times New Roman" w:hAnsi="Times New Roman" w:cs="Times New Roman"/>
        </w:rPr>
        <w:t xml:space="preserve"> M., 2019. Virtual water quality monitoring at inactive monitoring sites using Monte Carlo optimized artificial neural networks: A case study of Danube River (Serbia). </w:t>
      </w:r>
      <w:r w:rsidR="007D40E1" w:rsidRPr="00CE2096">
        <w:rPr>
          <w:rFonts w:ascii="Times New Roman" w:eastAsia="Times New Roman" w:hAnsi="Times New Roman" w:cs="Times New Roman"/>
        </w:rPr>
        <w:t>Sci. Total Environ.</w:t>
      </w:r>
      <w:r w:rsidRPr="00F85381">
        <w:rPr>
          <w:rFonts w:ascii="Times New Roman" w:eastAsia="Times New Roman" w:hAnsi="Times New Roman" w:cs="Times New Roman"/>
        </w:rPr>
        <w:t xml:space="preserve"> 654, 1000-1009. </w:t>
      </w:r>
      <w:r w:rsidR="00CE2096">
        <w:rPr>
          <w:rFonts w:ascii="Times New Roman" w:eastAsia="Times New Roman" w:hAnsi="Times New Roman" w:cs="Times New Roman"/>
        </w:rPr>
        <w:t>doi:</w:t>
      </w:r>
      <w:hyperlink r:id="rId76" w:tgtFrame="_blank" w:tooltip="Persistent link using digital object identifier" w:history="1">
        <w:r w:rsidRPr="00F85381">
          <w:rPr>
            <w:rFonts w:ascii="Times New Roman" w:eastAsia="Times New Roman" w:hAnsi="Times New Roman" w:cs="Times New Roman"/>
          </w:rPr>
          <w:t>10.1016/j.scitotenv.2018.11.189</w:t>
        </w:r>
      </w:hyperlink>
      <w:r w:rsidR="007D40E1">
        <w:rPr>
          <w:rFonts w:ascii="Times New Roman" w:eastAsia="Times New Roman" w:hAnsi="Times New Roman" w:cs="Times New Roman"/>
        </w:rPr>
        <w:t>.</w:t>
      </w:r>
    </w:p>
    <w:p w14:paraId="0C822338" w14:textId="245AB656" w:rsidR="006D680A" w:rsidRPr="00F85381" w:rsidRDefault="006D680A" w:rsidP="00261C72">
      <w:pPr>
        <w:spacing w:after="120" w:line="480" w:lineRule="auto"/>
        <w:rPr>
          <w:rFonts w:ascii="Times New Roman" w:eastAsia="Times New Roman" w:hAnsi="Times New Roman" w:cs="Times New Roman"/>
        </w:rPr>
      </w:pPr>
      <w:proofErr w:type="spellStart"/>
      <w:r w:rsidRPr="00F85381">
        <w:rPr>
          <w:rFonts w:ascii="Times New Roman" w:eastAsia="Times New Roman" w:hAnsi="Times New Roman" w:cs="Times New Roman"/>
        </w:rPr>
        <w:t>Moktadir</w:t>
      </w:r>
      <w:proofErr w:type="spellEnd"/>
      <w:r w:rsidRPr="00F85381">
        <w:rPr>
          <w:rFonts w:ascii="Times New Roman" w:eastAsia="Times New Roman" w:hAnsi="Times New Roman" w:cs="Times New Roman"/>
        </w:rPr>
        <w:t xml:space="preserve"> M.A., Rahman T., Sultana R., 2017. Selection of best supplier by using AHP tool for managing risk factors in logistics: a case of leather products industry. Ind </w:t>
      </w:r>
      <w:proofErr w:type="spellStart"/>
      <w:r w:rsidRPr="00F85381">
        <w:rPr>
          <w:rFonts w:ascii="Times New Roman" w:eastAsia="Times New Roman" w:hAnsi="Times New Roman" w:cs="Times New Roman"/>
        </w:rPr>
        <w:t>Eng</w:t>
      </w:r>
      <w:proofErr w:type="spellEnd"/>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Manag</w:t>
      </w:r>
      <w:proofErr w:type="spellEnd"/>
      <w:r w:rsidRPr="00F85381">
        <w:rPr>
          <w:rFonts w:ascii="Times New Roman" w:eastAsia="Times New Roman" w:hAnsi="Times New Roman" w:cs="Times New Roman"/>
        </w:rPr>
        <w:t xml:space="preserve"> 6(232):2169-0316. </w:t>
      </w:r>
      <w:proofErr w:type="spellStart"/>
      <w:r w:rsidR="00CE2096">
        <w:rPr>
          <w:rFonts w:ascii="Times New Roman" w:eastAsia="Times New Roman" w:hAnsi="Times New Roman" w:cs="Times New Roman"/>
        </w:rPr>
        <w:t>doi</w:t>
      </w:r>
      <w:proofErr w:type="spellEnd"/>
      <w:r w:rsidRPr="00F85381">
        <w:rPr>
          <w:rFonts w:ascii="Times New Roman" w:eastAsia="Times New Roman" w:hAnsi="Times New Roman" w:cs="Times New Roman"/>
        </w:rPr>
        <w:t xml:space="preserve">: </w:t>
      </w:r>
      <w:hyperlink r:id="rId77" w:tgtFrame="_blank" w:history="1">
        <w:r w:rsidRPr="00F85381">
          <w:rPr>
            <w:rFonts w:ascii="Times New Roman" w:eastAsia="Times New Roman" w:hAnsi="Times New Roman" w:cs="Times New Roman"/>
          </w:rPr>
          <w:t>10.4172/2169-0316.1000232</w:t>
        </w:r>
      </w:hyperlink>
      <w:r w:rsidR="007D40E1">
        <w:rPr>
          <w:rFonts w:ascii="Times New Roman" w:eastAsia="Times New Roman" w:hAnsi="Times New Roman" w:cs="Times New Roman"/>
        </w:rPr>
        <w:t>.</w:t>
      </w:r>
    </w:p>
    <w:p w14:paraId="69BB9A17" w14:textId="0EDD2679"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Mondal, M.S.</w:t>
      </w:r>
      <w:r w:rsidR="00484EDD" w:rsidRPr="00F85381">
        <w:rPr>
          <w:rFonts w:ascii="Times New Roman" w:eastAsia="Times New Roman" w:hAnsi="Times New Roman" w:cs="Times New Roman"/>
        </w:rPr>
        <w:t>,</w:t>
      </w:r>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Wasimi</w:t>
      </w:r>
      <w:proofErr w:type="spellEnd"/>
      <w:r w:rsidRPr="00F85381">
        <w:rPr>
          <w:rFonts w:ascii="Times New Roman" w:eastAsia="Times New Roman" w:hAnsi="Times New Roman" w:cs="Times New Roman"/>
        </w:rPr>
        <w:t>, S.A., 2007</w:t>
      </w:r>
      <w:r w:rsidR="0046575E">
        <w:rPr>
          <w:rFonts w:ascii="Times New Roman" w:eastAsia="Times New Roman" w:hAnsi="Times New Roman" w:cs="Times New Roman"/>
        </w:rPr>
        <w:t>.</w:t>
      </w:r>
      <w:r w:rsidRPr="00F85381">
        <w:rPr>
          <w:rFonts w:ascii="Times New Roman" w:eastAsia="Times New Roman" w:hAnsi="Times New Roman" w:cs="Times New Roman"/>
        </w:rPr>
        <w:t xml:space="preserve"> Evaluation of risk-related performance in water management for the Ganges delta of Bangladesh, </w:t>
      </w:r>
      <w:proofErr w:type="spellStart"/>
      <w:proofErr w:type="gramStart"/>
      <w:r w:rsidRPr="00F85381">
        <w:rPr>
          <w:rFonts w:ascii="Times New Roman" w:eastAsia="Times New Roman" w:hAnsi="Times New Roman" w:cs="Times New Roman"/>
        </w:rPr>
        <w:t>J.Water</w:t>
      </w:r>
      <w:proofErr w:type="spellEnd"/>
      <w:proofErr w:type="gramEnd"/>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Resour</w:t>
      </w:r>
      <w:proofErr w:type="spellEnd"/>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Plann</w:t>
      </w:r>
      <w:proofErr w:type="spellEnd"/>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Manag</w:t>
      </w:r>
      <w:proofErr w:type="spellEnd"/>
      <w:r w:rsidRPr="00F85381">
        <w:rPr>
          <w:rFonts w:ascii="Times New Roman" w:eastAsia="Times New Roman" w:hAnsi="Times New Roman" w:cs="Times New Roman"/>
        </w:rPr>
        <w:t xml:space="preserve">. 133, 179-187. </w:t>
      </w:r>
      <w:r w:rsidR="00CE2096">
        <w:rPr>
          <w:rFonts w:ascii="Times New Roman" w:eastAsia="Times New Roman" w:hAnsi="Times New Roman" w:cs="Times New Roman"/>
        </w:rPr>
        <w:t>doi:</w:t>
      </w:r>
      <w:r w:rsidRPr="00F85381">
        <w:rPr>
          <w:rFonts w:ascii="Times New Roman" w:eastAsia="Times New Roman" w:hAnsi="Times New Roman" w:cs="Times New Roman"/>
        </w:rPr>
        <w:t>10.1061/(ASCE)0733-9496(2007)133:2(179)</w:t>
      </w:r>
      <w:r w:rsidR="00743554">
        <w:rPr>
          <w:rFonts w:ascii="Times New Roman" w:eastAsia="Times New Roman" w:hAnsi="Times New Roman" w:cs="Times New Roman"/>
        </w:rPr>
        <w:t>.</w:t>
      </w:r>
      <w:r w:rsidRPr="00F85381">
        <w:rPr>
          <w:rFonts w:ascii="Times New Roman" w:eastAsia="Times New Roman" w:hAnsi="Times New Roman" w:cs="Times New Roman"/>
        </w:rPr>
        <w:t xml:space="preserve"> </w:t>
      </w:r>
    </w:p>
    <w:p w14:paraId="7D4834DC" w14:textId="5E02ECC9"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lastRenderedPageBreak/>
        <w:t>Najah, A., El-</w:t>
      </w:r>
      <w:proofErr w:type="spellStart"/>
      <w:r w:rsidRPr="00F85381">
        <w:rPr>
          <w:rFonts w:ascii="Times New Roman" w:eastAsia="Times New Roman" w:hAnsi="Times New Roman" w:cs="Times New Roman"/>
        </w:rPr>
        <w:t>shafie</w:t>
      </w:r>
      <w:proofErr w:type="spellEnd"/>
      <w:r w:rsidRPr="00F85381">
        <w:rPr>
          <w:rFonts w:ascii="Times New Roman" w:eastAsia="Times New Roman" w:hAnsi="Times New Roman" w:cs="Times New Roman"/>
        </w:rPr>
        <w:t>, A., Karim, O.A.</w:t>
      </w:r>
      <w:r w:rsidR="00484EDD" w:rsidRPr="00F85381">
        <w:rPr>
          <w:rFonts w:ascii="Times New Roman" w:eastAsia="Times New Roman" w:hAnsi="Times New Roman" w:cs="Times New Roman"/>
        </w:rPr>
        <w:t>,</w:t>
      </w:r>
      <w:r w:rsidRPr="00F85381">
        <w:rPr>
          <w:rFonts w:ascii="Times New Roman" w:eastAsia="Times New Roman" w:hAnsi="Times New Roman" w:cs="Times New Roman"/>
        </w:rPr>
        <w:t xml:space="preserve"> El-</w:t>
      </w:r>
      <w:proofErr w:type="spellStart"/>
      <w:r w:rsidRPr="00F85381">
        <w:rPr>
          <w:rFonts w:ascii="Times New Roman" w:eastAsia="Times New Roman" w:hAnsi="Times New Roman" w:cs="Times New Roman"/>
        </w:rPr>
        <w:t>shafie</w:t>
      </w:r>
      <w:proofErr w:type="spellEnd"/>
      <w:r w:rsidRPr="00F85381">
        <w:rPr>
          <w:rFonts w:ascii="Times New Roman" w:eastAsia="Times New Roman" w:hAnsi="Times New Roman" w:cs="Times New Roman"/>
        </w:rPr>
        <w:t>, A.H., 2013. Application of artificial neural networks for water quality prediction</w:t>
      </w:r>
      <w:r w:rsidR="00743554">
        <w:rPr>
          <w:rFonts w:ascii="Times New Roman" w:eastAsia="Times New Roman" w:hAnsi="Times New Roman" w:cs="Times New Roman"/>
        </w:rPr>
        <w:t>.</w:t>
      </w:r>
      <w:r w:rsidRPr="00F85381">
        <w:rPr>
          <w:rFonts w:ascii="Times New Roman" w:eastAsia="Times New Roman" w:hAnsi="Times New Roman" w:cs="Times New Roman"/>
        </w:rPr>
        <w:t xml:space="preserve"> Neural </w:t>
      </w:r>
      <w:proofErr w:type="spellStart"/>
      <w:r w:rsidRPr="00F85381">
        <w:rPr>
          <w:rFonts w:ascii="Times New Roman" w:eastAsia="Times New Roman" w:hAnsi="Times New Roman" w:cs="Times New Roman"/>
        </w:rPr>
        <w:t>Comput</w:t>
      </w:r>
      <w:proofErr w:type="spellEnd"/>
      <w:r w:rsidR="00743554">
        <w:rPr>
          <w:rFonts w:ascii="Times New Roman" w:eastAsia="Times New Roman" w:hAnsi="Times New Roman" w:cs="Times New Roman"/>
        </w:rPr>
        <w:t>.</w:t>
      </w:r>
      <w:r w:rsidRPr="00F85381">
        <w:rPr>
          <w:rFonts w:ascii="Times New Roman" w:eastAsia="Times New Roman" w:hAnsi="Times New Roman" w:cs="Times New Roman"/>
        </w:rPr>
        <w:t xml:space="preserve"> &amp; </w:t>
      </w:r>
      <w:proofErr w:type="spellStart"/>
      <w:r w:rsidRPr="00F85381">
        <w:rPr>
          <w:rFonts w:ascii="Times New Roman" w:eastAsia="Times New Roman" w:hAnsi="Times New Roman" w:cs="Times New Roman"/>
        </w:rPr>
        <w:t>Applic</w:t>
      </w:r>
      <w:proofErr w:type="spellEnd"/>
      <w:r w:rsidR="00743554">
        <w:rPr>
          <w:rFonts w:ascii="Times New Roman" w:eastAsia="Times New Roman" w:hAnsi="Times New Roman" w:cs="Times New Roman"/>
        </w:rPr>
        <w:t xml:space="preserve">. </w:t>
      </w:r>
      <w:r w:rsidRPr="00F85381">
        <w:rPr>
          <w:rFonts w:ascii="Times New Roman" w:eastAsia="Times New Roman" w:hAnsi="Times New Roman" w:cs="Times New Roman"/>
        </w:rPr>
        <w:t>22 (Suppl</w:t>
      </w:r>
      <w:r w:rsidR="00743554">
        <w:rPr>
          <w:rFonts w:ascii="Times New Roman" w:eastAsia="Times New Roman" w:hAnsi="Times New Roman" w:cs="Times New Roman"/>
        </w:rPr>
        <w:t>.</w:t>
      </w:r>
      <w:r w:rsidRPr="00F85381">
        <w:rPr>
          <w:rFonts w:ascii="Times New Roman" w:eastAsia="Times New Roman" w:hAnsi="Times New Roman" w:cs="Times New Roman"/>
        </w:rPr>
        <w:t xml:space="preserve"> 1), S187-S201. </w:t>
      </w:r>
      <w:r w:rsidR="00F33BF7">
        <w:rPr>
          <w:rFonts w:ascii="Times New Roman" w:eastAsia="Times New Roman" w:hAnsi="Times New Roman" w:cs="Times New Roman"/>
        </w:rPr>
        <w:t>doi:</w:t>
      </w:r>
      <w:hyperlink r:id="rId78" w:history="1">
        <w:r w:rsidR="006D3FFD" w:rsidRPr="00F85381">
          <w:rPr>
            <w:rStyle w:val="Hyperlink"/>
            <w:rFonts w:ascii="Times New Roman" w:hAnsi="Times New Roman" w:cs="Times New Roman"/>
            <w:color w:val="auto"/>
            <w:shd w:val="clear" w:color="auto" w:fill="FCFCFC"/>
          </w:rPr>
          <w:t>10.1007/s00521-012-0940-3</w:t>
        </w:r>
      </w:hyperlink>
      <w:r w:rsidR="00743554">
        <w:rPr>
          <w:rStyle w:val="Hyperlink"/>
          <w:rFonts w:ascii="Times New Roman" w:hAnsi="Times New Roman" w:cs="Times New Roman"/>
          <w:color w:val="auto"/>
          <w:shd w:val="clear" w:color="auto" w:fill="FCFCFC"/>
        </w:rPr>
        <w:t>.</w:t>
      </w:r>
    </w:p>
    <w:p w14:paraId="1D2ADBA4" w14:textId="54DB8D30" w:rsidR="00174496" w:rsidRPr="00F85381" w:rsidRDefault="00174496" w:rsidP="00174496">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Noori, N., Kalin, L., </w:t>
      </w:r>
      <w:proofErr w:type="spellStart"/>
      <w:r w:rsidRPr="00F85381">
        <w:rPr>
          <w:rFonts w:ascii="Times New Roman" w:eastAsia="Times New Roman" w:hAnsi="Times New Roman" w:cs="Times New Roman"/>
        </w:rPr>
        <w:t>Isikb</w:t>
      </w:r>
      <w:proofErr w:type="spellEnd"/>
      <w:r w:rsidRPr="00F85381">
        <w:rPr>
          <w:rFonts w:ascii="Times New Roman" w:eastAsia="Times New Roman" w:hAnsi="Times New Roman" w:cs="Times New Roman"/>
        </w:rPr>
        <w:t>, S., 2020. Water quality prediction using SWAT-ANN coupled approach</w:t>
      </w:r>
      <w:r w:rsidR="00743554">
        <w:rPr>
          <w:rFonts w:ascii="Times New Roman" w:eastAsia="Times New Roman" w:hAnsi="Times New Roman" w:cs="Times New Roman"/>
        </w:rPr>
        <w:t>.</w:t>
      </w:r>
      <w:r w:rsidRPr="00F85381">
        <w:rPr>
          <w:rFonts w:ascii="Times New Roman" w:eastAsia="Times New Roman" w:hAnsi="Times New Roman" w:cs="Times New Roman"/>
        </w:rPr>
        <w:t xml:space="preserve"> J</w:t>
      </w:r>
      <w:r w:rsidR="00743554">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Hydrol</w:t>
      </w:r>
      <w:proofErr w:type="spellEnd"/>
      <w:r w:rsidR="00743554">
        <w:rPr>
          <w:rFonts w:ascii="Times New Roman" w:eastAsia="Times New Roman" w:hAnsi="Times New Roman" w:cs="Times New Roman"/>
        </w:rPr>
        <w:t>.</w:t>
      </w:r>
      <w:r w:rsidRPr="00F85381">
        <w:rPr>
          <w:rFonts w:ascii="Times New Roman" w:eastAsia="Times New Roman" w:hAnsi="Times New Roman" w:cs="Times New Roman"/>
        </w:rPr>
        <w:t xml:space="preserve"> 590, 125220.</w:t>
      </w:r>
      <w:r w:rsidR="00D34DD1">
        <w:rPr>
          <w:rFonts w:ascii="Times New Roman" w:eastAsia="Times New Roman" w:hAnsi="Times New Roman" w:cs="Times New Roman"/>
        </w:rPr>
        <w:t xml:space="preserve"> doi:</w:t>
      </w:r>
      <w:hyperlink r:id="rId79" w:history="1">
        <w:r w:rsidRPr="00F85381">
          <w:rPr>
            <w:rStyle w:val="Hyperlink"/>
            <w:rFonts w:ascii="Times New Roman" w:eastAsia="Times New Roman" w:hAnsi="Times New Roman" w:cs="Times New Roman"/>
            <w:color w:val="auto"/>
          </w:rPr>
          <w:t>10.1016/j.jhydrol.2020.125220</w:t>
        </w:r>
      </w:hyperlink>
      <w:r w:rsidR="00743554">
        <w:rPr>
          <w:rStyle w:val="Hyperlink"/>
          <w:rFonts w:ascii="Times New Roman" w:eastAsia="Times New Roman" w:hAnsi="Times New Roman" w:cs="Times New Roman"/>
          <w:color w:val="auto"/>
        </w:rPr>
        <w:t>.</w:t>
      </w:r>
    </w:p>
    <w:p w14:paraId="64DEAB33" w14:textId="56BC7B09" w:rsidR="00B36F55" w:rsidRDefault="00B36F55" w:rsidP="00261C72">
      <w:pPr>
        <w:spacing w:line="480" w:lineRule="auto"/>
        <w:rPr>
          <w:rFonts w:ascii="Times New Roman" w:eastAsia="Times New Roman" w:hAnsi="Times New Roman" w:cs="Times New Roman"/>
        </w:rPr>
      </w:pPr>
      <w:proofErr w:type="spellStart"/>
      <w:r w:rsidRPr="00F85381">
        <w:rPr>
          <w:rFonts w:ascii="Times New Roman" w:eastAsia="Times New Roman" w:hAnsi="Times New Roman" w:cs="Times New Roman"/>
        </w:rPr>
        <w:t>Pahl‐Wostl</w:t>
      </w:r>
      <w:proofErr w:type="spellEnd"/>
      <w:r w:rsidRPr="00F85381">
        <w:rPr>
          <w:rFonts w:ascii="Times New Roman" w:eastAsia="Times New Roman" w:hAnsi="Times New Roman" w:cs="Times New Roman"/>
        </w:rPr>
        <w:t xml:space="preserve">, C., Jeffrey, P., </w:t>
      </w:r>
      <w:proofErr w:type="spellStart"/>
      <w:r w:rsidRPr="00F85381">
        <w:rPr>
          <w:rFonts w:ascii="Times New Roman" w:eastAsia="Times New Roman" w:hAnsi="Times New Roman" w:cs="Times New Roman"/>
        </w:rPr>
        <w:t>Isendahl</w:t>
      </w:r>
      <w:proofErr w:type="spellEnd"/>
      <w:r w:rsidRPr="00F85381">
        <w:rPr>
          <w:rFonts w:ascii="Times New Roman" w:eastAsia="Times New Roman" w:hAnsi="Times New Roman" w:cs="Times New Roman"/>
        </w:rPr>
        <w:t xml:space="preserve">, N., </w:t>
      </w:r>
      <w:proofErr w:type="spellStart"/>
      <w:r w:rsidRPr="00F85381">
        <w:rPr>
          <w:rFonts w:ascii="Times New Roman" w:eastAsia="Times New Roman" w:hAnsi="Times New Roman" w:cs="Times New Roman"/>
        </w:rPr>
        <w:t>Brugnach</w:t>
      </w:r>
      <w:proofErr w:type="spellEnd"/>
      <w:r w:rsidRPr="00F85381">
        <w:rPr>
          <w:rFonts w:ascii="Times New Roman" w:eastAsia="Times New Roman" w:hAnsi="Times New Roman" w:cs="Times New Roman"/>
        </w:rPr>
        <w:t xml:space="preserve">, M., 2011. Maturing the new water management paradigm: progressing from aspiration to practice. Water </w:t>
      </w:r>
      <w:proofErr w:type="spellStart"/>
      <w:r w:rsidRPr="00F85381">
        <w:rPr>
          <w:rFonts w:ascii="Times New Roman" w:eastAsia="Times New Roman" w:hAnsi="Times New Roman" w:cs="Times New Roman"/>
        </w:rPr>
        <w:t>Resour</w:t>
      </w:r>
      <w:proofErr w:type="spellEnd"/>
      <w:r w:rsidR="00743554">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Manag</w:t>
      </w:r>
      <w:proofErr w:type="spellEnd"/>
      <w:r w:rsidR="00743554">
        <w:rPr>
          <w:rFonts w:ascii="Times New Roman" w:eastAsia="Times New Roman" w:hAnsi="Times New Roman" w:cs="Times New Roman"/>
        </w:rPr>
        <w:t>.</w:t>
      </w:r>
      <w:r w:rsidRPr="00F85381">
        <w:rPr>
          <w:rFonts w:ascii="Times New Roman" w:eastAsia="Times New Roman" w:hAnsi="Times New Roman" w:cs="Times New Roman"/>
        </w:rPr>
        <w:t xml:space="preserve"> 25(3), 837–856.</w:t>
      </w:r>
    </w:p>
    <w:p w14:paraId="63F05283" w14:textId="4DC74876" w:rsidR="00D67A33" w:rsidRPr="00F85381" w:rsidRDefault="00D67A33" w:rsidP="00D67A33">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Palani, S., </w:t>
      </w:r>
      <w:proofErr w:type="spellStart"/>
      <w:r w:rsidRPr="00F85381">
        <w:rPr>
          <w:rFonts w:ascii="Times New Roman" w:eastAsia="Times New Roman" w:hAnsi="Times New Roman" w:cs="Times New Roman"/>
        </w:rPr>
        <w:t>Liong</w:t>
      </w:r>
      <w:proofErr w:type="spellEnd"/>
      <w:r w:rsidRPr="00F85381">
        <w:rPr>
          <w:rFonts w:ascii="Times New Roman" w:eastAsia="Times New Roman" w:hAnsi="Times New Roman" w:cs="Times New Roman"/>
        </w:rPr>
        <w:t xml:space="preserve">, S., </w:t>
      </w:r>
      <w:proofErr w:type="spellStart"/>
      <w:r w:rsidRPr="00F85381">
        <w:rPr>
          <w:rFonts w:ascii="Times New Roman" w:eastAsia="Times New Roman" w:hAnsi="Times New Roman" w:cs="Times New Roman"/>
        </w:rPr>
        <w:t>Tkalich</w:t>
      </w:r>
      <w:proofErr w:type="spellEnd"/>
      <w:r w:rsidRPr="00F85381">
        <w:rPr>
          <w:rFonts w:ascii="Times New Roman" w:eastAsia="Times New Roman" w:hAnsi="Times New Roman" w:cs="Times New Roman"/>
        </w:rPr>
        <w:t xml:space="preserve">, P., 2008. An ANN application for WQ forecasting, Mar. </w:t>
      </w:r>
      <w:proofErr w:type="spellStart"/>
      <w:r w:rsidRPr="00F85381">
        <w:rPr>
          <w:rFonts w:ascii="Times New Roman" w:eastAsia="Times New Roman" w:hAnsi="Times New Roman" w:cs="Times New Roman"/>
        </w:rPr>
        <w:t>Pollut</w:t>
      </w:r>
      <w:proofErr w:type="spellEnd"/>
      <w:r w:rsidRPr="00F85381">
        <w:rPr>
          <w:rFonts w:ascii="Times New Roman" w:eastAsia="Times New Roman" w:hAnsi="Times New Roman" w:cs="Times New Roman"/>
        </w:rPr>
        <w:t>. Bull. 56 (9), 1586-1597.</w:t>
      </w:r>
      <w:r w:rsidR="00AB090B">
        <w:rPr>
          <w:rFonts w:ascii="Times New Roman" w:eastAsia="Times New Roman" w:hAnsi="Times New Roman" w:cs="Times New Roman"/>
        </w:rPr>
        <w:t xml:space="preserve"> doi:</w:t>
      </w:r>
      <w:hyperlink r:id="rId80" w:tgtFrame="_blank" w:tooltip="Persistent link using digital object identifier" w:history="1">
        <w:r w:rsidRPr="00F85381">
          <w:rPr>
            <w:rStyle w:val="Hyperlink"/>
            <w:rFonts w:ascii="Times New Roman" w:hAnsi="Times New Roman" w:cs="Times New Roman"/>
            <w:color w:val="auto"/>
          </w:rPr>
          <w:t>10.1016/j.marpolbul.2008.05.021</w:t>
        </w:r>
      </w:hyperlink>
      <w:r w:rsidRPr="00F85381">
        <w:rPr>
          <w:rFonts w:ascii="Times New Roman" w:hAnsi="Times New Roman" w:cs="Times New Roman"/>
        </w:rPr>
        <w:t>.</w:t>
      </w:r>
    </w:p>
    <w:p w14:paraId="38492F3C" w14:textId="42587E57" w:rsidR="00E13179" w:rsidRPr="00F85381" w:rsidRDefault="00F50BBA" w:rsidP="00261C72">
      <w:pPr>
        <w:spacing w:line="480" w:lineRule="auto"/>
        <w:rPr>
          <w:sz w:val="21"/>
          <w:szCs w:val="21"/>
          <w:shd w:val="clear" w:color="auto" w:fill="FFFFFF"/>
        </w:rPr>
      </w:pPr>
      <w:r w:rsidRPr="00F85381">
        <w:rPr>
          <w:rFonts w:ascii="Times New Roman" w:eastAsia="Times New Roman" w:hAnsi="Times New Roman" w:cs="Times New Roman"/>
        </w:rPr>
        <w:t xml:space="preserve">Park, J., Seager, T. P., Rao, P. S., </w:t>
      </w:r>
      <w:proofErr w:type="spellStart"/>
      <w:r w:rsidRPr="00F85381">
        <w:rPr>
          <w:rFonts w:ascii="Times New Roman" w:eastAsia="Times New Roman" w:hAnsi="Times New Roman" w:cs="Times New Roman"/>
        </w:rPr>
        <w:t>Convertino</w:t>
      </w:r>
      <w:proofErr w:type="spellEnd"/>
      <w:r w:rsidRPr="00F85381">
        <w:rPr>
          <w:rFonts w:ascii="Times New Roman" w:eastAsia="Times New Roman" w:hAnsi="Times New Roman" w:cs="Times New Roman"/>
        </w:rPr>
        <w:t>, M.</w:t>
      </w:r>
      <w:r w:rsidR="00484EDD" w:rsidRPr="00F85381">
        <w:rPr>
          <w:rFonts w:ascii="Times New Roman" w:eastAsia="Times New Roman" w:hAnsi="Times New Roman" w:cs="Times New Roman"/>
        </w:rPr>
        <w:t>,</w:t>
      </w:r>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Linkov</w:t>
      </w:r>
      <w:proofErr w:type="spellEnd"/>
      <w:r w:rsidRPr="00F85381">
        <w:rPr>
          <w:rFonts w:ascii="Times New Roman" w:eastAsia="Times New Roman" w:hAnsi="Times New Roman" w:cs="Times New Roman"/>
        </w:rPr>
        <w:t>, L., 2012. Integrating Risk and Resilience Approaches to Catastrophe Management in Engineering Systems</w:t>
      </w:r>
      <w:r w:rsidR="00E04F88">
        <w:rPr>
          <w:rFonts w:ascii="Times New Roman" w:eastAsia="Times New Roman" w:hAnsi="Times New Roman" w:cs="Times New Roman"/>
        </w:rPr>
        <w:t>.</w:t>
      </w:r>
      <w:r w:rsidRPr="00F85381">
        <w:rPr>
          <w:rFonts w:ascii="Times New Roman" w:eastAsia="Times New Roman" w:hAnsi="Times New Roman" w:cs="Times New Roman"/>
        </w:rPr>
        <w:t xml:space="preserve"> Risk Anal</w:t>
      </w:r>
      <w:r w:rsidR="00E04F88">
        <w:rPr>
          <w:rFonts w:ascii="Times New Roman" w:eastAsia="Times New Roman" w:hAnsi="Times New Roman" w:cs="Times New Roman"/>
        </w:rPr>
        <w:t>.</w:t>
      </w:r>
      <w:r w:rsidRPr="00F85381">
        <w:rPr>
          <w:rFonts w:ascii="Times New Roman" w:eastAsia="Times New Roman" w:hAnsi="Times New Roman" w:cs="Times New Roman"/>
        </w:rPr>
        <w:t xml:space="preserve"> 33(3), 356-367. </w:t>
      </w:r>
    </w:p>
    <w:p w14:paraId="3D0D0A19" w14:textId="3241DDC1" w:rsidR="00E13179" w:rsidRPr="00F85381" w:rsidRDefault="000B7F85" w:rsidP="00261C72">
      <w:pPr>
        <w:spacing w:after="120" w:line="480" w:lineRule="auto"/>
        <w:rPr>
          <w:rFonts w:ascii="Times New Roman" w:hAnsi="Times New Roman" w:cs="Times New Roman"/>
        </w:rPr>
      </w:pPr>
      <w:hyperlink r:id="rId81" w:history="1">
        <w:r w:rsidR="00E13179" w:rsidRPr="006400FA">
          <w:rPr>
            <w:rStyle w:val="Hyperlink"/>
            <w:rFonts w:ascii="Times New Roman" w:hAnsi="Times New Roman" w:cs="Times New Roman"/>
            <w:bCs/>
            <w:color w:val="auto"/>
            <w:u w:val="none"/>
          </w:rPr>
          <w:t>doi</w:t>
        </w:r>
        <w:r w:rsidR="006400FA" w:rsidRPr="006400FA">
          <w:rPr>
            <w:rStyle w:val="Hyperlink"/>
            <w:rFonts w:ascii="Times New Roman" w:hAnsi="Times New Roman" w:cs="Times New Roman"/>
            <w:bCs/>
            <w:color w:val="auto"/>
            <w:u w:val="none"/>
          </w:rPr>
          <w:t>:</w:t>
        </w:r>
        <w:r w:rsidR="00E13179" w:rsidRPr="00F85381">
          <w:rPr>
            <w:rStyle w:val="Hyperlink"/>
            <w:rFonts w:ascii="Times New Roman" w:hAnsi="Times New Roman" w:cs="Times New Roman"/>
            <w:bCs/>
            <w:color w:val="auto"/>
          </w:rPr>
          <w:t>10.1111/j.1539-6924.</w:t>
        </w:r>
        <w:proofErr w:type="gramStart"/>
        <w:r w:rsidR="00E13179" w:rsidRPr="00F85381">
          <w:rPr>
            <w:rStyle w:val="Hyperlink"/>
            <w:rFonts w:ascii="Times New Roman" w:hAnsi="Times New Roman" w:cs="Times New Roman"/>
            <w:bCs/>
            <w:color w:val="auto"/>
          </w:rPr>
          <w:t>2012.01885.x</w:t>
        </w:r>
        <w:proofErr w:type="gramEnd"/>
      </w:hyperlink>
      <w:r w:rsidR="00E04F88">
        <w:rPr>
          <w:rStyle w:val="Hyperlink"/>
          <w:rFonts w:ascii="Times New Roman" w:hAnsi="Times New Roman" w:cs="Times New Roman"/>
          <w:bCs/>
          <w:color w:val="auto"/>
        </w:rPr>
        <w:t>.</w:t>
      </w:r>
    </w:p>
    <w:p w14:paraId="4953C14E" w14:textId="3893259C"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Paton, F.L., Dandy, G.C., Maier, H.R., 2014. Integrated framework for assessing urban water supply security of systems with non-traditional sources under climate change. Environ. Model. </w:t>
      </w:r>
      <w:proofErr w:type="spellStart"/>
      <w:r w:rsidRPr="00F85381">
        <w:rPr>
          <w:rFonts w:ascii="Times New Roman" w:eastAsia="Times New Roman" w:hAnsi="Times New Roman" w:cs="Times New Roman"/>
        </w:rPr>
        <w:t>Softw</w:t>
      </w:r>
      <w:proofErr w:type="spellEnd"/>
      <w:r w:rsidR="00435567">
        <w:rPr>
          <w:rFonts w:ascii="Times New Roman" w:eastAsia="Times New Roman" w:hAnsi="Times New Roman" w:cs="Times New Roman"/>
        </w:rPr>
        <w:t>.</w:t>
      </w:r>
      <w:r w:rsidRPr="00F85381">
        <w:rPr>
          <w:rFonts w:ascii="Times New Roman" w:eastAsia="Times New Roman" w:hAnsi="Times New Roman" w:cs="Times New Roman"/>
        </w:rPr>
        <w:t xml:space="preserve"> 60, 302–319. </w:t>
      </w:r>
      <w:hyperlink r:id="rId82">
        <w:proofErr w:type="gramStart"/>
        <w:r w:rsidRPr="00435567">
          <w:rPr>
            <w:rFonts w:ascii="Times New Roman" w:eastAsia="Times New Roman" w:hAnsi="Times New Roman" w:cs="Times New Roman"/>
          </w:rPr>
          <w:t>doi</w:t>
        </w:r>
        <w:r w:rsidR="00435567">
          <w:rPr>
            <w:rFonts w:ascii="Times New Roman" w:eastAsia="Times New Roman" w:hAnsi="Times New Roman" w:cs="Times New Roman"/>
          </w:rPr>
          <w:t>:</w:t>
        </w:r>
        <w:r w:rsidRPr="00F85381">
          <w:rPr>
            <w:rFonts w:ascii="Times New Roman" w:eastAsia="Times New Roman" w:hAnsi="Times New Roman" w:cs="Times New Roman"/>
            <w:u w:val="single"/>
          </w:rPr>
          <w:t>10.1016/j.envsoft</w:t>
        </w:r>
        <w:proofErr w:type="gramEnd"/>
        <w:r w:rsidRPr="00F85381">
          <w:rPr>
            <w:rFonts w:ascii="Times New Roman" w:eastAsia="Times New Roman" w:hAnsi="Times New Roman" w:cs="Times New Roman"/>
            <w:u w:val="single"/>
          </w:rPr>
          <w:t>.2014.06.018</w:t>
        </w:r>
      </w:hyperlink>
      <w:r w:rsidR="00435567">
        <w:rPr>
          <w:rFonts w:ascii="Times New Roman" w:eastAsia="Times New Roman" w:hAnsi="Times New Roman" w:cs="Times New Roman"/>
          <w:u w:val="single"/>
        </w:rPr>
        <w:t>.</w:t>
      </w:r>
    </w:p>
    <w:p w14:paraId="4654D56E" w14:textId="67FF0681" w:rsidR="008F675E" w:rsidRPr="00F85381" w:rsidRDefault="001A43E4" w:rsidP="00261C72">
      <w:pPr>
        <w:spacing w:after="120" w:line="480" w:lineRule="auto"/>
        <w:rPr>
          <w:rFonts w:ascii="Times New Roman" w:eastAsia="Times New Roman" w:hAnsi="Times New Roman" w:cs="Times New Roman"/>
        </w:rPr>
      </w:pPr>
      <w:proofErr w:type="spellStart"/>
      <w:r w:rsidRPr="00F85381">
        <w:rPr>
          <w:rFonts w:ascii="Times New Roman" w:eastAsia="Times New Roman" w:hAnsi="Times New Roman" w:cs="Times New Roman"/>
        </w:rPr>
        <w:t>Rajaee</w:t>
      </w:r>
      <w:proofErr w:type="spellEnd"/>
      <w:r w:rsidRPr="00F85381">
        <w:rPr>
          <w:rFonts w:ascii="Times New Roman" w:eastAsia="Times New Roman" w:hAnsi="Times New Roman" w:cs="Times New Roman"/>
        </w:rPr>
        <w:t xml:space="preserve">, T., </w:t>
      </w:r>
      <w:proofErr w:type="spellStart"/>
      <w:r w:rsidRPr="00F85381">
        <w:rPr>
          <w:rFonts w:ascii="Times New Roman" w:eastAsia="Times New Roman" w:hAnsi="Times New Roman" w:cs="Times New Roman"/>
        </w:rPr>
        <w:t>Khani</w:t>
      </w:r>
      <w:proofErr w:type="spellEnd"/>
      <w:r w:rsidRPr="00F85381">
        <w:rPr>
          <w:rFonts w:ascii="Times New Roman" w:eastAsia="Times New Roman" w:hAnsi="Times New Roman" w:cs="Times New Roman"/>
        </w:rPr>
        <w:t xml:space="preserve">, S., </w:t>
      </w:r>
      <w:proofErr w:type="spellStart"/>
      <w:r w:rsidRPr="00F85381">
        <w:rPr>
          <w:rFonts w:ascii="Times New Roman" w:eastAsia="Times New Roman" w:hAnsi="Times New Roman" w:cs="Times New Roman"/>
        </w:rPr>
        <w:t>Ravansalar</w:t>
      </w:r>
      <w:proofErr w:type="spellEnd"/>
      <w:r w:rsidRPr="00F85381">
        <w:rPr>
          <w:rFonts w:ascii="Times New Roman" w:eastAsia="Times New Roman" w:hAnsi="Times New Roman" w:cs="Times New Roman"/>
        </w:rPr>
        <w:t>, M., 2020. Artificial intelligence-based single and hybrid models for prediction of water quality in rivers: A review</w:t>
      </w:r>
      <w:r w:rsidR="00232669">
        <w:rPr>
          <w:rFonts w:ascii="Times New Roman" w:eastAsia="Times New Roman" w:hAnsi="Times New Roman" w:cs="Times New Roman"/>
        </w:rPr>
        <w:t>.</w:t>
      </w:r>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Chemom</w:t>
      </w:r>
      <w:proofErr w:type="spellEnd"/>
      <w:r w:rsidR="00232669">
        <w:rPr>
          <w:rFonts w:ascii="Times New Roman" w:eastAsia="Times New Roman" w:hAnsi="Times New Roman" w:cs="Times New Roman"/>
        </w:rPr>
        <w:t>.</w:t>
      </w:r>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Intell</w:t>
      </w:r>
      <w:proofErr w:type="spellEnd"/>
      <w:r w:rsidR="00232669">
        <w:rPr>
          <w:rFonts w:ascii="Times New Roman" w:eastAsia="Times New Roman" w:hAnsi="Times New Roman" w:cs="Times New Roman"/>
        </w:rPr>
        <w:t>.</w:t>
      </w:r>
      <w:r w:rsidRPr="00F85381">
        <w:rPr>
          <w:rFonts w:ascii="Times New Roman" w:eastAsia="Times New Roman" w:hAnsi="Times New Roman" w:cs="Times New Roman"/>
        </w:rPr>
        <w:t xml:space="preserve"> Lab</w:t>
      </w:r>
      <w:r w:rsidR="00232669">
        <w:rPr>
          <w:rFonts w:ascii="Times New Roman" w:eastAsia="Times New Roman" w:hAnsi="Times New Roman" w:cs="Times New Roman"/>
        </w:rPr>
        <w:t>.</w:t>
      </w:r>
      <w:r w:rsidRPr="00F85381">
        <w:rPr>
          <w:rFonts w:ascii="Times New Roman" w:eastAsia="Times New Roman" w:hAnsi="Times New Roman" w:cs="Times New Roman"/>
        </w:rPr>
        <w:t xml:space="preserve"> Syst</w:t>
      </w:r>
      <w:r w:rsidR="00232669">
        <w:rPr>
          <w:rFonts w:ascii="Times New Roman" w:eastAsia="Times New Roman" w:hAnsi="Times New Roman" w:cs="Times New Roman"/>
        </w:rPr>
        <w:t>.</w:t>
      </w:r>
      <w:r w:rsidRPr="00F85381">
        <w:rPr>
          <w:rFonts w:ascii="Times New Roman" w:eastAsia="Times New Roman" w:hAnsi="Times New Roman" w:cs="Times New Roman"/>
        </w:rPr>
        <w:t xml:space="preserve"> 200, 103978. </w:t>
      </w:r>
      <w:proofErr w:type="gramStart"/>
      <w:r w:rsidR="00AB090B">
        <w:rPr>
          <w:rFonts w:ascii="Times New Roman" w:eastAsia="Times New Roman" w:hAnsi="Times New Roman" w:cs="Times New Roman"/>
        </w:rPr>
        <w:t>d</w:t>
      </w:r>
      <w:r w:rsidRPr="00F85381">
        <w:rPr>
          <w:rFonts w:ascii="Times New Roman" w:eastAsia="Times New Roman" w:hAnsi="Times New Roman" w:cs="Times New Roman"/>
        </w:rPr>
        <w:t>oi</w:t>
      </w:r>
      <w:r w:rsidR="006400FA">
        <w:rPr>
          <w:rFonts w:ascii="Times New Roman" w:eastAsia="Times New Roman" w:hAnsi="Times New Roman" w:cs="Times New Roman"/>
        </w:rPr>
        <w:t>:</w:t>
      </w:r>
      <w:r w:rsidRPr="00F85381">
        <w:rPr>
          <w:rFonts w:ascii="Times New Roman" w:eastAsia="Times New Roman" w:hAnsi="Times New Roman" w:cs="Times New Roman"/>
        </w:rPr>
        <w:t>10.1016/j.chemolab</w:t>
      </w:r>
      <w:proofErr w:type="gramEnd"/>
      <w:r w:rsidRPr="00F85381">
        <w:rPr>
          <w:rFonts w:ascii="Times New Roman" w:eastAsia="Times New Roman" w:hAnsi="Times New Roman" w:cs="Times New Roman"/>
        </w:rPr>
        <w:t>.2020.103978</w:t>
      </w:r>
      <w:r w:rsidR="006400FA">
        <w:rPr>
          <w:rFonts w:ascii="Times New Roman" w:eastAsia="Times New Roman" w:hAnsi="Times New Roman" w:cs="Times New Roman"/>
        </w:rPr>
        <w:t>.</w:t>
      </w:r>
    </w:p>
    <w:p w14:paraId="7E4BFFEE" w14:textId="4A0196FC"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Roach, T., Kapelan, Z., Ledbetter, R., 2018. Resilience-</w:t>
      </w:r>
      <w:r w:rsidR="009012A9" w:rsidRPr="00F85381">
        <w:rPr>
          <w:rFonts w:ascii="Times New Roman" w:eastAsia="Times New Roman" w:hAnsi="Times New Roman" w:cs="Times New Roman"/>
        </w:rPr>
        <w:t>b</w:t>
      </w:r>
      <w:r w:rsidRPr="00F85381">
        <w:rPr>
          <w:rFonts w:ascii="Times New Roman" w:eastAsia="Times New Roman" w:hAnsi="Times New Roman" w:cs="Times New Roman"/>
        </w:rPr>
        <w:t xml:space="preserve">ased </w:t>
      </w:r>
      <w:r w:rsidR="009012A9" w:rsidRPr="00F85381">
        <w:rPr>
          <w:rFonts w:ascii="Times New Roman" w:eastAsia="Times New Roman" w:hAnsi="Times New Roman" w:cs="Times New Roman"/>
        </w:rPr>
        <w:t>performance metrics for water resources management under uncertainty</w:t>
      </w:r>
      <w:r w:rsidR="00A36A87">
        <w:rPr>
          <w:rFonts w:ascii="Times New Roman" w:eastAsia="Times New Roman" w:hAnsi="Times New Roman" w:cs="Times New Roman"/>
        </w:rPr>
        <w:t>.</w:t>
      </w:r>
      <w:r w:rsidRPr="00F85381">
        <w:rPr>
          <w:rFonts w:ascii="Times New Roman" w:eastAsia="Times New Roman" w:hAnsi="Times New Roman" w:cs="Times New Roman"/>
        </w:rPr>
        <w:t xml:space="preserve"> </w:t>
      </w:r>
      <w:r w:rsidR="009012A9" w:rsidRPr="00F85381">
        <w:rPr>
          <w:rFonts w:ascii="Times New Roman" w:eastAsia="Times New Roman" w:hAnsi="Times New Roman" w:cs="Times New Roman"/>
        </w:rPr>
        <w:t>Adv</w:t>
      </w:r>
      <w:r w:rsidR="00A36A87">
        <w:rPr>
          <w:rFonts w:ascii="Times New Roman" w:eastAsia="Times New Roman" w:hAnsi="Times New Roman" w:cs="Times New Roman"/>
        </w:rPr>
        <w:t xml:space="preserve">. </w:t>
      </w:r>
      <w:r w:rsidR="009012A9" w:rsidRPr="00A36A87">
        <w:rPr>
          <w:rFonts w:ascii="Times New Roman" w:eastAsia="Times New Roman" w:hAnsi="Times New Roman" w:cs="Times New Roman"/>
        </w:rPr>
        <w:t>Water Res</w:t>
      </w:r>
      <w:r w:rsidR="00A36A87">
        <w:rPr>
          <w:rFonts w:ascii="Times New Roman" w:eastAsia="Times New Roman" w:hAnsi="Times New Roman" w:cs="Times New Roman"/>
        </w:rPr>
        <w:t>.</w:t>
      </w:r>
      <w:r w:rsidRPr="00F85381">
        <w:rPr>
          <w:rFonts w:ascii="Times New Roman" w:eastAsia="Times New Roman" w:hAnsi="Times New Roman" w:cs="Times New Roman"/>
        </w:rPr>
        <w:t xml:space="preserve"> </w:t>
      </w:r>
      <w:r w:rsidR="009012A9" w:rsidRPr="00F85381">
        <w:rPr>
          <w:rFonts w:ascii="Times New Roman" w:eastAsia="Times New Roman" w:hAnsi="Times New Roman" w:cs="Times New Roman"/>
        </w:rPr>
        <w:t>116</w:t>
      </w:r>
      <w:r w:rsidRPr="00F85381">
        <w:rPr>
          <w:rFonts w:ascii="Times New Roman" w:eastAsia="Times New Roman" w:hAnsi="Times New Roman" w:cs="Times New Roman"/>
        </w:rPr>
        <w:t xml:space="preserve">, </w:t>
      </w:r>
      <w:r w:rsidR="00DB085D" w:rsidRPr="00F85381">
        <w:rPr>
          <w:rFonts w:ascii="Times New Roman" w:eastAsia="Times New Roman" w:hAnsi="Times New Roman" w:cs="Times New Roman"/>
        </w:rPr>
        <w:t>18-28</w:t>
      </w:r>
      <w:r w:rsidRPr="00F85381">
        <w:rPr>
          <w:rFonts w:ascii="Times New Roman" w:eastAsia="Times New Roman" w:hAnsi="Times New Roman" w:cs="Times New Roman"/>
        </w:rPr>
        <w:t xml:space="preserve">. </w:t>
      </w:r>
      <w:r w:rsidR="00A36A87">
        <w:rPr>
          <w:rFonts w:ascii="Times New Roman" w:eastAsia="Times New Roman" w:hAnsi="Times New Roman" w:cs="Times New Roman"/>
        </w:rPr>
        <w:t>doi:</w:t>
      </w:r>
      <w:hyperlink r:id="rId83" w:history="1">
        <w:r w:rsidR="00A36A87" w:rsidRPr="000D4A4A">
          <w:rPr>
            <w:rStyle w:val="Hyperlink"/>
            <w:rFonts w:ascii="Times New Roman" w:eastAsia="Times New Roman" w:hAnsi="Times New Roman" w:cs="Times New Roman"/>
          </w:rPr>
          <w:t>10.1016/j.advwatres.2018.03.016</w:t>
        </w:r>
      </w:hyperlink>
      <w:r w:rsidR="00A36A87">
        <w:rPr>
          <w:rStyle w:val="Hyperlink"/>
          <w:rFonts w:ascii="Times New Roman" w:eastAsia="Times New Roman" w:hAnsi="Times New Roman" w:cs="Times New Roman"/>
          <w:color w:val="auto"/>
        </w:rPr>
        <w:t>.</w:t>
      </w:r>
    </w:p>
    <w:p w14:paraId="44A6505C" w14:textId="428ED091" w:rsidR="009F26E3" w:rsidRPr="00F85381" w:rsidRDefault="00F50BBA" w:rsidP="00261C72">
      <w:pPr>
        <w:spacing w:after="120" w:line="480" w:lineRule="auto"/>
        <w:rPr>
          <w:rFonts w:ascii="Times New Roman" w:eastAsia="Times New Roman" w:hAnsi="Times New Roman" w:cs="Times New Roman"/>
        </w:rPr>
      </w:pPr>
      <w:proofErr w:type="spellStart"/>
      <w:r w:rsidRPr="00F85381">
        <w:rPr>
          <w:rFonts w:ascii="Times New Roman" w:eastAsia="Times New Roman" w:hAnsi="Times New Roman" w:cs="Times New Roman"/>
        </w:rPr>
        <w:t>Rowny</w:t>
      </w:r>
      <w:proofErr w:type="spellEnd"/>
      <w:r w:rsidRPr="00F85381">
        <w:rPr>
          <w:rFonts w:ascii="Times New Roman" w:eastAsia="Times New Roman" w:hAnsi="Times New Roman" w:cs="Times New Roman"/>
        </w:rPr>
        <w:t>, J.G., Stewart, J.R., 2012. Characterization of non- point source microbial contamination in an urbanizing watershed serving as a municipal water supply. Water Res</w:t>
      </w:r>
      <w:r w:rsidR="002E6B01">
        <w:rPr>
          <w:rFonts w:ascii="Times New Roman" w:eastAsia="Times New Roman" w:hAnsi="Times New Roman" w:cs="Times New Roman"/>
        </w:rPr>
        <w:t>.</w:t>
      </w:r>
      <w:r w:rsidRPr="00F85381">
        <w:rPr>
          <w:rFonts w:ascii="Times New Roman" w:eastAsia="Times New Roman" w:hAnsi="Times New Roman" w:cs="Times New Roman"/>
        </w:rPr>
        <w:t xml:space="preserve"> 46, 6143–6153. </w:t>
      </w:r>
      <w:hyperlink r:id="rId84">
        <w:proofErr w:type="gramStart"/>
        <w:r w:rsidRPr="00F85381">
          <w:rPr>
            <w:rFonts w:ascii="Times New Roman" w:eastAsia="Times New Roman" w:hAnsi="Times New Roman" w:cs="Times New Roman"/>
            <w:u w:val="single"/>
          </w:rPr>
          <w:t>doi</w:t>
        </w:r>
        <w:r w:rsidR="002E6B01">
          <w:rPr>
            <w:rFonts w:ascii="Times New Roman" w:eastAsia="Times New Roman" w:hAnsi="Times New Roman" w:cs="Times New Roman"/>
            <w:u w:val="single"/>
          </w:rPr>
          <w:t>:</w:t>
        </w:r>
        <w:r w:rsidRPr="00F85381">
          <w:rPr>
            <w:rFonts w:ascii="Times New Roman" w:eastAsia="Times New Roman" w:hAnsi="Times New Roman" w:cs="Times New Roman"/>
            <w:u w:val="single"/>
          </w:rPr>
          <w:t>10.1016/j.watres</w:t>
        </w:r>
        <w:proofErr w:type="gramEnd"/>
        <w:r w:rsidRPr="00F85381">
          <w:rPr>
            <w:rFonts w:ascii="Times New Roman" w:eastAsia="Times New Roman" w:hAnsi="Times New Roman" w:cs="Times New Roman"/>
            <w:u w:val="single"/>
          </w:rPr>
          <w:t>.2012.09.009</w:t>
        </w:r>
      </w:hyperlink>
      <w:r w:rsidR="002E6B01">
        <w:rPr>
          <w:rFonts w:ascii="Times New Roman" w:eastAsia="Times New Roman" w:hAnsi="Times New Roman" w:cs="Times New Roman"/>
          <w:u w:val="single"/>
        </w:rPr>
        <w:t>.</w:t>
      </w:r>
    </w:p>
    <w:p w14:paraId="3B65BFD9" w14:textId="7DBF61C6" w:rsidR="009F26E3" w:rsidRPr="00F85381" w:rsidRDefault="00F50BBA" w:rsidP="00261C72">
      <w:pPr>
        <w:spacing w:after="120" w:line="480" w:lineRule="auto"/>
        <w:rPr>
          <w:rFonts w:ascii="Times New Roman" w:eastAsia="Times New Roman" w:hAnsi="Times New Roman" w:cs="Times New Roman"/>
          <w:u w:val="single"/>
        </w:rPr>
      </w:pPr>
      <w:proofErr w:type="spellStart"/>
      <w:r w:rsidRPr="00F85381">
        <w:rPr>
          <w:rFonts w:ascii="Times New Roman" w:eastAsia="Times New Roman" w:hAnsi="Times New Roman" w:cs="Times New Roman"/>
        </w:rPr>
        <w:t>Saaty</w:t>
      </w:r>
      <w:proofErr w:type="spellEnd"/>
      <w:r w:rsidRPr="00F85381">
        <w:rPr>
          <w:rFonts w:ascii="Times New Roman" w:eastAsia="Times New Roman" w:hAnsi="Times New Roman" w:cs="Times New Roman"/>
        </w:rPr>
        <w:t xml:space="preserve">, T.L., 1977. A scaling method for priorities in hierarchical structures, J. Math. Psychol. 15, 234-281. </w:t>
      </w:r>
      <w:r w:rsidR="00E0554B">
        <w:rPr>
          <w:rFonts w:ascii="Times New Roman" w:eastAsia="Times New Roman" w:hAnsi="Times New Roman" w:cs="Times New Roman"/>
        </w:rPr>
        <w:t>doi:</w:t>
      </w:r>
      <w:hyperlink r:id="rId85">
        <w:r w:rsidRPr="00F85381">
          <w:rPr>
            <w:rFonts w:ascii="Times New Roman" w:eastAsia="Times New Roman" w:hAnsi="Times New Roman" w:cs="Times New Roman"/>
            <w:u w:val="single"/>
          </w:rPr>
          <w:t>10.1016/0022-2496(77)90033-5</w:t>
        </w:r>
      </w:hyperlink>
      <w:r w:rsidR="0045149E">
        <w:rPr>
          <w:rFonts w:ascii="Times New Roman" w:eastAsia="Times New Roman" w:hAnsi="Times New Roman" w:cs="Times New Roman"/>
          <w:u w:val="single"/>
        </w:rPr>
        <w:t>.</w:t>
      </w:r>
    </w:p>
    <w:p w14:paraId="426EF742" w14:textId="2B449777" w:rsidR="006D680A" w:rsidRPr="00F85381" w:rsidRDefault="006D680A" w:rsidP="00261C72">
      <w:pPr>
        <w:spacing w:after="120" w:line="480" w:lineRule="auto"/>
        <w:rPr>
          <w:rFonts w:ascii="Times New Roman" w:eastAsia="Times New Roman" w:hAnsi="Times New Roman" w:cs="Times New Roman"/>
        </w:rPr>
      </w:pPr>
      <w:proofErr w:type="spellStart"/>
      <w:r w:rsidRPr="00F85381">
        <w:rPr>
          <w:rFonts w:ascii="Times New Roman" w:eastAsia="Times New Roman" w:hAnsi="Times New Roman" w:cs="Times New Roman"/>
        </w:rPr>
        <w:lastRenderedPageBreak/>
        <w:t>Saaty</w:t>
      </w:r>
      <w:proofErr w:type="spellEnd"/>
      <w:r w:rsidRPr="00F85381">
        <w:rPr>
          <w:rFonts w:ascii="Times New Roman" w:eastAsia="Times New Roman" w:hAnsi="Times New Roman" w:cs="Times New Roman"/>
        </w:rPr>
        <w:t>, T. L., 1982. Decision Making for Leaders: The Analytical Hierarchy Process for Decisions in a Complex World. Belmont, California: Wadsworth. ISBN 0-534-97959-9; Paperback, Pittsburgh: RWS. ISBN 0-9620317-0-4</w:t>
      </w:r>
      <w:r w:rsidR="00452EDD">
        <w:rPr>
          <w:rFonts w:ascii="Times New Roman" w:eastAsia="Times New Roman" w:hAnsi="Times New Roman" w:cs="Times New Roman"/>
        </w:rPr>
        <w:t>.</w:t>
      </w:r>
    </w:p>
    <w:p w14:paraId="7A39411C" w14:textId="0B017EDA"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Sarang, A., Vahedi, A.</w:t>
      </w:r>
      <w:r w:rsidR="00484EDD" w:rsidRPr="00F85381">
        <w:rPr>
          <w:rFonts w:ascii="Times New Roman" w:eastAsia="Times New Roman" w:hAnsi="Times New Roman" w:cs="Times New Roman"/>
        </w:rPr>
        <w:t>,</w:t>
      </w:r>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Shamsai</w:t>
      </w:r>
      <w:proofErr w:type="spellEnd"/>
      <w:r w:rsidRPr="00F85381">
        <w:rPr>
          <w:rFonts w:ascii="Times New Roman" w:eastAsia="Times New Roman" w:hAnsi="Times New Roman" w:cs="Times New Roman"/>
        </w:rPr>
        <w:t>, A., 2008. How to quantify sustainable development: a risk-based approach to water quality management</w:t>
      </w:r>
      <w:r w:rsidR="007553EC">
        <w:rPr>
          <w:rFonts w:ascii="Times New Roman" w:eastAsia="Times New Roman" w:hAnsi="Times New Roman" w:cs="Times New Roman"/>
        </w:rPr>
        <w:t>.</w:t>
      </w:r>
      <w:r w:rsidRPr="00F85381">
        <w:rPr>
          <w:rFonts w:ascii="Times New Roman" w:eastAsia="Times New Roman" w:hAnsi="Times New Roman" w:cs="Times New Roman"/>
        </w:rPr>
        <w:t xml:space="preserve"> Environ</w:t>
      </w:r>
      <w:r w:rsidR="007553EC">
        <w:rPr>
          <w:rFonts w:ascii="Times New Roman" w:eastAsia="Times New Roman" w:hAnsi="Times New Roman" w:cs="Times New Roman"/>
        </w:rPr>
        <w:t>.</w:t>
      </w:r>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Manag</w:t>
      </w:r>
      <w:proofErr w:type="spellEnd"/>
      <w:r w:rsidR="007553EC">
        <w:rPr>
          <w:rFonts w:ascii="Times New Roman" w:eastAsia="Times New Roman" w:hAnsi="Times New Roman" w:cs="Times New Roman"/>
        </w:rPr>
        <w:t>.</w:t>
      </w:r>
      <w:r w:rsidRPr="00F85381">
        <w:rPr>
          <w:rFonts w:ascii="Times New Roman" w:eastAsia="Times New Roman" w:hAnsi="Times New Roman" w:cs="Times New Roman"/>
        </w:rPr>
        <w:t xml:space="preserve"> 41 (2), 200-220.</w:t>
      </w:r>
      <w:r w:rsidR="007553EC">
        <w:rPr>
          <w:rFonts w:ascii="Times New Roman" w:eastAsia="Times New Roman" w:hAnsi="Times New Roman" w:cs="Times New Roman"/>
        </w:rPr>
        <w:t xml:space="preserve"> </w:t>
      </w:r>
      <w:proofErr w:type="spellStart"/>
      <w:r w:rsidR="0013161D">
        <w:rPr>
          <w:rFonts w:ascii="Times New Roman" w:eastAsia="Times New Roman" w:hAnsi="Times New Roman" w:cs="Times New Roman"/>
        </w:rPr>
        <w:t>d</w:t>
      </w:r>
      <w:r w:rsidR="007553EC">
        <w:rPr>
          <w:rFonts w:ascii="Times New Roman" w:eastAsia="Times New Roman" w:hAnsi="Times New Roman" w:cs="Times New Roman"/>
        </w:rPr>
        <w:t>oi</w:t>
      </w:r>
      <w:proofErr w:type="spellEnd"/>
      <w:r w:rsidR="007553EC">
        <w:rPr>
          <w:rFonts w:ascii="Times New Roman" w:eastAsia="Times New Roman" w:hAnsi="Times New Roman" w:cs="Times New Roman"/>
        </w:rPr>
        <w:t>:</w:t>
      </w:r>
      <w:r w:rsidRPr="00F85381">
        <w:rPr>
          <w:rFonts w:ascii="Times New Roman" w:eastAsia="Times New Roman" w:hAnsi="Times New Roman" w:cs="Times New Roman"/>
        </w:rPr>
        <w:t xml:space="preserve"> </w:t>
      </w:r>
      <w:hyperlink r:id="rId86" w:history="1">
        <w:r w:rsidR="002D03F0" w:rsidRPr="00F85381">
          <w:rPr>
            <w:rStyle w:val="Hyperlink"/>
            <w:rFonts w:ascii="Times New Roman" w:hAnsi="Times New Roman" w:cs="Times New Roman"/>
            <w:color w:val="auto"/>
            <w:shd w:val="clear" w:color="auto" w:fill="FCFCFC"/>
          </w:rPr>
          <w:t>10.1007/s00267-007-9047-5</w:t>
        </w:r>
      </w:hyperlink>
      <w:r w:rsidR="0013161D">
        <w:rPr>
          <w:rStyle w:val="Hyperlink"/>
          <w:rFonts w:ascii="Times New Roman" w:hAnsi="Times New Roman" w:cs="Times New Roman"/>
          <w:color w:val="auto"/>
          <w:shd w:val="clear" w:color="auto" w:fill="FCFCFC"/>
        </w:rPr>
        <w:t>.</w:t>
      </w:r>
    </w:p>
    <w:p w14:paraId="0183B5FA" w14:textId="38B2D14F" w:rsidR="009F26E3"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Sarkar, A.</w:t>
      </w:r>
      <w:r w:rsidR="003520C5" w:rsidRPr="00F85381">
        <w:rPr>
          <w:rFonts w:ascii="Times New Roman" w:eastAsia="Times New Roman" w:hAnsi="Times New Roman" w:cs="Times New Roman"/>
        </w:rPr>
        <w:t>,</w:t>
      </w:r>
      <w:r w:rsidRPr="00F85381">
        <w:rPr>
          <w:rFonts w:ascii="Times New Roman" w:eastAsia="Times New Roman" w:hAnsi="Times New Roman" w:cs="Times New Roman"/>
        </w:rPr>
        <w:t xml:space="preserve"> Pandey, P., 2015. River WQ Modelling using </w:t>
      </w:r>
      <w:r w:rsidR="003972CB">
        <w:rPr>
          <w:rFonts w:ascii="Times New Roman" w:eastAsia="Times New Roman" w:hAnsi="Times New Roman" w:cs="Times New Roman"/>
        </w:rPr>
        <w:t>a</w:t>
      </w:r>
      <w:r w:rsidRPr="00F85381">
        <w:rPr>
          <w:rFonts w:ascii="Times New Roman" w:eastAsia="Times New Roman" w:hAnsi="Times New Roman" w:cs="Times New Roman"/>
        </w:rPr>
        <w:t xml:space="preserve">rtificial </w:t>
      </w:r>
      <w:r w:rsidR="003972CB">
        <w:rPr>
          <w:rFonts w:ascii="Times New Roman" w:eastAsia="Times New Roman" w:hAnsi="Times New Roman" w:cs="Times New Roman"/>
        </w:rPr>
        <w:t>n</w:t>
      </w:r>
      <w:r w:rsidRPr="00F85381">
        <w:rPr>
          <w:rFonts w:ascii="Times New Roman" w:eastAsia="Times New Roman" w:hAnsi="Times New Roman" w:cs="Times New Roman"/>
        </w:rPr>
        <w:t xml:space="preserve">eural </w:t>
      </w:r>
      <w:r w:rsidR="003972CB">
        <w:rPr>
          <w:rFonts w:ascii="Times New Roman" w:eastAsia="Times New Roman" w:hAnsi="Times New Roman" w:cs="Times New Roman"/>
        </w:rPr>
        <w:t>n</w:t>
      </w:r>
      <w:r w:rsidRPr="00F85381">
        <w:rPr>
          <w:rFonts w:ascii="Times New Roman" w:eastAsia="Times New Roman" w:hAnsi="Times New Roman" w:cs="Times New Roman"/>
        </w:rPr>
        <w:t xml:space="preserve">etwork </w:t>
      </w:r>
      <w:r w:rsidR="003972CB">
        <w:rPr>
          <w:rFonts w:ascii="Times New Roman" w:eastAsia="Times New Roman" w:hAnsi="Times New Roman" w:cs="Times New Roman"/>
        </w:rPr>
        <w:t>t</w:t>
      </w:r>
      <w:r w:rsidRPr="00F85381">
        <w:rPr>
          <w:rFonts w:ascii="Times New Roman" w:eastAsia="Times New Roman" w:hAnsi="Times New Roman" w:cs="Times New Roman"/>
        </w:rPr>
        <w:t xml:space="preserve">echnique, </w:t>
      </w:r>
      <w:r w:rsidR="003972CB">
        <w:rPr>
          <w:rFonts w:ascii="Times New Roman" w:eastAsia="Times New Roman" w:hAnsi="Times New Roman" w:cs="Times New Roman"/>
        </w:rPr>
        <w:t>i</w:t>
      </w:r>
      <w:r w:rsidRPr="00F85381">
        <w:rPr>
          <w:rFonts w:ascii="Times New Roman" w:eastAsia="Times New Roman" w:hAnsi="Times New Roman" w:cs="Times New Roman"/>
        </w:rPr>
        <w:t>nternational conference on water resources, coastal and ocean engineering (ICWRCOE 2015)</w:t>
      </w:r>
      <w:r w:rsidR="004F6C26">
        <w:rPr>
          <w:rFonts w:ascii="Times New Roman" w:eastAsia="Times New Roman" w:hAnsi="Times New Roman" w:cs="Times New Roman"/>
        </w:rPr>
        <w:t>.</w:t>
      </w:r>
      <w:r w:rsidRPr="00F85381">
        <w:rPr>
          <w:rFonts w:ascii="Times New Roman" w:eastAsia="Times New Roman" w:hAnsi="Times New Roman" w:cs="Times New Roman"/>
        </w:rPr>
        <w:t xml:space="preserve"> Aquatic Procedia 4, 1070 - 1077.</w:t>
      </w:r>
    </w:p>
    <w:p w14:paraId="34E8F364" w14:textId="6E8945AC" w:rsidR="009F26E3" w:rsidRPr="00F85381" w:rsidRDefault="00F50BBA" w:rsidP="00261C72">
      <w:pPr>
        <w:spacing w:after="120" w:line="480" w:lineRule="auto"/>
        <w:rPr>
          <w:rFonts w:ascii="Times New Roman" w:eastAsia="Times New Roman" w:hAnsi="Times New Roman" w:cs="Times New Roman"/>
        </w:rPr>
      </w:pPr>
      <w:proofErr w:type="spellStart"/>
      <w:r w:rsidRPr="00F85381">
        <w:rPr>
          <w:rFonts w:ascii="Times New Roman" w:eastAsia="Times New Roman" w:hAnsi="Times New Roman" w:cs="Times New Roman"/>
        </w:rPr>
        <w:t>Seo</w:t>
      </w:r>
      <w:proofErr w:type="spellEnd"/>
      <w:r w:rsidRPr="00F85381">
        <w:rPr>
          <w:rFonts w:ascii="Times New Roman" w:eastAsia="Times New Roman" w:hAnsi="Times New Roman" w:cs="Times New Roman"/>
        </w:rPr>
        <w:t xml:space="preserve">, I.W., </w:t>
      </w:r>
      <w:proofErr w:type="spellStart"/>
      <w:r w:rsidRPr="00F85381">
        <w:rPr>
          <w:rFonts w:ascii="Times New Roman" w:eastAsia="Times New Roman" w:hAnsi="Times New Roman" w:cs="Times New Roman"/>
        </w:rPr>
        <w:t>Yuna</w:t>
      </w:r>
      <w:proofErr w:type="spellEnd"/>
      <w:r w:rsidRPr="00F85381">
        <w:rPr>
          <w:rFonts w:ascii="Times New Roman" w:eastAsia="Times New Roman" w:hAnsi="Times New Roman" w:cs="Times New Roman"/>
        </w:rPr>
        <w:t>, S.H.</w:t>
      </w:r>
      <w:r w:rsidR="00484EDD" w:rsidRPr="00F85381">
        <w:rPr>
          <w:rFonts w:ascii="Times New Roman" w:eastAsia="Times New Roman" w:hAnsi="Times New Roman" w:cs="Times New Roman"/>
        </w:rPr>
        <w:t>,</w:t>
      </w:r>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Choia</w:t>
      </w:r>
      <w:proofErr w:type="spellEnd"/>
      <w:r w:rsidRPr="00F85381">
        <w:rPr>
          <w:rFonts w:ascii="Times New Roman" w:eastAsia="Times New Roman" w:hAnsi="Times New Roman" w:cs="Times New Roman"/>
        </w:rPr>
        <w:t xml:space="preserve">, S.Y., 2016. Forecasting WQ </w:t>
      </w:r>
      <w:r w:rsidR="00F512FD">
        <w:rPr>
          <w:rFonts w:ascii="Times New Roman" w:eastAsia="Times New Roman" w:hAnsi="Times New Roman" w:cs="Times New Roman"/>
        </w:rPr>
        <w:t>p</w:t>
      </w:r>
      <w:r w:rsidRPr="00F85381">
        <w:rPr>
          <w:rFonts w:ascii="Times New Roman" w:eastAsia="Times New Roman" w:hAnsi="Times New Roman" w:cs="Times New Roman"/>
        </w:rPr>
        <w:t xml:space="preserve">arameters by ANN </w:t>
      </w:r>
      <w:r w:rsidR="00F512FD">
        <w:rPr>
          <w:rFonts w:ascii="Times New Roman" w:eastAsia="Times New Roman" w:hAnsi="Times New Roman" w:cs="Times New Roman"/>
        </w:rPr>
        <w:t>m</w:t>
      </w:r>
      <w:r w:rsidRPr="00F85381">
        <w:rPr>
          <w:rFonts w:ascii="Times New Roman" w:eastAsia="Times New Roman" w:hAnsi="Times New Roman" w:cs="Times New Roman"/>
        </w:rPr>
        <w:t xml:space="preserve">odel using </w:t>
      </w:r>
      <w:proofErr w:type="spellStart"/>
      <w:r w:rsidR="00F512FD">
        <w:rPr>
          <w:rFonts w:ascii="Times New Roman" w:eastAsia="Times New Roman" w:hAnsi="Times New Roman" w:cs="Times New Roman"/>
        </w:rPr>
        <w:t>p</w:t>
      </w:r>
      <w:r w:rsidRPr="00F85381">
        <w:rPr>
          <w:rFonts w:ascii="Times New Roman" w:eastAsia="Times New Roman" w:hAnsi="Times New Roman" w:cs="Times New Roman"/>
        </w:rPr>
        <w:t>reprocessing</w:t>
      </w:r>
      <w:proofErr w:type="spellEnd"/>
      <w:r w:rsidRPr="00F85381">
        <w:rPr>
          <w:rFonts w:ascii="Times New Roman" w:eastAsia="Times New Roman" w:hAnsi="Times New Roman" w:cs="Times New Roman"/>
        </w:rPr>
        <w:t xml:space="preserve"> </w:t>
      </w:r>
      <w:r w:rsidR="00F512FD">
        <w:rPr>
          <w:rFonts w:ascii="Times New Roman" w:eastAsia="Times New Roman" w:hAnsi="Times New Roman" w:cs="Times New Roman"/>
        </w:rPr>
        <w:t>t</w:t>
      </w:r>
      <w:r w:rsidRPr="00F85381">
        <w:rPr>
          <w:rFonts w:ascii="Times New Roman" w:eastAsia="Times New Roman" w:hAnsi="Times New Roman" w:cs="Times New Roman"/>
        </w:rPr>
        <w:t xml:space="preserve">echnique at the </w:t>
      </w:r>
      <w:r w:rsidR="00F512FD">
        <w:rPr>
          <w:rFonts w:ascii="Times New Roman" w:eastAsia="Times New Roman" w:hAnsi="Times New Roman" w:cs="Times New Roman"/>
        </w:rPr>
        <w:t>d</w:t>
      </w:r>
      <w:r w:rsidRPr="00F85381">
        <w:rPr>
          <w:rFonts w:ascii="Times New Roman" w:eastAsia="Times New Roman" w:hAnsi="Times New Roman" w:cs="Times New Roman"/>
        </w:rPr>
        <w:t xml:space="preserve">ownstream of </w:t>
      </w:r>
      <w:proofErr w:type="spellStart"/>
      <w:r w:rsidR="00F512FD">
        <w:rPr>
          <w:rFonts w:ascii="Times New Roman" w:eastAsia="Times New Roman" w:hAnsi="Times New Roman" w:cs="Times New Roman"/>
        </w:rPr>
        <w:t>c</w:t>
      </w:r>
      <w:r w:rsidRPr="00F85381">
        <w:rPr>
          <w:rFonts w:ascii="Times New Roman" w:eastAsia="Times New Roman" w:hAnsi="Times New Roman" w:cs="Times New Roman"/>
        </w:rPr>
        <w:t>heongpyeong</w:t>
      </w:r>
      <w:proofErr w:type="spellEnd"/>
      <w:r w:rsidRPr="00F85381">
        <w:rPr>
          <w:rFonts w:ascii="Times New Roman" w:eastAsia="Times New Roman" w:hAnsi="Times New Roman" w:cs="Times New Roman"/>
        </w:rPr>
        <w:t xml:space="preserve"> </w:t>
      </w:r>
      <w:r w:rsidR="00F512FD">
        <w:rPr>
          <w:rFonts w:ascii="Times New Roman" w:eastAsia="Times New Roman" w:hAnsi="Times New Roman" w:cs="Times New Roman"/>
        </w:rPr>
        <w:t>d</w:t>
      </w:r>
      <w:r w:rsidRPr="00F85381">
        <w:rPr>
          <w:rFonts w:ascii="Times New Roman" w:eastAsia="Times New Roman" w:hAnsi="Times New Roman" w:cs="Times New Roman"/>
        </w:rPr>
        <w:t xml:space="preserve">am, 12th International Conference on </w:t>
      </w:r>
      <w:proofErr w:type="spellStart"/>
      <w:r w:rsidRPr="00F85381">
        <w:rPr>
          <w:rFonts w:ascii="Times New Roman" w:eastAsia="Times New Roman" w:hAnsi="Times New Roman" w:cs="Times New Roman"/>
        </w:rPr>
        <w:t>Hydroinformatics</w:t>
      </w:r>
      <w:proofErr w:type="spellEnd"/>
      <w:r w:rsidRPr="00F85381">
        <w:rPr>
          <w:rFonts w:ascii="Times New Roman" w:eastAsia="Times New Roman" w:hAnsi="Times New Roman" w:cs="Times New Roman"/>
        </w:rPr>
        <w:t>, HIC 2016</w:t>
      </w:r>
      <w:r w:rsidR="00F512FD">
        <w:rPr>
          <w:rFonts w:ascii="Times New Roman" w:eastAsia="Times New Roman" w:hAnsi="Times New Roman" w:cs="Times New Roman"/>
        </w:rPr>
        <w:t>.</w:t>
      </w:r>
      <w:r w:rsidRPr="00F85381">
        <w:rPr>
          <w:rFonts w:ascii="Times New Roman" w:eastAsia="Times New Roman" w:hAnsi="Times New Roman" w:cs="Times New Roman"/>
        </w:rPr>
        <w:t xml:space="preserve"> Procedia Engineering 154, 1110 - 1115.</w:t>
      </w:r>
    </w:p>
    <w:p w14:paraId="65D51F3D" w14:textId="2E364704"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Singh, K.P., Basant, A., Malik, A.</w:t>
      </w:r>
      <w:r w:rsidR="00484EDD" w:rsidRPr="00F85381">
        <w:rPr>
          <w:rFonts w:ascii="Times New Roman" w:eastAsia="Times New Roman" w:hAnsi="Times New Roman" w:cs="Times New Roman"/>
        </w:rPr>
        <w:t>,</w:t>
      </w:r>
      <w:r w:rsidRPr="00F85381">
        <w:rPr>
          <w:rFonts w:ascii="Times New Roman" w:eastAsia="Times New Roman" w:hAnsi="Times New Roman" w:cs="Times New Roman"/>
        </w:rPr>
        <w:t xml:space="preserve"> Jain, G., 2009. ANN modelling of the river WQ – </w:t>
      </w:r>
      <w:r w:rsidR="00380C62">
        <w:rPr>
          <w:rFonts w:ascii="Times New Roman" w:eastAsia="Times New Roman" w:hAnsi="Times New Roman" w:cs="Times New Roman"/>
        </w:rPr>
        <w:t>a</w:t>
      </w:r>
      <w:r w:rsidRPr="00F85381">
        <w:rPr>
          <w:rFonts w:ascii="Times New Roman" w:eastAsia="Times New Roman" w:hAnsi="Times New Roman" w:cs="Times New Roman"/>
        </w:rPr>
        <w:t xml:space="preserve"> case study, Ecol. Model. 220 (6), 888-895. </w:t>
      </w:r>
      <w:proofErr w:type="spellStart"/>
      <w:r w:rsidR="00380C62">
        <w:rPr>
          <w:rFonts w:ascii="Times New Roman" w:eastAsia="Times New Roman" w:hAnsi="Times New Roman" w:cs="Times New Roman"/>
        </w:rPr>
        <w:t>doi</w:t>
      </w:r>
      <w:proofErr w:type="spellEnd"/>
      <w:r w:rsidRPr="00F85381">
        <w:rPr>
          <w:rFonts w:ascii="Times New Roman" w:eastAsia="Times New Roman" w:hAnsi="Times New Roman" w:cs="Times New Roman"/>
        </w:rPr>
        <w:t>: </w:t>
      </w:r>
      <w:hyperlink r:id="rId87">
        <w:r w:rsidRPr="00F85381">
          <w:rPr>
            <w:rFonts w:ascii="Times New Roman" w:eastAsia="Times New Roman" w:hAnsi="Times New Roman" w:cs="Times New Roman"/>
            <w:u w:val="single"/>
          </w:rPr>
          <w:t>10.1016/j.ecolmodel.2009.01.004</w:t>
        </w:r>
      </w:hyperlink>
      <w:r w:rsidR="002D2418">
        <w:rPr>
          <w:rFonts w:ascii="Times New Roman" w:eastAsia="Times New Roman" w:hAnsi="Times New Roman" w:cs="Times New Roman"/>
          <w:u w:val="single"/>
        </w:rPr>
        <w:t>.</w:t>
      </w:r>
    </w:p>
    <w:p w14:paraId="3C1C462B" w14:textId="6F689144" w:rsidR="009F26E3" w:rsidRDefault="00F50BBA" w:rsidP="00261C72">
      <w:pPr>
        <w:spacing w:after="120" w:line="480" w:lineRule="auto"/>
        <w:rPr>
          <w:rFonts w:ascii="Times New Roman" w:eastAsia="Times New Roman" w:hAnsi="Times New Roman" w:cs="Times New Roman"/>
          <w:u w:val="single"/>
        </w:rPr>
      </w:pPr>
      <w:r w:rsidRPr="00F85381">
        <w:rPr>
          <w:rFonts w:ascii="Times New Roman" w:eastAsia="Times New Roman" w:hAnsi="Times New Roman" w:cs="Times New Roman"/>
        </w:rPr>
        <w:t>Slaughter, A., Hughes, D., Retief, D.</w:t>
      </w:r>
      <w:r w:rsidR="00484EDD" w:rsidRPr="00F85381">
        <w:rPr>
          <w:rFonts w:ascii="Times New Roman" w:eastAsia="Times New Roman" w:hAnsi="Times New Roman" w:cs="Times New Roman"/>
        </w:rPr>
        <w:t>,</w:t>
      </w:r>
      <w:r w:rsidRPr="00F85381">
        <w:rPr>
          <w:rFonts w:ascii="Times New Roman" w:eastAsia="Times New Roman" w:hAnsi="Times New Roman" w:cs="Times New Roman"/>
        </w:rPr>
        <w:t xml:space="preserve"> Mantel, S., 2017. A management-oriented water quality model for data scarce catchments, Environ. Model. </w:t>
      </w:r>
      <w:proofErr w:type="spellStart"/>
      <w:r w:rsidRPr="00F85381">
        <w:rPr>
          <w:rFonts w:ascii="Times New Roman" w:eastAsia="Times New Roman" w:hAnsi="Times New Roman" w:cs="Times New Roman"/>
        </w:rPr>
        <w:t>Softw</w:t>
      </w:r>
      <w:proofErr w:type="spellEnd"/>
      <w:r w:rsidRPr="00F85381">
        <w:rPr>
          <w:rFonts w:ascii="Times New Roman" w:eastAsia="Times New Roman" w:hAnsi="Times New Roman" w:cs="Times New Roman"/>
        </w:rPr>
        <w:t xml:space="preserve">. 97, 93-111. </w:t>
      </w:r>
      <w:proofErr w:type="spellStart"/>
      <w:r w:rsidR="002D2418">
        <w:rPr>
          <w:rFonts w:ascii="Times New Roman" w:eastAsia="Times New Roman" w:hAnsi="Times New Roman" w:cs="Times New Roman"/>
        </w:rPr>
        <w:t>doi</w:t>
      </w:r>
      <w:proofErr w:type="spellEnd"/>
      <w:r w:rsidRPr="00F85381">
        <w:rPr>
          <w:rFonts w:ascii="Times New Roman" w:eastAsia="Times New Roman" w:hAnsi="Times New Roman" w:cs="Times New Roman"/>
        </w:rPr>
        <w:t xml:space="preserve">: </w:t>
      </w:r>
      <w:hyperlink r:id="rId88">
        <w:r w:rsidRPr="00F85381">
          <w:rPr>
            <w:rFonts w:ascii="Times New Roman" w:eastAsia="Times New Roman" w:hAnsi="Times New Roman" w:cs="Times New Roman"/>
            <w:u w:val="single"/>
          </w:rPr>
          <w:t>10.1016/j.envsoft.2017.07.015</w:t>
        </w:r>
      </w:hyperlink>
      <w:r w:rsidR="002D2418">
        <w:rPr>
          <w:rFonts w:ascii="Times New Roman" w:eastAsia="Times New Roman" w:hAnsi="Times New Roman" w:cs="Times New Roman"/>
          <w:u w:val="single"/>
        </w:rPr>
        <w:t>.</w:t>
      </w:r>
    </w:p>
    <w:p w14:paraId="1AC7F82B" w14:textId="0FE6F7F0" w:rsidR="00E13179" w:rsidRPr="00F85381" w:rsidRDefault="00E13179"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Sweetapple, C., </w:t>
      </w:r>
      <w:proofErr w:type="spellStart"/>
      <w:r w:rsidRPr="00F85381">
        <w:rPr>
          <w:rFonts w:ascii="Times New Roman" w:eastAsia="Times New Roman" w:hAnsi="Times New Roman" w:cs="Times New Roman"/>
        </w:rPr>
        <w:t>Astaraie</w:t>
      </w:r>
      <w:proofErr w:type="spellEnd"/>
      <w:r w:rsidRPr="00F85381">
        <w:rPr>
          <w:rFonts w:ascii="Times New Roman" w:eastAsia="Times New Roman" w:hAnsi="Times New Roman" w:cs="Times New Roman"/>
        </w:rPr>
        <w:t>-Imani, M., Butler, D., 2018. Design and operation of urban wastewater systems considering reliability, risk and resilience, Water Res</w:t>
      </w:r>
      <w:r w:rsidR="00E609DD">
        <w:rPr>
          <w:rFonts w:ascii="Times New Roman" w:eastAsia="Times New Roman" w:hAnsi="Times New Roman" w:cs="Times New Roman"/>
        </w:rPr>
        <w:t>.</w:t>
      </w:r>
      <w:r w:rsidRPr="00F85381">
        <w:rPr>
          <w:rFonts w:ascii="Times New Roman" w:eastAsia="Times New Roman" w:hAnsi="Times New Roman" w:cs="Times New Roman"/>
        </w:rPr>
        <w:t xml:space="preserve"> 147, 1-12. </w:t>
      </w:r>
      <w:proofErr w:type="spellStart"/>
      <w:r w:rsidR="006B66E4">
        <w:rPr>
          <w:rFonts w:ascii="Times New Roman" w:eastAsia="Times New Roman" w:hAnsi="Times New Roman" w:cs="Times New Roman"/>
        </w:rPr>
        <w:t>d</w:t>
      </w:r>
      <w:r w:rsidR="00C94865">
        <w:rPr>
          <w:rFonts w:ascii="Times New Roman" w:eastAsia="Times New Roman" w:hAnsi="Times New Roman" w:cs="Times New Roman"/>
        </w:rPr>
        <w:t>oi</w:t>
      </w:r>
      <w:proofErr w:type="spellEnd"/>
      <w:r w:rsidR="00C94865">
        <w:rPr>
          <w:rFonts w:ascii="Times New Roman" w:eastAsia="Times New Roman" w:hAnsi="Times New Roman" w:cs="Times New Roman"/>
        </w:rPr>
        <w:t>:</w:t>
      </w:r>
      <w:hyperlink r:id="rId89" w:history="1">
        <w:r w:rsidR="006B66E4">
          <w:t xml:space="preserve"> </w:t>
        </w:r>
        <w:r w:rsidRPr="00F85381">
          <w:rPr>
            <w:rFonts w:ascii="Times New Roman" w:eastAsia="Times New Roman" w:hAnsi="Times New Roman" w:cs="Times New Roman"/>
          </w:rPr>
          <w:t>10.1016/j.watres.2018.09.032</w:t>
        </w:r>
      </w:hyperlink>
      <w:r w:rsidR="001C536A">
        <w:rPr>
          <w:rFonts w:ascii="Times New Roman" w:eastAsia="Times New Roman" w:hAnsi="Times New Roman" w:cs="Times New Roman"/>
        </w:rPr>
        <w:t>.</w:t>
      </w:r>
    </w:p>
    <w:p w14:paraId="23BCC5C0" w14:textId="32529EAF"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Tomas, D., </w:t>
      </w:r>
      <w:proofErr w:type="spellStart"/>
      <w:r w:rsidRPr="00F85381">
        <w:rPr>
          <w:rFonts w:ascii="Times New Roman" w:eastAsia="Times New Roman" w:hAnsi="Times New Roman" w:cs="Times New Roman"/>
        </w:rPr>
        <w:t>Čurlin</w:t>
      </w:r>
      <w:proofErr w:type="spellEnd"/>
      <w:r w:rsidRPr="00F85381">
        <w:rPr>
          <w:rFonts w:ascii="Times New Roman" w:eastAsia="Times New Roman" w:hAnsi="Times New Roman" w:cs="Times New Roman"/>
        </w:rPr>
        <w:t>, M.</w:t>
      </w:r>
      <w:r w:rsidR="00484EDD" w:rsidRPr="00F85381">
        <w:rPr>
          <w:rFonts w:ascii="Times New Roman" w:eastAsia="Times New Roman" w:hAnsi="Times New Roman" w:cs="Times New Roman"/>
        </w:rPr>
        <w:t>,</w:t>
      </w:r>
      <w:r w:rsidRPr="00F85381">
        <w:rPr>
          <w:rFonts w:ascii="Times New Roman" w:eastAsia="Times New Roman" w:hAnsi="Times New Roman" w:cs="Times New Roman"/>
        </w:rPr>
        <w:t xml:space="preserve"> </w:t>
      </w:r>
      <w:proofErr w:type="spellStart"/>
      <w:r w:rsidRPr="00F85381">
        <w:rPr>
          <w:rFonts w:ascii="Times New Roman" w:eastAsia="Times New Roman" w:hAnsi="Times New Roman" w:cs="Times New Roman"/>
        </w:rPr>
        <w:t>Marić</w:t>
      </w:r>
      <w:proofErr w:type="spellEnd"/>
      <w:r w:rsidRPr="00F85381">
        <w:rPr>
          <w:rFonts w:ascii="Times New Roman" w:eastAsia="Times New Roman" w:hAnsi="Times New Roman" w:cs="Times New Roman"/>
        </w:rPr>
        <w:t xml:space="preserve">, A.S., 2017. Assessing the surface water status in Pannonian ecoregion by the water quality index model, Ecol. Indic. 79, 182-190. </w:t>
      </w:r>
      <w:proofErr w:type="spellStart"/>
      <w:r w:rsidR="00FA430B">
        <w:rPr>
          <w:rFonts w:ascii="Times New Roman" w:eastAsia="Times New Roman" w:hAnsi="Times New Roman" w:cs="Times New Roman"/>
        </w:rPr>
        <w:t>doi</w:t>
      </w:r>
      <w:proofErr w:type="spellEnd"/>
      <w:r w:rsidRPr="00F85381">
        <w:rPr>
          <w:rFonts w:ascii="Times New Roman" w:eastAsia="Times New Roman" w:hAnsi="Times New Roman" w:cs="Times New Roman"/>
        </w:rPr>
        <w:t xml:space="preserve">: </w:t>
      </w:r>
      <w:hyperlink r:id="rId90">
        <w:r w:rsidRPr="00F85381">
          <w:rPr>
            <w:rFonts w:ascii="Times New Roman" w:eastAsia="Times New Roman" w:hAnsi="Times New Roman" w:cs="Times New Roman"/>
            <w:u w:val="single"/>
          </w:rPr>
          <w:t>10.1016/j.ecolind.2017.04.033</w:t>
        </w:r>
      </w:hyperlink>
    </w:p>
    <w:p w14:paraId="1BFB2055" w14:textId="5B93D995"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Tooth, S., 2018 The geomorphology of wetlands in drylands: Resilience, non-resilience, or </w:t>
      </w:r>
      <w:proofErr w:type="gramStart"/>
      <w:r w:rsidRPr="00F85381">
        <w:rPr>
          <w:rFonts w:ascii="Times New Roman" w:eastAsia="Times New Roman" w:hAnsi="Times New Roman" w:cs="Times New Roman"/>
        </w:rPr>
        <w:t>…?,</w:t>
      </w:r>
      <w:proofErr w:type="gramEnd"/>
      <w:r w:rsidRPr="00F85381">
        <w:rPr>
          <w:rFonts w:ascii="Times New Roman" w:eastAsia="Times New Roman" w:hAnsi="Times New Roman" w:cs="Times New Roman"/>
        </w:rPr>
        <w:t xml:space="preserve"> Geomorphology 305, 33-48.</w:t>
      </w:r>
      <w:r w:rsidR="00BC7717">
        <w:rPr>
          <w:rFonts w:ascii="Times New Roman" w:eastAsia="Times New Roman" w:hAnsi="Times New Roman" w:cs="Times New Roman"/>
        </w:rPr>
        <w:t xml:space="preserve"> </w:t>
      </w:r>
      <w:proofErr w:type="spellStart"/>
      <w:r w:rsidR="008B2866">
        <w:rPr>
          <w:rFonts w:ascii="Times New Roman" w:eastAsia="Times New Roman" w:hAnsi="Times New Roman" w:cs="Times New Roman"/>
        </w:rPr>
        <w:t>d</w:t>
      </w:r>
      <w:r w:rsidR="00BC7717">
        <w:rPr>
          <w:rFonts w:ascii="Times New Roman" w:eastAsia="Times New Roman" w:hAnsi="Times New Roman" w:cs="Times New Roman"/>
        </w:rPr>
        <w:t>oi</w:t>
      </w:r>
      <w:proofErr w:type="spellEnd"/>
      <w:r w:rsidR="00BC7717">
        <w:rPr>
          <w:rFonts w:ascii="Times New Roman" w:eastAsia="Times New Roman" w:hAnsi="Times New Roman" w:cs="Times New Roman"/>
        </w:rPr>
        <w:t>:</w:t>
      </w:r>
      <w:r w:rsidRPr="00F85381">
        <w:rPr>
          <w:rFonts w:ascii="Times New Roman" w:eastAsia="Times New Roman" w:hAnsi="Times New Roman" w:cs="Times New Roman"/>
        </w:rPr>
        <w:t xml:space="preserve"> </w:t>
      </w:r>
      <w:hyperlink r:id="rId91">
        <w:r w:rsidRPr="00F85381">
          <w:rPr>
            <w:rFonts w:ascii="Times New Roman" w:eastAsia="Times New Roman" w:hAnsi="Times New Roman" w:cs="Times New Roman"/>
            <w:u w:val="single"/>
          </w:rPr>
          <w:t>10.1016/j.geomorph.2017.10.017</w:t>
        </w:r>
      </w:hyperlink>
    </w:p>
    <w:p w14:paraId="0C141E98" w14:textId="61953336" w:rsidR="009F26E3" w:rsidRPr="00F85381" w:rsidRDefault="00F610F5"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v</w:t>
      </w:r>
      <w:r w:rsidR="00F50BBA" w:rsidRPr="00F85381">
        <w:rPr>
          <w:rFonts w:ascii="Times New Roman" w:eastAsia="Times New Roman" w:hAnsi="Times New Roman" w:cs="Times New Roman"/>
        </w:rPr>
        <w:t xml:space="preserve">an den Hoek, R., </w:t>
      </w:r>
      <w:hyperlink r:id="rId92">
        <w:r w:rsidR="00F50BBA" w:rsidRPr="00F85381">
          <w:rPr>
            <w:rFonts w:ascii="Times New Roman" w:eastAsia="Times New Roman" w:hAnsi="Times New Roman" w:cs="Times New Roman"/>
          </w:rPr>
          <w:t xml:space="preserve">Fabiana </w:t>
        </w:r>
        <w:proofErr w:type="spellStart"/>
        <w:r w:rsidR="00F50BBA" w:rsidRPr="00F85381">
          <w:rPr>
            <w:rFonts w:ascii="Times New Roman" w:eastAsia="Times New Roman" w:hAnsi="Times New Roman" w:cs="Times New Roman"/>
          </w:rPr>
          <w:t>Brugnach</w:t>
        </w:r>
        <w:proofErr w:type="spellEnd"/>
      </w:hyperlink>
      <w:r w:rsidR="00F50BBA" w:rsidRPr="00F85381">
        <w:rPr>
          <w:rFonts w:ascii="Times New Roman" w:eastAsia="Times New Roman" w:hAnsi="Times New Roman" w:cs="Times New Roman"/>
        </w:rPr>
        <w:t xml:space="preserve">, M., </w:t>
      </w:r>
      <w:hyperlink r:id="rId93">
        <w:r w:rsidR="00F50BBA" w:rsidRPr="00F85381">
          <w:rPr>
            <w:rFonts w:ascii="Times New Roman" w:eastAsia="Times New Roman" w:hAnsi="Times New Roman" w:cs="Times New Roman"/>
          </w:rPr>
          <w:t>Hoekstra</w:t>
        </w:r>
      </w:hyperlink>
      <w:r w:rsidR="00F50BBA" w:rsidRPr="00F85381">
        <w:rPr>
          <w:rFonts w:ascii="Times New Roman" w:eastAsia="Times New Roman" w:hAnsi="Times New Roman" w:cs="Times New Roman"/>
        </w:rPr>
        <w:t>, A. Y., 2011. Toward resilience</w:t>
      </w:r>
      <w:r w:rsidR="008B2866">
        <w:rPr>
          <w:rFonts w:ascii="Times New Roman" w:eastAsia="Times New Roman" w:hAnsi="Times New Roman" w:cs="Times New Roman"/>
        </w:rPr>
        <w:t>-</w:t>
      </w:r>
      <w:r w:rsidR="00F50BBA" w:rsidRPr="00F85381">
        <w:rPr>
          <w:rFonts w:ascii="Times New Roman" w:eastAsia="Times New Roman" w:hAnsi="Times New Roman" w:cs="Times New Roman"/>
        </w:rPr>
        <w:t>based water management: understanding uncertainty and policy evaluation, Resilience 2011 Conference, Tempe, Arizona, USA.</w:t>
      </w:r>
    </w:p>
    <w:p w14:paraId="7AE66C28" w14:textId="70415A95" w:rsidR="009F26E3" w:rsidRPr="00F85381" w:rsidRDefault="00F50BBA" w:rsidP="00261C72">
      <w:pPr>
        <w:spacing w:after="120" w:line="480" w:lineRule="auto"/>
        <w:rPr>
          <w:rFonts w:ascii="Times New Roman" w:eastAsia="Times New Roman" w:hAnsi="Times New Roman" w:cs="Times New Roman"/>
          <w:u w:val="single"/>
        </w:rPr>
      </w:pPr>
      <w:r w:rsidRPr="00F85381">
        <w:rPr>
          <w:rFonts w:ascii="Times New Roman" w:eastAsia="Times New Roman" w:hAnsi="Times New Roman" w:cs="Times New Roman"/>
        </w:rPr>
        <w:lastRenderedPageBreak/>
        <w:t>Wang, J.Y., Da, L.J., Song, K.</w:t>
      </w:r>
      <w:r w:rsidR="00484EDD" w:rsidRPr="00F85381">
        <w:rPr>
          <w:rFonts w:ascii="Times New Roman" w:eastAsia="Times New Roman" w:hAnsi="Times New Roman" w:cs="Times New Roman"/>
        </w:rPr>
        <w:t>,</w:t>
      </w:r>
      <w:r w:rsidRPr="00F85381">
        <w:rPr>
          <w:rFonts w:ascii="Times New Roman" w:eastAsia="Times New Roman" w:hAnsi="Times New Roman" w:cs="Times New Roman"/>
        </w:rPr>
        <w:t xml:space="preserve"> Li, B.L., 2008. Temporal variations of surface water quality in urban, </w:t>
      </w:r>
      <w:proofErr w:type="gramStart"/>
      <w:r w:rsidRPr="00F85381">
        <w:rPr>
          <w:rFonts w:ascii="Times New Roman" w:eastAsia="Times New Roman" w:hAnsi="Times New Roman" w:cs="Times New Roman"/>
        </w:rPr>
        <w:t>suburban</w:t>
      </w:r>
      <w:proofErr w:type="gramEnd"/>
      <w:r w:rsidRPr="00F85381">
        <w:rPr>
          <w:rFonts w:ascii="Times New Roman" w:eastAsia="Times New Roman" w:hAnsi="Times New Roman" w:cs="Times New Roman"/>
        </w:rPr>
        <w:t xml:space="preserve"> and rural areas during rapid urbanization in Shanghai, China, Environ. </w:t>
      </w:r>
      <w:proofErr w:type="spellStart"/>
      <w:r w:rsidRPr="00F85381">
        <w:rPr>
          <w:rFonts w:ascii="Times New Roman" w:eastAsia="Times New Roman" w:hAnsi="Times New Roman" w:cs="Times New Roman"/>
        </w:rPr>
        <w:t>Pollut</w:t>
      </w:r>
      <w:proofErr w:type="spellEnd"/>
      <w:r w:rsidRPr="00F85381">
        <w:rPr>
          <w:rFonts w:ascii="Times New Roman" w:eastAsia="Times New Roman" w:hAnsi="Times New Roman" w:cs="Times New Roman"/>
        </w:rPr>
        <w:t xml:space="preserve">., 152, 387-393. </w:t>
      </w:r>
      <w:r w:rsidR="008B2866">
        <w:rPr>
          <w:rFonts w:ascii="Times New Roman" w:eastAsia="Times New Roman" w:hAnsi="Times New Roman" w:cs="Times New Roman"/>
        </w:rPr>
        <w:t>doi</w:t>
      </w:r>
      <w:r w:rsidRPr="00F85381">
        <w:rPr>
          <w:rFonts w:ascii="Times New Roman" w:eastAsia="Times New Roman" w:hAnsi="Times New Roman" w:cs="Times New Roman"/>
        </w:rPr>
        <w:t>:</w:t>
      </w:r>
      <w:hyperlink r:id="rId94">
        <w:r w:rsidRPr="00F85381">
          <w:rPr>
            <w:rFonts w:ascii="Times New Roman" w:eastAsia="Times New Roman" w:hAnsi="Times New Roman" w:cs="Times New Roman"/>
            <w:u w:val="single"/>
          </w:rPr>
          <w:t>10.1016/j.envpol.2007.06.050</w:t>
        </w:r>
      </w:hyperlink>
    </w:p>
    <w:p w14:paraId="22441E2C" w14:textId="1668EEAC" w:rsidR="00F9116D" w:rsidRPr="00F85381" w:rsidRDefault="00F9116D"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Wang, Q., Wang, H., &amp; Qi, Z. (2016). An application of nonlinear fuzzy analytic hierarchy process in safety evaluation of coal mine. </w:t>
      </w:r>
      <w:proofErr w:type="spellStart"/>
      <w:r w:rsidRPr="00F85381">
        <w:rPr>
          <w:rFonts w:ascii="Times New Roman" w:eastAsia="Times New Roman" w:hAnsi="Times New Roman" w:cs="Times New Roman"/>
        </w:rPr>
        <w:t>Saf</w:t>
      </w:r>
      <w:proofErr w:type="spellEnd"/>
      <w:r w:rsidR="00B24865">
        <w:rPr>
          <w:rFonts w:ascii="Times New Roman" w:eastAsia="Times New Roman" w:hAnsi="Times New Roman" w:cs="Times New Roman"/>
        </w:rPr>
        <w:t xml:space="preserve">. </w:t>
      </w:r>
      <w:r w:rsidRPr="00F85381">
        <w:rPr>
          <w:rFonts w:ascii="Times New Roman" w:eastAsia="Times New Roman" w:hAnsi="Times New Roman" w:cs="Times New Roman"/>
        </w:rPr>
        <w:t>Sci</w:t>
      </w:r>
      <w:r w:rsidR="00B24865">
        <w:rPr>
          <w:rFonts w:ascii="Times New Roman" w:eastAsia="Times New Roman" w:hAnsi="Times New Roman" w:cs="Times New Roman"/>
        </w:rPr>
        <w:t>.</w:t>
      </w:r>
      <w:r w:rsidRPr="00F85381">
        <w:rPr>
          <w:rFonts w:ascii="Times New Roman" w:eastAsia="Times New Roman" w:hAnsi="Times New Roman" w:cs="Times New Roman"/>
        </w:rPr>
        <w:t xml:space="preserve"> 86, 78–87.</w:t>
      </w:r>
      <w:r w:rsidR="008B2866">
        <w:rPr>
          <w:rFonts w:ascii="Times New Roman" w:eastAsia="Times New Roman" w:hAnsi="Times New Roman" w:cs="Times New Roman"/>
        </w:rPr>
        <w:t xml:space="preserve"> </w:t>
      </w:r>
      <w:proofErr w:type="gramStart"/>
      <w:r w:rsidR="00B03842">
        <w:rPr>
          <w:rFonts w:ascii="Times New Roman" w:eastAsia="Times New Roman" w:hAnsi="Times New Roman" w:cs="Times New Roman"/>
        </w:rPr>
        <w:t>d</w:t>
      </w:r>
      <w:r w:rsidR="008B2866">
        <w:rPr>
          <w:rFonts w:ascii="Times New Roman" w:eastAsia="Times New Roman" w:hAnsi="Times New Roman" w:cs="Times New Roman"/>
        </w:rPr>
        <w:t>oi</w:t>
      </w:r>
      <w:r w:rsidR="00B03842">
        <w:rPr>
          <w:rFonts w:ascii="Times New Roman" w:eastAsia="Times New Roman" w:hAnsi="Times New Roman" w:cs="Times New Roman"/>
        </w:rPr>
        <w:t>:</w:t>
      </w:r>
      <w:r w:rsidRPr="00F85381">
        <w:rPr>
          <w:rFonts w:ascii="Times New Roman" w:eastAsia="Times New Roman" w:hAnsi="Times New Roman" w:cs="Times New Roman"/>
        </w:rPr>
        <w:t>10.1016/J.SSCI</w:t>
      </w:r>
      <w:proofErr w:type="gramEnd"/>
      <w:r w:rsidRPr="00F85381">
        <w:rPr>
          <w:rFonts w:ascii="Times New Roman" w:eastAsia="Times New Roman" w:hAnsi="Times New Roman" w:cs="Times New Roman"/>
        </w:rPr>
        <w:t>.2016.02.012</w:t>
      </w:r>
    </w:p>
    <w:p w14:paraId="70FD2BFA" w14:textId="5DD939E7" w:rsidR="009F26E3" w:rsidRPr="00F85381" w:rsidRDefault="00F50BB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Xiang, S.L., Liu, Z.M.</w:t>
      </w:r>
      <w:r w:rsidR="00484EDD" w:rsidRPr="00F85381">
        <w:rPr>
          <w:rFonts w:ascii="Times New Roman" w:eastAsia="Times New Roman" w:hAnsi="Times New Roman" w:cs="Times New Roman"/>
        </w:rPr>
        <w:t>,</w:t>
      </w:r>
      <w:r w:rsidRPr="00F85381">
        <w:rPr>
          <w:rFonts w:ascii="Times New Roman" w:eastAsia="Times New Roman" w:hAnsi="Times New Roman" w:cs="Times New Roman"/>
        </w:rPr>
        <w:t xml:space="preserve"> Ma, L.P., 2006. Study of multivariate linear regression analysis model for ground WQ prediction, Guizhou Sci 24(1), 60-62.</w:t>
      </w:r>
    </w:p>
    <w:p w14:paraId="1FC65AE9" w14:textId="29BB1FA0" w:rsidR="00902A7E" w:rsidRPr="00F85381" w:rsidRDefault="00902A7E"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Wu, Z., Wang, X., Chen, Y., Cai, Y., Deng, J., 2018. Assessing river water quality using water quality index in Lake </w:t>
      </w:r>
      <w:proofErr w:type="spellStart"/>
      <w:r w:rsidRPr="00F85381">
        <w:rPr>
          <w:rFonts w:ascii="Times New Roman" w:eastAsia="Times New Roman" w:hAnsi="Times New Roman" w:cs="Times New Roman"/>
        </w:rPr>
        <w:t>Taihu</w:t>
      </w:r>
      <w:proofErr w:type="spellEnd"/>
      <w:r w:rsidRPr="00F85381">
        <w:rPr>
          <w:rFonts w:ascii="Times New Roman" w:eastAsia="Times New Roman" w:hAnsi="Times New Roman" w:cs="Times New Roman"/>
        </w:rPr>
        <w:t xml:space="preserve"> Basin, China, Sci. Total Environ. 612, 914-922. </w:t>
      </w:r>
      <w:r w:rsidR="00F85598">
        <w:rPr>
          <w:rFonts w:ascii="Times New Roman" w:eastAsia="Times New Roman" w:hAnsi="Times New Roman" w:cs="Times New Roman"/>
        </w:rPr>
        <w:t>doi:</w:t>
      </w:r>
      <w:hyperlink r:id="rId95" w:tgtFrame="_blank" w:tooltip="Persistent link using digital object identifier" w:history="1">
        <w:r w:rsidRPr="00F85381">
          <w:rPr>
            <w:rStyle w:val="Hyperlink"/>
            <w:rFonts w:ascii="Times New Roman" w:hAnsi="Times New Roman" w:cs="Times New Roman"/>
            <w:color w:val="auto"/>
          </w:rPr>
          <w:t>10.1016/j.scitotenv.2017.08.293</w:t>
        </w:r>
      </w:hyperlink>
      <w:r w:rsidR="004A6716">
        <w:rPr>
          <w:rStyle w:val="Hyperlink"/>
          <w:rFonts w:ascii="Times New Roman" w:hAnsi="Times New Roman" w:cs="Times New Roman"/>
          <w:color w:val="auto"/>
        </w:rPr>
        <w:t>.</w:t>
      </w:r>
    </w:p>
    <w:p w14:paraId="59A1862E" w14:textId="0E462BD5" w:rsidR="006D680A" w:rsidRPr="00F85381" w:rsidRDefault="006D680A" w:rsidP="00261C72">
      <w:pPr>
        <w:spacing w:after="120" w:line="480" w:lineRule="auto"/>
        <w:rPr>
          <w:rFonts w:ascii="Times New Roman" w:eastAsia="Times New Roman" w:hAnsi="Times New Roman" w:cs="Times New Roman"/>
        </w:rPr>
      </w:pPr>
      <w:r w:rsidRPr="00F85381">
        <w:rPr>
          <w:rFonts w:ascii="Times New Roman" w:eastAsia="Times New Roman" w:hAnsi="Times New Roman" w:cs="Times New Roman"/>
        </w:rPr>
        <w:t xml:space="preserve">Zadeh, L.A., 1975. Fuzzy Logic and Approximate Reasoning. </w:t>
      </w:r>
      <w:proofErr w:type="spellStart"/>
      <w:r w:rsidRPr="00F85381">
        <w:rPr>
          <w:rFonts w:ascii="Times New Roman" w:eastAsia="Times New Roman" w:hAnsi="Times New Roman" w:cs="Times New Roman"/>
        </w:rPr>
        <w:t>Synthese</w:t>
      </w:r>
      <w:proofErr w:type="spellEnd"/>
      <w:r w:rsidRPr="00F85381">
        <w:rPr>
          <w:rFonts w:ascii="Times New Roman" w:eastAsia="Times New Roman" w:hAnsi="Times New Roman" w:cs="Times New Roman"/>
        </w:rPr>
        <w:t xml:space="preserve"> 30, 407-428. </w:t>
      </w:r>
      <w:r w:rsidRPr="00F85381">
        <w:rPr>
          <w:rFonts w:ascii="Times New Roman" w:eastAsia="Times New Roman" w:hAnsi="Times New Roman" w:cs="Times New Roman"/>
        </w:rPr>
        <w:br/>
      </w:r>
      <w:r w:rsidR="00741E9D" w:rsidRPr="00874F86">
        <w:rPr>
          <w:rFonts w:ascii="Times New Roman" w:hAnsi="Times New Roman" w:cs="Times New Roman"/>
        </w:rPr>
        <w:t>doi:</w:t>
      </w:r>
      <w:hyperlink r:id="rId96" w:history="1">
        <w:r w:rsidR="00874F86" w:rsidRPr="00874F86">
          <w:rPr>
            <w:rStyle w:val="Hyperlink"/>
            <w:rFonts w:ascii="Times New Roman" w:eastAsia="Times New Roman" w:hAnsi="Times New Roman" w:cs="Times New Roman"/>
          </w:rPr>
          <w:t>10.1007/BF00485052</w:t>
        </w:r>
      </w:hyperlink>
      <w:r w:rsidR="004A6716">
        <w:rPr>
          <w:rFonts w:ascii="Times New Roman" w:eastAsia="Times New Roman" w:hAnsi="Times New Roman" w:cs="Times New Roman"/>
          <w:u w:val="single"/>
        </w:rPr>
        <w:t>.</w:t>
      </w:r>
    </w:p>
    <w:p w14:paraId="2AFADF50" w14:textId="51179CDB" w:rsidR="009F26E3" w:rsidRPr="00F85381" w:rsidRDefault="00F50BBA" w:rsidP="00261C72">
      <w:pPr>
        <w:spacing w:after="120" w:line="480" w:lineRule="auto"/>
        <w:rPr>
          <w:rFonts w:ascii="Times New Roman" w:eastAsia="Times New Roman" w:hAnsi="Times New Roman" w:cs="Times New Roman"/>
          <w:u w:val="single"/>
        </w:rPr>
      </w:pPr>
      <w:r w:rsidRPr="00F85381">
        <w:rPr>
          <w:rFonts w:ascii="Times New Roman" w:eastAsia="Times New Roman" w:hAnsi="Times New Roman" w:cs="Times New Roman"/>
        </w:rPr>
        <w:t>Zeng, S., Zeng, L., Dong, X.</w:t>
      </w:r>
      <w:r w:rsidR="00484EDD" w:rsidRPr="00F85381">
        <w:rPr>
          <w:rFonts w:ascii="Times New Roman" w:eastAsia="Times New Roman" w:hAnsi="Times New Roman" w:cs="Times New Roman"/>
        </w:rPr>
        <w:t>,</w:t>
      </w:r>
      <w:r w:rsidRPr="00F85381">
        <w:rPr>
          <w:rFonts w:ascii="Times New Roman" w:eastAsia="Times New Roman" w:hAnsi="Times New Roman" w:cs="Times New Roman"/>
        </w:rPr>
        <w:t xml:space="preserve"> Chen, J., 2013. Polycyclic aromatic hydrocarbons in river sediments from the western and southern catchments of the Bohai Sea, China: toxicity assessment and source identification, Environ. </w:t>
      </w:r>
      <w:proofErr w:type="spellStart"/>
      <w:r w:rsidRPr="00F85381">
        <w:rPr>
          <w:rFonts w:ascii="Times New Roman" w:eastAsia="Times New Roman" w:hAnsi="Times New Roman" w:cs="Times New Roman"/>
        </w:rPr>
        <w:t>Monit</w:t>
      </w:r>
      <w:proofErr w:type="spellEnd"/>
      <w:r w:rsidRPr="00F85381">
        <w:rPr>
          <w:rFonts w:ascii="Times New Roman" w:eastAsia="Times New Roman" w:hAnsi="Times New Roman" w:cs="Times New Roman"/>
        </w:rPr>
        <w:t>. Assess. 185, 4291-4303.</w:t>
      </w:r>
      <w:r w:rsidR="004A6716">
        <w:rPr>
          <w:rFonts w:ascii="Times New Roman" w:eastAsia="Times New Roman" w:hAnsi="Times New Roman" w:cs="Times New Roman"/>
        </w:rPr>
        <w:t xml:space="preserve"> doi:</w:t>
      </w:r>
      <w:hyperlink r:id="rId97">
        <w:r w:rsidRPr="00F85381">
          <w:rPr>
            <w:rFonts w:ascii="Times New Roman" w:eastAsia="Times New Roman" w:hAnsi="Times New Roman" w:cs="Times New Roman"/>
            <w:u w:val="single"/>
          </w:rPr>
          <w:t>10.1007/s10661-012-2869-5</w:t>
        </w:r>
      </w:hyperlink>
      <w:r w:rsidR="004A6716">
        <w:rPr>
          <w:rFonts w:ascii="Times New Roman" w:eastAsia="Times New Roman" w:hAnsi="Times New Roman" w:cs="Times New Roman"/>
          <w:u w:val="single"/>
        </w:rPr>
        <w:t>.</w:t>
      </w:r>
    </w:p>
    <w:p w14:paraId="4DDF9D33" w14:textId="704C26B2" w:rsidR="006D680A" w:rsidRPr="00F85381" w:rsidRDefault="006D680A" w:rsidP="00261C72">
      <w:pPr>
        <w:spacing w:after="120" w:line="480" w:lineRule="auto"/>
        <w:rPr>
          <w:rFonts w:ascii="Times New Roman" w:eastAsia="Times New Roman" w:hAnsi="Times New Roman" w:cs="Times New Roman"/>
          <w:u w:val="single"/>
        </w:rPr>
      </w:pPr>
      <w:r w:rsidRPr="00F85381">
        <w:rPr>
          <w:rFonts w:ascii="Times New Roman" w:eastAsia="Times New Roman" w:hAnsi="Times New Roman" w:cs="Times New Roman"/>
        </w:rPr>
        <w:t>Zhang, N., Lai, S., 2011. Water quantity prediction based on particle swarm optimization and evolutionary algorithm using recurrent neural networks. In: The 2011 International Joint Conference on Neural Networks</w:t>
      </w:r>
      <w:r w:rsidR="00C35695">
        <w:rPr>
          <w:rFonts w:ascii="Times New Roman" w:eastAsia="Times New Roman" w:hAnsi="Times New Roman" w:cs="Times New Roman"/>
        </w:rPr>
        <w:t>. Pp.</w:t>
      </w:r>
      <w:r w:rsidRPr="00F85381">
        <w:rPr>
          <w:rFonts w:ascii="Times New Roman" w:eastAsia="Times New Roman" w:hAnsi="Times New Roman" w:cs="Times New Roman"/>
        </w:rPr>
        <w:t xml:space="preserve"> 2172-2176. </w:t>
      </w:r>
      <w:r w:rsidR="009A3A6B">
        <w:rPr>
          <w:rFonts w:ascii="Times New Roman" w:eastAsia="Times New Roman" w:hAnsi="Times New Roman" w:cs="Times New Roman"/>
        </w:rPr>
        <w:t>doi</w:t>
      </w:r>
      <w:r w:rsidRPr="00F85381">
        <w:rPr>
          <w:rFonts w:ascii="Times New Roman" w:eastAsia="Times New Roman" w:hAnsi="Times New Roman" w:cs="Times New Roman"/>
        </w:rPr>
        <w:t>:</w:t>
      </w:r>
      <w:hyperlink r:id="rId98">
        <w:r w:rsidRPr="00F85381">
          <w:rPr>
            <w:rFonts w:ascii="Times New Roman" w:eastAsia="Times New Roman" w:hAnsi="Times New Roman" w:cs="Times New Roman"/>
            <w:u w:val="single"/>
          </w:rPr>
          <w:t>10.1109/ijcnn.2011.6033497</w:t>
        </w:r>
      </w:hyperlink>
    </w:p>
    <w:p w14:paraId="7E8C75B9" w14:textId="41DFC30E" w:rsidR="005833AA" w:rsidRPr="00F85381" w:rsidRDefault="00321503" w:rsidP="00FF34B7">
      <w:pPr>
        <w:spacing w:line="480" w:lineRule="auto"/>
        <w:rPr>
          <w:rStyle w:val="Hyperlink"/>
          <w:rFonts w:ascii="Times New Roman" w:hAnsi="Times New Roman" w:cs="Times New Roman"/>
          <w:color w:val="auto"/>
        </w:rPr>
      </w:pPr>
      <w:r w:rsidRPr="00F85381">
        <w:rPr>
          <w:rFonts w:ascii="Times New Roman" w:hAnsi="Times New Roman" w:cs="Times New Roman"/>
        </w:rPr>
        <w:t xml:space="preserve">Zhang, Q., Zheng, F., Kapelan, Z., </w:t>
      </w:r>
      <w:proofErr w:type="spellStart"/>
      <w:r w:rsidRPr="00F85381">
        <w:rPr>
          <w:rFonts w:ascii="Times New Roman" w:hAnsi="Times New Roman" w:cs="Times New Roman"/>
        </w:rPr>
        <w:t>Savic</w:t>
      </w:r>
      <w:proofErr w:type="spellEnd"/>
      <w:r w:rsidRPr="00F85381">
        <w:rPr>
          <w:rFonts w:ascii="Times New Roman" w:hAnsi="Times New Roman" w:cs="Times New Roman"/>
        </w:rPr>
        <w:t>, D., He, G., Ma, Y.,</w:t>
      </w:r>
      <w:r w:rsidR="001207A1" w:rsidRPr="00F85381">
        <w:rPr>
          <w:rFonts w:ascii="Times New Roman" w:hAnsi="Times New Roman" w:cs="Times New Roman"/>
        </w:rPr>
        <w:t xml:space="preserve"> 2020.</w:t>
      </w:r>
      <w:r w:rsidRPr="00F85381">
        <w:rPr>
          <w:rFonts w:ascii="Times New Roman" w:hAnsi="Times New Roman" w:cs="Times New Roman"/>
        </w:rPr>
        <w:t xml:space="preserve"> </w:t>
      </w:r>
      <w:r w:rsidR="00FF34B7" w:rsidRPr="00F85381">
        <w:rPr>
          <w:rFonts w:ascii="Times New Roman" w:hAnsi="Times New Roman" w:cs="Times New Roman"/>
        </w:rPr>
        <w:t>Assessing the global resilience of water quality sensor placement strategies within water distribution systems, J. of the Water Res</w:t>
      </w:r>
      <w:r w:rsidR="009A3A6B">
        <w:rPr>
          <w:rFonts w:ascii="Times New Roman" w:hAnsi="Times New Roman" w:cs="Times New Roman"/>
        </w:rPr>
        <w:t>.</w:t>
      </w:r>
      <w:r w:rsidR="00991069" w:rsidRPr="00F85381">
        <w:rPr>
          <w:rFonts w:ascii="Times New Roman" w:hAnsi="Times New Roman" w:cs="Times New Roman"/>
        </w:rPr>
        <w:t xml:space="preserve"> 172, 115527. </w:t>
      </w:r>
      <w:r w:rsidR="009A3A6B">
        <w:rPr>
          <w:rFonts w:ascii="Times New Roman" w:hAnsi="Times New Roman" w:cs="Times New Roman"/>
        </w:rPr>
        <w:t>doi:</w:t>
      </w:r>
      <w:hyperlink r:id="rId99" w:history="1">
        <w:r w:rsidR="00991069" w:rsidRPr="00F85381">
          <w:rPr>
            <w:rStyle w:val="Hyperlink"/>
            <w:rFonts w:ascii="Times New Roman" w:hAnsi="Times New Roman" w:cs="Times New Roman"/>
            <w:color w:val="auto"/>
          </w:rPr>
          <w:t>10.1016/j.watres.2020.115527</w:t>
        </w:r>
      </w:hyperlink>
    </w:p>
    <w:p w14:paraId="6C7F734F" w14:textId="38552557" w:rsidR="00FD3F17" w:rsidRPr="00F85381" w:rsidRDefault="00FD3F17" w:rsidP="00FF34B7">
      <w:pPr>
        <w:spacing w:line="480" w:lineRule="auto"/>
        <w:rPr>
          <w:rFonts w:ascii="Times New Roman" w:hAnsi="Times New Roman" w:cs="Times New Roman"/>
        </w:rPr>
      </w:pPr>
      <w:r w:rsidRPr="00F85381">
        <w:rPr>
          <w:rFonts w:ascii="Times New Roman" w:hAnsi="Times New Roman" w:cs="Times New Roman"/>
        </w:rPr>
        <w:t>Zhang, X., Ma, W., &amp; Chen, L. 2014. New Similarity of Triangular Fuzzy Number and Its Application. The Scientific World Journal.</w:t>
      </w:r>
      <w:r w:rsidR="00567815" w:rsidRPr="00F85381">
        <w:rPr>
          <w:rFonts w:ascii="Times New Roman" w:hAnsi="Times New Roman" w:cs="Times New Roman"/>
          <w:shd w:val="clear" w:color="auto" w:fill="FFFFFF"/>
        </w:rPr>
        <w:t xml:space="preserve"> 2014: 215047.</w:t>
      </w:r>
      <w:r w:rsidR="009C0E06" w:rsidRPr="00F85381">
        <w:rPr>
          <w:rFonts w:ascii="Times New Roman" w:hAnsi="Times New Roman" w:cs="Times New Roman"/>
          <w:shd w:val="clear" w:color="auto" w:fill="FFFFFF"/>
        </w:rPr>
        <w:t xml:space="preserve"> </w:t>
      </w:r>
      <w:r w:rsidR="009A3A6B">
        <w:rPr>
          <w:rFonts w:ascii="Times New Roman" w:hAnsi="Times New Roman" w:cs="Times New Roman"/>
          <w:shd w:val="clear" w:color="auto" w:fill="FFFFFF"/>
        </w:rPr>
        <w:t>doi</w:t>
      </w:r>
      <w:r w:rsidR="009C0E06" w:rsidRPr="00F85381">
        <w:rPr>
          <w:rFonts w:ascii="Times New Roman" w:hAnsi="Times New Roman" w:cs="Times New Roman"/>
          <w:shd w:val="clear" w:color="auto" w:fill="FFFFFF"/>
        </w:rPr>
        <w:t>:</w:t>
      </w:r>
      <w:hyperlink r:id="rId100" w:tgtFrame="pmc_ext" w:history="1">
        <w:r w:rsidR="009C0E06" w:rsidRPr="00F85381">
          <w:rPr>
            <w:rStyle w:val="Hyperlink"/>
            <w:rFonts w:ascii="Times New Roman" w:hAnsi="Times New Roman" w:cs="Times New Roman"/>
            <w:color w:val="auto"/>
            <w:shd w:val="clear" w:color="auto" w:fill="FFFFFF"/>
          </w:rPr>
          <w:t>10.1155/2014/215047</w:t>
        </w:r>
      </w:hyperlink>
    </w:p>
    <w:p w14:paraId="77304309" w14:textId="2AC9BF95" w:rsidR="0007558D" w:rsidRPr="00F85381" w:rsidRDefault="007C6691" w:rsidP="00261C72">
      <w:pPr>
        <w:spacing w:line="480" w:lineRule="auto"/>
        <w:rPr>
          <w:rStyle w:val="Hyperlink"/>
          <w:rFonts w:ascii="Times New Roman" w:hAnsi="Times New Roman" w:cs="Times New Roman"/>
          <w:color w:val="auto"/>
          <w:bdr w:val="none" w:sz="0" w:space="0" w:color="auto" w:frame="1"/>
        </w:rPr>
      </w:pPr>
      <w:r w:rsidRPr="00F85381">
        <w:rPr>
          <w:rFonts w:ascii="Times New Roman" w:hAnsi="Times New Roman" w:cs="Times New Roman"/>
        </w:rPr>
        <w:t xml:space="preserve">Zhu, S., </w:t>
      </w:r>
      <w:proofErr w:type="spellStart"/>
      <w:r w:rsidRPr="00F85381">
        <w:rPr>
          <w:rFonts w:ascii="Times New Roman" w:hAnsi="Times New Roman" w:cs="Times New Roman"/>
        </w:rPr>
        <w:t>Heddam</w:t>
      </w:r>
      <w:proofErr w:type="spellEnd"/>
      <w:r w:rsidRPr="00F85381">
        <w:rPr>
          <w:rFonts w:ascii="Times New Roman" w:hAnsi="Times New Roman" w:cs="Times New Roman"/>
        </w:rPr>
        <w:t xml:space="preserve">, S., 2020. Prediction of dissolved oxygen in urban rivers at the Three Gorges Reservoir, China: extreme learning machines (ELM) versus artificial neural network (ANN). </w:t>
      </w:r>
      <w:r w:rsidRPr="00F85381">
        <w:rPr>
          <w:rStyle w:val="Emphasis"/>
          <w:rFonts w:ascii="Times New Roman" w:hAnsi="Times New Roman" w:cs="Times New Roman"/>
          <w:i w:val="0"/>
          <w:bdr w:val="none" w:sz="0" w:space="0" w:color="auto" w:frame="1"/>
        </w:rPr>
        <w:t>Water Qual</w:t>
      </w:r>
      <w:r w:rsidR="00FE3749">
        <w:rPr>
          <w:rStyle w:val="Emphasis"/>
          <w:rFonts w:ascii="Times New Roman" w:hAnsi="Times New Roman" w:cs="Times New Roman"/>
          <w:i w:val="0"/>
          <w:bdr w:val="none" w:sz="0" w:space="0" w:color="auto" w:frame="1"/>
        </w:rPr>
        <w:t>.</w:t>
      </w:r>
      <w:r w:rsidRPr="00F85381">
        <w:rPr>
          <w:rStyle w:val="Emphasis"/>
          <w:rFonts w:ascii="Times New Roman" w:hAnsi="Times New Roman" w:cs="Times New Roman"/>
          <w:i w:val="0"/>
          <w:bdr w:val="none" w:sz="0" w:space="0" w:color="auto" w:frame="1"/>
        </w:rPr>
        <w:t xml:space="preserve"> Res</w:t>
      </w:r>
      <w:r w:rsidR="00F44D4B">
        <w:rPr>
          <w:rStyle w:val="Emphasis"/>
          <w:rFonts w:ascii="Times New Roman" w:hAnsi="Times New Roman" w:cs="Times New Roman"/>
          <w:i w:val="0"/>
          <w:bdr w:val="none" w:sz="0" w:space="0" w:color="auto" w:frame="1"/>
        </w:rPr>
        <w:t>.</w:t>
      </w:r>
      <w:r w:rsidRPr="00F85381">
        <w:rPr>
          <w:rStyle w:val="Emphasis"/>
          <w:rFonts w:ascii="Times New Roman" w:hAnsi="Times New Roman" w:cs="Times New Roman"/>
          <w:i w:val="0"/>
          <w:bdr w:val="none" w:sz="0" w:space="0" w:color="auto" w:frame="1"/>
        </w:rPr>
        <w:t xml:space="preserve"> J</w:t>
      </w:r>
      <w:r w:rsidR="00F44D4B">
        <w:rPr>
          <w:rStyle w:val="Emphasis"/>
          <w:rFonts w:ascii="Times New Roman" w:hAnsi="Times New Roman" w:cs="Times New Roman"/>
          <w:i w:val="0"/>
          <w:bdr w:val="none" w:sz="0" w:space="0" w:color="auto" w:frame="1"/>
        </w:rPr>
        <w:t>.</w:t>
      </w:r>
      <w:r w:rsidRPr="00F85381">
        <w:rPr>
          <w:rFonts w:ascii="Times New Roman" w:hAnsi="Times New Roman" w:cs="Times New Roman"/>
        </w:rPr>
        <w:t xml:space="preserve"> 55(1): 106–118.</w:t>
      </w:r>
      <w:r w:rsidR="00F44D4B">
        <w:rPr>
          <w:rFonts w:ascii="Times New Roman" w:hAnsi="Times New Roman" w:cs="Times New Roman"/>
        </w:rPr>
        <w:t xml:space="preserve"> doi:</w:t>
      </w:r>
      <w:hyperlink r:id="rId101" w:tgtFrame="_blank" w:history="1">
        <w:r w:rsidRPr="00F85381">
          <w:rPr>
            <w:rStyle w:val="Hyperlink"/>
            <w:rFonts w:ascii="Times New Roman" w:hAnsi="Times New Roman" w:cs="Times New Roman"/>
            <w:color w:val="auto"/>
            <w:bdr w:val="none" w:sz="0" w:space="0" w:color="auto" w:frame="1"/>
          </w:rPr>
          <w:t>10.2166/wqrj.2019.053</w:t>
        </w:r>
      </w:hyperlink>
    </w:p>
    <w:p w14:paraId="63191D4D" w14:textId="62CAC32B" w:rsidR="00A62F4B" w:rsidRPr="00C675E2" w:rsidRDefault="00151619" w:rsidP="00261C72">
      <w:pPr>
        <w:spacing w:line="480" w:lineRule="auto"/>
        <w:rPr>
          <w:rFonts w:ascii="Times New Roman" w:eastAsia="Times New Roman" w:hAnsi="Times New Roman" w:cs="Times New Roman"/>
        </w:rPr>
      </w:pPr>
      <w:r w:rsidRPr="00F85381">
        <w:rPr>
          <w:rStyle w:val="Hyperlink"/>
          <w:rFonts w:ascii="Times New Roman" w:hAnsi="Times New Roman" w:cs="Times New Roman"/>
          <w:color w:val="auto"/>
          <w:u w:val="none"/>
          <w:bdr w:val="none" w:sz="0" w:space="0" w:color="auto" w:frame="1"/>
        </w:rPr>
        <w:lastRenderedPageBreak/>
        <w:t xml:space="preserve">Zimmerman, J.B., </w:t>
      </w:r>
      <w:proofErr w:type="spellStart"/>
      <w:r w:rsidRPr="00F85381">
        <w:rPr>
          <w:rStyle w:val="Hyperlink"/>
          <w:rFonts w:ascii="Times New Roman" w:hAnsi="Times New Roman" w:cs="Times New Roman"/>
          <w:color w:val="auto"/>
          <w:u w:val="none"/>
          <w:bdr w:val="none" w:sz="0" w:space="0" w:color="auto" w:frame="1"/>
        </w:rPr>
        <w:t>Mihelcic</w:t>
      </w:r>
      <w:proofErr w:type="spellEnd"/>
      <w:r w:rsidRPr="00F85381">
        <w:rPr>
          <w:rStyle w:val="Hyperlink"/>
          <w:rFonts w:ascii="Times New Roman" w:hAnsi="Times New Roman" w:cs="Times New Roman"/>
          <w:color w:val="auto"/>
          <w:u w:val="none"/>
          <w:bdr w:val="none" w:sz="0" w:space="0" w:color="auto" w:frame="1"/>
        </w:rPr>
        <w:t>, J.R., Smith, J., 2008. Global stressors on water quality and quantity. Environ. Sci. Technol. 42(12), 4247–4254.</w:t>
      </w:r>
    </w:p>
    <w:sectPr w:rsidR="00A62F4B" w:rsidRPr="00C675E2" w:rsidSect="00F50BBA">
      <w:pgSz w:w="11909" w:h="16834"/>
      <w:pgMar w:top="1440" w:right="1440" w:bottom="1440" w:left="1440" w:header="708" w:footer="708" w:gutter="0"/>
      <w:lnNumType w:countBy="1" w:restart="continuous"/>
      <w:cols w:space="720" w:equalWidth="0">
        <w:col w:w="9360"/>
      </w:cols>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2927C3" w14:textId="77777777" w:rsidR="0063488D" w:rsidRDefault="0063488D" w:rsidP="00767174">
      <w:pPr>
        <w:spacing w:line="240" w:lineRule="auto"/>
      </w:pPr>
      <w:r>
        <w:separator/>
      </w:r>
    </w:p>
  </w:endnote>
  <w:endnote w:type="continuationSeparator" w:id="0">
    <w:p w14:paraId="0F8890A9" w14:textId="77777777" w:rsidR="0063488D" w:rsidRDefault="0063488D" w:rsidP="00767174">
      <w:pPr>
        <w:spacing w:line="240" w:lineRule="auto"/>
      </w:pPr>
      <w:r>
        <w:continuationSeparator/>
      </w:r>
    </w:p>
  </w:endnote>
  <w:endnote w:type="continuationNotice" w:id="1">
    <w:p w14:paraId="12DE4A01" w14:textId="77777777" w:rsidR="0063488D" w:rsidRDefault="0063488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BD2759" w14:textId="77777777" w:rsidR="00C1437E" w:rsidRDefault="00C143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5009506"/>
      <w:docPartObj>
        <w:docPartGallery w:val="Page Numbers (Bottom of Page)"/>
        <w:docPartUnique/>
      </w:docPartObj>
    </w:sdtPr>
    <w:sdtEndPr>
      <w:rPr>
        <w:noProof/>
      </w:rPr>
    </w:sdtEndPr>
    <w:sdtContent>
      <w:p w14:paraId="04B6D69B" w14:textId="4E288A70" w:rsidR="00AC53E6" w:rsidRDefault="00AC53E6">
        <w:pPr>
          <w:pStyle w:val="Footer"/>
          <w:jc w:val="center"/>
        </w:pPr>
        <w:r>
          <w:fldChar w:fldCharType="begin"/>
        </w:r>
        <w:r>
          <w:instrText xml:space="preserve"> PAGE   \* MERGEFORMAT </w:instrText>
        </w:r>
        <w:r>
          <w:fldChar w:fldCharType="separate"/>
        </w:r>
        <w:r>
          <w:rPr>
            <w:noProof/>
          </w:rPr>
          <w:t>19</w:t>
        </w:r>
        <w:r>
          <w:rPr>
            <w:noProof/>
          </w:rPr>
          <w:fldChar w:fldCharType="end"/>
        </w:r>
      </w:p>
    </w:sdtContent>
  </w:sdt>
  <w:p w14:paraId="2A3338C1" w14:textId="77777777" w:rsidR="00AC53E6" w:rsidRDefault="00AC53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694AD" w14:textId="77777777" w:rsidR="00C1437E" w:rsidRDefault="00C143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BD4540" w14:textId="77777777" w:rsidR="0063488D" w:rsidRDefault="0063488D" w:rsidP="00767174">
      <w:pPr>
        <w:spacing w:line="240" w:lineRule="auto"/>
      </w:pPr>
      <w:r>
        <w:separator/>
      </w:r>
    </w:p>
  </w:footnote>
  <w:footnote w:type="continuationSeparator" w:id="0">
    <w:p w14:paraId="0AE0EAB9" w14:textId="77777777" w:rsidR="0063488D" w:rsidRDefault="0063488D" w:rsidP="00767174">
      <w:pPr>
        <w:spacing w:line="240" w:lineRule="auto"/>
      </w:pPr>
      <w:r>
        <w:continuationSeparator/>
      </w:r>
    </w:p>
  </w:footnote>
  <w:footnote w:type="continuationNotice" w:id="1">
    <w:p w14:paraId="246F0CCE" w14:textId="77777777" w:rsidR="0063488D" w:rsidRDefault="0063488D">
      <w:pPr>
        <w:spacing w:line="240" w:lineRule="auto"/>
      </w:pPr>
    </w:p>
  </w:footnote>
  <w:footnote w:id="2">
    <w:p w14:paraId="71D925A8" w14:textId="30F7A302" w:rsidR="00AC53E6" w:rsidRPr="00B93471" w:rsidRDefault="00AC53E6" w:rsidP="00C759D5">
      <w:pPr>
        <w:pStyle w:val="FootnoteText"/>
        <w:rPr>
          <w:rFonts w:ascii="Times New Roman" w:eastAsia="Times New Roman" w:hAnsi="Times New Roman" w:cs="Times New Roman"/>
          <w:i/>
          <w:sz w:val="14"/>
          <w:szCs w:val="14"/>
        </w:rPr>
      </w:pPr>
      <w:r w:rsidRPr="00B93471">
        <w:rPr>
          <w:rFonts w:ascii="Times New Roman" w:eastAsia="Times New Roman" w:hAnsi="Times New Roman" w:cs="Times New Roman"/>
          <w:i/>
          <w:sz w:val="14"/>
          <w:szCs w:val="14"/>
          <w:vertAlign w:val="superscript"/>
        </w:rPr>
        <w:t xml:space="preserve">* </w:t>
      </w:r>
      <w:r w:rsidRPr="00B93471">
        <w:rPr>
          <w:rFonts w:ascii="Times New Roman" w:eastAsia="Times New Roman" w:hAnsi="Times New Roman" w:cs="Times New Roman"/>
          <w:i/>
          <w:sz w:val="14"/>
          <w:szCs w:val="14"/>
        </w:rPr>
        <w:t>Corresponding author</w:t>
      </w:r>
    </w:p>
    <w:p w14:paraId="012EDC61" w14:textId="0C141738" w:rsidR="00AC53E6" w:rsidRPr="00B93471" w:rsidRDefault="00AC53E6" w:rsidP="00B93471">
      <w:pPr>
        <w:pStyle w:val="FootnoteText"/>
        <w:jc w:val="left"/>
        <w:rPr>
          <w:rFonts w:ascii="Times New Roman" w:hAnsi="Times New Roman" w:cs="Times New Roman"/>
          <w:i/>
          <w:sz w:val="14"/>
          <w:szCs w:val="14"/>
        </w:rPr>
      </w:pPr>
      <w:r w:rsidRPr="00B93471">
        <w:rPr>
          <w:rStyle w:val="FootnoteReference"/>
          <w:rFonts w:ascii="Times New Roman" w:hAnsi="Times New Roman" w:cs="Times New Roman"/>
          <w:sz w:val="14"/>
          <w:szCs w:val="14"/>
        </w:rPr>
        <w:footnoteRef/>
      </w:r>
      <w:r w:rsidRPr="00B93471">
        <w:rPr>
          <w:rFonts w:ascii="Times New Roman" w:hAnsi="Times New Roman" w:cs="Times New Roman"/>
          <w:sz w:val="14"/>
          <w:szCs w:val="14"/>
        </w:rPr>
        <w:t xml:space="preserve"> </w:t>
      </w:r>
      <w:r w:rsidRPr="00B93471">
        <w:rPr>
          <w:rFonts w:ascii="Times New Roman" w:eastAsia="Times New Roman" w:hAnsi="Times New Roman" w:cs="Times New Roman"/>
          <w:i/>
          <w:sz w:val="14"/>
          <w:szCs w:val="14"/>
        </w:rPr>
        <w:t>Present address</w:t>
      </w:r>
      <w:r w:rsidRPr="00B93471">
        <w:rPr>
          <w:rFonts w:ascii="Times New Roman" w:hAnsi="Times New Roman" w:cs="Times New Roman"/>
          <w:sz w:val="14"/>
          <w:szCs w:val="14"/>
        </w:rPr>
        <w:t xml:space="preserve">: </w:t>
      </w:r>
      <w:proofErr w:type="spellStart"/>
      <w:r w:rsidRPr="00B93471">
        <w:rPr>
          <w:rFonts w:ascii="Times New Roman" w:eastAsia="Times New Roman" w:hAnsi="Times New Roman" w:cs="Times New Roman"/>
          <w:i/>
          <w:sz w:val="14"/>
          <w:szCs w:val="14"/>
        </w:rPr>
        <w:t>Mediprospects</w:t>
      </w:r>
      <w:proofErr w:type="spellEnd"/>
      <w:r w:rsidRPr="00B93471">
        <w:rPr>
          <w:rFonts w:ascii="Times New Roman" w:eastAsia="Times New Roman" w:hAnsi="Times New Roman" w:cs="Times New Roman"/>
          <w:i/>
          <w:sz w:val="14"/>
          <w:szCs w:val="14"/>
        </w:rPr>
        <w:t xml:space="preserve"> AI Limited, London, E13 0AD, United Kingdom, </w:t>
      </w:r>
      <w:hyperlink r:id="rId1" w:history="1">
        <w:r w:rsidRPr="00B93471">
          <w:rPr>
            <w:rStyle w:val="Hyperlink"/>
            <w:rFonts w:ascii="Times New Roman" w:eastAsia="Times New Roman" w:hAnsi="Times New Roman" w:cs="Times New Roman"/>
            <w:i/>
            <w:sz w:val="14"/>
            <w:szCs w:val="14"/>
            <w:shd w:val="clear" w:color="auto" w:fill="F9F9F9"/>
          </w:rPr>
          <w:t>m.mahmudul@mediprospects.ai</w:t>
        </w:r>
      </w:hyperlink>
    </w:p>
  </w:footnote>
  <w:footnote w:id="3">
    <w:p w14:paraId="5A89422E" w14:textId="53FEC123" w:rsidR="00BF5469" w:rsidRDefault="00AC53E6" w:rsidP="00B93471">
      <w:pPr>
        <w:pStyle w:val="FootnoteText"/>
        <w:tabs>
          <w:tab w:val="left" w:pos="3202"/>
        </w:tabs>
        <w:jc w:val="left"/>
        <w:rPr>
          <w:rFonts w:ascii="Times New Roman" w:eastAsia="Times New Roman" w:hAnsi="Times New Roman" w:cs="Times New Roman"/>
          <w:i/>
          <w:sz w:val="14"/>
          <w:szCs w:val="14"/>
        </w:rPr>
      </w:pPr>
      <w:r w:rsidRPr="00B93471">
        <w:rPr>
          <w:rStyle w:val="FootnoteReference"/>
          <w:rFonts w:ascii="Times New Roman" w:hAnsi="Times New Roman" w:cs="Times New Roman"/>
          <w:i/>
          <w:sz w:val="14"/>
          <w:szCs w:val="14"/>
        </w:rPr>
        <w:footnoteRef/>
      </w:r>
      <w:r w:rsidRPr="00B93471">
        <w:rPr>
          <w:rFonts w:ascii="Times New Roman" w:hAnsi="Times New Roman" w:cs="Times New Roman"/>
          <w:i/>
          <w:sz w:val="14"/>
          <w:szCs w:val="14"/>
        </w:rPr>
        <w:t xml:space="preserve"> </w:t>
      </w:r>
      <w:r w:rsidRPr="00B93471">
        <w:rPr>
          <w:rFonts w:ascii="Times New Roman" w:eastAsia="Times New Roman" w:hAnsi="Times New Roman" w:cs="Times New Roman"/>
          <w:i/>
          <w:sz w:val="14"/>
          <w:szCs w:val="14"/>
        </w:rPr>
        <w:t>Present address:</w:t>
      </w:r>
      <w:r w:rsidRPr="00B93471">
        <w:rPr>
          <w:rFonts w:ascii="Times New Roman" w:hAnsi="Times New Roman" w:cs="Times New Roman"/>
          <w:i/>
          <w:sz w:val="14"/>
          <w:szCs w:val="14"/>
        </w:rPr>
        <w:t xml:space="preserve"> Waterfront (3rd Floor), </w:t>
      </w:r>
      <w:proofErr w:type="spellStart"/>
      <w:r w:rsidRPr="00B93471">
        <w:rPr>
          <w:rFonts w:ascii="Times New Roman" w:hAnsi="Times New Roman" w:cs="Times New Roman"/>
          <w:i/>
          <w:sz w:val="14"/>
          <w:szCs w:val="14"/>
        </w:rPr>
        <w:t>Manbre</w:t>
      </w:r>
      <w:proofErr w:type="spellEnd"/>
      <w:r w:rsidRPr="00B93471">
        <w:rPr>
          <w:rFonts w:ascii="Times New Roman" w:hAnsi="Times New Roman" w:cs="Times New Roman"/>
          <w:i/>
          <w:sz w:val="14"/>
          <w:szCs w:val="14"/>
        </w:rPr>
        <w:t xml:space="preserve"> Road, Hammersmith, Embankment, London, United Kingdom, W6 9RU</w:t>
      </w:r>
      <w:r>
        <w:rPr>
          <w:rFonts w:ascii="Times New Roman" w:hAnsi="Times New Roman" w:cs="Times New Roman"/>
          <w:i/>
          <w:sz w:val="14"/>
          <w:szCs w:val="14"/>
        </w:rPr>
        <w:t xml:space="preserve">, </w:t>
      </w:r>
      <w:r w:rsidRPr="00B93471">
        <w:rPr>
          <w:rFonts w:ascii="Times New Roman" w:eastAsia="Times New Roman" w:hAnsi="Times New Roman" w:cs="Times New Roman"/>
          <w:i/>
          <w:sz w:val="14"/>
          <w:szCs w:val="14"/>
        </w:rPr>
        <w:t xml:space="preserve">Email: </w:t>
      </w:r>
      <w:hyperlink r:id="rId2" w:history="1">
        <w:r w:rsidR="00BF5469" w:rsidRPr="00BC0CBB">
          <w:rPr>
            <w:rStyle w:val="Hyperlink"/>
            <w:rFonts w:ascii="Times New Roman" w:eastAsia="Times New Roman" w:hAnsi="Times New Roman" w:cs="Times New Roman"/>
            <w:i/>
            <w:sz w:val="14"/>
            <w:szCs w:val="14"/>
          </w:rPr>
          <w:t>kent.mcclymont@gmail.com</w:t>
        </w:r>
      </w:hyperlink>
    </w:p>
    <w:p w14:paraId="7D062A94" w14:textId="1778C314" w:rsidR="00AC53E6" w:rsidRPr="00BF5469" w:rsidRDefault="00BF5469" w:rsidP="00B93471">
      <w:pPr>
        <w:pStyle w:val="FootnoteText"/>
        <w:tabs>
          <w:tab w:val="left" w:pos="3202"/>
        </w:tabs>
        <w:jc w:val="left"/>
        <w:rPr>
          <w:rFonts w:ascii="Times New Roman" w:hAnsi="Times New Roman" w:cs="Times New Roman"/>
          <w:i/>
          <w:sz w:val="14"/>
          <w:szCs w:val="14"/>
        </w:rPr>
      </w:pPr>
      <w:r w:rsidRPr="00BF5469">
        <w:rPr>
          <w:rFonts w:ascii="Times New Roman" w:eastAsia="Times New Roman" w:hAnsi="Times New Roman" w:cs="Times New Roman"/>
          <w:i/>
          <w:sz w:val="14"/>
          <w:szCs w:val="14"/>
        </w:rPr>
        <w:t>DOI: https://doi.org/10.1016/j.scitotenv.2020.144459</w:t>
      </w:r>
      <w:r w:rsidR="00AC53E6" w:rsidRPr="00BF5469">
        <w:rPr>
          <w:rFonts w:ascii="Times New Roman" w:eastAsia="Times New Roman" w:hAnsi="Times New Roman" w:cs="Times New Roman"/>
          <w:i/>
          <w:sz w:val="14"/>
          <w:szCs w:val="14"/>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E841FD" w14:textId="60D67068" w:rsidR="00C1437E" w:rsidRDefault="000B7F85">
    <w:pPr>
      <w:pStyle w:val="Header"/>
    </w:pPr>
    <w:r>
      <w:rPr>
        <w:noProof/>
      </w:rPr>
      <w:pict w14:anchorId="034A9F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5479672" o:spid="_x0000_s4098" type="#_x0000_t136" style="position:absolute;left:0;text-align:left;margin-left:0;margin-top:0;width:565.8pt;height:70.7pt;rotation:315;z-index:-251655168;mso-position-horizontal:center;mso-position-horizontal-relative:margin;mso-position-vertical:center;mso-position-vertical-relative:margin" o:allowincell="f" fillcolor="silver" stroked="f">
          <v:fill opacity=".5"/>
          <v:textpath style="font-family:&quot;Arial&quot;;font-size:1pt" string="corrected proof "/>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4EF8C" w14:textId="33A00253" w:rsidR="00C1437E" w:rsidRDefault="000B7F85">
    <w:pPr>
      <w:pStyle w:val="Header"/>
    </w:pPr>
    <w:r>
      <w:rPr>
        <w:noProof/>
      </w:rPr>
      <w:pict w14:anchorId="224106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5479673" o:spid="_x0000_s4099" type="#_x0000_t136" style="position:absolute;left:0;text-align:left;margin-left:0;margin-top:0;width:565.8pt;height:70.7pt;rotation:315;z-index:-251653120;mso-position-horizontal:center;mso-position-horizontal-relative:margin;mso-position-vertical:center;mso-position-vertical-relative:margin" o:allowincell="f" fillcolor="silver" stroked="f">
          <v:fill opacity=".5"/>
          <v:textpath style="font-family:&quot;Arial&quot;;font-size:1pt" string="corrected proof "/>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2D919" w14:textId="182C7908" w:rsidR="00C1437E" w:rsidRDefault="000B7F85">
    <w:pPr>
      <w:pStyle w:val="Header"/>
    </w:pPr>
    <w:r>
      <w:rPr>
        <w:noProof/>
      </w:rPr>
      <w:pict w14:anchorId="7F165E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5479671" o:spid="_x0000_s4097" type="#_x0000_t136" style="position:absolute;left:0;text-align:left;margin-left:0;margin-top:0;width:565.8pt;height:70.7pt;rotation:315;z-index:-251657216;mso-position-horizontal:center;mso-position-horizontal-relative:margin;mso-position-vertical:center;mso-position-vertical-relative:margin" o:allowincell="f" fillcolor="silver" stroked="f">
          <v:fill opacity=".5"/>
          <v:textpath style="font-family:&quot;Arial&quot;;font-size:1pt" string="corrected proof "/>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C425F"/>
    <w:multiLevelType w:val="multilevel"/>
    <w:tmpl w:val="F94EC01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160A3C7D"/>
    <w:multiLevelType w:val="multilevel"/>
    <w:tmpl w:val="83A8453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330E6C1D"/>
    <w:multiLevelType w:val="hybridMultilevel"/>
    <w:tmpl w:val="DE5AA6D4"/>
    <w:lvl w:ilvl="0" w:tplc="34B67F86">
      <w:numFmt w:val="bullet"/>
      <w:lvlText w:val=""/>
      <w:lvlJc w:val="left"/>
      <w:pPr>
        <w:ind w:left="720" w:hanging="360"/>
      </w:pPr>
      <w:rPr>
        <w:rFonts w:ascii="Symbol" w:eastAsia="Arial"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84E44CB"/>
    <w:multiLevelType w:val="multilevel"/>
    <w:tmpl w:val="DACAF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D8F76D3"/>
    <w:multiLevelType w:val="multilevel"/>
    <w:tmpl w:val="B036B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EAA6514"/>
    <w:multiLevelType w:val="multilevel"/>
    <w:tmpl w:val="F87AE65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6E062312"/>
    <w:multiLevelType w:val="multilevel"/>
    <w:tmpl w:val="5D064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5"/>
  </w:num>
  <w:num w:numId="4">
    <w:abstractNumId w:val="6"/>
  </w:num>
  <w:num w:numId="5">
    <w:abstractNumId w:val="4"/>
    <w:lvlOverride w:ilvl="0">
      <w:startOverride w:val="1"/>
    </w:lvlOverride>
  </w:num>
  <w:num w:numId="6">
    <w:abstractNumId w:val="3"/>
    <w:lvlOverride w:ilvl="0">
      <w:startOverride w:val="2"/>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hdrShapeDefaults>
    <o:shapedefaults v:ext="edit" spidmax="4100"/>
    <o:shapelayout v:ext="edit">
      <o:idmap v:ext="edit" data="4"/>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6E3"/>
    <w:rsid w:val="000052D9"/>
    <w:rsid w:val="000057C3"/>
    <w:rsid w:val="000065C1"/>
    <w:rsid w:val="00012BA9"/>
    <w:rsid w:val="00012F29"/>
    <w:rsid w:val="00016499"/>
    <w:rsid w:val="0002270C"/>
    <w:rsid w:val="00025CB7"/>
    <w:rsid w:val="000316DE"/>
    <w:rsid w:val="00031881"/>
    <w:rsid w:val="00036211"/>
    <w:rsid w:val="00036EB3"/>
    <w:rsid w:val="000371B5"/>
    <w:rsid w:val="000413DF"/>
    <w:rsid w:val="00041693"/>
    <w:rsid w:val="00042847"/>
    <w:rsid w:val="00042D5E"/>
    <w:rsid w:val="00043C9D"/>
    <w:rsid w:val="00046178"/>
    <w:rsid w:val="00053090"/>
    <w:rsid w:val="000553A0"/>
    <w:rsid w:val="00055C69"/>
    <w:rsid w:val="00055EF7"/>
    <w:rsid w:val="00056AEC"/>
    <w:rsid w:val="00057A03"/>
    <w:rsid w:val="00062093"/>
    <w:rsid w:val="00062EC6"/>
    <w:rsid w:val="00065579"/>
    <w:rsid w:val="0007102E"/>
    <w:rsid w:val="0007558D"/>
    <w:rsid w:val="00076382"/>
    <w:rsid w:val="00081163"/>
    <w:rsid w:val="000905E5"/>
    <w:rsid w:val="000932CC"/>
    <w:rsid w:val="00093E76"/>
    <w:rsid w:val="00095D0C"/>
    <w:rsid w:val="000A20B2"/>
    <w:rsid w:val="000A2A7D"/>
    <w:rsid w:val="000A330C"/>
    <w:rsid w:val="000A4B60"/>
    <w:rsid w:val="000A5EC9"/>
    <w:rsid w:val="000A758C"/>
    <w:rsid w:val="000B2B66"/>
    <w:rsid w:val="000B2B7E"/>
    <w:rsid w:val="000B31EA"/>
    <w:rsid w:val="000B3352"/>
    <w:rsid w:val="000B771C"/>
    <w:rsid w:val="000B7F85"/>
    <w:rsid w:val="000C3D85"/>
    <w:rsid w:val="000C4BA0"/>
    <w:rsid w:val="000D0167"/>
    <w:rsid w:val="000D02AC"/>
    <w:rsid w:val="000D1339"/>
    <w:rsid w:val="000D137B"/>
    <w:rsid w:val="000D3A33"/>
    <w:rsid w:val="000D3FD2"/>
    <w:rsid w:val="000D4FC6"/>
    <w:rsid w:val="000D63C0"/>
    <w:rsid w:val="000E26C5"/>
    <w:rsid w:val="000E66DC"/>
    <w:rsid w:val="000E7328"/>
    <w:rsid w:val="000F119A"/>
    <w:rsid w:val="000F2B30"/>
    <w:rsid w:val="000F622A"/>
    <w:rsid w:val="000F6C0A"/>
    <w:rsid w:val="0010385C"/>
    <w:rsid w:val="00103D3B"/>
    <w:rsid w:val="001047FB"/>
    <w:rsid w:val="001069D9"/>
    <w:rsid w:val="001076C5"/>
    <w:rsid w:val="00107BB0"/>
    <w:rsid w:val="001147FB"/>
    <w:rsid w:val="001207A1"/>
    <w:rsid w:val="0012400C"/>
    <w:rsid w:val="001263FE"/>
    <w:rsid w:val="00130C1B"/>
    <w:rsid w:val="0013161D"/>
    <w:rsid w:val="001463FD"/>
    <w:rsid w:val="00146B34"/>
    <w:rsid w:val="001512F6"/>
    <w:rsid w:val="00151619"/>
    <w:rsid w:val="001534BE"/>
    <w:rsid w:val="00153F82"/>
    <w:rsid w:val="00156AE0"/>
    <w:rsid w:val="00157D28"/>
    <w:rsid w:val="00160376"/>
    <w:rsid w:val="001631AC"/>
    <w:rsid w:val="00164AB4"/>
    <w:rsid w:val="00167207"/>
    <w:rsid w:val="0016721D"/>
    <w:rsid w:val="00167403"/>
    <w:rsid w:val="001704C8"/>
    <w:rsid w:val="0017238C"/>
    <w:rsid w:val="00174496"/>
    <w:rsid w:val="00174B9F"/>
    <w:rsid w:val="00175C2C"/>
    <w:rsid w:val="00186FC2"/>
    <w:rsid w:val="001909F1"/>
    <w:rsid w:val="00191481"/>
    <w:rsid w:val="001915D3"/>
    <w:rsid w:val="001937A8"/>
    <w:rsid w:val="00194983"/>
    <w:rsid w:val="00195CAD"/>
    <w:rsid w:val="00195F6B"/>
    <w:rsid w:val="001A43E4"/>
    <w:rsid w:val="001A5A9C"/>
    <w:rsid w:val="001B0D96"/>
    <w:rsid w:val="001B19BA"/>
    <w:rsid w:val="001B3571"/>
    <w:rsid w:val="001B43EC"/>
    <w:rsid w:val="001B6356"/>
    <w:rsid w:val="001C24C2"/>
    <w:rsid w:val="001C47B8"/>
    <w:rsid w:val="001C52B8"/>
    <w:rsid w:val="001C536A"/>
    <w:rsid w:val="001D4BA1"/>
    <w:rsid w:val="001D5CC6"/>
    <w:rsid w:val="001D6239"/>
    <w:rsid w:val="001D64F6"/>
    <w:rsid w:val="001D6B1F"/>
    <w:rsid w:val="001D7493"/>
    <w:rsid w:val="001D795B"/>
    <w:rsid w:val="001E59C4"/>
    <w:rsid w:val="001E605A"/>
    <w:rsid w:val="001F755C"/>
    <w:rsid w:val="00202851"/>
    <w:rsid w:val="002034F2"/>
    <w:rsid w:val="002041ED"/>
    <w:rsid w:val="00206C7C"/>
    <w:rsid w:val="002103C0"/>
    <w:rsid w:val="002108AE"/>
    <w:rsid w:val="002119F1"/>
    <w:rsid w:val="00211BFE"/>
    <w:rsid w:val="00214731"/>
    <w:rsid w:val="0022003C"/>
    <w:rsid w:val="00220772"/>
    <w:rsid w:val="002226A9"/>
    <w:rsid w:val="0022312E"/>
    <w:rsid w:val="002269A2"/>
    <w:rsid w:val="00226E90"/>
    <w:rsid w:val="002270EF"/>
    <w:rsid w:val="0022753A"/>
    <w:rsid w:val="0023244C"/>
    <w:rsid w:val="00232669"/>
    <w:rsid w:val="0023299B"/>
    <w:rsid w:val="00235D72"/>
    <w:rsid w:val="0023743B"/>
    <w:rsid w:val="00240263"/>
    <w:rsid w:val="00241771"/>
    <w:rsid w:val="00242685"/>
    <w:rsid w:val="002459C4"/>
    <w:rsid w:val="00252C4B"/>
    <w:rsid w:val="00254D53"/>
    <w:rsid w:val="00261C72"/>
    <w:rsid w:val="0026332A"/>
    <w:rsid w:val="00263499"/>
    <w:rsid w:val="002667F9"/>
    <w:rsid w:val="00270949"/>
    <w:rsid w:val="00270B0A"/>
    <w:rsid w:val="00271B8E"/>
    <w:rsid w:val="00272D06"/>
    <w:rsid w:val="002735FE"/>
    <w:rsid w:val="0027399C"/>
    <w:rsid w:val="00275168"/>
    <w:rsid w:val="0027731A"/>
    <w:rsid w:val="00280F61"/>
    <w:rsid w:val="002825EE"/>
    <w:rsid w:val="002826F8"/>
    <w:rsid w:val="002857CC"/>
    <w:rsid w:val="002859D7"/>
    <w:rsid w:val="00286A3D"/>
    <w:rsid w:val="002875DC"/>
    <w:rsid w:val="00292D7C"/>
    <w:rsid w:val="00292F85"/>
    <w:rsid w:val="0029327A"/>
    <w:rsid w:val="002941FE"/>
    <w:rsid w:val="0029481F"/>
    <w:rsid w:val="00296789"/>
    <w:rsid w:val="002A0A46"/>
    <w:rsid w:val="002A2F85"/>
    <w:rsid w:val="002A3C96"/>
    <w:rsid w:val="002A4E9B"/>
    <w:rsid w:val="002A60ED"/>
    <w:rsid w:val="002A65E0"/>
    <w:rsid w:val="002A6784"/>
    <w:rsid w:val="002A7309"/>
    <w:rsid w:val="002B0864"/>
    <w:rsid w:val="002B1154"/>
    <w:rsid w:val="002B18EC"/>
    <w:rsid w:val="002B1F21"/>
    <w:rsid w:val="002B3841"/>
    <w:rsid w:val="002B39F6"/>
    <w:rsid w:val="002B4567"/>
    <w:rsid w:val="002B484D"/>
    <w:rsid w:val="002B504D"/>
    <w:rsid w:val="002C2032"/>
    <w:rsid w:val="002C4A72"/>
    <w:rsid w:val="002C5F90"/>
    <w:rsid w:val="002C6ECF"/>
    <w:rsid w:val="002D03F0"/>
    <w:rsid w:val="002D2418"/>
    <w:rsid w:val="002D283E"/>
    <w:rsid w:val="002D49C3"/>
    <w:rsid w:val="002D5A19"/>
    <w:rsid w:val="002E0BA4"/>
    <w:rsid w:val="002E5FA7"/>
    <w:rsid w:val="002E68A8"/>
    <w:rsid w:val="002E6B01"/>
    <w:rsid w:val="002F09D4"/>
    <w:rsid w:val="002F384D"/>
    <w:rsid w:val="002F3D7A"/>
    <w:rsid w:val="002F6B73"/>
    <w:rsid w:val="002F7F38"/>
    <w:rsid w:val="0030025D"/>
    <w:rsid w:val="003037D4"/>
    <w:rsid w:val="00304547"/>
    <w:rsid w:val="003073CC"/>
    <w:rsid w:val="003076CD"/>
    <w:rsid w:val="00312F50"/>
    <w:rsid w:val="00314E7B"/>
    <w:rsid w:val="00316A8C"/>
    <w:rsid w:val="00316FAF"/>
    <w:rsid w:val="003175EC"/>
    <w:rsid w:val="00320839"/>
    <w:rsid w:val="00320856"/>
    <w:rsid w:val="00321503"/>
    <w:rsid w:val="00321C3B"/>
    <w:rsid w:val="00323525"/>
    <w:rsid w:val="0033074F"/>
    <w:rsid w:val="003315F4"/>
    <w:rsid w:val="00331656"/>
    <w:rsid w:val="00331804"/>
    <w:rsid w:val="0033233B"/>
    <w:rsid w:val="003328F4"/>
    <w:rsid w:val="003352B7"/>
    <w:rsid w:val="00343635"/>
    <w:rsid w:val="003520C5"/>
    <w:rsid w:val="00360183"/>
    <w:rsid w:val="00360CBA"/>
    <w:rsid w:val="003636D3"/>
    <w:rsid w:val="00364354"/>
    <w:rsid w:val="00366BCA"/>
    <w:rsid w:val="00370250"/>
    <w:rsid w:val="00373FE4"/>
    <w:rsid w:val="00375354"/>
    <w:rsid w:val="00375604"/>
    <w:rsid w:val="0037567A"/>
    <w:rsid w:val="003760AD"/>
    <w:rsid w:val="00377066"/>
    <w:rsid w:val="003775B0"/>
    <w:rsid w:val="003806F5"/>
    <w:rsid w:val="00380761"/>
    <w:rsid w:val="00380C62"/>
    <w:rsid w:val="00381AE0"/>
    <w:rsid w:val="00384DF1"/>
    <w:rsid w:val="003852C4"/>
    <w:rsid w:val="003854DC"/>
    <w:rsid w:val="00386447"/>
    <w:rsid w:val="00387147"/>
    <w:rsid w:val="0039081E"/>
    <w:rsid w:val="00390ED0"/>
    <w:rsid w:val="00391419"/>
    <w:rsid w:val="00396D3C"/>
    <w:rsid w:val="003972CB"/>
    <w:rsid w:val="003A1B7A"/>
    <w:rsid w:val="003A3607"/>
    <w:rsid w:val="003B028F"/>
    <w:rsid w:val="003B4F25"/>
    <w:rsid w:val="003B6700"/>
    <w:rsid w:val="003C05D7"/>
    <w:rsid w:val="003C0D85"/>
    <w:rsid w:val="003C1866"/>
    <w:rsid w:val="003C2F98"/>
    <w:rsid w:val="003C3793"/>
    <w:rsid w:val="003C45F1"/>
    <w:rsid w:val="003D0604"/>
    <w:rsid w:val="003D0E6F"/>
    <w:rsid w:val="003D2C92"/>
    <w:rsid w:val="003D6A76"/>
    <w:rsid w:val="003D7D38"/>
    <w:rsid w:val="003E1698"/>
    <w:rsid w:val="003E335A"/>
    <w:rsid w:val="003E49E6"/>
    <w:rsid w:val="003E5A38"/>
    <w:rsid w:val="003E631E"/>
    <w:rsid w:val="003F009B"/>
    <w:rsid w:val="003F2450"/>
    <w:rsid w:val="003F2D2E"/>
    <w:rsid w:val="003F32D2"/>
    <w:rsid w:val="003F77F9"/>
    <w:rsid w:val="003F79D7"/>
    <w:rsid w:val="00400490"/>
    <w:rsid w:val="00403236"/>
    <w:rsid w:val="004037B3"/>
    <w:rsid w:val="00403F05"/>
    <w:rsid w:val="00406C64"/>
    <w:rsid w:val="00413883"/>
    <w:rsid w:val="00414F06"/>
    <w:rsid w:val="004153FD"/>
    <w:rsid w:val="00417E95"/>
    <w:rsid w:val="004218AB"/>
    <w:rsid w:val="004224EA"/>
    <w:rsid w:val="00423958"/>
    <w:rsid w:val="00424973"/>
    <w:rsid w:val="00424F3A"/>
    <w:rsid w:val="004258D5"/>
    <w:rsid w:val="004274E2"/>
    <w:rsid w:val="00431D53"/>
    <w:rsid w:val="004327CB"/>
    <w:rsid w:val="00432F60"/>
    <w:rsid w:val="004350D5"/>
    <w:rsid w:val="004352A3"/>
    <w:rsid w:val="00435567"/>
    <w:rsid w:val="00437DF2"/>
    <w:rsid w:val="004403CA"/>
    <w:rsid w:val="0044087A"/>
    <w:rsid w:val="0044187A"/>
    <w:rsid w:val="00441B26"/>
    <w:rsid w:val="00442F67"/>
    <w:rsid w:val="00444C88"/>
    <w:rsid w:val="00444D8D"/>
    <w:rsid w:val="004465CC"/>
    <w:rsid w:val="0045063F"/>
    <w:rsid w:val="0045149E"/>
    <w:rsid w:val="00452EDD"/>
    <w:rsid w:val="0045500E"/>
    <w:rsid w:val="00456FAE"/>
    <w:rsid w:val="00457FF9"/>
    <w:rsid w:val="00462598"/>
    <w:rsid w:val="00462C29"/>
    <w:rsid w:val="00464EB7"/>
    <w:rsid w:val="004652D0"/>
    <w:rsid w:val="0046575E"/>
    <w:rsid w:val="00465DA0"/>
    <w:rsid w:val="00467AC1"/>
    <w:rsid w:val="00472648"/>
    <w:rsid w:val="00473FDF"/>
    <w:rsid w:val="00480B98"/>
    <w:rsid w:val="00481FF6"/>
    <w:rsid w:val="004829D3"/>
    <w:rsid w:val="00483EE0"/>
    <w:rsid w:val="00484EDD"/>
    <w:rsid w:val="004863CF"/>
    <w:rsid w:val="004872CA"/>
    <w:rsid w:val="0048734E"/>
    <w:rsid w:val="00490E58"/>
    <w:rsid w:val="004910D3"/>
    <w:rsid w:val="004940A3"/>
    <w:rsid w:val="004A01EE"/>
    <w:rsid w:val="004A02B2"/>
    <w:rsid w:val="004A4B8F"/>
    <w:rsid w:val="004A5063"/>
    <w:rsid w:val="004A6716"/>
    <w:rsid w:val="004A6C51"/>
    <w:rsid w:val="004A7ED5"/>
    <w:rsid w:val="004B0993"/>
    <w:rsid w:val="004B25B0"/>
    <w:rsid w:val="004B27F4"/>
    <w:rsid w:val="004B2B67"/>
    <w:rsid w:val="004B2CBF"/>
    <w:rsid w:val="004B5281"/>
    <w:rsid w:val="004C09DA"/>
    <w:rsid w:val="004C0F91"/>
    <w:rsid w:val="004C169D"/>
    <w:rsid w:val="004C22B1"/>
    <w:rsid w:val="004C2655"/>
    <w:rsid w:val="004C31E1"/>
    <w:rsid w:val="004C63E6"/>
    <w:rsid w:val="004C7459"/>
    <w:rsid w:val="004D0C37"/>
    <w:rsid w:val="004D258C"/>
    <w:rsid w:val="004D31AA"/>
    <w:rsid w:val="004D55F5"/>
    <w:rsid w:val="004D78F9"/>
    <w:rsid w:val="004E01AA"/>
    <w:rsid w:val="004E645D"/>
    <w:rsid w:val="004F2185"/>
    <w:rsid w:val="004F2FFC"/>
    <w:rsid w:val="004F34ED"/>
    <w:rsid w:val="004F4859"/>
    <w:rsid w:val="004F4A4E"/>
    <w:rsid w:val="004F4F77"/>
    <w:rsid w:val="004F5D5C"/>
    <w:rsid w:val="004F5DE8"/>
    <w:rsid w:val="004F6C26"/>
    <w:rsid w:val="004F708A"/>
    <w:rsid w:val="005006F4"/>
    <w:rsid w:val="00500F4B"/>
    <w:rsid w:val="005052A0"/>
    <w:rsid w:val="00507C11"/>
    <w:rsid w:val="005118FE"/>
    <w:rsid w:val="005140AF"/>
    <w:rsid w:val="0051446F"/>
    <w:rsid w:val="00515AAF"/>
    <w:rsid w:val="00517290"/>
    <w:rsid w:val="00517648"/>
    <w:rsid w:val="00520A25"/>
    <w:rsid w:val="005242A8"/>
    <w:rsid w:val="00526CFF"/>
    <w:rsid w:val="00530D49"/>
    <w:rsid w:val="00535205"/>
    <w:rsid w:val="00537A3C"/>
    <w:rsid w:val="005418C5"/>
    <w:rsid w:val="0054274E"/>
    <w:rsid w:val="005439B0"/>
    <w:rsid w:val="00544DB1"/>
    <w:rsid w:val="005508F9"/>
    <w:rsid w:val="00553173"/>
    <w:rsid w:val="00554CC1"/>
    <w:rsid w:val="0055654C"/>
    <w:rsid w:val="005578EE"/>
    <w:rsid w:val="00560DF3"/>
    <w:rsid w:val="00563475"/>
    <w:rsid w:val="00563824"/>
    <w:rsid w:val="00563F48"/>
    <w:rsid w:val="005655C3"/>
    <w:rsid w:val="0056710E"/>
    <w:rsid w:val="00567815"/>
    <w:rsid w:val="00567EB7"/>
    <w:rsid w:val="005707BC"/>
    <w:rsid w:val="0057253C"/>
    <w:rsid w:val="0057302F"/>
    <w:rsid w:val="00573452"/>
    <w:rsid w:val="00577677"/>
    <w:rsid w:val="00581BCC"/>
    <w:rsid w:val="00581C5F"/>
    <w:rsid w:val="00583116"/>
    <w:rsid w:val="005833AA"/>
    <w:rsid w:val="00584ED7"/>
    <w:rsid w:val="00586570"/>
    <w:rsid w:val="005874A6"/>
    <w:rsid w:val="00587E1B"/>
    <w:rsid w:val="00592825"/>
    <w:rsid w:val="005930A6"/>
    <w:rsid w:val="00593655"/>
    <w:rsid w:val="00596EEC"/>
    <w:rsid w:val="00597378"/>
    <w:rsid w:val="005973AE"/>
    <w:rsid w:val="005977D6"/>
    <w:rsid w:val="005977D9"/>
    <w:rsid w:val="005A19CF"/>
    <w:rsid w:val="005A4471"/>
    <w:rsid w:val="005A569C"/>
    <w:rsid w:val="005A767C"/>
    <w:rsid w:val="005A7978"/>
    <w:rsid w:val="005B6805"/>
    <w:rsid w:val="005C42E2"/>
    <w:rsid w:val="005C6038"/>
    <w:rsid w:val="005C729D"/>
    <w:rsid w:val="005D010C"/>
    <w:rsid w:val="005D3BD0"/>
    <w:rsid w:val="005D42EA"/>
    <w:rsid w:val="005D5E5B"/>
    <w:rsid w:val="005D70E1"/>
    <w:rsid w:val="005D71BA"/>
    <w:rsid w:val="005E3B98"/>
    <w:rsid w:val="005E45EB"/>
    <w:rsid w:val="005E4C15"/>
    <w:rsid w:val="005E4D34"/>
    <w:rsid w:val="005E65CF"/>
    <w:rsid w:val="005E746A"/>
    <w:rsid w:val="005E77F1"/>
    <w:rsid w:val="005F2B31"/>
    <w:rsid w:val="005F34AA"/>
    <w:rsid w:val="005F547B"/>
    <w:rsid w:val="0060130F"/>
    <w:rsid w:val="00601D73"/>
    <w:rsid w:val="00604C32"/>
    <w:rsid w:val="00605171"/>
    <w:rsid w:val="00610349"/>
    <w:rsid w:val="006104BD"/>
    <w:rsid w:val="00611AA9"/>
    <w:rsid w:val="00613939"/>
    <w:rsid w:val="006176AF"/>
    <w:rsid w:val="00617D56"/>
    <w:rsid w:val="006269A0"/>
    <w:rsid w:val="00626D33"/>
    <w:rsid w:val="00631391"/>
    <w:rsid w:val="0063172C"/>
    <w:rsid w:val="00631F37"/>
    <w:rsid w:val="0063488D"/>
    <w:rsid w:val="006400FA"/>
    <w:rsid w:val="00641B9A"/>
    <w:rsid w:val="00642996"/>
    <w:rsid w:val="00643F8E"/>
    <w:rsid w:val="00644416"/>
    <w:rsid w:val="00650368"/>
    <w:rsid w:val="00651CC0"/>
    <w:rsid w:val="006546DA"/>
    <w:rsid w:val="00657283"/>
    <w:rsid w:val="0066380B"/>
    <w:rsid w:val="0066587A"/>
    <w:rsid w:val="006664AE"/>
    <w:rsid w:val="006667C6"/>
    <w:rsid w:val="00674EF3"/>
    <w:rsid w:val="00675435"/>
    <w:rsid w:val="00686507"/>
    <w:rsid w:val="0069206D"/>
    <w:rsid w:val="006926F3"/>
    <w:rsid w:val="006962C2"/>
    <w:rsid w:val="00697440"/>
    <w:rsid w:val="006A0BF5"/>
    <w:rsid w:val="006A3028"/>
    <w:rsid w:val="006A3DF4"/>
    <w:rsid w:val="006A4C22"/>
    <w:rsid w:val="006A7BD9"/>
    <w:rsid w:val="006B1B91"/>
    <w:rsid w:val="006B3ACA"/>
    <w:rsid w:val="006B4688"/>
    <w:rsid w:val="006B4759"/>
    <w:rsid w:val="006B66E4"/>
    <w:rsid w:val="006B740E"/>
    <w:rsid w:val="006B7828"/>
    <w:rsid w:val="006C2AC7"/>
    <w:rsid w:val="006C4C52"/>
    <w:rsid w:val="006C4D3F"/>
    <w:rsid w:val="006C5C5E"/>
    <w:rsid w:val="006C7AF8"/>
    <w:rsid w:val="006D1BAC"/>
    <w:rsid w:val="006D21A2"/>
    <w:rsid w:val="006D3F43"/>
    <w:rsid w:val="006D3FFD"/>
    <w:rsid w:val="006D545E"/>
    <w:rsid w:val="006D6433"/>
    <w:rsid w:val="006D680A"/>
    <w:rsid w:val="006D6C11"/>
    <w:rsid w:val="006E00A2"/>
    <w:rsid w:val="006E1AAC"/>
    <w:rsid w:val="006E2985"/>
    <w:rsid w:val="006E32B2"/>
    <w:rsid w:val="006E6278"/>
    <w:rsid w:val="006F23F9"/>
    <w:rsid w:val="006F3A08"/>
    <w:rsid w:val="006F4762"/>
    <w:rsid w:val="006F4C9D"/>
    <w:rsid w:val="006F53F4"/>
    <w:rsid w:val="006F6A47"/>
    <w:rsid w:val="006F73C3"/>
    <w:rsid w:val="00702585"/>
    <w:rsid w:val="007027FE"/>
    <w:rsid w:val="0070426A"/>
    <w:rsid w:val="00706E0C"/>
    <w:rsid w:val="007117DA"/>
    <w:rsid w:val="00711A88"/>
    <w:rsid w:val="00711D2D"/>
    <w:rsid w:val="00714B7A"/>
    <w:rsid w:val="00715FA7"/>
    <w:rsid w:val="007162F4"/>
    <w:rsid w:val="00716404"/>
    <w:rsid w:val="007172E8"/>
    <w:rsid w:val="007173E9"/>
    <w:rsid w:val="007205A8"/>
    <w:rsid w:val="00722184"/>
    <w:rsid w:val="0072543F"/>
    <w:rsid w:val="00725526"/>
    <w:rsid w:val="0072601B"/>
    <w:rsid w:val="007271A7"/>
    <w:rsid w:val="00733265"/>
    <w:rsid w:val="00737302"/>
    <w:rsid w:val="00737F6A"/>
    <w:rsid w:val="00741E9D"/>
    <w:rsid w:val="00743554"/>
    <w:rsid w:val="00743CC1"/>
    <w:rsid w:val="007442B4"/>
    <w:rsid w:val="007500B8"/>
    <w:rsid w:val="0075358D"/>
    <w:rsid w:val="00754174"/>
    <w:rsid w:val="007553E4"/>
    <w:rsid w:val="007553EC"/>
    <w:rsid w:val="00756E88"/>
    <w:rsid w:val="0075788C"/>
    <w:rsid w:val="00761FF5"/>
    <w:rsid w:val="00763CCF"/>
    <w:rsid w:val="00765E33"/>
    <w:rsid w:val="00767174"/>
    <w:rsid w:val="00770A5D"/>
    <w:rsid w:val="007715B2"/>
    <w:rsid w:val="007763E6"/>
    <w:rsid w:val="0077705F"/>
    <w:rsid w:val="007778FD"/>
    <w:rsid w:val="00781957"/>
    <w:rsid w:val="0078440D"/>
    <w:rsid w:val="0078623F"/>
    <w:rsid w:val="007864F7"/>
    <w:rsid w:val="0078759A"/>
    <w:rsid w:val="007908C7"/>
    <w:rsid w:val="0079517A"/>
    <w:rsid w:val="0079655D"/>
    <w:rsid w:val="007A0708"/>
    <w:rsid w:val="007A1211"/>
    <w:rsid w:val="007A282F"/>
    <w:rsid w:val="007A2B4C"/>
    <w:rsid w:val="007A5F78"/>
    <w:rsid w:val="007A6CAD"/>
    <w:rsid w:val="007B13C8"/>
    <w:rsid w:val="007B1404"/>
    <w:rsid w:val="007B1926"/>
    <w:rsid w:val="007B2DD8"/>
    <w:rsid w:val="007B5BD2"/>
    <w:rsid w:val="007B5BF6"/>
    <w:rsid w:val="007B7890"/>
    <w:rsid w:val="007C02B2"/>
    <w:rsid w:val="007C2C2A"/>
    <w:rsid w:val="007C3B29"/>
    <w:rsid w:val="007C4ABB"/>
    <w:rsid w:val="007C5DF3"/>
    <w:rsid w:val="007C6691"/>
    <w:rsid w:val="007C67CD"/>
    <w:rsid w:val="007D1BCE"/>
    <w:rsid w:val="007D3DB9"/>
    <w:rsid w:val="007D40E1"/>
    <w:rsid w:val="007E0DBE"/>
    <w:rsid w:val="007E211D"/>
    <w:rsid w:val="007E2A93"/>
    <w:rsid w:val="007E52C4"/>
    <w:rsid w:val="007E6AF4"/>
    <w:rsid w:val="007F0F87"/>
    <w:rsid w:val="007F1431"/>
    <w:rsid w:val="007F182D"/>
    <w:rsid w:val="007F1AED"/>
    <w:rsid w:val="007F25DD"/>
    <w:rsid w:val="007F3E27"/>
    <w:rsid w:val="007F49A9"/>
    <w:rsid w:val="007F576F"/>
    <w:rsid w:val="007F75D1"/>
    <w:rsid w:val="00800722"/>
    <w:rsid w:val="00800815"/>
    <w:rsid w:val="00800CE1"/>
    <w:rsid w:val="00801C1E"/>
    <w:rsid w:val="0080327B"/>
    <w:rsid w:val="00803A94"/>
    <w:rsid w:val="008072E8"/>
    <w:rsid w:val="008167EE"/>
    <w:rsid w:val="00820204"/>
    <w:rsid w:val="00822301"/>
    <w:rsid w:val="008235B9"/>
    <w:rsid w:val="0082573C"/>
    <w:rsid w:val="00825DD6"/>
    <w:rsid w:val="00826E90"/>
    <w:rsid w:val="008304E5"/>
    <w:rsid w:val="0083538F"/>
    <w:rsid w:val="00835916"/>
    <w:rsid w:val="00836D18"/>
    <w:rsid w:val="00836EB4"/>
    <w:rsid w:val="00840BF6"/>
    <w:rsid w:val="00841B96"/>
    <w:rsid w:val="00842C76"/>
    <w:rsid w:val="00844B75"/>
    <w:rsid w:val="00845EDB"/>
    <w:rsid w:val="0084683E"/>
    <w:rsid w:val="00847783"/>
    <w:rsid w:val="008541F0"/>
    <w:rsid w:val="0085427A"/>
    <w:rsid w:val="00860CA4"/>
    <w:rsid w:val="00863F47"/>
    <w:rsid w:val="00866906"/>
    <w:rsid w:val="00867858"/>
    <w:rsid w:val="00867E66"/>
    <w:rsid w:val="00870FB1"/>
    <w:rsid w:val="008710BC"/>
    <w:rsid w:val="00872234"/>
    <w:rsid w:val="0087276F"/>
    <w:rsid w:val="0087426B"/>
    <w:rsid w:val="00874F86"/>
    <w:rsid w:val="008821DE"/>
    <w:rsid w:val="00883252"/>
    <w:rsid w:val="008832BE"/>
    <w:rsid w:val="008841D4"/>
    <w:rsid w:val="00887413"/>
    <w:rsid w:val="00887F94"/>
    <w:rsid w:val="00890D14"/>
    <w:rsid w:val="0089372E"/>
    <w:rsid w:val="00893E5B"/>
    <w:rsid w:val="008A0004"/>
    <w:rsid w:val="008A1819"/>
    <w:rsid w:val="008A421B"/>
    <w:rsid w:val="008A4A8C"/>
    <w:rsid w:val="008A4DE8"/>
    <w:rsid w:val="008B0DA0"/>
    <w:rsid w:val="008B0F4C"/>
    <w:rsid w:val="008B14D4"/>
    <w:rsid w:val="008B2866"/>
    <w:rsid w:val="008B3691"/>
    <w:rsid w:val="008B5DE8"/>
    <w:rsid w:val="008B670C"/>
    <w:rsid w:val="008B76A1"/>
    <w:rsid w:val="008C0026"/>
    <w:rsid w:val="008C0206"/>
    <w:rsid w:val="008C0BEA"/>
    <w:rsid w:val="008C0E4A"/>
    <w:rsid w:val="008C14B9"/>
    <w:rsid w:val="008C1AC8"/>
    <w:rsid w:val="008C2CA6"/>
    <w:rsid w:val="008C4405"/>
    <w:rsid w:val="008D216D"/>
    <w:rsid w:val="008D2A67"/>
    <w:rsid w:val="008D432B"/>
    <w:rsid w:val="008D6AED"/>
    <w:rsid w:val="008E0F40"/>
    <w:rsid w:val="008E1E98"/>
    <w:rsid w:val="008E6774"/>
    <w:rsid w:val="008E7162"/>
    <w:rsid w:val="008F008D"/>
    <w:rsid w:val="008F0402"/>
    <w:rsid w:val="008F041A"/>
    <w:rsid w:val="008F313F"/>
    <w:rsid w:val="008F5801"/>
    <w:rsid w:val="008F5D86"/>
    <w:rsid w:val="008F675E"/>
    <w:rsid w:val="009012A9"/>
    <w:rsid w:val="00901957"/>
    <w:rsid w:val="009024B9"/>
    <w:rsid w:val="009025FF"/>
    <w:rsid w:val="00902A7E"/>
    <w:rsid w:val="0090362E"/>
    <w:rsid w:val="00903E30"/>
    <w:rsid w:val="00907FE9"/>
    <w:rsid w:val="0091049E"/>
    <w:rsid w:val="00910660"/>
    <w:rsid w:val="00912FB2"/>
    <w:rsid w:val="009176DA"/>
    <w:rsid w:val="00917CD1"/>
    <w:rsid w:val="00922746"/>
    <w:rsid w:val="00923ACE"/>
    <w:rsid w:val="00924EC9"/>
    <w:rsid w:val="00925F04"/>
    <w:rsid w:val="00927FE7"/>
    <w:rsid w:val="009306DE"/>
    <w:rsid w:val="0093232F"/>
    <w:rsid w:val="00936902"/>
    <w:rsid w:val="00941FD7"/>
    <w:rsid w:val="009442F5"/>
    <w:rsid w:val="00947333"/>
    <w:rsid w:val="00950568"/>
    <w:rsid w:val="00950B15"/>
    <w:rsid w:val="00955B7D"/>
    <w:rsid w:val="0096098E"/>
    <w:rsid w:val="00962F8E"/>
    <w:rsid w:val="009634CB"/>
    <w:rsid w:val="00967589"/>
    <w:rsid w:val="0096796A"/>
    <w:rsid w:val="00970D36"/>
    <w:rsid w:val="0097102B"/>
    <w:rsid w:val="00972F2B"/>
    <w:rsid w:val="009756C1"/>
    <w:rsid w:val="00976B30"/>
    <w:rsid w:val="00977C9A"/>
    <w:rsid w:val="00980178"/>
    <w:rsid w:val="00982AE6"/>
    <w:rsid w:val="00983420"/>
    <w:rsid w:val="00983991"/>
    <w:rsid w:val="009843B9"/>
    <w:rsid w:val="00984ACF"/>
    <w:rsid w:val="00987F2D"/>
    <w:rsid w:val="00991069"/>
    <w:rsid w:val="009948EE"/>
    <w:rsid w:val="009A08E2"/>
    <w:rsid w:val="009A19D0"/>
    <w:rsid w:val="009A1A23"/>
    <w:rsid w:val="009A2B5D"/>
    <w:rsid w:val="009A2FD2"/>
    <w:rsid w:val="009A3A5C"/>
    <w:rsid w:val="009A3A6B"/>
    <w:rsid w:val="009A3CBD"/>
    <w:rsid w:val="009A4D58"/>
    <w:rsid w:val="009A5383"/>
    <w:rsid w:val="009A7B76"/>
    <w:rsid w:val="009B247A"/>
    <w:rsid w:val="009B2487"/>
    <w:rsid w:val="009B46B4"/>
    <w:rsid w:val="009B5F15"/>
    <w:rsid w:val="009B6D84"/>
    <w:rsid w:val="009C0E06"/>
    <w:rsid w:val="009C2E6A"/>
    <w:rsid w:val="009C425A"/>
    <w:rsid w:val="009C7409"/>
    <w:rsid w:val="009C7A75"/>
    <w:rsid w:val="009D2D62"/>
    <w:rsid w:val="009D34C0"/>
    <w:rsid w:val="009D6A09"/>
    <w:rsid w:val="009D6A33"/>
    <w:rsid w:val="009E283E"/>
    <w:rsid w:val="009E4224"/>
    <w:rsid w:val="009E48C6"/>
    <w:rsid w:val="009E4DA2"/>
    <w:rsid w:val="009E6DB2"/>
    <w:rsid w:val="009F02CE"/>
    <w:rsid w:val="009F0B80"/>
    <w:rsid w:val="009F25B4"/>
    <w:rsid w:val="009F26E3"/>
    <w:rsid w:val="00A0062D"/>
    <w:rsid w:val="00A03A80"/>
    <w:rsid w:val="00A03C7E"/>
    <w:rsid w:val="00A04CF0"/>
    <w:rsid w:val="00A11326"/>
    <w:rsid w:val="00A1333B"/>
    <w:rsid w:val="00A1464A"/>
    <w:rsid w:val="00A200A9"/>
    <w:rsid w:val="00A21D1C"/>
    <w:rsid w:val="00A22238"/>
    <w:rsid w:val="00A224EE"/>
    <w:rsid w:val="00A22C22"/>
    <w:rsid w:val="00A2356A"/>
    <w:rsid w:val="00A24EA4"/>
    <w:rsid w:val="00A27E77"/>
    <w:rsid w:val="00A33DC1"/>
    <w:rsid w:val="00A35B12"/>
    <w:rsid w:val="00A36A87"/>
    <w:rsid w:val="00A376B6"/>
    <w:rsid w:val="00A40A7A"/>
    <w:rsid w:val="00A4460E"/>
    <w:rsid w:val="00A45BE6"/>
    <w:rsid w:val="00A476E4"/>
    <w:rsid w:val="00A570E6"/>
    <w:rsid w:val="00A6063B"/>
    <w:rsid w:val="00A607DD"/>
    <w:rsid w:val="00A62F4B"/>
    <w:rsid w:val="00A6307B"/>
    <w:rsid w:val="00A6345A"/>
    <w:rsid w:val="00A6655C"/>
    <w:rsid w:val="00A712FB"/>
    <w:rsid w:val="00A73F5B"/>
    <w:rsid w:val="00A74019"/>
    <w:rsid w:val="00A7542B"/>
    <w:rsid w:val="00A76C3D"/>
    <w:rsid w:val="00A77666"/>
    <w:rsid w:val="00A8029B"/>
    <w:rsid w:val="00A810AF"/>
    <w:rsid w:val="00A8327A"/>
    <w:rsid w:val="00A84785"/>
    <w:rsid w:val="00A85011"/>
    <w:rsid w:val="00A858AA"/>
    <w:rsid w:val="00A8664F"/>
    <w:rsid w:val="00A905A3"/>
    <w:rsid w:val="00A9298D"/>
    <w:rsid w:val="00A944C1"/>
    <w:rsid w:val="00A97A90"/>
    <w:rsid w:val="00AA0A8F"/>
    <w:rsid w:val="00AA1B13"/>
    <w:rsid w:val="00AA49DE"/>
    <w:rsid w:val="00AA65CD"/>
    <w:rsid w:val="00AA6FDB"/>
    <w:rsid w:val="00AA7197"/>
    <w:rsid w:val="00AB090B"/>
    <w:rsid w:val="00AB3977"/>
    <w:rsid w:val="00AB4680"/>
    <w:rsid w:val="00AC0235"/>
    <w:rsid w:val="00AC10EF"/>
    <w:rsid w:val="00AC53E6"/>
    <w:rsid w:val="00AC5CC9"/>
    <w:rsid w:val="00AC60BA"/>
    <w:rsid w:val="00AC7AFC"/>
    <w:rsid w:val="00AD0F00"/>
    <w:rsid w:val="00AD3141"/>
    <w:rsid w:val="00AD3D2E"/>
    <w:rsid w:val="00AE2E12"/>
    <w:rsid w:val="00AE34C2"/>
    <w:rsid w:val="00AE4508"/>
    <w:rsid w:val="00AE5A17"/>
    <w:rsid w:val="00AE6170"/>
    <w:rsid w:val="00AE6D2C"/>
    <w:rsid w:val="00AE74E6"/>
    <w:rsid w:val="00AF3A1B"/>
    <w:rsid w:val="00AF477C"/>
    <w:rsid w:val="00AF600C"/>
    <w:rsid w:val="00AF6C8B"/>
    <w:rsid w:val="00B002AF"/>
    <w:rsid w:val="00B00F35"/>
    <w:rsid w:val="00B01FB3"/>
    <w:rsid w:val="00B03842"/>
    <w:rsid w:val="00B05F37"/>
    <w:rsid w:val="00B06368"/>
    <w:rsid w:val="00B06ACA"/>
    <w:rsid w:val="00B074D6"/>
    <w:rsid w:val="00B116E7"/>
    <w:rsid w:val="00B231D2"/>
    <w:rsid w:val="00B24865"/>
    <w:rsid w:val="00B25586"/>
    <w:rsid w:val="00B26C0B"/>
    <w:rsid w:val="00B31590"/>
    <w:rsid w:val="00B3327A"/>
    <w:rsid w:val="00B33722"/>
    <w:rsid w:val="00B35C6E"/>
    <w:rsid w:val="00B3608A"/>
    <w:rsid w:val="00B36D90"/>
    <w:rsid w:val="00B36F55"/>
    <w:rsid w:val="00B41259"/>
    <w:rsid w:val="00B41680"/>
    <w:rsid w:val="00B42B81"/>
    <w:rsid w:val="00B471CC"/>
    <w:rsid w:val="00B503A8"/>
    <w:rsid w:val="00B51418"/>
    <w:rsid w:val="00B517BB"/>
    <w:rsid w:val="00B5286F"/>
    <w:rsid w:val="00B5396B"/>
    <w:rsid w:val="00B60ADD"/>
    <w:rsid w:val="00B631DA"/>
    <w:rsid w:val="00B66922"/>
    <w:rsid w:val="00B67519"/>
    <w:rsid w:val="00B70091"/>
    <w:rsid w:val="00B718EA"/>
    <w:rsid w:val="00B7432F"/>
    <w:rsid w:val="00B7616D"/>
    <w:rsid w:val="00B8124A"/>
    <w:rsid w:val="00B818BF"/>
    <w:rsid w:val="00B83050"/>
    <w:rsid w:val="00B86C45"/>
    <w:rsid w:val="00B91577"/>
    <w:rsid w:val="00B92B8F"/>
    <w:rsid w:val="00B93471"/>
    <w:rsid w:val="00B9434B"/>
    <w:rsid w:val="00B97F2C"/>
    <w:rsid w:val="00BA1582"/>
    <w:rsid w:val="00BA388C"/>
    <w:rsid w:val="00BA39FF"/>
    <w:rsid w:val="00BA5E38"/>
    <w:rsid w:val="00BB0A66"/>
    <w:rsid w:val="00BB1256"/>
    <w:rsid w:val="00BB316A"/>
    <w:rsid w:val="00BB433E"/>
    <w:rsid w:val="00BB4579"/>
    <w:rsid w:val="00BB77E3"/>
    <w:rsid w:val="00BB7C7C"/>
    <w:rsid w:val="00BC2802"/>
    <w:rsid w:val="00BC69F9"/>
    <w:rsid w:val="00BC7717"/>
    <w:rsid w:val="00BD064F"/>
    <w:rsid w:val="00BD1292"/>
    <w:rsid w:val="00BD23F6"/>
    <w:rsid w:val="00BD265B"/>
    <w:rsid w:val="00BD594D"/>
    <w:rsid w:val="00BD5CDF"/>
    <w:rsid w:val="00BD698D"/>
    <w:rsid w:val="00BD6AA0"/>
    <w:rsid w:val="00BD6D28"/>
    <w:rsid w:val="00BE36E1"/>
    <w:rsid w:val="00BE3E0E"/>
    <w:rsid w:val="00BE5952"/>
    <w:rsid w:val="00BF26B1"/>
    <w:rsid w:val="00BF2980"/>
    <w:rsid w:val="00BF4DC8"/>
    <w:rsid w:val="00BF5469"/>
    <w:rsid w:val="00BF5916"/>
    <w:rsid w:val="00BF6CE0"/>
    <w:rsid w:val="00C00D93"/>
    <w:rsid w:val="00C01173"/>
    <w:rsid w:val="00C01839"/>
    <w:rsid w:val="00C02206"/>
    <w:rsid w:val="00C0247C"/>
    <w:rsid w:val="00C04861"/>
    <w:rsid w:val="00C05A84"/>
    <w:rsid w:val="00C05D2E"/>
    <w:rsid w:val="00C0620C"/>
    <w:rsid w:val="00C1417E"/>
    <w:rsid w:val="00C1437E"/>
    <w:rsid w:val="00C15D6E"/>
    <w:rsid w:val="00C1610B"/>
    <w:rsid w:val="00C169E2"/>
    <w:rsid w:val="00C22253"/>
    <w:rsid w:val="00C230D7"/>
    <w:rsid w:val="00C2627B"/>
    <w:rsid w:val="00C279A8"/>
    <w:rsid w:val="00C3179A"/>
    <w:rsid w:val="00C34DF6"/>
    <w:rsid w:val="00C35695"/>
    <w:rsid w:val="00C36606"/>
    <w:rsid w:val="00C3797A"/>
    <w:rsid w:val="00C37F73"/>
    <w:rsid w:val="00C40F88"/>
    <w:rsid w:val="00C46060"/>
    <w:rsid w:val="00C476EA"/>
    <w:rsid w:val="00C47A1D"/>
    <w:rsid w:val="00C53B76"/>
    <w:rsid w:val="00C56DFE"/>
    <w:rsid w:val="00C61631"/>
    <w:rsid w:val="00C61BB5"/>
    <w:rsid w:val="00C64FD5"/>
    <w:rsid w:val="00C6550D"/>
    <w:rsid w:val="00C675E2"/>
    <w:rsid w:val="00C67AFF"/>
    <w:rsid w:val="00C726F6"/>
    <w:rsid w:val="00C74B24"/>
    <w:rsid w:val="00C74F6C"/>
    <w:rsid w:val="00C755A8"/>
    <w:rsid w:val="00C759D5"/>
    <w:rsid w:val="00C76C67"/>
    <w:rsid w:val="00C77830"/>
    <w:rsid w:val="00C77A34"/>
    <w:rsid w:val="00C81D6A"/>
    <w:rsid w:val="00C856BD"/>
    <w:rsid w:val="00C912BD"/>
    <w:rsid w:val="00C94865"/>
    <w:rsid w:val="00C97187"/>
    <w:rsid w:val="00CA17B2"/>
    <w:rsid w:val="00CA1A1E"/>
    <w:rsid w:val="00CA6AD7"/>
    <w:rsid w:val="00CB188F"/>
    <w:rsid w:val="00CB39DA"/>
    <w:rsid w:val="00CB4079"/>
    <w:rsid w:val="00CB4566"/>
    <w:rsid w:val="00CB4D43"/>
    <w:rsid w:val="00CB604C"/>
    <w:rsid w:val="00CB6998"/>
    <w:rsid w:val="00CB6A44"/>
    <w:rsid w:val="00CC4901"/>
    <w:rsid w:val="00CD0F0A"/>
    <w:rsid w:val="00CD1493"/>
    <w:rsid w:val="00CD2DCD"/>
    <w:rsid w:val="00CD3609"/>
    <w:rsid w:val="00CD60D8"/>
    <w:rsid w:val="00CE00D8"/>
    <w:rsid w:val="00CE185A"/>
    <w:rsid w:val="00CE1D1B"/>
    <w:rsid w:val="00CE1EB5"/>
    <w:rsid w:val="00CE2096"/>
    <w:rsid w:val="00CE2944"/>
    <w:rsid w:val="00CE35C0"/>
    <w:rsid w:val="00CE6412"/>
    <w:rsid w:val="00CE6D36"/>
    <w:rsid w:val="00CF0E1A"/>
    <w:rsid w:val="00CF0ED6"/>
    <w:rsid w:val="00CF3905"/>
    <w:rsid w:val="00CF3C7E"/>
    <w:rsid w:val="00D00F2B"/>
    <w:rsid w:val="00D01343"/>
    <w:rsid w:val="00D01E44"/>
    <w:rsid w:val="00D028F0"/>
    <w:rsid w:val="00D02987"/>
    <w:rsid w:val="00D07A2A"/>
    <w:rsid w:val="00D10D1D"/>
    <w:rsid w:val="00D10F9B"/>
    <w:rsid w:val="00D12984"/>
    <w:rsid w:val="00D17C47"/>
    <w:rsid w:val="00D23706"/>
    <w:rsid w:val="00D2381F"/>
    <w:rsid w:val="00D27ABF"/>
    <w:rsid w:val="00D303D3"/>
    <w:rsid w:val="00D34DD1"/>
    <w:rsid w:val="00D35371"/>
    <w:rsid w:val="00D367B3"/>
    <w:rsid w:val="00D436D4"/>
    <w:rsid w:val="00D51774"/>
    <w:rsid w:val="00D52838"/>
    <w:rsid w:val="00D550A0"/>
    <w:rsid w:val="00D5523F"/>
    <w:rsid w:val="00D55426"/>
    <w:rsid w:val="00D559D7"/>
    <w:rsid w:val="00D565F1"/>
    <w:rsid w:val="00D56ECE"/>
    <w:rsid w:val="00D6245A"/>
    <w:rsid w:val="00D63122"/>
    <w:rsid w:val="00D633B0"/>
    <w:rsid w:val="00D64C1E"/>
    <w:rsid w:val="00D65E98"/>
    <w:rsid w:val="00D67A33"/>
    <w:rsid w:val="00D7336E"/>
    <w:rsid w:val="00D7359B"/>
    <w:rsid w:val="00D73A57"/>
    <w:rsid w:val="00D75655"/>
    <w:rsid w:val="00D757DC"/>
    <w:rsid w:val="00D76BDA"/>
    <w:rsid w:val="00D80434"/>
    <w:rsid w:val="00D830A9"/>
    <w:rsid w:val="00D84FC0"/>
    <w:rsid w:val="00D8570E"/>
    <w:rsid w:val="00D8777D"/>
    <w:rsid w:val="00D9070E"/>
    <w:rsid w:val="00D9137E"/>
    <w:rsid w:val="00D91C72"/>
    <w:rsid w:val="00D9228E"/>
    <w:rsid w:val="00D92C5F"/>
    <w:rsid w:val="00DA14C7"/>
    <w:rsid w:val="00DA3D60"/>
    <w:rsid w:val="00DA5681"/>
    <w:rsid w:val="00DA70AB"/>
    <w:rsid w:val="00DA75DF"/>
    <w:rsid w:val="00DA78EB"/>
    <w:rsid w:val="00DB085D"/>
    <w:rsid w:val="00DB55FE"/>
    <w:rsid w:val="00DC3218"/>
    <w:rsid w:val="00DC3DDA"/>
    <w:rsid w:val="00DC4452"/>
    <w:rsid w:val="00DC47E4"/>
    <w:rsid w:val="00DD0203"/>
    <w:rsid w:val="00DD0360"/>
    <w:rsid w:val="00DD29F8"/>
    <w:rsid w:val="00DD36C0"/>
    <w:rsid w:val="00DD394F"/>
    <w:rsid w:val="00DD4F46"/>
    <w:rsid w:val="00DD6F3F"/>
    <w:rsid w:val="00DE18FD"/>
    <w:rsid w:val="00DE3647"/>
    <w:rsid w:val="00DE74C1"/>
    <w:rsid w:val="00DF0E82"/>
    <w:rsid w:val="00DF4B72"/>
    <w:rsid w:val="00DF75D3"/>
    <w:rsid w:val="00DF77BD"/>
    <w:rsid w:val="00DF789B"/>
    <w:rsid w:val="00E03C33"/>
    <w:rsid w:val="00E04235"/>
    <w:rsid w:val="00E04F88"/>
    <w:rsid w:val="00E051F9"/>
    <w:rsid w:val="00E0554B"/>
    <w:rsid w:val="00E11EF9"/>
    <w:rsid w:val="00E1250A"/>
    <w:rsid w:val="00E13179"/>
    <w:rsid w:val="00E200A3"/>
    <w:rsid w:val="00E2109A"/>
    <w:rsid w:val="00E226B7"/>
    <w:rsid w:val="00E231D5"/>
    <w:rsid w:val="00E23C87"/>
    <w:rsid w:val="00E25D22"/>
    <w:rsid w:val="00E2606F"/>
    <w:rsid w:val="00E32346"/>
    <w:rsid w:val="00E331F0"/>
    <w:rsid w:val="00E33CC8"/>
    <w:rsid w:val="00E33DE7"/>
    <w:rsid w:val="00E34C78"/>
    <w:rsid w:val="00E401CD"/>
    <w:rsid w:val="00E4526D"/>
    <w:rsid w:val="00E45C52"/>
    <w:rsid w:val="00E5233F"/>
    <w:rsid w:val="00E53C2D"/>
    <w:rsid w:val="00E55EF5"/>
    <w:rsid w:val="00E609DD"/>
    <w:rsid w:val="00E60F8C"/>
    <w:rsid w:val="00E62716"/>
    <w:rsid w:val="00E63E30"/>
    <w:rsid w:val="00E6741B"/>
    <w:rsid w:val="00E674CC"/>
    <w:rsid w:val="00E70268"/>
    <w:rsid w:val="00E75F39"/>
    <w:rsid w:val="00E760BC"/>
    <w:rsid w:val="00E7621C"/>
    <w:rsid w:val="00E77CA0"/>
    <w:rsid w:val="00E8210D"/>
    <w:rsid w:val="00E82696"/>
    <w:rsid w:val="00E8487F"/>
    <w:rsid w:val="00E85A6C"/>
    <w:rsid w:val="00E87C88"/>
    <w:rsid w:val="00E92799"/>
    <w:rsid w:val="00E95A0E"/>
    <w:rsid w:val="00E96146"/>
    <w:rsid w:val="00EA15AE"/>
    <w:rsid w:val="00EA1DC6"/>
    <w:rsid w:val="00EA3171"/>
    <w:rsid w:val="00EA4DCF"/>
    <w:rsid w:val="00EB17B0"/>
    <w:rsid w:val="00EB39AA"/>
    <w:rsid w:val="00EB652F"/>
    <w:rsid w:val="00EB68F1"/>
    <w:rsid w:val="00EC255D"/>
    <w:rsid w:val="00EC4BE5"/>
    <w:rsid w:val="00EC742B"/>
    <w:rsid w:val="00ED1A51"/>
    <w:rsid w:val="00ED2FA8"/>
    <w:rsid w:val="00ED329D"/>
    <w:rsid w:val="00EE0B99"/>
    <w:rsid w:val="00EE2404"/>
    <w:rsid w:val="00EE403F"/>
    <w:rsid w:val="00EE54F0"/>
    <w:rsid w:val="00EE7623"/>
    <w:rsid w:val="00EF02F9"/>
    <w:rsid w:val="00EF17AA"/>
    <w:rsid w:val="00EF1A0D"/>
    <w:rsid w:val="00EF25DF"/>
    <w:rsid w:val="00EF29DA"/>
    <w:rsid w:val="00EF46CD"/>
    <w:rsid w:val="00EF4F4B"/>
    <w:rsid w:val="00EF6861"/>
    <w:rsid w:val="00EF6C5B"/>
    <w:rsid w:val="00F002A7"/>
    <w:rsid w:val="00F101AB"/>
    <w:rsid w:val="00F10931"/>
    <w:rsid w:val="00F1474A"/>
    <w:rsid w:val="00F21954"/>
    <w:rsid w:val="00F24BC8"/>
    <w:rsid w:val="00F260B9"/>
    <w:rsid w:val="00F270C9"/>
    <w:rsid w:val="00F32876"/>
    <w:rsid w:val="00F33BF7"/>
    <w:rsid w:val="00F34AC7"/>
    <w:rsid w:val="00F35C55"/>
    <w:rsid w:val="00F41E27"/>
    <w:rsid w:val="00F44221"/>
    <w:rsid w:val="00F44D4B"/>
    <w:rsid w:val="00F45E4B"/>
    <w:rsid w:val="00F467FC"/>
    <w:rsid w:val="00F50BBA"/>
    <w:rsid w:val="00F512FD"/>
    <w:rsid w:val="00F536D8"/>
    <w:rsid w:val="00F539D2"/>
    <w:rsid w:val="00F53C7F"/>
    <w:rsid w:val="00F54CC9"/>
    <w:rsid w:val="00F57903"/>
    <w:rsid w:val="00F600CC"/>
    <w:rsid w:val="00F60462"/>
    <w:rsid w:val="00F610F5"/>
    <w:rsid w:val="00F63E16"/>
    <w:rsid w:val="00F647F6"/>
    <w:rsid w:val="00F649AE"/>
    <w:rsid w:val="00F67243"/>
    <w:rsid w:val="00F67E34"/>
    <w:rsid w:val="00F701F9"/>
    <w:rsid w:val="00F713E3"/>
    <w:rsid w:val="00F71B98"/>
    <w:rsid w:val="00F75EF8"/>
    <w:rsid w:val="00F80399"/>
    <w:rsid w:val="00F82AD8"/>
    <w:rsid w:val="00F83DFF"/>
    <w:rsid w:val="00F843D3"/>
    <w:rsid w:val="00F85381"/>
    <w:rsid w:val="00F85598"/>
    <w:rsid w:val="00F900E9"/>
    <w:rsid w:val="00F90814"/>
    <w:rsid w:val="00F9116D"/>
    <w:rsid w:val="00F92EF6"/>
    <w:rsid w:val="00F94290"/>
    <w:rsid w:val="00F9474A"/>
    <w:rsid w:val="00F96491"/>
    <w:rsid w:val="00F97F51"/>
    <w:rsid w:val="00FA14ED"/>
    <w:rsid w:val="00FA1EF0"/>
    <w:rsid w:val="00FA2249"/>
    <w:rsid w:val="00FA430B"/>
    <w:rsid w:val="00FA6875"/>
    <w:rsid w:val="00FA690C"/>
    <w:rsid w:val="00FA6C19"/>
    <w:rsid w:val="00FB04B4"/>
    <w:rsid w:val="00FB0C3C"/>
    <w:rsid w:val="00FB0D1D"/>
    <w:rsid w:val="00FB0D2D"/>
    <w:rsid w:val="00FB4ACB"/>
    <w:rsid w:val="00FB58F3"/>
    <w:rsid w:val="00FC3FE1"/>
    <w:rsid w:val="00FC4414"/>
    <w:rsid w:val="00FC5481"/>
    <w:rsid w:val="00FC6C69"/>
    <w:rsid w:val="00FD1225"/>
    <w:rsid w:val="00FD1E25"/>
    <w:rsid w:val="00FD3F17"/>
    <w:rsid w:val="00FD53BF"/>
    <w:rsid w:val="00FD60C9"/>
    <w:rsid w:val="00FD6490"/>
    <w:rsid w:val="00FD69B4"/>
    <w:rsid w:val="00FE3574"/>
    <w:rsid w:val="00FE3749"/>
    <w:rsid w:val="00FE4551"/>
    <w:rsid w:val="00FE4F6D"/>
    <w:rsid w:val="00FE53A4"/>
    <w:rsid w:val="00FE6FFE"/>
    <w:rsid w:val="00FF13AC"/>
    <w:rsid w:val="00FF21DA"/>
    <w:rsid w:val="00FF34B7"/>
    <w:rsid w:val="00FF4C5B"/>
    <w:rsid w:val="00FF5542"/>
    <w:rsid w:val="00FF6484"/>
    <w:rsid w:val="00FF6E23"/>
    <w:rsid w:val="00FF6EE5"/>
    <w:rsid w:val="1A7E895C"/>
    <w:rsid w:val="47CB78F3"/>
    <w:rsid w:val="6A8A17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14:docId w14:val="75F1139F"/>
  <w15:docId w15:val="{5DB6B115-8575-46F2-B7A7-81C302609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GB" w:eastAsia="en-GB"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40" w:after="120" w:line="259" w:lineRule="auto"/>
      <w:ind w:left="432"/>
      <w:jc w:val="left"/>
      <w:outlineLvl w:val="0"/>
    </w:pPr>
    <w:rPr>
      <w:rFonts w:ascii="Times New Roman" w:eastAsia="Times New Roman" w:hAnsi="Times New Roman" w:cs="Times New Roman"/>
      <w:b/>
      <w:sz w:val="28"/>
      <w:szCs w:val="28"/>
    </w:rPr>
  </w:style>
  <w:style w:type="paragraph" w:styleId="Heading2">
    <w:name w:val="heading 2"/>
    <w:basedOn w:val="Normal"/>
    <w:next w:val="Normal"/>
    <w:pPr>
      <w:keepNext/>
      <w:keepLines/>
      <w:spacing w:before="40" w:after="120" w:line="259" w:lineRule="auto"/>
      <w:ind w:left="576"/>
      <w:jc w:val="left"/>
      <w:outlineLvl w:val="1"/>
    </w:pPr>
    <w:rPr>
      <w:rFonts w:ascii="Times New Roman" w:eastAsia="Times New Roman" w:hAnsi="Times New Roman" w:cs="Times New Roman"/>
      <w:b/>
      <w:sz w:val="24"/>
      <w:szCs w:val="24"/>
    </w:rPr>
  </w:style>
  <w:style w:type="paragraph" w:styleId="Heading3">
    <w:name w:val="heading 3"/>
    <w:basedOn w:val="Normal"/>
    <w:next w:val="Normal"/>
    <w:pPr>
      <w:keepNext/>
      <w:keepLines/>
      <w:spacing w:before="40" w:line="259" w:lineRule="auto"/>
      <w:ind w:left="720"/>
      <w:jc w:val="left"/>
      <w:outlineLvl w:val="2"/>
    </w:pPr>
    <w:rPr>
      <w:rFonts w:ascii="Times New Roman" w:eastAsia="Times New Roman" w:hAnsi="Times New Roman" w:cs="Times New Roman"/>
      <w:b/>
    </w:rPr>
  </w:style>
  <w:style w:type="paragraph" w:styleId="Heading4">
    <w:name w:val="heading 4"/>
    <w:basedOn w:val="Normal"/>
    <w:next w:val="Normal"/>
    <w:pPr>
      <w:keepNext/>
      <w:keepLines/>
      <w:spacing w:before="240" w:after="40"/>
      <w:outlineLvl w:val="3"/>
    </w:pPr>
    <w:rPr>
      <w:i/>
      <w:color w:val="666666"/>
    </w:rPr>
  </w:style>
  <w:style w:type="paragraph" w:styleId="Heading5">
    <w:name w:val="heading 5"/>
    <w:basedOn w:val="Normal"/>
    <w:next w:val="Normal"/>
    <w:pPr>
      <w:keepNext/>
      <w:keepLines/>
      <w:spacing w:before="220" w:after="40"/>
      <w:outlineLvl w:val="4"/>
    </w:pPr>
    <w:rPr>
      <w:b/>
      <w:color w:val="666666"/>
      <w:sz w:val="20"/>
      <w:szCs w:val="20"/>
    </w:rPr>
  </w:style>
  <w:style w:type="paragraph" w:styleId="Heading6">
    <w:name w:val="heading 6"/>
    <w:basedOn w:val="Normal"/>
    <w:next w:val="Normal"/>
    <w:pPr>
      <w:keepNext/>
      <w:keepLines/>
      <w:spacing w:before="200" w:after="40"/>
      <w:outlineLvl w:val="5"/>
    </w:pPr>
    <w:rPr>
      <w:i/>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jc w:val="center"/>
    </w:pPr>
    <w:rPr>
      <w:b/>
      <w:sz w:val="28"/>
      <w:szCs w:val="28"/>
    </w:rPr>
  </w:style>
  <w:style w:type="paragraph" w:styleId="Subtitle">
    <w:name w:val="Subtitle"/>
    <w:basedOn w:val="Normal"/>
    <w:next w:val="Normal"/>
    <w:pPr>
      <w:keepNext/>
      <w:keepLines/>
      <w:spacing w:before="360" w:after="80"/>
      <w:jc w:val="center"/>
    </w:pPr>
    <w:rPr>
      <w:rFonts w:ascii="Georgia" w:eastAsia="Georgia" w:hAnsi="Georgia" w:cs="Georgia"/>
      <w:i/>
      <w:color w:val="666666"/>
      <w:sz w:val="28"/>
      <w:szCs w:val="2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rPr>
      <w:rFonts w:ascii="Times New Roman" w:eastAsia="Times New Roman" w:hAnsi="Times New Roman" w:cs="Times New Roman"/>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rPr>
      <w:rFonts w:ascii="Times New Roman" w:eastAsia="Times New Roman" w:hAnsi="Times New Roman" w:cs="Times New Roman"/>
    </w:rPr>
    <w:tblPr>
      <w:tblStyleRowBandSize w:val="1"/>
      <w:tblStyleColBandSize w:val="1"/>
    </w:tblPr>
  </w:style>
  <w:style w:type="character" w:styleId="LineNumber">
    <w:name w:val="line number"/>
    <w:basedOn w:val="DefaultParagraphFont"/>
    <w:uiPriority w:val="99"/>
    <w:semiHidden/>
    <w:unhideWhenUsed/>
    <w:rsid w:val="00F50BBA"/>
  </w:style>
  <w:style w:type="character" w:customStyle="1" w:styleId="title-text">
    <w:name w:val="title-text"/>
    <w:basedOn w:val="DefaultParagraphFont"/>
    <w:rsid w:val="00650368"/>
  </w:style>
  <w:style w:type="character" w:styleId="Hyperlink">
    <w:name w:val="Hyperlink"/>
    <w:basedOn w:val="DefaultParagraphFont"/>
    <w:uiPriority w:val="99"/>
    <w:unhideWhenUsed/>
    <w:rsid w:val="00650368"/>
    <w:rPr>
      <w:color w:val="0000FF"/>
      <w:u w:val="single"/>
    </w:rPr>
  </w:style>
  <w:style w:type="character" w:customStyle="1" w:styleId="text">
    <w:name w:val="text"/>
    <w:basedOn w:val="DefaultParagraphFont"/>
    <w:rsid w:val="0044087A"/>
  </w:style>
  <w:style w:type="character" w:customStyle="1" w:styleId="author-ref">
    <w:name w:val="author-ref"/>
    <w:basedOn w:val="DefaultParagraphFont"/>
    <w:rsid w:val="0044087A"/>
  </w:style>
  <w:style w:type="paragraph" w:styleId="BalloonText">
    <w:name w:val="Balloon Text"/>
    <w:basedOn w:val="Normal"/>
    <w:link w:val="BalloonTextChar"/>
    <w:uiPriority w:val="99"/>
    <w:semiHidden/>
    <w:unhideWhenUsed/>
    <w:rsid w:val="000A758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758C"/>
    <w:rPr>
      <w:rFonts w:ascii="Segoe UI" w:hAnsi="Segoe UI" w:cs="Segoe UI"/>
      <w:sz w:val="18"/>
      <w:szCs w:val="18"/>
    </w:rPr>
  </w:style>
  <w:style w:type="character" w:styleId="Emphasis">
    <w:name w:val="Emphasis"/>
    <w:basedOn w:val="DefaultParagraphFont"/>
    <w:uiPriority w:val="20"/>
    <w:qFormat/>
    <w:rsid w:val="007C6691"/>
    <w:rPr>
      <w:i/>
      <w:iCs/>
    </w:rPr>
  </w:style>
  <w:style w:type="paragraph" w:styleId="ListParagraph">
    <w:name w:val="List Paragraph"/>
    <w:basedOn w:val="Normal"/>
    <w:uiPriority w:val="34"/>
    <w:qFormat/>
    <w:rsid w:val="00A33DC1"/>
    <w:pPr>
      <w:ind w:left="720"/>
      <w:contextualSpacing/>
    </w:pPr>
  </w:style>
  <w:style w:type="character" w:styleId="CommentReference">
    <w:name w:val="annotation reference"/>
    <w:basedOn w:val="DefaultParagraphFont"/>
    <w:uiPriority w:val="99"/>
    <w:semiHidden/>
    <w:unhideWhenUsed/>
    <w:rsid w:val="00BD5CDF"/>
    <w:rPr>
      <w:sz w:val="16"/>
      <w:szCs w:val="16"/>
    </w:rPr>
  </w:style>
  <w:style w:type="paragraph" w:styleId="CommentText">
    <w:name w:val="annotation text"/>
    <w:basedOn w:val="Normal"/>
    <w:link w:val="CommentTextChar"/>
    <w:uiPriority w:val="99"/>
    <w:semiHidden/>
    <w:unhideWhenUsed/>
    <w:rsid w:val="00BD5CDF"/>
    <w:pPr>
      <w:spacing w:line="240" w:lineRule="auto"/>
    </w:pPr>
    <w:rPr>
      <w:sz w:val="20"/>
      <w:szCs w:val="20"/>
    </w:rPr>
  </w:style>
  <w:style w:type="character" w:customStyle="1" w:styleId="CommentTextChar">
    <w:name w:val="Comment Text Char"/>
    <w:basedOn w:val="DefaultParagraphFont"/>
    <w:link w:val="CommentText"/>
    <w:uiPriority w:val="99"/>
    <w:semiHidden/>
    <w:rsid w:val="00BD5CDF"/>
    <w:rPr>
      <w:sz w:val="20"/>
      <w:szCs w:val="20"/>
    </w:rPr>
  </w:style>
  <w:style w:type="paragraph" w:styleId="CommentSubject">
    <w:name w:val="annotation subject"/>
    <w:basedOn w:val="CommentText"/>
    <w:next w:val="CommentText"/>
    <w:link w:val="CommentSubjectChar"/>
    <w:uiPriority w:val="99"/>
    <w:semiHidden/>
    <w:unhideWhenUsed/>
    <w:rsid w:val="00BD5CDF"/>
    <w:rPr>
      <w:b/>
      <w:bCs/>
    </w:rPr>
  </w:style>
  <w:style w:type="character" w:customStyle="1" w:styleId="CommentSubjectChar">
    <w:name w:val="Comment Subject Char"/>
    <w:basedOn w:val="CommentTextChar"/>
    <w:link w:val="CommentSubject"/>
    <w:uiPriority w:val="99"/>
    <w:semiHidden/>
    <w:rsid w:val="00BD5CDF"/>
    <w:rPr>
      <w:b/>
      <w:bCs/>
      <w:sz w:val="20"/>
      <w:szCs w:val="20"/>
    </w:rPr>
  </w:style>
  <w:style w:type="paragraph" w:styleId="Revision">
    <w:name w:val="Revision"/>
    <w:hidden/>
    <w:uiPriority w:val="99"/>
    <w:semiHidden/>
    <w:rsid w:val="00BD5CDF"/>
    <w:pPr>
      <w:spacing w:line="240" w:lineRule="auto"/>
      <w:jc w:val="left"/>
    </w:pPr>
  </w:style>
  <w:style w:type="table" w:styleId="TableGrid">
    <w:name w:val="Table Grid"/>
    <w:basedOn w:val="TableNormal"/>
    <w:uiPriority w:val="39"/>
    <w:rsid w:val="007C5DF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610F5"/>
    <w:rPr>
      <w:color w:val="800080" w:themeColor="followedHyperlink"/>
      <w:u w:val="single"/>
    </w:rPr>
  </w:style>
  <w:style w:type="paragraph" w:styleId="Header">
    <w:name w:val="header"/>
    <w:basedOn w:val="Normal"/>
    <w:link w:val="HeaderChar"/>
    <w:uiPriority w:val="99"/>
    <w:unhideWhenUsed/>
    <w:rsid w:val="00767174"/>
    <w:pPr>
      <w:tabs>
        <w:tab w:val="center" w:pos="4513"/>
        <w:tab w:val="right" w:pos="9026"/>
      </w:tabs>
      <w:spacing w:line="240" w:lineRule="auto"/>
    </w:pPr>
  </w:style>
  <w:style w:type="character" w:customStyle="1" w:styleId="HeaderChar">
    <w:name w:val="Header Char"/>
    <w:basedOn w:val="DefaultParagraphFont"/>
    <w:link w:val="Header"/>
    <w:uiPriority w:val="99"/>
    <w:rsid w:val="00767174"/>
  </w:style>
  <w:style w:type="paragraph" w:styleId="Footer">
    <w:name w:val="footer"/>
    <w:basedOn w:val="Normal"/>
    <w:link w:val="FooterChar"/>
    <w:uiPriority w:val="99"/>
    <w:unhideWhenUsed/>
    <w:rsid w:val="00767174"/>
    <w:pPr>
      <w:tabs>
        <w:tab w:val="center" w:pos="4513"/>
        <w:tab w:val="right" w:pos="9026"/>
      </w:tabs>
      <w:spacing w:line="240" w:lineRule="auto"/>
    </w:pPr>
  </w:style>
  <w:style w:type="character" w:customStyle="1" w:styleId="FooterChar">
    <w:name w:val="Footer Char"/>
    <w:basedOn w:val="DefaultParagraphFont"/>
    <w:link w:val="Footer"/>
    <w:uiPriority w:val="99"/>
    <w:rsid w:val="00767174"/>
  </w:style>
  <w:style w:type="paragraph" w:styleId="FootnoteText">
    <w:name w:val="footnote text"/>
    <w:basedOn w:val="Normal"/>
    <w:link w:val="FootnoteTextChar"/>
    <w:uiPriority w:val="99"/>
    <w:semiHidden/>
    <w:unhideWhenUsed/>
    <w:rsid w:val="00F002A7"/>
    <w:pPr>
      <w:spacing w:line="240" w:lineRule="auto"/>
    </w:pPr>
    <w:rPr>
      <w:sz w:val="20"/>
      <w:szCs w:val="20"/>
    </w:rPr>
  </w:style>
  <w:style w:type="character" w:customStyle="1" w:styleId="FootnoteTextChar">
    <w:name w:val="Footnote Text Char"/>
    <w:basedOn w:val="DefaultParagraphFont"/>
    <w:link w:val="FootnoteText"/>
    <w:uiPriority w:val="99"/>
    <w:semiHidden/>
    <w:rsid w:val="00F002A7"/>
    <w:rPr>
      <w:sz w:val="20"/>
      <w:szCs w:val="20"/>
    </w:rPr>
  </w:style>
  <w:style w:type="character" w:styleId="FootnoteReference">
    <w:name w:val="footnote reference"/>
    <w:basedOn w:val="DefaultParagraphFont"/>
    <w:uiPriority w:val="99"/>
    <w:semiHidden/>
    <w:unhideWhenUsed/>
    <w:rsid w:val="00F002A7"/>
    <w:rPr>
      <w:vertAlign w:val="superscript"/>
    </w:rPr>
  </w:style>
  <w:style w:type="character" w:styleId="UnresolvedMention">
    <w:name w:val="Unresolved Mention"/>
    <w:basedOn w:val="DefaultParagraphFont"/>
    <w:uiPriority w:val="99"/>
    <w:semiHidden/>
    <w:unhideWhenUsed/>
    <w:rsid w:val="002C4A72"/>
    <w:rPr>
      <w:color w:val="605E5C"/>
      <w:shd w:val="clear" w:color="auto" w:fill="E1DFDD"/>
    </w:rPr>
  </w:style>
  <w:style w:type="paragraph" w:styleId="PlainText">
    <w:name w:val="Plain Text"/>
    <w:basedOn w:val="Normal"/>
    <w:link w:val="PlainTextChar"/>
    <w:uiPriority w:val="99"/>
    <w:unhideWhenUsed/>
    <w:rsid w:val="00E2606F"/>
    <w:pPr>
      <w:spacing w:line="240" w:lineRule="auto"/>
      <w:jc w:val="left"/>
    </w:pPr>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E2606F"/>
    <w:rPr>
      <w:rFonts w:ascii="Calibri" w:eastAsiaTheme="minorHAnsi" w:hAnsi="Calibri" w:cstheme="minorBidi"/>
      <w:szCs w:val="21"/>
      <w:lang w:eastAsia="en-US"/>
    </w:rPr>
  </w:style>
  <w:style w:type="character" w:customStyle="1" w:styleId="normaltextrun">
    <w:name w:val="normaltextrun"/>
    <w:basedOn w:val="DefaultParagraphFont"/>
    <w:rsid w:val="005E746A"/>
  </w:style>
  <w:style w:type="character" w:customStyle="1" w:styleId="eop">
    <w:name w:val="eop"/>
    <w:basedOn w:val="DefaultParagraphFont"/>
    <w:rsid w:val="005E746A"/>
  </w:style>
  <w:style w:type="character" w:styleId="EndnoteReference">
    <w:name w:val="endnote reference"/>
    <w:basedOn w:val="DefaultParagraphFont"/>
    <w:uiPriority w:val="99"/>
    <w:semiHidden/>
    <w:unhideWhenUsed/>
    <w:rsid w:val="002B08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0596494">
      <w:bodyDiv w:val="1"/>
      <w:marLeft w:val="0"/>
      <w:marRight w:val="0"/>
      <w:marTop w:val="0"/>
      <w:marBottom w:val="0"/>
      <w:divBdr>
        <w:top w:val="none" w:sz="0" w:space="0" w:color="auto"/>
        <w:left w:val="none" w:sz="0" w:space="0" w:color="auto"/>
        <w:bottom w:val="none" w:sz="0" w:space="0" w:color="auto"/>
        <w:right w:val="none" w:sz="0" w:space="0" w:color="auto"/>
      </w:divBdr>
    </w:div>
    <w:div w:id="702752379">
      <w:bodyDiv w:val="1"/>
      <w:marLeft w:val="0"/>
      <w:marRight w:val="0"/>
      <w:marTop w:val="0"/>
      <w:marBottom w:val="0"/>
      <w:divBdr>
        <w:top w:val="none" w:sz="0" w:space="0" w:color="auto"/>
        <w:left w:val="none" w:sz="0" w:space="0" w:color="auto"/>
        <w:bottom w:val="none" w:sz="0" w:space="0" w:color="auto"/>
        <w:right w:val="none" w:sz="0" w:space="0" w:color="auto"/>
      </w:divBdr>
    </w:div>
    <w:div w:id="836922982">
      <w:bodyDiv w:val="1"/>
      <w:marLeft w:val="0"/>
      <w:marRight w:val="0"/>
      <w:marTop w:val="0"/>
      <w:marBottom w:val="0"/>
      <w:divBdr>
        <w:top w:val="none" w:sz="0" w:space="0" w:color="auto"/>
        <w:left w:val="none" w:sz="0" w:space="0" w:color="auto"/>
        <w:bottom w:val="none" w:sz="0" w:space="0" w:color="auto"/>
        <w:right w:val="none" w:sz="0" w:space="0" w:color="auto"/>
      </w:divBdr>
      <w:divsChild>
        <w:div w:id="1772118644">
          <w:marLeft w:val="0"/>
          <w:marRight w:val="0"/>
          <w:marTop w:val="0"/>
          <w:marBottom w:val="0"/>
          <w:divBdr>
            <w:top w:val="none" w:sz="0" w:space="0" w:color="auto"/>
            <w:left w:val="none" w:sz="0" w:space="0" w:color="auto"/>
            <w:bottom w:val="none" w:sz="0" w:space="0" w:color="auto"/>
            <w:right w:val="none" w:sz="0" w:space="0" w:color="auto"/>
          </w:divBdr>
        </w:div>
      </w:divsChild>
    </w:div>
    <w:div w:id="1007681649">
      <w:bodyDiv w:val="1"/>
      <w:marLeft w:val="0"/>
      <w:marRight w:val="0"/>
      <w:marTop w:val="0"/>
      <w:marBottom w:val="0"/>
      <w:divBdr>
        <w:top w:val="none" w:sz="0" w:space="0" w:color="auto"/>
        <w:left w:val="none" w:sz="0" w:space="0" w:color="auto"/>
        <w:bottom w:val="none" w:sz="0" w:space="0" w:color="auto"/>
        <w:right w:val="none" w:sz="0" w:space="0" w:color="auto"/>
      </w:divBdr>
      <w:divsChild>
        <w:div w:id="576717008">
          <w:marLeft w:val="0"/>
          <w:marRight w:val="0"/>
          <w:marTop w:val="0"/>
          <w:marBottom w:val="0"/>
          <w:divBdr>
            <w:top w:val="none" w:sz="0" w:space="0" w:color="auto"/>
            <w:left w:val="none" w:sz="0" w:space="0" w:color="auto"/>
            <w:bottom w:val="none" w:sz="0" w:space="0" w:color="auto"/>
            <w:right w:val="none" w:sz="0" w:space="0" w:color="auto"/>
          </w:divBdr>
        </w:div>
      </w:divsChild>
    </w:div>
    <w:div w:id="1171336700">
      <w:bodyDiv w:val="1"/>
      <w:marLeft w:val="0"/>
      <w:marRight w:val="0"/>
      <w:marTop w:val="0"/>
      <w:marBottom w:val="0"/>
      <w:divBdr>
        <w:top w:val="none" w:sz="0" w:space="0" w:color="auto"/>
        <w:left w:val="none" w:sz="0" w:space="0" w:color="auto"/>
        <w:bottom w:val="none" w:sz="0" w:space="0" w:color="auto"/>
        <w:right w:val="none" w:sz="0" w:space="0" w:color="auto"/>
      </w:divBdr>
    </w:div>
    <w:div w:id="1323898530">
      <w:bodyDiv w:val="1"/>
      <w:marLeft w:val="0"/>
      <w:marRight w:val="0"/>
      <w:marTop w:val="0"/>
      <w:marBottom w:val="0"/>
      <w:divBdr>
        <w:top w:val="none" w:sz="0" w:space="0" w:color="auto"/>
        <w:left w:val="none" w:sz="0" w:space="0" w:color="auto"/>
        <w:bottom w:val="none" w:sz="0" w:space="0" w:color="auto"/>
        <w:right w:val="none" w:sz="0" w:space="0" w:color="auto"/>
      </w:divBdr>
    </w:div>
    <w:div w:id="13365682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2.png"/><Relationship Id="rId21" Type="http://schemas.openxmlformats.org/officeDocument/2006/relationships/hyperlink" Target="https://link.springer.com/article/10.1007/s00521-019-04079-y" TargetMode="External"/><Relationship Id="rId42" Type="http://schemas.openxmlformats.org/officeDocument/2006/relationships/hyperlink" Target="http://dx.doi.org/10.1155/2015/521721" TargetMode="External"/><Relationship Id="rId47" Type="http://schemas.openxmlformats.org/officeDocument/2006/relationships/hyperlink" Target="https://doi.org/10.2166/wst.2017.279" TargetMode="External"/><Relationship Id="rId63" Type="http://schemas.openxmlformats.org/officeDocument/2006/relationships/hyperlink" Target="https://doi.org/10.1016/S0925-5273(03)00099-9" TargetMode="External"/><Relationship Id="rId68" Type="http://schemas.openxmlformats.org/officeDocument/2006/relationships/hyperlink" Target="https://doi.org/10.1016/j.watres.2006.01.046" TargetMode="External"/><Relationship Id="rId84" Type="http://schemas.openxmlformats.org/officeDocument/2006/relationships/hyperlink" Target="https://doi.org/10.1016/j.watres.2012.09.009" TargetMode="External"/><Relationship Id="rId89" Type="http://schemas.openxmlformats.org/officeDocument/2006/relationships/hyperlink" Target="https://doi.org/10.1016/j.watres.2018.09.032" TargetMode="External"/><Relationship Id="rId16" Type="http://schemas.openxmlformats.org/officeDocument/2006/relationships/header" Target="header2.xml"/><Relationship Id="rId11" Type="http://schemas.openxmlformats.org/officeDocument/2006/relationships/hyperlink" Target="mailto:Maryam.Imani@aru.ac.uk" TargetMode="External"/><Relationship Id="rId32" Type="http://schemas.openxmlformats.org/officeDocument/2006/relationships/image" Target="media/image8.png"/><Relationship Id="rId37" Type="http://schemas.openxmlformats.org/officeDocument/2006/relationships/hyperlink" Target="https://doi.org/10.1016/j.jhydrol.2013.10.043" TargetMode="External"/><Relationship Id="rId53" Type="http://schemas.openxmlformats.org/officeDocument/2006/relationships/hyperlink" Target="https://doi.org/10.1016/S0043-1354(03)00344-0" TargetMode="External"/><Relationship Id="rId58" Type="http://schemas.openxmlformats.org/officeDocument/2006/relationships/hyperlink" Target="https://doi.org/10.2134/jeq2015.10.0508" TargetMode="External"/><Relationship Id="rId74" Type="http://schemas.openxmlformats.org/officeDocument/2006/relationships/hyperlink" Target="https://doi.org/10.1016/j.jenvman.2018.02.049" TargetMode="External"/><Relationship Id="rId79" Type="http://schemas.openxmlformats.org/officeDocument/2006/relationships/hyperlink" Target="https://doi.org/10.1016/j.jhydrol.2020.125220" TargetMode="External"/><Relationship Id="rId102" Type="http://schemas.openxmlformats.org/officeDocument/2006/relationships/fontTable" Target="fontTable.xml"/><Relationship Id="rId5" Type="http://schemas.openxmlformats.org/officeDocument/2006/relationships/numbering" Target="numbering.xml"/><Relationship Id="rId90" Type="http://schemas.openxmlformats.org/officeDocument/2006/relationships/hyperlink" Target="http://dx.doi.org/10.1016/j.ecolind.2017.04.033" TargetMode="External"/><Relationship Id="rId95" Type="http://schemas.openxmlformats.org/officeDocument/2006/relationships/hyperlink" Target="https://doi.org/10.1016/j.scitotenv.2017.08.293" TargetMode="External"/><Relationship Id="rId22" Type="http://schemas.openxmlformats.org/officeDocument/2006/relationships/hyperlink" Target="https://en.wikipedia.org/wiki/Southeast_Region,_Brazil" TargetMode="External"/><Relationship Id="rId27" Type="http://schemas.openxmlformats.org/officeDocument/2006/relationships/image" Target="media/image3.png"/><Relationship Id="rId43" Type="http://schemas.openxmlformats.org/officeDocument/2006/relationships/hyperlink" Target="https://doi.org/10.1016/j.engappai.2015.09.010" TargetMode="External"/><Relationship Id="rId48" Type="http://schemas.openxmlformats.org/officeDocument/2006/relationships/hyperlink" Target="https://doi.org/10.1007/s10980-011-9623-1" TargetMode="External"/><Relationship Id="rId64" Type="http://schemas.openxmlformats.org/officeDocument/2006/relationships/hyperlink" Target="https://doi.org/10.2134/jeq2009.0441" TargetMode="External"/><Relationship Id="rId69" Type="http://schemas.openxmlformats.org/officeDocument/2006/relationships/hyperlink" Target="https://doi.org/10.1016/j.ecolind.2013.09.032" TargetMode="External"/><Relationship Id="rId80" Type="http://schemas.openxmlformats.org/officeDocument/2006/relationships/hyperlink" Target="https://doi.org/10.1016/j.marpolbul.2008.05.021" TargetMode="External"/><Relationship Id="rId85" Type="http://schemas.openxmlformats.org/officeDocument/2006/relationships/hyperlink" Target="https://doi.org/10.1016/0022-2496(77)90033-5" TargetMode="External"/><Relationship Id="rId12" Type="http://schemas.openxmlformats.org/officeDocument/2006/relationships/hyperlink" Target="mailto:md.hasan62@pgr.anglia.ac.uk" TargetMode="External"/><Relationship Id="rId17" Type="http://schemas.openxmlformats.org/officeDocument/2006/relationships/footer" Target="footer1.xml"/><Relationship Id="rId25" Type="http://schemas.openxmlformats.org/officeDocument/2006/relationships/image" Target="media/image1.png"/><Relationship Id="rId33" Type="http://schemas.openxmlformats.org/officeDocument/2006/relationships/image" Target="media/image9.png"/><Relationship Id="rId38" Type="http://schemas.openxmlformats.org/officeDocument/2006/relationships/hyperlink" Target="https://doi.org/10.1002/gch2.1010" TargetMode="External"/><Relationship Id="rId46" Type="http://schemas.openxmlformats.org/officeDocument/2006/relationships/hyperlink" Target="about:blank" TargetMode="External"/><Relationship Id="rId59" Type="http://schemas.openxmlformats.org/officeDocument/2006/relationships/hyperlink" Target="ftp://ftp.ibge.gov.br/Estimativas_de_Populacao/Estimativas_2014/estimativas_2014_TCU.pdf" TargetMode="External"/><Relationship Id="rId67" Type="http://schemas.openxmlformats.org/officeDocument/2006/relationships/hyperlink" Target="https://doi.org/10.1016/0165-0114(90)90189-D" TargetMode="External"/><Relationship Id="rId103" Type="http://schemas.openxmlformats.org/officeDocument/2006/relationships/theme" Target="theme/theme1.xml"/><Relationship Id="rId20" Type="http://schemas.openxmlformats.org/officeDocument/2006/relationships/footer" Target="footer3.xml"/><Relationship Id="rId41" Type="http://schemas.openxmlformats.org/officeDocument/2006/relationships/hyperlink" Target="https://doi.org/10.1016/j.marpolbul.2006.04.003" TargetMode="External"/><Relationship Id="rId54" Type="http://schemas.openxmlformats.org/officeDocument/2006/relationships/hyperlink" Target="https://doi.org/10.1071/BT02111" TargetMode="External"/><Relationship Id="rId62" Type="http://schemas.openxmlformats.org/officeDocument/2006/relationships/hyperlink" Target="http://www.mananciais.org.br/english/water-sources" TargetMode="External"/><Relationship Id="rId70" Type="http://schemas.openxmlformats.org/officeDocument/2006/relationships/hyperlink" Target="https://doi.org/10.1016/j.scitotenv.2016.06.110" TargetMode="External"/><Relationship Id="rId75" Type="http://schemas.openxmlformats.org/officeDocument/2006/relationships/hyperlink" Target="http://doi.org/10.1007/s11269-012-0118-x" TargetMode="External"/><Relationship Id="rId83" Type="http://schemas.openxmlformats.org/officeDocument/2006/relationships/hyperlink" Target="https://doi.org/10.1016/j.advwatres.2018.03.016" TargetMode="External"/><Relationship Id="rId88" Type="http://schemas.openxmlformats.org/officeDocument/2006/relationships/hyperlink" Target="http://dx.doi.org/10.1016/j.envsoft.2017.07.015" TargetMode="External"/><Relationship Id="rId91" Type="http://schemas.openxmlformats.org/officeDocument/2006/relationships/hyperlink" Target="https://doi.org/10.1016/j.geomorph.2017.10.017" TargetMode="External"/><Relationship Id="rId96" Type="http://schemas.openxmlformats.org/officeDocument/2006/relationships/hyperlink" Target="http://dx.doi.org/10.1007/BF00485052"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1.xml"/><Relationship Id="rId23" Type="http://schemas.openxmlformats.org/officeDocument/2006/relationships/hyperlink" Target="https://en.wikipedia.org/wiki/List_of_Brazilian_states_by_population" TargetMode="External"/><Relationship Id="rId28" Type="http://schemas.openxmlformats.org/officeDocument/2006/relationships/image" Target="media/image4.png"/><Relationship Id="rId36" Type="http://schemas.openxmlformats.org/officeDocument/2006/relationships/hyperlink" Target="https://doi.org/10.1007/s00521-019-04079-y" TargetMode="External"/><Relationship Id="rId49" Type="http://schemas.openxmlformats.org/officeDocument/2006/relationships/hyperlink" Target="http://dx.doi.org/10.1016/j.ins.2007.10.016" TargetMode="External"/><Relationship Id="rId57" Type="http://schemas.openxmlformats.org/officeDocument/2006/relationships/hyperlink" Target="https://doi.org/10.1007/s12403-013-0102-6" TargetMode="External"/><Relationship Id="rId10" Type="http://schemas.openxmlformats.org/officeDocument/2006/relationships/endnotes" Target="endnotes.xml"/><Relationship Id="rId31" Type="http://schemas.openxmlformats.org/officeDocument/2006/relationships/image" Target="media/image7.png"/><Relationship Id="rId44" Type="http://schemas.openxmlformats.org/officeDocument/2006/relationships/hyperlink" Target="about:blank" TargetMode="External"/><Relationship Id="rId52" Type="http://schemas.openxmlformats.org/officeDocument/2006/relationships/hyperlink" Target="https://doi.org/10.2175/106143014X14062131179276" TargetMode="External"/><Relationship Id="rId60" Type="http://schemas.openxmlformats.org/officeDocument/2006/relationships/hyperlink" Target="about:blank" TargetMode="External"/><Relationship Id="rId65" Type="http://schemas.openxmlformats.org/officeDocument/2006/relationships/hyperlink" Target="https://doi.org/10.1029/2006WR005142" TargetMode="External"/><Relationship Id="rId73" Type="http://schemas.openxmlformats.org/officeDocument/2006/relationships/hyperlink" Target="https://doi.org/10.1016/j.envsoft.2009.06.008" TargetMode="External"/><Relationship Id="rId78" Type="http://schemas.openxmlformats.org/officeDocument/2006/relationships/hyperlink" Target="https://doi.org/10.1007/s00521-012-0940-3" TargetMode="External"/><Relationship Id="rId81" Type="http://schemas.openxmlformats.org/officeDocument/2006/relationships/hyperlink" Target="https://doi.org/10.1111/j.1539-6924.2012.01885.x" TargetMode="External"/><Relationship Id="rId86" Type="http://schemas.openxmlformats.org/officeDocument/2006/relationships/hyperlink" Target="https://doi.org/10.1007/s00267-007-9047-5" TargetMode="External"/><Relationship Id="rId94" Type="http://schemas.openxmlformats.org/officeDocument/2006/relationships/hyperlink" Target="https://doi.org/10.1016/j.envpol.2007.06.050" TargetMode="External"/><Relationship Id="rId99" Type="http://schemas.openxmlformats.org/officeDocument/2006/relationships/hyperlink" Target="https://doi.org/10.1016/j.watres.2020.115527" TargetMode="External"/><Relationship Id="rId101" Type="http://schemas.openxmlformats.org/officeDocument/2006/relationships/hyperlink" Target="https://doi.org/10.2166/wqrj.2019.053"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bit@ic.unicamp.br" TargetMode="External"/><Relationship Id="rId18" Type="http://schemas.openxmlformats.org/officeDocument/2006/relationships/footer" Target="footer2.xml"/><Relationship Id="rId39" Type="http://schemas.openxmlformats.org/officeDocument/2006/relationships/hyperlink" Target="https://cetesb.sp.gov.br/aguas-interiores/publicacoes-e-relatorios/" TargetMode="External"/><Relationship Id="rId34" Type="http://schemas.openxmlformats.org/officeDocument/2006/relationships/image" Target="media/image10.png"/><Relationship Id="rId50" Type="http://schemas.openxmlformats.org/officeDocument/2006/relationships/hyperlink" Target="http://doi.org/10.1029/2002WR001778" TargetMode="External"/><Relationship Id="rId55" Type="http://schemas.openxmlformats.org/officeDocument/2006/relationships/hyperlink" Target="https://doi.org/10.1016/j.engappai.2019.08.014" TargetMode="External"/><Relationship Id="rId76" Type="http://schemas.openxmlformats.org/officeDocument/2006/relationships/hyperlink" Target="https://doi.org/10.1016/j.scitotenv.2018.11.189" TargetMode="External"/><Relationship Id="rId97" Type="http://schemas.openxmlformats.org/officeDocument/2006/relationships/hyperlink" Target="http://dx.doi.org/10.1007/s10661-012-2869-5" TargetMode="External"/><Relationship Id="rId7" Type="http://schemas.openxmlformats.org/officeDocument/2006/relationships/settings" Target="settings.xml"/><Relationship Id="rId71" Type="http://schemas.openxmlformats.org/officeDocument/2006/relationships/hyperlink" Target="https://doi.org/10.1007/s11269-016-1280-3" TargetMode="External"/><Relationship Id="rId92" Type="http://schemas.openxmlformats.org/officeDocument/2006/relationships/hyperlink" Target="https://research.utwente.nl/en/persons/marcela-fabiana-brugnach" TargetMode="External"/><Relationship Id="rId2" Type="http://schemas.openxmlformats.org/officeDocument/2006/relationships/customXml" Target="../customXml/item2.xml"/><Relationship Id="rId29" Type="http://schemas.openxmlformats.org/officeDocument/2006/relationships/image" Target="media/image5.png"/><Relationship Id="rId24" Type="http://schemas.openxmlformats.org/officeDocument/2006/relationships/hyperlink" Target="https://en.wikipedia.org/wiki/River_basin" TargetMode="External"/><Relationship Id="rId40" Type="http://schemas.openxmlformats.org/officeDocument/2006/relationships/hyperlink" Target="https://cetesb.sp.gov.br/aguas-interiores/wp-content/uploads/sites/12/2013/11/Ap%C3%AAndice-C-%C3%8Dndices-de-Qualidade-das-%C3%81guas-2.pdf" TargetMode="External"/><Relationship Id="rId45" Type="http://schemas.openxmlformats.org/officeDocument/2006/relationships/hyperlink" Target="about:blank" TargetMode="External"/><Relationship Id="rId66" Type="http://schemas.openxmlformats.org/officeDocument/2006/relationships/hyperlink" Target="https://doi.org/10.1109/LISAT.2016.7494106" TargetMode="External"/><Relationship Id="rId87" Type="http://schemas.openxmlformats.org/officeDocument/2006/relationships/hyperlink" Target="http://dx.doi.org/10.1016/j.ecolmodel.2009.01.004" TargetMode="External"/><Relationship Id="rId61" Type="http://schemas.openxmlformats.org/officeDocument/2006/relationships/hyperlink" Target="https://doi.org/10.1016/j.scitotenv.2017.05.265" TargetMode="External"/><Relationship Id="rId82" Type="http://schemas.openxmlformats.org/officeDocument/2006/relationships/hyperlink" Target="http://doi.org/10.1016/j.envsoft.2014.06.018" TargetMode="External"/><Relationship Id="rId19" Type="http://schemas.openxmlformats.org/officeDocument/2006/relationships/header" Target="header3.xml"/><Relationship Id="rId14" Type="http://schemas.openxmlformats.org/officeDocument/2006/relationships/hyperlink" Target="mailto:z.kapelan@tudelft.nl" TargetMode="External"/><Relationship Id="rId30" Type="http://schemas.openxmlformats.org/officeDocument/2006/relationships/image" Target="media/image6.png"/><Relationship Id="rId35" Type="http://schemas.openxmlformats.org/officeDocument/2006/relationships/hyperlink" Target="https://doi.org/10.1016/j.jhydrol.2019.124084" TargetMode="External"/><Relationship Id="rId56" Type="http://schemas.openxmlformats.org/officeDocument/2006/relationships/hyperlink" Target="http://dx.doi.org/10.1016/j.jenvman.2012.05.010" TargetMode="External"/><Relationship Id="rId77" Type="http://schemas.openxmlformats.org/officeDocument/2006/relationships/hyperlink" Target="https://www.researchgate.net/deref/http%3A%2F%2Fdx.doi.org%2F10.4172%2F2169-0316.1000232" TargetMode="External"/><Relationship Id="rId100" Type="http://schemas.openxmlformats.org/officeDocument/2006/relationships/hyperlink" Target="https://dx.doi.org/10.1155%2F2014%2F215047" TargetMode="External"/><Relationship Id="rId8" Type="http://schemas.openxmlformats.org/officeDocument/2006/relationships/webSettings" Target="webSettings.xml"/><Relationship Id="rId51" Type="http://schemas.openxmlformats.org/officeDocument/2006/relationships/hyperlink" Target="Water%20Environ.%20Res." TargetMode="External"/><Relationship Id="rId72" Type="http://schemas.openxmlformats.org/officeDocument/2006/relationships/hyperlink" Target="https://doi.org/10.1029/2000WR900329" TargetMode="External"/><Relationship Id="rId93" Type="http://schemas.openxmlformats.org/officeDocument/2006/relationships/hyperlink" Target="https://research.utwente.nl/en/persons/arjen-y-hoekstra" TargetMode="External"/><Relationship Id="rId98" Type="http://schemas.openxmlformats.org/officeDocument/2006/relationships/hyperlink" Target="https://doi.org/10.1109/ijcnn.2011.6033497" TargetMode="Externa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mailto:kent.mcclymont@gmail.com" TargetMode="External"/><Relationship Id="rId1" Type="http://schemas.openxmlformats.org/officeDocument/2006/relationships/hyperlink" Target="mailto:m.mahmudul@mediprospects.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3" ma:contentTypeDescription="Create a new document." ma:contentTypeScope="" ma:versionID="c4865b6880fe7fc6c199fedab884ebb9">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21a2413ef8670f60b3c9b65eee9dd7b0"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436BBE-E0EA-4BA5-B243-9BD3DEE32D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D8AE2F-3FE9-462A-BC56-063C09D4C590}">
  <ds:schemaRefs>
    <ds:schemaRef ds:uri="http://schemas.openxmlformats.org/officeDocument/2006/bibliography"/>
  </ds:schemaRefs>
</ds:datastoreItem>
</file>

<file path=customXml/itemProps3.xml><?xml version="1.0" encoding="utf-8"?>
<ds:datastoreItem xmlns:ds="http://schemas.openxmlformats.org/officeDocument/2006/customXml" ds:itemID="{3C6653F8-833D-4456-8ECE-DE79AE023881}">
  <ds:schemaRefs>
    <ds:schemaRef ds:uri="http://schemas.microsoft.com/sharepoint/v3/contenttype/forms"/>
  </ds:schemaRefs>
</ds:datastoreItem>
</file>

<file path=customXml/itemProps4.xml><?xml version="1.0" encoding="utf-8"?>
<ds:datastoreItem xmlns:ds="http://schemas.openxmlformats.org/officeDocument/2006/customXml" ds:itemID="{B2493CC1-792B-46ED-914B-687D206633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28</Pages>
  <Words>10267</Words>
  <Characters>58525</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68655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Hasan, Mahmud (Postgraduate Researcher)</dc:creator>
  <cp:lastModifiedBy>Blanshard, Lisa</cp:lastModifiedBy>
  <cp:revision>143</cp:revision>
  <cp:lastPrinted>2020-10-16T15:15:00Z</cp:lastPrinted>
  <dcterms:created xsi:type="dcterms:W3CDTF">2021-01-11T12:15:00Z</dcterms:created>
  <dcterms:modified xsi:type="dcterms:W3CDTF">2021-01-18T10:04:00Z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6th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vt:lpwstr>
  </property>
  <property fmtid="{D5CDD505-2E9C-101B-9397-08002B2CF9AE}" pid="9" name="Mendeley Recent Style Id 3_1">
    <vt:lpwstr>http://www.zotero.org/styles/harvard-anglia-ruskin-university</vt:lpwstr>
  </property>
  <property fmtid="{D5CDD505-2E9C-101B-9397-08002B2CF9AE}" pid="10" name="Mendeley Recent Style Name 3_1">
    <vt:lpwstr>Anglia Ruskin University - Harvard</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10th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a6cd84ec-8de3-3928-b423-49e2061a8176</vt:lpwstr>
  </property>
  <property fmtid="{D5CDD505-2E9C-101B-9397-08002B2CF9AE}" pid="25" name="Mendeley Citation Style_1">
    <vt:lpwstr>http://www.zotero.org/styles/apa</vt:lpwstr>
  </property>
</Properties>
</file>